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3EF7" w14:textId="77777777" w:rsidR="006C08D5" w:rsidRPr="00316B8E" w:rsidRDefault="006C08D5" w:rsidP="006C08D5">
      <w:pPr>
        <w:pStyle w:val="Heading1"/>
        <w:tabs>
          <w:tab w:val="clear" w:pos="432"/>
        </w:tabs>
        <w:spacing w:before="0" w:after="0"/>
        <w:jc w:val="center"/>
        <w:rPr>
          <w:rFonts w:ascii="Times New Roman" w:hAnsi="Times New Roman"/>
          <w:b/>
          <w:caps w:val="0"/>
          <w:sz w:val="28"/>
          <w:szCs w:val="28"/>
        </w:rPr>
      </w:pPr>
      <w:bookmarkStart w:id="0" w:name="_Toc476059350"/>
      <w:bookmarkStart w:id="1" w:name="_GoBack"/>
      <w:bookmarkEnd w:id="1"/>
      <w:r w:rsidRPr="00316B8E">
        <w:rPr>
          <w:rFonts w:ascii="Times New Roman" w:hAnsi="Times New Roman"/>
          <w:b/>
          <w:caps w:val="0"/>
          <w:sz w:val="28"/>
          <w:szCs w:val="28"/>
        </w:rPr>
        <w:t>Supporting Statement for Promoting Opportunity Demonstration (POD)</w:t>
      </w:r>
    </w:p>
    <w:p w14:paraId="46B65DA6" w14:textId="77777777" w:rsidR="006C08D5" w:rsidRDefault="006C08D5" w:rsidP="006C08D5">
      <w:pPr>
        <w:pStyle w:val="H2Chapter"/>
        <w:spacing w:before="0" w:after="0"/>
        <w:jc w:val="center"/>
        <w:rPr>
          <w:rFonts w:ascii="Times New Roman" w:hAnsi="Times New Roman"/>
          <w:b/>
          <w:caps w:val="0"/>
          <w:sz w:val="28"/>
          <w:szCs w:val="28"/>
        </w:rPr>
      </w:pPr>
      <w:r w:rsidRPr="00316B8E">
        <w:rPr>
          <w:rFonts w:ascii="Times New Roman" w:hAnsi="Times New Roman"/>
          <w:b/>
          <w:caps w:val="0"/>
          <w:sz w:val="28"/>
          <w:szCs w:val="28"/>
        </w:rPr>
        <w:t>OMB No. 0960-NEW</w:t>
      </w:r>
    </w:p>
    <w:p w14:paraId="5D3393ED" w14:textId="77777777" w:rsidR="006C08D5" w:rsidRPr="00316B8E" w:rsidRDefault="006C08D5" w:rsidP="006C08D5">
      <w:pPr>
        <w:pStyle w:val="NormalSS"/>
      </w:pPr>
    </w:p>
    <w:p w14:paraId="1EBED726" w14:textId="77777777" w:rsidR="006C08D5" w:rsidRDefault="006C08D5" w:rsidP="006C08D5">
      <w:pPr>
        <w:pStyle w:val="H2Chapter"/>
      </w:pPr>
      <w:r>
        <w:t>PART A: JUSTIFICATION</w:t>
      </w:r>
      <w:bookmarkEnd w:id="0"/>
    </w:p>
    <w:p w14:paraId="1A507D70" w14:textId="77777777" w:rsidR="006C08D5" w:rsidRDefault="006C08D5" w:rsidP="006C08D5">
      <w:pPr>
        <w:pStyle w:val="H3Alpha"/>
      </w:pPr>
      <w:bookmarkStart w:id="2" w:name="_Toc476059351"/>
      <w:r>
        <w:t>A.1. Introduction and authoring laws and regulations</w:t>
      </w:r>
      <w:bookmarkEnd w:id="2"/>
    </w:p>
    <w:p w14:paraId="1CE8E0BF" w14:textId="77777777" w:rsidR="006C08D5" w:rsidRDefault="006C08D5" w:rsidP="006C08D5">
      <w:pPr>
        <w:pStyle w:val="H4NumberNoTOC"/>
      </w:pPr>
      <w:r>
        <w:t>A.1.1. Overview</w:t>
      </w:r>
    </w:p>
    <w:p w14:paraId="2D02B590" w14:textId="66C7F793" w:rsidR="006C08D5" w:rsidRPr="006C08D5" w:rsidRDefault="006C08D5" w:rsidP="006C08D5">
      <w:pPr>
        <w:pStyle w:val="NormalSS"/>
        <w:rPr>
          <w:rFonts w:ascii="TimesNewRomanPSMT" w:hAnsi="TimesNewRomanPSMT" w:cs="TimesNewRomanPSMT"/>
        </w:rPr>
      </w:pPr>
      <w:r>
        <w:t xml:space="preserve">The Social Security Administration (SSA) is requesting clearance to collect data </w:t>
      </w:r>
      <w:r w:rsidRPr="00846E5D">
        <w:t xml:space="preserve">necessary to </w:t>
      </w:r>
      <w:r w:rsidR="00217887">
        <w:t xml:space="preserve">conduct a </w:t>
      </w:r>
      <w:r w:rsidR="0050497F">
        <w:t xml:space="preserve">random assignment evaluation of volunteers in select sites who enroll in </w:t>
      </w:r>
      <w:r w:rsidRPr="00846E5D">
        <w:t xml:space="preserve">the Promoting Opportunity Demonstration (POD). </w:t>
      </w:r>
      <w:r>
        <w:t xml:space="preserve"> </w:t>
      </w:r>
      <w:r w:rsidRPr="00846E5D">
        <w:t xml:space="preserve">The </w:t>
      </w:r>
      <w:r w:rsidR="0050497F" w:rsidRPr="0054319B">
        <w:rPr>
          <w:noProof/>
        </w:rPr>
        <w:t>evaluation</w:t>
      </w:r>
      <w:r w:rsidR="00404637" w:rsidRPr="0054319B">
        <w:rPr>
          <w:noProof/>
        </w:rPr>
        <w:t xml:space="preserve"> </w:t>
      </w:r>
      <w:r w:rsidRPr="00846E5D">
        <w:t xml:space="preserve">will provide empirical evidence on the impact of the intervention for </w:t>
      </w:r>
      <w:r w:rsidR="00217887">
        <w:t xml:space="preserve">the subjects who receive </w:t>
      </w:r>
      <w:r w:rsidRPr="00846E5D">
        <w:t>Social Security Disability Insurance (</w:t>
      </w:r>
      <w:r>
        <w:t>SSDI</w:t>
      </w:r>
      <w:r w:rsidRPr="00846E5D">
        <w:t xml:space="preserve">) </w:t>
      </w:r>
      <w:r w:rsidR="00217887" w:rsidRPr="0054319B">
        <w:rPr>
          <w:noProof/>
        </w:rPr>
        <w:t>benefits</w:t>
      </w:r>
      <w:r w:rsidRPr="00846E5D">
        <w:t xml:space="preserve"> and their families in several critical areas:</w:t>
      </w:r>
      <w:r>
        <w:t xml:space="preserve">  (1) increased employment, (2) </w:t>
      </w:r>
      <w:r w:rsidRPr="00846E5D">
        <w:t xml:space="preserve">increased number of employed beneficiaries who have substantive earnings, (3) reduced benefits, and (4) increased beneficiary income (earnings plus benefits). </w:t>
      </w:r>
    </w:p>
    <w:p w14:paraId="5BFC154D" w14:textId="4C17133B" w:rsidR="006C08D5" w:rsidRPr="00846E5D" w:rsidRDefault="0050497F" w:rsidP="006C08D5">
      <w:pPr>
        <w:pStyle w:val="NormalSS"/>
      </w:pPr>
      <w:r>
        <w:rPr>
          <w:lang w:val="en"/>
        </w:rPr>
        <w:t>Because they are volunteers, t</w:t>
      </w:r>
      <w:r w:rsidR="00331953">
        <w:rPr>
          <w:lang w:val="en"/>
        </w:rPr>
        <w:t xml:space="preserve">he </w:t>
      </w:r>
      <w:r>
        <w:rPr>
          <w:lang w:val="en"/>
        </w:rPr>
        <w:t xml:space="preserve">POD </w:t>
      </w:r>
      <w:r w:rsidR="00331953">
        <w:rPr>
          <w:lang w:val="en"/>
        </w:rPr>
        <w:t xml:space="preserve">subjects will self-select into the study.  Upon entering the study, they will be randomly assigned to </w:t>
      </w:r>
      <w:r w:rsidR="00FA111B">
        <w:rPr>
          <w:lang w:val="en"/>
        </w:rPr>
        <w:t xml:space="preserve">one of </w:t>
      </w:r>
      <w:r w:rsidR="006C08D5" w:rsidRPr="009E60A4">
        <w:rPr>
          <w:lang w:val="en"/>
        </w:rPr>
        <w:t xml:space="preserve">two treatment arms </w:t>
      </w:r>
      <w:r w:rsidR="00331953">
        <w:rPr>
          <w:lang w:val="en"/>
        </w:rPr>
        <w:t>or</w:t>
      </w:r>
      <w:r w:rsidR="006C08D5" w:rsidRPr="009E60A4">
        <w:rPr>
          <w:lang w:val="en"/>
        </w:rPr>
        <w:t xml:space="preserve"> one control arm. </w:t>
      </w:r>
      <w:r w:rsidR="006C08D5">
        <w:rPr>
          <w:lang w:val="en"/>
        </w:rPr>
        <w:t xml:space="preserve"> We refer to beneficiaries randomized into the demonstration as treatment and control subjects.  </w:t>
      </w:r>
      <w:r w:rsidR="006C08D5" w:rsidRPr="009E60A4">
        <w:rPr>
          <w:lang w:val="en"/>
        </w:rPr>
        <w:t xml:space="preserve">Both treatment arms include a benefit offset of $1 for every $2 earned above the larger of the Trial Work Period </w:t>
      </w:r>
      <w:r w:rsidR="006C08D5">
        <w:rPr>
          <w:lang w:val="en"/>
        </w:rPr>
        <w:t xml:space="preserve">(TWP) </w:t>
      </w:r>
      <w:r w:rsidR="006C08D5" w:rsidRPr="009E60A4">
        <w:rPr>
          <w:lang w:val="en"/>
        </w:rPr>
        <w:t xml:space="preserve">level (defined as $840 in 2017) and the amount of the </w:t>
      </w:r>
      <w:r w:rsidR="006C08D5">
        <w:rPr>
          <w:lang w:val="en"/>
        </w:rPr>
        <w:t>subject</w:t>
      </w:r>
      <w:r w:rsidR="006C08D5" w:rsidRPr="009E60A4">
        <w:rPr>
          <w:lang w:val="en"/>
        </w:rPr>
        <w:t>’s Impairment</w:t>
      </w:r>
      <w:r w:rsidR="006C08D5">
        <w:rPr>
          <w:lang w:val="en"/>
        </w:rPr>
        <w:t>-</w:t>
      </w:r>
      <w:r w:rsidR="006C08D5" w:rsidRPr="009E60A4">
        <w:rPr>
          <w:lang w:val="en"/>
        </w:rPr>
        <w:t>Related Work Expenses</w:t>
      </w:r>
      <w:r w:rsidR="006C08D5">
        <w:rPr>
          <w:lang w:val="en"/>
        </w:rPr>
        <w:t xml:space="preserve"> (IRWE)</w:t>
      </w:r>
      <w:r w:rsidR="006C08D5" w:rsidRPr="009E60A4">
        <w:rPr>
          <w:lang w:val="en"/>
        </w:rPr>
        <w:t xml:space="preserve">. </w:t>
      </w:r>
      <w:r w:rsidR="006C08D5">
        <w:rPr>
          <w:lang w:val="en"/>
        </w:rPr>
        <w:t xml:space="preserve"> </w:t>
      </w:r>
      <w:r w:rsidR="006C08D5" w:rsidRPr="009E60A4">
        <w:rPr>
          <w:lang w:val="en"/>
        </w:rPr>
        <w:t xml:space="preserve">They differ in the </w:t>
      </w:r>
      <w:r w:rsidR="006C08D5">
        <w:rPr>
          <w:lang w:val="en"/>
        </w:rPr>
        <w:t xml:space="preserve">way they </w:t>
      </w:r>
      <w:r w:rsidR="006C08D5" w:rsidRPr="009E60A4">
        <w:rPr>
          <w:lang w:val="en"/>
        </w:rPr>
        <w:t>administ</w:t>
      </w:r>
      <w:r w:rsidR="006C08D5">
        <w:rPr>
          <w:lang w:val="en"/>
        </w:rPr>
        <w:t>er</w:t>
      </w:r>
      <w:r w:rsidR="006C08D5" w:rsidRPr="009E60A4">
        <w:rPr>
          <w:lang w:val="en"/>
        </w:rPr>
        <w:t xml:space="preserve"> policies involving cases that reach full benefit offset (that is, benefits reduced to zero). </w:t>
      </w:r>
      <w:r w:rsidR="006C08D5">
        <w:rPr>
          <w:lang w:val="en"/>
        </w:rPr>
        <w:t xml:space="preserve"> </w:t>
      </w:r>
      <w:r w:rsidR="006C08D5" w:rsidRPr="009E60A4">
        <w:rPr>
          <w:lang w:val="en"/>
        </w:rPr>
        <w:t xml:space="preserve">In both treatment arms, POD initially suspends benefits. </w:t>
      </w:r>
      <w:r w:rsidR="006C08D5">
        <w:rPr>
          <w:lang w:val="en"/>
        </w:rPr>
        <w:t xml:space="preserve"> </w:t>
      </w:r>
      <w:r w:rsidR="006C08D5" w:rsidRPr="009E60A4">
        <w:rPr>
          <w:lang w:val="en"/>
        </w:rPr>
        <w:t xml:space="preserve">However, in one arm the suspension </w:t>
      </w:r>
      <w:r w:rsidR="006C08D5">
        <w:rPr>
          <w:lang w:val="en"/>
        </w:rPr>
        <w:t>has</w:t>
      </w:r>
      <w:r w:rsidR="007663EB">
        <w:rPr>
          <w:lang w:val="en"/>
        </w:rPr>
        <w:t xml:space="preserve"> no time limit</w:t>
      </w:r>
      <w:r w:rsidR="006C08D5" w:rsidRPr="009E60A4">
        <w:rPr>
          <w:lang w:val="en"/>
        </w:rPr>
        <w:t xml:space="preserve"> </w:t>
      </w:r>
      <w:r w:rsidR="006C08D5" w:rsidRPr="0054319B">
        <w:rPr>
          <w:noProof/>
          <w:lang w:val="en"/>
        </w:rPr>
        <w:t>whereas</w:t>
      </w:r>
      <w:r w:rsidR="006C08D5">
        <w:rPr>
          <w:lang w:val="en"/>
        </w:rPr>
        <w:t xml:space="preserve"> </w:t>
      </w:r>
      <w:r w:rsidR="006C08D5" w:rsidRPr="009E60A4">
        <w:rPr>
          <w:lang w:val="en"/>
        </w:rPr>
        <w:t xml:space="preserve">in the other arm, POD terminates benefits after 12 consecutive months of suspension. </w:t>
      </w:r>
      <w:r w:rsidR="006C08D5">
        <w:rPr>
          <w:lang w:val="en"/>
        </w:rPr>
        <w:t xml:space="preserve"> </w:t>
      </w:r>
      <w:r w:rsidR="006C08D5" w:rsidRPr="009E60A4">
        <w:rPr>
          <w:lang w:val="en"/>
        </w:rPr>
        <w:t xml:space="preserve">Beneficiaries in the control arm </w:t>
      </w:r>
      <w:r w:rsidR="006C08D5">
        <w:rPr>
          <w:lang w:val="en"/>
        </w:rPr>
        <w:t>receive services available under</w:t>
      </w:r>
      <w:r w:rsidR="006C08D5" w:rsidRPr="009E60A4">
        <w:rPr>
          <w:lang w:val="en"/>
        </w:rPr>
        <w:t xml:space="preserve"> </w:t>
      </w:r>
      <w:r w:rsidR="006C08D5" w:rsidRPr="009E60A4">
        <w:rPr>
          <w:noProof/>
          <w:lang w:val="en"/>
        </w:rPr>
        <w:t>current</w:t>
      </w:r>
      <w:r w:rsidR="006C08D5" w:rsidRPr="009E60A4">
        <w:rPr>
          <w:lang w:val="en"/>
        </w:rPr>
        <w:t xml:space="preserve"> law. </w:t>
      </w:r>
      <w:r w:rsidR="006C08D5" w:rsidRPr="00846E5D">
        <w:t>Exhibit A.1 summarizes the services the two treatment groups and the control group receive.</w:t>
      </w:r>
    </w:p>
    <w:p w14:paraId="70CA0974" w14:textId="1CC2D89F" w:rsidR="006C08D5" w:rsidRDefault="006C08D5" w:rsidP="006C08D5">
      <w:pPr>
        <w:pStyle w:val="NormalSS"/>
        <w:rPr>
          <w:szCs w:val="24"/>
        </w:rPr>
      </w:pPr>
      <w:r>
        <w:t xml:space="preserve">The demonstration will include approximately </w:t>
      </w:r>
      <w:r w:rsidRPr="009E60A4">
        <w:t xml:space="preserve">15,000 </w:t>
      </w:r>
      <w:r>
        <w:t>SSDI</w:t>
      </w:r>
      <w:r w:rsidRPr="009E60A4">
        <w:t xml:space="preserve"> </w:t>
      </w:r>
      <w:r>
        <w:t>subjects, 5,000 in each treatment group and 5,000 in the control group,</w:t>
      </w:r>
      <w:r w:rsidRPr="009E60A4">
        <w:t xml:space="preserve"> across the eight</w:t>
      </w:r>
      <w:r>
        <w:t xml:space="preserve"> selected POD states.  The eight states include</w:t>
      </w:r>
      <w:r w:rsidRPr="009E60A4">
        <w:t xml:space="preserve"> </w:t>
      </w:r>
      <w:r w:rsidRPr="005C13F3">
        <w:rPr>
          <w:szCs w:val="24"/>
        </w:rPr>
        <w:t>Alabama</w:t>
      </w:r>
      <w:r>
        <w:t xml:space="preserve">, </w:t>
      </w:r>
      <w:r w:rsidRPr="005C13F3">
        <w:rPr>
          <w:szCs w:val="24"/>
        </w:rPr>
        <w:t>California</w:t>
      </w:r>
      <w:r>
        <w:t xml:space="preserve">, </w:t>
      </w:r>
      <w:r w:rsidRPr="005C13F3">
        <w:rPr>
          <w:szCs w:val="24"/>
        </w:rPr>
        <w:t>Connecticut</w:t>
      </w:r>
      <w:r>
        <w:t>, M</w:t>
      </w:r>
      <w:r w:rsidRPr="005C13F3">
        <w:rPr>
          <w:szCs w:val="24"/>
        </w:rPr>
        <w:t>aryland</w:t>
      </w:r>
      <w:r>
        <w:t xml:space="preserve">, </w:t>
      </w:r>
      <w:r w:rsidRPr="005C13F3">
        <w:rPr>
          <w:szCs w:val="24"/>
        </w:rPr>
        <w:t>Michigan</w:t>
      </w:r>
      <w:r>
        <w:t xml:space="preserve">, </w:t>
      </w:r>
      <w:r w:rsidRPr="005C13F3">
        <w:rPr>
          <w:szCs w:val="24"/>
        </w:rPr>
        <w:t>Nebraska</w:t>
      </w:r>
      <w:r>
        <w:t xml:space="preserve">, </w:t>
      </w:r>
      <w:r w:rsidRPr="009E60A4">
        <w:rPr>
          <w:szCs w:val="24"/>
        </w:rPr>
        <w:t>Texas</w:t>
      </w:r>
      <w:r>
        <w:t xml:space="preserve">, and </w:t>
      </w:r>
      <w:r w:rsidRPr="009E60A4">
        <w:rPr>
          <w:szCs w:val="24"/>
        </w:rPr>
        <w:t>Vermont</w:t>
      </w:r>
      <w:r>
        <w:rPr>
          <w:szCs w:val="24"/>
        </w:rPr>
        <w:t xml:space="preserve">.  The POD implementation contractor, Abt Associates, chose these states according to </w:t>
      </w:r>
      <w:r>
        <w:t>substantive and practical criteria that relate to their capacity to carry out the demonstration.  Part B of this package provides more information about how Abt chose these states.</w:t>
      </w:r>
    </w:p>
    <w:p w14:paraId="11D9A938" w14:textId="77777777" w:rsidR="006C08D5" w:rsidRDefault="006C08D5" w:rsidP="006C08D5">
      <w:pPr>
        <w:pStyle w:val="MarkforExhibitTitle"/>
      </w:pPr>
      <w:bookmarkStart w:id="3" w:name="_Toc476919854"/>
      <w:r>
        <w:lastRenderedPageBreak/>
        <w:t>Exhibit A.1. POD study design</w:t>
      </w:r>
      <w:bookmarkEnd w:id="3"/>
    </w:p>
    <w:p w14:paraId="663D8968" w14:textId="77777777" w:rsidR="006C08D5" w:rsidRPr="008A4E4E" w:rsidRDefault="006C08D5" w:rsidP="006C08D5">
      <w:pPr>
        <w:pStyle w:val="NormalSS"/>
      </w:pPr>
      <w:r w:rsidRPr="00F96578">
        <w:rPr>
          <w:noProof/>
        </w:rPr>
        <w:drawing>
          <wp:inline distT="0" distB="0" distL="0" distR="0" wp14:anchorId="2A4A1231" wp14:editId="76A8B6C4">
            <wp:extent cx="5943600" cy="3606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61CD403B" w14:textId="77777777" w:rsidR="006C08D5" w:rsidRDefault="006C08D5" w:rsidP="006C08D5">
      <w:pPr>
        <w:pStyle w:val="NormalSScontinued"/>
        <w:spacing w:after="0"/>
      </w:pPr>
    </w:p>
    <w:p w14:paraId="1A261564" w14:textId="77777777" w:rsidR="006C08D5" w:rsidRDefault="006C08D5" w:rsidP="006C08D5">
      <w:pPr>
        <w:pStyle w:val="TableSignificanceCaption"/>
        <w:spacing w:before="120"/>
      </w:pPr>
      <w:r>
        <w:t xml:space="preserve">WIPA = Work Incentives Planning and Assistance program. </w:t>
      </w:r>
    </w:p>
    <w:p w14:paraId="420F5DC4" w14:textId="77777777" w:rsidR="006C08D5" w:rsidRDefault="006C08D5" w:rsidP="006C08D5">
      <w:pPr>
        <w:pStyle w:val="TableSignificanceCaption"/>
      </w:pPr>
    </w:p>
    <w:p w14:paraId="628D0A22" w14:textId="1774CBF5" w:rsidR="006C08D5" w:rsidRDefault="006C08D5" w:rsidP="006C08D5">
      <w:pPr>
        <w:pStyle w:val="NormalSS"/>
      </w:pPr>
      <w:r>
        <w:rPr>
          <w:szCs w:val="24"/>
          <w:lang w:val="en"/>
        </w:rPr>
        <w:t xml:space="preserve">The Social Security Administration is conducting </w:t>
      </w:r>
      <w:r w:rsidR="0050497F">
        <w:rPr>
          <w:szCs w:val="24"/>
          <w:lang w:val="en"/>
        </w:rPr>
        <w:t>the</w:t>
      </w:r>
      <w:r>
        <w:rPr>
          <w:szCs w:val="24"/>
          <w:lang w:val="en"/>
        </w:rPr>
        <w:t xml:space="preserve"> study and our recruitment contractor, Mathematica, is carrying out components of the evaluation on behalf of SSA.  Hereinafter, this will be referred to as “the POD evaluation team” or, when clear from context “the evaluation team.”  The evaluation</w:t>
      </w:r>
      <w:r w:rsidRPr="001B1B6D">
        <w:rPr>
          <w:szCs w:val="24"/>
          <w:lang w:val="en"/>
        </w:rPr>
        <w:t xml:space="preserve"> will include </w:t>
      </w:r>
      <w:r>
        <w:rPr>
          <w:szCs w:val="24"/>
          <w:lang w:val="en"/>
        </w:rPr>
        <w:t>a</w:t>
      </w:r>
      <w:r w:rsidR="0086564D">
        <w:rPr>
          <w:szCs w:val="24"/>
          <w:lang w:val="en"/>
        </w:rPr>
        <w:t>n</w:t>
      </w:r>
      <w:r w:rsidRPr="001B1B6D">
        <w:rPr>
          <w:szCs w:val="24"/>
          <w:lang w:val="en"/>
        </w:rPr>
        <w:t xml:space="preserve"> </w:t>
      </w:r>
      <w:r w:rsidRPr="009119BD">
        <w:rPr>
          <w:noProof/>
        </w:rPr>
        <w:t>assessment</w:t>
      </w:r>
      <w:r>
        <w:t xml:space="preserve"> of the implementation of </w:t>
      </w:r>
      <w:r w:rsidRPr="007663EB">
        <w:rPr>
          <w:noProof/>
        </w:rPr>
        <w:t>POD</w:t>
      </w:r>
      <w:r>
        <w:t xml:space="preserve"> and its effectiveness </w:t>
      </w:r>
      <w:r w:rsidRPr="001B1B6D">
        <w:rPr>
          <w:szCs w:val="24"/>
          <w:lang w:val="en"/>
        </w:rPr>
        <w:t xml:space="preserve">for the 15,000 </w:t>
      </w:r>
      <w:r>
        <w:rPr>
          <w:szCs w:val="24"/>
          <w:lang w:val="en"/>
        </w:rPr>
        <w:t>subjects</w:t>
      </w:r>
      <w:r w:rsidRPr="001B1B6D">
        <w:rPr>
          <w:szCs w:val="24"/>
          <w:lang w:val="en"/>
        </w:rPr>
        <w:t xml:space="preserve"> </w:t>
      </w:r>
      <w:r>
        <w:rPr>
          <w:szCs w:val="24"/>
          <w:lang w:val="en"/>
        </w:rPr>
        <w:t xml:space="preserve">enrolled in the eight POD states. </w:t>
      </w:r>
      <w:r w:rsidR="003A05D6">
        <w:rPr>
          <w:szCs w:val="24"/>
          <w:lang w:val="en"/>
        </w:rPr>
        <w:t xml:space="preserve"> </w:t>
      </w:r>
      <w:r w:rsidR="006C0AB9">
        <w:rPr>
          <w:szCs w:val="24"/>
          <w:lang w:val="en"/>
        </w:rPr>
        <w:t xml:space="preserve">The conclusions drawn from the </w:t>
      </w:r>
      <w:r w:rsidR="00A93A4A">
        <w:rPr>
          <w:szCs w:val="24"/>
          <w:lang w:val="en"/>
        </w:rPr>
        <w:t>evaluation</w:t>
      </w:r>
      <w:r w:rsidR="006C0AB9">
        <w:rPr>
          <w:szCs w:val="24"/>
          <w:lang w:val="en"/>
        </w:rPr>
        <w:t xml:space="preserve"> represent results </w:t>
      </w:r>
      <w:r w:rsidR="00B37573">
        <w:rPr>
          <w:szCs w:val="24"/>
          <w:lang w:val="en"/>
        </w:rPr>
        <w:t xml:space="preserve">only </w:t>
      </w:r>
      <w:r w:rsidR="006C0AB9">
        <w:rPr>
          <w:szCs w:val="24"/>
          <w:lang w:val="en"/>
        </w:rPr>
        <w:t xml:space="preserve">for the </w:t>
      </w:r>
      <w:r w:rsidR="00AB2C73">
        <w:rPr>
          <w:szCs w:val="24"/>
          <w:lang w:val="en"/>
        </w:rPr>
        <w:t>voluntary</w:t>
      </w:r>
      <w:r w:rsidR="006C0AB9">
        <w:rPr>
          <w:szCs w:val="24"/>
          <w:lang w:val="en"/>
        </w:rPr>
        <w:t xml:space="preserve"> population of this study. </w:t>
      </w:r>
      <w:r w:rsidR="003A05D6">
        <w:rPr>
          <w:szCs w:val="24"/>
          <w:lang w:val="en"/>
        </w:rPr>
        <w:t xml:space="preserve"> </w:t>
      </w:r>
      <w:r w:rsidR="0086564D">
        <w:rPr>
          <w:szCs w:val="24"/>
          <w:lang w:val="en"/>
        </w:rPr>
        <w:t>SSA</w:t>
      </w:r>
      <w:r w:rsidR="00421145">
        <w:rPr>
          <w:szCs w:val="24"/>
          <w:lang w:val="en"/>
        </w:rPr>
        <w:t xml:space="preserve"> believes the study may</w:t>
      </w:r>
      <w:r w:rsidR="0086564D">
        <w:rPr>
          <w:szCs w:val="24"/>
          <w:lang w:val="en"/>
        </w:rPr>
        <w:t xml:space="preserve"> yield useful insights on the </w:t>
      </w:r>
      <w:r w:rsidR="00421145">
        <w:rPr>
          <w:szCs w:val="24"/>
          <w:lang w:val="en"/>
        </w:rPr>
        <w:t xml:space="preserve">potential </w:t>
      </w:r>
      <w:r w:rsidR="0086564D">
        <w:rPr>
          <w:szCs w:val="24"/>
          <w:lang w:val="en"/>
        </w:rPr>
        <w:t xml:space="preserve">effectiveness of the </w:t>
      </w:r>
      <w:r w:rsidR="007A5480">
        <w:rPr>
          <w:szCs w:val="24"/>
          <w:lang w:val="en"/>
        </w:rPr>
        <w:t>new work rules</w:t>
      </w:r>
      <w:r w:rsidR="00421145">
        <w:rPr>
          <w:szCs w:val="24"/>
          <w:lang w:val="en"/>
        </w:rPr>
        <w:t xml:space="preserve"> and future research on Administration </w:t>
      </w:r>
      <w:r w:rsidR="001976C9">
        <w:rPr>
          <w:szCs w:val="24"/>
          <w:lang w:val="en"/>
        </w:rPr>
        <w:t>programs</w:t>
      </w:r>
      <w:r w:rsidR="0086564D">
        <w:rPr>
          <w:szCs w:val="24"/>
          <w:lang w:val="en"/>
        </w:rPr>
        <w:t xml:space="preserve">. </w:t>
      </w:r>
      <w:r w:rsidR="003A05D6">
        <w:rPr>
          <w:szCs w:val="24"/>
          <w:lang w:val="en"/>
        </w:rPr>
        <w:t xml:space="preserve"> </w:t>
      </w:r>
      <w:r>
        <w:rPr>
          <w:szCs w:val="24"/>
          <w:lang w:val="en"/>
        </w:rPr>
        <w:t xml:space="preserve">The POD evaluation team will base this assessment on </w:t>
      </w:r>
      <w:r>
        <w:t xml:space="preserve">analyses of data from the following sources: </w:t>
      </w:r>
    </w:p>
    <w:p w14:paraId="57CAA3B3" w14:textId="77777777" w:rsidR="006C08D5" w:rsidRPr="00E50E1E" w:rsidRDefault="006C08D5" w:rsidP="006C08D5">
      <w:pPr>
        <w:pStyle w:val="NumberedBulletLastSS"/>
      </w:pPr>
      <w:r w:rsidRPr="00E50E1E">
        <w:rPr>
          <w:b/>
        </w:rPr>
        <w:t>Recruitment materials and</w:t>
      </w:r>
      <w:r w:rsidRPr="00E50E1E">
        <w:t xml:space="preserve"> </w:t>
      </w:r>
      <w:r w:rsidRPr="00E50E1E">
        <w:rPr>
          <w:b/>
        </w:rPr>
        <w:t>baseline survey</w:t>
      </w:r>
      <w:r w:rsidRPr="00E50E1E">
        <w:t xml:space="preserve">. </w:t>
      </w:r>
      <w:r>
        <w:t xml:space="preserve"> </w:t>
      </w:r>
      <w:r w:rsidRPr="00E50E1E">
        <w:t xml:space="preserve">The recruitment materials will </w:t>
      </w:r>
      <w:r>
        <w:t>include a letter describing POD; baseline survey; consent form; and brochure.  T</w:t>
      </w:r>
      <w:r w:rsidRPr="00E50E1E">
        <w:t xml:space="preserve">he letter and brochure will provide background information about the demonstration.  Beneficiaries who are interested in participating will complete the baseline survey and the consent form to apply for the demonstration. </w:t>
      </w:r>
      <w:r>
        <w:t xml:space="preserve"> </w:t>
      </w:r>
      <w:r w:rsidRPr="00E50E1E">
        <w:t>The short survey will provide information on a set of beneficiary characteristics that do not appear in SSA program data.</w:t>
      </w:r>
      <w:r>
        <w:t xml:space="preserve"> </w:t>
      </w:r>
      <w:r w:rsidRPr="00E50E1E">
        <w:t xml:space="preserve"> These materials are in Appendix A.</w:t>
      </w:r>
    </w:p>
    <w:p w14:paraId="13F6F2B5" w14:textId="22C9E5BD" w:rsidR="006C08D5" w:rsidRPr="00E50E1E" w:rsidRDefault="006C08D5" w:rsidP="006C08D5">
      <w:pPr>
        <w:pStyle w:val="NumberedBulletLastSS"/>
      </w:pPr>
      <w:r w:rsidRPr="00E50E1E">
        <w:t>Two</w:t>
      </w:r>
      <w:r w:rsidRPr="00E50E1E">
        <w:rPr>
          <w:b/>
        </w:rPr>
        <w:t xml:space="preserve"> follow-up surveys.</w:t>
      </w:r>
      <w:r w:rsidRPr="00E50E1E">
        <w:t xml:space="preserve"> </w:t>
      </w:r>
      <w:r>
        <w:t xml:space="preserve"> </w:t>
      </w:r>
      <w:r w:rsidRPr="00E50E1E">
        <w:t xml:space="preserve">The </w:t>
      </w:r>
      <w:r>
        <w:t>POD evaluation</w:t>
      </w:r>
      <w:r w:rsidRPr="00E50E1E">
        <w:t xml:space="preserve"> team will administer the Year 1 follow-up survey to treatment and control subjects 12 months after their study enrollment date. </w:t>
      </w:r>
      <w:r>
        <w:t xml:space="preserve"> </w:t>
      </w:r>
      <w:r w:rsidRPr="00E50E1E">
        <w:t>The</w:t>
      </w:r>
      <w:r>
        <w:t xml:space="preserve"> POD evaluation</w:t>
      </w:r>
      <w:r w:rsidRPr="00E50E1E">
        <w:t xml:space="preserve"> team will conduct the Year 2 follow-up sur</w:t>
      </w:r>
      <w:r>
        <w:t xml:space="preserve">vey 24 months after enrollment.  </w:t>
      </w:r>
      <w:r w:rsidRPr="00E50E1E">
        <w:t xml:space="preserve">The two surveys have similar </w:t>
      </w:r>
      <w:r w:rsidRPr="007663EB">
        <w:rPr>
          <w:noProof/>
        </w:rPr>
        <w:t>content</w:t>
      </w:r>
      <w:r w:rsidRPr="00E50E1E">
        <w:t xml:space="preserve"> and will collect information on important study </w:t>
      </w:r>
      <w:r w:rsidR="006F7196" w:rsidRPr="00E50E1E">
        <w:lastRenderedPageBreak/>
        <w:t>outcomes, which</w:t>
      </w:r>
      <w:r w:rsidR="006F7196">
        <w:t xml:space="preserve"> </w:t>
      </w:r>
      <w:r w:rsidRPr="00E50E1E">
        <w:t xml:space="preserve">the </w:t>
      </w:r>
      <w:r>
        <w:t>evaluation</w:t>
      </w:r>
      <w:r w:rsidRPr="00E50E1E">
        <w:t xml:space="preserve"> team cannot use program data to measure. </w:t>
      </w:r>
      <w:r>
        <w:t xml:space="preserve"> </w:t>
      </w:r>
      <w:r w:rsidRPr="00E50E1E">
        <w:t>The survey instruments and contact materials are in Appendix B.</w:t>
      </w:r>
    </w:p>
    <w:p w14:paraId="03C9B3B8" w14:textId="4DFC5723" w:rsidR="006C08D5" w:rsidRPr="00E50E1E" w:rsidRDefault="006C08D5" w:rsidP="006C08D5">
      <w:pPr>
        <w:pStyle w:val="NumberedBulletLastSS"/>
      </w:pPr>
      <w:r w:rsidRPr="00E50E1E">
        <w:t xml:space="preserve">Four rounds of </w:t>
      </w:r>
      <w:r w:rsidRPr="00E50E1E">
        <w:rPr>
          <w:b/>
        </w:rPr>
        <w:t>qualitative data from POD implementation and operations staff</w:t>
      </w:r>
      <w:r w:rsidRPr="00E50E1E">
        <w:t>.</w:t>
      </w:r>
      <w:r w:rsidRPr="00E50E1E">
        <w:rPr>
          <w:b/>
        </w:rPr>
        <w:t xml:space="preserve">  </w:t>
      </w:r>
      <w:r w:rsidRPr="00E50E1E">
        <w:t xml:space="preserve">The </w:t>
      </w:r>
      <w:r>
        <w:t>POD evaluation</w:t>
      </w:r>
      <w:r w:rsidRPr="00E50E1E">
        <w:t xml:space="preserve"> team will conduct two rounds of in-person site visits and two rounds of “virtual” interviews (follow-up telephone calls) with field staff to assess the process of POD implementation. </w:t>
      </w:r>
      <w:r>
        <w:t xml:space="preserve"> The evaluation team</w:t>
      </w:r>
      <w:r w:rsidRPr="00E50E1E">
        <w:t xml:space="preserve"> anticipates conducting in-person visits for the first and third rounds of data </w:t>
      </w:r>
      <w:r w:rsidRPr="007663EB">
        <w:rPr>
          <w:noProof/>
        </w:rPr>
        <w:t>collection</w:t>
      </w:r>
      <w:r w:rsidRPr="00E50E1E">
        <w:t xml:space="preserve"> when key informants are working centrally on site at the vocational rehabilitation (VR) agency. </w:t>
      </w:r>
      <w:r>
        <w:t xml:space="preserve"> </w:t>
      </w:r>
      <w:r w:rsidRPr="00E50E1E">
        <w:t xml:space="preserve">However, in states that rely more on telecommuting staff, </w:t>
      </w:r>
      <w:r>
        <w:t>the evaluation team</w:t>
      </w:r>
      <w:r w:rsidRPr="00E50E1E">
        <w:t xml:space="preserve"> will collect information by telephone in these rounds to reduce the cost of interviewing geographically dispersed respondents. </w:t>
      </w:r>
      <w:r>
        <w:t xml:space="preserve"> </w:t>
      </w:r>
      <w:r w:rsidRPr="00E50E1E">
        <w:t xml:space="preserve">The first round of in-person site visits will occur early in the implementation period before the end of recruitment and the second round will occur in the middle of program operations. </w:t>
      </w:r>
      <w:r>
        <w:t xml:space="preserve"> </w:t>
      </w:r>
      <w:r w:rsidRPr="00E50E1E">
        <w:t>If feasible, the virtual interviews will include videoconferences.</w:t>
      </w:r>
      <w:r>
        <w:t xml:space="preserve">  </w:t>
      </w:r>
      <w:r w:rsidRPr="00E50E1E">
        <w:t xml:space="preserve">In these interviews, </w:t>
      </w:r>
      <w:r>
        <w:t>the evaluation team</w:t>
      </w:r>
      <w:r w:rsidRPr="00E50E1E">
        <w:t xml:space="preserve"> will use semi-structured protocols to collect information from key respondents identified during the first round of in-person visits. </w:t>
      </w:r>
      <w:r>
        <w:t xml:space="preserve"> </w:t>
      </w:r>
      <w:r w:rsidRPr="00E50E1E">
        <w:t xml:space="preserve">The first round of virtual interviews will occur upon completion of </w:t>
      </w:r>
      <w:r w:rsidRPr="007663EB">
        <w:rPr>
          <w:noProof/>
        </w:rPr>
        <w:t>random</w:t>
      </w:r>
      <w:r w:rsidRPr="00E50E1E">
        <w:t xml:space="preserve"> assignment and the second round will occur toward the end of the program implementation period. </w:t>
      </w:r>
      <w:r>
        <w:t xml:space="preserve"> </w:t>
      </w:r>
      <w:r w:rsidRPr="00E50E1E">
        <w:t>Interview topics for the in-person and virtual interviews are in Appendix C.</w:t>
      </w:r>
    </w:p>
    <w:p w14:paraId="6C004287" w14:textId="77777777" w:rsidR="006C08D5" w:rsidRPr="002B4A6D" w:rsidRDefault="006C08D5" w:rsidP="006C08D5">
      <w:pPr>
        <w:pStyle w:val="NumberedBulletLastSS"/>
      </w:pPr>
      <w:r w:rsidRPr="00E50E1E">
        <w:t xml:space="preserve">Two rounds of </w:t>
      </w:r>
      <w:r w:rsidRPr="00E50E1E">
        <w:rPr>
          <w:b/>
        </w:rPr>
        <w:t>semi-structured interviews with treatment group subjects</w:t>
      </w:r>
      <w:r w:rsidRPr="00E50E1E">
        <w:t>.</w:t>
      </w:r>
      <w:r w:rsidRPr="002B4A6D">
        <w:t xml:space="preserve"> </w:t>
      </w:r>
      <w:r>
        <w:t xml:space="preserve"> </w:t>
      </w:r>
      <w:r w:rsidRPr="00E50E1E">
        <w:t>The evaluation will use two rounds of semi-structured telephone</w:t>
      </w:r>
      <w:r w:rsidRPr="00E50E1E">
        <w:rPr>
          <w:b/>
        </w:rPr>
        <w:t xml:space="preserve"> </w:t>
      </w:r>
      <w:r w:rsidRPr="00E50E1E">
        <w:t>interviews with subjects to obtain information about their perspective about implementation to supplement the data from the four rounds of proc</w:t>
      </w:r>
      <w:r w:rsidR="006F7196">
        <w:t>ess data collection noted above.</w:t>
      </w:r>
      <w:r w:rsidRPr="00E50E1E">
        <w:t xml:space="preserve"> </w:t>
      </w:r>
      <w:r w:rsidR="006F7196">
        <w:t xml:space="preserve"> </w:t>
      </w:r>
      <w:r w:rsidRPr="00E50E1E">
        <w:t>The first round, which will occur at the same time as the virtual interviews at the end of recruitment noted above, will focus on subjects’ motivations for enrolling; their perceptions of the outreach, recruitment and enrollment processes; their employment goals; and their expectations of the demonstration. The second, which will occur at the same time as the in-person visits during program operations noted above, will capture their perspectives on services received, experiences with the offset, and work experiences. Interview topics for these semi-structured interviews are in Appendix D.</w:t>
      </w:r>
    </w:p>
    <w:p w14:paraId="61052715" w14:textId="77777777" w:rsidR="006C08D5" w:rsidRPr="002B4A6D" w:rsidRDefault="006C08D5" w:rsidP="006C08D5">
      <w:pPr>
        <w:pStyle w:val="NumberedBulletLastSS"/>
      </w:pPr>
      <w:r w:rsidRPr="001301E3">
        <w:rPr>
          <w:b/>
        </w:rPr>
        <w:t>POD Monthly Earnings and Impairment-Related Wor</w:t>
      </w:r>
      <w:r>
        <w:rPr>
          <w:b/>
        </w:rPr>
        <w:t>k Expenses (IRWE) Reporting</w:t>
      </w:r>
      <w:r w:rsidRPr="002B4A6D">
        <w:t>.</w:t>
      </w:r>
      <w:r>
        <w:t xml:space="preserve">  The POD evaluation team will collect monthly earnings and IRWE from participants whose monthly earnings exceed the POD threshold.  Each month, participants will use a form to provide their employers’ names, along with their earnings from each employer and any IRWEs they claimed that month.  Participants will also submit documentation to the POD evaluation team, such as paystubs and receipts for IRWEs.  This will allow the POD evaluation team to evaluate the subset of POD participants whose earnings exceed the POD threshold.</w:t>
      </w:r>
    </w:p>
    <w:p w14:paraId="1DB93C27" w14:textId="77777777" w:rsidR="006C08D5" w:rsidRPr="002B4A6D" w:rsidRDefault="006C08D5" w:rsidP="006C08D5">
      <w:pPr>
        <w:pStyle w:val="NumberedBulletLastSS"/>
      </w:pPr>
      <w:r w:rsidRPr="002B4A6D">
        <w:rPr>
          <w:b/>
        </w:rPr>
        <w:t xml:space="preserve">POD </w:t>
      </w:r>
      <w:r>
        <w:rPr>
          <w:b/>
        </w:rPr>
        <w:t>End of Year Reporting (EOYR)</w:t>
      </w:r>
      <w:r>
        <w:t>.</w:t>
      </w:r>
      <w:r w:rsidRPr="002B4A6D">
        <w:t xml:space="preserve"> </w:t>
      </w:r>
      <w:r>
        <w:t xml:space="preserve"> </w:t>
      </w:r>
      <w:r w:rsidRPr="007663EB">
        <w:rPr>
          <w:noProof/>
        </w:rPr>
        <w:t>Beginning in 2018</w:t>
      </w:r>
      <w:r>
        <w:t>, the POD evaluation team will send a form every February to collect additional earnings or IRWEs that the respondents did not report during the prior year to those participants whose monthly earnings exceed the POD threshold.  Along with the form, participants will also submit additional paystubs and IRWE documentation they did not submit previously.  This will allow the POD evaluation team to evaluate the subset of POD participants whose earnings exceed the POD threshold.</w:t>
      </w:r>
    </w:p>
    <w:p w14:paraId="664570BE" w14:textId="77777777" w:rsidR="006C08D5" w:rsidRDefault="006C08D5" w:rsidP="006C08D5">
      <w:pPr>
        <w:pStyle w:val="NormalSScontinued"/>
      </w:pPr>
      <w:r>
        <w:t xml:space="preserve">Exhibit A.2 summarizes the time frames over which SSA and its contractor anticipate using these materials to collect information.  </w:t>
      </w:r>
    </w:p>
    <w:p w14:paraId="11031B4B" w14:textId="77777777" w:rsidR="006C08D5" w:rsidRDefault="006C08D5" w:rsidP="006C08D5">
      <w:pPr>
        <w:pStyle w:val="MarkforExhibitTitle"/>
      </w:pPr>
      <w:bookmarkStart w:id="4" w:name="_Toc476919855"/>
      <w:r>
        <w:t>Exhibit A.2. Timeline for data collection efforts</w:t>
      </w:r>
      <w:bookmarkEnd w:id="4"/>
    </w:p>
    <w:tbl>
      <w:tblPr>
        <w:tblStyle w:val="TableGrid"/>
        <w:tblW w:w="9630" w:type="dxa"/>
        <w:tblInd w:w="-5" w:type="dxa"/>
        <w:tblLayout w:type="fixed"/>
        <w:tblLook w:val="04A0" w:firstRow="1" w:lastRow="0" w:firstColumn="1" w:lastColumn="0" w:noHBand="0" w:noVBand="1"/>
      </w:tblPr>
      <w:tblGrid>
        <w:gridCol w:w="2157"/>
        <w:gridCol w:w="424"/>
        <w:gridCol w:w="424"/>
        <w:gridCol w:w="424"/>
        <w:gridCol w:w="424"/>
        <w:gridCol w:w="424"/>
        <w:gridCol w:w="424"/>
        <w:gridCol w:w="424"/>
        <w:gridCol w:w="423"/>
        <w:gridCol w:w="423"/>
        <w:gridCol w:w="423"/>
        <w:gridCol w:w="423"/>
        <w:gridCol w:w="423"/>
        <w:gridCol w:w="423"/>
        <w:gridCol w:w="423"/>
        <w:gridCol w:w="423"/>
        <w:gridCol w:w="423"/>
        <w:gridCol w:w="698"/>
      </w:tblGrid>
      <w:tr w:rsidR="006C08D5" w:rsidRPr="00E943E9" w14:paraId="04CE3B5C" w14:textId="77777777" w:rsidTr="006C08D5">
        <w:trPr>
          <w:trHeight w:val="195"/>
        </w:trPr>
        <w:tc>
          <w:tcPr>
            <w:tcW w:w="2157" w:type="dxa"/>
            <w:vMerge w:val="restart"/>
            <w:tcBorders>
              <w:top w:val="single" w:sz="4" w:space="0" w:color="000000"/>
              <w:left w:val="single" w:sz="4" w:space="0" w:color="000000"/>
              <w:right w:val="single" w:sz="4" w:space="0" w:color="FFFFFF"/>
            </w:tcBorders>
            <w:shd w:val="clear" w:color="auto" w:fill="6C6F70"/>
            <w:tcMar>
              <w:left w:w="86" w:type="dxa"/>
              <w:right w:w="86" w:type="dxa"/>
            </w:tcMar>
          </w:tcPr>
          <w:p w14:paraId="3F3ABFCC" w14:textId="77777777" w:rsidR="006C08D5" w:rsidRPr="006C08D5" w:rsidRDefault="006C08D5" w:rsidP="00876181">
            <w:pPr>
              <w:pStyle w:val="TableHeaderLeft"/>
              <w:rPr>
                <w:rFonts w:eastAsia="Calibri"/>
              </w:rPr>
            </w:pPr>
          </w:p>
        </w:tc>
        <w:tc>
          <w:tcPr>
            <w:tcW w:w="1696"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4BDCCDC0" w14:textId="77777777" w:rsidR="006C08D5" w:rsidRPr="006C08D5" w:rsidRDefault="006C08D5" w:rsidP="00876181">
            <w:pPr>
              <w:pStyle w:val="TableHeaderCenter"/>
              <w:rPr>
                <w:rFonts w:eastAsia="Calibri"/>
              </w:rPr>
            </w:pPr>
            <w:r w:rsidRPr="006C08D5">
              <w:rPr>
                <w:rFonts w:eastAsia="Calibri"/>
              </w:rPr>
              <w:t>2017</w:t>
            </w:r>
          </w:p>
        </w:tc>
        <w:tc>
          <w:tcPr>
            <w:tcW w:w="1695"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70CE1404" w14:textId="77777777" w:rsidR="006C08D5" w:rsidRPr="006C08D5" w:rsidRDefault="006C08D5" w:rsidP="00876181">
            <w:pPr>
              <w:pStyle w:val="TableHeaderCenter"/>
              <w:rPr>
                <w:rFonts w:eastAsia="Calibri"/>
              </w:rPr>
            </w:pPr>
            <w:r w:rsidRPr="006C08D5">
              <w:rPr>
                <w:rFonts w:eastAsia="Calibri"/>
              </w:rPr>
              <w:t>2018</w:t>
            </w:r>
          </w:p>
        </w:tc>
        <w:tc>
          <w:tcPr>
            <w:tcW w:w="1692"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2CE2D26B" w14:textId="77777777" w:rsidR="006C08D5" w:rsidRPr="006C08D5" w:rsidRDefault="006C08D5" w:rsidP="00876181">
            <w:pPr>
              <w:pStyle w:val="TableHeaderCenter"/>
              <w:rPr>
                <w:rFonts w:eastAsia="Calibri"/>
              </w:rPr>
            </w:pPr>
            <w:r w:rsidRPr="006C08D5">
              <w:rPr>
                <w:rFonts w:eastAsia="Calibri"/>
              </w:rPr>
              <w:t>2019</w:t>
            </w:r>
          </w:p>
        </w:tc>
        <w:tc>
          <w:tcPr>
            <w:tcW w:w="1692"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tcPr>
          <w:p w14:paraId="14AF1B2E" w14:textId="77777777" w:rsidR="006C08D5" w:rsidRPr="006C08D5" w:rsidRDefault="006C08D5" w:rsidP="00876181">
            <w:pPr>
              <w:pStyle w:val="TableHeaderCenter"/>
              <w:rPr>
                <w:rFonts w:eastAsia="Calibri"/>
              </w:rPr>
            </w:pPr>
            <w:r w:rsidRPr="006C08D5">
              <w:rPr>
                <w:rFonts w:eastAsia="Calibri"/>
              </w:rPr>
              <w:t>2020</w:t>
            </w:r>
          </w:p>
        </w:tc>
        <w:tc>
          <w:tcPr>
            <w:tcW w:w="698" w:type="dxa"/>
            <w:tcBorders>
              <w:top w:val="single" w:sz="4" w:space="0" w:color="000000"/>
              <w:left w:val="single" w:sz="4" w:space="0" w:color="FFFFFF"/>
              <w:bottom w:val="single" w:sz="4" w:space="0" w:color="FFFFFF"/>
              <w:right w:val="single" w:sz="4" w:space="0" w:color="FFFFFF"/>
            </w:tcBorders>
            <w:shd w:val="clear" w:color="auto" w:fill="6C6F70"/>
          </w:tcPr>
          <w:p w14:paraId="1CB2720E" w14:textId="77777777" w:rsidR="006C08D5" w:rsidRPr="006C08D5" w:rsidRDefault="006C08D5" w:rsidP="00876181">
            <w:pPr>
              <w:pStyle w:val="TableHeaderCenter"/>
              <w:rPr>
                <w:rFonts w:eastAsia="Calibri"/>
              </w:rPr>
            </w:pPr>
            <w:r w:rsidRPr="006C08D5">
              <w:rPr>
                <w:rFonts w:eastAsia="Calibri"/>
              </w:rPr>
              <w:t>2021</w:t>
            </w:r>
          </w:p>
        </w:tc>
      </w:tr>
      <w:tr w:rsidR="006C08D5" w:rsidRPr="00E943E9" w14:paraId="10637D2C" w14:textId="77777777" w:rsidTr="006C08D5">
        <w:trPr>
          <w:trHeight w:val="195"/>
        </w:trPr>
        <w:tc>
          <w:tcPr>
            <w:tcW w:w="2157" w:type="dxa"/>
            <w:vMerge/>
            <w:tcBorders>
              <w:left w:val="single" w:sz="4" w:space="0" w:color="000000"/>
              <w:bottom w:val="single" w:sz="4" w:space="0" w:color="FFFFFF"/>
              <w:right w:val="single" w:sz="4" w:space="0" w:color="FFFFFF"/>
            </w:tcBorders>
            <w:shd w:val="clear" w:color="auto" w:fill="6C6F70"/>
            <w:tcMar>
              <w:left w:w="86" w:type="dxa"/>
              <w:right w:w="86" w:type="dxa"/>
            </w:tcMar>
          </w:tcPr>
          <w:p w14:paraId="76C7FBB4" w14:textId="77777777" w:rsidR="006C08D5" w:rsidRPr="006C08D5" w:rsidRDefault="006C08D5" w:rsidP="00876181">
            <w:pPr>
              <w:spacing w:before="120" w:after="60" w:line="240" w:lineRule="auto"/>
              <w:jc w:val="center"/>
              <w:rPr>
                <w:rFonts w:ascii="Arial" w:eastAsia="Calibri" w:hAnsi="Arial"/>
                <w:b/>
                <w:color w:val="FFFFFF"/>
                <w:sz w:val="18"/>
              </w:rPr>
            </w:pP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1102CF0"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1498D97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6DB81D2"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6E103C17"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FDE204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078979F3"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0180245"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41BE43C"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6D0FC376"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10CA74D7"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1F1100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800D806"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336C4535"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BA7D2BA"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04C068E"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0FA45F63"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698" w:type="dxa"/>
            <w:tcBorders>
              <w:top w:val="single" w:sz="4" w:space="0" w:color="FFFFFF"/>
              <w:left w:val="single" w:sz="4" w:space="0" w:color="FFFFFF"/>
              <w:bottom w:val="single" w:sz="4" w:space="0" w:color="FFFFFF"/>
              <w:right w:val="single" w:sz="4" w:space="0" w:color="FFFFFF"/>
            </w:tcBorders>
            <w:shd w:val="pct55" w:color="auto" w:fill="auto"/>
            <w:tcMar>
              <w:left w:w="86" w:type="dxa"/>
              <w:right w:w="86" w:type="dxa"/>
            </w:tcMar>
            <w:vAlign w:val="bottom"/>
          </w:tcPr>
          <w:p w14:paraId="2FEC1EB9" w14:textId="77777777" w:rsidR="006C08D5" w:rsidRPr="0066283C" w:rsidRDefault="006C08D5" w:rsidP="00876181">
            <w:pPr>
              <w:pStyle w:val="TableHeaderCenter"/>
            </w:pPr>
            <w:r w:rsidRPr="006C08D5">
              <w:rPr>
                <w:rFonts w:ascii="Arial Bold" w:eastAsia="Calibri" w:hAnsi="Arial Bold"/>
              </w:rPr>
              <w:t>Q1</w:t>
            </w:r>
          </w:p>
        </w:tc>
      </w:tr>
      <w:tr w:rsidR="006C08D5" w:rsidRPr="00E943E9" w14:paraId="4A10C9B4" w14:textId="77777777" w:rsidTr="006C08D5">
        <w:tc>
          <w:tcPr>
            <w:tcW w:w="2157" w:type="dxa"/>
            <w:tcBorders>
              <w:top w:val="single" w:sz="4" w:space="0" w:color="FFFFFF"/>
            </w:tcBorders>
            <w:tcMar>
              <w:left w:w="86" w:type="dxa"/>
              <w:right w:w="86" w:type="dxa"/>
            </w:tcMar>
          </w:tcPr>
          <w:p w14:paraId="53C5ABEB"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Recruitment materials and baseline survey</w:t>
            </w:r>
          </w:p>
        </w:tc>
        <w:tc>
          <w:tcPr>
            <w:tcW w:w="424" w:type="dxa"/>
            <w:tcBorders>
              <w:top w:val="single" w:sz="4" w:space="0" w:color="FFFFFF"/>
            </w:tcBorders>
            <w:tcMar>
              <w:left w:w="86" w:type="dxa"/>
              <w:right w:w="86" w:type="dxa"/>
            </w:tcMar>
            <w:vAlign w:val="bottom"/>
          </w:tcPr>
          <w:p w14:paraId="61613348"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68F933FC"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3B4C3ACA"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767834F7"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Borders>
              <w:top w:val="single" w:sz="4" w:space="0" w:color="FFFFFF"/>
            </w:tcBorders>
            <w:tcMar>
              <w:left w:w="86" w:type="dxa"/>
              <w:right w:w="86" w:type="dxa"/>
            </w:tcMar>
            <w:vAlign w:val="bottom"/>
          </w:tcPr>
          <w:p w14:paraId="7C94E2E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Borders>
              <w:top w:val="single" w:sz="4" w:space="0" w:color="FFFFFF"/>
            </w:tcBorders>
            <w:tcMar>
              <w:left w:w="86" w:type="dxa"/>
              <w:right w:w="86" w:type="dxa"/>
            </w:tcMar>
            <w:vAlign w:val="bottom"/>
          </w:tcPr>
          <w:p w14:paraId="76D1F628"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Borders>
              <w:top w:val="single" w:sz="4" w:space="0" w:color="FFFFFF"/>
            </w:tcBorders>
            <w:tcMar>
              <w:left w:w="86" w:type="dxa"/>
              <w:right w:w="86" w:type="dxa"/>
            </w:tcMar>
            <w:vAlign w:val="bottom"/>
          </w:tcPr>
          <w:p w14:paraId="6FDD63ED"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Borders>
              <w:top w:val="single" w:sz="4" w:space="0" w:color="FFFFFF"/>
            </w:tcBorders>
            <w:tcMar>
              <w:left w:w="86" w:type="dxa"/>
              <w:right w:w="86" w:type="dxa"/>
            </w:tcMar>
            <w:vAlign w:val="bottom"/>
          </w:tcPr>
          <w:p w14:paraId="1B4F5DA2"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Borders>
              <w:top w:val="single" w:sz="4" w:space="0" w:color="FFFFFF"/>
            </w:tcBorders>
            <w:tcMar>
              <w:left w:w="86" w:type="dxa"/>
              <w:right w:w="86" w:type="dxa"/>
            </w:tcMar>
            <w:vAlign w:val="bottom"/>
          </w:tcPr>
          <w:p w14:paraId="4EC7BDEF"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5FCE487F"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07C025B4"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71731DA4"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6844FFB5"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3A12A895"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78DA3032"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6577E6B9" w14:textId="77777777" w:rsidR="006C08D5" w:rsidRPr="006C08D5" w:rsidRDefault="006C08D5" w:rsidP="00876181">
            <w:pPr>
              <w:spacing w:before="60" w:after="60" w:line="240" w:lineRule="auto"/>
              <w:jc w:val="center"/>
              <w:rPr>
                <w:rFonts w:ascii="Arial" w:eastAsia="Calibri" w:hAnsi="Arial"/>
                <w:sz w:val="18"/>
              </w:rPr>
            </w:pPr>
          </w:p>
        </w:tc>
        <w:tc>
          <w:tcPr>
            <w:tcW w:w="698" w:type="dxa"/>
            <w:tcBorders>
              <w:top w:val="single" w:sz="4" w:space="0" w:color="FFFFFF"/>
            </w:tcBorders>
            <w:tcMar>
              <w:left w:w="86" w:type="dxa"/>
              <w:right w:w="86" w:type="dxa"/>
            </w:tcMar>
            <w:vAlign w:val="bottom"/>
          </w:tcPr>
          <w:p w14:paraId="43DB2B16" w14:textId="77777777" w:rsidR="006C08D5" w:rsidRPr="00E943E9" w:rsidRDefault="006C08D5" w:rsidP="00876181">
            <w:pPr>
              <w:pStyle w:val="TableText"/>
              <w:spacing w:before="60" w:after="60"/>
            </w:pPr>
          </w:p>
        </w:tc>
      </w:tr>
      <w:tr w:rsidR="006C08D5" w:rsidRPr="00E943E9" w14:paraId="1BD5784B" w14:textId="77777777" w:rsidTr="006C08D5">
        <w:tc>
          <w:tcPr>
            <w:tcW w:w="2157" w:type="dxa"/>
            <w:tcBorders>
              <w:top w:val="single" w:sz="4" w:space="0" w:color="FFFFFF"/>
            </w:tcBorders>
            <w:tcMar>
              <w:left w:w="86" w:type="dxa"/>
              <w:right w:w="86" w:type="dxa"/>
            </w:tcMar>
          </w:tcPr>
          <w:p w14:paraId="0116C8A6"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Follow-up surveys</w:t>
            </w:r>
          </w:p>
        </w:tc>
        <w:tc>
          <w:tcPr>
            <w:tcW w:w="424" w:type="dxa"/>
            <w:tcBorders>
              <w:top w:val="single" w:sz="4" w:space="0" w:color="FFFFFF"/>
            </w:tcBorders>
            <w:tcMar>
              <w:left w:w="86" w:type="dxa"/>
              <w:right w:w="86" w:type="dxa"/>
            </w:tcMar>
            <w:vAlign w:val="center"/>
          </w:tcPr>
          <w:p w14:paraId="621C3C01"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7036D8F0"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32D6E0C"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0E36368"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2E69443B"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176B65CB"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E2CE5B1"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B747753"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E12A04D"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5B9C96D8"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2153B376"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23188B4A"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7FA44C0D"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5D069B70"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185F652"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B479170"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33A353E0" w14:textId="77777777" w:rsidR="006C08D5" w:rsidRPr="00E943E9" w:rsidRDefault="006C08D5" w:rsidP="00876181">
            <w:pPr>
              <w:pStyle w:val="TableText"/>
              <w:spacing w:before="60" w:after="60"/>
            </w:pPr>
          </w:p>
        </w:tc>
      </w:tr>
      <w:tr w:rsidR="006C08D5" w:rsidRPr="00E943E9" w14:paraId="7C863024" w14:textId="77777777" w:rsidTr="00876181">
        <w:tc>
          <w:tcPr>
            <w:tcW w:w="2157" w:type="dxa"/>
            <w:tcMar>
              <w:left w:w="86" w:type="dxa"/>
              <w:right w:w="86" w:type="dxa"/>
            </w:tcMar>
          </w:tcPr>
          <w:p w14:paraId="67748666" w14:textId="77777777" w:rsidR="006C08D5" w:rsidRPr="006C08D5" w:rsidRDefault="006C08D5" w:rsidP="00876181">
            <w:pPr>
              <w:spacing w:before="60" w:after="60" w:line="240" w:lineRule="auto"/>
              <w:rPr>
                <w:rFonts w:ascii="Arial" w:eastAsia="Calibri" w:hAnsi="Arial"/>
                <w:sz w:val="18"/>
              </w:rPr>
            </w:pPr>
            <w:r w:rsidRPr="006C08D5">
              <w:rPr>
                <w:rFonts w:ascii="Arial" w:eastAsia="Calibri" w:hAnsi="Arial"/>
                <w:sz w:val="18"/>
              </w:rPr>
              <w:t>Year 1 survey</w:t>
            </w:r>
          </w:p>
        </w:tc>
        <w:tc>
          <w:tcPr>
            <w:tcW w:w="424" w:type="dxa"/>
            <w:tcMar>
              <w:left w:w="86" w:type="dxa"/>
              <w:right w:w="86" w:type="dxa"/>
            </w:tcMar>
            <w:vAlign w:val="center"/>
          </w:tcPr>
          <w:p w14:paraId="7C54D6E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DC4A88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C81B91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7A6080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78F1DF5"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087D0E0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08F1993"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CD4F4B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0BDFCC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39763B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1DA36C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B7375F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7803A46"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D48713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F2C000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609FD76"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684D6770" w14:textId="77777777" w:rsidR="006C08D5" w:rsidRPr="00E943E9" w:rsidRDefault="006C08D5" w:rsidP="00876181">
            <w:pPr>
              <w:pStyle w:val="TableText"/>
              <w:spacing w:before="60" w:after="60"/>
            </w:pPr>
          </w:p>
        </w:tc>
      </w:tr>
      <w:tr w:rsidR="006C08D5" w:rsidRPr="00E943E9" w14:paraId="1873AAF6" w14:textId="77777777" w:rsidTr="00876181">
        <w:tc>
          <w:tcPr>
            <w:tcW w:w="2157" w:type="dxa"/>
            <w:tcMar>
              <w:left w:w="86" w:type="dxa"/>
              <w:right w:w="86" w:type="dxa"/>
            </w:tcMar>
          </w:tcPr>
          <w:p w14:paraId="42F1C9F7" w14:textId="77777777" w:rsidR="006C08D5" w:rsidRPr="006C08D5" w:rsidRDefault="006C08D5" w:rsidP="00876181">
            <w:pPr>
              <w:spacing w:before="60" w:after="60" w:line="240" w:lineRule="auto"/>
              <w:rPr>
                <w:rFonts w:ascii="Arial" w:eastAsia="Calibri" w:hAnsi="Arial"/>
                <w:sz w:val="18"/>
              </w:rPr>
            </w:pPr>
            <w:r w:rsidRPr="006C08D5">
              <w:rPr>
                <w:rFonts w:ascii="Arial" w:eastAsia="Calibri" w:hAnsi="Arial"/>
                <w:sz w:val="18"/>
              </w:rPr>
              <w:t>Year 2 survey</w:t>
            </w:r>
          </w:p>
        </w:tc>
        <w:tc>
          <w:tcPr>
            <w:tcW w:w="424" w:type="dxa"/>
            <w:tcMar>
              <w:left w:w="86" w:type="dxa"/>
              <w:right w:w="86" w:type="dxa"/>
            </w:tcMar>
            <w:vAlign w:val="center"/>
          </w:tcPr>
          <w:p w14:paraId="50DDF05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D5AB4EA"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BDB576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8B45DD6"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A80B1A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62C6ED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1A53533"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9F6D27A"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CF549D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91EADCC"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8FE4C2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EBBE38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914CC2C"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1DE97FD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1D92183"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1E754FD"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bottom"/>
          </w:tcPr>
          <w:p w14:paraId="42B442CE" w14:textId="77777777" w:rsidR="006C08D5" w:rsidRPr="002C257D" w:rsidRDefault="006C08D5" w:rsidP="00876181">
            <w:pPr>
              <w:pStyle w:val="TableText"/>
              <w:spacing w:before="60" w:after="60"/>
              <w:jc w:val="center"/>
              <w:rPr>
                <w:rFonts w:cs="Arial"/>
                <w:szCs w:val="18"/>
              </w:rPr>
            </w:pPr>
            <w:r w:rsidRPr="002C257D">
              <w:rPr>
                <w:rFonts w:cs="Arial"/>
                <w:szCs w:val="18"/>
              </w:rPr>
              <w:t>X</w:t>
            </w:r>
          </w:p>
        </w:tc>
      </w:tr>
      <w:tr w:rsidR="006C08D5" w:rsidRPr="00E943E9" w14:paraId="4C014E3A" w14:textId="77777777" w:rsidTr="00876181">
        <w:trPr>
          <w:trHeight w:val="70"/>
        </w:trPr>
        <w:tc>
          <w:tcPr>
            <w:tcW w:w="2157" w:type="dxa"/>
            <w:tcMar>
              <w:left w:w="86" w:type="dxa"/>
              <w:right w:w="86" w:type="dxa"/>
            </w:tcMar>
          </w:tcPr>
          <w:p w14:paraId="287255D8" w14:textId="77777777" w:rsidR="006C08D5" w:rsidRPr="006C08D5" w:rsidRDefault="006C08D5" w:rsidP="00876181">
            <w:pPr>
              <w:spacing w:before="60" w:after="60" w:line="240" w:lineRule="auto"/>
              <w:rPr>
                <w:rFonts w:ascii="Arial" w:eastAsia="Calibri" w:hAnsi="Arial"/>
                <w:b/>
                <w:sz w:val="18"/>
                <w:highlight w:val="yellow"/>
              </w:rPr>
            </w:pPr>
            <w:r w:rsidRPr="006C08D5">
              <w:rPr>
                <w:rFonts w:ascii="Arial" w:eastAsia="Calibri" w:hAnsi="Arial"/>
                <w:b/>
                <w:sz w:val="18"/>
              </w:rPr>
              <w:t>Qualitative data from POD implementation and operations staff</w:t>
            </w:r>
          </w:p>
        </w:tc>
        <w:tc>
          <w:tcPr>
            <w:tcW w:w="424" w:type="dxa"/>
            <w:tcMar>
              <w:left w:w="86" w:type="dxa"/>
              <w:right w:w="86" w:type="dxa"/>
            </w:tcMar>
            <w:vAlign w:val="center"/>
          </w:tcPr>
          <w:p w14:paraId="4553F4F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0E99C1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D1621EE"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5207FCD"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AD3BB3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67C2A58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154A60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773062F"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2C0FB29"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307035A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BC8094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41819E5"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BA635C4"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269764C"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2EC102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533CFF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center"/>
          </w:tcPr>
          <w:p w14:paraId="7FBE8BAC" w14:textId="77777777" w:rsidR="006C08D5" w:rsidRPr="00E943E9" w:rsidRDefault="006C08D5" w:rsidP="00876181">
            <w:pPr>
              <w:pStyle w:val="TableText"/>
              <w:spacing w:before="60" w:after="60"/>
              <w:jc w:val="center"/>
            </w:pPr>
          </w:p>
        </w:tc>
      </w:tr>
      <w:tr w:rsidR="006C08D5" w:rsidRPr="00E943E9" w14:paraId="4AC714B4" w14:textId="77777777" w:rsidTr="00876181">
        <w:tc>
          <w:tcPr>
            <w:tcW w:w="2157" w:type="dxa"/>
            <w:tcMar>
              <w:left w:w="86" w:type="dxa"/>
              <w:right w:w="86" w:type="dxa"/>
            </w:tcMar>
          </w:tcPr>
          <w:p w14:paraId="6922F3F0"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Semi-structured interviews with treatment group subjects</w:t>
            </w:r>
          </w:p>
        </w:tc>
        <w:tc>
          <w:tcPr>
            <w:tcW w:w="424" w:type="dxa"/>
            <w:tcMar>
              <w:left w:w="86" w:type="dxa"/>
              <w:right w:w="86" w:type="dxa"/>
            </w:tcMar>
            <w:vAlign w:val="center"/>
          </w:tcPr>
          <w:p w14:paraId="7CF53B77"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6F7390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5543BB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B843B8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1AEC14D7"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DE8468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02E5D13B"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5987C68"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5E96F90"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769A04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A35DF9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FD0697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96BF059"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CF05D8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C41AE2F"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EC41140"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12D6855E" w14:textId="77777777" w:rsidR="006C08D5" w:rsidRPr="00E943E9" w:rsidRDefault="006C08D5" w:rsidP="00876181">
            <w:pPr>
              <w:pStyle w:val="TableText"/>
              <w:spacing w:before="60" w:after="60"/>
            </w:pPr>
          </w:p>
        </w:tc>
      </w:tr>
      <w:tr w:rsidR="006C08D5" w:rsidRPr="00E943E9" w14:paraId="1570ED94" w14:textId="77777777" w:rsidTr="00876181">
        <w:tc>
          <w:tcPr>
            <w:tcW w:w="2157" w:type="dxa"/>
            <w:tcMar>
              <w:left w:w="86" w:type="dxa"/>
              <w:right w:w="86" w:type="dxa"/>
            </w:tcMar>
          </w:tcPr>
          <w:p w14:paraId="52722803" w14:textId="77777777" w:rsidR="006C08D5" w:rsidRPr="006C08D5" w:rsidRDefault="006C08D5" w:rsidP="00876181">
            <w:pPr>
              <w:spacing w:before="60" w:after="60" w:line="240" w:lineRule="auto"/>
              <w:rPr>
                <w:rFonts w:ascii="Arial" w:eastAsia="Calibri" w:hAnsi="Arial" w:cs="Arial"/>
                <w:b/>
                <w:sz w:val="18"/>
                <w:szCs w:val="18"/>
              </w:rPr>
            </w:pPr>
            <w:r w:rsidRPr="001D6889">
              <w:rPr>
                <w:rFonts w:ascii="Arial" w:hAnsi="Arial" w:cs="Arial"/>
                <w:b/>
                <w:sz w:val="18"/>
                <w:szCs w:val="18"/>
              </w:rPr>
              <w:t>POD Monthly Earnings and Impairment-Related Work Expenses (IRWE) Reporting</w:t>
            </w:r>
          </w:p>
        </w:tc>
        <w:tc>
          <w:tcPr>
            <w:tcW w:w="424" w:type="dxa"/>
            <w:tcMar>
              <w:left w:w="86" w:type="dxa"/>
              <w:right w:w="86" w:type="dxa"/>
            </w:tcMar>
            <w:vAlign w:val="center"/>
          </w:tcPr>
          <w:p w14:paraId="0075E72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63100B5"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0F4F52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06E80FC"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1A5721E2"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1BBBA8E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094A880C"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B51F2B4"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1D89BA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DD88C0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781602F"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953AAE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9D0A38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41F628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3142DD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782E4AB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bottom"/>
          </w:tcPr>
          <w:p w14:paraId="22F4691B" w14:textId="77777777" w:rsidR="006C08D5" w:rsidRPr="00E943E9" w:rsidRDefault="006C08D5" w:rsidP="00876181">
            <w:pPr>
              <w:pStyle w:val="TableText"/>
              <w:spacing w:before="60" w:after="60"/>
            </w:pPr>
          </w:p>
        </w:tc>
      </w:tr>
      <w:tr w:rsidR="006C08D5" w:rsidRPr="00E943E9" w14:paraId="23BA65DF" w14:textId="77777777" w:rsidTr="00876181">
        <w:tc>
          <w:tcPr>
            <w:tcW w:w="2157" w:type="dxa"/>
            <w:tcMar>
              <w:left w:w="86" w:type="dxa"/>
              <w:right w:w="86" w:type="dxa"/>
            </w:tcMar>
          </w:tcPr>
          <w:p w14:paraId="28570628" w14:textId="77777777" w:rsidR="006C08D5" w:rsidRPr="001D6889" w:rsidRDefault="006C08D5" w:rsidP="00876181">
            <w:pPr>
              <w:spacing w:before="60" w:after="60" w:line="240" w:lineRule="auto"/>
              <w:rPr>
                <w:rFonts w:ascii="Arial" w:hAnsi="Arial" w:cs="Arial"/>
                <w:b/>
                <w:sz w:val="18"/>
                <w:szCs w:val="18"/>
              </w:rPr>
            </w:pPr>
            <w:r w:rsidRPr="001D6889">
              <w:rPr>
                <w:rFonts w:ascii="Arial" w:hAnsi="Arial" w:cs="Arial"/>
                <w:b/>
                <w:sz w:val="18"/>
                <w:szCs w:val="18"/>
              </w:rPr>
              <w:t>POD End of Year Reporting (EOYR)</w:t>
            </w:r>
          </w:p>
        </w:tc>
        <w:tc>
          <w:tcPr>
            <w:tcW w:w="424" w:type="dxa"/>
            <w:tcMar>
              <w:left w:w="86" w:type="dxa"/>
              <w:right w:w="86" w:type="dxa"/>
            </w:tcMar>
            <w:vAlign w:val="center"/>
          </w:tcPr>
          <w:p w14:paraId="2D93F9A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20DC922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8E05F0D"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2AB50F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14EB687"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23BD30D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2C083D44"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3232F4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7D9548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78D103E"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39B4F9C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EDE5C2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381DB05"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7BC381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AC0AC10"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C95B642"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067DD0A8" w14:textId="77777777" w:rsidR="006C08D5" w:rsidRPr="00E943E9" w:rsidRDefault="006C08D5" w:rsidP="00876181">
            <w:pPr>
              <w:pStyle w:val="TableText"/>
              <w:spacing w:before="60" w:after="60"/>
            </w:pPr>
            <w:r>
              <w:t>X</w:t>
            </w:r>
          </w:p>
        </w:tc>
      </w:tr>
    </w:tbl>
    <w:p w14:paraId="40E2CF43" w14:textId="77777777" w:rsidR="006C08D5" w:rsidRDefault="006C08D5" w:rsidP="006C08D5">
      <w:pPr>
        <w:pStyle w:val="NormalSS"/>
      </w:pPr>
    </w:p>
    <w:p w14:paraId="58362078" w14:textId="77777777" w:rsidR="006C08D5" w:rsidRDefault="006C08D5" w:rsidP="006C08D5">
      <w:pPr>
        <w:pStyle w:val="H4NumberNoTOC"/>
      </w:pPr>
      <w:r>
        <w:t>A.1.2. Background</w:t>
      </w:r>
    </w:p>
    <w:p w14:paraId="067987F6" w14:textId="1E2C118C" w:rsidR="00D42A3E" w:rsidRDefault="00517D91" w:rsidP="00467C19">
      <w:pPr>
        <w:pStyle w:val="NormalSS"/>
      </w:pPr>
      <w:r>
        <w:rPr>
          <w:b/>
          <w:i/>
        </w:rPr>
        <w:t>Congress r</w:t>
      </w:r>
      <w:r w:rsidRPr="00BD3E96">
        <w:rPr>
          <w:b/>
          <w:i/>
        </w:rPr>
        <w:t>equire</w:t>
      </w:r>
      <w:r>
        <w:rPr>
          <w:b/>
          <w:i/>
        </w:rPr>
        <w:t>d</w:t>
      </w:r>
      <w:r w:rsidRPr="00BD3E96">
        <w:rPr>
          <w:b/>
          <w:i/>
        </w:rPr>
        <w:t xml:space="preserve"> </w:t>
      </w:r>
      <w:r>
        <w:rPr>
          <w:b/>
          <w:i/>
        </w:rPr>
        <w:t xml:space="preserve">SSA </w:t>
      </w:r>
      <w:r w:rsidRPr="00BD3E96">
        <w:rPr>
          <w:b/>
          <w:i/>
        </w:rPr>
        <w:t xml:space="preserve">to </w:t>
      </w:r>
      <w:r>
        <w:rPr>
          <w:b/>
          <w:i/>
        </w:rPr>
        <w:t xml:space="preserve">implement and evaluate </w:t>
      </w:r>
      <w:r w:rsidRPr="00BD3E96">
        <w:rPr>
          <w:b/>
          <w:i/>
        </w:rPr>
        <w:t xml:space="preserve">POD </w:t>
      </w:r>
      <w:r>
        <w:rPr>
          <w:b/>
          <w:i/>
        </w:rPr>
        <w:t>for voluntary subjects</w:t>
      </w:r>
      <w:r w:rsidR="004D0F81" w:rsidRPr="00BD3E96">
        <w:rPr>
          <w:b/>
          <w:i/>
        </w:rPr>
        <w:t xml:space="preserve">. </w:t>
      </w:r>
      <w:r w:rsidR="003A05D6">
        <w:rPr>
          <w:b/>
          <w:i/>
        </w:rPr>
        <w:t xml:space="preserve"> </w:t>
      </w:r>
      <w:r w:rsidR="006C08D5">
        <w:t xml:space="preserve">As part of the Bipartisan Budget Act (BBA) of 2015 (Public Law 114-74), Section 823, policymakers </w:t>
      </w:r>
      <w:r w:rsidR="00421145" w:rsidRPr="007663EB">
        <w:rPr>
          <w:noProof/>
        </w:rPr>
        <w:t>required</w:t>
      </w:r>
      <w:r w:rsidR="006C08D5">
        <w:t xml:space="preserve"> SSA to carry out POD to test a new benefit offset formula for SSDI beneficiaries</w:t>
      </w:r>
      <w:r w:rsidR="00467C19">
        <w:t xml:space="preserve"> </w:t>
      </w:r>
      <w:r w:rsidR="005B4A23" w:rsidRPr="007663EB">
        <w:rPr>
          <w:noProof/>
        </w:rPr>
        <w:t>who</w:t>
      </w:r>
      <w:r w:rsidR="005B4A23">
        <w:t xml:space="preserve"> volunteer to be in the study</w:t>
      </w:r>
      <w:r w:rsidR="006C08D5">
        <w:t xml:space="preserve">.  The new rules, which also simplify work incentives, aim to promote employment and reduce dependency on benefits. </w:t>
      </w:r>
    </w:p>
    <w:p w14:paraId="22D7006F" w14:textId="1BA9FBB5" w:rsidR="00467C19" w:rsidRDefault="00467C19" w:rsidP="00467C19">
      <w:pPr>
        <w:pStyle w:val="NormalSS"/>
      </w:pPr>
      <w:r>
        <w:t>Section A22 of Public Law 114-74 requires that participation in projects</w:t>
      </w:r>
      <w:r w:rsidR="0076173A">
        <w:t xml:space="preserve"> such as POD</w:t>
      </w:r>
      <w:r>
        <w:t xml:space="preserve"> be voluntary and include informed consent.  As will be discussed below, this feature of the law is important because it prescribes how SSA can implement the demonstration, which has implications for the interpretation of the evaluation findings. </w:t>
      </w:r>
      <w:r w:rsidR="003A05D6">
        <w:t xml:space="preserve"> </w:t>
      </w:r>
      <w:r w:rsidR="00D12FA9">
        <w:t xml:space="preserve">The </w:t>
      </w:r>
      <w:r w:rsidR="0076173A">
        <w:t xml:space="preserve">degree of interest among potential </w:t>
      </w:r>
      <w:r w:rsidR="00D12FA9">
        <w:t xml:space="preserve">volunteers </w:t>
      </w:r>
      <w:r w:rsidR="0076173A">
        <w:t xml:space="preserve">and their decisions to participate are of </w:t>
      </w:r>
      <w:r w:rsidR="00D12FA9">
        <w:t>policy interest</w:t>
      </w:r>
      <w:r w:rsidR="00A10E35">
        <w:t>,</w:t>
      </w:r>
      <w:r w:rsidR="00D12FA9">
        <w:t xml:space="preserve"> </w:t>
      </w:r>
      <w:r w:rsidR="00A10E35">
        <w:t xml:space="preserve">particularly </w:t>
      </w:r>
      <w:r w:rsidR="00B37573">
        <w:t>because</w:t>
      </w:r>
      <w:r w:rsidR="00D12FA9">
        <w:t xml:space="preserve"> some beneficiaries might not benefit from the proposed interventions.  Consequently, an important component of the POD evaluation will be to assess</w:t>
      </w:r>
      <w:r w:rsidR="0076173A">
        <w:t xml:space="preserve"> the number and types of beneficiaries</w:t>
      </w:r>
      <w:r w:rsidR="00D12FA9">
        <w:t xml:space="preserve"> who </w:t>
      </w:r>
      <w:r w:rsidR="0076173A">
        <w:t xml:space="preserve">come forward </w:t>
      </w:r>
      <w:r w:rsidR="00D12FA9">
        <w:t>to participate in the demonstration</w:t>
      </w:r>
      <w:r w:rsidR="00A10E35">
        <w:t>.</w:t>
      </w:r>
    </w:p>
    <w:p w14:paraId="2D3878A5" w14:textId="77777777" w:rsidR="007A5480" w:rsidRPr="00D42A3E" w:rsidRDefault="007A5480" w:rsidP="007A5480">
      <w:pPr>
        <w:pStyle w:val="NormalSS"/>
        <w:rPr>
          <w:szCs w:val="24"/>
        </w:rPr>
      </w:pPr>
    </w:p>
    <w:p w14:paraId="5FFD6F9F" w14:textId="0A604449" w:rsidR="00D42A3E" w:rsidRPr="00D42A3E" w:rsidRDefault="00D42A3E" w:rsidP="006C08D5">
      <w:pPr>
        <w:pStyle w:val="NormalSS"/>
        <w:rPr>
          <w:szCs w:val="24"/>
        </w:rPr>
      </w:pPr>
      <w:r w:rsidRPr="00D1229C">
        <w:rPr>
          <w:color w:val="1A1A1A"/>
          <w:szCs w:val="24"/>
        </w:rPr>
        <w:t xml:space="preserve">In addition, Public Law 114-74 specifies that study volunteers assigned to a treatment group have the right to revert from the new POD rules to current SSDI rules at any point. </w:t>
      </w:r>
      <w:r w:rsidR="003A05D6">
        <w:rPr>
          <w:color w:val="1A1A1A"/>
          <w:szCs w:val="24"/>
        </w:rPr>
        <w:t xml:space="preserve"> </w:t>
      </w:r>
      <w:r w:rsidRPr="00D1229C">
        <w:rPr>
          <w:color w:val="1A1A1A"/>
          <w:szCs w:val="24"/>
        </w:rPr>
        <w:t>Section B includes more discussion of this requirement and its implications for the evaluation</w:t>
      </w:r>
      <w:r w:rsidR="00AB2823">
        <w:rPr>
          <w:color w:val="1A1A1A"/>
          <w:szCs w:val="24"/>
        </w:rPr>
        <w:t>.</w:t>
      </w:r>
    </w:p>
    <w:p w14:paraId="6A790F01" w14:textId="5F1CF22A" w:rsidR="006C08D5" w:rsidRDefault="006C08D5" w:rsidP="006C08D5">
      <w:pPr>
        <w:pStyle w:val="NormalSS"/>
      </w:pPr>
      <w:r w:rsidRPr="007663EB">
        <w:rPr>
          <w:noProof/>
        </w:rPr>
        <w:t>POD</w:t>
      </w:r>
      <w:r>
        <w:t xml:space="preserve"> is part of a broader effort by policymakers to identify new approaches to help beneficiaries and their families – many of whom are low income – increase their incomes and self-sufficiency through work.  In addition to authorizing POD, the Bipartisan Budget Act extended the solvency of SSDI until </w:t>
      </w:r>
      <w:r w:rsidRPr="007663EB">
        <w:rPr>
          <w:noProof/>
        </w:rPr>
        <w:t>2023</w:t>
      </w:r>
      <w:r>
        <w:t xml:space="preserve"> and renewed SSA’s demonstration authority (section </w:t>
      </w:r>
      <w:r w:rsidRPr="009116A7">
        <w:rPr>
          <w:i/>
        </w:rPr>
        <w:t>42 U.S.C. 434</w:t>
      </w:r>
      <w:r>
        <w:t xml:space="preserve"> of the </w:t>
      </w:r>
      <w:r w:rsidRPr="009116A7">
        <w:rPr>
          <w:i/>
        </w:rPr>
        <w:t>United States Code</w:t>
      </w:r>
      <w:r w:rsidRPr="009116A7">
        <w:t>)</w:t>
      </w:r>
      <w:r>
        <w:t xml:space="preserve">.  The renewed authority allows SSA to carry out experiments and demonstration projects promoting labor force attachment and identifying mechanisms that could result in savings to the SSDI trust funds.  Hence, </w:t>
      </w:r>
      <w:r w:rsidRPr="007663EB">
        <w:rPr>
          <w:noProof/>
        </w:rPr>
        <w:t>POD</w:t>
      </w:r>
      <w:r>
        <w:t xml:space="preserve"> will be one of many possible demonstration projects SSA will conduct.  </w:t>
      </w:r>
    </w:p>
    <w:p w14:paraId="41419AFD" w14:textId="1348EE23" w:rsidR="00885C93" w:rsidRDefault="00885C93" w:rsidP="00885C93">
      <w:pPr>
        <w:pStyle w:val="NormalSS"/>
      </w:pPr>
      <w:r w:rsidRPr="00D1229C">
        <w:rPr>
          <w:b/>
          <w:i/>
        </w:rPr>
        <w:t xml:space="preserve">POD attempts to address complexities with </w:t>
      </w:r>
      <w:r w:rsidR="00B37573">
        <w:rPr>
          <w:b/>
          <w:i/>
        </w:rPr>
        <w:t xml:space="preserve">the </w:t>
      </w:r>
      <w:r w:rsidRPr="00D1229C">
        <w:rPr>
          <w:b/>
          <w:i/>
        </w:rPr>
        <w:t>current law</w:t>
      </w:r>
      <w:r w:rsidR="00B37573">
        <w:rPr>
          <w:b/>
          <w:i/>
        </w:rPr>
        <w:t>’s</w:t>
      </w:r>
      <w:r w:rsidRPr="00D1229C">
        <w:rPr>
          <w:b/>
          <w:i/>
        </w:rPr>
        <w:t xml:space="preserve"> work rules</w:t>
      </w:r>
      <w:r w:rsidR="00B6468D">
        <w:rPr>
          <w:b/>
          <w:i/>
        </w:rPr>
        <w:t>.</w:t>
      </w:r>
      <w:r w:rsidR="004D0F81">
        <w:rPr>
          <w:b/>
          <w:i/>
        </w:rPr>
        <w:t xml:space="preserve"> </w:t>
      </w:r>
      <w:r w:rsidR="00C817C5">
        <w:rPr>
          <w:b/>
          <w:i/>
        </w:rPr>
        <w:t xml:space="preserve"> </w:t>
      </w:r>
      <w:r>
        <w:t xml:space="preserve">A policy concern is that existing work rules for SSDI beneficiaries are complex and include provisions that result in a </w:t>
      </w:r>
      <w:r w:rsidR="005A5F31">
        <w:t xml:space="preserve">complete </w:t>
      </w:r>
      <w:r>
        <w:t xml:space="preserve">loss of SSDI benefits for </w:t>
      </w:r>
      <w:r w:rsidR="005A5F31">
        <w:t>sustained</w:t>
      </w:r>
      <w:r>
        <w:t xml:space="preserve"> earnings </w:t>
      </w:r>
      <w:r w:rsidR="005A5F31">
        <w:t>above a certain level</w:t>
      </w:r>
      <w:r w:rsidR="006B5DE8">
        <w:t>—</w:t>
      </w:r>
      <w:r>
        <w:t xml:space="preserve">commonly referred to as a </w:t>
      </w:r>
      <w:r w:rsidRPr="00EC13A6">
        <w:rPr>
          <w:i/>
        </w:rPr>
        <w:t>cash cliff</w:t>
      </w:r>
      <w:r w:rsidR="007663EB" w:rsidRPr="00EC13A6">
        <w:rPr>
          <w:i/>
          <w:noProof/>
        </w:rPr>
        <w:t>.</w:t>
      </w:r>
      <w:r>
        <w:t xml:space="preserve"> </w:t>
      </w:r>
      <w:r w:rsidR="00C817C5">
        <w:t xml:space="preserve"> </w:t>
      </w:r>
      <w:r w:rsidR="006B5DE8">
        <w:t>(A literature review on the SSDI program and other disability benefits programs follows this section.)</w:t>
      </w:r>
      <w:r w:rsidR="00C817C5">
        <w:t xml:space="preserve"> </w:t>
      </w:r>
      <w:r w:rsidR="006B5DE8">
        <w:t xml:space="preserve"> </w:t>
      </w:r>
      <w:r>
        <w:t>One complexity is that current rules change depending on the beneficiary’s work history.</w:t>
      </w:r>
      <w:r w:rsidR="00C817C5">
        <w:t xml:space="preserve"> </w:t>
      </w:r>
      <w:r>
        <w:t xml:space="preserve"> For example, the current rules do not result in any reductions for earnings among beneficiaries who initially return to work</w:t>
      </w:r>
      <w:r w:rsidR="00E74B35">
        <w:t xml:space="preserve"> and have relatively low earnings.</w:t>
      </w:r>
      <w:r w:rsidR="00C817C5">
        <w:t xml:space="preserve"> </w:t>
      </w:r>
      <w:r>
        <w:t xml:space="preserve"> </w:t>
      </w:r>
      <w:r w:rsidR="00B37573">
        <w:t>T</w:t>
      </w:r>
      <w:r w:rsidR="00E74B35">
        <w:t xml:space="preserve">hose who earn below a threshold amount </w:t>
      </w:r>
      <w:r w:rsidR="00B37573">
        <w:t>hav</w:t>
      </w:r>
      <w:r w:rsidR="00E74B35">
        <w:t xml:space="preserve">e no subsequent changes to their benefits, and those with higher earnings enter what </w:t>
      </w:r>
      <w:r>
        <w:t xml:space="preserve">SSA refers to as the Trial Work Period (TWP). </w:t>
      </w:r>
      <w:r w:rsidR="00C817C5">
        <w:t xml:space="preserve"> </w:t>
      </w:r>
      <w:r w:rsidR="00E74B35">
        <w:t xml:space="preserve">As of 2017, the TWP threshold was $840 per month. </w:t>
      </w:r>
      <w:r>
        <w:t xml:space="preserve">However, the rules change following the TWP (Exhibit I.1). </w:t>
      </w:r>
      <w:r w:rsidR="00C817C5">
        <w:t xml:space="preserve"> </w:t>
      </w:r>
      <w:r>
        <w:t xml:space="preserve">Ultimately, SSDI beneficiaries who work over longer periods and earn wages above the Substantial Gainful Activity (SGA) </w:t>
      </w:r>
      <w:r w:rsidRPr="0012707B">
        <w:t>threshold</w:t>
      </w:r>
      <w:r>
        <w:t xml:space="preserve">, defined in 2017 as $1,170 </w:t>
      </w:r>
      <w:r w:rsidR="00E74B35">
        <w:t xml:space="preserve">per month </w:t>
      </w:r>
      <w:r>
        <w:t xml:space="preserve">for non-blind beneficiaries and $1,950 </w:t>
      </w:r>
      <w:r w:rsidR="00E74B35">
        <w:t xml:space="preserve">per month </w:t>
      </w:r>
      <w:r>
        <w:t xml:space="preserve">for blind beneficiaries, risk the complete loss of benefits. </w:t>
      </w:r>
      <w:r w:rsidR="00C817C5">
        <w:t xml:space="preserve"> </w:t>
      </w:r>
      <w:r>
        <w:t xml:space="preserve">Researchers and administrators refer to this benefit loss as a cash cliff because beneficiaries lose all benefits for a single dollar of earnings in excess of SGA. </w:t>
      </w:r>
    </w:p>
    <w:p w14:paraId="0CE3BEE5" w14:textId="736261DD" w:rsidR="00885C93" w:rsidRDefault="00885C93" w:rsidP="00885C93">
      <w:pPr>
        <w:pStyle w:val="NormalSS"/>
      </w:pPr>
      <w:r>
        <w:t xml:space="preserve">The complexity of the current rules creates challenges for beneficiaries and SSA staff. For beneficiaries, the complexity of the work rules </w:t>
      </w:r>
      <w:r w:rsidR="00CD0204">
        <w:t>creates concerns</w:t>
      </w:r>
      <w:r>
        <w:t xml:space="preserve"> about returning to work</w:t>
      </w:r>
      <w:r w:rsidR="00B37194">
        <w:t xml:space="preserve"> (Wittenburg et al. 2013)</w:t>
      </w:r>
      <w:r>
        <w:t xml:space="preserve">. </w:t>
      </w:r>
      <w:r w:rsidR="00C817C5">
        <w:t xml:space="preserve"> </w:t>
      </w:r>
      <w:r w:rsidR="00B37194">
        <w:t xml:space="preserve">For example, beneficiaries might fear </w:t>
      </w:r>
      <w:r w:rsidR="00B37194" w:rsidRPr="007663EB">
        <w:rPr>
          <w:noProof/>
        </w:rPr>
        <w:t>returning</w:t>
      </w:r>
      <w:r w:rsidR="00B37194">
        <w:t xml:space="preserve"> to work because they could lose both their SSDI benefit and Medicare eligibility if their earnings </w:t>
      </w:r>
      <w:r w:rsidR="00B37194" w:rsidRPr="007663EB">
        <w:rPr>
          <w:noProof/>
        </w:rPr>
        <w:t>exceed</w:t>
      </w:r>
      <w:r w:rsidR="00B37194">
        <w:t xml:space="preserve"> the SGA threshold (the cash cliff).  </w:t>
      </w:r>
      <w:r w:rsidR="0009471B">
        <w:t>In a</w:t>
      </w:r>
      <w:r>
        <w:t xml:space="preserve">ddition, beneficiaries who do not fully understand the current rules risk incurring overpayments, which they will </w:t>
      </w:r>
      <w:r w:rsidR="0009471B">
        <w:t>have</w:t>
      </w:r>
      <w:r>
        <w:t xml:space="preserve"> to pay back to SSA (see Hoffman et al. 2017 for more details). </w:t>
      </w:r>
      <w:r w:rsidR="00C817C5">
        <w:t xml:space="preserve"> </w:t>
      </w:r>
      <w:r>
        <w:t>Administratively, SSA staff must record beneficiar</w:t>
      </w:r>
      <w:r w:rsidR="0009471B">
        <w:t>ies’</w:t>
      </w:r>
      <w:r>
        <w:t xml:space="preserve"> earnings, which can be complicated if beneficiaries do not regularly report their earnings to SSA. </w:t>
      </w:r>
    </w:p>
    <w:p w14:paraId="181F08A6" w14:textId="66436809" w:rsidR="00885C93" w:rsidRDefault="00885C93" w:rsidP="00885C93">
      <w:pPr>
        <w:pStyle w:val="NormalSS"/>
        <w:rPr>
          <w:rFonts w:ascii="Arial Black" w:hAnsi="Arial Black"/>
          <w:sz w:val="22"/>
          <w:shd w:val="clear" w:color="auto" w:fill="FFFFFF"/>
        </w:rPr>
      </w:pPr>
      <w:r>
        <w:t xml:space="preserve">POD attempts to address these challenges by creating a simplified set of new work rules that </w:t>
      </w:r>
      <w:r w:rsidRPr="007663EB">
        <w:rPr>
          <w:noProof/>
        </w:rPr>
        <w:t>replace</w:t>
      </w:r>
      <w:r>
        <w:t xml:space="preserve"> the cash cliff with a ramp, which we refer to as a benefit offset (Exhibit I.1). </w:t>
      </w:r>
      <w:r w:rsidR="00C817C5">
        <w:t xml:space="preserve"> </w:t>
      </w:r>
      <w:r>
        <w:t>Under POD, the rules do not change depending on the beneficiary’s work history</w:t>
      </w:r>
      <w:r w:rsidR="00B37194">
        <w:t xml:space="preserve"> because it eliminates the TWP and Grace Period</w:t>
      </w:r>
      <w:r>
        <w:t xml:space="preserve">. </w:t>
      </w:r>
      <w:r w:rsidR="00B37194">
        <w:t xml:space="preserve"> </w:t>
      </w:r>
      <w:r>
        <w:t xml:space="preserve">The new offset formula reduces benefits by $1 for every $2 of earnings in excess of a </w:t>
      </w:r>
      <w:r w:rsidRPr="00487090">
        <w:rPr>
          <w:szCs w:val="24"/>
          <w:lang w:val="en"/>
        </w:rPr>
        <w:t>T</w:t>
      </w:r>
      <w:r>
        <w:rPr>
          <w:szCs w:val="24"/>
          <w:lang w:val="en"/>
        </w:rPr>
        <w:t>WP</w:t>
      </w:r>
      <w:r w:rsidRPr="00487090">
        <w:rPr>
          <w:szCs w:val="24"/>
          <w:lang w:val="en"/>
        </w:rPr>
        <w:t xml:space="preserve"> level (defined as $840 in 2017</w:t>
      </w:r>
      <w:r>
        <w:rPr>
          <w:szCs w:val="24"/>
          <w:lang w:val="en"/>
        </w:rPr>
        <w:t>).</w:t>
      </w:r>
      <w:r w:rsidR="00B37194" w:rsidDel="00B37194">
        <w:rPr>
          <w:rStyle w:val="FootnoteReference"/>
          <w:szCs w:val="24"/>
          <w:lang w:val="en"/>
        </w:rPr>
        <w:t xml:space="preserve"> </w:t>
      </w:r>
    </w:p>
    <w:p w14:paraId="3E49C0CC" w14:textId="77777777" w:rsidR="00D744F6" w:rsidRDefault="00D744F6" w:rsidP="00EC13A6">
      <w:pPr>
        <w:pStyle w:val="MarkforTableTitle"/>
        <w:rPr>
          <w:shd w:val="clear" w:color="auto" w:fill="FFFFFF"/>
        </w:rPr>
      </w:pPr>
      <w:bookmarkStart w:id="5" w:name="_Toc496265182"/>
      <w:r>
        <w:rPr>
          <w:shd w:val="clear" w:color="auto" w:fill="FFFFFF"/>
        </w:rPr>
        <w:t>Exhibit I.1. Snapshot comparison of current rules and the new POD rules</w:t>
      </w:r>
      <w:bookmarkEnd w:id="5"/>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D744F6" w:rsidRPr="00910E3D" w14:paraId="20555D3F" w14:textId="77777777" w:rsidTr="00EC13A6">
        <w:tc>
          <w:tcPr>
            <w:tcW w:w="4675" w:type="dxa"/>
            <w:shd w:val="clear" w:color="auto" w:fill="223767"/>
            <w:vAlign w:val="bottom"/>
          </w:tcPr>
          <w:p w14:paraId="2E762821" w14:textId="77777777" w:rsidR="00D744F6" w:rsidRPr="00910E3D" w:rsidRDefault="00D744F6" w:rsidP="00EC13A6">
            <w:pPr>
              <w:pStyle w:val="TableHeaderCenter"/>
              <w:jc w:val="left"/>
            </w:pPr>
            <w:r w:rsidRPr="00910E3D">
              <w:t>Current rules</w:t>
            </w:r>
          </w:p>
        </w:tc>
        <w:tc>
          <w:tcPr>
            <w:tcW w:w="4675" w:type="dxa"/>
            <w:shd w:val="clear" w:color="auto" w:fill="223767"/>
            <w:vAlign w:val="bottom"/>
          </w:tcPr>
          <w:p w14:paraId="05EE418C" w14:textId="77777777" w:rsidR="00D744F6" w:rsidRPr="00910E3D" w:rsidRDefault="00D744F6" w:rsidP="00431491">
            <w:pPr>
              <w:pStyle w:val="TableHeaderCenter"/>
            </w:pPr>
            <w:r w:rsidRPr="00910E3D">
              <w:t>New POD rules</w:t>
            </w:r>
          </w:p>
        </w:tc>
      </w:tr>
      <w:tr w:rsidR="00D744F6" w:rsidRPr="00910E3D" w14:paraId="57D15615" w14:textId="77777777" w:rsidTr="00FA111B">
        <w:tc>
          <w:tcPr>
            <w:tcW w:w="4675" w:type="dxa"/>
          </w:tcPr>
          <w:p w14:paraId="05E6F502" w14:textId="3643CDA5" w:rsidR="00D744F6" w:rsidRPr="00910E3D" w:rsidRDefault="00D744F6" w:rsidP="00FA111B">
            <w:pPr>
              <w:pStyle w:val="TableText"/>
              <w:numPr>
                <w:ilvl w:val="0"/>
                <w:numId w:val="44"/>
              </w:numPr>
              <w:spacing w:before="40" w:after="40"/>
              <w:ind w:left="337"/>
            </w:pPr>
            <w:r w:rsidRPr="00910E3D">
              <w:t xml:space="preserve">SSDI beneficiaries can earn any amount during </w:t>
            </w:r>
            <w:r>
              <w:t xml:space="preserve">nine months of the </w:t>
            </w:r>
            <w:r w:rsidRPr="00910E3D">
              <w:t xml:space="preserve">TWP, which allows for </w:t>
            </w:r>
            <w:r>
              <w:t xml:space="preserve">monthly </w:t>
            </w:r>
            <w:r w:rsidRPr="00910E3D">
              <w:t xml:space="preserve">earnings in excess of a </w:t>
            </w:r>
            <w:r>
              <w:t xml:space="preserve">meaningful </w:t>
            </w:r>
            <w:r w:rsidRPr="00910E3D">
              <w:t>threshold</w:t>
            </w:r>
            <w:r>
              <w:t>—</w:t>
            </w:r>
            <w:r w:rsidRPr="0041733F">
              <w:t>defined as $840 in 2017</w:t>
            </w:r>
            <w:r w:rsidRPr="00910E3D">
              <w:t xml:space="preserve">. </w:t>
            </w:r>
          </w:p>
          <w:p w14:paraId="08520D45" w14:textId="31D2D84A" w:rsidR="00D744F6" w:rsidRPr="00910E3D" w:rsidRDefault="00D744F6" w:rsidP="00FA111B">
            <w:pPr>
              <w:pStyle w:val="TableText"/>
              <w:numPr>
                <w:ilvl w:val="0"/>
                <w:numId w:val="44"/>
              </w:numPr>
              <w:spacing w:before="40" w:after="40"/>
              <w:ind w:left="337"/>
            </w:pPr>
            <w:r>
              <w:t>T</w:t>
            </w:r>
            <w:r w:rsidRPr="00910E3D">
              <w:t>he Extended Period of Eligibility</w:t>
            </w:r>
            <w:r>
              <w:t xml:space="preserve"> starts in the first month after the TWP in which the beneficiary earns above the SGA threshold.</w:t>
            </w:r>
            <w:r w:rsidR="00C817C5">
              <w:t xml:space="preserve"> </w:t>
            </w:r>
            <w:r>
              <w:t xml:space="preserve"> During this period</w:t>
            </w:r>
            <w:r w:rsidRPr="00910E3D">
              <w:t xml:space="preserve">, which lasts for 36 months, beneficiaries remain </w:t>
            </w:r>
            <w:r>
              <w:t>i</w:t>
            </w:r>
            <w:r w:rsidRPr="00910E3D">
              <w:t xml:space="preserve">n the program </w:t>
            </w:r>
            <w:r>
              <w:t xml:space="preserve">even </w:t>
            </w:r>
            <w:r w:rsidRPr="00910E3D">
              <w:t xml:space="preserve">if </w:t>
            </w:r>
            <w:r>
              <w:t>their benefits are suspended due to excess earnings</w:t>
            </w:r>
            <w:r w:rsidRPr="00910E3D">
              <w:t xml:space="preserve">. </w:t>
            </w:r>
          </w:p>
          <w:p w14:paraId="4ED3C4BE" w14:textId="00C06B80" w:rsidR="00D744F6" w:rsidRPr="00910E3D" w:rsidRDefault="00D744F6" w:rsidP="00FA111B">
            <w:pPr>
              <w:pStyle w:val="TableText"/>
              <w:numPr>
                <w:ilvl w:val="0"/>
                <w:numId w:val="44"/>
              </w:numPr>
              <w:spacing w:before="40" w:after="40"/>
              <w:ind w:left="337"/>
            </w:pPr>
            <w:r w:rsidRPr="00910E3D">
              <w:t>During the Extended Period of Eligibility, there is a one-time exception</w:t>
            </w:r>
            <w:r>
              <w:t>—called the Grace Period—</w:t>
            </w:r>
            <w:r w:rsidRPr="00910E3D">
              <w:t xml:space="preserve">to benefit reductions for earnings above </w:t>
            </w:r>
            <w:r>
              <w:t xml:space="preserve">the </w:t>
            </w:r>
            <w:r w:rsidRPr="00910E3D">
              <w:t xml:space="preserve">SGA </w:t>
            </w:r>
            <w:r>
              <w:t>threshold</w:t>
            </w:r>
            <w:r w:rsidRPr="00910E3D">
              <w:t xml:space="preserve">. </w:t>
            </w:r>
            <w:r w:rsidR="00C817C5">
              <w:t xml:space="preserve"> </w:t>
            </w:r>
            <w:r w:rsidRPr="00910E3D">
              <w:t xml:space="preserve">During this period, beneficiaries </w:t>
            </w:r>
            <w:r>
              <w:t xml:space="preserve">may continue to receive </w:t>
            </w:r>
            <w:r w:rsidRPr="00910E3D">
              <w:t>benefit</w:t>
            </w:r>
            <w:r>
              <w:t xml:space="preserve"> payment</w:t>
            </w:r>
            <w:r w:rsidRPr="00910E3D">
              <w:t xml:space="preserve">s </w:t>
            </w:r>
            <w:r>
              <w:t>in</w:t>
            </w:r>
            <w:r w:rsidRPr="00910E3D">
              <w:t xml:space="preserve"> the first month </w:t>
            </w:r>
            <w:r w:rsidRPr="0048771B">
              <w:t xml:space="preserve">in which earnings exceed </w:t>
            </w:r>
            <w:r>
              <w:t xml:space="preserve">the </w:t>
            </w:r>
            <w:r w:rsidRPr="0048771B">
              <w:t xml:space="preserve">SGA </w:t>
            </w:r>
            <w:r>
              <w:t xml:space="preserve">threshold </w:t>
            </w:r>
            <w:r w:rsidRPr="00910E3D">
              <w:t xml:space="preserve">and the following two consecutive months. </w:t>
            </w:r>
          </w:p>
          <w:p w14:paraId="2D2F7B1A" w14:textId="77777777" w:rsidR="00D744F6" w:rsidRPr="00910E3D" w:rsidRDefault="00D744F6" w:rsidP="00FA111B">
            <w:pPr>
              <w:pStyle w:val="TableText"/>
              <w:numPr>
                <w:ilvl w:val="0"/>
                <w:numId w:val="44"/>
              </w:numPr>
              <w:spacing w:before="40" w:after="120"/>
              <w:ind w:left="337"/>
            </w:pPr>
            <w:r w:rsidRPr="00910E3D">
              <w:t xml:space="preserve">However, following the Grace Period, beneficiaries </w:t>
            </w:r>
            <w:r>
              <w:t>face termination of</w:t>
            </w:r>
            <w:r w:rsidRPr="00910E3D">
              <w:t xml:space="preserve"> benefits </w:t>
            </w:r>
            <w:r>
              <w:t xml:space="preserve">if their </w:t>
            </w:r>
            <w:r w:rsidRPr="00910E3D">
              <w:t xml:space="preserve">earnings </w:t>
            </w:r>
            <w:r>
              <w:t>exceed</w:t>
            </w:r>
            <w:r w:rsidRPr="00910E3D">
              <w:t xml:space="preserve"> </w:t>
            </w:r>
            <w:r>
              <w:t xml:space="preserve">the </w:t>
            </w:r>
            <w:r w:rsidRPr="00910E3D">
              <w:t>SGA</w:t>
            </w:r>
            <w:r>
              <w:t xml:space="preserve"> threshold in any month</w:t>
            </w:r>
            <w:r w:rsidRPr="00910E3D">
              <w:t>.</w:t>
            </w:r>
          </w:p>
        </w:tc>
        <w:tc>
          <w:tcPr>
            <w:tcW w:w="4675" w:type="dxa"/>
          </w:tcPr>
          <w:p w14:paraId="11925244" w14:textId="70E8AE17" w:rsidR="00D744F6" w:rsidRPr="00910E3D" w:rsidRDefault="00D744F6" w:rsidP="00FA111B">
            <w:pPr>
              <w:pStyle w:val="TableText"/>
              <w:numPr>
                <w:ilvl w:val="0"/>
                <w:numId w:val="44"/>
              </w:numPr>
              <w:spacing w:before="40" w:after="40"/>
              <w:ind w:left="337"/>
            </w:pPr>
            <w:r w:rsidRPr="007663EB">
              <w:rPr>
                <w:noProof/>
              </w:rPr>
              <w:t>POD</w:t>
            </w:r>
            <w:r w:rsidRPr="00910E3D">
              <w:t xml:space="preserve"> includes two treatment arms, both of which use the same new rules to calculate benefits</w:t>
            </w:r>
            <w:r>
              <w:t xml:space="preserve"> for those with earnings above the TWP threshold</w:t>
            </w:r>
            <w:r w:rsidRPr="00910E3D">
              <w:t xml:space="preserve">. </w:t>
            </w:r>
            <w:r w:rsidR="00C817C5">
              <w:t xml:space="preserve"> </w:t>
            </w:r>
            <w:r w:rsidRPr="00910E3D">
              <w:t xml:space="preserve">The new rules replace the </w:t>
            </w:r>
            <w:r>
              <w:t xml:space="preserve">SGA-level </w:t>
            </w:r>
            <w:r w:rsidRPr="00910E3D">
              <w:t xml:space="preserve">cash cliff with a benefit offset, which reduces benefits by $1 for every $2 earned above the larger of the TWP level and the amount of the POD subject’s Impairment-Related Work Expenses. </w:t>
            </w:r>
          </w:p>
          <w:p w14:paraId="356AA88F" w14:textId="22427242" w:rsidR="00D744F6" w:rsidRPr="00910E3D" w:rsidRDefault="00D744F6" w:rsidP="00D1229C">
            <w:pPr>
              <w:pStyle w:val="TableText"/>
              <w:numPr>
                <w:ilvl w:val="0"/>
                <w:numId w:val="44"/>
              </w:numPr>
              <w:spacing w:before="40" w:after="40"/>
              <w:ind w:left="337"/>
            </w:pPr>
            <w:r w:rsidRPr="00910E3D">
              <w:t>The treatment arms differ in their rules governing</w:t>
            </w:r>
            <w:r w:rsidR="007663EB">
              <w:t xml:space="preserve"> the</w:t>
            </w:r>
            <w:r w:rsidRPr="00910E3D">
              <w:t xml:space="preserve"> </w:t>
            </w:r>
            <w:r w:rsidRPr="007663EB">
              <w:rPr>
                <w:noProof/>
              </w:rPr>
              <w:t>termination</w:t>
            </w:r>
            <w:r w:rsidRPr="00910E3D">
              <w:t xml:space="preserve"> of benef</w:t>
            </w:r>
            <w:r>
              <w:t>i</w:t>
            </w:r>
            <w:r w:rsidR="00FA111B">
              <w:t>ts</w:t>
            </w:r>
            <w:r w:rsidRPr="00910E3D">
              <w:t xml:space="preserve"> </w:t>
            </w:r>
            <w:r w:rsidR="00FA111B">
              <w:t xml:space="preserve">for </w:t>
            </w:r>
            <w:r>
              <w:t xml:space="preserve">those who earn enough to reach </w:t>
            </w:r>
            <w:r w:rsidRPr="004F4943">
              <w:rPr>
                <w:szCs w:val="24"/>
                <w:lang w:val="en"/>
              </w:rPr>
              <w:t>full benefit offset (tha</w:t>
            </w:r>
            <w:r>
              <w:rPr>
                <w:szCs w:val="24"/>
                <w:lang w:val="en"/>
              </w:rPr>
              <w:t>t is, have their benefits reduced to zero)</w:t>
            </w:r>
            <w:r w:rsidRPr="00910E3D">
              <w:t xml:space="preserve">. </w:t>
            </w:r>
            <w:r w:rsidR="00C817C5">
              <w:t xml:space="preserve"> </w:t>
            </w:r>
            <w:r w:rsidRPr="00910E3D">
              <w:t xml:space="preserve">In both treatment arms, POD initially suspends </w:t>
            </w:r>
            <w:r>
              <w:t xml:space="preserve">their </w:t>
            </w:r>
            <w:r w:rsidRPr="00910E3D">
              <w:t xml:space="preserve">benefits. </w:t>
            </w:r>
            <w:r w:rsidR="00C817C5">
              <w:t xml:space="preserve"> </w:t>
            </w:r>
            <w:r w:rsidRPr="00910E3D">
              <w:t xml:space="preserve">However, in one arm the suspension is not </w:t>
            </w:r>
            <w:r w:rsidRPr="007663EB">
              <w:rPr>
                <w:noProof/>
              </w:rPr>
              <w:t>time</w:t>
            </w:r>
            <w:r w:rsidR="007663EB">
              <w:rPr>
                <w:noProof/>
              </w:rPr>
              <w:t>-</w:t>
            </w:r>
            <w:r w:rsidRPr="007663EB">
              <w:rPr>
                <w:noProof/>
              </w:rPr>
              <w:t>limited</w:t>
            </w:r>
            <w:r w:rsidRPr="00910E3D">
              <w:t xml:space="preserve">, </w:t>
            </w:r>
            <w:r w:rsidRPr="007663EB">
              <w:rPr>
                <w:noProof/>
              </w:rPr>
              <w:t>whereas</w:t>
            </w:r>
            <w:r w:rsidR="007663EB">
              <w:rPr>
                <w:noProof/>
              </w:rPr>
              <w:t>,</w:t>
            </w:r>
            <w:r w:rsidRPr="00910E3D">
              <w:t xml:space="preserve"> in the other arm, POD terminates benefits after 12 consecutive months of suspension. </w:t>
            </w:r>
          </w:p>
        </w:tc>
      </w:tr>
    </w:tbl>
    <w:p w14:paraId="2A40992C" w14:textId="77777777" w:rsidR="00885C93" w:rsidRDefault="00885C93" w:rsidP="00885C93">
      <w:pPr>
        <w:pStyle w:val="NormalSS"/>
        <w:spacing w:after="0"/>
      </w:pPr>
    </w:p>
    <w:p w14:paraId="2409A9E9" w14:textId="334595B0" w:rsidR="00DB0C2E" w:rsidRDefault="00DB0C2E" w:rsidP="00DB0C2E">
      <w:pPr>
        <w:pStyle w:val="NormalSS"/>
      </w:pPr>
      <w:r w:rsidRPr="00907B8B">
        <w:rPr>
          <w:b/>
          <w:i/>
        </w:rPr>
        <w:t xml:space="preserve">POD </w:t>
      </w:r>
      <w:r>
        <w:rPr>
          <w:b/>
          <w:i/>
        </w:rPr>
        <w:t>adds distinctive information to what has been learned from p</w:t>
      </w:r>
      <w:r w:rsidRPr="00907B8B">
        <w:rPr>
          <w:b/>
          <w:i/>
        </w:rPr>
        <w:t xml:space="preserve">revious SSA </w:t>
      </w:r>
      <w:r>
        <w:rPr>
          <w:b/>
          <w:i/>
        </w:rPr>
        <w:t>r</w:t>
      </w:r>
      <w:r w:rsidRPr="00907B8B">
        <w:rPr>
          <w:b/>
          <w:i/>
        </w:rPr>
        <w:t xml:space="preserve">esearch on </w:t>
      </w:r>
      <w:r>
        <w:rPr>
          <w:b/>
          <w:i/>
        </w:rPr>
        <w:t>d</w:t>
      </w:r>
      <w:r w:rsidRPr="00907B8B">
        <w:rPr>
          <w:b/>
          <w:i/>
        </w:rPr>
        <w:t>isability</w:t>
      </w:r>
      <w:r>
        <w:rPr>
          <w:b/>
          <w:i/>
        </w:rPr>
        <w:t xml:space="preserve"> employment programs and policies</w:t>
      </w:r>
      <w:r w:rsidR="00AF6C3A">
        <w:rPr>
          <w:b/>
          <w:i/>
        </w:rPr>
        <w:t>.</w:t>
      </w:r>
      <w:r w:rsidR="004D0F81">
        <w:t xml:space="preserve"> </w:t>
      </w:r>
      <w:r w:rsidR="00C817C5">
        <w:t xml:space="preserve"> </w:t>
      </w:r>
      <w:r>
        <w:t xml:space="preserve">The largest evaluations of employment supports for people with disabilities have emphasized approaches targeting people who receive SSDI and/or Supplemental Security Income (SSI). </w:t>
      </w:r>
      <w:r w:rsidR="00C817C5">
        <w:t xml:space="preserve"> </w:t>
      </w:r>
      <w:r>
        <w:t>SSDI and SSI beneficiaries are a natural target population for services because they represent the largest federally funded cash transfer programs for people with disabilities.</w:t>
      </w:r>
    </w:p>
    <w:p w14:paraId="21C821C5" w14:textId="0F8C55AF" w:rsidR="00DB0C2E" w:rsidRDefault="00DB0C2E" w:rsidP="00DB0C2E">
      <w:pPr>
        <w:pStyle w:val="NormalSS"/>
      </w:pPr>
      <w:r>
        <w:t xml:space="preserve">In 1980, Congress authorized SSA to test SSDI demonstration projects over a five-year period and to test SSI demonstration projects permanently (Szymendera 2011). </w:t>
      </w:r>
      <w:r w:rsidR="00C817C5">
        <w:t xml:space="preserve"> </w:t>
      </w:r>
      <w:r>
        <w:t xml:space="preserve">SSA could use this authority to temporarily waive certain program rules and allocate trust fund dollars and appropriated funds to finance demonstrations. </w:t>
      </w:r>
      <w:r w:rsidR="00C817C5">
        <w:t xml:space="preserve"> </w:t>
      </w:r>
      <w:r>
        <w:t xml:space="preserve">The authority required that the demonstrations have sufficient scope and scale to </w:t>
      </w:r>
      <w:r w:rsidR="006833D4">
        <w:t>facilitate</w:t>
      </w:r>
      <w:r>
        <w:t xml:space="preserve"> a thorough evaluation of the program or policy change under consideration. </w:t>
      </w:r>
    </w:p>
    <w:p w14:paraId="01B82822" w14:textId="18CDB9BC" w:rsidR="008032EA" w:rsidRPr="0050497F" w:rsidRDefault="00DB0C2E" w:rsidP="00AF6C3A">
      <w:pPr>
        <w:pStyle w:val="NormalSS"/>
      </w:pPr>
      <w:r>
        <w:t>The Ticket to Work (TTW) and Work Incentives Improvement Act of 1999 (Ticket Act) developed a major return</w:t>
      </w:r>
      <w:r w:rsidR="00C817C5">
        <w:t>-</w:t>
      </w:r>
      <w:r>
        <w:t>to</w:t>
      </w:r>
      <w:r w:rsidR="00C817C5">
        <w:t>-</w:t>
      </w:r>
      <w:r>
        <w:t xml:space="preserve">work program to promote employment by beneficiaries.  Specifically, the Ticket Act established the TTW program, </w:t>
      </w:r>
      <w:r w:rsidR="00C817C5">
        <w:t>which</w:t>
      </w:r>
      <w:r>
        <w:t xml:space="preserve"> provides SSDI and SSI beneficiaries with a voucher, or ticket, to purchase public or private sector employment services. </w:t>
      </w:r>
      <w:r w:rsidR="00C817C5">
        <w:t xml:space="preserve"> </w:t>
      </w:r>
      <w:r>
        <w:t xml:space="preserve">As noted in the Ticket Act, even a small increase in exit rates from SSDI and SSI could result in large programmatic savings. </w:t>
      </w:r>
      <w:r w:rsidR="00C817C5">
        <w:t xml:space="preserve"> </w:t>
      </w:r>
      <w:r>
        <w:t>The reason for the large potential savings is because most SSDI and SSI participants receive benefits for several years and the most likely reason</w:t>
      </w:r>
      <w:r w:rsidR="00C817C5">
        <w:t>s</w:t>
      </w:r>
      <w:r>
        <w:t xml:space="preserve"> for leaving the programs </w:t>
      </w:r>
      <w:r w:rsidR="00C817C5">
        <w:t>are</w:t>
      </w:r>
      <w:r>
        <w:t xml:space="preserve"> either death or retirement. </w:t>
      </w:r>
      <w:r w:rsidR="00C817C5">
        <w:t xml:space="preserve"> </w:t>
      </w:r>
      <w:r>
        <w:t>Annual exits from SSDI and SSI due to work have generally persisted at 0.5 percent for years, even in the face of numerous programmatic and economic changes (Berkowitz 2003</w:t>
      </w:r>
      <w:r w:rsidR="00C817C5">
        <w:t>;</w:t>
      </w:r>
      <w:r>
        <w:t xml:space="preserve"> Newcomb et al. 2003). </w:t>
      </w:r>
      <w:r w:rsidR="00C817C5">
        <w:t xml:space="preserve"> </w:t>
      </w:r>
      <w:r w:rsidR="008032EA">
        <w:t xml:space="preserve">Following the passage of the Ticket Act, SSA launched several major employment demonstrations projects and programs. </w:t>
      </w:r>
      <w:r w:rsidR="00C817C5">
        <w:t xml:space="preserve"> </w:t>
      </w:r>
      <w:r w:rsidR="008032EA">
        <w:t>Several focused on provi</w:t>
      </w:r>
      <w:r w:rsidR="00C817C5">
        <w:t>ding</w:t>
      </w:r>
      <w:r w:rsidR="008032EA">
        <w:t xml:space="preserve"> employment supports, whereas others focused on the disability determination processes and provi</w:t>
      </w:r>
      <w:r w:rsidR="00C817C5">
        <w:t>ding</w:t>
      </w:r>
      <w:r w:rsidR="008032EA">
        <w:t xml:space="preserve"> health benefits</w:t>
      </w:r>
      <w:r w:rsidR="00957135">
        <w:t xml:space="preserve"> (Wittenburg et al. 2013)</w:t>
      </w:r>
      <w:r w:rsidR="008032EA">
        <w:t xml:space="preserve">. In designing these demonstration projects, SSA </w:t>
      </w:r>
      <w:r w:rsidR="00C817C5">
        <w:t>sought to</w:t>
      </w:r>
      <w:r w:rsidR="008032EA">
        <w:t xml:space="preserve"> test how the interventions influence</w:t>
      </w:r>
      <w:r w:rsidR="00C817C5">
        <w:t>d</w:t>
      </w:r>
      <w:r w:rsidR="008032EA">
        <w:t xml:space="preserve"> the multiple work barriers faced by the heterogeneous SSDI and SSI beneficiary populations. </w:t>
      </w:r>
      <w:r w:rsidR="00C817C5">
        <w:t xml:space="preserve"> </w:t>
      </w:r>
      <w:r w:rsidR="008032EA">
        <w:t>Consequently, some interventions targeted rehabilitation supports (</w:t>
      </w:r>
      <w:r w:rsidR="00C817C5">
        <w:t>for example</w:t>
      </w:r>
      <w:r w:rsidR="008032EA">
        <w:t xml:space="preserve">, </w:t>
      </w:r>
      <w:r w:rsidR="00851B83">
        <w:t>beneficiaries in the TTW program</w:t>
      </w:r>
      <w:r w:rsidR="008032EA">
        <w:t>)</w:t>
      </w:r>
      <w:r w:rsidR="00AB2823">
        <w:t>,</w:t>
      </w:r>
      <w:r w:rsidR="008032EA">
        <w:t xml:space="preserve"> whereas others attempted to provide enhanced work incentives and/or most customized supports to specific subgroups, such as those with psychiatric impairments and youth with disabilities. </w:t>
      </w:r>
    </w:p>
    <w:p w14:paraId="48C8FD4C" w14:textId="71B078FB" w:rsidR="00174EFC" w:rsidRPr="00F82408" w:rsidRDefault="00174EFC" w:rsidP="00174EFC">
      <w:pPr>
        <w:pStyle w:val="NormalSS"/>
        <w:rPr>
          <w:color w:val="231F20"/>
          <w:szCs w:val="24"/>
          <w:shd w:val="clear" w:color="auto" w:fill="FFFFFF"/>
        </w:rPr>
      </w:pPr>
      <w:r w:rsidRPr="0050497F">
        <w:rPr>
          <w:szCs w:val="24"/>
        </w:rPr>
        <w:t xml:space="preserve">The largest work incentive demonstration was SSA’s Benefit Offset </w:t>
      </w:r>
      <w:r w:rsidRPr="007A5480">
        <w:rPr>
          <w:szCs w:val="24"/>
        </w:rPr>
        <w:t>National Demonstration</w:t>
      </w:r>
      <w:r>
        <w:rPr>
          <w:szCs w:val="24"/>
        </w:rPr>
        <w:t xml:space="preserve"> (BOND), which replaced the cash cliff with a different offset ramp than what is tested in </w:t>
      </w:r>
      <w:r w:rsidRPr="007663EB">
        <w:rPr>
          <w:noProof/>
          <w:szCs w:val="24"/>
        </w:rPr>
        <w:t>POD</w:t>
      </w:r>
      <w:r w:rsidR="00431491">
        <w:rPr>
          <w:noProof/>
          <w:szCs w:val="24"/>
        </w:rPr>
        <w:t>;</w:t>
      </w:r>
      <w:r>
        <w:rPr>
          <w:szCs w:val="24"/>
        </w:rPr>
        <w:t xml:space="preserve"> </w:t>
      </w:r>
      <w:r w:rsidR="00431491">
        <w:rPr>
          <w:szCs w:val="24"/>
        </w:rPr>
        <w:t>BOND</w:t>
      </w:r>
      <w:r>
        <w:rPr>
          <w:szCs w:val="24"/>
        </w:rPr>
        <w:t xml:space="preserve"> also tested additional supports</w:t>
      </w:r>
      <w:r w:rsidRPr="007A5480">
        <w:rPr>
          <w:szCs w:val="24"/>
        </w:rPr>
        <w:t>.</w:t>
      </w:r>
      <w:r w:rsidRPr="0050497F">
        <w:rPr>
          <w:rStyle w:val="FootnoteReference"/>
          <w:szCs w:val="24"/>
        </w:rPr>
        <w:footnoteReference w:id="1"/>
      </w:r>
      <w:r w:rsidRPr="0050497F">
        <w:rPr>
          <w:szCs w:val="24"/>
        </w:rPr>
        <w:t xml:space="preserve"> </w:t>
      </w:r>
      <w:r w:rsidR="00431491">
        <w:rPr>
          <w:szCs w:val="24"/>
        </w:rPr>
        <w:t xml:space="preserve"> </w:t>
      </w:r>
      <w:r w:rsidRPr="00F82408">
        <w:rPr>
          <w:color w:val="231F20"/>
          <w:szCs w:val="24"/>
          <w:shd w:val="clear" w:color="auto" w:fill="FFFFFF"/>
        </w:rPr>
        <w:t xml:space="preserve">BOND is a random assignment </w:t>
      </w:r>
      <w:r w:rsidR="00D1151C">
        <w:rPr>
          <w:color w:val="231F20"/>
          <w:szCs w:val="24"/>
          <w:shd w:val="clear" w:color="auto" w:fill="FFFFFF"/>
        </w:rPr>
        <w:t>evaluation</w:t>
      </w:r>
      <w:r w:rsidRPr="00F82408">
        <w:rPr>
          <w:color w:val="231F20"/>
          <w:szCs w:val="24"/>
          <w:shd w:val="clear" w:color="auto" w:fill="FFFFFF"/>
        </w:rPr>
        <w:t xml:space="preserve"> that </w:t>
      </w:r>
      <w:r w:rsidR="00F81066">
        <w:rPr>
          <w:color w:val="231F20"/>
          <w:szCs w:val="24"/>
          <w:shd w:val="clear" w:color="auto" w:fill="FFFFFF"/>
        </w:rPr>
        <w:t xml:space="preserve">tests </w:t>
      </w:r>
      <w:r w:rsidRPr="00F82408">
        <w:rPr>
          <w:szCs w:val="24"/>
        </w:rPr>
        <w:t>whether replacing the SGA cash cliff with a $1</w:t>
      </w:r>
      <w:r w:rsidR="00431491">
        <w:rPr>
          <w:szCs w:val="24"/>
        </w:rPr>
        <w:t>-</w:t>
      </w:r>
      <w:r w:rsidRPr="00F82408">
        <w:rPr>
          <w:szCs w:val="24"/>
        </w:rPr>
        <w:t>for</w:t>
      </w:r>
      <w:r w:rsidR="00431491">
        <w:rPr>
          <w:szCs w:val="24"/>
        </w:rPr>
        <w:t>-</w:t>
      </w:r>
      <w:r w:rsidRPr="00F82408">
        <w:rPr>
          <w:szCs w:val="24"/>
        </w:rPr>
        <w:t>$2 offset ramp would increase work and reduce beneficiaries’ reliance on SSDI benefits</w:t>
      </w:r>
      <w:r w:rsidR="001C7ABC">
        <w:rPr>
          <w:szCs w:val="24"/>
        </w:rPr>
        <w:t>.</w:t>
      </w:r>
      <w:r w:rsidRPr="00F82408">
        <w:rPr>
          <w:color w:val="231F20"/>
          <w:szCs w:val="24"/>
          <w:shd w:val="clear" w:color="auto" w:fill="FFFFFF"/>
        </w:rPr>
        <w:t xml:space="preserve"> </w:t>
      </w:r>
      <w:r w:rsidR="00431491">
        <w:rPr>
          <w:color w:val="231F20"/>
          <w:szCs w:val="24"/>
          <w:shd w:val="clear" w:color="auto" w:fill="FFFFFF"/>
        </w:rPr>
        <w:t xml:space="preserve"> </w:t>
      </w:r>
      <w:r w:rsidRPr="00F82408">
        <w:rPr>
          <w:color w:val="231F20"/>
          <w:szCs w:val="24"/>
          <w:shd w:val="clear" w:color="auto" w:fill="FFFFFF"/>
        </w:rPr>
        <w:t>BOND change</w:t>
      </w:r>
      <w:r>
        <w:rPr>
          <w:color w:val="231F20"/>
          <w:szCs w:val="24"/>
          <w:shd w:val="clear" w:color="auto" w:fill="FFFFFF"/>
        </w:rPr>
        <w:t>d</w:t>
      </w:r>
      <w:r w:rsidRPr="00F82408">
        <w:rPr>
          <w:color w:val="231F20"/>
          <w:szCs w:val="24"/>
          <w:shd w:val="clear" w:color="auto" w:fill="FFFFFF"/>
        </w:rPr>
        <w:t xml:space="preserve"> the accounting period from monthly to annual</w:t>
      </w:r>
      <w:r w:rsidR="00431491">
        <w:rPr>
          <w:color w:val="231F20"/>
          <w:szCs w:val="24"/>
          <w:shd w:val="clear" w:color="auto" w:fill="FFFFFF"/>
        </w:rPr>
        <w:t>ly</w:t>
      </w:r>
      <w:r w:rsidRPr="00F82408">
        <w:rPr>
          <w:color w:val="231F20"/>
          <w:szCs w:val="24"/>
          <w:shd w:val="clear" w:color="auto" w:fill="FFFFFF"/>
        </w:rPr>
        <w:t xml:space="preserve"> and replace</w:t>
      </w:r>
      <w:r>
        <w:rPr>
          <w:color w:val="231F20"/>
          <w:szCs w:val="24"/>
          <w:shd w:val="clear" w:color="auto" w:fill="FFFFFF"/>
        </w:rPr>
        <w:t>d</w:t>
      </w:r>
      <w:r w:rsidRPr="00F82408">
        <w:rPr>
          <w:color w:val="231F20"/>
          <w:szCs w:val="24"/>
          <w:shd w:val="clear" w:color="auto" w:fill="FFFFFF"/>
        </w:rPr>
        <w:t xml:space="preserve"> the cash cliff with a $1</w:t>
      </w:r>
      <w:r w:rsidR="00431491">
        <w:rPr>
          <w:color w:val="231F20"/>
          <w:szCs w:val="24"/>
          <w:shd w:val="clear" w:color="auto" w:fill="FFFFFF"/>
        </w:rPr>
        <w:t>-</w:t>
      </w:r>
      <w:r w:rsidRPr="00F82408">
        <w:rPr>
          <w:color w:val="231F20"/>
          <w:szCs w:val="24"/>
          <w:shd w:val="clear" w:color="auto" w:fill="FFFFFF"/>
        </w:rPr>
        <w:t>for</w:t>
      </w:r>
      <w:r w:rsidR="00431491">
        <w:rPr>
          <w:color w:val="231F20"/>
          <w:szCs w:val="24"/>
          <w:shd w:val="clear" w:color="auto" w:fill="FFFFFF"/>
        </w:rPr>
        <w:t>-</w:t>
      </w:r>
      <w:r w:rsidRPr="00F82408">
        <w:rPr>
          <w:color w:val="231F20"/>
          <w:szCs w:val="24"/>
          <w:shd w:val="clear" w:color="auto" w:fill="FFFFFF"/>
        </w:rPr>
        <w:t>$2 benefit offset that gradually reduces benefits when earnings surpass the annual equivalent of the SGA amount.</w:t>
      </w:r>
      <w:r w:rsidR="00431491">
        <w:rPr>
          <w:color w:val="231F20"/>
          <w:szCs w:val="24"/>
          <w:shd w:val="clear" w:color="auto" w:fill="FFFFFF"/>
        </w:rPr>
        <w:t xml:space="preserve">  </w:t>
      </w:r>
      <w:r>
        <w:rPr>
          <w:color w:val="231F20"/>
          <w:szCs w:val="24"/>
          <w:shd w:val="clear" w:color="auto" w:fill="FFFFFF"/>
        </w:rPr>
        <w:t xml:space="preserve">This is unlike POD, which </w:t>
      </w:r>
      <w:r w:rsidR="00431491">
        <w:rPr>
          <w:color w:val="231F20"/>
          <w:szCs w:val="24"/>
          <w:shd w:val="clear" w:color="auto" w:fill="FFFFFF"/>
        </w:rPr>
        <w:t xml:space="preserve">bases </w:t>
      </w:r>
      <w:r>
        <w:rPr>
          <w:color w:val="231F20"/>
          <w:szCs w:val="24"/>
          <w:shd w:val="clear" w:color="auto" w:fill="FFFFFF"/>
        </w:rPr>
        <w:t xml:space="preserve">the offset ramp on monthly earnings and begins at the lower TWP amount. As discussed below, </w:t>
      </w:r>
      <w:r w:rsidR="001C7ABC">
        <w:rPr>
          <w:color w:val="231F20"/>
          <w:szCs w:val="24"/>
          <w:shd w:val="clear" w:color="auto" w:fill="FFFFFF"/>
        </w:rPr>
        <w:t xml:space="preserve">a </w:t>
      </w:r>
      <w:r>
        <w:rPr>
          <w:color w:val="231F20"/>
          <w:szCs w:val="24"/>
          <w:shd w:val="clear" w:color="auto" w:fill="FFFFFF"/>
        </w:rPr>
        <w:t>later phase of BOND also included a treatment arm that tested the added effect of enhanced work incentives counseling to help beneficiaries better understand the demonstration’s rules.</w:t>
      </w:r>
    </w:p>
    <w:p w14:paraId="43012498" w14:textId="72CC001F" w:rsidR="00FA68B8" w:rsidRDefault="006F382F" w:rsidP="00FA68B8">
      <w:pPr>
        <w:pStyle w:val="NormalSS"/>
      </w:pPr>
      <w:r>
        <w:t xml:space="preserve"> </w:t>
      </w:r>
      <w:r w:rsidR="00FA68B8">
        <w:t xml:space="preserve">The BOND study features two stages that both include random assignment evaluations. </w:t>
      </w:r>
      <w:r w:rsidR="00431491">
        <w:t xml:space="preserve"> </w:t>
      </w:r>
      <w:r w:rsidR="00FA68B8">
        <w:t>SSA randomly selected 10 Area Offices to conduct BOND.  Stage 1 provides</w:t>
      </w:r>
      <w:r w:rsidR="00FA68B8" w:rsidRPr="00B710E1">
        <w:t xml:space="preserve"> estimates of the impacts of the BOND offset on the national beneficiary population</w:t>
      </w:r>
      <w:r w:rsidR="00FA68B8">
        <w:t xml:space="preserve">. </w:t>
      </w:r>
      <w:r w:rsidR="00AD7311">
        <w:t xml:space="preserve"> </w:t>
      </w:r>
      <w:r w:rsidR="00FA68B8">
        <w:t>Participation in BOND Stage 1 was mandatory, and the Stage 1 sample includes a nationally representative sample of the SSDI beneficiary population who were younger than 60 at the start of BOND and o</w:t>
      </w:r>
      <w:r w:rsidR="00431491">
        <w:t>ld</w:t>
      </w:r>
      <w:r w:rsidR="00FA68B8">
        <w:t xml:space="preserve">er </w:t>
      </w:r>
      <w:r w:rsidR="00431491">
        <w:t>th</w:t>
      </w:r>
      <w:r w:rsidR="00FA68B8">
        <w:t>a</w:t>
      </w:r>
      <w:r w:rsidR="00431491">
        <w:t>n</w:t>
      </w:r>
      <w:r w:rsidR="00FA68B8">
        <w:t xml:space="preserve"> 20. </w:t>
      </w:r>
      <w:r w:rsidR="00AD7311">
        <w:t xml:space="preserve"> </w:t>
      </w:r>
      <w:r w:rsidR="00FA68B8" w:rsidRPr="00C27B44">
        <w:t>SSA designed Stage 2 of BOND to more carefully examine impacts among those beneficiaries who see</w:t>
      </w:r>
      <w:r w:rsidR="00FA68B8">
        <w:t>m most likely to use the offset,</w:t>
      </w:r>
      <w:r w:rsidR="00CD0204">
        <w:t xml:space="preserve"> using</w:t>
      </w:r>
      <w:r w:rsidR="00FA68B8">
        <w:t xml:space="preserve"> informed and recruited volunteers selected from a solicitation pool established from the Stage 1 sample. </w:t>
      </w:r>
      <w:r w:rsidR="00AD7311">
        <w:t xml:space="preserve"> </w:t>
      </w:r>
      <w:r w:rsidR="00FA68B8">
        <w:t xml:space="preserve">The study sample for Stage 2 comprises informed SSDI volunteers. Unlike POD, BOND Stage 2 includes SSDI-only beneficiaries and excludes concurrent beneficiaries. </w:t>
      </w:r>
      <w:r w:rsidR="00AD7311">
        <w:t xml:space="preserve"> </w:t>
      </w:r>
      <w:r w:rsidR="00FA68B8">
        <w:t xml:space="preserve">The counseling enhancements provided to Stage 2 treatment group members go substantially beyond the standard counseling services provided under current law (including the BOND control groups) and to the Stage 1 treatment subjects, featuring proactive initial and follow-up outreach by the counselors and several enhancements to the counseling itself. </w:t>
      </w:r>
    </w:p>
    <w:p w14:paraId="1DE5AB18" w14:textId="48B98B73" w:rsidR="00FA68B8" w:rsidRDefault="00FA68B8" w:rsidP="00FA68B8">
      <w:pPr>
        <w:pStyle w:val="NormalSS"/>
      </w:pPr>
      <w:r>
        <w:t>Early results suggest</w:t>
      </w:r>
      <w:r w:rsidR="00D1151C">
        <w:t xml:space="preserve"> the</w:t>
      </w:r>
      <w:r>
        <w:t xml:space="preserve"> BOND offset has had limited impacts on earnings in the short term, and benefit payments have increased in the short term (Wittenburg et al. 2015; Gubits et al. 2014). </w:t>
      </w:r>
      <w:r w:rsidR="00AD7311">
        <w:t xml:space="preserve"> </w:t>
      </w:r>
      <w:r>
        <w:t xml:space="preserve">The evaluation findings also showed long administrative delays in </w:t>
      </w:r>
      <w:r w:rsidR="00431491">
        <w:t>adjust</w:t>
      </w:r>
      <w:r>
        <w:t>ing benefit</w:t>
      </w:r>
      <w:r w:rsidR="00431491">
        <w:t>s</w:t>
      </w:r>
      <w:r>
        <w:t xml:space="preserve"> following changes in earnings. </w:t>
      </w:r>
      <w:r w:rsidR="00AD7311">
        <w:t xml:space="preserve"> </w:t>
      </w:r>
      <w:r>
        <w:t xml:space="preserve">These latter findings underscore some of the complexities of BOND rules. </w:t>
      </w:r>
      <w:r w:rsidR="00AD7311">
        <w:t xml:space="preserve"> </w:t>
      </w:r>
      <w:r>
        <w:t xml:space="preserve">Specifically, the BOND rules keep elements of </w:t>
      </w:r>
      <w:r w:rsidR="00431491">
        <w:t xml:space="preserve">the </w:t>
      </w:r>
      <w:r>
        <w:t>current law</w:t>
      </w:r>
      <w:r w:rsidR="00431491">
        <w:t>’s</w:t>
      </w:r>
      <w:r>
        <w:t xml:space="preserve"> rules (for example, </w:t>
      </w:r>
      <w:r w:rsidR="00D1151C">
        <w:t xml:space="preserve">the </w:t>
      </w:r>
      <w:r>
        <w:t>Extended Period of Eligibility) and include an annualized version of earnings (annual SGA) that potentially added to the delays given the complexity of these calculations.</w:t>
      </w:r>
    </w:p>
    <w:p w14:paraId="0EE18353" w14:textId="360D281D" w:rsidR="00FA68B8" w:rsidRDefault="00FA68B8" w:rsidP="00FA68B8">
      <w:pPr>
        <w:pStyle w:val="NormalSS"/>
      </w:pPr>
      <w:r>
        <w:t xml:space="preserve">The intervention for POD addresses the perception that BOND rules were complex using a more simplified set of administrative adjustments in implementing a </w:t>
      </w:r>
      <w:r w:rsidRPr="0067286F">
        <w:t>$2</w:t>
      </w:r>
      <w:r w:rsidR="00AD7311">
        <w:t>-</w:t>
      </w:r>
      <w:r w:rsidRPr="0067286F">
        <w:t>for</w:t>
      </w:r>
      <w:r w:rsidR="00AD7311">
        <w:t>-</w:t>
      </w:r>
      <w:r w:rsidRPr="0067286F">
        <w:t xml:space="preserve">$1 </w:t>
      </w:r>
      <w:r>
        <w:t xml:space="preserve">offset. </w:t>
      </w:r>
      <w:r w:rsidR="00AD7311">
        <w:t xml:space="preserve"> </w:t>
      </w:r>
      <w:r>
        <w:t xml:space="preserve">Specifically, the new POD rules eliminate the TWP and Grace Period, which effectively make the new POD offset rules consistent throughout the entire demonstration period for all beneficiaries unless their benefits are terminated. </w:t>
      </w:r>
      <w:r w:rsidR="00AD7311">
        <w:t xml:space="preserve"> </w:t>
      </w:r>
      <w:r>
        <w:t xml:space="preserve">This change differs from current rules (and the rules under BOND) because beneficiaries experience different work incentive rules following the Grace Period. </w:t>
      </w:r>
      <w:r w:rsidR="00AD7311">
        <w:t xml:space="preserve"> </w:t>
      </w:r>
      <w:r>
        <w:t xml:space="preserve">To expedite the processing of the new POD rules, </w:t>
      </w:r>
      <w:r w:rsidR="00E16BAE">
        <w:t xml:space="preserve">the implementation contractor (Abt) is engaging with </w:t>
      </w:r>
      <w:r>
        <w:t xml:space="preserve">the state VR and Work Incentive Planning and Assistance agencies.  In addition, the POD rules start the offset at the monthly TWP threshold, which will generally mean lower earnings than the annualized SGA amount used to trigger the offset under the BOND rules.  </w:t>
      </w:r>
    </w:p>
    <w:p w14:paraId="4BD5C81D" w14:textId="1F7D8F49" w:rsidR="004D0F81" w:rsidRDefault="00FA68B8" w:rsidP="00FA68B8">
      <w:pPr>
        <w:pStyle w:val="NormalSS"/>
      </w:pPr>
      <w:r>
        <w:t xml:space="preserve">Similar to BOND, the </w:t>
      </w:r>
      <w:r w:rsidR="00AD7311">
        <w:t xml:space="preserve">POD </w:t>
      </w:r>
      <w:r>
        <w:t xml:space="preserve">evaluation is designed to produce internally valid impact estimates using random assignment, though POD’s includes only volunteers and is being implemented under different conditions. </w:t>
      </w:r>
      <w:r w:rsidR="00AD7311">
        <w:t xml:space="preserve"> </w:t>
      </w:r>
      <w:r>
        <w:t xml:space="preserve">The requirement to include volunteers makes POD more similar to the BOND Stage 2 sample.  However, the purposive selection of the sites in POD differs from the random sampling that </w:t>
      </w:r>
      <w:r w:rsidR="00AD7311">
        <w:t>BOND</w:t>
      </w:r>
      <w:r>
        <w:t xml:space="preserve"> used. In addition, the two demonstrations will be carried out under markedly different general economic conditions—with BOND Stage 2 enrollment occurring during the slow recovery following the Great Recession. </w:t>
      </w:r>
      <w:r w:rsidR="00AD7311">
        <w:t xml:space="preserve"> </w:t>
      </w:r>
      <w:r>
        <w:t>Finally, the recruitment of sample members in POD also differs in important ways from BOND.</w:t>
      </w:r>
      <w:r>
        <w:rPr>
          <w:rStyle w:val="FootnoteReference"/>
        </w:rPr>
        <w:footnoteReference w:id="2"/>
      </w:r>
      <w:r>
        <w:t xml:space="preserve"> </w:t>
      </w:r>
      <w:r w:rsidR="00AD7311">
        <w:t xml:space="preserve"> </w:t>
      </w:r>
      <w:r>
        <w:t>All of these factors make</w:t>
      </w:r>
      <w:r w:rsidRPr="00580EB8">
        <w:t xml:space="preserve"> direct comparisons of </w:t>
      </w:r>
      <w:r>
        <w:t xml:space="preserve">study subjects and volunteer rates </w:t>
      </w:r>
      <w:r w:rsidRPr="00580EB8">
        <w:t>challenging across demonstrations</w:t>
      </w:r>
      <w:r>
        <w:t xml:space="preserve">. </w:t>
      </w:r>
      <w:r w:rsidR="00AD7311">
        <w:t xml:space="preserve"> </w:t>
      </w:r>
      <w:r>
        <w:t xml:space="preserve">Further, as already noted, POD implements a different set of work-incentive rules </w:t>
      </w:r>
      <w:r w:rsidRPr="007663EB">
        <w:rPr>
          <w:noProof/>
        </w:rPr>
        <w:t>than</w:t>
      </w:r>
      <w:r>
        <w:t xml:space="preserve"> </w:t>
      </w:r>
      <w:r w:rsidR="00AD7311">
        <w:t>BOND</w:t>
      </w:r>
      <w:r w:rsidR="00E16BAE">
        <w:t xml:space="preserve"> </w:t>
      </w:r>
      <w:r>
        <w:t xml:space="preserve">used. </w:t>
      </w:r>
      <w:r w:rsidR="00AD7311">
        <w:t xml:space="preserve"> </w:t>
      </w:r>
      <w:r>
        <w:t xml:space="preserve">Hence, the POD evaluation will provide substantively new information that can help SSA meet the </w:t>
      </w:r>
      <w:r w:rsidR="00AD7311">
        <w:t>c</w:t>
      </w:r>
      <w:r>
        <w:t>ongressional mandate to assess voluntary participants in the study of a new set of rules and the impacts of those rules on study subjects.</w:t>
      </w:r>
    </w:p>
    <w:p w14:paraId="7F47E5D3" w14:textId="7F6342A8" w:rsidR="00D32271" w:rsidRDefault="00D32271" w:rsidP="006C08D5">
      <w:pPr>
        <w:pStyle w:val="NormalSS"/>
      </w:pPr>
      <w:r w:rsidRPr="00D1229C">
        <w:rPr>
          <w:b/>
          <w:i/>
        </w:rPr>
        <w:t>Overview of POD</w:t>
      </w:r>
      <w:r>
        <w:rPr>
          <w:b/>
          <w:i/>
        </w:rPr>
        <w:t xml:space="preserve"> implementation and evaluation. </w:t>
      </w:r>
      <w:r>
        <w:t>The POD implementation team, which includes Abt and its state VR and Work Incentive Planning and Assistance agencies, will collect and coordinate the subjects’ earnings information and transmit the information to SSA for timely benefit adjustments.  Given the usual workloads of these state partners, they will likely be the primary source for benefits counseling and employment services for subjects.  It will be important to assess how the state implementation partners respond to this significant opportunity to enhance the services they provide to SSDI beneficiaries.</w:t>
      </w:r>
    </w:p>
    <w:p w14:paraId="0448D6C1" w14:textId="77777777" w:rsidR="00D32271" w:rsidRDefault="00D32271" w:rsidP="006C08D5">
      <w:pPr>
        <w:pStyle w:val="NormalSS"/>
      </w:pPr>
      <w:r>
        <w:t xml:space="preserve">The evaluation will assess the effect of POD services on employment, earnings, and benefit payments.  It will include the following four components (see Exhibit A.3): </w:t>
      </w:r>
    </w:p>
    <w:p w14:paraId="79634A67" w14:textId="77777777" w:rsidR="00D32271" w:rsidRDefault="00D32271" w:rsidP="00D32271">
      <w:pPr>
        <w:pStyle w:val="NumberedBullet"/>
        <w:numPr>
          <w:ilvl w:val="0"/>
          <w:numId w:val="24"/>
        </w:numPr>
        <w:tabs>
          <w:tab w:val="clear" w:pos="792"/>
          <w:tab w:val="num" w:pos="360"/>
        </w:tabs>
        <w:ind w:left="360"/>
      </w:pPr>
      <w:r w:rsidRPr="00FE48EB">
        <w:t>A</w:t>
      </w:r>
      <w:r w:rsidRPr="005A76BB">
        <w:rPr>
          <w:b/>
        </w:rPr>
        <w:t xml:space="preserve"> process analysis</w:t>
      </w:r>
      <w:r>
        <w:t xml:space="preserve"> will describe the components of POD’s infrastructure and assess the functioning and implementation of each component.  It will document the program environment, beneficiaries’ perspectives on the POD offset, and the fidelity of program operation to the offset design.  It will also seek to determine the extent of any problems the POD evaluation team might detect, and whether they will affect the impact estimates. </w:t>
      </w:r>
    </w:p>
    <w:p w14:paraId="712A5CA2" w14:textId="14D4E9FC" w:rsidR="00D32271" w:rsidRDefault="00D32271" w:rsidP="002751BA">
      <w:pPr>
        <w:pStyle w:val="NumberedBullet"/>
      </w:pPr>
      <w:r w:rsidRPr="00FE48EB">
        <w:t xml:space="preserve">A </w:t>
      </w:r>
      <w:r>
        <w:rPr>
          <w:b/>
        </w:rPr>
        <w:t>p</w:t>
      </w:r>
      <w:r w:rsidRPr="006D198F">
        <w:rPr>
          <w:b/>
        </w:rPr>
        <w:t>articipation analysis</w:t>
      </w:r>
      <w:r>
        <w:t xml:space="preserve"> will examine recruitment, withdrawal, and use and nonuse of POD’s services and the benefit offset.  The first component of the analysis will compare the study subjects’ characteristics with those of nonparticipants in the recruitment pool.  The second component will compare treatment subjects who remain in their treatment arm with those who withdraw from it separately for the two treatment groups.  The third component will examine how beneficiaries in the treatment groups use demonstration services and the offset, including the extent to which they report earnings each month, receive benefits </w:t>
      </w:r>
      <w:r w:rsidR="00E92B34" w:rsidRPr="00E92B34">
        <w:rPr>
          <w:noProof/>
        </w:rPr>
        <w:t>counseling</w:t>
      </w:r>
      <w:r>
        <w:t xml:space="preserve"> and earn enough to have benefits reduced or terminated under the offset.</w:t>
      </w:r>
    </w:p>
    <w:p w14:paraId="01309F94" w14:textId="6A10BE92" w:rsidR="00D32271" w:rsidRDefault="00D32271" w:rsidP="002751BA">
      <w:pPr>
        <w:pStyle w:val="NumberedBullet"/>
      </w:pPr>
      <w:r w:rsidRPr="00B369E9">
        <w:t xml:space="preserve">An </w:t>
      </w:r>
      <w:r>
        <w:rPr>
          <w:b/>
        </w:rPr>
        <w:t>i</w:t>
      </w:r>
      <w:r w:rsidRPr="006D198F">
        <w:rPr>
          <w:b/>
        </w:rPr>
        <w:t>mpact analysis</w:t>
      </w:r>
      <w:r>
        <w:t xml:space="preserve"> will</w:t>
      </w:r>
      <w:r w:rsidRPr="005A76BB" w:rsidDel="002A7101">
        <w:t xml:space="preserve"> </w:t>
      </w:r>
      <w:r>
        <w:t>leverage t</w:t>
      </w:r>
      <w:r w:rsidRPr="00B56D0C" w:rsidDel="002A7101">
        <w:t xml:space="preserve">he experimental design </w:t>
      </w:r>
      <w:r>
        <w:t>to provide internally valid</w:t>
      </w:r>
      <w:r w:rsidRPr="00B56D0C" w:rsidDel="002A7101">
        <w:t xml:space="preserve"> </w:t>
      </w:r>
      <w:r>
        <w:t xml:space="preserve">quantitative estimates of </w:t>
      </w:r>
      <w:r w:rsidRPr="00B56D0C" w:rsidDel="002A7101">
        <w:t xml:space="preserve">the effects of the benefit offset and benefits counseling </w:t>
      </w:r>
      <w:r>
        <w:t xml:space="preserve">on the outcomes </w:t>
      </w:r>
      <w:r w:rsidRPr="00B56D0C" w:rsidDel="002A7101">
        <w:t xml:space="preserve">of </w:t>
      </w:r>
      <w:r>
        <w:t>subject</w:t>
      </w:r>
      <w:r w:rsidRPr="00B56D0C" w:rsidDel="002A7101">
        <w:t xml:space="preserve">s. </w:t>
      </w:r>
      <w:r>
        <w:t>Because the study is using r</w:t>
      </w:r>
      <w:r w:rsidRPr="00B56D0C" w:rsidDel="002A7101">
        <w:t>andom assignment</w:t>
      </w:r>
      <w:r>
        <w:t>,</w:t>
      </w:r>
      <w:r w:rsidRPr="00B56D0C" w:rsidDel="002A7101">
        <w:t xml:space="preserve"> the treatment and control groups </w:t>
      </w:r>
      <w:r>
        <w:t>will</w:t>
      </w:r>
      <w:r w:rsidRPr="00B56D0C" w:rsidDel="002A7101">
        <w:t xml:space="preserve"> have similar observed and unobserved characteristics, on average, </w:t>
      </w:r>
      <w:r>
        <w:t>when they enter</w:t>
      </w:r>
      <w:r w:rsidRPr="00B56D0C" w:rsidDel="002A7101">
        <w:t xml:space="preserve"> the study.</w:t>
      </w:r>
      <w:r>
        <w:t xml:space="preserve">  Hence, the evaluation’s impact estimates will provide an unbiased assessment of </w:t>
      </w:r>
      <w:r w:rsidRPr="005A76BB" w:rsidDel="002A7101">
        <w:t xml:space="preserve">whether the benefit offset can </w:t>
      </w:r>
      <w:r>
        <w:t>help</w:t>
      </w:r>
      <w:r w:rsidRPr="005A76BB" w:rsidDel="002A7101">
        <w:t xml:space="preserve"> </w:t>
      </w:r>
      <w:r>
        <w:t>SSDI</w:t>
      </w:r>
      <w:r w:rsidRPr="005A76BB" w:rsidDel="002A7101">
        <w:t xml:space="preserve"> beneficiaries </w:t>
      </w:r>
      <w:r>
        <w:t xml:space="preserve">who volunteer achieve greater economic </w:t>
      </w:r>
      <w:r w:rsidRPr="00E92B34">
        <w:rPr>
          <w:noProof/>
        </w:rPr>
        <w:t>self</w:t>
      </w:r>
      <w:r w:rsidRPr="00E92B34">
        <w:rPr>
          <w:noProof/>
        </w:rPr>
        <w:noBreakHyphen/>
      </w:r>
      <w:r w:rsidRPr="00E92B34" w:rsidDel="002A7101">
        <w:rPr>
          <w:noProof/>
        </w:rPr>
        <w:t>sufficiency</w:t>
      </w:r>
      <w:r w:rsidRPr="005A76BB" w:rsidDel="002A7101">
        <w:t xml:space="preserve"> and other improvements in their lives. </w:t>
      </w:r>
      <w:r>
        <w:t>In addition, information from the process and participation analyses will inform understanding of POD’s impacts, and the results from the impact evaluation will support the calculation of POD’s costs and benefits.</w:t>
      </w:r>
    </w:p>
    <w:p w14:paraId="41669375" w14:textId="09217FC6" w:rsidR="00D32271" w:rsidRDefault="00D32271" w:rsidP="002751BA">
      <w:pPr>
        <w:pStyle w:val="NumberedBullet"/>
      </w:pPr>
      <w:r w:rsidRPr="00B369E9">
        <w:t xml:space="preserve">A </w:t>
      </w:r>
      <w:r>
        <w:rPr>
          <w:b/>
        </w:rPr>
        <w:t>c</w:t>
      </w:r>
      <w:r w:rsidRPr="006D198F">
        <w:rPr>
          <w:b/>
        </w:rPr>
        <w:t>ost-benefit analysis</w:t>
      </w:r>
      <w:r>
        <w:t xml:space="preserve"> will assess whether the impacts of the POD treatments on subjects’ outcomes are large enough to justify the resources required to produce them.  By placing a dollar value on each benefit and cost of an intervention, a cost-benefit analysis can summarize in one statistic all the intervention’s diverse impacts and costs.  The cost-benefit analysis for POD will </w:t>
      </w:r>
      <w:r w:rsidR="00E76E8D">
        <w:t xml:space="preserve">produce cost-effectiveness results </w:t>
      </w:r>
      <w:r w:rsidR="00C93110">
        <w:t xml:space="preserve">on altering the SSDI work rules </w:t>
      </w:r>
      <w:r>
        <w:t xml:space="preserve">for </w:t>
      </w:r>
      <w:r w:rsidR="00E76E8D">
        <w:t xml:space="preserve">the </w:t>
      </w:r>
      <w:r>
        <w:t xml:space="preserve">set of volunteers who </w:t>
      </w:r>
      <w:r w:rsidR="00E76E8D">
        <w:t>enroll as study subjects</w:t>
      </w:r>
      <w:r w:rsidR="00C93110">
        <w:t>.</w:t>
      </w:r>
      <w:r w:rsidR="00E76E8D">
        <w:t xml:space="preserve"> </w:t>
      </w:r>
      <w:r w:rsidR="00182909">
        <w:t xml:space="preserve"> </w:t>
      </w:r>
      <w:r w:rsidR="00C93110">
        <w:t>T</w:t>
      </w:r>
      <w:r w:rsidR="00E76E8D">
        <w:t xml:space="preserve">hese volunteers </w:t>
      </w:r>
      <w:r>
        <w:t xml:space="preserve">are presumably most likely to benefit from new </w:t>
      </w:r>
      <w:r w:rsidRPr="00E92B34">
        <w:rPr>
          <w:noProof/>
        </w:rPr>
        <w:t>rules</w:t>
      </w:r>
      <w:r w:rsidR="00182909">
        <w:rPr>
          <w:noProof/>
        </w:rPr>
        <w:t>,</w:t>
      </w:r>
      <w:r w:rsidR="00C93110">
        <w:t xml:space="preserve"> so the results m</w:t>
      </w:r>
      <w:r w:rsidR="00182909">
        <w:t>ight</w:t>
      </w:r>
      <w:r w:rsidR="00C93110">
        <w:t xml:space="preserve"> not generalize to a broader population, but the findings will still provide SSA with valuable information about the net costs of the demonstration</w:t>
      </w:r>
      <w:r>
        <w:t xml:space="preserve">.  </w:t>
      </w:r>
    </w:p>
    <w:p w14:paraId="3DB30DFE" w14:textId="31741B2E" w:rsidR="00D32271" w:rsidRDefault="00D32271" w:rsidP="00D32271">
      <w:pPr>
        <w:pStyle w:val="NormalSS"/>
        <w:spacing w:before="240"/>
      </w:pPr>
      <w:r>
        <w:t xml:space="preserve">There are four targeted outcomes for SSDI beneficiaries under POD:  (1) increased employment and earnings above the SGA level; (2) decreased benefits payments; (3) increased total income; and (4) impacts on other related outcomes (for example, health status and quality of life).  Four outcomes of interest for system changes include:  (1) reduction in overpayments; (2) enhanced program integrity; (3) stronger culture of self-sufficiency; and (4) improved SSDI trust fund balance.  To achieve these outcomes, SSA expects POD to make better use of existing resources by improving service coordination among multiple state and local agencies and programs. </w:t>
      </w:r>
    </w:p>
    <w:p w14:paraId="1733CD2B" w14:textId="77777777" w:rsidR="00D32271" w:rsidRDefault="00D32271" w:rsidP="0066793A">
      <w:pPr>
        <w:pStyle w:val="MarkforTableTitle"/>
      </w:pPr>
      <w:r>
        <w:t>Exhibit A.3. Analyses study will use to answer research questions</w:t>
      </w:r>
    </w:p>
    <w:tbl>
      <w:tblPr>
        <w:tblpPr w:leftFromText="180" w:rightFromText="180" w:vertAnchor="text" w:horzAnchor="margin" w:tblpY="152"/>
        <w:tblW w:w="5000" w:type="pct"/>
        <w:tblLook w:val="04A0" w:firstRow="1" w:lastRow="0" w:firstColumn="1" w:lastColumn="0" w:noHBand="0" w:noVBand="1"/>
      </w:tblPr>
      <w:tblGrid>
        <w:gridCol w:w="4493"/>
        <w:gridCol w:w="1138"/>
        <w:gridCol w:w="1601"/>
        <w:gridCol w:w="1126"/>
        <w:gridCol w:w="1218"/>
      </w:tblGrid>
      <w:tr w:rsidR="00D32271" w:rsidRPr="006D198F" w14:paraId="08717668" w14:textId="77777777" w:rsidTr="00876181">
        <w:trPr>
          <w:trHeight w:val="885"/>
        </w:trPr>
        <w:tc>
          <w:tcPr>
            <w:tcW w:w="2346" w:type="pct"/>
            <w:tcBorders>
              <w:left w:val="nil"/>
              <w:bottom w:val="single" w:sz="4" w:space="0" w:color="auto"/>
              <w:right w:val="nil"/>
            </w:tcBorders>
            <w:shd w:val="clear" w:color="auto" w:fill="6C6F70"/>
            <w:vAlign w:val="bottom"/>
            <w:hideMark/>
          </w:tcPr>
          <w:p w14:paraId="3952AB82" w14:textId="77777777" w:rsidR="00D32271" w:rsidRPr="006D198F" w:rsidRDefault="00D32271" w:rsidP="00876181">
            <w:pPr>
              <w:pStyle w:val="TableHeaderLeft"/>
            </w:pPr>
            <w:bookmarkStart w:id="6" w:name="_Toc473537890"/>
            <w:r w:rsidRPr="006D198F">
              <w:t>Research question</w:t>
            </w:r>
          </w:p>
        </w:tc>
        <w:tc>
          <w:tcPr>
            <w:tcW w:w="594" w:type="pct"/>
            <w:tcBorders>
              <w:left w:val="nil"/>
              <w:bottom w:val="single" w:sz="4" w:space="0" w:color="auto"/>
              <w:right w:val="nil"/>
            </w:tcBorders>
            <w:shd w:val="clear" w:color="auto" w:fill="6C6F70"/>
            <w:vAlign w:val="bottom"/>
            <w:hideMark/>
          </w:tcPr>
          <w:p w14:paraId="338A7F9B" w14:textId="77777777" w:rsidR="00D32271" w:rsidRPr="006D198F" w:rsidRDefault="00D32271" w:rsidP="00876181">
            <w:pPr>
              <w:pStyle w:val="TableHeaderCenter"/>
            </w:pPr>
            <w:r w:rsidRPr="006D198F">
              <w:t>Process analysis</w:t>
            </w:r>
          </w:p>
        </w:tc>
        <w:tc>
          <w:tcPr>
            <w:tcW w:w="836" w:type="pct"/>
            <w:tcBorders>
              <w:left w:val="nil"/>
              <w:bottom w:val="single" w:sz="4" w:space="0" w:color="auto"/>
              <w:right w:val="nil"/>
            </w:tcBorders>
            <w:shd w:val="clear" w:color="auto" w:fill="6C6F70"/>
            <w:vAlign w:val="bottom"/>
            <w:hideMark/>
          </w:tcPr>
          <w:p w14:paraId="634E2DEE" w14:textId="77777777" w:rsidR="00D32271" w:rsidRPr="006D198F" w:rsidRDefault="00D32271" w:rsidP="00876181">
            <w:pPr>
              <w:pStyle w:val="TableHeaderCenter"/>
            </w:pPr>
            <w:r w:rsidRPr="006D198F">
              <w:t>Participation analysis</w:t>
            </w:r>
          </w:p>
        </w:tc>
        <w:tc>
          <w:tcPr>
            <w:tcW w:w="588" w:type="pct"/>
            <w:tcBorders>
              <w:left w:val="nil"/>
              <w:bottom w:val="single" w:sz="4" w:space="0" w:color="auto"/>
              <w:right w:val="nil"/>
            </w:tcBorders>
            <w:shd w:val="clear" w:color="auto" w:fill="6C6F70"/>
            <w:vAlign w:val="bottom"/>
            <w:hideMark/>
          </w:tcPr>
          <w:p w14:paraId="4944EE62" w14:textId="77777777" w:rsidR="00D32271" w:rsidRPr="006D198F" w:rsidRDefault="00D32271" w:rsidP="00876181">
            <w:pPr>
              <w:pStyle w:val="TableHeaderCenter"/>
            </w:pPr>
            <w:r w:rsidRPr="006D198F">
              <w:t>Impact analysis</w:t>
            </w:r>
          </w:p>
        </w:tc>
        <w:tc>
          <w:tcPr>
            <w:tcW w:w="636" w:type="pct"/>
            <w:tcBorders>
              <w:left w:val="nil"/>
              <w:bottom w:val="single" w:sz="4" w:space="0" w:color="auto"/>
              <w:right w:val="nil"/>
            </w:tcBorders>
            <w:shd w:val="clear" w:color="auto" w:fill="6C6F70"/>
            <w:vAlign w:val="bottom"/>
            <w:hideMark/>
          </w:tcPr>
          <w:p w14:paraId="747A0728" w14:textId="77777777" w:rsidR="00D32271" w:rsidRPr="006D198F" w:rsidRDefault="00D32271" w:rsidP="00876181">
            <w:pPr>
              <w:pStyle w:val="TableHeaderCenter"/>
            </w:pPr>
            <w:r w:rsidRPr="006D198F">
              <w:t>Cost-benefit analysis</w:t>
            </w:r>
          </w:p>
        </w:tc>
      </w:tr>
      <w:tr w:rsidR="00D32271" w:rsidRPr="006D198F" w14:paraId="5AFAD6A9" w14:textId="77777777" w:rsidTr="00876181">
        <w:trPr>
          <w:trHeight w:val="202"/>
        </w:trPr>
        <w:tc>
          <w:tcPr>
            <w:tcW w:w="2346" w:type="pct"/>
            <w:tcBorders>
              <w:top w:val="single" w:sz="4" w:space="0" w:color="auto"/>
              <w:left w:val="nil"/>
              <w:bottom w:val="nil"/>
              <w:right w:val="nil"/>
            </w:tcBorders>
            <w:shd w:val="clear" w:color="auto" w:fill="auto"/>
            <w:vAlign w:val="center"/>
            <w:hideMark/>
          </w:tcPr>
          <w:p w14:paraId="03D8246A" w14:textId="77777777" w:rsidR="00D32271" w:rsidRPr="006D198F" w:rsidRDefault="00D32271" w:rsidP="00876181">
            <w:pPr>
              <w:pStyle w:val="TableText"/>
              <w:spacing w:before="40" w:after="40"/>
            </w:pPr>
            <w:r w:rsidRPr="006D198F">
              <w:t xml:space="preserve">What are the impacts of the two POD benefit designs on beneficiaries’ earnings, </w:t>
            </w:r>
            <w:r>
              <w:t>SSDI</w:t>
            </w:r>
            <w:r w:rsidRPr="006D198F">
              <w:t xml:space="preserve"> benefits, total earnings, and income?</w:t>
            </w:r>
          </w:p>
        </w:tc>
        <w:tc>
          <w:tcPr>
            <w:tcW w:w="594" w:type="pct"/>
            <w:tcBorders>
              <w:top w:val="single" w:sz="4" w:space="0" w:color="auto"/>
              <w:left w:val="nil"/>
              <w:bottom w:val="nil"/>
              <w:right w:val="nil"/>
            </w:tcBorders>
            <w:shd w:val="clear" w:color="auto" w:fill="auto"/>
            <w:vAlign w:val="center"/>
            <w:hideMark/>
          </w:tcPr>
          <w:p w14:paraId="15F9A591"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4" w:space="0" w:color="auto"/>
              <w:left w:val="nil"/>
              <w:bottom w:val="nil"/>
              <w:right w:val="nil"/>
            </w:tcBorders>
            <w:shd w:val="clear" w:color="auto" w:fill="auto"/>
            <w:vAlign w:val="center"/>
            <w:hideMark/>
          </w:tcPr>
          <w:p w14:paraId="255161DA"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4" w:space="0" w:color="auto"/>
              <w:left w:val="nil"/>
              <w:bottom w:val="nil"/>
              <w:right w:val="nil"/>
            </w:tcBorders>
            <w:shd w:val="clear" w:color="auto" w:fill="auto"/>
            <w:vAlign w:val="center"/>
            <w:hideMark/>
          </w:tcPr>
          <w:p w14:paraId="3E23A82F" w14:textId="77777777" w:rsidR="00D32271" w:rsidRPr="006D198F" w:rsidRDefault="00D32271" w:rsidP="00876181">
            <w:pPr>
              <w:pStyle w:val="TableText"/>
              <w:spacing w:before="40" w:after="40"/>
              <w:jc w:val="center"/>
            </w:pPr>
            <w:r w:rsidRPr="006D198F">
              <w:t>X</w:t>
            </w:r>
          </w:p>
        </w:tc>
        <w:tc>
          <w:tcPr>
            <w:tcW w:w="636" w:type="pct"/>
            <w:tcBorders>
              <w:top w:val="single" w:sz="4" w:space="0" w:color="auto"/>
              <w:left w:val="nil"/>
              <w:bottom w:val="nil"/>
              <w:right w:val="nil"/>
            </w:tcBorders>
            <w:shd w:val="clear" w:color="auto" w:fill="auto"/>
            <w:vAlign w:val="center"/>
            <w:hideMark/>
          </w:tcPr>
          <w:p w14:paraId="78F7F18E"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53751DB9"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6409F7D2" w14:textId="77777777" w:rsidR="00D32271" w:rsidRPr="006D198F" w:rsidRDefault="00D32271" w:rsidP="00876181">
            <w:pPr>
              <w:pStyle w:val="TableText"/>
              <w:spacing w:before="40" w:after="40"/>
            </w:pPr>
            <w:r w:rsidRPr="006D198F">
              <w:t xml:space="preserve">Is POD attractive to beneficiaries, particularly those whose earnings and benefits </w:t>
            </w:r>
            <w:r w:rsidRPr="00B10EB8">
              <w:t xml:space="preserve">the POD $1-for-$2 </w:t>
            </w:r>
            <w:r w:rsidRPr="00E92B34">
              <w:rPr>
                <w:noProof/>
              </w:rPr>
              <w:t>offset</w:t>
            </w:r>
            <w:r w:rsidRPr="00B10EB8">
              <w:t xml:space="preserve"> </w:t>
            </w:r>
            <w:r w:rsidRPr="006D198F">
              <w:t>would most likely affect? Do they remain engaged over time?</w:t>
            </w:r>
          </w:p>
        </w:tc>
        <w:tc>
          <w:tcPr>
            <w:tcW w:w="594" w:type="pct"/>
            <w:tcBorders>
              <w:top w:val="single" w:sz="8" w:space="0" w:color="auto"/>
              <w:left w:val="nil"/>
              <w:bottom w:val="nil"/>
              <w:right w:val="nil"/>
            </w:tcBorders>
            <w:shd w:val="clear" w:color="auto" w:fill="auto"/>
            <w:vAlign w:val="center"/>
            <w:hideMark/>
          </w:tcPr>
          <w:p w14:paraId="6D7518BD"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nil"/>
              <w:right w:val="nil"/>
            </w:tcBorders>
            <w:shd w:val="clear" w:color="auto" w:fill="auto"/>
            <w:vAlign w:val="center"/>
            <w:hideMark/>
          </w:tcPr>
          <w:p w14:paraId="4043089D" w14:textId="77777777" w:rsidR="00D32271" w:rsidRPr="006D198F" w:rsidRDefault="00D32271" w:rsidP="00876181">
            <w:pPr>
              <w:pStyle w:val="TableText"/>
              <w:spacing w:before="40" w:after="40"/>
              <w:jc w:val="center"/>
            </w:pPr>
            <w:r w:rsidRPr="006D198F">
              <w:t>X</w:t>
            </w:r>
          </w:p>
        </w:tc>
        <w:tc>
          <w:tcPr>
            <w:tcW w:w="588" w:type="pct"/>
            <w:tcBorders>
              <w:top w:val="single" w:sz="8" w:space="0" w:color="auto"/>
              <w:left w:val="nil"/>
              <w:bottom w:val="nil"/>
              <w:right w:val="nil"/>
            </w:tcBorders>
            <w:shd w:val="clear" w:color="auto" w:fill="auto"/>
            <w:vAlign w:val="center"/>
            <w:hideMark/>
          </w:tcPr>
          <w:p w14:paraId="66AE55E9"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4922B48B"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1427CA20"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4F022B42" w14:textId="77777777" w:rsidR="00D32271" w:rsidRPr="006D198F" w:rsidRDefault="00D32271" w:rsidP="00876181">
            <w:pPr>
              <w:pStyle w:val="TableText"/>
              <w:spacing w:before="40" w:after="40"/>
            </w:pPr>
            <w:r w:rsidRPr="006D198F">
              <w:t>How were the POD offset policies implemented, and what operational, systemic, or contextual factors facilitated or posed challenges to administering the offset?</w:t>
            </w:r>
          </w:p>
        </w:tc>
        <w:tc>
          <w:tcPr>
            <w:tcW w:w="594" w:type="pct"/>
            <w:tcBorders>
              <w:top w:val="single" w:sz="8" w:space="0" w:color="auto"/>
              <w:left w:val="nil"/>
              <w:bottom w:val="nil"/>
              <w:right w:val="nil"/>
            </w:tcBorders>
            <w:shd w:val="clear" w:color="auto" w:fill="auto"/>
            <w:vAlign w:val="center"/>
            <w:hideMark/>
          </w:tcPr>
          <w:p w14:paraId="21424FC8" w14:textId="77777777" w:rsidR="00D32271" w:rsidRPr="006D198F" w:rsidRDefault="00D32271" w:rsidP="00876181">
            <w:pPr>
              <w:pStyle w:val="TableText"/>
              <w:spacing w:before="40" w:after="40"/>
              <w:jc w:val="center"/>
            </w:pPr>
            <w:r w:rsidRPr="006D198F">
              <w:t>X</w:t>
            </w:r>
          </w:p>
        </w:tc>
        <w:tc>
          <w:tcPr>
            <w:tcW w:w="836" w:type="pct"/>
            <w:tcBorders>
              <w:top w:val="single" w:sz="8" w:space="0" w:color="auto"/>
              <w:left w:val="nil"/>
              <w:bottom w:val="nil"/>
              <w:right w:val="nil"/>
            </w:tcBorders>
            <w:shd w:val="clear" w:color="auto" w:fill="auto"/>
            <w:vAlign w:val="center"/>
            <w:hideMark/>
          </w:tcPr>
          <w:p w14:paraId="07FB661B"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nil"/>
              <w:right w:val="nil"/>
            </w:tcBorders>
            <w:shd w:val="clear" w:color="auto" w:fill="auto"/>
            <w:vAlign w:val="center"/>
            <w:hideMark/>
          </w:tcPr>
          <w:p w14:paraId="5288C0FF"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6360D066"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39B6F425"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5581E4C5" w14:textId="77777777" w:rsidR="00D32271" w:rsidRPr="006D198F" w:rsidRDefault="00D32271" w:rsidP="00876181">
            <w:pPr>
              <w:pStyle w:val="TableText"/>
              <w:spacing w:before="40" w:after="40"/>
            </w:pPr>
            <w:r w:rsidRPr="006D198F">
              <w:t>How successful were POD and SSA in making timely benefit adjustments, and what factors affected timeliness positively or negatively?</w:t>
            </w:r>
          </w:p>
        </w:tc>
        <w:tc>
          <w:tcPr>
            <w:tcW w:w="594" w:type="pct"/>
            <w:tcBorders>
              <w:top w:val="single" w:sz="8" w:space="0" w:color="auto"/>
              <w:left w:val="nil"/>
              <w:bottom w:val="nil"/>
              <w:right w:val="nil"/>
            </w:tcBorders>
            <w:shd w:val="clear" w:color="auto" w:fill="auto"/>
            <w:vAlign w:val="center"/>
            <w:hideMark/>
          </w:tcPr>
          <w:p w14:paraId="73324DC7" w14:textId="77777777" w:rsidR="00D32271" w:rsidRPr="006D198F" w:rsidRDefault="00D32271" w:rsidP="00876181">
            <w:pPr>
              <w:pStyle w:val="TableText"/>
              <w:spacing w:before="40" w:after="40"/>
              <w:jc w:val="center"/>
            </w:pPr>
            <w:r w:rsidRPr="006D198F">
              <w:t>X</w:t>
            </w:r>
          </w:p>
        </w:tc>
        <w:tc>
          <w:tcPr>
            <w:tcW w:w="836" w:type="pct"/>
            <w:tcBorders>
              <w:top w:val="single" w:sz="8" w:space="0" w:color="auto"/>
              <w:left w:val="nil"/>
              <w:bottom w:val="nil"/>
              <w:right w:val="nil"/>
            </w:tcBorders>
            <w:shd w:val="clear" w:color="auto" w:fill="auto"/>
            <w:vAlign w:val="center"/>
            <w:hideMark/>
          </w:tcPr>
          <w:p w14:paraId="6BDEC0EE"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nil"/>
              <w:right w:val="nil"/>
            </w:tcBorders>
            <w:shd w:val="clear" w:color="auto" w:fill="auto"/>
            <w:vAlign w:val="center"/>
            <w:hideMark/>
          </w:tcPr>
          <w:p w14:paraId="5B9C4B31"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15FD83D3"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032FB2FE"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3AC0F5A6" w14:textId="77777777" w:rsidR="00D32271" w:rsidRPr="006D198F" w:rsidRDefault="00D32271" w:rsidP="00876181">
            <w:pPr>
              <w:pStyle w:val="TableText"/>
              <w:spacing w:before="40" w:after="40"/>
            </w:pPr>
            <w:r w:rsidRPr="006D198F">
              <w:t>How do the impacts of the POD offset policies vary with beneficiar</w:t>
            </w:r>
            <w:r>
              <w:t>ies’</w:t>
            </w:r>
            <w:r w:rsidRPr="006D198F">
              <w:t xml:space="preserve"> characteristics?</w:t>
            </w:r>
          </w:p>
        </w:tc>
        <w:tc>
          <w:tcPr>
            <w:tcW w:w="594" w:type="pct"/>
            <w:tcBorders>
              <w:top w:val="single" w:sz="8" w:space="0" w:color="auto"/>
              <w:left w:val="nil"/>
              <w:bottom w:val="nil"/>
              <w:right w:val="nil"/>
            </w:tcBorders>
            <w:shd w:val="clear" w:color="auto" w:fill="auto"/>
            <w:vAlign w:val="center"/>
            <w:hideMark/>
          </w:tcPr>
          <w:p w14:paraId="179CC2B7"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nil"/>
              <w:right w:val="nil"/>
            </w:tcBorders>
            <w:shd w:val="clear" w:color="auto" w:fill="auto"/>
            <w:vAlign w:val="center"/>
            <w:hideMark/>
          </w:tcPr>
          <w:p w14:paraId="73E69F0C" w14:textId="77777777" w:rsidR="00D32271" w:rsidRPr="006D198F" w:rsidRDefault="00D32271" w:rsidP="00876181">
            <w:pPr>
              <w:pStyle w:val="TableText"/>
              <w:spacing w:before="40" w:after="40"/>
              <w:jc w:val="center"/>
            </w:pPr>
            <w:r w:rsidRPr="006D198F">
              <w:t>X</w:t>
            </w:r>
          </w:p>
        </w:tc>
        <w:tc>
          <w:tcPr>
            <w:tcW w:w="588" w:type="pct"/>
            <w:tcBorders>
              <w:top w:val="single" w:sz="8" w:space="0" w:color="auto"/>
              <w:left w:val="nil"/>
              <w:bottom w:val="nil"/>
              <w:right w:val="nil"/>
            </w:tcBorders>
            <w:shd w:val="clear" w:color="auto" w:fill="auto"/>
            <w:vAlign w:val="center"/>
            <w:hideMark/>
          </w:tcPr>
          <w:p w14:paraId="717094E1" w14:textId="77777777" w:rsidR="00D32271" w:rsidRPr="006D198F" w:rsidRDefault="00D32271" w:rsidP="00876181">
            <w:pPr>
              <w:pStyle w:val="TableText"/>
              <w:spacing w:before="40" w:after="40"/>
              <w:jc w:val="center"/>
            </w:pPr>
            <w:r w:rsidRPr="006D198F">
              <w:t>X</w:t>
            </w:r>
          </w:p>
        </w:tc>
        <w:tc>
          <w:tcPr>
            <w:tcW w:w="636" w:type="pct"/>
            <w:tcBorders>
              <w:top w:val="single" w:sz="8" w:space="0" w:color="auto"/>
              <w:left w:val="nil"/>
              <w:bottom w:val="nil"/>
              <w:right w:val="nil"/>
            </w:tcBorders>
            <w:shd w:val="clear" w:color="auto" w:fill="auto"/>
            <w:vAlign w:val="center"/>
            <w:hideMark/>
          </w:tcPr>
          <w:p w14:paraId="070C6FF5"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5F8291E2" w14:textId="77777777" w:rsidTr="00876181">
        <w:trPr>
          <w:trHeight w:val="202"/>
        </w:trPr>
        <w:tc>
          <w:tcPr>
            <w:tcW w:w="2346" w:type="pct"/>
            <w:tcBorders>
              <w:top w:val="single" w:sz="8" w:space="0" w:color="auto"/>
              <w:left w:val="nil"/>
              <w:bottom w:val="single" w:sz="8" w:space="0" w:color="auto"/>
              <w:right w:val="nil"/>
            </w:tcBorders>
            <w:shd w:val="clear" w:color="auto" w:fill="auto"/>
            <w:vAlign w:val="center"/>
            <w:hideMark/>
          </w:tcPr>
          <w:p w14:paraId="57F27B76" w14:textId="77777777" w:rsidR="00D32271" w:rsidRPr="006D198F" w:rsidRDefault="00D32271" w:rsidP="00876181">
            <w:pPr>
              <w:pStyle w:val="TableText"/>
              <w:spacing w:before="40" w:after="40"/>
            </w:pPr>
            <w:r w:rsidRPr="006D198F">
              <w:t xml:space="preserve">What are the costs and benefits of the POD benefit designs relative to current law, and what are the implications for the </w:t>
            </w:r>
            <w:r>
              <w:t>SSDI</w:t>
            </w:r>
            <w:r w:rsidRPr="006D198F">
              <w:t xml:space="preserve"> trust fund?</w:t>
            </w:r>
          </w:p>
        </w:tc>
        <w:tc>
          <w:tcPr>
            <w:tcW w:w="594" w:type="pct"/>
            <w:tcBorders>
              <w:top w:val="single" w:sz="8" w:space="0" w:color="auto"/>
              <w:left w:val="nil"/>
              <w:bottom w:val="single" w:sz="8" w:space="0" w:color="auto"/>
              <w:right w:val="nil"/>
            </w:tcBorders>
            <w:shd w:val="clear" w:color="auto" w:fill="auto"/>
            <w:vAlign w:val="center"/>
            <w:hideMark/>
          </w:tcPr>
          <w:p w14:paraId="0C7738C3"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single" w:sz="8" w:space="0" w:color="auto"/>
              <w:right w:val="nil"/>
            </w:tcBorders>
            <w:shd w:val="clear" w:color="auto" w:fill="auto"/>
            <w:vAlign w:val="center"/>
            <w:hideMark/>
          </w:tcPr>
          <w:p w14:paraId="54C9419E"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single" w:sz="8" w:space="0" w:color="auto"/>
              <w:right w:val="nil"/>
            </w:tcBorders>
            <w:shd w:val="clear" w:color="auto" w:fill="auto"/>
            <w:vAlign w:val="center"/>
            <w:hideMark/>
          </w:tcPr>
          <w:p w14:paraId="47E72DC1"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single" w:sz="8" w:space="0" w:color="auto"/>
              <w:right w:val="nil"/>
            </w:tcBorders>
            <w:shd w:val="clear" w:color="auto" w:fill="auto"/>
            <w:vAlign w:val="center"/>
            <w:hideMark/>
          </w:tcPr>
          <w:p w14:paraId="0AD31969" w14:textId="77777777" w:rsidR="00D32271" w:rsidRPr="006D198F" w:rsidRDefault="00D32271" w:rsidP="00876181">
            <w:pPr>
              <w:pStyle w:val="TableText"/>
              <w:spacing w:before="40" w:after="40"/>
              <w:jc w:val="center"/>
            </w:pPr>
            <w:r w:rsidRPr="006D198F">
              <w:t>X</w:t>
            </w:r>
          </w:p>
        </w:tc>
      </w:tr>
      <w:tr w:rsidR="00D32271" w:rsidRPr="006D198F" w14:paraId="2D8D7101" w14:textId="77777777" w:rsidTr="00876181">
        <w:trPr>
          <w:trHeight w:val="202"/>
        </w:trPr>
        <w:tc>
          <w:tcPr>
            <w:tcW w:w="2346" w:type="pct"/>
            <w:tcBorders>
              <w:top w:val="single" w:sz="8" w:space="0" w:color="auto"/>
              <w:left w:val="nil"/>
              <w:bottom w:val="single" w:sz="4" w:space="0" w:color="auto"/>
              <w:right w:val="nil"/>
            </w:tcBorders>
            <w:shd w:val="clear" w:color="auto" w:fill="auto"/>
            <w:vAlign w:val="center"/>
            <w:hideMark/>
          </w:tcPr>
          <w:p w14:paraId="2F23628B" w14:textId="77777777" w:rsidR="00D32271" w:rsidRPr="006D198F" w:rsidRDefault="00D32271" w:rsidP="00876181">
            <w:pPr>
              <w:pStyle w:val="TableText"/>
              <w:spacing w:before="40" w:after="40"/>
            </w:pPr>
            <w:r w:rsidRPr="006D198F">
              <w:t xml:space="preserve">What are the implications of the POD findings for national policy proposals that would include a </w:t>
            </w:r>
            <w:r>
              <w:t>SSDI</w:t>
            </w:r>
            <w:r w:rsidRPr="006D198F">
              <w:t xml:space="preserve"> benefit offset? </w:t>
            </w:r>
          </w:p>
        </w:tc>
        <w:tc>
          <w:tcPr>
            <w:tcW w:w="594" w:type="pct"/>
            <w:tcBorders>
              <w:top w:val="single" w:sz="8" w:space="0" w:color="auto"/>
              <w:left w:val="nil"/>
              <w:bottom w:val="single" w:sz="4" w:space="0" w:color="auto"/>
              <w:right w:val="nil"/>
            </w:tcBorders>
            <w:shd w:val="clear" w:color="auto" w:fill="auto"/>
            <w:vAlign w:val="center"/>
            <w:hideMark/>
          </w:tcPr>
          <w:p w14:paraId="7B88475C"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single" w:sz="4" w:space="0" w:color="auto"/>
              <w:right w:val="nil"/>
            </w:tcBorders>
            <w:shd w:val="clear" w:color="auto" w:fill="auto"/>
            <w:vAlign w:val="center"/>
            <w:hideMark/>
          </w:tcPr>
          <w:p w14:paraId="36267E99"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single" w:sz="4" w:space="0" w:color="auto"/>
              <w:right w:val="nil"/>
            </w:tcBorders>
            <w:shd w:val="clear" w:color="auto" w:fill="auto"/>
            <w:vAlign w:val="center"/>
            <w:hideMark/>
          </w:tcPr>
          <w:p w14:paraId="7DD375E4" w14:textId="77777777" w:rsidR="00D32271" w:rsidRPr="006D198F" w:rsidRDefault="00D32271" w:rsidP="00876181">
            <w:pPr>
              <w:pStyle w:val="TableText"/>
              <w:spacing w:before="40" w:after="40"/>
              <w:jc w:val="center"/>
            </w:pPr>
            <w:r w:rsidRPr="006D198F">
              <w:t>X</w:t>
            </w:r>
          </w:p>
        </w:tc>
        <w:tc>
          <w:tcPr>
            <w:tcW w:w="636" w:type="pct"/>
            <w:tcBorders>
              <w:top w:val="single" w:sz="8" w:space="0" w:color="auto"/>
              <w:left w:val="nil"/>
              <w:bottom w:val="single" w:sz="4" w:space="0" w:color="auto"/>
              <w:right w:val="nil"/>
            </w:tcBorders>
            <w:shd w:val="clear" w:color="auto" w:fill="auto"/>
            <w:vAlign w:val="center"/>
            <w:hideMark/>
          </w:tcPr>
          <w:p w14:paraId="345EA284" w14:textId="77777777" w:rsidR="00D32271" w:rsidRPr="006D198F" w:rsidRDefault="00D32271" w:rsidP="00876181">
            <w:pPr>
              <w:pStyle w:val="TableText"/>
              <w:spacing w:before="40" w:after="40"/>
              <w:jc w:val="center"/>
            </w:pPr>
            <w:r w:rsidRPr="006D198F">
              <w:t>X</w:t>
            </w:r>
          </w:p>
        </w:tc>
      </w:tr>
      <w:bookmarkEnd w:id="6"/>
    </w:tbl>
    <w:p w14:paraId="0B8B01BA" w14:textId="19B2EB01" w:rsidR="00D32271" w:rsidRPr="000C60E0" w:rsidRDefault="00D32271" w:rsidP="006B5DE8">
      <w:pPr>
        <w:spacing w:after="0" w:line="240" w:lineRule="auto"/>
        <w:rPr>
          <w:szCs w:val="24"/>
        </w:rPr>
      </w:pPr>
    </w:p>
    <w:p w14:paraId="636AF127" w14:textId="1026A686" w:rsidR="00925C0D" w:rsidRPr="000C60E0" w:rsidRDefault="00C846E2" w:rsidP="0028137D">
      <w:pPr>
        <w:pStyle w:val="NormalSS"/>
        <w:rPr>
          <w:b/>
          <w:i/>
          <w:szCs w:val="24"/>
        </w:rPr>
      </w:pPr>
      <w:r>
        <w:rPr>
          <w:b/>
          <w:i/>
          <w:szCs w:val="24"/>
        </w:rPr>
        <w:t>Cautious interpretation of the evaluation findings based on a study sample of volunteers</w:t>
      </w:r>
      <w:r w:rsidR="00D42A3E">
        <w:rPr>
          <w:b/>
          <w:i/>
          <w:szCs w:val="24"/>
        </w:rPr>
        <w:t>.</w:t>
      </w:r>
      <w:r w:rsidR="00200940">
        <w:rPr>
          <w:b/>
          <w:i/>
          <w:szCs w:val="24"/>
        </w:rPr>
        <w:t xml:space="preserve"> </w:t>
      </w:r>
      <w:r w:rsidR="00925C0D" w:rsidRPr="0001480A">
        <w:rPr>
          <w:szCs w:val="24"/>
        </w:rPr>
        <w:t xml:space="preserve">In developing the POD evaluation reports, we will develop a cohesive understanding of </w:t>
      </w:r>
      <w:r w:rsidR="00182909">
        <w:rPr>
          <w:szCs w:val="24"/>
        </w:rPr>
        <w:t>the</w:t>
      </w:r>
      <w:r w:rsidR="00397157">
        <w:rPr>
          <w:szCs w:val="24"/>
        </w:rPr>
        <w:t xml:space="preserve"> types of SSDI beneficiaries </w:t>
      </w:r>
      <w:r w:rsidR="00182909">
        <w:rPr>
          <w:szCs w:val="24"/>
        </w:rPr>
        <w:t xml:space="preserve">who </w:t>
      </w:r>
      <w:r w:rsidR="00397157">
        <w:rPr>
          <w:szCs w:val="24"/>
        </w:rPr>
        <w:t xml:space="preserve">volunteer for the demonstration and how the </w:t>
      </w:r>
      <w:r w:rsidR="00925C0D" w:rsidRPr="0001480A">
        <w:rPr>
          <w:szCs w:val="24"/>
        </w:rPr>
        <w:t>POD benefit offset affect</w:t>
      </w:r>
      <w:r w:rsidR="00182909">
        <w:rPr>
          <w:szCs w:val="24"/>
        </w:rPr>
        <w:t>s</w:t>
      </w:r>
      <w:r w:rsidR="00925C0D" w:rsidRPr="0001480A">
        <w:rPr>
          <w:szCs w:val="24"/>
        </w:rPr>
        <w:t xml:space="preserve"> </w:t>
      </w:r>
      <w:r w:rsidR="00397157">
        <w:rPr>
          <w:szCs w:val="24"/>
        </w:rPr>
        <w:t>th</w:t>
      </w:r>
      <w:r w:rsidR="00182909">
        <w:rPr>
          <w:szCs w:val="24"/>
        </w:rPr>
        <w:t>em</w:t>
      </w:r>
      <w:r w:rsidR="00925C0D" w:rsidRPr="0001480A">
        <w:rPr>
          <w:szCs w:val="24"/>
        </w:rPr>
        <w:t xml:space="preserve">. </w:t>
      </w:r>
      <w:r w:rsidR="00182909">
        <w:rPr>
          <w:szCs w:val="24"/>
        </w:rPr>
        <w:t xml:space="preserve"> </w:t>
      </w:r>
      <w:r w:rsidR="00925C0D" w:rsidRPr="0001480A">
        <w:rPr>
          <w:szCs w:val="24"/>
        </w:rPr>
        <w:t xml:space="preserve">Our integrated approach will </w:t>
      </w:r>
      <w:r w:rsidR="00182909">
        <w:rPr>
          <w:szCs w:val="24"/>
        </w:rPr>
        <w:t>enable</w:t>
      </w:r>
      <w:r w:rsidR="00925C0D" w:rsidRPr="0001480A">
        <w:rPr>
          <w:szCs w:val="24"/>
        </w:rPr>
        <w:t xml:space="preserve"> us to assess not only whether the POD benefit offset policies were effective in increasing income and self-sufficiency</w:t>
      </w:r>
      <w:r>
        <w:rPr>
          <w:szCs w:val="24"/>
        </w:rPr>
        <w:t xml:space="preserve"> for this group</w:t>
      </w:r>
      <w:r w:rsidR="00925C0D" w:rsidRPr="0001480A">
        <w:rPr>
          <w:szCs w:val="24"/>
        </w:rPr>
        <w:t xml:space="preserve">, but for whom (which </w:t>
      </w:r>
      <w:r w:rsidR="00200940">
        <w:rPr>
          <w:szCs w:val="24"/>
        </w:rPr>
        <w:t xml:space="preserve">subgroups </w:t>
      </w:r>
      <w:r w:rsidR="00925C0D" w:rsidRPr="0001480A">
        <w:rPr>
          <w:szCs w:val="24"/>
        </w:rPr>
        <w:t xml:space="preserve">of beneficiaries) and where (in which implementation settings) the offset policies were more effective. </w:t>
      </w:r>
      <w:r w:rsidR="00182909">
        <w:rPr>
          <w:szCs w:val="24"/>
        </w:rPr>
        <w:t xml:space="preserve"> </w:t>
      </w:r>
      <w:r w:rsidR="00925C0D" w:rsidRPr="0001480A">
        <w:rPr>
          <w:szCs w:val="24"/>
        </w:rPr>
        <w:t xml:space="preserve">The resulting findings will </w:t>
      </w:r>
      <w:r w:rsidR="00182909">
        <w:rPr>
          <w:szCs w:val="24"/>
        </w:rPr>
        <w:t>enable</w:t>
      </w:r>
      <w:r w:rsidR="00925C0D" w:rsidRPr="0001480A">
        <w:rPr>
          <w:szCs w:val="24"/>
        </w:rPr>
        <w:t xml:space="preserve"> us to develop a broad understanding of potential replicability</w:t>
      </w:r>
      <w:r w:rsidR="000C60E0" w:rsidRPr="0001480A">
        <w:rPr>
          <w:szCs w:val="24"/>
        </w:rPr>
        <w:t xml:space="preserve"> for a </w:t>
      </w:r>
      <w:r w:rsidR="00200940">
        <w:rPr>
          <w:szCs w:val="24"/>
        </w:rPr>
        <w:t xml:space="preserve">similar </w:t>
      </w:r>
      <w:r w:rsidR="000C60E0" w:rsidRPr="0001480A">
        <w:rPr>
          <w:szCs w:val="24"/>
        </w:rPr>
        <w:t>sample of volunteers</w:t>
      </w:r>
      <w:r w:rsidR="00925C0D" w:rsidRPr="0001480A">
        <w:rPr>
          <w:szCs w:val="24"/>
        </w:rPr>
        <w:t xml:space="preserve"> and </w:t>
      </w:r>
      <w:r w:rsidR="00200940">
        <w:rPr>
          <w:szCs w:val="24"/>
        </w:rPr>
        <w:t xml:space="preserve">ways in which </w:t>
      </w:r>
      <w:r w:rsidR="00925C0D" w:rsidRPr="0001480A">
        <w:rPr>
          <w:szCs w:val="24"/>
        </w:rPr>
        <w:t>the POD benefit offset policies</w:t>
      </w:r>
      <w:r w:rsidR="00200940">
        <w:rPr>
          <w:szCs w:val="24"/>
        </w:rPr>
        <w:t xml:space="preserve"> might be improved or better targeted for such a group</w:t>
      </w:r>
      <w:r w:rsidR="00925C0D" w:rsidRPr="0001480A">
        <w:rPr>
          <w:szCs w:val="24"/>
        </w:rPr>
        <w:t>.</w:t>
      </w:r>
      <w:r w:rsidR="000C60E0" w:rsidRPr="0001480A">
        <w:rPr>
          <w:szCs w:val="24"/>
        </w:rPr>
        <w:t xml:space="preserve">  </w:t>
      </w:r>
    </w:p>
    <w:p w14:paraId="0930A104" w14:textId="35CF2A63" w:rsidR="000C60E0" w:rsidRPr="00C2700A" w:rsidRDefault="00697035" w:rsidP="00A87B93">
      <w:pPr>
        <w:pStyle w:val="NormalSS"/>
        <w:rPr>
          <w:szCs w:val="24"/>
        </w:rPr>
      </w:pPr>
      <w:r>
        <w:rPr>
          <w:szCs w:val="24"/>
        </w:rPr>
        <w:t xml:space="preserve">Any broader implications drawn from </w:t>
      </w:r>
      <w:r w:rsidR="00200940">
        <w:rPr>
          <w:szCs w:val="24"/>
        </w:rPr>
        <w:t xml:space="preserve">the </w:t>
      </w:r>
      <w:r w:rsidR="000C60E0" w:rsidRPr="00AA5A34">
        <w:rPr>
          <w:szCs w:val="24"/>
        </w:rPr>
        <w:t xml:space="preserve">impacts </w:t>
      </w:r>
      <w:r>
        <w:rPr>
          <w:szCs w:val="24"/>
        </w:rPr>
        <w:t xml:space="preserve">found in the evaluation will be undertaken cautiously due to the </w:t>
      </w:r>
      <w:r w:rsidR="000C60E0" w:rsidRPr="00586317">
        <w:rPr>
          <w:szCs w:val="24"/>
        </w:rPr>
        <w:t xml:space="preserve">Public Law 114-74 </w:t>
      </w:r>
      <w:r>
        <w:rPr>
          <w:szCs w:val="24"/>
        </w:rPr>
        <w:t xml:space="preserve">requirement </w:t>
      </w:r>
      <w:r w:rsidR="000C60E0" w:rsidRPr="00586317">
        <w:rPr>
          <w:szCs w:val="24"/>
        </w:rPr>
        <w:t xml:space="preserve">that the demonstration </w:t>
      </w:r>
      <w:r w:rsidR="000C60E0" w:rsidRPr="00E92B34">
        <w:rPr>
          <w:noProof/>
          <w:szCs w:val="24"/>
        </w:rPr>
        <w:t>include</w:t>
      </w:r>
      <w:r w:rsidR="000C60E0" w:rsidRPr="00586317">
        <w:rPr>
          <w:szCs w:val="24"/>
        </w:rPr>
        <w:t xml:space="preserve"> </w:t>
      </w:r>
      <w:r w:rsidR="000C60E0" w:rsidRPr="00E86704">
        <w:rPr>
          <w:szCs w:val="24"/>
        </w:rPr>
        <w:t xml:space="preserve">volunteers who provide informed </w:t>
      </w:r>
      <w:r w:rsidR="000C60E0" w:rsidRPr="006761C9">
        <w:rPr>
          <w:color w:val="000000"/>
          <w:szCs w:val="24"/>
        </w:rPr>
        <w:t>consent</w:t>
      </w:r>
      <w:r w:rsidR="000C60E0" w:rsidRPr="00C357CC">
        <w:rPr>
          <w:color w:val="000000"/>
          <w:szCs w:val="24"/>
        </w:rPr>
        <w:t xml:space="preserve">. </w:t>
      </w:r>
      <w:r w:rsidR="00182909">
        <w:rPr>
          <w:color w:val="000000"/>
          <w:szCs w:val="24"/>
        </w:rPr>
        <w:t xml:space="preserve"> </w:t>
      </w:r>
      <w:r>
        <w:rPr>
          <w:color w:val="000000"/>
          <w:szCs w:val="24"/>
        </w:rPr>
        <w:t>The evaluation team’s detailed participation analysis will provide information about the types of SSDI beneficiaries who enrolled in POD</w:t>
      </w:r>
      <w:r w:rsidR="00A87B93">
        <w:rPr>
          <w:color w:val="000000"/>
          <w:szCs w:val="24"/>
        </w:rPr>
        <w:t xml:space="preserve"> and, therefore, to whom the results are applicable. </w:t>
      </w:r>
      <w:r w:rsidR="00182909">
        <w:rPr>
          <w:color w:val="000000"/>
          <w:szCs w:val="24"/>
        </w:rPr>
        <w:t xml:space="preserve"> </w:t>
      </w:r>
      <w:r w:rsidR="00A87B93">
        <w:rPr>
          <w:szCs w:val="24"/>
        </w:rPr>
        <w:t>It is likely</w:t>
      </w:r>
      <w:r w:rsidR="00925C0D" w:rsidRPr="003F1D08">
        <w:rPr>
          <w:szCs w:val="24"/>
        </w:rPr>
        <w:t xml:space="preserve"> that </w:t>
      </w:r>
      <w:r w:rsidR="00A87B93">
        <w:rPr>
          <w:szCs w:val="24"/>
        </w:rPr>
        <w:t xml:space="preserve">these </w:t>
      </w:r>
      <w:r w:rsidR="00925C0D" w:rsidRPr="003F1D08">
        <w:rPr>
          <w:szCs w:val="24"/>
        </w:rPr>
        <w:t>informed volunteer</w:t>
      </w:r>
      <w:r w:rsidR="001C7ABC">
        <w:rPr>
          <w:szCs w:val="24"/>
        </w:rPr>
        <w:t>s</w:t>
      </w:r>
      <w:r w:rsidR="00925C0D" w:rsidRPr="003F1D08">
        <w:rPr>
          <w:szCs w:val="24"/>
        </w:rPr>
        <w:t xml:space="preserve"> </w:t>
      </w:r>
      <w:r w:rsidR="00A87B93">
        <w:rPr>
          <w:szCs w:val="24"/>
        </w:rPr>
        <w:t xml:space="preserve">constitute mainly those beneficiaries who </w:t>
      </w:r>
      <w:r w:rsidR="00925C0D" w:rsidRPr="003F1D08">
        <w:rPr>
          <w:szCs w:val="24"/>
        </w:rPr>
        <w:t xml:space="preserve">believe that assignment to one of the treatment groups will benefit them—that over the course of the demonstration they will work and earn enough to be better off under the POD design than they would be under current law. </w:t>
      </w:r>
      <w:r w:rsidR="00182909">
        <w:rPr>
          <w:szCs w:val="24"/>
        </w:rPr>
        <w:t xml:space="preserve"> </w:t>
      </w:r>
      <w:r w:rsidR="00925C0D" w:rsidRPr="003F1D08">
        <w:rPr>
          <w:szCs w:val="24"/>
        </w:rPr>
        <w:t xml:space="preserve">Volunteers’ expectations about future earnings could be wrong, and their understanding about the POD design </w:t>
      </w:r>
      <w:r w:rsidR="00E16BAE">
        <w:rPr>
          <w:szCs w:val="24"/>
        </w:rPr>
        <w:t xml:space="preserve">could be </w:t>
      </w:r>
      <w:r w:rsidR="00925C0D" w:rsidRPr="003F1D08">
        <w:rPr>
          <w:szCs w:val="24"/>
        </w:rPr>
        <w:t xml:space="preserve">less than complete, so at least some volunteers will ultimately not benefit from the POD design. </w:t>
      </w:r>
      <w:r w:rsidR="00182909">
        <w:rPr>
          <w:szCs w:val="24"/>
        </w:rPr>
        <w:t xml:space="preserve"> </w:t>
      </w:r>
      <w:r w:rsidR="005F3CBB">
        <w:rPr>
          <w:szCs w:val="24"/>
        </w:rPr>
        <w:t>B</w:t>
      </w:r>
      <w:r w:rsidR="009C7978">
        <w:rPr>
          <w:szCs w:val="24"/>
        </w:rPr>
        <w:t xml:space="preserve">ased on theoretical expectations, </w:t>
      </w:r>
      <w:r w:rsidR="005F3CBB">
        <w:rPr>
          <w:szCs w:val="24"/>
        </w:rPr>
        <w:t>w</w:t>
      </w:r>
      <w:r w:rsidR="009C7978">
        <w:rPr>
          <w:szCs w:val="24"/>
        </w:rPr>
        <w:t xml:space="preserve">e </w:t>
      </w:r>
      <w:r w:rsidR="001B51E8">
        <w:rPr>
          <w:szCs w:val="24"/>
        </w:rPr>
        <w:t>anticipate</w:t>
      </w:r>
      <w:r w:rsidR="009C7978">
        <w:rPr>
          <w:szCs w:val="24"/>
        </w:rPr>
        <w:t xml:space="preserve"> the following beneficiary groups will likely have more incentive to volunteer relative to other beneficiaries: </w:t>
      </w:r>
      <w:r w:rsidR="00182909">
        <w:rPr>
          <w:szCs w:val="24"/>
        </w:rPr>
        <w:t xml:space="preserve"> </w:t>
      </w:r>
      <w:r w:rsidR="00925C0D" w:rsidRPr="003F1D08">
        <w:rPr>
          <w:szCs w:val="24"/>
        </w:rPr>
        <w:t xml:space="preserve">those with relatively higher benefit amounts, more substantial earnings at baseline, </w:t>
      </w:r>
      <w:r w:rsidR="00DF63FE">
        <w:rPr>
          <w:szCs w:val="24"/>
        </w:rPr>
        <w:t xml:space="preserve">and </w:t>
      </w:r>
      <w:r w:rsidR="00925C0D" w:rsidRPr="003F1D08">
        <w:rPr>
          <w:szCs w:val="24"/>
        </w:rPr>
        <w:t xml:space="preserve">no </w:t>
      </w:r>
      <w:r w:rsidR="00DF63FE">
        <w:rPr>
          <w:szCs w:val="24"/>
        </w:rPr>
        <w:t xml:space="preserve">receipt of </w:t>
      </w:r>
      <w:r w:rsidR="00925C0D" w:rsidRPr="003F1D08">
        <w:rPr>
          <w:szCs w:val="24"/>
        </w:rPr>
        <w:t xml:space="preserve">SSI or other benefits (such as private disability insurance), </w:t>
      </w:r>
      <w:r w:rsidR="00DF63FE">
        <w:rPr>
          <w:szCs w:val="24"/>
        </w:rPr>
        <w:t xml:space="preserve">as well as those </w:t>
      </w:r>
      <w:r w:rsidR="00925C0D" w:rsidRPr="003F1D08">
        <w:rPr>
          <w:szCs w:val="24"/>
        </w:rPr>
        <w:t>who are near or past their Grace Period</w:t>
      </w:r>
      <w:r w:rsidR="00925C0D" w:rsidRPr="00B0174F">
        <w:rPr>
          <w:szCs w:val="24"/>
        </w:rPr>
        <w:t>.</w:t>
      </w:r>
      <w:r w:rsidR="000C60E0" w:rsidRPr="00B0174F">
        <w:rPr>
          <w:szCs w:val="24"/>
        </w:rPr>
        <w:t xml:space="preserve"> </w:t>
      </w:r>
      <w:r w:rsidR="00182909">
        <w:rPr>
          <w:szCs w:val="24"/>
        </w:rPr>
        <w:t xml:space="preserve"> </w:t>
      </w:r>
      <w:r w:rsidR="00925C0D" w:rsidRPr="00B0174F">
        <w:rPr>
          <w:szCs w:val="24"/>
        </w:rPr>
        <w:t xml:space="preserve">The differences in volunteer rates by characteristics and, specifically, our inability to observe impacts for nonvolunteers, </w:t>
      </w:r>
      <w:r w:rsidR="005A1143">
        <w:rPr>
          <w:szCs w:val="24"/>
        </w:rPr>
        <w:t>are</w:t>
      </w:r>
      <w:r w:rsidR="00925C0D" w:rsidRPr="00B0174F">
        <w:rPr>
          <w:szCs w:val="24"/>
        </w:rPr>
        <w:t xml:space="preserve"> important for interpreting impact findings, especially in </w:t>
      </w:r>
      <w:r w:rsidR="00DF63FE">
        <w:rPr>
          <w:szCs w:val="24"/>
        </w:rPr>
        <w:t xml:space="preserve">limiting the capacity to directly </w:t>
      </w:r>
      <w:r w:rsidR="00925C0D" w:rsidRPr="00B0174F">
        <w:rPr>
          <w:szCs w:val="24"/>
        </w:rPr>
        <w:t>generaliz</w:t>
      </w:r>
      <w:r w:rsidR="00DF63FE">
        <w:rPr>
          <w:szCs w:val="24"/>
        </w:rPr>
        <w:t>e</w:t>
      </w:r>
      <w:r w:rsidR="00925C0D" w:rsidRPr="00B0174F">
        <w:rPr>
          <w:szCs w:val="24"/>
        </w:rPr>
        <w:t xml:space="preserve"> </w:t>
      </w:r>
      <w:r w:rsidR="00DF63FE">
        <w:rPr>
          <w:szCs w:val="24"/>
        </w:rPr>
        <w:t>results beyond the study sample</w:t>
      </w:r>
      <w:r w:rsidR="00925C0D" w:rsidRPr="0047079A">
        <w:rPr>
          <w:szCs w:val="24"/>
        </w:rPr>
        <w:t xml:space="preserve">. </w:t>
      </w:r>
      <w:r w:rsidR="005A1143">
        <w:rPr>
          <w:szCs w:val="24"/>
        </w:rPr>
        <w:t xml:space="preserve"> </w:t>
      </w:r>
      <w:r w:rsidR="00925C0D" w:rsidRPr="0047079A">
        <w:rPr>
          <w:szCs w:val="24"/>
        </w:rPr>
        <w:t xml:space="preserve">Hence, </w:t>
      </w:r>
      <w:r w:rsidR="000C60E0" w:rsidRPr="0047079A">
        <w:rPr>
          <w:szCs w:val="24"/>
        </w:rPr>
        <w:t xml:space="preserve">the evaluation findings will </w:t>
      </w:r>
      <w:r w:rsidR="00DF63FE">
        <w:rPr>
          <w:szCs w:val="24"/>
        </w:rPr>
        <w:t xml:space="preserve">include a careful discussion of </w:t>
      </w:r>
      <w:r w:rsidR="000C60E0" w:rsidRPr="0047079A">
        <w:rPr>
          <w:szCs w:val="24"/>
        </w:rPr>
        <w:t xml:space="preserve">these issues </w:t>
      </w:r>
      <w:r w:rsidR="00DF63FE">
        <w:rPr>
          <w:szCs w:val="24"/>
        </w:rPr>
        <w:t xml:space="preserve">stemming from the volunteer </w:t>
      </w:r>
      <w:r w:rsidR="000C60E0" w:rsidRPr="0047079A">
        <w:rPr>
          <w:szCs w:val="24"/>
        </w:rPr>
        <w:t xml:space="preserve">requirement </w:t>
      </w:r>
      <w:r w:rsidR="00DF63FE">
        <w:rPr>
          <w:szCs w:val="24"/>
        </w:rPr>
        <w:t xml:space="preserve">of </w:t>
      </w:r>
      <w:r w:rsidR="000C60E0" w:rsidRPr="0047079A">
        <w:rPr>
          <w:szCs w:val="24"/>
        </w:rPr>
        <w:t>Public Law 114-74</w:t>
      </w:r>
      <w:r w:rsidR="00DF63FE">
        <w:rPr>
          <w:szCs w:val="24"/>
        </w:rPr>
        <w:t xml:space="preserve"> and what they imply for external validity</w:t>
      </w:r>
      <w:r w:rsidR="000C60E0" w:rsidRPr="0047079A">
        <w:rPr>
          <w:szCs w:val="24"/>
        </w:rPr>
        <w:t xml:space="preserve">.  </w:t>
      </w:r>
    </w:p>
    <w:p w14:paraId="63C5CA5E" w14:textId="524BB7ED" w:rsidR="00E86704" w:rsidRDefault="00421145" w:rsidP="00D1229C">
      <w:pPr>
        <w:pStyle w:val="NormalSS"/>
        <w:spacing w:before="240"/>
      </w:pPr>
      <w:r w:rsidRPr="00D1229C">
        <w:rPr>
          <w:b/>
          <w:i/>
        </w:rPr>
        <w:t xml:space="preserve">Literature </w:t>
      </w:r>
      <w:r w:rsidR="005A1143">
        <w:rPr>
          <w:b/>
          <w:i/>
        </w:rPr>
        <w:t>r</w:t>
      </w:r>
      <w:r w:rsidRPr="00D1229C">
        <w:rPr>
          <w:b/>
          <w:i/>
        </w:rPr>
        <w:t>eview</w:t>
      </w:r>
      <w:r w:rsidR="00D42A3E">
        <w:rPr>
          <w:b/>
          <w:i/>
        </w:rPr>
        <w:t xml:space="preserve">. </w:t>
      </w:r>
      <w:r w:rsidR="00E86704">
        <w:t xml:space="preserve">The SSI and SSDI programs are designed to provide income support to those with significant disabilities who are unable to work at substantial levels. </w:t>
      </w:r>
      <w:r w:rsidR="005A1143">
        <w:t xml:space="preserve"> </w:t>
      </w:r>
      <w:r w:rsidR="00E86704">
        <w:t xml:space="preserve">To qualify for either program, an applicant must demonstrate an inability to engage in SGA due to a medically determinable impairment expected to last at least 12 months or to result in death. </w:t>
      </w:r>
      <w:r w:rsidR="005A1143">
        <w:t xml:space="preserve"> </w:t>
      </w:r>
      <w:r w:rsidR="00E86704">
        <w:t xml:space="preserve">SSDI eligibility also </w:t>
      </w:r>
      <w:r w:rsidR="005A1143">
        <w:t>depends</w:t>
      </w:r>
      <w:r w:rsidR="00E86704">
        <w:t xml:space="preserve"> on having a sufficient number of recent and lifetime quarters of Social Security-covered employment. </w:t>
      </w:r>
      <w:r w:rsidR="005A1143">
        <w:t xml:space="preserve"> </w:t>
      </w:r>
      <w:r w:rsidR="00E86704">
        <w:t xml:space="preserve">The SSDI benefit level is based on past earnings; individuals with higher lifetime earnings are eligible for higher SSDI benefits. </w:t>
      </w:r>
      <w:r w:rsidR="005A1143">
        <w:t xml:space="preserve"> </w:t>
      </w:r>
      <w:r w:rsidR="00E86704">
        <w:t xml:space="preserve">SSI is a means-tested program, with eligibility subject to strict income and asset limits. </w:t>
      </w:r>
      <w:r w:rsidR="005A1143">
        <w:t xml:space="preserve"> </w:t>
      </w:r>
      <w:r w:rsidR="00E86704">
        <w:t xml:space="preserve">The SSI payment is based on the individual’s monthly income and living arrangement. </w:t>
      </w:r>
      <w:r w:rsidR="005A1143">
        <w:t xml:space="preserve"> </w:t>
      </w:r>
      <w:r w:rsidR="00E86704">
        <w:t xml:space="preserve">Individuals may qualify for both programs if their incomes (including SSDI benefits) and assets are low enough to meet the SSI income limits. </w:t>
      </w:r>
    </w:p>
    <w:p w14:paraId="35F169AA" w14:textId="34ED8E92" w:rsidR="00E86704" w:rsidRDefault="00E86704" w:rsidP="00E86704">
      <w:pPr>
        <w:pStyle w:val="NormalSS"/>
      </w:pPr>
      <w:r>
        <w:t xml:space="preserve">Most SSDI and SSI beneficiaries qualify for Medicare and Medicaid, respectively. </w:t>
      </w:r>
      <w:r w:rsidR="005A1143">
        <w:t xml:space="preserve"> </w:t>
      </w:r>
      <w:r>
        <w:t xml:space="preserve">Although there are eligibility and health coverage differences between Medicare and Medicaid, both offset potentially expensive medical care costs and, therefore, </w:t>
      </w:r>
      <w:r w:rsidR="00D16276">
        <w:t>can</w:t>
      </w:r>
      <w:r>
        <w:t xml:space="preserve"> be extremely valuable to people with disabilities. </w:t>
      </w:r>
      <w:r w:rsidR="005A1143">
        <w:t xml:space="preserve"> </w:t>
      </w:r>
      <w:r>
        <w:t>SSI beneficiaries (in most states) are categorically eligible for Medicaid; SSDI beneficiaries become eligible for Medicare after a two-year waiting period following SSDI eligibility.</w:t>
      </w:r>
    </w:p>
    <w:p w14:paraId="096F7FB8" w14:textId="6C7FCD85" w:rsidR="00E86704" w:rsidRPr="00404637" w:rsidRDefault="00E86704" w:rsidP="00DF63FE">
      <w:pPr>
        <w:pStyle w:val="NormalSS"/>
      </w:pPr>
      <w:r>
        <w:t>A major policy challenge is that the caseloads and expenditures of these programs have expanded substantially over the past several decades, with s</w:t>
      </w:r>
      <w:r w:rsidR="00D16276">
        <w:t>ignificant</w:t>
      </w:r>
      <w:r>
        <w:t xml:space="preserve"> recent growth that has put stress on the SSDI and Medicare trust funds. </w:t>
      </w:r>
      <w:r w:rsidR="00D16276">
        <w:t xml:space="preserve"> </w:t>
      </w:r>
      <w:r>
        <w:t xml:space="preserve">SSI program expenditures, funded through general revenues, </w:t>
      </w:r>
      <w:r w:rsidRPr="00404637">
        <w:t xml:space="preserve">have also increased substantially. </w:t>
      </w:r>
      <w:r w:rsidR="00D16276">
        <w:t xml:space="preserve"> </w:t>
      </w:r>
      <w:r w:rsidRPr="00404637">
        <w:t>Federal expenditures to support working-age people with disabilities across all programs (estimated at $357 billion in 2008, including a</w:t>
      </w:r>
      <w:r w:rsidR="00D16276">
        <w:t>bout</w:t>
      </w:r>
      <w:r w:rsidRPr="00404637">
        <w:t xml:space="preserve"> $170 billion each on income maintenance and health care expenditures) account for a nontrivial and growing share of all federal expenditures. </w:t>
      </w:r>
      <w:r w:rsidR="00D16276">
        <w:t xml:space="preserve"> </w:t>
      </w:r>
      <w:r w:rsidRPr="00404637">
        <w:t>Th</w:t>
      </w:r>
      <w:r w:rsidR="00D16276">
        <w:t>os</w:t>
      </w:r>
      <w:r w:rsidRPr="00404637">
        <w:t>e</w:t>
      </w:r>
      <w:r w:rsidR="00D16276">
        <w:t xml:space="preserve"> expenditures</w:t>
      </w:r>
      <w:r w:rsidRPr="00404637">
        <w:t xml:space="preserve"> represented 12.0 percent of all federal outlays in fiscal year 2008, up from 11.3 percent just six years earlier (Livermore et al. 2011).</w:t>
      </w:r>
    </w:p>
    <w:p w14:paraId="66FEE1D9" w14:textId="023997B4" w:rsidR="00E86704" w:rsidRPr="00D1229C" w:rsidRDefault="009C7978" w:rsidP="00D1229C">
      <w:pPr>
        <w:pStyle w:val="NormalSS"/>
        <w:rPr>
          <w:color w:val="000000"/>
          <w:szCs w:val="24"/>
        </w:rPr>
      </w:pPr>
      <w:r w:rsidRPr="00866AF7">
        <w:t xml:space="preserve">The number of disabled workers who receive </w:t>
      </w:r>
      <w:r w:rsidR="00D97BE8">
        <w:t>SSDI</w:t>
      </w:r>
      <w:r w:rsidRPr="00866AF7">
        <w:t xml:space="preserve"> has more than tripled in the </w:t>
      </w:r>
      <w:r w:rsidR="00D16276">
        <w:t>p</w:t>
      </w:r>
      <w:r w:rsidRPr="00866AF7">
        <w:t xml:space="preserve">ast three decades, from 2.9 million in 1980 to 9 million in 2014 (SSA 2015). </w:t>
      </w:r>
      <w:r w:rsidR="00D16276">
        <w:t xml:space="preserve"> </w:t>
      </w:r>
      <w:r w:rsidRPr="00866AF7">
        <w:t xml:space="preserve">There is disagreement on the causes of this growth. </w:t>
      </w:r>
      <w:r w:rsidR="00D16276">
        <w:t xml:space="preserve"> </w:t>
      </w:r>
      <w:r w:rsidRPr="00866AF7">
        <w:t xml:space="preserve">Some experts, including the chief actuary of </w:t>
      </w:r>
      <w:r w:rsidR="00D97BE8">
        <w:t>SSA</w:t>
      </w:r>
      <w:r w:rsidRPr="00866AF7">
        <w:t xml:space="preserve">, argue, in the words of the latter, that the reasons have been “long anticipated and understood,” and that this growth is almost entirely due to growth in the number of workers and the aging of the baby boom cohort (Goss 2014). </w:t>
      </w:r>
      <w:r w:rsidR="00D16276">
        <w:t xml:space="preserve"> </w:t>
      </w:r>
      <w:r w:rsidRPr="00866AF7">
        <w:t xml:space="preserve">Others claim that changes in the SSDI program, including reduction in the stringency of medical eligibility criteria, are the greatest contributors to the growth in SSDI because they have led to increases in award rates for mental disorders and musculoskeletal conditions such as back pain (see, for example Autor and Duggan 2006). </w:t>
      </w:r>
      <w:r w:rsidR="00D16276">
        <w:t xml:space="preserve"> </w:t>
      </w:r>
      <w:r w:rsidRPr="00866AF7">
        <w:t>Liebman (2015) decompose</w:t>
      </w:r>
      <w:r w:rsidR="00D16276">
        <w:t>d</w:t>
      </w:r>
      <w:r w:rsidRPr="00866AF7">
        <w:t xml:space="preserve"> the contribution of various factors to SSDI growth and conclude</w:t>
      </w:r>
      <w:r w:rsidR="00D16276">
        <w:t>d</w:t>
      </w:r>
      <w:r w:rsidRPr="00866AF7">
        <w:t xml:space="preserve"> that rising incidence rates (that is, the number of new SSDI awards per the number of disability-insured individuals) account</w:t>
      </w:r>
      <w:r w:rsidR="00D16276">
        <w:t>ed</w:t>
      </w:r>
      <w:r w:rsidRPr="00866AF7">
        <w:t xml:space="preserve"> for about 50 percent of the growth from 1985 through 2007. </w:t>
      </w:r>
      <w:r w:rsidR="00D16276">
        <w:t xml:space="preserve"> </w:t>
      </w:r>
      <w:r w:rsidRPr="00866AF7">
        <w:t>He also f</w:t>
      </w:r>
      <w:r w:rsidR="00D16276">
        <w:t>ou</w:t>
      </w:r>
      <w:r w:rsidRPr="00866AF7">
        <w:t xml:space="preserve">nd that rising incidence rates were predominantly a factor </w:t>
      </w:r>
      <w:r w:rsidR="00D16276">
        <w:t>before</w:t>
      </w:r>
      <w:r w:rsidRPr="00866AF7">
        <w:t xml:space="preserve"> 1993; population aging has been the predominant factor since then.</w:t>
      </w:r>
    </w:p>
    <w:p w14:paraId="5B2B3EBC" w14:textId="480061C2" w:rsidR="00AA5A34" w:rsidRPr="00404637" w:rsidRDefault="00E86704" w:rsidP="00DF63FE">
      <w:pPr>
        <w:pStyle w:val="NormalSS"/>
      </w:pPr>
      <w:r w:rsidRPr="00D1229C">
        <w:t xml:space="preserve">In response, policymakers have </w:t>
      </w:r>
      <w:r w:rsidR="00D16276">
        <w:t>sought</w:t>
      </w:r>
      <w:r w:rsidRPr="00D1229C">
        <w:t xml:space="preserve"> to develop interventions to promote employment and reduce reliance on program benefits, particularly among disability beneficiaries.  </w:t>
      </w:r>
      <w:r w:rsidR="00404637">
        <w:t xml:space="preserve">The demonstrations noted above, including POD, represent efforts to increase employment and reduce reliance on program benefits. </w:t>
      </w:r>
    </w:p>
    <w:p w14:paraId="31E9C4DB" w14:textId="77777777" w:rsidR="006C08D5" w:rsidRDefault="006C08D5" w:rsidP="006C08D5">
      <w:pPr>
        <w:pStyle w:val="H4NumberNoTOC"/>
      </w:pPr>
      <w:r>
        <w:t>A.1.3. Legal authority</w:t>
      </w:r>
    </w:p>
    <w:p w14:paraId="3CB16645" w14:textId="68BD8BC7" w:rsidR="00AF2051" w:rsidRDefault="006C08D5" w:rsidP="006C08D5">
      <w:pPr>
        <w:pStyle w:val="NormalSS"/>
      </w:pPr>
      <w:r>
        <w:t xml:space="preserve">Since 1980, Congress continues to require SSA to conduct demonstration and research projects to test the effectiveness of possible program changes that could encourage people to work and decrease their dependence on disability benefits.  In fostering work efforts, SSA intends for this research and the program changes it evaluates to produce Federal program savings and improve program administration.  </w:t>
      </w:r>
      <w:r w:rsidRPr="00A81399">
        <w:t xml:space="preserve">Section </w:t>
      </w:r>
      <w:r>
        <w:t>234</w:t>
      </w:r>
      <w:r w:rsidRPr="00A81399">
        <w:t xml:space="preserve"> of the </w:t>
      </w:r>
      <w:r w:rsidRPr="00CB7F0E">
        <w:t>Social Security Act</w:t>
      </w:r>
      <w:r w:rsidRPr="00A81399">
        <w:t xml:space="preserve"> authorizes</w:t>
      </w:r>
      <w:r>
        <w:t xml:space="preserve"> SSA to conduct this research and evaluation project.  </w:t>
      </w:r>
      <w:r w:rsidR="00C23388" w:rsidDel="00C23388">
        <w:t xml:space="preserve"> </w:t>
      </w:r>
      <w:r>
        <w:t>Public Law 114</w:t>
      </w:r>
      <w:r>
        <w:noBreakHyphen/>
        <w:t>74 reauthorizes SSA’s authority to conduct disability insurance demonstration projects, and section 823 of the BBA instructs SSA to carry out the POD.</w:t>
      </w:r>
      <w:r w:rsidR="00C23388">
        <w:t xml:space="preserve"> </w:t>
      </w:r>
      <w:r w:rsidR="00AA5A34">
        <w:t>Public Law 114-74</w:t>
      </w:r>
      <w:r w:rsidR="00C23388">
        <w:t xml:space="preserve"> also </w:t>
      </w:r>
      <w:r w:rsidR="00AA5A34">
        <w:t>requires that participation in projects be voluntary and include informed consent.  Hence, the subjects in POD must first volunteer and provide inform</w:t>
      </w:r>
      <w:r w:rsidR="00D16276">
        <w:t>ed</w:t>
      </w:r>
      <w:r w:rsidR="00AA5A34">
        <w:t xml:space="preserve"> consent before they can participate in the demonstration. </w:t>
      </w:r>
      <w:r w:rsidR="00AF2051">
        <w:t>Because SSA only has the authority to conduct this study using a self-selected sample, the results of this study are not generalizable to SSA disability beneficiary population.</w:t>
      </w:r>
    </w:p>
    <w:p w14:paraId="7CAD38C2" w14:textId="43071DBC" w:rsidR="00AF45BB" w:rsidRDefault="00397157" w:rsidP="006C08D5">
      <w:pPr>
        <w:pStyle w:val="NormalSS"/>
      </w:pPr>
      <w:r>
        <w:t xml:space="preserve">Although </w:t>
      </w:r>
      <w:r w:rsidR="00AF45BB">
        <w:t xml:space="preserve">SSA is required to include volunteers in the demonstration, it is important to note that several agencies have </w:t>
      </w:r>
      <w:r w:rsidR="001B51E8">
        <w:t xml:space="preserve">conducted </w:t>
      </w:r>
      <w:r w:rsidR="00AF45BB">
        <w:t xml:space="preserve">previous demonstrations that included volunteers.  For example, most previous SSA demonstration projects have included volunteers, as have projects from the </w:t>
      </w:r>
      <w:r w:rsidR="00D16276">
        <w:t xml:space="preserve">U.S. </w:t>
      </w:r>
      <w:r w:rsidR="00AF45BB">
        <w:t>Department of Labor (</w:t>
      </w:r>
      <w:r w:rsidR="00D97BE8">
        <w:t>such as</w:t>
      </w:r>
      <w:r w:rsidR="00750D87">
        <w:t xml:space="preserve"> the Individual Training Accounts Experiment</w:t>
      </w:r>
      <w:r w:rsidR="00AF45BB">
        <w:t xml:space="preserve">) and the Centers for Medicare </w:t>
      </w:r>
      <w:r w:rsidR="00D16276">
        <w:t>&amp;</w:t>
      </w:r>
      <w:r w:rsidR="00AF45BB">
        <w:t xml:space="preserve"> Medicaid </w:t>
      </w:r>
      <w:r w:rsidR="00D16276">
        <w:t xml:space="preserve">Services </w:t>
      </w:r>
      <w:r w:rsidR="00AF45BB">
        <w:t>(</w:t>
      </w:r>
      <w:r w:rsidR="00D97BE8">
        <w:t>such as the</w:t>
      </w:r>
      <w:r w:rsidR="00AF45BB">
        <w:t xml:space="preserve"> Medicare Coordinated Care Demonstrations). </w:t>
      </w:r>
      <w:r w:rsidR="00D16276">
        <w:t xml:space="preserve"> </w:t>
      </w:r>
      <w:r w:rsidR="00AF45BB">
        <w:t>Often, inclu</w:t>
      </w:r>
      <w:r w:rsidR="00D16276">
        <w:t>d</w:t>
      </w:r>
      <w:r w:rsidR="00AF45BB">
        <w:t>in</w:t>
      </w:r>
      <w:r w:rsidR="00D16276">
        <w:t>g</w:t>
      </w:r>
      <w:r w:rsidR="00AF45BB">
        <w:t xml:space="preserve"> volunteers is a requirement because </w:t>
      </w:r>
      <w:r>
        <w:t>the relative effectiveness of a new program is unknown</w:t>
      </w:r>
      <w:r w:rsidR="00D16276">
        <w:t>,</w:t>
      </w:r>
      <w:r>
        <w:t xml:space="preserve"> so </w:t>
      </w:r>
      <w:r w:rsidR="00AF45BB">
        <w:t xml:space="preserve">there is a potential ethical concern that mandatory </w:t>
      </w:r>
      <w:r>
        <w:t xml:space="preserve">enrollment (or mandatory random assignment) </w:t>
      </w:r>
      <w:r w:rsidR="00AF45BB">
        <w:t xml:space="preserve">might cause harm to participants.  </w:t>
      </w:r>
    </w:p>
    <w:p w14:paraId="1C67668F" w14:textId="77777777" w:rsidR="006C08D5" w:rsidRDefault="006C08D5" w:rsidP="006C08D5">
      <w:pPr>
        <w:pStyle w:val="H3Alpha"/>
      </w:pPr>
      <w:bookmarkStart w:id="7" w:name="_Toc476059352"/>
      <w:r>
        <w:t>A.2. Description of collection</w:t>
      </w:r>
      <w:bookmarkEnd w:id="7"/>
    </w:p>
    <w:p w14:paraId="45D64DFF" w14:textId="77777777" w:rsidR="006C08D5" w:rsidRDefault="006C08D5" w:rsidP="006C08D5">
      <w:pPr>
        <w:pStyle w:val="NormalSS"/>
      </w:pPr>
      <w:r>
        <w:t xml:space="preserve">SSA will have oversight of all POD data collection activities.  SSA and its evaluation and implementation contractors will be the primary users of the data for evaluation and implementation activities.  </w:t>
      </w:r>
      <w:r w:rsidRPr="00246587">
        <w:t xml:space="preserve">SSA will produce a public use data set and supporting documentation for survey data with all personal identifiers removed. </w:t>
      </w:r>
      <w:r>
        <w:t xml:space="preserve"> </w:t>
      </w:r>
      <w:r w:rsidRPr="00246587">
        <w:t xml:space="preserve">Other interested researchers can use this public use file to address issues </w:t>
      </w:r>
      <w:r>
        <w:t>regarding</w:t>
      </w:r>
      <w:r w:rsidRPr="00246587">
        <w:t xml:space="preserve"> the health and employment-related activities of </w:t>
      </w:r>
      <w:r>
        <w:t>SSDI</w:t>
      </w:r>
      <w:r w:rsidRPr="00246587">
        <w:t xml:space="preserve"> beneficiaries.</w:t>
      </w:r>
      <w:r>
        <w:t xml:space="preserve">  The following sections describe, in turn:  (1) the recruitment materials and baseline survey; (2) the follow-up surveys;</w:t>
      </w:r>
      <w:r w:rsidRPr="00FF5A1A">
        <w:t xml:space="preserve"> </w:t>
      </w:r>
      <w:r w:rsidRPr="00296E84">
        <w:t>(</w:t>
      </w:r>
      <w:r w:rsidRPr="007D7027">
        <w:t xml:space="preserve">3) </w:t>
      </w:r>
      <w:r w:rsidRPr="00B369E9">
        <w:t>qualitative data from POD implementation and operations staff</w:t>
      </w:r>
      <w:r>
        <w:t xml:space="preserve">; and </w:t>
      </w:r>
      <w:r w:rsidRPr="00C546D3">
        <w:t xml:space="preserve">(4) semi-structured interviews with </w:t>
      </w:r>
      <w:r>
        <w:t>treatment group subjects.</w:t>
      </w:r>
    </w:p>
    <w:p w14:paraId="497B0581" w14:textId="77777777" w:rsidR="006C08D5" w:rsidRDefault="006C08D5" w:rsidP="006C08D5">
      <w:pPr>
        <w:pStyle w:val="H3AlphaNoTOC"/>
      </w:pPr>
      <w:r w:rsidRPr="00482744">
        <w:t>A.2.1. Recruitment materials and baseline survey</w:t>
      </w:r>
      <w:r>
        <w:t xml:space="preserve"> </w:t>
      </w:r>
    </w:p>
    <w:p w14:paraId="0F8F05DA" w14:textId="77777777" w:rsidR="006C08D5" w:rsidRDefault="006C08D5" w:rsidP="006C08D5">
      <w:pPr>
        <w:pStyle w:val="NormalSS"/>
      </w:pPr>
      <w:r>
        <w:t xml:space="preserve">Recruitment for POD will occur over a 15-month period, from fall 2017 through the end of 2018.  POD recruitment will gradually roll out throughout the eight states, one local area (for example, a county) after another.  The study will recruit volunteers from a larger population of beneficiaries in each area.  Based on lessons learned from past SSA evaluations, notably BOND, the POD </w:t>
      </w:r>
      <w:r w:rsidRPr="00D666DD">
        <w:t>evaluation team</w:t>
      </w:r>
      <w:r>
        <w:t xml:space="preserve"> expects the study will need to send recruitment materials to approximately 300,000 beneficiaries to enroll 15,000 eligible subjects.  The evaluation team developed its recruitment approach</w:t>
      </w:r>
      <w:r w:rsidRPr="009F479F">
        <w:t xml:space="preserve"> based on</w:t>
      </w:r>
      <w:r>
        <w:t xml:space="preserve"> experience with</w:t>
      </w:r>
      <w:r w:rsidRPr="009F479F">
        <w:t xml:space="preserve"> recruitment challenges </w:t>
      </w:r>
      <w:r>
        <w:t>that arose for the evaluations of</w:t>
      </w:r>
      <w:r w:rsidRPr="009F479F">
        <w:t xml:space="preserve"> BOND and the Ticket to Work program.</w:t>
      </w:r>
      <w:r>
        <w:t xml:space="preserve">  Their design will mimic a national rollout strategy, similar in concept to the strategy SSA used for Ticket to Work, involving both indirect outreach to beneficiaries via many stakeholder organizations and direct outreach via mailings.</w:t>
      </w:r>
    </w:p>
    <w:p w14:paraId="7CE02374" w14:textId="77777777" w:rsidR="006C08D5" w:rsidRDefault="006C08D5" w:rsidP="006C08D5">
      <w:pPr>
        <w:pStyle w:val="NormalSS"/>
      </w:pPr>
      <w:r>
        <w:t xml:space="preserve">The first part of the recruitment approach is an indirect effort, which includes an </w:t>
      </w:r>
      <w:r w:rsidRPr="002C1415">
        <w:t>information dissemination campaign</w:t>
      </w:r>
      <w:r>
        <w:t>, a toll-free number, and an informational website.</w:t>
      </w:r>
      <w:r w:rsidRPr="00015E2D">
        <w:t xml:space="preserve"> </w:t>
      </w:r>
      <w:r>
        <w:t xml:space="preserve"> T</w:t>
      </w:r>
      <w:r w:rsidRPr="00D666DD">
        <w:t>he evaluation team</w:t>
      </w:r>
      <w:r>
        <w:t xml:space="preserve"> aims for it to establish </w:t>
      </w:r>
      <w:r w:rsidRPr="00015E2D">
        <w:t xml:space="preserve">the legitimacy of POD in each area with stakeholders. </w:t>
      </w:r>
      <w:r>
        <w:t xml:space="preserve"> This indirect outreach </w:t>
      </w:r>
      <w:r w:rsidRPr="00EE4DB4">
        <w:t>will provide information about the nature of POD and the types of beneficiaries who will find it attractive</w:t>
      </w:r>
      <w:r>
        <w:t>.  It will begin</w:t>
      </w:r>
      <w:r w:rsidRPr="002C1415">
        <w:t xml:space="preserve"> just before the start of recruitment in an area or state</w:t>
      </w:r>
      <w:r>
        <w:t>, and</w:t>
      </w:r>
      <w:r w:rsidRPr="002C1415">
        <w:t xml:space="preserve"> will targe</w:t>
      </w:r>
      <w:r>
        <w:t>t stakeholder organizations serving</w:t>
      </w:r>
      <w:r w:rsidRPr="002C1415">
        <w:t xml:space="preserve"> beneficiaries in various ways</w:t>
      </w:r>
      <w:r>
        <w:t>.</w:t>
      </w:r>
      <w:r w:rsidRPr="00B40646">
        <w:t xml:space="preserve"> </w:t>
      </w:r>
      <w:r>
        <w:t xml:space="preserve"> The POD evaluation team will coordinate with the POD implementation team to ensure that key stakeholders do not receive any conflicting messages, as well as to identify synergies in the efforts. </w:t>
      </w:r>
    </w:p>
    <w:p w14:paraId="3DBD203D" w14:textId="77777777" w:rsidR="006C08D5" w:rsidRPr="00C90F69" w:rsidRDefault="006C08D5" w:rsidP="006C08D5">
      <w:pPr>
        <w:pStyle w:val="NormalSS"/>
      </w:pPr>
      <w:r>
        <w:t xml:space="preserve">The second part of the recruitment approach is the direct effort, which includes </w:t>
      </w:r>
      <w:r w:rsidRPr="002C1415">
        <w:t xml:space="preserve">mailings </w:t>
      </w:r>
      <w:r>
        <w:t xml:space="preserve">to beneficiaries.  The mailings </w:t>
      </w:r>
      <w:r w:rsidRPr="002C1415">
        <w:t xml:space="preserve">will include a letter and brochure meant to educate potential </w:t>
      </w:r>
      <w:r>
        <w:t>subject</w:t>
      </w:r>
      <w:r w:rsidRPr="002C1415">
        <w:t xml:space="preserve">s about POD. </w:t>
      </w:r>
      <w:r>
        <w:t xml:space="preserve"> The letter </w:t>
      </w:r>
      <w:r w:rsidRPr="002C1415">
        <w:t xml:space="preserve">will describe </w:t>
      </w:r>
      <w:r>
        <w:t xml:space="preserve">the key benefits and drawbacks of the POD offset; a monetary incentive available to those </w:t>
      </w:r>
      <w:r w:rsidRPr="002C1415">
        <w:t>who return the enclosed baseline survey</w:t>
      </w:r>
      <w:r>
        <w:t>;</w:t>
      </w:r>
      <w:r w:rsidRPr="002C1415">
        <w:t xml:space="preserve"> and </w:t>
      </w:r>
      <w:r>
        <w:t>the informed</w:t>
      </w:r>
      <w:r w:rsidRPr="002C1415">
        <w:t xml:space="preserve"> consent form. </w:t>
      </w:r>
      <w:r>
        <w:t xml:space="preserve"> </w:t>
      </w:r>
      <w:r w:rsidRPr="002C1415">
        <w:t xml:space="preserve">The brochure will complement the letter by including further information about the POD intervention. </w:t>
      </w:r>
      <w:r>
        <w:t xml:space="preserve"> T</w:t>
      </w:r>
      <w:r w:rsidRPr="00D666DD">
        <w:t xml:space="preserve">he </w:t>
      </w:r>
      <w:r>
        <w:t xml:space="preserve">POD </w:t>
      </w:r>
      <w:r w:rsidRPr="00D666DD">
        <w:t>evaluation team</w:t>
      </w:r>
      <w:r w:rsidRPr="00C90F69">
        <w:t xml:space="preserve"> </w:t>
      </w:r>
      <w:r>
        <w:t>wrote</w:t>
      </w:r>
      <w:r w:rsidRPr="00C90F69">
        <w:t xml:space="preserve"> these materials in a way that entices beneficiaries who are likely to benefit from POD to participate in the demonstration by providing succinct but clear and complete information. </w:t>
      </w:r>
      <w:r>
        <w:t xml:space="preserve"> </w:t>
      </w:r>
      <w:r w:rsidRPr="00C90F69">
        <w:t>Shortly after the packet mail</w:t>
      </w:r>
      <w:r>
        <w:t>ing occurs</w:t>
      </w:r>
      <w:r w:rsidRPr="00C90F69">
        <w:t xml:space="preserve">, </w:t>
      </w:r>
      <w:r>
        <w:t>the evaluation team</w:t>
      </w:r>
      <w:r w:rsidRPr="00C90F69">
        <w:t xml:space="preserve"> will attempt to</w:t>
      </w:r>
      <w:r>
        <w:t xml:space="preserve"> contact</w:t>
      </w:r>
      <w:r w:rsidRPr="00C90F69">
        <w:t xml:space="preserve"> a subset of beneficiaries (approximately 25 percent of the total sample) to</w:t>
      </w:r>
      <w:r>
        <w:t xml:space="preserve">: </w:t>
      </w:r>
      <w:r w:rsidRPr="00C90F69">
        <w:t xml:space="preserve"> </w:t>
      </w:r>
      <w:r>
        <w:t xml:space="preserve">(1) verify </w:t>
      </w:r>
      <w:r w:rsidRPr="00C90F69">
        <w:t>they received a p</w:t>
      </w:r>
      <w:r>
        <w:t>acket and reviewed the contents;</w:t>
      </w:r>
      <w:r w:rsidRPr="00C90F69">
        <w:t xml:space="preserve"> </w:t>
      </w:r>
      <w:r>
        <w:t>(2)</w:t>
      </w:r>
      <w:r w:rsidRPr="00C90F69">
        <w:t xml:space="preserve"> prov</w:t>
      </w:r>
      <w:r>
        <w:t>ide further explanations of POD;</w:t>
      </w:r>
      <w:r w:rsidRPr="00C90F69">
        <w:t xml:space="preserve"> and </w:t>
      </w:r>
      <w:r>
        <w:t>(3)</w:t>
      </w:r>
      <w:r w:rsidRPr="00C90F69">
        <w:t xml:space="preserve"> offer help completing the forms.</w:t>
      </w:r>
      <w:r>
        <w:t xml:space="preserve">  Part B of this clearance package includes a discussion of how the POD evaluation team will choose these beneficiaries.</w:t>
      </w:r>
    </w:p>
    <w:p w14:paraId="1B8A8AD2" w14:textId="77777777" w:rsidR="006C08D5" w:rsidRPr="003A4919" w:rsidRDefault="006C08D5" w:rsidP="006C08D5">
      <w:pPr>
        <w:pStyle w:val="NormalSS"/>
        <w:rPr>
          <w:rFonts w:eastAsia="SimSun"/>
        </w:rPr>
      </w:pPr>
      <w:r>
        <w:t xml:space="preserve">The first three months of the recruiting period will include a pilot phase to refine assumptions about the most effective outreach methods and identify which beneficiaries are most likely to enroll in POD.  The last 12 months will include the full rollout.  As necessary, the POD evaluation team will modify the recruitment based on the lessons learned during the pilot phase to meet the target of 15,000 subjects for the demonstration.  See Part B for additional details.  </w:t>
      </w:r>
    </w:p>
    <w:p w14:paraId="2CFC58C8" w14:textId="77777777" w:rsidR="006C08D5" w:rsidRDefault="006C08D5" w:rsidP="006C08D5">
      <w:pPr>
        <w:pStyle w:val="NormalSS"/>
      </w:pPr>
      <w:r>
        <w:t>The process and participation analyses will use information from the pilot phase to develop an understanding of which types of beneficiaries are most likely to volunteer for the demonstration.  To achieve this evaluation objective, t</w:t>
      </w:r>
      <w:r w:rsidRPr="008A72E8">
        <w:t xml:space="preserve">he evaluation </w:t>
      </w:r>
      <w:r>
        <w:t xml:space="preserve">team </w:t>
      </w:r>
      <w:r w:rsidRPr="008A72E8">
        <w:t xml:space="preserve">will develop data on recruitment yields based on responses to the baseline </w:t>
      </w:r>
      <w:r>
        <w:t>survey</w:t>
      </w:r>
      <w:r w:rsidRPr="008A72E8">
        <w:t xml:space="preserve"> (described in the next section), combin</w:t>
      </w:r>
      <w:r>
        <w:t>ed</w:t>
      </w:r>
      <w:r w:rsidRPr="008A72E8">
        <w:t xml:space="preserve"> with SSA </w:t>
      </w:r>
      <w:r>
        <w:t>program</w:t>
      </w:r>
      <w:r w:rsidRPr="008A72E8">
        <w:t xml:space="preserve"> </w:t>
      </w:r>
      <w:r>
        <w:t xml:space="preserve">data </w:t>
      </w:r>
      <w:r w:rsidRPr="008A72E8">
        <w:t xml:space="preserve">about beneficiaries </w:t>
      </w:r>
      <w:r>
        <w:t>whom</w:t>
      </w:r>
      <w:r w:rsidRPr="008A72E8">
        <w:t xml:space="preserve"> the recruitment effort</w:t>
      </w:r>
      <w:r>
        <w:t xml:space="preserve"> targeted</w:t>
      </w:r>
      <w:r w:rsidRPr="008A72E8">
        <w:t>.</w:t>
      </w:r>
      <w:r>
        <w:t xml:space="preserve"> </w:t>
      </w:r>
    </w:p>
    <w:p w14:paraId="67E6B6DD" w14:textId="77777777" w:rsidR="006C08D5" w:rsidRDefault="006C08D5" w:rsidP="006C08D5">
      <w:pPr>
        <w:pStyle w:val="NormalSS"/>
      </w:pPr>
      <w:r>
        <w:rPr>
          <w:b/>
        </w:rPr>
        <w:t xml:space="preserve">Baseline survey and consent form.  </w:t>
      </w:r>
      <w:r>
        <w:t xml:space="preserve">To participate in POD, beneficiaries must complete the 20-minute baseline survey and return it along with the signed consent form.  </w:t>
      </w:r>
      <w:r w:rsidRPr="00246587">
        <w:t xml:space="preserve">The baseline survey will collect information </w:t>
      </w:r>
      <w:r>
        <w:t xml:space="preserve">for the evaluation </w:t>
      </w:r>
      <w:r w:rsidRPr="00246587">
        <w:t xml:space="preserve">that is not readily available in </w:t>
      </w:r>
      <w:r>
        <w:t>program</w:t>
      </w:r>
      <w:r w:rsidRPr="00246587">
        <w:t xml:space="preserve"> data</w:t>
      </w:r>
      <w:r>
        <w:t>; the content of this survey is in Exhibit A.4.</w:t>
      </w:r>
      <w:r w:rsidRPr="00246587">
        <w:t xml:space="preserve"> </w:t>
      </w:r>
    </w:p>
    <w:p w14:paraId="19021DB2" w14:textId="77777777" w:rsidR="006C08D5" w:rsidRPr="00246587" w:rsidRDefault="006C08D5" w:rsidP="006C08D5">
      <w:pPr>
        <w:pStyle w:val="NormalSS"/>
      </w:pPr>
      <w:r w:rsidRPr="00246587">
        <w:t>These</w:t>
      </w:r>
      <w:r>
        <w:t xml:space="preserve"> baseline survey</w:t>
      </w:r>
      <w:r w:rsidRPr="00246587">
        <w:t xml:space="preserve"> </w:t>
      </w:r>
      <w:r>
        <w:t xml:space="preserve">measures </w:t>
      </w:r>
      <w:r w:rsidRPr="00246587">
        <w:t xml:space="preserve">will provide descriptive information about the characteristics of the POD </w:t>
      </w:r>
      <w:r>
        <w:t>subject</w:t>
      </w:r>
      <w:r w:rsidRPr="00246587">
        <w:t xml:space="preserve"> sample </w:t>
      </w:r>
      <w:r>
        <w:t xml:space="preserve">for use in the process and participation analysis.  The POD evaluation team will also use this information in the impact analysis to form subgroups or adjust for baseline characteristics when estimating the impacts of POD. </w:t>
      </w:r>
    </w:p>
    <w:p w14:paraId="0139EE3D" w14:textId="77777777" w:rsidR="006C08D5" w:rsidRPr="003A4919" w:rsidRDefault="006C08D5" w:rsidP="006C08D5">
      <w:pPr>
        <w:pStyle w:val="MarkforExhibitTitle"/>
      </w:pPr>
      <w:bookmarkStart w:id="8" w:name="_Toc476919857"/>
      <w:bookmarkStart w:id="9" w:name="_Toc474335282"/>
      <w:r>
        <w:t>Exhibit A.4.</w:t>
      </w:r>
      <w:r w:rsidRPr="003A4919">
        <w:t xml:space="preserve"> </w:t>
      </w:r>
      <w:r>
        <w:t>Baseline survey</w:t>
      </w:r>
      <w:r w:rsidRPr="003A4919">
        <w:t xml:space="preserve"> content</w:t>
      </w:r>
      <w:bookmarkEnd w:id="8"/>
      <w:r w:rsidRPr="003A4919">
        <w:t xml:space="preserve"> </w:t>
      </w:r>
      <w:bookmarkEnd w:id="9"/>
    </w:p>
    <w:tbl>
      <w:tblPr>
        <w:tblStyle w:val="TableGrid"/>
        <w:tblW w:w="5000" w:type="pct"/>
        <w:tblBorders>
          <w:left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90"/>
      </w:tblGrid>
      <w:tr w:rsidR="006C08D5" w:rsidRPr="003A4919" w14:paraId="7DFC4EB4" w14:textId="77777777" w:rsidTr="00876181">
        <w:tc>
          <w:tcPr>
            <w:tcW w:w="5000" w:type="pct"/>
            <w:vAlign w:val="bottom"/>
          </w:tcPr>
          <w:p w14:paraId="267552F5" w14:textId="77777777" w:rsidR="006C08D5" w:rsidRPr="003A4919" w:rsidRDefault="006C08D5" w:rsidP="00876181">
            <w:pPr>
              <w:pStyle w:val="TableText"/>
              <w:spacing w:before="40" w:after="40"/>
            </w:pPr>
            <w:r>
              <w:t>Currently working at</w:t>
            </w:r>
            <w:r w:rsidRPr="003A4919">
              <w:t xml:space="preserve"> job for pay</w:t>
            </w:r>
          </w:p>
        </w:tc>
      </w:tr>
      <w:tr w:rsidR="006C08D5" w:rsidRPr="003A4919" w14:paraId="485B925E" w14:textId="77777777" w:rsidTr="00876181">
        <w:tc>
          <w:tcPr>
            <w:tcW w:w="5000" w:type="pct"/>
            <w:vAlign w:val="bottom"/>
          </w:tcPr>
          <w:p w14:paraId="53644298" w14:textId="77777777" w:rsidR="006C08D5" w:rsidRPr="003A4919" w:rsidRDefault="006C08D5" w:rsidP="00876181">
            <w:pPr>
              <w:pStyle w:val="TableText"/>
              <w:spacing w:before="40" w:after="40"/>
            </w:pPr>
            <w:r>
              <w:t>Date of last</w:t>
            </w:r>
            <w:r w:rsidRPr="003A4919">
              <w:t xml:space="preserve"> job </w:t>
            </w:r>
            <w:r>
              <w:t xml:space="preserve"> (if not currently working)</w:t>
            </w:r>
          </w:p>
        </w:tc>
      </w:tr>
      <w:tr w:rsidR="006C08D5" w:rsidRPr="003A4919" w14:paraId="4A846355" w14:textId="77777777" w:rsidTr="00876181">
        <w:tc>
          <w:tcPr>
            <w:tcW w:w="5000" w:type="pct"/>
            <w:vAlign w:val="bottom"/>
          </w:tcPr>
          <w:p w14:paraId="7C0AEF1F" w14:textId="77777777" w:rsidR="006C08D5" w:rsidRPr="003A4919" w:rsidRDefault="006C08D5" w:rsidP="00876181">
            <w:pPr>
              <w:pStyle w:val="TableText"/>
              <w:spacing w:before="40" w:after="40"/>
            </w:pPr>
            <w:r>
              <w:t>Likelihood of working in next 12 months</w:t>
            </w:r>
          </w:p>
        </w:tc>
      </w:tr>
      <w:tr w:rsidR="006C08D5" w:rsidRPr="003A4919" w14:paraId="5F023802" w14:textId="77777777" w:rsidTr="00876181">
        <w:tc>
          <w:tcPr>
            <w:tcW w:w="5000" w:type="pct"/>
            <w:vAlign w:val="bottom"/>
          </w:tcPr>
          <w:p w14:paraId="53E3A372" w14:textId="77777777" w:rsidR="006C08D5" w:rsidRDefault="006C08D5" w:rsidP="00876181">
            <w:pPr>
              <w:pStyle w:val="TableText"/>
              <w:spacing w:before="40" w:after="40"/>
            </w:pPr>
            <w:r>
              <w:t>Job training experience</w:t>
            </w:r>
          </w:p>
        </w:tc>
      </w:tr>
      <w:tr w:rsidR="006C08D5" w:rsidRPr="003A4919" w:rsidDel="00D129B3" w14:paraId="6B719AFE" w14:textId="77777777" w:rsidTr="00876181">
        <w:tc>
          <w:tcPr>
            <w:tcW w:w="5000" w:type="pct"/>
            <w:vAlign w:val="bottom"/>
          </w:tcPr>
          <w:p w14:paraId="732B9EA2" w14:textId="77777777" w:rsidR="006C08D5" w:rsidRPr="003A4919" w:rsidDel="00D129B3" w:rsidRDefault="006C08D5" w:rsidP="00876181">
            <w:pPr>
              <w:pStyle w:val="TableText"/>
              <w:spacing w:before="40" w:after="40"/>
            </w:pPr>
            <w:r>
              <w:t>Receipt of services from a benefit specialist or WIPA provider</w:t>
            </w:r>
          </w:p>
        </w:tc>
      </w:tr>
      <w:tr w:rsidR="006C08D5" w:rsidRPr="003A4919" w14:paraId="3206D309" w14:textId="77777777" w:rsidTr="00876181">
        <w:tc>
          <w:tcPr>
            <w:tcW w:w="5000" w:type="pct"/>
            <w:vAlign w:val="bottom"/>
          </w:tcPr>
          <w:p w14:paraId="00540314" w14:textId="77777777" w:rsidR="006C08D5" w:rsidRPr="003A4919" w:rsidRDefault="006C08D5" w:rsidP="00876181">
            <w:pPr>
              <w:pStyle w:val="TableText"/>
              <w:spacing w:before="40" w:after="40"/>
            </w:pPr>
            <w:r w:rsidRPr="003A4919">
              <w:t>Education</w:t>
            </w:r>
            <w:r>
              <w:t>—highest achieved</w:t>
            </w:r>
          </w:p>
        </w:tc>
      </w:tr>
      <w:tr w:rsidR="006C08D5" w:rsidRPr="003A4919" w14:paraId="44F791E2" w14:textId="77777777" w:rsidTr="00876181">
        <w:tc>
          <w:tcPr>
            <w:tcW w:w="5000" w:type="pct"/>
            <w:vAlign w:val="bottom"/>
          </w:tcPr>
          <w:p w14:paraId="4ADABFA9" w14:textId="77777777" w:rsidR="006C08D5" w:rsidRPr="003A4919" w:rsidRDefault="006C08D5" w:rsidP="00876181">
            <w:pPr>
              <w:pStyle w:val="TableText"/>
              <w:spacing w:before="40" w:after="40"/>
            </w:pPr>
            <w:r>
              <w:t>Overall</w:t>
            </w:r>
            <w:r w:rsidRPr="003A4919">
              <w:t xml:space="preserve"> health status</w:t>
            </w:r>
            <w:r>
              <w:t xml:space="preserve"> and use of health insurance</w:t>
            </w:r>
          </w:p>
        </w:tc>
      </w:tr>
      <w:tr w:rsidR="006C08D5" w:rsidRPr="003A4919" w14:paraId="04823195" w14:textId="77777777" w:rsidTr="00876181">
        <w:tc>
          <w:tcPr>
            <w:tcW w:w="5000" w:type="pct"/>
            <w:vAlign w:val="bottom"/>
          </w:tcPr>
          <w:p w14:paraId="68A45C9F" w14:textId="77777777" w:rsidR="006C08D5" w:rsidRPr="003A4919" w:rsidRDefault="006C08D5" w:rsidP="00876181">
            <w:pPr>
              <w:pStyle w:val="TableText"/>
              <w:spacing w:before="40" w:after="40"/>
            </w:pPr>
            <w:r w:rsidRPr="003A4919">
              <w:t>Income</w:t>
            </w:r>
            <w:r>
              <w:t>—</w:t>
            </w:r>
            <w:r w:rsidRPr="003A4919">
              <w:t>total household</w:t>
            </w:r>
          </w:p>
        </w:tc>
      </w:tr>
      <w:tr w:rsidR="006C08D5" w:rsidRPr="003A4919" w14:paraId="60CBB5CC" w14:textId="77777777" w:rsidTr="00876181">
        <w:tc>
          <w:tcPr>
            <w:tcW w:w="5000" w:type="pct"/>
            <w:vAlign w:val="bottom"/>
          </w:tcPr>
          <w:p w14:paraId="11B4D13C" w14:textId="77777777" w:rsidR="006C08D5" w:rsidRPr="003A4919" w:rsidRDefault="006C08D5" w:rsidP="00876181">
            <w:pPr>
              <w:pStyle w:val="TableText"/>
              <w:spacing w:before="40" w:after="40"/>
            </w:pPr>
            <w:r w:rsidRPr="003A4919">
              <w:t>Race</w:t>
            </w:r>
            <w:r>
              <w:t xml:space="preserve"> and </w:t>
            </w:r>
            <w:r w:rsidRPr="003A4919">
              <w:t>ethnicity</w:t>
            </w:r>
          </w:p>
        </w:tc>
      </w:tr>
      <w:tr w:rsidR="006C08D5" w:rsidRPr="003A4919" w14:paraId="60256180" w14:textId="77777777" w:rsidTr="00876181">
        <w:tc>
          <w:tcPr>
            <w:tcW w:w="5000" w:type="pct"/>
            <w:vAlign w:val="bottom"/>
          </w:tcPr>
          <w:p w14:paraId="020A4C7F" w14:textId="77777777" w:rsidR="006C08D5" w:rsidRPr="003A4919" w:rsidRDefault="006C08D5" w:rsidP="00876181">
            <w:pPr>
              <w:pStyle w:val="TableText"/>
              <w:spacing w:before="40" w:after="40"/>
            </w:pPr>
            <w:r>
              <w:t>M</w:t>
            </w:r>
            <w:r w:rsidRPr="003A4919">
              <w:t>arital status</w:t>
            </w:r>
            <w:r>
              <w:t xml:space="preserve"> and </w:t>
            </w:r>
            <w:r w:rsidRPr="003A4919">
              <w:t>living arrangement</w:t>
            </w:r>
          </w:p>
        </w:tc>
      </w:tr>
    </w:tbl>
    <w:p w14:paraId="151A62A4" w14:textId="77777777" w:rsidR="006C08D5" w:rsidRDefault="006C08D5" w:rsidP="006C08D5">
      <w:pPr>
        <w:pStyle w:val="NormalSS"/>
        <w:spacing w:before="240"/>
      </w:pPr>
      <w:r>
        <w:t xml:space="preserve">The consent form includes information about the random assignment, benefit offset, and research.  The consent form highlights the benefits and risks of participation, as required by law, to ensure that participants understand these issues. </w:t>
      </w:r>
      <w:r w:rsidRPr="009E4276">
        <w:t xml:space="preserve"> </w:t>
      </w:r>
      <w:r>
        <w:t xml:space="preserve">For simplicity and clarity, the form avoids using technical terms such as </w:t>
      </w:r>
      <w:r w:rsidRPr="00CB7F0E">
        <w:rPr>
          <w:i/>
        </w:rPr>
        <w:t xml:space="preserve">substantial gainful activity </w:t>
      </w:r>
      <w:r>
        <w:t xml:space="preserve">and </w:t>
      </w:r>
      <w:r w:rsidRPr="00CB7F0E">
        <w:rPr>
          <w:i/>
        </w:rPr>
        <w:t>extended period of eligibility</w:t>
      </w:r>
      <w:r>
        <w:t xml:space="preserve"> but nonetheless provide accurate information.</w:t>
      </w:r>
      <w:r w:rsidRPr="006C291A">
        <w:t xml:space="preserve"> </w:t>
      </w:r>
    </w:p>
    <w:p w14:paraId="3046F0B7" w14:textId="77777777" w:rsidR="006C08D5" w:rsidRDefault="006C08D5" w:rsidP="006C08D5">
      <w:pPr>
        <w:pStyle w:val="NormalSS"/>
      </w:pPr>
      <w:r>
        <w:t xml:space="preserve">The POD evaluation team anticipates that a portion of beneficiaries who return a consent form and baseline questionnaire will not enroll in the study.  The most likely reason for not enrolling is that the beneficiaries decline to consent.  However, beneficiaries may also not enroll if:  (1) SSA finds they are ineligible after they return the mailing; (2) the baseline questionnaire is incomplete; or (3) the beneficiaries return the forms after recruitment ends.  The </w:t>
      </w:r>
      <w:r w:rsidRPr="00D666DD">
        <w:t>evaluation team</w:t>
      </w:r>
      <w:r>
        <w:t xml:space="preserve"> assumes they will need to collect approximately 16,500 baseline surveys and consent forms to obtain the target sample of 15,000 eligible subjects.</w:t>
      </w:r>
    </w:p>
    <w:p w14:paraId="2C8D6CBB" w14:textId="77777777" w:rsidR="006C08D5" w:rsidRDefault="006C08D5" w:rsidP="006C08D5">
      <w:pPr>
        <w:pStyle w:val="H4NumberNoTOC"/>
      </w:pPr>
      <w:r>
        <w:t>A.2.2. Follow-up surveys</w:t>
      </w:r>
    </w:p>
    <w:p w14:paraId="48910A04" w14:textId="77777777" w:rsidR="006C08D5" w:rsidRDefault="006C08D5" w:rsidP="006C08D5">
      <w:pPr>
        <w:pStyle w:val="NormalSS"/>
      </w:pPr>
      <w:r w:rsidRPr="00246587">
        <w:t>The Year 1 and Year 2</w:t>
      </w:r>
      <w:r>
        <w:t xml:space="preserve"> follow-up</w:t>
      </w:r>
      <w:r w:rsidRPr="00246587">
        <w:t xml:space="preserve"> surveys, in conjunction with an analysis of outcomes derived from SSA </w:t>
      </w:r>
      <w:r>
        <w:t>program data</w:t>
      </w:r>
      <w:r w:rsidRPr="00246587">
        <w:t>, will capture the experiences of treatment and control group members over a period of two years.</w:t>
      </w:r>
      <w:r>
        <w:t xml:space="preserve"> </w:t>
      </w:r>
      <w:r w:rsidRPr="00246587">
        <w:t xml:space="preserve"> Both surveys will colle</w:t>
      </w:r>
      <w:r>
        <w:t>ct information about employment</w:t>
      </w:r>
      <w:r>
        <w:noBreakHyphen/>
        <w:t>related activities; training and education;</w:t>
      </w:r>
      <w:r w:rsidRPr="00246587">
        <w:t xml:space="preserve"> receipt of and</w:t>
      </w:r>
      <w:r>
        <w:t xml:space="preserve"> satisfaction with POD services;</w:t>
      </w:r>
      <w:r w:rsidRPr="00246587">
        <w:t xml:space="preserve"> understanding and a</w:t>
      </w:r>
      <w:r>
        <w:t>ttitudes toward work incentives;</w:t>
      </w:r>
      <w:r w:rsidRPr="00246587">
        <w:t xml:space="preserve"> </w:t>
      </w:r>
      <w:r>
        <w:t>health and functioning; total income;</w:t>
      </w:r>
      <w:r w:rsidRPr="00246587">
        <w:t xml:space="preserve"> and other contextual variables. </w:t>
      </w:r>
      <w:r>
        <w:t xml:space="preserve"> </w:t>
      </w:r>
      <w:r w:rsidRPr="00246587">
        <w:t xml:space="preserve">A follow-up interval of this length is important to measure the impacts of POD, as the effects of the demonstration on individual behavior and well-being </w:t>
      </w:r>
      <w:r>
        <w:t>may</w:t>
      </w:r>
      <w:r w:rsidRPr="00246587">
        <w:t xml:space="preserve"> take time to emerge.</w:t>
      </w:r>
      <w:r>
        <w:t xml:space="preserve">  The content of the follow up surveys is in Exhibit A.5.</w:t>
      </w:r>
    </w:p>
    <w:p w14:paraId="7F3A0B40" w14:textId="77777777" w:rsidR="006C08D5" w:rsidRPr="003A4919" w:rsidRDefault="006C08D5" w:rsidP="006C08D5">
      <w:pPr>
        <w:pStyle w:val="MarkforExhibitTitle"/>
      </w:pPr>
      <w:bookmarkStart w:id="10" w:name="_Toc476919858"/>
      <w:r>
        <w:t>Exhibit A.5.</w:t>
      </w:r>
      <w:r w:rsidRPr="003A4919">
        <w:t xml:space="preserve"> </w:t>
      </w:r>
      <w:r>
        <w:t xml:space="preserve">Follow-up survey </w:t>
      </w:r>
      <w:r w:rsidRPr="003A4919">
        <w:t>content</w:t>
      </w:r>
      <w:bookmarkEnd w:id="10"/>
      <w:r w:rsidRPr="003A4919">
        <w:t xml:space="preserve"> </w:t>
      </w:r>
    </w:p>
    <w:tbl>
      <w:tblPr>
        <w:tblStyle w:val="TableGrid"/>
        <w:tblW w:w="5000" w:type="pct"/>
        <w:tblBorders>
          <w:left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90"/>
      </w:tblGrid>
      <w:tr w:rsidR="006C08D5" w:rsidRPr="003A4919" w14:paraId="3D41366A" w14:textId="77777777" w:rsidTr="00876181">
        <w:tc>
          <w:tcPr>
            <w:tcW w:w="5000" w:type="pct"/>
            <w:vAlign w:val="bottom"/>
          </w:tcPr>
          <w:p w14:paraId="70CE813F" w14:textId="77777777" w:rsidR="006C08D5" w:rsidRPr="003A4919" w:rsidRDefault="006C08D5" w:rsidP="00876181">
            <w:pPr>
              <w:pStyle w:val="TableText"/>
              <w:spacing w:before="40" w:after="40"/>
            </w:pPr>
            <w:r>
              <w:t>Any jobs for pay in last 12 months</w:t>
            </w:r>
          </w:p>
        </w:tc>
      </w:tr>
      <w:tr w:rsidR="006C08D5" w:rsidRPr="003A4919" w14:paraId="3C03025B" w14:textId="77777777" w:rsidTr="00876181">
        <w:tc>
          <w:tcPr>
            <w:tcW w:w="5000" w:type="pct"/>
            <w:vAlign w:val="bottom"/>
          </w:tcPr>
          <w:p w14:paraId="09D142F9" w14:textId="77777777" w:rsidR="006C08D5" w:rsidRPr="003A4919" w:rsidRDefault="006C08D5" w:rsidP="00876181">
            <w:pPr>
              <w:pStyle w:val="TableText"/>
              <w:spacing w:before="40" w:after="40"/>
            </w:pPr>
            <w:r>
              <w:t>Details on current, main or last job</w:t>
            </w:r>
          </w:p>
        </w:tc>
      </w:tr>
      <w:tr w:rsidR="006C08D5" w:rsidRPr="003A4919" w14:paraId="3432C814" w14:textId="77777777" w:rsidTr="00876181">
        <w:tc>
          <w:tcPr>
            <w:tcW w:w="5000" w:type="pct"/>
            <w:vAlign w:val="bottom"/>
          </w:tcPr>
          <w:p w14:paraId="5A7E23DD" w14:textId="77777777" w:rsidR="006C08D5" w:rsidRPr="003A4919" w:rsidRDefault="006C08D5" w:rsidP="00876181">
            <w:pPr>
              <w:pStyle w:val="TableText"/>
              <w:spacing w:before="40" w:after="40"/>
            </w:pPr>
            <w:r>
              <w:t>Job search activities and job training experience and education in last 12 months</w:t>
            </w:r>
          </w:p>
        </w:tc>
      </w:tr>
      <w:tr w:rsidR="006C08D5" w:rsidRPr="003A4919" w14:paraId="77626A96" w14:textId="77777777" w:rsidTr="00876181">
        <w:tc>
          <w:tcPr>
            <w:tcW w:w="5000" w:type="pct"/>
            <w:vAlign w:val="bottom"/>
          </w:tcPr>
          <w:p w14:paraId="1B32653C" w14:textId="77777777" w:rsidR="006C08D5" w:rsidRDefault="006C08D5" w:rsidP="00876181">
            <w:pPr>
              <w:pStyle w:val="TableText"/>
              <w:spacing w:before="40" w:after="40"/>
            </w:pPr>
            <w:r>
              <w:t xml:space="preserve">Work accommodations, job satisfaction, attitudes toward work and returning to work </w:t>
            </w:r>
          </w:p>
        </w:tc>
      </w:tr>
      <w:tr w:rsidR="006C08D5" w:rsidRPr="003A4919" w:rsidDel="00D129B3" w14:paraId="35634DC6" w14:textId="77777777" w:rsidTr="00876181">
        <w:tc>
          <w:tcPr>
            <w:tcW w:w="5000" w:type="pct"/>
            <w:vAlign w:val="bottom"/>
          </w:tcPr>
          <w:p w14:paraId="159FFAC0" w14:textId="77777777" w:rsidR="006C08D5" w:rsidRPr="003A4919" w:rsidDel="00D129B3" w:rsidRDefault="006C08D5" w:rsidP="00876181">
            <w:pPr>
              <w:pStyle w:val="TableText"/>
              <w:spacing w:before="40" w:after="40"/>
            </w:pPr>
            <w:r>
              <w:t>Satisfaction with POD offset, rules and services, reasons for withdrawing from the POD offset</w:t>
            </w:r>
          </w:p>
        </w:tc>
      </w:tr>
      <w:tr w:rsidR="006C08D5" w:rsidRPr="003A4919" w14:paraId="76F47FB1" w14:textId="77777777" w:rsidTr="00876181">
        <w:tc>
          <w:tcPr>
            <w:tcW w:w="5000" w:type="pct"/>
            <w:vAlign w:val="bottom"/>
          </w:tcPr>
          <w:p w14:paraId="3DAB7D58" w14:textId="77777777" w:rsidR="006C08D5" w:rsidRPr="003A4919" w:rsidRDefault="006C08D5" w:rsidP="00876181">
            <w:pPr>
              <w:pStyle w:val="TableText"/>
              <w:spacing w:before="40" w:after="40"/>
            </w:pPr>
            <w:r w:rsidRPr="00F23A7E">
              <w:t>Understanding/attitudes toward the</w:t>
            </w:r>
            <w:r>
              <w:t xml:space="preserve"> POD </w:t>
            </w:r>
            <w:r w:rsidRPr="00F23A7E">
              <w:t>offset</w:t>
            </w:r>
            <w:r>
              <w:t>, termination of benefits</w:t>
            </w:r>
          </w:p>
        </w:tc>
      </w:tr>
      <w:tr w:rsidR="006C08D5" w:rsidRPr="003A4919" w14:paraId="7F45A9BE" w14:textId="77777777" w:rsidTr="00876181">
        <w:tc>
          <w:tcPr>
            <w:tcW w:w="5000" w:type="pct"/>
            <w:vAlign w:val="bottom"/>
          </w:tcPr>
          <w:p w14:paraId="1CD3AAA1" w14:textId="77777777" w:rsidR="006C08D5" w:rsidRPr="003A4919" w:rsidRDefault="006C08D5" w:rsidP="00876181">
            <w:pPr>
              <w:pStyle w:val="TableText"/>
              <w:spacing w:before="40" w:after="40"/>
            </w:pPr>
            <w:r>
              <w:t>Physical and mental health</w:t>
            </w:r>
            <w:r w:rsidRPr="003A4919">
              <w:t xml:space="preserve"> status</w:t>
            </w:r>
            <w:r>
              <w:t>; hospitalization, current health insurance</w:t>
            </w:r>
          </w:p>
        </w:tc>
      </w:tr>
      <w:tr w:rsidR="006C08D5" w:rsidRPr="003A4919" w14:paraId="1214DA18" w14:textId="77777777" w:rsidTr="00876181">
        <w:tc>
          <w:tcPr>
            <w:tcW w:w="5000" w:type="pct"/>
            <w:vAlign w:val="bottom"/>
          </w:tcPr>
          <w:p w14:paraId="2E8DD443" w14:textId="77777777" w:rsidR="006C08D5" w:rsidRPr="003A4919" w:rsidRDefault="006C08D5" w:rsidP="00876181">
            <w:pPr>
              <w:pStyle w:val="TableText"/>
              <w:spacing w:before="40" w:after="40"/>
            </w:pPr>
            <w:r w:rsidRPr="003A4919">
              <w:t>Income</w:t>
            </w:r>
            <w:r>
              <w:t>—</w:t>
            </w:r>
            <w:r w:rsidRPr="003A4919">
              <w:t>total household</w:t>
            </w:r>
            <w:r>
              <w:t>,</w:t>
            </w:r>
            <w:r w:rsidRPr="00F23A7E">
              <w:t xml:space="preserve"> including employment</w:t>
            </w:r>
            <w:r>
              <w:t>,</w:t>
            </w:r>
            <w:r w:rsidRPr="00F23A7E">
              <w:t xml:space="preserve"> housing assistance</w:t>
            </w:r>
            <w:r>
              <w:t>,</w:t>
            </w:r>
            <w:r w:rsidRPr="00F23A7E">
              <w:t xml:space="preserve"> SNAP</w:t>
            </w:r>
            <w:r>
              <w:t>,</w:t>
            </w:r>
            <w:r w:rsidRPr="00F23A7E">
              <w:t xml:space="preserve"> TANF</w:t>
            </w:r>
            <w:r>
              <w:t>,</w:t>
            </w:r>
            <w:r w:rsidRPr="00F23A7E">
              <w:t xml:space="preserve"> SSDI</w:t>
            </w:r>
            <w:r>
              <w:t>,</w:t>
            </w:r>
            <w:r w:rsidRPr="00F23A7E">
              <w:t xml:space="preserve"> workers</w:t>
            </w:r>
            <w:r>
              <w:t>’</w:t>
            </w:r>
            <w:r w:rsidRPr="00F23A7E">
              <w:t xml:space="preserve"> compensation</w:t>
            </w:r>
            <w:r>
              <w:t>,</w:t>
            </w:r>
            <w:r w:rsidRPr="00F23A7E">
              <w:t xml:space="preserve"> disability insurance</w:t>
            </w:r>
            <w:r>
              <w:t>,</w:t>
            </w:r>
            <w:r w:rsidRPr="00F23A7E">
              <w:t xml:space="preserve"> other income</w:t>
            </w:r>
          </w:p>
        </w:tc>
      </w:tr>
    </w:tbl>
    <w:p w14:paraId="44FF96B2" w14:textId="77777777" w:rsidR="006C08D5" w:rsidRPr="00246587" w:rsidRDefault="006C08D5" w:rsidP="006C08D5">
      <w:pPr>
        <w:pStyle w:val="NormalSS"/>
        <w:spacing w:before="240"/>
      </w:pPr>
      <w:r>
        <w:t xml:space="preserve">The study will conduct the 30-minute follow-up surveys primarily via web and telephone over 30 months, from fall 2018 to spring 2021.  Study staff will conduct the Year 1 survey with a subsample of POD subjects (7,500 or half of the 15,000 POD subjects).  </w:t>
      </w:r>
      <w:r w:rsidRPr="000D70E0">
        <w:t>This will reduce burden on the full set of subjects</w:t>
      </w:r>
      <w:r>
        <w:t>,</w:t>
      </w:r>
      <w:r w:rsidRPr="000D70E0">
        <w:t xml:space="preserve"> and is feasible because the evaluation team will have </w:t>
      </w:r>
      <w:r>
        <w:t xml:space="preserve">some </w:t>
      </w:r>
      <w:r w:rsidRPr="000D70E0">
        <w:t>outcome information from program data</w:t>
      </w:r>
      <w:r>
        <w:t xml:space="preserve"> that they can use in the interim reports</w:t>
      </w:r>
      <w:r w:rsidRPr="000D70E0">
        <w:t xml:space="preserve">. </w:t>
      </w:r>
      <w:r>
        <w:t xml:space="preserve"> They will conduct the Year 2 survey with the full sample of 15,000 POD subjects. </w:t>
      </w:r>
    </w:p>
    <w:p w14:paraId="1C450B8D" w14:textId="77777777" w:rsidR="006C08D5" w:rsidRDefault="006C08D5" w:rsidP="006C08D5">
      <w:pPr>
        <w:pStyle w:val="H4NumberNoTOC"/>
      </w:pPr>
      <w:r w:rsidRPr="00AC5DCE">
        <w:t>A.2.</w:t>
      </w:r>
      <w:r>
        <w:t>3</w:t>
      </w:r>
      <w:r w:rsidRPr="00AC5DCE">
        <w:t xml:space="preserve">. </w:t>
      </w:r>
      <w:r>
        <w:t>Q</w:t>
      </w:r>
      <w:r w:rsidRPr="00BD079A">
        <w:t>ualitative data from POD implementation and operations staff</w:t>
      </w:r>
    </w:p>
    <w:p w14:paraId="1FD8CE61" w14:textId="77777777" w:rsidR="006C08D5" w:rsidRPr="00A10FC1" w:rsidRDefault="006C08D5" w:rsidP="006C08D5">
      <w:pPr>
        <w:pStyle w:val="NormalSS"/>
      </w:pPr>
      <w:r>
        <w:t>The POD evaluation team</w:t>
      </w:r>
      <w:r w:rsidRPr="00A10FC1">
        <w:t xml:space="preserve"> will conduct </w:t>
      </w:r>
      <w:r>
        <w:t>qualitative</w:t>
      </w:r>
      <w:r w:rsidRPr="00A10FC1">
        <w:t xml:space="preserve"> data collection in each of the first four years of the evaluation. </w:t>
      </w:r>
      <w:r>
        <w:t xml:space="preserve"> </w:t>
      </w:r>
      <w:r w:rsidRPr="00A10FC1">
        <w:t xml:space="preserve">Key data collection activities </w:t>
      </w:r>
      <w:r>
        <w:t xml:space="preserve">will </w:t>
      </w:r>
      <w:r w:rsidRPr="00A10FC1">
        <w:t>include</w:t>
      </w:r>
      <w:r>
        <w:t xml:space="preserve">: </w:t>
      </w:r>
      <w:r w:rsidRPr="00A10FC1">
        <w:t xml:space="preserve"> (1) in-person site visits, including semi-structured interviews with key POD staff and partners such as VR staff</w:t>
      </w:r>
      <w:r>
        <w:t>,</w:t>
      </w:r>
      <w:r w:rsidRPr="00A10FC1">
        <w:t xml:space="preserve"> POD </w:t>
      </w:r>
      <w:r>
        <w:t>work incentives</w:t>
      </w:r>
      <w:r w:rsidRPr="00A10FC1">
        <w:t xml:space="preserve"> counselors, </w:t>
      </w:r>
      <w:r>
        <w:t>and technical assistance providers;</w:t>
      </w:r>
      <w:r w:rsidRPr="00C56870">
        <w:t xml:space="preserve"> </w:t>
      </w:r>
      <w:r w:rsidRPr="00A10FC1">
        <w:t>direct observation</w:t>
      </w:r>
      <w:r>
        <w:t xml:space="preserve"> of site operations;</w:t>
      </w:r>
      <w:r w:rsidRPr="00A10FC1">
        <w:t xml:space="preserve"> and collection of program documentation; and (2) “virtual” site visits consisting of semi-structured </w:t>
      </w:r>
      <w:r>
        <w:t>tele</w:t>
      </w:r>
      <w:r w:rsidRPr="00A10FC1">
        <w:t xml:space="preserve">phone interviews with program participants. </w:t>
      </w:r>
      <w:r>
        <w:t xml:space="preserve"> </w:t>
      </w:r>
      <w:r w:rsidRPr="00A10FC1">
        <w:t>As part of these visits</w:t>
      </w:r>
      <w:r>
        <w:t>,</w:t>
      </w:r>
      <w:r w:rsidRPr="00A10FC1">
        <w:t xml:space="preserve"> the evaluator will interview directors </w:t>
      </w:r>
      <w:r>
        <w:t xml:space="preserve">of select VR agencies, or other state partners, implementing POD in the selected states; </w:t>
      </w:r>
      <w:r w:rsidRPr="00A10FC1">
        <w:t xml:space="preserve">program staff responsible for arranging and delivering POD services to </w:t>
      </w:r>
      <w:r>
        <w:t>subject</w:t>
      </w:r>
      <w:r w:rsidRPr="00A10FC1">
        <w:t xml:space="preserve">s (such as </w:t>
      </w:r>
      <w:r>
        <w:t>POD work incentives</w:t>
      </w:r>
      <w:r w:rsidRPr="00A10FC1">
        <w:t xml:space="preserve"> </w:t>
      </w:r>
      <w:r>
        <w:t xml:space="preserve">counselors); and </w:t>
      </w:r>
      <w:r w:rsidRPr="00A10FC1">
        <w:t xml:space="preserve">VR state agency staff, and other </w:t>
      </w:r>
      <w:r>
        <w:t>implementation</w:t>
      </w:r>
      <w:r w:rsidRPr="00A10FC1">
        <w:t xml:space="preserve"> partners</w:t>
      </w:r>
      <w:r>
        <w:t>,</w:t>
      </w:r>
      <w:r w:rsidRPr="00A10FC1">
        <w:t xml:space="preserve"> providing services to </w:t>
      </w:r>
      <w:r>
        <w:t>subject</w:t>
      </w:r>
      <w:r w:rsidRPr="00A10FC1">
        <w:t xml:space="preserve">s. </w:t>
      </w:r>
      <w:r>
        <w:t xml:space="preserve"> SSA’s evaluation team anticipates that POD sites will vary in geographic location, organization, and staffing arrangements, so the specific number of interviews might vary across sites, although the POD evaluation</w:t>
      </w:r>
      <w:r w:rsidRPr="00A10FC1">
        <w:t xml:space="preserve"> team </w:t>
      </w:r>
      <w:r>
        <w:t>expects to interview</w:t>
      </w:r>
      <w:r w:rsidRPr="00A10FC1">
        <w:t xml:space="preserve"> an average of five program and partner staff during each in-person visit.</w:t>
      </w:r>
      <w:r>
        <w:t xml:space="preserve"> </w:t>
      </w:r>
      <w:r w:rsidRPr="00A10FC1">
        <w:t xml:space="preserve"> </w:t>
      </w:r>
      <w:r>
        <w:t>I</w:t>
      </w:r>
      <w:r w:rsidRPr="00DB4341">
        <w:t xml:space="preserve">f key program and partner staff telecommute </w:t>
      </w:r>
      <w:r>
        <w:t>from geographically dispersed locations,</w:t>
      </w:r>
      <w:r w:rsidRPr="00DB4341">
        <w:t xml:space="preserve"> </w:t>
      </w:r>
      <w:r>
        <w:t xml:space="preserve">study staff may conduct </w:t>
      </w:r>
      <w:r w:rsidRPr="00DB4341">
        <w:t>semi</w:t>
      </w:r>
      <w:r>
        <w:t>-</w:t>
      </w:r>
      <w:r w:rsidRPr="00DB4341">
        <w:t>structured telephone interviews in lieu of in-person site visits.</w:t>
      </w:r>
      <w:r>
        <w:t xml:space="preserve"> </w:t>
      </w:r>
      <w:r w:rsidRPr="00DB4341">
        <w:t xml:space="preserve"> </w:t>
      </w:r>
      <w:r w:rsidRPr="00A10FC1">
        <w:t xml:space="preserve">In addition, </w:t>
      </w:r>
      <w:r>
        <w:t>the POD evaluation team</w:t>
      </w:r>
      <w:r w:rsidRPr="00A10FC1">
        <w:t xml:space="preserve"> expect</w:t>
      </w:r>
      <w:r>
        <w:t>s</w:t>
      </w:r>
      <w:r w:rsidRPr="00A10FC1">
        <w:t xml:space="preserve"> to conduct virtual site</w:t>
      </w:r>
      <w:r>
        <w:t xml:space="preserve"> </w:t>
      </w:r>
      <w:r w:rsidRPr="00A10FC1">
        <w:t>visits with</w:t>
      </w:r>
      <w:r>
        <w:t xml:space="preserve"> an average of five </w:t>
      </w:r>
      <w:r w:rsidRPr="00A10FC1">
        <w:t xml:space="preserve">key informants </w:t>
      </w:r>
      <w:r>
        <w:t xml:space="preserve">per site; the evaluation team will identify these individuals </w:t>
      </w:r>
      <w:r w:rsidRPr="00A10FC1">
        <w:t xml:space="preserve">during the in-person visits. </w:t>
      </w:r>
      <w:r>
        <w:t xml:space="preserve"> </w:t>
      </w:r>
      <w:r w:rsidRPr="00A10FC1">
        <w:t xml:space="preserve">Topics for the site visit interviews are in Attachment C, which also includes </w:t>
      </w:r>
      <w:r>
        <w:t>a description of the evaluation team’s approach</w:t>
      </w:r>
      <w:r w:rsidRPr="00A10FC1">
        <w:t xml:space="preserve"> for observing program staff interactions with </w:t>
      </w:r>
      <w:r>
        <w:t>subjects</w:t>
      </w:r>
      <w:r w:rsidRPr="00A10FC1">
        <w:t xml:space="preserve"> </w:t>
      </w:r>
      <w:r>
        <w:t>during the in</w:t>
      </w:r>
      <w:r>
        <w:noBreakHyphen/>
      </w:r>
      <w:r w:rsidRPr="00A10FC1">
        <w:t xml:space="preserve">person visits to gain more insight into </w:t>
      </w:r>
      <w:r>
        <w:t>whether service providers</w:t>
      </w:r>
      <w:r w:rsidRPr="00BC628B">
        <w:t xml:space="preserve"> are implement</w:t>
      </w:r>
      <w:r>
        <w:t xml:space="preserve">ing POD </w:t>
      </w:r>
      <w:r w:rsidRPr="00BC628B">
        <w:t xml:space="preserve">as planned and </w:t>
      </w:r>
      <w:r>
        <w:t>whether providers need</w:t>
      </w:r>
      <w:r w:rsidRPr="00BC628B">
        <w:t xml:space="preserve"> additional </w:t>
      </w:r>
      <w:r>
        <w:t>resources</w:t>
      </w:r>
      <w:r w:rsidRPr="00BC628B">
        <w:t xml:space="preserve"> to support implementation.</w:t>
      </w:r>
      <w:r>
        <w:t xml:space="preserve"> </w:t>
      </w:r>
      <w:r w:rsidRPr="005460CC">
        <w:t xml:space="preserve"> </w:t>
      </w:r>
      <w:r>
        <w:t>Site visitors will observe activities such as benefits counseling sessions and phone calls between POD work incentives counselors and treatment subjects related to earnings reporting or benefit adjustment issues.</w:t>
      </w:r>
      <w:r w:rsidRPr="00A10FC1">
        <w:t xml:space="preserve"> </w:t>
      </w:r>
    </w:p>
    <w:p w14:paraId="5B7234E1" w14:textId="77777777" w:rsidR="006C08D5" w:rsidRPr="00A10FC1" w:rsidRDefault="006C08D5" w:rsidP="006C08D5">
      <w:pPr>
        <w:pStyle w:val="NormalSS"/>
      </w:pPr>
      <w:r w:rsidRPr="00A10FC1">
        <w:t>The goal</w:t>
      </w:r>
      <w:r>
        <w:t>s</w:t>
      </w:r>
      <w:r w:rsidRPr="00A10FC1">
        <w:t xml:space="preserve"> of site visit data collection </w:t>
      </w:r>
      <w:r>
        <w:t>are</w:t>
      </w:r>
      <w:r w:rsidRPr="00A10FC1">
        <w:t xml:space="preserve"> to</w:t>
      </w:r>
      <w:r>
        <w:t xml:space="preserve">: </w:t>
      </w:r>
      <w:r w:rsidRPr="00A10FC1">
        <w:t xml:space="preserve"> (1) document the programs, the</w:t>
      </w:r>
      <w:r>
        <w:t>ir implementation</w:t>
      </w:r>
      <w:r w:rsidRPr="00A10FC1">
        <w:t xml:space="preserve"> environments</w:t>
      </w:r>
      <w:r>
        <w:t>,</w:t>
      </w:r>
      <w:r w:rsidRPr="00A10FC1">
        <w:t xml:space="preserve"> and the nature of the services </w:t>
      </w:r>
      <w:r>
        <w:t xml:space="preserve">they </w:t>
      </w:r>
      <w:r w:rsidRPr="00A10FC1">
        <w:t xml:space="preserve">offer to POD </w:t>
      </w:r>
      <w:r>
        <w:t>subjects; (2) </w:t>
      </w:r>
      <w:r w:rsidRPr="00A10FC1">
        <w:t xml:space="preserve">describe VR agency </w:t>
      </w:r>
      <w:r>
        <w:t xml:space="preserve">partnerships </w:t>
      </w:r>
      <w:r w:rsidRPr="00A10FC1">
        <w:t xml:space="preserve">and other </w:t>
      </w:r>
      <w:r>
        <w:t xml:space="preserve">state </w:t>
      </w:r>
      <w:r w:rsidRPr="00A10FC1">
        <w:t>partnerships developed to implement POD; and (3) assess the extent to which the programs adhere to their intended service delivery models. T</w:t>
      </w:r>
      <w:r>
        <w:t>he study will use t</w:t>
      </w:r>
      <w:r w:rsidRPr="00A10FC1">
        <w:t xml:space="preserve">his information in the process analysis to provide SSA with a detailed </w:t>
      </w:r>
      <w:r>
        <w:t xml:space="preserve">description of the POD programs:  </w:t>
      </w:r>
      <w:r w:rsidRPr="00A10FC1">
        <w:t>how they implement</w:t>
      </w:r>
      <w:r>
        <w:t xml:space="preserve"> the demonstration;</w:t>
      </w:r>
      <w:r w:rsidRPr="00A10FC1">
        <w:t xml:space="preserve"> the</w:t>
      </w:r>
      <w:r>
        <w:t xml:space="preserve"> contexts in which they operate;</w:t>
      </w:r>
      <w:r w:rsidRPr="00A10FC1">
        <w:t xml:space="preserve"> the program operatio</w:t>
      </w:r>
      <w:r>
        <w:t>ns and their fidelity to design;</w:t>
      </w:r>
      <w:r w:rsidRPr="00A10FC1">
        <w:t xml:space="preserve"> and </w:t>
      </w:r>
      <w:r>
        <w:t>subjects</w:t>
      </w:r>
      <w:r w:rsidRPr="00A10FC1">
        <w:t xml:space="preserve">’ perspectives of POD. </w:t>
      </w:r>
      <w:r>
        <w:t xml:space="preserve"> </w:t>
      </w:r>
      <w:r w:rsidRPr="00A10FC1">
        <w:t>These detailed descriptions will assist in interpreting program impacts and identifying program features and conditions necessary for effective prog</w:t>
      </w:r>
      <w:r>
        <w:t>ram replication or improvement.  POD evaluation t</w:t>
      </w:r>
      <w:r w:rsidRPr="00A10FC1">
        <w:t xml:space="preserve">eam </w:t>
      </w:r>
      <w:r>
        <w:t xml:space="preserve">members </w:t>
      </w:r>
      <w:r w:rsidRPr="00A10FC1">
        <w:t>will gather information using a range of tech</w:t>
      </w:r>
      <w:r>
        <w:t>niques and data sources to</w:t>
      </w:r>
      <w:r w:rsidRPr="00A10FC1">
        <w:t xml:space="preserve"> describe the programs and activities</w:t>
      </w:r>
      <w:r>
        <w:t xml:space="preserve"> completely</w:t>
      </w:r>
      <w:r w:rsidRPr="00A10FC1">
        <w:t xml:space="preserve">. </w:t>
      </w:r>
      <w:r>
        <w:t xml:space="preserve"> </w:t>
      </w:r>
      <w:r w:rsidRPr="00A10FC1">
        <w:t>The</w:t>
      </w:r>
      <w:r>
        <w:t>y</w:t>
      </w:r>
      <w:r w:rsidRPr="00A10FC1">
        <w:t xml:space="preserve"> plan to use the Consolidated Framework for Implementation Research </w:t>
      </w:r>
      <w:r>
        <w:t xml:space="preserve">(Damschroder et al. 2009) </w:t>
      </w:r>
      <w:r w:rsidRPr="00A10FC1">
        <w:t xml:space="preserve">to guide the collection, analysis, and interpretation of qualitative data. </w:t>
      </w:r>
      <w:r>
        <w:t xml:space="preserve"> </w:t>
      </w:r>
      <w:r w:rsidRPr="00A10FC1">
        <w:t xml:space="preserve">The Consolidated Framework for Implementation Research is a framework that </w:t>
      </w:r>
      <w:r>
        <w:t>offers</w:t>
      </w:r>
      <w:r w:rsidRPr="00A10FC1">
        <w:t xml:space="preserve"> systematic assessment of the multilevel and diverse contexts in intervention implementation and helps </w:t>
      </w:r>
      <w:r>
        <w:t xml:space="preserve">in </w:t>
      </w:r>
      <w:r w:rsidRPr="00A10FC1">
        <w:t xml:space="preserve">understanding the myriad factors that might influence intervention implementation and effectiveness. </w:t>
      </w:r>
    </w:p>
    <w:p w14:paraId="47638D2E" w14:textId="77777777" w:rsidR="006C08D5" w:rsidRPr="00FF5A1A" w:rsidRDefault="006C08D5" w:rsidP="006C08D5">
      <w:pPr>
        <w:pStyle w:val="NormalSS"/>
      </w:pPr>
      <w:r>
        <w:t xml:space="preserve">The POD </w:t>
      </w:r>
      <w:r w:rsidRPr="00965B53">
        <w:t>evaluation team</w:t>
      </w:r>
      <w:r w:rsidRPr="00A10FC1">
        <w:t xml:space="preserve"> will also conduct </w:t>
      </w:r>
      <w:r>
        <w:t xml:space="preserve">telephone </w:t>
      </w:r>
      <w:r w:rsidRPr="00A10FC1">
        <w:t xml:space="preserve">interviews with SSA </w:t>
      </w:r>
      <w:r>
        <w:t xml:space="preserve">payment center </w:t>
      </w:r>
      <w:r w:rsidRPr="00A10FC1">
        <w:t>staff who are responsible for administeri</w:t>
      </w:r>
      <w:r>
        <w:t xml:space="preserve">ng the benefit offset to </w:t>
      </w:r>
      <w:r w:rsidRPr="00A10FC1">
        <w:t xml:space="preserve">understand the process </w:t>
      </w:r>
      <w:r>
        <w:t xml:space="preserve">staff </w:t>
      </w:r>
      <w:r w:rsidRPr="00A10FC1">
        <w:t>use to adjust benefit payments under POD</w:t>
      </w:r>
      <w:r>
        <w:t xml:space="preserve"> better</w:t>
      </w:r>
      <w:r w:rsidRPr="00A10FC1">
        <w:t xml:space="preserve">. </w:t>
      </w:r>
      <w:r>
        <w:t xml:space="preserve"> </w:t>
      </w:r>
      <w:r w:rsidRPr="00A10FC1">
        <w:t xml:space="preserve">In addition, </w:t>
      </w:r>
      <w:r>
        <w:t>the POD evaluation team</w:t>
      </w:r>
      <w:r w:rsidRPr="00A10FC1">
        <w:t xml:space="preserve"> will conduct </w:t>
      </w:r>
      <w:r w:rsidRPr="00CE4446">
        <w:t xml:space="preserve">telephone </w:t>
      </w:r>
      <w:r w:rsidRPr="00A10FC1">
        <w:t xml:space="preserve">interviews with key staff </w:t>
      </w:r>
      <w:r>
        <w:t xml:space="preserve">on the POD implementation team </w:t>
      </w:r>
      <w:r w:rsidRPr="00A10FC1">
        <w:t xml:space="preserve">to gain insight into </w:t>
      </w:r>
      <w:r>
        <w:t>their</w:t>
      </w:r>
      <w:r w:rsidRPr="00A10FC1">
        <w:t xml:space="preserve"> successes and challenges, including recommendations for corrective action to improve service delivery and reasons for withdraw</w:t>
      </w:r>
      <w:r>
        <w:t>al</w:t>
      </w:r>
      <w:r w:rsidRPr="00A10FC1">
        <w:t xml:space="preserve">s. </w:t>
      </w:r>
      <w:r>
        <w:t xml:space="preserve"> </w:t>
      </w:r>
      <w:r w:rsidRPr="00A10FC1">
        <w:t xml:space="preserve">SSA is not seeking clearance for these activities because the first involves collecting data from federal employees in their official capacity and the </w:t>
      </w:r>
      <w:r>
        <w:t xml:space="preserve">each of the two efforts will involve interviewing </w:t>
      </w:r>
      <w:r w:rsidRPr="00A10FC1">
        <w:t xml:space="preserve">nine </w:t>
      </w:r>
      <w:r>
        <w:t xml:space="preserve">or fewer </w:t>
      </w:r>
      <w:r w:rsidRPr="00A10FC1">
        <w:t>people.</w:t>
      </w:r>
    </w:p>
    <w:p w14:paraId="512BF7B3" w14:textId="77777777" w:rsidR="006C08D5" w:rsidRPr="00F01CAA" w:rsidRDefault="006C08D5" w:rsidP="006C08D5">
      <w:pPr>
        <w:pStyle w:val="H4NumberNoTOC"/>
      </w:pPr>
      <w:r>
        <w:t xml:space="preserve">A.2.4. </w:t>
      </w:r>
      <w:r w:rsidRPr="00BD079A">
        <w:t xml:space="preserve">Semi-structured interviews with </w:t>
      </w:r>
      <w:r>
        <w:t>treatment group subjects</w:t>
      </w:r>
      <w:r w:rsidRPr="00BD079A" w:rsidDel="00AC5DCE">
        <w:t xml:space="preserve"> </w:t>
      </w:r>
    </w:p>
    <w:p w14:paraId="1ECA6DA3" w14:textId="77777777" w:rsidR="006C08D5" w:rsidRDefault="006C08D5" w:rsidP="006C08D5">
      <w:pPr>
        <w:pStyle w:val="Bullet"/>
        <w:numPr>
          <w:ilvl w:val="0"/>
          <w:numId w:val="0"/>
        </w:numPr>
        <w:tabs>
          <w:tab w:val="clear" w:pos="432"/>
        </w:tabs>
        <w:ind w:firstLine="432"/>
      </w:pPr>
      <w:r w:rsidRPr="005A04A7">
        <w:t>In rounds 2 and 3</w:t>
      </w:r>
      <w:r>
        <w:t>,</w:t>
      </w:r>
      <w:r w:rsidRPr="005A04A7">
        <w:t xml:space="preserve"> </w:t>
      </w:r>
      <w:r>
        <w:t xml:space="preserve">the POD evaluation team </w:t>
      </w:r>
      <w:r w:rsidRPr="005A04A7">
        <w:t xml:space="preserve">will conduct semi-structured </w:t>
      </w:r>
      <w:r w:rsidRPr="001D47D1">
        <w:t xml:space="preserve">telephone </w:t>
      </w:r>
      <w:r w:rsidRPr="005A04A7">
        <w:t xml:space="preserve">interviews with </w:t>
      </w:r>
      <w:r>
        <w:t>POD treatment subjects and with individuals who withdraw from the demonstration’s treatment groups</w:t>
      </w:r>
      <w:r w:rsidRPr="005A04A7">
        <w:t>.</w:t>
      </w:r>
      <w:r>
        <w:rPr>
          <w:b/>
        </w:rPr>
        <w:t xml:space="preserve">  </w:t>
      </w:r>
      <w:r w:rsidRPr="003E136C">
        <w:t>The purpose is to</w:t>
      </w:r>
      <w:r>
        <w:rPr>
          <w:b/>
        </w:rPr>
        <w:t xml:space="preserve"> </w:t>
      </w:r>
      <w:r>
        <w:t>gain an</w:t>
      </w:r>
      <w:r w:rsidRPr="005A04A7">
        <w:t xml:space="preserve"> understanding </w:t>
      </w:r>
      <w:r>
        <w:t xml:space="preserve">of </w:t>
      </w:r>
      <w:r w:rsidRPr="005A04A7">
        <w:t>their direct experiences</w:t>
      </w:r>
      <w:r>
        <w:t xml:space="preserve"> with POD</w:t>
      </w:r>
      <w:r w:rsidRPr="005A04A7">
        <w:t xml:space="preserve"> and gather feedback on ways to improve the implementation of the demonstration. </w:t>
      </w:r>
      <w:r>
        <w:t xml:space="preserve"> </w:t>
      </w:r>
      <w:r w:rsidRPr="00A50A85">
        <w:t>These interviews will inform the process analysis, participant</w:t>
      </w:r>
      <w:r>
        <w:t xml:space="preserve"> analysis, and the impact study. </w:t>
      </w:r>
    </w:p>
    <w:p w14:paraId="56DCD75C" w14:textId="77777777" w:rsidR="006C08D5" w:rsidRDefault="006C08D5" w:rsidP="006C08D5">
      <w:pPr>
        <w:pStyle w:val="Bullet"/>
        <w:numPr>
          <w:ilvl w:val="0"/>
          <w:numId w:val="0"/>
        </w:numPr>
        <w:tabs>
          <w:tab w:val="clear" w:pos="432"/>
        </w:tabs>
        <w:spacing w:after="240"/>
        <w:ind w:firstLine="432"/>
      </w:pPr>
      <w:r>
        <w:t xml:space="preserve">The subjects selected for this evaluation component will represent a purposively selected sample of POD treatment subjects.  For each round of interviews, the POD evaluation team will complete nine interviews in each site, for total of 72 interviews per round (or 144 in total across the two rounds).  They will include subjects from both treatment groups and from key subgroups of interest (for example, subjects who have requested to withdraw; low earning offset users; and high earning offset users).  The two rounds of beneficiary interviews will focus on different topics.  The first interview will include questions about subjects’ motivations for enrolling in POD; their perspectives on the outreach, recruitment, and enrollment processes; and their understanding of POD offset rules.  The second interview will capture subjects’ perspectives of their participation in POD including </w:t>
      </w:r>
      <w:r w:rsidRPr="007352FE">
        <w:t xml:space="preserve">work incentives counseling, </w:t>
      </w:r>
      <w:r>
        <w:t xml:space="preserve">earnings reporting, and benefit adjustment; their </w:t>
      </w:r>
      <w:r w:rsidRPr="007352FE">
        <w:t xml:space="preserve">attitudes toward employment </w:t>
      </w:r>
      <w:r>
        <w:t>and work experiences; and POD areas in need of improvement.  For subjects who have withdrawn from the demonstration, the interview will provide an opportunity to explore their decision.</w:t>
      </w:r>
      <w:r w:rsidRPr="003E136C">
        <w:t xml:space="preserve"> </w:t>
      </w:r>
      <w:r>
        <w:t xml:space="preserve"> The interview t</w:t>
      </w:r>
      <w:r w:rsidRPr="003E136C">
        <w:t xml:space="preserve">opics for the </w:t>
      </w:r>
      <w:r>
        <w:t>beneficiary</w:t>
      </w:r>
      <w:r w:rsidRPr="003E136C">
        <w:t xml:space="preserve"> interviews are in Attachment </w:t>
      </w:r>
      <w:r w:rsidRPr="003321AF">
        <w:t>D.</w:t>
      </w:r>
      <w:r>
        <w:t xml:space="preserve"> </w:t>
      </w:r>
    </w:p>
    <w:p w14:paraId="713ED9C2" w14:textId="77777777" w:rsidR="006C08D5" w:rsidRPr="00D11587" w:rsidRDefault="006C08D5" w:rsidP="006C08D5">
      <w:pPr>
        <w:pStyle w:val="Bullet"/>
        <w:numPr>
          <w:ilvl w:val="0"/>
          <w:numId w:val="0"/>
        </w:numPr>
        <w:tabs>
          <w:tab w:val="clear" w:pos="432"/>
        </w:tabs>
        <w:spacing w:after="240"/>
        <w:ind w:left="432" w:hanging="432"/>
        <w:rPr>
          <w:b/>
        </w:rPr>
      </w:pPr>
      <w:r>
        <w:rPr>
          <w:b/>
        </w:rPr>
        <w:t xml:space="preserve">A.2.5. </w:t>
      </w:r>
      <w:r w:rsidRPr="00D11587">
        <w:rPr>
          <w:b/>
        </w:rPr>
        <w:t>Implementation Data Collection Instruments</w:t>
      </w:r>
    </w:p>
    <w:p w14:paraId="1334D28D" w14:textId="77777777" w:rsidR="006C08D5" w:rsidRPr="00965969" w:rsidRDefault="006C08D5" w:rsidP="006C08D5">
      <w:pPr>
        <w:pStyle w:val="NormalSS"/>
        <w:rPr>
          <w:szCs w:val="24"/>
        </w:rPr>
      </w:pPr>
      <w:r>
        <w:rPr>
          <w:szCs w:val="24"/>
        </w:rPr>
        <w:t xml:space="preserve">The POD implementation data collection will begin in the fall of 2017 and will continue </w:t>
      </w:r>
      <w:r w:rsidRPr="00965969">
        <w:rPr>
          <w:szCs w:val="24"/>
        </w:rPr>
        <w:t xml:space="preserve">through the spring 2021. </w:t>
      </w:r>
      <w:r>
        <w:rPr>
          <w:szCs w:val="24"/>
        </w:rPr>
        <w:t xml:space="preserve"> </w:t>
      </w:r>
      <w:r w:rsidRPr="00965969">
        <w:rPr>
          <w:szCs w:val="24"/>
        </w:rPr>
        <w:t xml:space="preserve">Implementation </w:t>
      </w:r>
      <w:r>
        <w:rPr>
          <w:szCs w:val="24"/>
        </w:rPr>
        <w:t>data collection</w:t>
      </w:r>
      <w:r w:rsidRPr="00965969">
        <w:rPr>
          <w:szCs w:val="24"/>
        </w:rPr>
        <w:t xml:space="preserve"> will follow the flow of study intake and random assignment and will be gradual throughout the eight states included in POD</w:t>
      </w:r>
      <w:r>
        <w:rPr>
          <w:szCs w:val="24"/>
        </w:rPr>
        <w:t xml:space="preserve">. </w:t>
      </w:r>
    </w:p>
    <w:p w14:paraId="6C7E346D" w14:textId="77777777" w:rsidR="006C08D5" w:rsidRDefault="006C08D5" w:rsidP="006C08D5">
      <w:pPr>
        <w:pStyle w:val="NormalSS"/>
        <w:rPr>
          <w:szCs w:val="24"/>
        </w:rPr>
      </w:pPr>
      <w:r w:rsidRPr="00965969">
        <w:t xml:space="preserve"> </w:t>
      </w:r>
      <w:r w:rsidRPr="00965969">
        <w:rPr>
          <w:szCs w:val="24"/>
        </w:rPr>
        <w:t>During</w:t>
      </w:r>
      <w:r>
        <w:rPr>
          <w:szCs w:val="24"/>
        </w:rPr>
        <w:t xml:space="preserve"> POD’s implementation period</w:t>
      </w:r>
      <w:r w:rsidRPr="00033C05">
        <w:rPr>
          <w:szCs w:val="24"/>
        </w:rPr>
        <w:t xml:space="preserve">, SSA will collect </w:t>
      </w:r>
      <w:r>
        <w:rPr>
          <w:szCs w:val="24"/>
        </w:rPr>
        <w:t>data</w:t>
      </w:r>
      <w:r w:rsidRPr="00033C05">
        <w:rPr>
          <w:szCs w:val="24"/>
        </w:rPr>
        <w:t xml:space="preserve"> from </w:t>
      </w:r>
      <w:r>
        <w:rPr>
          <w:szCs w:val="24"/>
        </w:rPr>
        <w:t xml:space="preserve">SSDI </w:t>
      </w:r>
      <w:r w:rsidRPr="00033C05">
        <w:rPr>
          <w:szCs w:val="24"/>
        </w:rPr>
        <w:t>beneficiaries assigned to the two POD treatment groups whose monthly ear</w:t>
      </w:r>
      <w:r>
        <w:rPr>
          <w:szCs w:val="24"/>
        </w:rPr>
        <w:t xml:space="preserve">nings exceed the POD threshold.  </w:t>
      </w:r>
      <w:r w:rsidRPr="00033C05">
        <w:rPr>
          <w:szCs w:val="24"/>
        </w:rPr>
        <w:t>T</w:t>
      </w:r>
      <w:r>
        <w:rPr>
          <w:szCs w:val="24"/>
        </w:rPr>
        <w:t>he implementation team will use t</w:t>
      </w:r>
      <w:r w:rsidRPr="00033C05">
        <w:rPr>
          <w:szCs w:val="24"/>
        </w:rPr>
        <w:t xml:space="preserve">wo </w:t>
      </w:r>
      <w:r>
        <w:rPr>
          <w:szCs w:val="24"/>
        </w:rPr>
        <w:t>data collection instruments</w:t>
      </w:r>
      <w:r w:rsidRPr="00033C05">
        <w:rPr>
          <w:szCs w:val="24"/>
        </w:rPr>
        <w:t xml:space="preserve"> to collect this information</w:t>
      </w:r>
      <w:r>
        <w:rPr>
          <w:szCs w:val="24"/>
        </w:rPr>
        <w:t xml:space="preserve">:  (1) the </w:t>
      </w:r>
      <w:r w:rsidRPr="00033C05">
        <w:rPr>
          <w:szCs w:val="24"/>
        </w:rPr>
        <w:t xml:space="preserve">POD Monthly Earnings and Impairment-Related Work Expenses (IRWE) Reporting Form; and (2) </w:t>
      </w:r>
      <w:r>
        <w:rPr>
          <w:szCs w:val="24"/>
        </w:rPr>
        <w:t xml:space="preserve">the </w:t>
      </w:r>
      <w:r w:rsidRPr="00033C05">
        <w:rPr>
          <w:szCs w:val="24"/>
        </w:rPr>
        <w:t>POD End of Year Reporting (EOYR) Form</w:t>
      </w:r>
      <w:r>
        <w:rPr>
          <w:szCs w:val="24"/>
        </w:rPr>
        <w:t>.  These two forms are in Attachments E and F, and we describe them below:</w:t>
      </w:r>
    </w:p>
    <w:p w14:paraId="40AE2532" w14:textId="77777777" w:rsidR="006C08D5" w:rsidRPr="00D11587" w:rsidRDefault="006C08D5" w:rsidP="006C08D5">
      <w:pPr>
        <w:pStyle w:val="Bullet"/>
        <w:rPr>
          <w:b/>
        </w:rPr>
      </w:pPr>
      <w:r w:rsidRPr="009E5A2F">
        <w:rPr>
          <w:b/>
        </w:rPr>
        <w:t>POD Monthly Earnings and Impairment-Related Work Expenses (IRWE) Reporting Form</w:t>
      </w:r>
      <w:r>
        <w:rPr>
          <w:b/>
        </w:rPr>
        <w:t xml:space="preserve">.  </w:t>
      </w:r>
      <w:r w:rsidRPr="00F5796B">
        <w:t xml:space="preserve">The </w:t>
      </w:r>
      <w:r>
        <w:t>implementation team will use this form</w:t>
      </w:r>
      <w:r w:rsidRPr="00F5796B">
        <w:t xml:space="preserve"> </w:t>
      </w:r>
      <w:r>
        <w:t>to collect monthly earnings and IRWE information from POD participants whose m</w:t>
      </w:r>
      <w:r w:rsidRPr="00033C05">
        <w:t>onthly earnings exceed the POD threshold</w:t>
      </w:r>
      <w:r>
        <w:t>.  The form collects the respondent’s contact information and provides a table for respondents to list the name(s) of their employer(s) for that month along with their earnings from each employer and any IRWEs that they claimed.  The implementation team will also instruct respondents to submit documentation with the form such as paystubs and receipts for IRWEs.  To facilitate online submission, the implementation team will replicate this form in an electronic format.</w:t>
      </w:r>
    </w:p>
    <w:p w14:paraId="73D5C2B5" w14:textId="77777777" w:rsidR="006C08D5" w:rsidRPr="00230BD0" w:rsidRDefault="006C08D5" w:rsidP="006C08D5">
      <w:pPr>
        <w:pStyle w:val="Bullet"/>
        <w:rPr>
          <w:b/>
        </w:rPr>
      </w:pPr>
      <w:r w:rsidRPr="00D11587">
        <w:rPr>
          <w:b/>
        </w:rPr>
        <w:t xml:space="preserve">POD End of Year Reporting (EOYR) Form. </w:t>
      </w:r>
      <w:r>
        <w:rPr>
          <w:b/>
        </w:rPr>
        <w:t xml:space="preserve"> </w:t>
      </w:r>
      <w:r>
        <w:t>Beginning in 2018, the implementation team will send POD participants this form every February in advance of the reconciliation process.  The implementation team will use the EOYR Form to collect additional earnings or IRWEs that respondents did not report during the prior year.  The form provides a table with earnings and IRWE information that the respondent reported during the year, and instructs respondents to submit additional paystubs and IRWE documentation along with the completed form.  To facilitate online submission, the implementation team will replicate this form in an electronic format.</w:t>
      </w:r>
    </w:p>
    <w:p w14:paraId="6A9B87E5" w14:textId="77777777" w:rsidR="006C08D5" w:rsidRPr="00230BD0" w:rsidRDefault="006C08D5" w:rsidP="006C08D5">
      <w:pPr>
        <w:pStyle w:val="Bullet"/>
        <w:numPr>
          <w:ilvl w:val="0"/>
          <w:numId w:val="0"/>
        </w:numPr>
        <w:rPr>
          <w:b/>
        </w:rPr>
      </w:pPr>
      <w:r w:rsidRPr="007B4899">
        <w:t xml:space="preserve">Respondents are </w:t>
      </w:r>
      <w:r>
        <w:t>SS</w:t>
      </w:r>
      <w:r w:rsidRPr="007B4899">
        <w:t>DI beneficiaries, who will provide written consent before agreeing to participate in the study and be</w:t>
      </w:r>
      <w:r>
        <w:t>fore we randomly assign them</w:t>
      </w:r>
      <w:r w:rsidRPr="007B4899">
        <w:t xml:space="preserve"> to one of the study </w:t>
      </w:r>
      <w:r>
        <w:t xml:space="preserve">treatment </w:t>
      </w:r>
      <w:r w:rsidRPr="007B4899">
        <w:t>groups</w:t>
      </w:r>
      <w:r w:rsidRPr="009039AC">
        <w:t>.</w:t>
      </w:r>
    </w:p>
    <w:p w14:paraId="6BB95CFE" w14:textId="77777777" w:rsidR="006C08D5" w:rsidRPr="009039AC" w:rsidRDefault="006C08D5" w:rsidP="006C08D5">
      <w:pPr>
        <w:pStyle w:val="Bullet"/>
        <w:numPr>
          <w:ilvl w:val="0"/>
          <w:numId w:val="0"/>
        </w:numPr>
        <w:ind w:left="432"/>
        <w:rPr>
          <w:b/>
          <w:bCs/>
        </w:rPr>
      </w:pPr>
    </w:p>
    <w:p w14:paraId="41315F54" w14:textId="77777777" w:rsidR="006C08D5" w:rsidRDefault="006C08D5" w:rsidP="006C08D5">
      <w:pPr>
        <w:pStyle w:val="H3Alpha"/>
        <w:spacing w:before="120"/>
      </w:pPr>
      <w:bookmarkStart w:id="11" w:name="_Toc476059353"/>
      <w:r>
        <w:t>A.3. Use of information technology to collect the information</w:t>
      </w:r>
      <w:bookmarkEnd w:id="11"/>
    </w:p>
    <w:p w14:paraId="1E22F874" w14:textId="77777777" w:rsidR="006C08D5" w:rsidRDefault="006C08D5" w:rsidP="006C08D5">
      <w:pPr>
        <w:pStyle w:val="NormalSS"/>
      </w:pPr>
      <w:r>
        <w:t>This evaluation will use information technology to f</w:t>
      </w:r>
      <w:r w:rsidRPr="00B7207C">
        <w:t>acilitate collection of the survey data in standardized and accurate ways that also accommodate the confidential collection of sensitive data</w:t>
      </w:r>
      <w:r>
        <w:t>, as well to maintain all demonstration data in a consistent manner.  T</w:t>
      </w:r>
      <w:r w:rsidRPr="00965B53">
        <w:t xml:space="preserve">he </w:t>
      </w:r>
      <w:r>
        <w:t xml:space="preserve">POD </w:t>
      </w:r>
      <w:r w:rsidRPr="00965B53">
        <w:t>evaluation team</w:t>
      </w:r>
      <w:r>
        <w:t xml:space="preserve"> will also use information technology to assist with sample tracking and locating efforts for the follow-up surveys.  The following subsections describe these uses of information technology in each of the main data collection efforts for the evaluation.</w:t>
      </w:r>
    </w:p>
    <w:p w14:paraId="3EA232F0" w14:textId="77777777" w:rsidR="006C08D5" w:rsidRPr="00A53331" w:rsidRDefault="006C08D5" w:rsidP="006C08D5">
      <w:pPr>
        <w:pStyle w:val="H4NumberNoTOC"/>
      </w:pPr>
      <w:r>
        <w:t xml:space="preserve">A.3.1. </w:t>
      </w:r>
      <w:r w:rsidRPr="00A53331">
        <w:t>Recruitment</w:t>
      </w:r>
      <w:r>
        <w:t xml:space="preserve"> materials </w:t>
      </w:r>
      <w:r w:rsidRPr="00A53331">
        <w:t xml:space="preserve">and baseline survey </w:t>
      </w:r>
    </w:p>
    <w:p w14:paraId="6F88EEE3" w14:textId="77777777" w:rsidR="006C08D5" w:rsidRDefault="006C08D5" w:rsidP="006C08D5">
      <w:pPr>
        <w:pStyle w:val="NormalSS"/>
      </w:pPr>
      <w:r>
        <w:t xml:space="preserve">The recruitment outreach will provide information to beneficiaries in several alternative formats.  </w:t>
      </w:r>
      <w:r w:rsidRPr="00B12628">
        <w:t xml:space="preserve">The </w:t>
      </w:r>
      <w:r>
        <w:t xml:space="preserve">materials include </w:t>
      </w:r>
      <w:r w:rsidRPr="00B12628">
        <w:t>an informational website, a toll-free phone number, and an email address.</w:t>
      </w:r>
      <w:r>
        <w:t xml:space="preserve">  The POD evaluation team </w:t>
      </w:r>
      <w:r w:rsidRPr="0085001C">
        <w:t>will</w:t>
      </w:r>
      <w:r>
        <w:t xml:space="preserve"> mail</w:t>
      </w:r>
      <w:r w:rsidRPr="0085001C">
        <w:t xml:space="preserve"> the baseline survey and consent form as paper documents </w:t>
      </w:r>
      <w:r>
        <w:t xml:space="preserve">to respondents, </w:t>
      </w:r>
      <w:r w:rsidRPr="0085001C">
        <w:t xml:space="preserve">and </w:t>
      </w:r>
      <w:r>
        <w:t xml:space="preserve">ask them to complete and </w:t>
      </w:r>
      <w:r w:rsidRPr="0085001C">
        <w:t>return them via U.S. mail.</w:t>
      </w:r>
      <w:r>
        <w:t xml:space="preserve">  If needed, subjects can call the toll-free line to complete the survey through a telephone interview with the assistance of a trained telephone interviewer.</w:t>
      </w:r>
      <w:r w:rsidRPr="00553F63">
        <w:t xml:space="preserve"> </w:t>
      </w:r>
      <w:r>
        <w:t xml:space="preserve"> When collecting baseline surveys and consent forms, the POD evaluation team will use an automated management information system to assess eligibility.  This will reduce burden by</w:t>
      </w:r>
      <w:r w:rsidRPr="00744304">
        <w:t xml:space="preserve"> prevent</w:t>
      </w:r>
      <w:r>
        <w:t>ing</w:t>
      </w:r>
      <w:r w:rsidRPr="00744304">
        <w:t xml:space="preserve"> staff from enrolling </w:t>
      </w:r>
      <w:r>
        <w:t>subjects</w:t>
      </w:r>
      <w:r w:rsidRPr="00744304">
        <w:t xml:space="preserve"> who have not completed a baseline survey and provided written consent</w:t>
      </w:r>
      <w:r>
        <w:t>,</w:t>
      </w:r>
      <w:r w:rsidRPr="00744304">
        <w:t xml:space="preserve"> or who might have previously enrolled.</w:t>
      </w:r>
    </w:p>
    <w:p w14:paraId="7341622A" w14:textId="77777777" w:rsidR="006C08D5" w:rsidRPr="0066283C" w:rsidRDefault="006C08D5" w:rsidP="006C08D5">
      <w:pPr>
        <w:pStyle w:val="H4NumberNoTOC"/>
      </w:pPr>
      <w:r w:rsidRPr="00751060">
        <w:t>A</w:t>
      </w:r>
      <w:r>
        <w:t>.3.2</w:t>
      </w:r>
      <w:r w:rsidRPr="00751060">
        <w:t xml:space="preserve">. </w:t>
      </w:r>
      <w:r>
        <w:t xml:space="preserve">Follow-up surveys </w:t>
      </w:r>
    </w:p>
    <w:p w14:paraId="2E5FCE15" w14:textId="77777777" w:rsidR="006C08D5" w:rsidRDefault="006C08D5" w:rsidP="006C08D5">
      <w:pPr>
        <w:pStyle w:val="NormalSS"/>
      </w:pPr>
      <w:r>
        <w:t xml:space="preserve">The study will administer follow-up surveys primarily by web and computer-assisted telephone interviewing (CATI) technology.  </w:t>
      </w:r>
      <w:r w:rsidRPr="00BE7488">
        <w:t xml:space="preserve">The </w:t>
      </w:r>
      <w:r>
        <w:t>web and CATI technology help</w:t>
      </w:r>
      <w:r w:rsidRPr="00BE7488">
        <w:t xml:space="preserve"> to improve the quality of the survey data collect</w:t>
      </w:r>
      <w:r>
        <w:t>ed for the evaluation</w:t>
      </w:r>
      <w:r w:rsidRPr="00BE7488">
        <w:t xml:space="preserve"> in several ways. </w:t>
      </w:r>
      <w:r>
        <w:t xml:space="preserve"> </w:t>
      </w:r>
      <w:r w:rsidRPr="00BE7488">
        <w:t>Fir</w:t>
      </w:r>
      <w:r>
        <w:t>st, web and CATI technology control the flow of the interview, which virtually eliminates any chance for missing data.  Second, controlling the flow of the interview also ensures that the skip patterns work properly.  Third, computer-assisted interviewing can build in checkpoints that allow the interviewer to confirm responses, thereby minimizing data entry errors.  Fourth, automated survey administration can incorporate system checks for allowable ranges for quantity and range value questions, minimizing out-of-range or unallowable values.  Finally, web and CATI technology also allow interviewers to record verbatim responses to open-ended questions more easily, supporting efficient survey management.</w:t>
      </w:r>
    </w:p>
    <w:p w14:paraId="2C71D9F7" w14:textId="77777777" w:rsidR="006C08D5" w:rsidRDefault="006C08D5" w:rsidP="006C08D5">
      <w:pPr>
        <w:pStyle w:val="NormalSS"/>
      </w:pPr>
      <w:r>
        <w:t xml:space="preserve">Although the web and CATI software enhance the quality of the survey data collected by the POD </w:t>
      </w:r>
      <w:r w:rsidRPr="00965B53">
        <w:t>evaluation team</w:t>
      </w:r>
      <w:r>
        <w:t xml:space="preserve"> and minimizes data entry errors, post-data-collection cleaning – using rigorous protocols – is necessary.  First, researchers review frequency distributions to ensure that there are no outlying values, and to make sure that related data items are consistent.  Second, analysts review the open-ended or verbatim responses; group like answers together; and assign a numeric value.  The most important open-ended responses to require coding are the industry and occupation questions, and those that capture data about the respondent’s knowledge of SSA rules and the demonstration.  The automated nature of the survey data collection should reduce the extent of missing data at the item level.  Third, in instances where data are missing, the evaluation team will recode the variables in question with standard default codes to indicate missing data.  After completing the data cleaning protocols, they will construct appropriate weights required for analysis. </w:t>
      </w:r>
    </w:p>
    <w:p w14:paraId="26C3A682" w14:textId="77777777" w:rsidR="006C08D5" w:rsidRPr="0066283C" w:rsidRDefault="006C08D5" w:rsidP="006C08D5">
      <w:pPr>
        <w:pStyle w:val="H4NumberNoTOC"/>
      </w:pPr>
      <w:r>
        <w:t xml:space="preserve">A.3.3. </w:t>
      </w:r>
      <w:r w:rsidRPr="00A10FC1">
        <w:t>Qualitative data from POD implementation and operations staff</w:t>
      </w:r>
      <w:r w:rsidRPr="00A10FC1" w:rsidDel="00A10FC1">
        <w:t xml:space="preserve"> </w:t>
      </w:r>
    </w:p>
    <w:p w14:paraId="3AD79188" w14:textId="77777777" w:rsidR="006C08D5" w:rsidRDefault="006C08D5" w:rsidP="006C08D5">
      <w:pPr>
        <w:pStyle w:val="NormalSS"/>
      </w:pPr>
      <w:r>
        <w:t xml:space="preserve">For the </w:t>
      </w:r>
      <w:r w:rsidRPr="007D62EB">
        <w:t>process study</w:t>
      </w:r>
      <w:r>
        <w:t xml:space="preserve">, the POD </w:t>
      </w:r>
      <w:r w:rsidRPr="00965B53">
        <w:t>the evaluation</w:t>
      </w:r>
      <w:r w:rsidRPr="007D62EB">
        <w:t xml:space="preserve"> team will conduct the semi-structured interviews </w:t>
      </w:r>
      <w:r>
        <w:t xml:space="preserve">in person and via telephone </w:t>
      </w:r>
      <w:r w:rsidRPr="007D62EB">
        <w:t xml:space="preserve">with implementation and operations staff. </w:t>
      </w:r>
      <w:r>
        <w:t xml:space="preserve"> </w:t>
      </w:r>
      <w:r w:rsidRPr="007D62EB">
        <w:t xml:space="preserve">The </w:t>
      </w:r>
      <w:r>
        <w:t xml:space="preserve">evaluation </w:t>
      </w:r>
      <w:r w:rsidRPr="007D62EB">
        <w:t>team will audio-record the discussions to collect the information</w:t>
      </w:r>
      <w:r>
        <w:t xml:space="preserve"> with consent from staff</w:t>
      </w:r>
      <w:r w:rsidRPr="007D62EB">
        <w:t>, ensure that meeting notes are accurate, and securely store and transcribe the audio files.</w:t>
      </w:r>
      <w:r>
        <w:t xml:space="preserve"> </w:t>
      </w:r>
    </w:p>
    <w:p w14:paraId="7AF6F31B" w14:textId="77777777" w:rsidR="006C08D5" w:rsidRPr="0066283C" w:rsidRDefault="006C08D5" w:rsidP="006C08D5">
      <w:pPr>
        <w:pStyle w:val="H4NumberNoTOC"/>
      </w:pPr>
      <w:r w:rsidRPr="00B369E9">
        <w:t>A.3.4. Semi-structured</w:t>
      </w:r>
      <w:r>
        <w:t xml:space="preserve"> </w:t>
      </w:r>
      <w:r w:rsidRPr="00B369E9">
        <w:t xml:space="preserve">interviews with </w:t>
      </w:r>
      <w:r>
        <w:t>treatment group subjects</w:t>
      </w:r>
    </w:p>
    <w:p w14:paraId="6ED957CE" w14:textId="77777777" w:rsidR="006C08D5" w:rsidRDefault="006C08D5" w:rsidP="006C08D5">
      <w:pPr>
        <w:pStyle w:val="NormalSS"/>
      </w:pPr>
      <w:r>
        <w:t xml:space="preserve">The POD evaluation </w:t>
      </w:r>
      <w:r w:rsidRPr="005E4632">
        <w:t xml:space="preserve">team </w:t>
      </w:r>
      <w:r w:rsidRPr="00B12628">
        <w:t xml:space="preserve">will conduct the semi-structured interviews </w:t>
      </w:r>
      <w:r>
        <w:t xml:space="preserve">with subjects via telephone.  The evaluation team will </w:t>
      </w:r>
      <w:r w:rsidRPr="008458E7">
        <w:t>audio</w:t>
      </w:r>
      <w:r>
        <w:t>-</w:t>
      </w:r>
      <w:r w:rsidRPr="008458E7">
        <w:t>record the discussions</w:t>
      </w:r>
      <w:r>
        <w:t xml:space="preserve"> with consent from staff, and</w:t>
      </w:r>
      <w:r w:rsidRPr="008458E7">
        <w:t xml:space="preserve"> securely store and transcribe</w:t>
      </w:r>
      <w:r>
        <w:t xml:space="preserve"> the audio files. </w:t>
      </w:r>
    </w:p>
    <w:p w14:paraId="230A6390" w14:textId="77777777" w:rsidR="006C08D5" w:rsidRPr="00A334A9" w:rsidRDefault="006C08D5" w:rsidP="006C08D5">
      <w:pPr>
        <w:pStyle w:val="NormalSS"/>
        <w:ind w:firstLine="0"/>
        <w:rPr>
          <w:b/>
        </w:rPr>
      </w:pPr>
      <w:r w:rsidRPr="00A334A9">
        <w:rPr>
          <w:b/>
        </w:rPr>
        <w:t>A.3.5. Implementation Data Collection Forms</w:t>
      </w:r>
    </w:p>
    <w:p w14:paraId="609A4A2D" w14:textId="77777777" w:rsidR="006C08D5" w:rsidRPr="00B12628" w:rsidRDefault="006C08D5" w:rsidP="006C08D5">
      <w:pPr>
        <w:pStyle w:val="NormalSS"/>
      </w:pPr>
      <w:r>
        <w:t>The implementation team will use information technology to f</w:t>
      </w:r>
      <w:r w:rsidRPr="00B7207C">
        <w:t xml:space="preserve">acilitate </w:t>
      </w:r>
      <w:r>
        <w:t>implementation data collection in standardized and accurate ways.  B</w:t>
      </w:r>
      <w:r w:rsidRPr="006C08D5">
        <w:t xml:space="preserve">oth the </w:t>
      </w:r>
      <w:r w:rsidRPr="00D44ECE">
        <w:t xml:space="preserve">POD </w:t>
      </w:r>
      <w:r>
        <w:t>Monthly Earnings and Impairment</w:t>
      </w:r>
      <w:r>
        <w:noBreakHyphen/>
      </w:r>
      <w:r w:rsidRPr="00D44ECE">
        <w:t>Related Work Expenses (IRWE) Reporting Form and the POD End of Year Reporting (EOYR) Form</w:t>
      </w:r>
      <w:r>
        <w:t>) will be replicated in an electronic format.  This will provide r</w:t>
      </w:r>
      <w:r w:rsidRPr="006C08D5">
        <w:t xml:space="preserve">espondents the option of submitting these forms </w:t>
      </w:r>
      <w:r>
        <w:t>and supporting docu</w:t>
      </w:r>
      <w:r w:rsidRPr="00D44ECE">
        <w:t xml:space="preserve">mentation </w:t>
      </w:r>
      <w:r>
        <w:t xml:space="preserve">on paper or electronically, </w:t>
      </w:r>
      <w:r w:rsidRPr="00D44ECE">
        <w:t>using an online process</w:t>
      </w:r>
      <w:r>
        <w:t xml:space="preserve">.  </w:t>
      </w:r>
      <w:r w:rsidRPr="006C08D5">
        <w:t xml:space="preserve">In addition, </w:t>
      </w:r>
      <w:r w:rsidR="006F7196">
        <w:t>we will give respondents</w:t>
      </w:r>
      <w:r w:rsidRPr="006C08D5">
        <w:t xml:space="preserve"> the option to request email reminders to submit their </w:t>
      </w:r>
      <w:r w:rsidRPr="00D44ECE">
        <w:t>POD Monthly Earnings and Impairment-Related Work Expenses (IRWE) Reporting Form</w:t>
      </w:r>
      <w:r>
        <w:t>s.</w:t>
      </w:r>
    </w:p>
    <w:p w14:paraId="1A1C8966" w14:textId="77777777" w:rsidR="006C08D5" w:rsidRDefault="006C08D5" w:rsidP="006C08D5">
      <w:pPr>
        <w:pStyle w:val="H3Alpha"/>
      </w:pPr>
      <w:bookmarkStart w:id="12" w:name="_Toc476059354"/>
      <w:r>
        <w:t>A.4. Why the information collected will not duplicate existing information</w:t>
      </w:r>
      <w:bookmarkEnd w:id="12"/>
    </w:p>
    <w:p w14:paraId="53CFDADB" w14:textId="77777777" w:rsidR="006C08D5" w:rsidRDefault="006C08D5" w:rsidP="006C08D5">
      <w:pPr>
        <w:pStyle w:val="NormalSS"/>
      </w:pPr>
      <w:r>
        <w:t>The nature of the information SSA will collect and the manner in which the POD evaluation and implementation teams will collect it preclude duplication.  SSA does not use another collection instrument to obtain similar data.</w:t>
      </w:r>
      <w:r w:rsidRPr="00486CEF">
        <w:t xml:space="preserve"> </w:t>
      </w:r>
      <w:r>
        <w:t xml:space="preserve"> </w:t>
      </w:r>
      <w:r w:rsidRPr="00777F07">
        <w:t>The staff interviews, direct observations, program documents,</w:t>
      </w:r>
      <w:r>
        <w:t xml:space="preserve"> and management information system data will </w:t>
      </w:r>
      <w:r w:rsidRPr="00777F07">
        <w:t xml:space="preserve">provide information the </w:t>
      </w:r>
      <w:r>
        <w:t xml:space="preserve">evaluation and implementation </w:t>
      </w:r>
      <w:r w:rsidRPr="00777F07">
        <w:t>team</w:t>
      </w:r>
      <w:r>
        <w:t>s</w:t>
      </w:r>
      <w:r w:rsidRPr="00777F07">
        <w:t xml:space="preserve"> cannot obtain through SSA’s </w:t>
      </w:r>
      <w:r>
        <w:t>program</w:t>
      </w:r>
      <w:r w:rsidRPr="00777F07">
        <w:t xml:space="preserve"> records.</w:t>
      </w:r>
    </w:p>
    <w:p w14:paraId="680BE45D" w14:textId="77777777" w:rsidR="006C08D5" w:rsidRPr="00144B94" w:rsidRDefault="006C08D5" w:rsidP="006C08D5">
      <w:pPr>
        <w:pStyle w:val="H4NumberNoTOC"/>
      </w:pPr>
      <w:r w:rsidRPr="00806318">
        <w:t>A.4.1. Recruitment materials and baseline survey</w:t>
      </w:r>
      <w:r w:rsidRPr="00144B94">
        <w:t xml:space="preserve"> </w:t>
      </w:r>
    </w:p>
    <w:p w14:paraId="2B44B7B3" w14:textId="5C54AE12" w:rsidR="006C08D5" w:rsidRDefault="006C08D5" w:rsidP="006C08D5">
      <w:pPr>
        <w:pStyle w:val="NormalSS"/>
      </w:pPr>
      <w:r>
        <w:t xml:space="preserve">The purpose of the baseline survey for the POD evaluation is to obtain current information on the status and well-being of people in the POD study sample.  Information about these respondents’ educational attainment, employment status, job skills development, overall health, and use of health insurance is not available through any other source.  Further, as described in A.3, the evaluation will use program data in conjunction with survey data to avoid duplication of reporting (for example, disability benefits receipt of suspension).  The POD evaluation team will also avoid duplication in this study by using the centrally maintained SMS and RAPTER, which links all the data collected from random assignment with information gathered from program sources.  </w:t>
      </w:r>
    </w:p>
    <w:p w14:paraId="064827CC" w14:textId="77777777" w:rsidR="006C08D5" w:rsidRPr="0066283C" w:rsidRDefault="006C08D5" w:rsidP="006C08D5">
      <w:pPr>
        <w:pStyle w:val="H4NumberNoTOC"/>
      </w:pPr>
      <w:r w:rsidRPr="0066283C">
        <w:t xml:space="preserve">A.4.2. Follow-up surveys </w:t>
      </w:r>
    </w:p>
    <w:p w14:paraId="192B6174" w14:textId="77777777" w:rsidR="006C08D5" w:rsidRDefault="006C08D5" w:rsidP="006C08D5">
      <w:pPr>
        <w:pStyle w:val="NormalSS"/>
      </w:pPr>
      <w:r w:rsidRPr="0036501E">
        <w:t xml:space="preserve">The purpose of the </w:t>
      </w:r>
      <w:r>
        <w:t>follow-up</w:t>
      </w:r>
      <w:r w:rsidRPr="0036501E">
        <w:t xml:space="preserve"> survey</w:t>
      </w:r>
      <w:r>
        <w:t>s</w:t>
      </w:r>
      <w:r w:rsidRPr="0036501E">
        <w:t xml:space="preserve"> for the POD evaluation is to obtain information on the </w:t>
      </w:r>
      <w:r>
        <w:t>experience</w:t>
      </w:r>
      <w:r w:rsidRPr="0036501E">
        <w:t xml:space="preserve"> and well-being of people in the POD study sample. Information about these respondents’ educational attainment, employment status, job skills development, overall health, and use of health insurance </w:t>
      </w:r>
      <w:r>
        <w:t>is</w:t>
      </w:r>
      <w:r w:rsidRPr="0036501E">
        <w:t xml:space="preserve"> not available through any other source.</w:t>
      </w:r>
      <w:r w:rsidRPr="0036501E">
        <w:rPr>
          <w:szCs w:val="24"/>
        </w:rPr>
        <w:t xml:space="preserve"> </w:t>
      </w:r>
      <w:r>
        <w:rPr>
          <w:szCs w:val="24"/>
        </w:rPr>
        <w:t xml:space="preserve"> T</w:t>
      </w:r>
      <w:r w:rsidRPr="0036501E">
        <w:t xml:space="preserve">he survey data include information on several outcomes </w:t>
      </w:r>
      <w:r>
        <w:t xml:space="preserve">that do </w:t>
      </w:r>
      <w:r w:rsidRPr="0036501E">
        <w:t xml:space="preserve">not </w:t>
      </w:r>
      <w:r>
        <w:t>appear</w:t>
      </w:r>
      <w:r w:rsidRPr="0036501E">
        <w:t xml:space="preserve"> in the </w:t>
      </w:r>
      <w:r>
        <w:t>program</w:t>
      </w:r>
      <w:r w:rsidRPr="0036501E">
        <w:t xml:space="preserve"> data, such as </w:t>
      </w:r>
      <w:r>
        <w:t>subjects’ understanding of the POD offset</w:t>
      </w:r>
      <w:r w:rsidRPr="0036501E">
        <w:t xml:space="preserve">, which are important for addressing </w:t>
      </w:r>
      <w:r>
        <w:t xml:space="preserve">the evaluation’s </w:t>
      </w:r>
      <w:r w:rsidRPr="0036501E">
        <w:t>research questions.</w:t>
      </w:r>
      <w:r>
        <w:t xml:space="preserve">  </w:t>
      </w:r>
      <w:r w:rsidRPr="0036501E">
        <w:t xml:space="preserve">Further, as described in </w:t>
      </w:r>
      <w:r>
        <w:t xml:space="preserve">Section </w:t>
      </w:r>
      <w:r w:rsidRPr="0036501E">
        <w:t xml:space="preserve">A.3, the evaluation will use </w:t>
      </w:r>
      <w:r>
        <w:t>program</w:t>
      </w:r>
      <w:r w:rsidRPr="0036501E">
        <w:t xml:space="preserve"> data in conjunction with survey data to avoid duplication of reporting (for example, disability benefits or earnings).</w:t>
      </w:r>
    </w:p>
    <w:p w14:paraId="3046564A" w14:textId="77777777" w:rsidR="006C08D5" w:rsidRPr="0066283C" w:rsidRDefault="006C08D5" w:rsidP="006C08D5">
      <w:pPr>
        <w:pStyle w:val="H4NumberNoTOC"/>
      </w:pPr>
      <w:r w:rsidRPr="0066283C">
        <w:t>A.4.3. Qualitative data from POD implementation and operations staff</w:t>
      </w:r>
      <w:r w:rsidRPr="0066283C" w:rsidDel="00A10FC1">
        <w:t xml:space="preserve"> </w:t>
      </w:r>
    </w:p>
    <w:p w14:paraId="156922BC" w14:textId="77777777" w:rsidR="006C08D5" w:rsidRDefault="006C08D5" w:rsidP="006C08D5">
      <w:pPr>
        <w:pStyle w:val="NormalSS"/>
      </w:pPr>
      <w:r w:rsidRPr="00777F07">
        <w:t xml:space="preserve">The </w:t>
      </w:r>
      <w:r>
        <w:t>interviews will cover staff members’</w:t>
      </w:r>
      <w:r w:rsidRPr="00777F07">
        <w:t xml:space="preserve"> POD-rel</w:t>
      </w:r>
      <w:r>
        <w:t>ated operations and experiences;</w:t>
      </w:r>
      <w:r w:rsidRPr="00777F07">
        <w:t xml:space="preserve"> the coordination </w:t>
      </w:r>
      <w:r>
        <w:t>between POD’s state implementation partners and</w:t>
      </w:r>
      <w:r w:rsidRPr="00777F07">
        <w:t xml:space="preserve"> other agencies </w:t>
      </w:r>
      <w:r>
        <w:t>or programs;</w:t>
      </w:r>
      <w:r w:rsidRPr="00777F07">
        <w:t xml:space="preserve"> and the fidelity of </w:t>
      </w:r>
      <w:r>
        <w:t xml:space="preserve">POD </w:t>
      </w:r>
      <w:r w:rsidRPr="00777F07">
        <w:t xml:space="preserve">program implementation. </w:t>
      </w:r>
      <w:r>
        <w:t xml:space="preserve"> </w:t>
      </w:r>
      <w:r w:rsidRPr="00777F07">
        <w:t xml:space="preserve">Direct observations will focus on activities </w:t>
      </w:r>
      <w:r>
        <w:t>that the</w:t>
      </w:r>
      <w:r w:rsidRPr="00777F07">
        <w:t xml:space="preserve"> interviews with site program staff</w:t>
      </w:r>
      <w:r>
        <w:t xml:space="preserve"> do not address specifically</w:t>
      </w:r>
      <w:r w:rsidRPr="00777F07">
        <w:t xml:space="preserve">. </w:t>
      </w:r>
      <w:r>
        <w:t xml:space="preserve"> </w:t>
      </w:r>
      <w:r w:rsidRPr="00777F07">
        <w:t>Each site</w:t>
      </w:r>
      <w:r>
        <w:t xml:space="preserve"> will use the POD implementation team’s MIS </w:t>
      </w:r>
      <w:r w:rsidRPr="00777F07">
        <w:t>to track information on service receipt specific to POD.</w:t>
      </w:r>
    </w:p>
    <w:p w14:paraId="7D665591" w14:textId="77777777" w:rsidR="006C08D5" w:rsidRPr="00F0207A" w:rsidRDefault="006C08D5" w:rsidP="006C08D5">
      <w:pPr>
        <w:pStyle w:val="H4NumberNoTOC"/>
      </w:pPr>
      <w:r w:rsidRPr="0066283C">
        <w:t>A.4.4. Semi-structured interviews with treatment group subjects</w:t>
      </w:r>
      <w:r w:rsidRPr="00F0207A">
        <w:t xml:space="preserve"> and Implementation Data Collection Forms</w:t>
      </w:r>
    </w:p>
    <w:p w14:paraId="59EDA29F" w14:textId="77777777" w:rsidR="006C08D5" w:rsidRDefault="006C08D5" w:rsidP="006C08D5">
      <w:pPr>
        <w:pStyle w:val="NormalSS"/>
      </w:pPr>
      <w:r>
        <w:t>Interviews with treatment subjects will provide information that the study cannot obtain through SSA’s program records or interviews with program staff, such as subjects’ personal experiences with POD.  The semi-structured telephone interviews will also provide more in</w:t>
      </w:r>
      <w:r>
        <w:noBreakHyphen/>
        <w:t xml:space="preserve">depth information than the surveys and will focus on different topic areas, for example, </w:t>
      </w:r>
      <w:r w:rsidRPr="00572B00">
        <w:t xml:space="preserve">motivation for volunteering for </w:t>
      </w:r>
      <w:r w:rsidRPr="0054319B">
        <w:rPr>
          <w:noProof/>
        </w:rPr>
        <w:t>POD</w:t>
      </w:r>
      <w:r w:rsidRPr="00572B00">
        <w:t xml:space="preserve">, the recruitment and enrollment process, initial contact with demonstration staff, </w:t>
      </w:r>
      <w:r>
        <w:t xml:space="preserve">and </w:t>
      </w:r>
      <w:r w:rsidRPr="00572B00">
        <w:t>concerns about the demonstration</w:t>
      </w:r>
      <w:r>
        <w:t xml:space="preserve"> and needs for improvement</w:t>
      </w:r>
      <w:r w:rsidRPr="00572B00">
        <w:t xml:space="preserve">. </w:t>
      </w:r>
      <w:r>
        <w:t xml:space="preserve"> The reporting forms will collect earnings data and impairment-related work expenses for the purposes of the POD study only.</w:t>
      </w:r>
    </w:p>
    <w:p w14:paraId="0C848CD9" w14:textId="77777777" w:rsidR="006C08D5" w:rsidRDefault="006C08D5" w:rsidP="006C08D5">
      <w:pPr>
        <w:pStyle w:val="H3Alpha"/>
      </w:pPr>
      <w:bookmarkStart w:id="13" w:name="_Toc476059355"/>
      <w:r>
        <w:t>A.5. Minimizing burden on small businesses or other small entities</w:t>
      </w:r>
      <w:bookmarkEnd w:id="13"/>
    </w:p>
    <w:p w14:paraId="541C2790" w14:textId="77777777" w:rsidR="006C08D5" w:rsidRDefault="006C08D5" w:rsidP="006C08D5">
      <w:pPr>
        <w:pStyle w:val="NormalSS"/>
      </w:pPr>
      <w:r>
        <w:t>Some of the service providers that the POD evaluation team interviews for the process analysis may be staff of small entities.  The evaluation team’s protocol imposes minimal burden on all organizations involved, and interviewers will keep discussions to one hour or less.  T</w:t>
      </w:r>
      <w:r w:rsidRPr="00965B53">
        <w:t xml:space="preserve">he </w:t>
      </w:r>
      <w:r>
        <w:t xml:space="preserve">POD </w:t>
      </w:r>
      <w:r w:rsidRPr="00965B53">
        <w:t>evaluation team</w:t>
      </w:r>
      <w:r>
        <w:t xml:space="preserve"> collects </w:t>
      </w:r>
      <w:r w:rsidRPr="0020347F">
        <w:t>the minimum</w:t>
      </w:r>
      <w:r>
        <w:t xml:space="preserve"> amount of information </w:t>
      </w:r>
      <w:r w:rsidRPr="0020347F">
        <w:t xml:space="preserve">required </w:t>
      </w:r>
      <w:r>
        <w:t xml:space="preserve">for the intended use, and schedules interviews at times that are convenient to the respondents.  In this way, the evaluation team will minimize the effect on small businesses and other small entities. </w:t>
      </w:r>
    </w:p>
    <w:p w14:paraId="5726AB22" w14:textId="77777777" w:rsidR="006C08D5" w:rsidRDefault="006C08D5" w:rsidP="006C08D5">
      <w:pPr>
        <w:pStyle w:val="NormalSS"/>
      </w:pPr>
      <w:r>
        <w:t xml:space="preserve">Some beneficiaries who have institutional representative payees may participate in the demonstration.  The small institutions may support the beneficiaries in reviewing the informed consent and baseline survey.  If the beneficiaries are interested in POD, they and the representative payee both must sign the document.  </w:t>
      </w:r>
    </w:p>
    <w:p w14:paraId="01801FCE" w14:textId="77777777" w:rsidR="006C08D5" w:rsidRDefault="006C08D5" w:rsidP="006C08D5">
      <w:pPr>
        <w:pStyle w:val="H3Alpha"/>
      </w:pPr>
      <w:bookmarkStart w:id="14" w:name="_Toc476059356"/>
      <w:r>
        <w:t>A.6. Consequences of not collecting information or collecting it less frequently</w:t>
      </w:r>
      <w:bookmarkEnd w:id="14"/>
    </w:p>
    <w:p w14:paraId="2B50DD41" w14:textId="77777777" w:rsidR="006C08D5" w:rsidRPr="00144B94" w:rsidRDefault="006C08D5" w:rsidP="006C08D5">
      <w:pPr>
        <w:pStyle w:val="H4NumberNoTOC"/>
      </w:pPr>
      <w:r>
        <w:t xml:space="preserve">A.6.1. </w:t>
      </w:r>
      <w:r w:rsidRPr="00144B94">
        <w:t xml:space="preserve">Recruitment and baseline survey </w:t>
      </w:r>
    </w:p>
    <w:p w14:paraId="5844E207" w14:textId="77777777" w:rsidR="006C08D5" w:rsidRDefault="006C08D5" w:rsidP="006C08D5">
      <w:pPr>
        <w:pStyle w:val="NormalSS"/>
      </w:pPr>
      <w:r>
        <w:t xml:space="preserve">If SSA did not conduct the POD evaluation, it would be unable to address important issues regarding SSDI beneficiaries’ success in finding, maintaining, and advancing in employment.  The baseline survey is a one-time collection and is necessary to conduct a credible evaluation.  The data the POD evaluation team will collect are not available from other sources, and the survey will collect a richer set of information than the evaluation team can gather from program records alone.  For example, program records do not offer details on job training experience, </w:t>
      </w:r>
      <w:r w:rsidRPr="0054319B">
        <w:rPr>
          <w:noProof/>
        </w:rPr>
        <w:t>likelihood</w:t>
      </w:r>
      <w:r>
        <w:t xml:space="preserve"> of working in the next year, or job search activities.  The study staff will conduct the baseline survey only once, so they cannot conduct it less frequently. </w:t>
      </w:r>
    </w:p>
    <w:p w14:paraId="659FFC99" w14:textId="77777777" w:rsidR="006C08D5" w:rsidRDefault="006C08D5" w:rsidP="006C08D5">
      <w:pPr>
        <w:pStyle w:val="H4NumberNoTOC"/>
      </w:pPr>
      <w:r w:rsidRPr="00777F07">
        <w:t>A.6.</w:t>
      </w:r>
      <w:r>
        <w:t>2.</w:t>
      </w:r>
      <w:r w:rsidRPr="00777F07">
        <w:t xml:space="preserve"> Follow-up surveys</w:t>
      </w:r>
    </w:p>
    <w:p w14:paraId="45AA57D8" w14:textId="77777777" w:rsidR="006C08D5" w:rsidRPr="00E373C6" w:rsidRDefault="006C08D5" w:rsidP="006C08D5">
      <w:pPr>
        <w:pStyle w:val="NormalSS"/>
        <w:rPr>
          <w:b/>
          <w:szCs w:val="24"/>
        </w:rPr>
      </w:pPr>
      <w:r w:rsidRPr="006C08D5">
        <w:rPr>
          <w:szCs w:val="24"/>
        </w:rPr>
        <w:t>The follow-up surveys will collect information than the POD evaluation team cannot obtain from SSA program records alone.  For example, program records may include data on earnings from jobs, but do not offer details such as job training experience; likelihood of working in the next year; or job search activities; as well as types of POD services received, satisfaction with those services, and reasons for withdrawing from POD.  The evaluation team expects that collecting these data less frequency, for example by only fielding the second follow-up survey, could reduce the extent or quality of information obtained for the evaluation.  This is because a longer recall period is likely to lower the reliability of the information that respondents provide about the period shortly after they enrolled as subjects in the study.  Therefore, we cannot collect the data less frequently.</w:t>
      </w:r>
    </w:p>
    <w:p w14:paraId="32F8C047" w14:textId="77777777" w:rsidR="006C08D5" w:rsidRPr="00B369E9" w:rsidRDefault="006C08D5" w:rsidP="006C08D5">
      <w:pPr>
        <w:pStyle w:val="H4NumberNoTOC"/>
      </w:pPr>
      <w:r w:rsidRPr="00B369E9">
        <w:t>A.6.3</w:t>
      </w:r>
      <w:r>
        <w:t>.</w:t>
      </w:r>
      <w:r w:rsidRPr="00B369E9">
        <w:t xml:space="preserve"> Qualitative data from POD implementation and operations staff</w:t>
      </w:r>
    </w:p>
    <w:p w14:paraId="0BF53039" w14:textId="77777777" w:rsidR="006C08D5" w:rsidRPr="00E60565" w:rsidRDefault="006C08D5" w:rsidP="006C08D5">
      <w:pPr>
        <w:pStyle w:val="NormalSS"/>
      </w:pPr>
      <w:r>
        <w:t xml:space="preserve">To support the process analysis, the POD </w:t>
      </w:r>
      <w:r w:rsidRPr="00965B53">
        <w:t>evaluation team</w:t>
      </w:r>
      <w:r>
        <w:t xml:space="preserve"> will conduct two rounds of in</w:t>
      </w:r>
      <w:r>
        <w:noBreakHyphen/>
        <w:t>person site visits with local program administrators, program supervisors, service delivery staff, and partner agencies, and two rounds of virtual visits (telephone interviews).  T</w:t>
      </w:r>
      <w:r w:rsidRPr="00965B53">
        <w:t>he evaluation team</w:t>
      </w:r>
      <w:r w:rsidRPr="003E6D47">
        <w:t xml:space="preserve"> anticipate</w:t>
      </w:r>
      <w:r>
        <w:t>s</w:t>
      </w:r>
      <w:r w:rsidRPr="003E6D47">
        <w:t xml:space="preserve"> conducting in-person visits for the first and third rounds of data collection when key informants are working centrally on site at the VR agency</w:t>
      </w:r>
      <w:r>
        <w:t xml:space="preserve"> or state partners of the POD implementation team</w:t>
      </w:r>
      <w:r w:rsidRPr="003E6D47">
        <w:t xml:space="preserve">. </w:t>
      </w:r>
      <w:r>
        <w:t xml:space="preserve"> </w:t>
      </w:r>
      <w:r w:rsidRPr="003E6D47">
        <w:t xml:space="preserve">However, in states that rely more on telecommuting staff, </w:t>
      </w:r>
      <w:r>
        <w:t>they</w:t>
      </w:r>
      <w:r w:rsidRPr="003E6D47">
        <w:t xml:space="preserve"> will collect information by telephone in these rounds </w:t>
      </w:r>
      <w:r>
        <w:t>to reduce the cost of interviewing</w:t>
      </w:r>
      <w:r w:rsidRPr="003E6D47">
        <w:t xml:space="preserve"> geographically dispersed </w:t>
      </w:r>
      <w:r>
        <w:t>respondents</w:t>
      </w:r>
      <w:r w:rsidRPr="003E6D47">
        <w:t xml:space="preserve">. </w:t>
      </w:r>
      <w:r>
        <w:t xml:space="preserve"> The first visit </w:t>
      </w:r>
      <w:r w:rsidRPr="00A704DB">
        <w:t xml:space="preserve">in early 2018 </w:t>
      </w:r>
      <w:r>
        <w:t xml:space="preserve">will focus on start-up activities; outreach efforts; the projects’ outstanding features; and key challenges encountered during early implementation.  </w:t>
      </w:r>
      <w:r w:rsidRPr="00FE0550">
        <w:t xml:space="preserve">The </w:t>
      </w:r>
      <w:r>
        <w:t xml:space="preserve">second in-person site visit </w:t>
      </w:r>
      <w:r w:rsidRPr="00A704DB">
        <w:t xml:space="preserve">in late 2019 </w:t>
      </w:r>
      <w:r>
        <w:t>will focus on POD infrastructure; staff use of the MIS;</w:t>
      </w:r>
      <w:r w:rsidRPr="00FE0550">
        <w:t xml:space="preserve"> benefits couns</w:t>
      </w:r>
      <w:r>
        <w:t>eling;</w:t>
      </w:r>
      <w:r w:rsidRPr="00FE0550">
        <w:t xml:space="preserve"> monthly </w:t>
      </w:r>
      <w:r>
        <w:t>reporting of earnings and IRWEs; processing of the offset;</w:t>
      </w:r>
      <w:r w:rsidRPr="00FE0550">
        <w:t xml:space="preserve"> and successes and challenges</w:t>
      </w:r>
      <w:r>
        <w:t>.  The virtual site visits, conducted in the interim years, will enable the evaluation team to continue to document POD recruitment and enrollment;</w:t>
      </w:r>
      <w:r w:rsidRPr="00FE0550">
        <w:t xml:space="preserve"> progress dev</w:t>
      </w:r>
      <w:r>
        <w:t xml:space="preserve">eloping the POD infrastructure; </w:t>
      </w:r>
      <w:r w:rsidRPr="00FE0550">
        <w:t>adjustments made to correct issues identified</w:t>
      </w:r>
      <w:r>
        <w:t>; and in round 4, exiting</w:t>
      </w:r>
      <w:r w:rsidRPr="00FE0550">
        <w:t xml:space="preserve"> POD</w:t>
      </w:r>
      <w:r>
        <w:t xml:space="preserve"> and lessons learned in later rounds.  All s</w:t>
      </w:r>
      <w:r w:rsidRPr="00E60565">
        <w:t xml:space="preserve">ite visits are necessary to develop an understanding of the intervention and the steps taken to implement project services as well as to assess fidelity of the demonstration design. </w:t>
      </w:r>
    </w:p>
    <w:p w14:paraId="5847B8AC" w14:textId="77777777" w:rsidR="006C08D5" w:rsidRDefault="006C08D5" w:rsidP="006C08D5">
      <w:pPr>
        <w:pStyle w:val="NormalSS"/>
      </w:pPr>
      <w:r>
        <w:t xml:space="preserve">Conducting fewer in-person and virtual visits would limit the POD evaluation team’s ability to follow up on challenges observed early in the implementation period; this, in turn, could reduce their capacity to help implementation staff resolve or improve activities between visits.  Fewer rounds of site visits would not allow SSA to assess how the projects evolve over time to address significant challenges and leverage successes.  Interviewing fewer staff on each </w:t>
      </w:r>
      <w:r w:rsidRPr="0054319B">
        <w:rPr>
          <w:noProof/>
        </w:rPr>
        <w:t>visit or</w:t>
      </w:r>
      <w:r>
        <w:t xml:space="preserve"> interviewing staff less frequently would not allow SSA to capture the full range of experiences to document all features of the service environment.  Therefore, the evaluation team cannot collect the range of information needed for this evaluation less frequently, or with fewer respondents.  </w:t>
      </w:r>
    </w:p>
    <w:p w14:paraId="528480A4" w14:textId="77777777" w:rsidR="006C08D5" w:rsidRPr="00B369E9" w:rsidRDefault="006C08D5" w:rsidP="006C08D5">
      <w:pPr>
        <w:pStyle w:val="H4NumberNoTOC"/>
      </w:pPr>
      <w:r w:rsidRPr="00B369E9">
        <w:t>A.6.4</w:t>
      </w:r>
      <w:r>
        <w:t>.</w:t>
      </w:r>
      <w:r w:rsidRPr="00B369E9">
        <w:t xml:space="preserve"> Semi-structured interviews with </w:t>
      </w:r>
      <w:r>
        <w:t>treatment group subjects</w:t>
      </w:r>
    </w:p>
    <w:p w14:paraId="4047EB78" w14:textId="77777777" w:rsidR="006C08D5" w:rsidRDefault="006C08D5" w:rsidP="006C08D5">
      <w:pPr>
        <w:pStyle w:val="NormalSS"/>
      </w:pPr>
      <w:r>
        <w:t xml:space="preserve">The POD evaluation team will also conduct two rounds of semi-structured </w:t>
      </w:r>
      <w:r w:rsidRPr="001D47D1">
        <w:t xml:space="preserve">telephone </w:t>
      </w:r>
      <w:r>
        <w:t xml:space="preserve">interviews with program subjects.  </w:t>
      </w:r>
      <w:r w:rsidRPr="00BC408B">
        <w:t>The</w:t>
      </w:r>
      <w:r>
        <w:t>se</w:t>
      </w:r>
      <w:r w:rsidRPr="00BC408B">
        <w:t xml:space="preserve"> interviews are necessary to help SSA assess whether t</w:t>
      </w:r>
      <w:r>
        <w:t>here is interest in the program;</w:t>
      </w:r>
      <w:r w:rsidRPr="00BC408B">
        <w:t xml:space="preserve"> whether </w:t>
      </w:r>
      <w:r>
        <w:t>subjects</w:t>
      </w:r>
      <w:r w:rsidRPr="00BC408B">
        <w:t xml:space="preserve"> have a favorable </w:t>
      </w:r>
      <w:r>
        <w:t>impression of the demonstration;</w:t>
      </w:r>
      <w:r w:rsidRPr="00BC408B">
        <w:t xml:space="preserve"> how thi</w:t>
      </w:r>
      <w:r>
        <w:t>s translates into take-up rates;</w:t>
      </w:r>
      <w:r w:rsidRPr="00BC408B">
        <w:t xml:space="preserve"> and how participation in POD affected education or training decisions and </w:t>
      </w:r>
      <w:r>
        <w:t>subjects</w:t>
      </w:r>
      <w:r w:rsidRPr="00BC408B">
        <w:t>’ quality of life.</w:t>
      </w:r>
    </w:p>
    <w:p w14:paraId="222136E8" w14:textId="77777777" w:rsidR="006C08D5" w:rsidRDefault="006C08D5" w:rsidP="006C08D5">
      <w:pPr>
        <w:pStyle w:val="NormalSS"/>
      </w:pPr>
      <w:r w:rsidRPr="00BC408B">
        <w:t xml:space="preserve">The first interview will </w:t>
      </w:r>
      <w:r>
        <w:t>provide</w:t>
      </w:r>
      <w:r w:rsidRPr="00BC408B">
        <w:t xml:space="preserve"> an early assessment of </w:t>
      </w:r>
      <w:r>
        <w:t>subjects’ perspectives so</w:t>
      </w:r>
      <w:r w:rsidRPr="00BC408B">
        <w:t xml:space="preserve"> the evaluation can provide early feedback to states, the implementation contractor, and the VR agencies </w:t>
      </w:r>
      <w:r>
        <w:t xml:space="preserve">and the implementation team’s other state partners </w:t>
      </w:r>
      <w:r w:rsidRPr="00BC408B">
        <w:t xml:space="preserve">serving POD </w:t>
      </w:r>
      <w:r>
        <w:t>subject</w:t>
      </w:r>
      <w:r w:rsidRPr="00BC408B">
        <w:t xml:space="preserve">s. </w:t>
      </w:r>
      <w:r>
        <w:t xml:space="preserve"> The second interview will provide more information about satisfaction with services received, employment, and the offset.  </w:t>
      </w:r>
      <w:r w:rsidRPr="00FE0550">
        <w:t xml:space="preserve">The two rounds of beneficiary interviews will focus on different topics. </w:t>
      </w:r>
      <w:r>
        <w:t xml:space="preserve"> </w:t>
      </w:r>
      <w:r w:rsidRPr="00FE0550">
        <w:t xml:space="preserve">During the first interview, the protocol will include questions on the </w:t>
      </w:r>
      <w:r>
        <w:t>subjects’</w:t>
      </w:r>
      <w:r w:rsidRPr="00FE0550">
        <w:t xml:space="preserve"> motivation for voluntee</w:t>
      </w:r>
      <w:r>
        <w:t>ring for POD;</w:t>
      </w:r>
      <w:r w:rsidRPr="00FE0550">
        <w:t xml:space="preserve"> employment goals</w:t>
      </w:r>
      <w:r>
        <w:t>;</w:t>
      </w:r>
      <w:r w:rsidRPr="00FE0550">
        <w:t xml:space="preserve"> the rec</w:t>
      </w:r>
      <w:r>
        <w:t>ruitment and enrollment process;</w:t>
      </w:r>
      <w:r w:rsidRPr="00FE0550">
        <w:t xml:space="preserve"> initial c</w:t>
      </w:r>
      <w:r>
        <w:t>ontact with demonstration staff; services received;</w:t>
      </w:r>
      <w:r w:rsidRPr="00FE0550">
        <w:t xml:space="preserve"> and any concerns about the demonstration. </w:t>
      </w:r>
      <w:r>
        <w:t xml:space="preserve"> </w:t>
      </w:r>
      <w:r w:rsidRPr="00FE0550">
        <w:t xml:space="preserve">The second round of interviews will capture </w:t>
      </w:r>
      <w:r>
        <w:t>subject</w:t>
      </w:r>
      <w:r w:rsidRPr="00FE0550">
        <w:t>s’ perspectives of the service</w:t>
      </w:r>
      <w:r>
        <w:t>s received; their participation in POD; work experience; attitudes toward employment;</w:t>
      </w:r>
      <w:r w:rsidRPr="00FE0550">
        <w:t xml:space="preserve"> and areas in need of improvement. </w:t>
      </w:r>
      <w:r>
        <w:t xml:space="preserve"> </w:t>
      </w:r>
      <w:r w:rsidRPr="00FE0550">
        <w:t xml:space="preserve">For </w:t>
      </w:r>
      <w:r>
        <w:t>subjects</w:t>
      </w:r>
      <w:r w:rsidRPr="00FE0550">
        <w:t xml:space="preserve"> who have withdrawn from the demonstration, the interview will provide an opportunity to explore their decision. </w:t>
      </w:r>
      <w:r>
        <w:t xml:space="preserve"> Because not all subjects will have a chance to use the benefit offset before the first round of interviews, particularly those that enroll in late 2018, </w:t>
      </w:r>
      <w:r w:rsidRPr="0054319B">
        <w:rPr>
          <w:noProof/>
        </w:rPr>
        <w:t>a second</w:t>
      </w:r>
      <w:r>
        <w:t xml:space="preserve"> round of interviews is necessary to assess the offset’s effect on employment for these later enrollees. </w:t>
      </w:r>
    </w:p>
    <w:p w14:paraId="6F4433BA" w14:textId="77777777" w:rsidR="006C08D5" w:rsidRPr="00F0207A" w:rsidRDefault="006C08D5" w:rsidP="006C08D5">
      <w:pPr>
        <w:pStyle w:val="NormalSS"/>
        <w:ind w:firstLine="0"/>
        <w:rPr>
          <w:b/>
        </w:rPr>
      </w:pPr>
      <w:r>
        <w:rPr>
          <w:b/>
        </w:rPr>
        <w:t>A.6.5</w:t>
      </w:r>
      <w:r w:rsidRPr="00F0207A">
        <w:rPr>
          <w:b/>
        </w:rPr>
        <w:t xml:space="preserve">. </w:t>
      </w:r>
      <w:r w:rsidRPr="00A334A9">
        <w:rPr>
          <w:b/>
        </w:rPr>
        <w:t>Implementation Data Collection Forms</w:t>
      </w:r>
    </w:p>
    <w:p w14:paraId="2681516C" w14:textId="77777777" w:rsidR="006C08D5" w:rsidRDefault="006C08D5" w:rsidP="006C08D5">
      <w:pPr>
        <w:pStyle w:val="NormalSS"/>
      </w:pPr>
      <w:r>
        <w:t xml:space="preserve">The implementation data for </w:t>
      </w:r>
      <w:r w:rsidRPr="0054319B">
        <w:rPr>
          <w:noProof/>
        </w:rPr>
        <w:t>POD</w:t>
      </w:r>
      <w:r>
        <w:t>, which we will collect on the earnings collection forms, is essential for SSA to operate POD and are not available from other sources.  Collecting the data less frequently would increase the risk of SSA calculating the participants’ DI benefit incorrectly, which could in turn cause participants to experience overpayments and underpayments.  Because we need to update the data monthly for the purposes of evaluating the POD data, we cannot collect this information less frequently.</w:t>
      </w:r>
    </w:p>
    <w:p w14:paraId="4A1D509C" w14:textId="77777777" w:rsidR="006C08D5" w:rsidRDefault="006C08D5" w:rsidP="006C08D5">
      <w:pPr>
        <w:pStyle w:val="H3Alpha"/>
      </w:pPr>
      <w:bookmarkStart w:id="15" w:name="_Toc476059357"/>
      <w:r>
        <w:t>A.7. Special circumstances</w:t>
      </w:r>
      <w:bookmarkEnd w:id="15"/>
    </w:p>
    <w:p w14:paraId="61AA493C" w14:textId="77777777" w:rsidR="006C08D5" w:rsidRPr="00CE1939" w:rsidRDefault="006C08D5" w:rsidP="006C08D5">
      <w:pPr>
        <w:pStyle w:val="NormalSS"/>
      </w:pPr>
      <w:r w:rsidRPr="00CE1939">
        <w:t xml:space="preserve">The proposed data collection activities are consistent with the guidelines set forth in </w:t>
      </w:r>
      <w:r w:rsidRPr="00CE1939">
        <w:rPr>
          <w:i/>
        </w:rPr>
        <w:t>5 CFR 1320.5</w:t>
      </w:r>
      <w:r w:rsidRPr="00CE1939">
        <w:t xml:space="preserve"> (Controlling Paperwork Burden on the Public, General Information Collection Guidelines). </w:t>
      </w:r>
      <w:r>
        <w:t xml:space="preserve"> </w:t>
      </w:r>
      <w:r w:rsidRPr="00CE1939">
        <w:t>There are no circumstances that require deviation from these guidelines.</w:t>
      </w:r>
    </w:p>
    <w:p w14:paraId="5CC87775" w14:textId="77777777" w:rsidR="006C08D5" w:rsidRDefault="006C08D5" w:rsidP="006C08D5">
      <w:pPr>
        <w:pStyle w:val="H3Alpha"/>
      </w:pPr>
      <w:bookmarkStart w:id="16" w:name="_Toc476059358"/>
      <w:r>
        <w:t>A.8. Solicitation of public comment and other consultation with the public</w:t>
      </w:r>
      <w:bookmarkEnd w:id="16"/>
    </w:p>
    <w:p w14:paraId="119BBC97" w14:textId="77777777" w:rsidR="006C08D5" w:rsidRDefault="006C08D5" w:rsidP="006C08D5">
      <w:pPr>
        <w:pStyle w:val="H4NumberNoTOC"/>
      </w:pPr>
      <w:r>
        <w:t>A.8.1. Federal Register</w:t>
      </w:r>
    </w:p>
    <w:p w14:paraId="1E9EB4B7" w14:textId="7199216C" w:rsidR="006C08D5" w:rsidRDefault="006C08D5" w:rsidP="006C08D5">
      <w:pPr>
        <w:pStyle w:val="NormalSS"/>
      </w:pPr>
      <w:r w:rsidRPr="00F0207A">
        <w:rPr>
          <w:szCs w:val="24"/>
        </w:rPr>
        <w:t xml:space="preserve">The 60-day advance Federal Register Notice published on </w:t>
      </w:r>
      <w:r>
        <w:rPr>
          <w:szCs w:val="24"/>
        </w:rPr>
        <w:t>April 18</w:t>
      </w:r>
      <w:r w:rsidRPr="00F0207A">
        <w:rPr>
          <w:szCs w:val="24"/>
        </w:rPr>
        <w:t xml:space="preserve">, 2017, at </w:t>
      </w:r>
      <w:r>
        <w:rPr>
          <w:szCs w:val="24"/>
        </w:rPr>
        <w:t>82</w:t>
      </w:r>
      <w:r w:rsidRPr="006F3678">
        <w:rPr>
          <w:szCs w:val="24"/>
        </w:rPr>
        <w:t xml:space="preserve"> FR </w:t>
      </w:r>
      <w:r>
        <w:rPr>
          <w:szCs w:val="24"/>
        </w:rPr>
        <w:t>18335,</w:t>
      </w:r>
      <w:r w:rsidRPr="006F3678">
        <w:rPr>
          <w:szCs w:val="24"/>
        </w:rPr>
        <w:t xml:space="preserve"> and we received no public comments.  The 30-day FRN published on </w:t>
      </w:r>
      <w:r>
        <w:rPr>
          <w:szCs w:val="24"/>
        </w:rPr>
        <w:t xml:space="preserve">July 27, </w:t>
      </w:r>
      <w:r w:rsidRPr="0054319B">
        <w:rPr>
          <w:noProof/>
          <w:szCs w:val="24"/>
        </w:rPr>
        <w:t>2017</w:t>
      </w:r>
      <w:r w:rsidR="0054319B">
        <w:rPr>
          <w:noProof/>
          <w:szCs w:val="24"/>
        </w:rPr>
        <w:t>,</w:t>
      </w:r>
      <w:r w:rsidRPr="006F3678">
        <w:rPr>
          <w:szCs w:val="24"/>
        </w:rPr>
        <w:t xml:space="preserve"> at</w:t>
      </w:r>
      <w:r>
        <w:rPr>
          <w:szCs w:val="24"/>
        </w:rPr>
        <w:t xml:space="preserve"> 82 FR 35022</w:t>
      </w:r>
      <w:r w:rsidRPr="006F3678">
        <w:rPr>
          <w:szCs w:val="24"/>
        </w:rPr>
        <w:t>.  If we receive any comments in response to this Notice, we will forward them to OMB</w:t>
      </w:r>
      <w:r>
        <w:rPr>
          <w:szCs w:val="24"/>
        </w:rPr>
        <w:t>.</w:t>
      </w:r>
    </w:p>
    <w:p w14:paraId="49878B60" w14:textId="77777777" w:rsidR="006C08D5" w:rsidRDefault="006C08D5" w:rsidP="006C08D5">
      <w:pPr>
        <w:pStyle w:val="H4NumberNoTOC"/>
      </w:pPr>
      <w:r>
        <w:t>A.8.2. Consultation with the public</w:t>
      </w:r>
    </w:p>
    <w:p w14:paraId="6FFAB2DF" w14:textId="77777777" w:rsidR="006C08D5" w:rsidRDefault="006C08D5" w:rsidP="006C08D5">
      <w:pPr>
        <w:pStyle w:val="NormalSS"/>
      </w:pPr>
      <w:r>
        <w:t>SSA consulted with an interdisciplinary group of economists, disability policy researchers, survey researchers, and information systems professionals on the staff of Mathematica Policy Research and its subcontractor, Insight Policy Research, contributed to the design of the information collection effort for this evaluation.  These people include:</w:t>
      </w:r>
    </w:p>
    <w:p w14:paraId="7FACFC69" w14:textId="77777777" w:rsidR="006C08D5" w:rsidRDefault="006C08D5" w:rsidP="006C08D5">
      <w:pPr>
        <w:pStyle w:val="Bullet"/>
      </w:pPr>
      <w:r>
        <w:t>David Wittenburg, Ph.D., Mathematica</w:t>
      </w:r>
    </w:p>
    <w:p w14:paraId="2A5C3B76" w14:textId="77777777" w:rsidR="006C08D5" w:rsidRPr="000469B4" w:rsidRDefault="006C08D5" w:rsidP="006C08D5">
      <w:pPr>
        <w:pStyle w:val="Bullet"/>
      </w:pPr>
      <w:r w:rsidRPr="000469B4">
        <w:t>Kenneth Fortson, Ph.D., Mathematica</w:t>
      </w:r>
    </w:p>
    <w:p w14:paraId="2F61E653" w14:textId="77777777" w:rsidR="006C08D5" w:rsidRDefault="006C08D5" w:rsidP="006C08D5">
      <w:pPr>
        <w:pStyle w:val="Bullet"/>
      </w:pPr>
      <w:r>
        <w:t>Noelle Denny-Brown, Mathematica</w:t>
      </w:r>
    </w:p>
    <w:p w14:paraId="59CDCA6E" w14:textId="77777777" w:rsidR="006C08D5" w:rsidRDefault="006C08D5" w:rsidP="006C08D5">
      <w:pPr>
        <w:pStyle w:val="Bullet"/>
      </w:pPr>
      <w:r>
        <w:t xml:space="preserve">Karen </w:t>
      </w:r>
      <w:r w:rsidRPr="0054319B">
        <w:rPr>
          <w:noProof/>
        </w:rPr>
        <w:t>CyBulski</w:t>
      </w:r>
      <w:r>
        <w:t>, Mathematica</w:t>
      </w:r>
    </w:p>
    <w:p w14:paraId="46DBB45A" w14:textId="77777777" w:rsidR="006C08D5" w:rsidRDefault="006C08D5" w:rsidP="006C08D5">
      <w:pPr>
        <w:pStyle w:val="Bullet"/>
      </w:pPr>
      <w:r>
        <w:t>David Stapleton, Ph.D., Mathematica</w:t>
      </w:r>
    </w:p>
    <w:p w14:paraId="75A2CB17" w14:textId="77777777" w:rsidR="006C08D5" w:rsidRPr="007424E5" w:rsidRDefault="006C08D5" w:rsidP="00EC13A6">
      <w:pPr>
        <w:pStyle w:val="BulletLastSS"/>
        <w:spacing w:after="120"/>
      </w:pPr>
      <w:r w:rsidRPr="007424E5">
        <w:t>Heinrich Hock, Ph.D., Mathematica</w:t>
      </w:r>
    </w:p>
    <w:p w14:paraId="01562EDD" w14:textId="77777777" w:rsidR="006C08D5" w:rsidRDefault="006C08D5" w:rsidP="006C08D5">
      <w:pPr>
        <w:pStyle w:val="BulletLastSS"/>
      </w:pPr>
      <w:r>
        <w:t>Debra Wright, Ph.D., Insight</w:t>
      </w:r>
    </w:p>
    <w:p w14:paraId="6250915A" w14:textId="77777777" w:rsidR="006C08D5" w:rsidRDefault="006C08D5" w:rsidP="006C08D5">
      <w:pPr>
        <w:pStyle w:val="NormalSS"/>
      </w:pPr>
      <w:r>
        <w:t>SSA also consulted with the team from Abt Associates, as the prime contractor for the implementation of POD.  In addition, Abt’s subcontractor, VCU, assisted with the design for POD’s implementation.  SSA collaborated on the design of POD’s implementation with the Abt study team to ensure the technical soundness and usefulness of the data collection instruments in carrying out the aims of POD’s implementation. These people include:</w:t>
      </w:r>
    </w:p>
    <w:p w14:paraId="47E504F5" w14:textId="77777777" w:rsidR="006C08D5" w:rsidRDefault="006C08D5" w:rsidP="006C08D5">
      <w:pPr>
        <w:pStyle w:val="Bullet"/>
      </w:pPr>
      <w:r>
        <w:t>Sarah Gibson, Abt</w:t>
      </w:r>
    </w:p>
    <w:p w14:paraId="37FC1973" w14:textId="77777777" w:rsidR="006C08D5" w:rsidRPr="000469B4" w:rsidRDefault="006C08D5" w:rsidP="006C08D5">
      <w:pPr>
        <w:pStyle w:val="Bullet"/>
      </w:pPr>
      <w:r>
        <w:t>Eric Friedman</w:t>
      </w:r>
      <w:r w:rsidRPr="000469B4">
        <w:t xml:space="preserve">, </w:t>
      </w:r>
      <w:r>
        <w:t>Abt</w:t>
      </w:r>
    </w:p>
    <w:p w14:paraId="5D692093" w14:textId="77777777" w:rsidR="006C08D5" w:rsidRDefault="006C08D5" w:rsidP="006C08D5">
      <w:pPr>
        <w:pStyle w:val="Bullet"/>
      </w:pPr>
      <w:r>
        <w:t>Brian Sokol, Abt</w:t>
      </w:r>
    </w:p>
    <w:p w14:paraId="25139267" w14:textId="77777777" w:rsidR="006C08D5" w:rsidRDefault="006C08D5" w:rsidP="006C08D5">
      <w:pPr>
        <w:pStyle w:val="Bullet"/>
      </w:pPr>
      <w:r>
        <w:t>Susan O’Mara, VCU</w:t>
      </w:r>
    </w:p>
    <w:p w14:paraId="7AE43B94" w14:textId="77777777" w:rsidR="006C08D5" w:rsidRDefault="006C08D5" w:rsidP="006C08D5">
      <w:pPr>
        <w:pStyle w:val="Bullet"/>
        <w:numPr>
          <w:ilvl w:val="0"/>
          <w:numId w:val="0"/>
        </w:numPr>
        <w:ind w:left="432"/>
      </w:pPr>
    </w:p>
    <w:p w14:paraId="20CE8585" w14:textId="77777777" w:rsidR="006C08D5" w:rsidRDefault="006C08D5" w:rsidP="006C08D5">
      <w:pPr>
        <w:pStyle w:val="H3Alpha"/>
      </w:pPr>
      <w:bookmarkStart w:id="17" w:name="_Toc476059359"/>
      <w:r>
        <w:t>A.9. Payments or gifts to respondents</w:t>
      </w:r>
      <w:bookmarkEnd w:id="17"/>
    </w:p>
    <w:p w14:paraId="2DE4F065" w14:textId="77777777" w:rsidR="006C08D5" w:rsidRDefault="006C08D5" w:rsidP="006C08D5">
      <w:pPr>
        <w:pStyle w:val="NormalSS"/>
      </w:pPr>
      <w:r>
        <w:t>SSA believes that some compensation is important to engender a positive attitude about the study and reduce attrition in follow-up interviews.  Research shows that incentives increase response rates without compromising data quality (Singer and Kulka 2000), and help increase response rates among people with relatively low educational levels (Berlin et al. 1992), among low-income and non-white populations (James and Bolstein 1990), and among unemployed workers (</w:t>
      </w:r>
      <w:r w:rsidRPr="00652A29">
        <w:t>Jäckle and Lynn</w:t>
      </w:r>
      <w:r>
        <w:t xml:space="preserve"> 2007).  </w:t>
      </w:r>
      <w:r w:rsidRPr="00652A29">
        <w:t>There is also evidence that incentives bolster participation among those with lower interest in the survey topic (Jäckle and Lynn 2007; Kay 2001; Schwartz</w:t>
      </w:r>
      <w:r>
        <w:t xml:space="preserve">, Goble, and English </w:t>
      </w:r>
      <w:r w:rsidRPr="00652A29">
        <w:t>2006), resulting in data that are more complete.</w:t>
      </w:r>
    </w:p>
    <w:p w14:paraId="42E72B8E" w14:textId="77777777" w:rsidR="006C08D5" w:rsidRPr="005375E5" w:rsidRDefault="006C08D5" w:rsidP="006C08D5">
      <w:pPr>
        <w:pStyle w:val="H4NumberNoTOC"/>
      </w:pPr>
      <w:r>
        <w:t xml:space="preserve">A.9.1. </w:t>
      </w:r>
      <w:r w:rsidRPr="005375E5">
        <w:t xml:space="preserve">Recruitment and baseline survey </w:t>
      </w:r>
    </w:p>
    <w:p w14:paraId="397ED0C3" w14:textId="77777777" w:rsidR="006C08D5" w:rsidRDefault="006C08D5" w:rsidP="006C08D5">
      <w:pPr>
        <w:pStyle w:val="NormalSS"/>
      </w:pPr>
      <w:r>
        <w:t>Incentive payments are a powerful tool for maintaining low attrition rates in longitudinal studies, especially for members of the control group who are not receiving any (other) program benefits or services.  Using incentive payments for the POD baseline survey can increase the attractiveness to participation in the demonstration.  This may help the POD evaluation team efficiently recruit a sufficient sample size necessary to meet SSA’s objectives of the evaluation.</w:t>
      </w:r>
    </w:p>
    <w:p w14:paraId="511B8B13" w14:textId="77777777" w:rsidR="006C08D5" w:rsidRPr="009F3155" w:rsidRDefault="006C08D5" w:rsidP="006C08D5">
      <w:pPr>
        <w:pStyle w:val="NormalSS"/>
      </w:pPr>
      <w:r>
        <w:t xml:space="preserve">The POD evaluation team will pay survey respondents a modest sum to encourage response; facilitate cooperation; and demonstrate appreciation to subjects for their time and effort.  Each POD subject who returns a completed baseline survey and consent form, regardless of whether they give consent for random assignment and further participation in the study, will receive a $25 incentive.  </w:t>
      </w:r>
      <w:r w:rsidRPr="009F3155">
        <w:t xml:space="preserve">As discussed in Part B, one experiment in the recruitment </w:t>
      </w:r>
      <w:r>
        <w:t xml:space="preserve">pilot </w:t>
      </w:r>
      <w:r w:rsidRPr="009F3155">
        <w:t>phase could be to alter the incentive amount</w:t>
      </w:r>
      <w:r>
        <w:t xml:space="preserve"> and assess how doing so affects recruitment yields</w:t>
      </w:r>
      <w:r w:rsidRPr="009F3155">
        <w:t xml:space="preserve">.  </w:t>
      </w:r>
    </w:p>
    <w:p w14:paraId="28B3479F" w14:textId="77777777" w:rsidR="006C08D5" w:rsidRDefault="006C08D5" w:rsidP="006C08D5">
      <w:pPr>
        <w:pStyle w:val="H4NumberNoTOC"/>
      </w:pPr>
      <w:r>
        <w:t>A.9.2. Follow-up surveys</w:t>
      </w:r>
    </w:p>
    <w:p w14:paraId="00CF71F0" w14:textId="77777777" w:rsidR="006C08D5" w:rsidRPr="006C08D5" w:rsidRDefault="006C08D5" w:rsidP="006C08D5">
      <w:pPr>
        <w:pStyle w:val="NormalSScontinued"/>
        <w:ind w:firstLine="450"/>
        <w:rPr>
          <w:b/>
          <w:szCs w:val="24"/>
        </w:rPr>
      </w:pPr>
      <w:r>
        <w:t xml:space="preserve">The POD </w:t>
      </w:r>
      <w:r w:rsidRPr="00965B53">
        <w:t>evaluation team</w:t>
      </w:r>
      <w:r w:rsidRPr="00022B9E">
        <w:t xml:space="preserve"> will pay </w:t>
      </w:r>
      <w:r>
        <w:t xml:space="preserve">follow-up </w:t>
      </w:r>
      <w:r w:rsidRPr="00022B9E">
        <w:t xml:space="preserve">survey respondents a </w:t>
      </w:r>
      <w:r>
        <w:t>differential incentive based on the mode of response</w:t>
      </w:r>
      <w:r w:rsidRPr="00022B9E">
        <w:t xml:space="preserve">. </w:t>
      </w:r>
      <w:r>
        <w:t xml:space="preserve"> </w:t>
      </w:r>
      <w:r w:rsidRPr="00022B9E">
        <w:t>POD subject</w:t>
      </w:r>
      <w:r>
        <w:t>s</w:t>
      </w:r>
      <w:r w:rsidRPr="00022B9E">
        <w:t xml:space="preserve"> who complete</w:t>
      </w:r>
      <w:r>
        <w:t xml:space="preserve"> a follow-up survey by web will </w:t>
      </w:r>
      <w:r w:rsidRPr="00022B9E">
        <w:t>receive a</w:t>
      </w:r>
      <w:r>
        <w:t>n incentive of</w:t>
      </w:r>
      <w:r w:rsidRPr="00022B9E">
        <w:t xml:space="preserve"> $</w:t>
      </w:r>
      <w:r>
        <w:t>30</w:t>
      </w:r>
      <w:r w:rsidRPr="00022B9E">
        <w:t xml:space="preserve"> </w:t>
      </w:r>
      <w:r>
        <w:t xml:space="preserve">for the 12-month survey and $35 for the 24-month survey.  </w:t>
      </w:r>
      <w:r>
        <w:rPr>
          <w:szCs w:val="24"/>
        </w:rPr>
        <w:t>S</w:t>
      </w:r>
      <w:r w:rsidRPr="0049512E">
        <w:rPr>
          <w:szCs w:val="24"/>
        </w:rPr>
        <w:t>ubjects who complete a follow</w:t>
      </w:r>
      <w:r>
        <w:rPr>
          <w:szCs w:val="24"/>
        </w:rPr>
        <w:t>-</w:t>
      </w:r>
      <w:r w:rsidRPr="0049512E">
        <w:rPr>
          <w:szCs w:val="24"/>
        </w:rPr>
        <w:t>up survey by telephone will receive a</w:t>
      </w:r>
      <w:r>
        <w:rPr>
          <w:szCs w:val="24"/>
        </w:rPr>
        <w:t>n</w:t>
      </w:r>
      <w:r w:rsidRPr="0049512E">
        <w:rPr>
          <w:szCs w:val="24"/>
        </w:rPr>
        <w:t xml:space="preserve"> incentive</w:t>
      </w:r>
      <w:r>
        <w:rPr>
          <w:szCs w:val="24"/>
        </w:rPr>
        <w:t xml:space="preserve"> of $20 for the 12-month and $25 for the 24-month survey</w:t>
      </w:r>
      <w:r w:rsidRPr="0049512E">
        <w:rPr>
          <w:szCs w:val="24"/>
        </w:rPr>
        <w:t xml:space="preserve">. </w:t>
      </w:r>
      <w:r>
        <w:rPr>
          <w:szCs w:val="24"/>
        </w:rPr>
        <w:t xml:space="preserve"> </w:t>
      </w:r>
      <w:r w:rsidRPr="006C08D5">
        <w:rPr>
          <w:szCs w:val="24"/>
        </w:rPr>
        <w:t>If subjects do not respond to either follow-up survey despite multiple attempts, the study will mail them a prepaid $5 incentive and a short questionnaire that contains only critical items.</w:t>
      </w:r>
    </w:p>
    <w:p w14:paraId="3152A921" w14:textId="77777777" w:rsidR="006C08D5" w:rsidRPr="005375E5" w:rsidRDefault="006C08D5" w:rsidP="006C08D5">
      <w:pPr>
        <w:pStyle w:val="H4NumberNoTOC"/>
      </w:pPr>
      <w:r w:rsidRPr="00EA037F">
        <w:t>A.9.</w:t>
      </w:r>
      <w:r>
        <w:t>3.</w:t>
      </w:r>
      <w:r w:rsidRPr="00EA037F">
        <w:t xml:space="preserve"> </w:t>
      </w:r>
      <w:r w:rsidRPr="00AC0553">
        <w:t>Qualitative data from POD implementation and operations staff</w:t>
      </w:r>
      <w:r w:rsidRPr="005375E5">
        <w:t xml:space="preserve"> </w:t>
      </w:r>
    </w:p>
    <w:p w14:paraId="4B2F1F85" w14:textId="77777777" w:rsidR="006C08D5" w:rsidRDefault="006C08D5" w:rsidP="006C08D5">
      <w:pPr>
        <w:pStyle w:val="NormalSS"/>
      </w:pPr>
      <w:r>
        <w:rPr>
          <w:szCs w:val="24"/>
        </w:rPr>
        <w:t>T</w:t>
      </w:r>
      <w:r w:rsidRPr="00965B53">
        <w:rPr>
          <w:szCs w:val="24"/>
        </w:rPr>
        <w:t xml:space="preserve">he </w:t>
      </w:r>
      <w:r>
        <w:rPr>
          <w:szCs w:val="24"/>
        </w:rPr>
        <w:t xml:space="preserve">POD </w:t>
      </w:r>
      <w:r w:rsidRPr="00965B53">
        <w:rPr>
          <w:szCs w:val="24"/>
        </w:rPr>
        <w:t>evaluation team</w:t>
      </w:r>
      <w:r w:rsidRPr="00952E76">
        <w:rPr>
          <w:szCs w:val="24"/>
        </w:rPr>
        <w:t xml:space="preserve"> </w:t>
      </w:r>
      <w:r>
        <w:t>will not offer program administrators, POD service provider staff, or their partners remuneration for completing the site visit interviews.</w:t>
      </w:r>
    </w:p>
    <w:p w14:paraId="69D91010" w14:textId="77777777" w:rsidR="006C08D5" w:rsidRPr="00B369E9" w:rsidRDefault="006C08D5" w:rsidP="006C08D5">
      <w:pPr>
        <w:pStyle w:val="H4NumberNoTOC"/>
      </w:pPr>
      <w:r w:rsidRPr="00B369E9">
        <w:t>A.9.4</w:t>
      </w:r>
      <w:r>
        <w:t>.</w:t>
      </w:r>
      <w:r w:rsidRPr="00B369E9">
        <w:t xml:space="preserve"> Semi-structured interviews with </w:t>
      </w:r>
      <w:r>
        <w:t>treatment group subject</w:t>
      </w:r>
    </w:p>
    <w:p w14:paraId="474A16C5" w14:textId="77777777" w:rsidR="006C08D5" w:rsidRDefault="006C08D5" w:rsidP="006C08D5">
      <w:pPr>
        <w:pStyle w:val="NormalSS"/>
      </w:pPr>
      <w:r>
        <w:t>T</w:t>
      </w:r>
      <w:r w:rsidRPr="00965B53">
        <w:t xml:space="preserve">he </w:t>
      </w:r>
      <w:r>
        <w:t xml:space="preserve">POD </w:t>
      </w:r>
      <w:r w:rsidRPr="00965B53">
        <w:t xml:space="preserve">evaluation team </w:t>
      </w:r>
      <w:r>
        <w:t>will provide a $25</w:t>
      </w:r>
      <w:r w:rsidRPr="002E6717">
        <w:t xml:space="preserve"> gift card to respondents who participate in the semi-structured </w:t>
      </w:r>
      <w:r>
        <w:t xml:space="preserve">telephone </w:t>
      </w:r>
      <w:r w:rsidRPr="002E6717">
        <w:t>interviews</w:t>
      </w:r>
      <w:r>
        <w:t>,</w:t>
      </w:r>
      <w:r w:rsidRPr="002E6717">
        <w:t xml:space="preserve"> to encourage participation and thank them for </w:t>
      </w:r>
      <w:r>
        <w:t>taking part</w:t>
      </w:r>
      <w:r w:rsidRPr="002E6717">
        <w:t xml:space="preserve">. </w:t>
      </w:r>
      <w:r>
        <w:t xml:space="preserve"> </w:t>
      </w:r>
      <w:r w:rsidRPr="002E6717">
        <w:t xml:space="preserve">It is important to offer a reasonably high incentive to </w:t>
      </w:r>
      <w:r>
        <w:t>these subject</w:t>
      </w:r>
      <w:r w:rsidRPr="002E6717">
        <w:t>s to ensure timely recruitment and completion of the interviews within the desired time frame.</w:t>
      </w:r>
      <w:r>
        <w:t xml:space="preserve"> </w:t>
      </w:r>
    </w:p>
    <w:p w14:paraId="00585F0F" w14:textId="77777777" w:rsidR="006C08D5" w:rsidRDefault="006C08D5" w:rsidP="006C08D5">
      <w:pPr>
        <w:pStyle w:val="NormalSS"/>
        <w:ind w:firstLine="0"/>
      </w:pPr>
      <w:r w:rsidRPr="001F0C64">
        <w:rPr>
          <w:b/>
        </w:rPr>
        <w:t>A.9.5. I</w:t>
      </w:r>
      <w:r w:rsidRPr="00A334A9">
        <w:rPr>
          <w:b/>
        </w:rPr>
        <w:t>mplementation Data Collection Forms</w:t>
      </w:r>
    </w:p>
    <w:p w14:paraId="59436D9B" w14:textId="77777777" w:rsidR="006C08D5" w:rsidRDefault="006C08D5" w:rsidP="006C08D5">
      <w:pPr>
        <w:pStyle w:val="NormalSS"/>
      </w:pPr>
      <w:r>
        <w:t>SSA will not provide payments or gifts to POD participants for activities related to the implementation of POD.</w:t>
      </w:r>
    </w:p>
    <w:p w14:paraId="0AD0C521" w14:textId="77777777" w:rsidR="006C08D5" w:rsidRDefault="006C08D5" w:rsidP="006C08D5">
      <w:pPr>
        <w:pStyle w:val="H3Alpha"/>
      </w:pPr>
      <w:bookmarkStart w:id="18" w:name="_Toc476059360"/>
      <w:r>
        <w:t>A.10. Assurances of confidentiality</w:t>
      </w:r>
      <w:bookmarkEnd w:id="18"/>
    </w:p>
    <w:p w14:paraId="0627417B" w14:textId="77777777" w:rsidR="006C08D5" w:rsidRDefault="006C08D5" w:rsidP="006C08D5">
      <w:pPr>
        <w:pStyle w:val="NormalSS"/>
      </w:pPr>
      <w:r>
        <w:t>The subjects of this information collection and the nature of the information the team will collect require strict confidentiality procedures.  SSA will protect the information the POD evaluation team collects in accordanc</w:t>
      </w:r>
      <w:r w:rsidRPr="0008083D">
        <w:t xml:space="preserve">e with </w:t>
      </w:r>
      <w:r w:rsidRPr="001F0C64">
        <w:rPr>
          <w:i/>
        </w:rPr>
        <w:t>42 U.S.C. 1306, 20 CFR 401</w:t>
      </w:r>
      <w:r w:rsidRPr="0008083D">
        <w:t xml:space="preserve"> and </w:t>
      </w:r>
      <w:r w:rsidRPr="001F0C64">
        <w:rPr>
          <w:i/>
        </w:rPr>
        <w:t xml:space="preserve">402, 5 U.S.C. 552 </w:t>
      </w:r>
      <w:r w:rsidRPr="0008083D">
        <w:t xml:space="preserve">(Freedom of Information Act), </w:t>
      </w:r>
      <w:r w:rsidRPr="001F0C64">
        <w:rPr>
          <w:i/>
        </w:rPr>
        <w:t xml:space="preserve">5 U.S.C. 552a </w:t>
      </w:r>
      <w:r w:rsidRPr="0008083D">
        <w:t>(Privacy Act of 1974), and OMB</w:t>
      </w:r>
      <w:r>
        <w:t xml:space="preserve"> Circular No. A</w:t>
      </w:r>
      <w:r>
        <w:noBreakHyphen/>
        <w:t xml:space="preserve">130.  Descriptions of the detailed plans for informed consent and data security procedures are in subsequent sections.  </w:t>
      </w:r>
    </w:p>
    <w:p w14:paraId="2B07D1E5" w14:textId="77777777" w:rsidR="006C08D5" w:rsidRDefault="006C08D5" w:rsidP="006C08D5">
      <w:pPr>
        <w:pStyle w:val="H4NumberNoTOC"/>
      </w:pPr>
      <w:r>
        <w:t>A.10.1. Informed consent</w:t>
      </w:r>
    </w:p>
    <w:p w14:paraId="660BF93C" w14:textId="77777777" w:rsidR="006C08D5" w:rsidRDefault="006C08D5" w:rsidP="006C08D5">
      <w:pPr>
        <w:pStyle w:val="NormalSS"/>
      </w:pPr>
      <w:r>
        <w:t xml:space="preserve">All potential POD subjects should be able to make a genuinely informed decision about participation in the demonstration.  Vigorous outreach with a clear message and strong supporting materials will help to ensure that people applying to the demonstration understand the opportunities available and are likely to take advantage of the demonstration’s benefits.  The outreach materials will clearly explain the risks to subjects by highlighting situations when SSDI beneficiaries’ benefits would be higher or lower under the POD offset rules; the outreach materials will also include a detailed comparison of the current SSDI rules and the new POD rules if the evaluation assigns subjects to one of the treatment groups.   </w:t>
      </w:r>
    </w:p>
    <w:p w14:paraId="746551BA" w14:textId="77777777" w:rsidR="006C08D5" w:rsidRDefault="006C08D5" w:rsidP="006C08D5">
      <w:pPr>
        <w:pStyle w:val="NormalSS"/>
      </w:pPr>
      <w:r>
        <w:t xml:space="preserve">The POD evaluation team will obtain the informed consent of each sample member through a signed consent form (see Appendix A), which describes the demonstration; the process of random assignment; and the evaluation’s information requirements.  As shown in </w:t>
      </w:r>
      <w:r w:rsidRPr="009A4751">
        <w:t>Attachment A</w:t>
      </w:r>
      <w:r>
        <w:t xml:space="preserve"> of this submission, this form also indicates to applicants that participation is voluntary and that agreeing to participate means that they give permission for researchers to access information about them, such as their SSDI benefit status, from other sources.</w:t>
      </w:r>
    </w:p>
    <w:p w14:paraId="6DFD5217" w14:textId="77777777" w:rsidR="006C08D5" w:rsidRDefault="006C08D5" w:rsidP="006C08D5">
      <w:pPr>
        <w:pStyle w:val="NormalSS"/>
      </w:pPr>
      <w:r w:rsidRPr="00595B9C">
        <w:rPr>
          <w:noProof/>
        </w:rPr>
        <w:t>In addition</w:t>
      </w:r>
      <w:r>
        <w:t xml:space="preserve">, the baseline survey contains two questions to confirm the beneficiaries’ understanding of POD.  The study will use the questions to screen out beneficiaries who provide answers that demonstrate they do not understand the voluntary nature and general purpose of POD. </w:t>
      </w:r>
    </w:p>
    <w:p w14:paraId="2A433092" w14:textId="77777777" w:rsidR="006C08D5" w:rsidRDefault="006C08D5" w:rsidP="006C08D5">
      <w:pPr>
        <w:pStyle w:val="NormalSS"/>
      </w:pPr>
      <w:r w:rsidRPr="00E824A0">
        <w:t xml:space="preserve">When </w:t>
      </w:r>
      <w:r>
        <w:t>the POD evaluation team</w:t>
      </w:r>
      <w:r w:rsidRPr="00E824A0">
        <w:t xml:space="preserve"> recruit</w:t>
      </w:r>
      <w:r>
        <w:t>s</w:t>
      </w:r>
      <w:r w:rsidRPr="00E824A0">
        <w:t xml:space="preserve"> </w:t>
      </w:r>
      <w:r>
        <w:t>program subjects</w:t>
      </w:r>
      <w:r w:rsidRPr="00E824A0">
        <w:t xml:space="preserve"> for the qualitative, semi-structured interviews via phone, </w:t>
      </w:r>
      <w:r>
        <w:t>they</w:t>
      </w:r>
      <w:r w:rsidRPr="00E824A0">
        <w:t xml:space="preserve"> will assure </w:t>
      </w:r>
      <w:r>
        <w:t>subject</w:t>
      </w:r>
      <w:r w:rsidRPr="00E824A0">
        <w:t xml:space="preserve">s that </w:t>
      </w:r>
      <w:r>
        <w:t xml:space="preserve">the evaluation </w:t>
      </w:r>
      <w:r w:rsidRPr="00E824A0">
        <w:t xml:space="preserve">will </w:t>
      </w:r>
      <w:r>
        <w:t>keep their information</w:t>
      </w:r>
      <w:r w:rsidRPr="00E824A0">
        <w:t xml:space="preserve"> confidential, unless required by law, and not use </w:t>
      </w:r>
      <w:r>
        <w:t xml:space="preserve">it </w:t>
      </w:r>
      <w:r w:rsidRPr="00E824A0">
        <w:t xml:space="preserve">in any way that would affect their program eligibility or payments, if applicable. </w:t>
      </w:r>
      <w:r>
        <w:t xml:space="preserve"> </w:t>
      </w:r>
      <w:r w:rsidRPr="00E824A0">
        <w:t xml:space="preserve">At the time of the interview, </w:t>
      </w:r>
      <w:r w:rsidRPr="00965B53">
        <w:t>the evaluation team</w:t>
      </w:r>
      <w:r w:rsidRPr="00E824A0">
        <w:t xml:space="preserve"> will again advise </w:t>
      </w:r>
      <w:r>
        <w:t>subject</w:t>
      </w:r>
      <w:r w:rsidRPr="00E824A0">
        <w:t xml:space="preserve">s of the purpose of the </w:t>
      </w:r>
      <w:r>
        <w:t>interview</w:t>
      </w:r>
      <w:r w:rsidRPr="00E824A0">
        <w:t xml:space="preserve">. </w:t>
      </w:r>
      <w:r>
        <w:t xml:space="preserve"> They</w:t>
      </w:r>
      <w:r w:rsidRPr="00E824A0">
        <w:t xml:space="preserve"> will also provide the </w:t>
      </w:r>
      <w:r>
        <w:t>subjects with a toll</w:t>
      </w:r>
      <w:r>
        <w:noBreakHyphen/>
      </w:r>
      <w:r w:rsidRPr="00E824A0">
        <w:t xml:space="preserve">free telephone number to call if they have questions about the study.  </w:t>
      </w:r>
    </w:p>
    <w:p w14:paraId="6EAB2063" w14:textId="77777777" w:rsidR="006C08D5" w:rsidRDefault="006C08D5" w:rsidP="006C08D5">
      <w:pPr>
        <w:pStyle w:val="H4NumberNoTOC"/>
      </w:pPr>
      <w:r>
        <w:t>A.10.2. Data confidentiality protections</w:t>
      </w:r>
    </w:p>
    <w:p w14:paraId="36065D84" w14:textId="77777777" w:rsidR="006C08D5" w:rsidRDefault="006C08D5" w:rsidP="006C08D5">
      <w:pPr>
        <w:pStyle w:val="NormalSS"/>
      </w:pPr>
      <w:r>
        <w:t xml:space="preserve">The POD evaluation team clearly states the assurances and limits of confidentiality in all </w:t>
      </w:r>
      <w:r w:rsidRPr="00595B9C">
        <w:rPr>
          <w:noProof/>
        </w:rPr>
        <w:t>advance</w:t>
      </w:r>
      <w:r>
        <w:t xml:space="preserve"> materials it sends to recruit potential subjects, and restates them at the beginning of each interview.  For the baseline surveys, the</w:t>
      </w:r>
      <w:r w:rsidRPr="00B5083C">
        <w:t xml:space="preserve"> </w:t>
      </w:r>
      <w:r>
        <w:t>advance letter</w:t>
      </w:r>
      <w:r w:rsidRPr="00B5083C">
        <w:t xml:space="preserve"> to </w:t>
      </w:r>
      <w:r>
        <w:t>SSDI</w:t>
      </w:r>
      <w:r w:rsidRPr="00B5083C">
        <w:t xml:space="preserve"> beneficiaries</w:t>
      </w:r>
      <w:r>
        <w:t xml:space="preserve"> will make clear the assurances and limits of confidentiality.  The Paperwork Reduction and Privacy Act statements will appear on the advance letter and on the baseline questionnaire </w:t>
      </w:r>
      <w:r w:rsidRPr="009A4751">
        <w:t>(Attachment A).</w:t>
      </w:r>
    </w:p>
    <w:p w14:paraId="2D3E6BFE" w14:textId="77777777" w:rsidR="006C08D5" w:rsidRDefault="006C08D5" w:rsidP="006C08D5">
      <w:pPr>
        <w:pStyle w:val="NormalSS"/>
      </w:pPr>
      <w:r>
        <w:t xml:space="preserve">The POD enrollment database, RAPTER, will contain the contact information the evaluator will use to invite subjects to complete the interviews.  The evaluation team will not disclose the identity of the group subjects to anyone outside of the POD evaluation and implementation teams.  Public documents from the evaluation will summarize information the subjects provide, but will not attribute it to specific people.  </w:t>
      </w:r>
    </w:p>
    <w:p w14:paraId="4EC1BD59" w14:textId="77777777" w:rsidR="006C08D5" w:rsidRDefault="006C08D5" w:rsidP="006C08D5">
      <w:pPr>
        <w:pStyle w:val="NormalSS"/>
      </w:pPr>
      <w:r>
        <w:t xml:space="preserve">The implementation team will use strict procedures for maintaining the privacy, security, and integrity of data.  The Paperwork Reduction and Privacy Act statements will appear on </w:t>
      </w:r>
      <w:r>
        <w:rPr>
          <w:szCs w:val="24"/>
        </w:rPr>
        <w:t xml:space="preserve">the </w:t>
      </w:r>
      <w:r w:rsidRPr="00147493">
        <w:rPr>
          <w:szCs w:val="24"/>
        </w:rPr>
        <w:t xml:space="preserve">POD Monthly Earnings and </w:t>
      </w:r>
      <w:r>
        <w:rPr>
          <w:szCs w:val="24"/>
        </w:rPr>
        <w:t>IRWE Reporting Form</w:t>
      </w:r>
      <w:r w:rsidRPr="00147493">
        <w:rPr>
          <w:szCs w:val="24"/>
        </w:rPr>
        <w:t xml:space="preserve"> and </w:t>
      </w:r>
      <w:r>
        <w:rPr>
          <w:szCs w:val="24"/>
        </w:rPr>
        <w:t>the</w:t>
      </w:r>
      <w:r w:rsidRPr="00147493">
        <w:rPr>
          <w:szCs w:val="24"/>
        </w:rPr>
        <w:t xml:space="preserve"> POD EOYR Form</w:t>
      </w:r>
      <w:r>
        <w:rPr>
          <w:szCs w:val="24"/>
        </w:rPr>
        <w:t>.  In addition, t</w:t>
      </w:r>
      <w:r>
        <w:t>he informed consent process conducted by the evaluation team during the POD random assignment process will assure participants that participation in POD is voluntary; that all information will remain confidential; and that we will only report respondents’ information in aggregate form.</w:t>
      </w:r>
    </w:p>
    <w:p w14:paraId="7989E382" w14:textId="77777777" w:rsidR="006C08D5" w:rsidRDefault="006C08D5" w:rsidP="006C08D5">
      <w:pPr>
        <w:pStyle w:val="H4NumberNoTOC"/>
      </w:pPr>
      <w:r>
        <w:t>A.10.3. Data storage and handling of survey data</w:t>
      </w:r>
    </w:p>
    <w:p w14:paraId="39E9ECCF" w14:textId="77777777" w:rsidR="006C08D5" w:rsidRDefault="006C08D5" w:rsidP="006C08D5">
      <w:pPr>
        <w:pStyle w:val="NormalSS"/>
      </w:pPr>
      <w:r>
        <w:t xml:space="preserve">SSA and its POD evaluation team contractors have procedures in place to ensure we appropriately safeguard data from unauthorized use and disclosure, including the use of passwords and encrypted identifiers.  It uses several mechanisms to secure data, including obtaining suitability determinations for designated staff; training staff to recognize and handle sensitive data; protecting computer systems from access by staff without favorable suitability determinations; limiting the use of personally identifiable information in data; limiting access to secure data on a need-to-know basis and to staff with favorable suitability determinations; and creating data extract files that exclude identifying information. </w:t>
      </w:r>
    </w:p>
    <w:p w14:paraId="5E2EA155" w14:textId="77777777" w:rsidR="006C08D5" w:rsidRPr="006C08D5" w:rsidRDefault="006C08D5" w:rsidP="006C08D5">
      <w:pPr>
        <w:pStyle w:val="NormalSS"/>
      </w:pPr>
      <w:r>
        <w:t xml:space="preserve">In addition, </w:t>
      </w:r>
      <w:r w:rsidRPr="006C08D5">
        <w:t xml:space="preserve">the POD Implementation Data System (IDS) will store and handle POD implementation data in compliance with SSA’s guidelines.  SSA staff and study team members will access the POD IDS via a secure, cloud-based virtual desktop infrastructure from their own workstations that allows remote desktop connections to access all systems resources securely. This is a password-protected site and with secured socket layer (SSL) protocols for data transmissions over the internet.  This will ensure that we properly protect and guard participant data.  We will integrate data collected through the online portal into the POD IDS database via automated data scripts.  We will also enter Data collected via mail into an earnings record created in the POD IDS and the implementation team will scan, upload, and attach any supporting documentation.  Once the implementation team scans the documentation, the team will securely dispose of all hard copy participant PII. </w:t>
      </w:r>
    </w:p>
    <w:p w14:paraId="3DF01571" w14:textId="77777777" w:rsidR="006C08D5" w:rsidRDefault="006C08D5" w:rsidP="006C08D5">
      <w:pPr>
        <w:pStyle w:val="NormalSS"/>
      </w:pPr>
      <w:r w:rsidRPr="006C08D5">
        <w:t>The implementation team will also develop and maintain a system security plan (SSP) for the POD IDS.  The POD SSP provides an overview of the security requirements of the system and describes the controls for meeting those requirements.  The SSP also describes responsibilities and expected behavior of all individuals who will access the various system components and data.  The implementation team will update the SSP as we add new functions to the system and new risks emerge.  The SSP will comply with all applicable federal and SSA guidelines and regulations and will include a series of guidelines covering all aspects of administrative, physical, and technical security areas.</w:t>
      </w:r>
    </w:p>
    <w:p w14:paraId="3E73688B" w14:textId="77777777" w:rsidR="006C08D5" w:rsidRDefault="006C08D5" w:rsidP="006C08D5">
      <w:pPr>
        <w:pStyle w:val="H3Alpha"/>
      </w:pPr>
      <w:bookmarkStart w:id="19" w:name="_Toc476059361"/>
      <w:r>
        <w:t>A.11. Justification for sensitive questions</w:t>
      </w:r>
      <w:bookmarkEnd w:id="19"/>
    </w:p>
    <w:p w14:paraId="6C7E63D3" w14:textId="77777777" w:rsidR="006C08D5" w:rsidRDefault="006C08D5" w:rsidP="006C08D5">
      <w:pPr>
        <w:pStyle w:val="H4NumberNoTOC"/>
      </w:pPr>
      <w:r w:rsidRPr="00B369E9">
        <w:t>A.11.1</w:t>
      </w:r>
      <w:r>
        <w:t>.</w:t>
      </w:r>
      <w:r w:rsidRPr="00B369E9">
        <w:t xml:space="preserve"> Recruitment materials and baseline survey</w:t>
      </w:r>
    </w:p>
    <w:p w14:paraId="47C892DB" w14:textId="77777777" w:rsidR="006C08D5" w:rsidRDefault="006C08D5" w:rsidP="006C08D5">
      <w:pPr>
        <w:pStyle w:val="NormalSS"/>
      </w:pPr>
      <w:r w:rsidRPr="00EA037F">
        <w:t xml:space="preserve">The baseline survey includes questions about household income that some </w:t>
      </w:r>
      <w:r>
        <w:t>subject</w:t>
      </w:r>
      <w:r w:rsidRPr="00EA037F">
        <w:t xml:space="preserve">s might feel </w:t>
      </w:r>
      <w:r>
        <w:t>are</w:t>
      </w:r>
      <w:r w:rsidRPr="00EA037F">
        <w:t xml:space="preserve"> private or sensitive</w:t>
      </w:r>
      <w:r>
        <w:t>, but it</w:t>
      </w:r>
      <w:r w:rsidRPr="00EA037F">
        <w:t xml:space="preserve"> does not ask about spending on personal items. </w:t>
      </w:r>
      <w:r>
        <w:t xml:space="preserve"> </w:t>
      </w:r>
      <w:r w:rsidRPr="00EA037F">
        <w:t xml:space="preserve">The survey also includes a question about physical health that some </w:t>
      </w:r>
      <w:r>
        <w:t>subject</w:t>
      </w:r>
      <w:r w:rsidRPr="00EA037F">
        <w:t xml:space="preserve">s might feel is private or sensitive. </w:t>
      </w:r>
      <w:r>
        <w:t xml:space="preserve"> </w:t>
      </w:r>
      <w:r w:rsidRPr="00EA037F">
        <w:t xml:space="preserve">These items are necessary to evaluate the effects of POD on </w:t>
      </w:r>
      <w:r>
        <w:t>subjects’ financial well</w:t>
      </w:r>
      <w:r>
        <w:noBreakHyphen/>
      </w:r>
      <w:r w:rsidRPr="00EA037F">
        <w:t xml:space="preserve">being and physical health. </w:t>
      </w:r>
      <w:r>
        <w:t xml:space="preserve"> </w:t>
      </w:r>
      <w:r w:rsidRPr="00EA037F">
        <w:t xml:space="preserve">The survey includes questions about race and ethnicity, which the </w:t>
      </w:r>
      <w:r>
        <w:t xml:space="preserve">POD evaluation </w:t>
      </w:r>
      <w:r w:rsidRPr="00EA037F">
        <w:t xml:space="preserve">team will use for certain subgroup analyses. </w:t>
      </w:r>
      <w:r>
        <w:t xml:space="preserve"> </w:t>
      </w:r>
      <w:r w:rsidRPr="00EA037F">
        <w:t>The su</w:t>
      </w:r>
      <w:r>
        <w:t xml:space="preserve">rvey will not collect data </w:t>
      </w:r>
      <w:r w:rsidRPr="00EA037F">
        <w:t xml:space="preserve">the </w:t>
      </w:r>
      <w:r>
        <w:t xml:space="preserve">evaluation </w:t>
      </w:r>
      <w:r w:rsidRPr="00EA037F">
        <w:t xml:space="preserve">team can obtain directly from other sources (for example, the </w:t>
      </w:r>
      <w:r>
        <w:t xml:space="preserve">evaluation </w:t>
      </w:r>
      <w:r w:rsidRPr="00EA037F">
        <w:t xml:space="preserve">team </w:t>
      </w:r>
      <w:r>
        <w:t xml:space="preserve">will </w:t>
      </w:r>
      <w:r w:rsidRPr="00EA037F">
        <w:t xml:space="preserve">obtain information about receipt of disability benefits directly from SSA </w:t>
      </w:r>
      <w:r>
        <w:t>program</w:t>
      </w:r>
      <w:r w:rsidRPr="00EA037F">
        <w:t xml:space="preserve"> records). </w:t>
      </w:r>
      <w:r>
        <w:t xml:space="preserve"> </w:t>
      </w:r>
      <w:r w:rsidRPr="00EA037F">
        <w:t xml:space="preserve">The baseline questionnaire is self-administered and respondents can </w:t>
      </w:r>
      <w:r>
        <w:t>decline to respond</w:t>
      </w:r>
      <w:r w:rsidRPr="00EA037F">
        <w:t xml:space="preserve"> to any questions that they deem too private or sensitive. </w:t>
      </w:r>
      <w:r>
        <w:t xml:space="preserve"> </w:t>
      </w:r>
      <w:r w:rsidRPr="00EA037F">
        <w:t xml:space="preserve">However, to encourage candid responses, the introduction </w:t>
      </w:r>
      <w:r>
        <w:t>to</w:t>
      </w:r>
      <w:r w:rsidRPr="00EA037F">
        <w:t xml:space="preserve"> the questionnaire will remind respondents that </w:t>
      </w:r>
      <w:r>
        <w:t xml:space="preserve">the study will keep </w:t>
      </w:r>
      <w:r w:rsidRPr="00EA037F">
        <w:t>their responses private.</w:t>
      </w:r>
    </w:p>
    <w:p w14:paraId="74B6C97A" w14:textId="77777777" w:rsidR="006C08D5" w:rsidRDefault="006C08D5" w:rsidP="006C08D5">
      <w:pPr>
        <w:pStyle w:val="H4NumberNoTOC"/>
      </w:pPr>
      <w:r w:rsidRPr="00FF5A1A">
        <w:t>A.11.2</w:t>
      </w:r>
      <w:r>
        <w:t>.</w:t>
      </w:r>
      <w:r w:rsidRPr="00FF5A1A">
        <w:t xml:space="preserve"> </w:t>
      </w:r>
      <w:r w:rsidRPr="00296E84">
        <w:t>Follow-up surveys</w:t>
      </w:r>
    </w:p>
    <w:p w14:paraId="235C3912" w14:textId="77777777" w:rsidR="006C08D5" w:rsidRPr="00874753" w:rsidRDefault="006C08D5" w:rsidP="006C08D5">
      <w:pPr>
        <w:pStyle w:val="NormalSS"/>
      </w:pPr>
      <w:r w:rsidRPr="00874753">
        <w:t xml:space="preserve">The </w:t>
      </w:r>
      <w:r>
        <w:t xml:space="preserve">follow-up </w:t>
      </w:r>
      <w:r w:rsidRPr="00874753">
        <w:t>survey</w:t>
      </w:r>
      <w:r>
        <w:t>s</w:t>
      </w:r>
      <w:r w:rsidRPr="00874753">
        <w:t xml:space="preserve"> include questions about household income that some </w:t>
      </w:r>
      <w:r>
        <w:t>subject</w:t>
      </w:r>
      <w:r w:rsidRPr="00874753">
        <w:t>s might feel is private or sensitive</w:t>
      </w:r>
      <w:r>
        <w:t>, but they</w:t>
      </w:r>
      <w:r w:rsidRPr="00874753">
        <w:t xml:space="preserve"> do not ask about spending on personal items. </w:t>
      </w:r>
      <w:r>
        <w:t xml:space="preserve"> </w:t>
      </w:r>
      <w:r w:rsidRPr="00874753">
        <w:t>The survey</w:t>
      </w:r>
      <w:r>
        <w:t>s</w:t>
      </w:r>
      <w:r w:rsidRPr="00874753">
        <w:t xml:space="preserve"> also include question</w:t>
      </w:r>
      <w:r>
        <w:t>s</w:t>
      </w:r>
      <w:r w:rsidRPr="00874753">
        <w:t xml:space="preserve"> about physical</w:t>
      </w:r>
      <w:r>
        <w:t xml:space="preserve"> and mental</w:t>
      </w:r>
      <w:r w:rsidRPr="00874753">
        <w:t xml:space="preserve"> health that some </w:t>
      </w:r>
      <w:r>
        <w:t>subject</w:t>
      </w:r>
      <w:r w:rsidRPr="00874753">
        <w:t xml:space="preserve">s might feel </w:t>
      </w:r>
      <w:r>
        <w:t>are</w:t>
      </w:r>
      <w:r w:rsidRPr="00874753">
        <w:t xml:space="preserve"> private or sensitive. </w:t>
      </w:r>
      <w:r>
        <w:t xml:space="preserve"> </w:t>
      </w:r>
      <w:r w:rsidRPr="00874753">
        <w:t xml:space="preserve">These items are necessary to evaluate the effects of POD on </w:t>
      </w:r>
      <w:r>
        <w:t>subjects</w:t>
      </w:r>
      <w:r w:rsidRPr="00874753">
        <w:t>’ financial well-being and health.</w:t>
      </w:r>
      <w:r>
        <w:t xml:space="preserve"> </w:t>
      </w:r>
      <w:r w:rsidRPr="00874753">
        <w:t xml:space="preserve"> The sur</w:t>
      </w:r>
      <w:r>
        <w:t xml:space="preserve">veys will not collect data </w:t>
      </w:r>
      <w:r w:rsidRPr="00874753">
        <w:t xml:space="preserve">the </w:t>
      </w:r>
      <w:r>
        <w:t xml:space="preserve">POD evaluation </w:t>
      </w:r>
      <w:r w:rsidRPr="00874753">
        <w:t xml:space="preserve">team can obtain directly from other sources (for example, the </w:t>
      </w:r>
      <w:r>
        <w:t xml:space="preserve">evaluation </w:t>
      </w:r>
      <w:r w:rsidRPr="00874753">
        <w:t xml:space="preserve">team </w:t>
      </w:r>
      <w:r>
        <w:t xml:space="preserve">will </w:t>
      </w:r>
      <w:r w:rsidRPr="00874753">
        <w:t xml:space="preserve">obtain information about receipt of disability benefits directly from SSA </w:t>
      </w:r>
      <w:r>
        <w:t>program records).  The study will administer the follow-up</w:t>
      </w:r>
      <w:r w:rsidRPr="00874753">
        <w:t xml:space="preserve"> questionnaire</w:t>
      </w:r>
      <w:r>
        <w:t>s via the web or by telephone.  R</w:t>
      </w:r>
      <w:r w:rsidRPr="00874753">
        <w:t xml:space="preserve">espondents can leave blank </w:t>
      </w:r>
      <w:r>
        <w:t xml:space="preserve">or refuse to </w:t>
      </w:r>
      <w:r w:rsidRPr="00874753">
        <w:t xml:space="preserve">answer any questions that they deem too private or sensitive. </w:t>
      </w:r>
      <w:r>
        <w:t xml:space="preserve"> </w:t>
      </w:r>
      <w:r w:rsidRPr="00874753">
        <w:t xml:space="preserve">However, to encourage candid responses, the introduction </w:t>
      </w:r>
      <w:r>
        <w:t>to</w:t>
      </w:r>
      <w:r w:rsidRPr="00874753">
        <w:t xml:space="preserve"> the questionnaire will remind respondents that </w:t>
      </w:r>
      <w:r>
        <w:t xml:space="preserve">the study will keep </w:t>
      </w:r>
      <w:r w:rsidRPr="00874753">
        <w:t>their responses private.</w:t>
      </w:r>
    </w:p>
    <w:p w14:paraId="240622CF" w14:textId="77777777" w:rsidR="006C08D5" w:rsidRDefault="006C08D5" w:rsidP="006C08D5">
      <w:pPr>
        <w:pStyle w:val="H4NumberNoTOC"/>
      </w:pPr>
      <w:r w:rsidRPr="00FF5A1A">
        <w:t>A.11.3</w:t>
      </w:r>
      <w:r>
        <w:t>.</w:t>
      </w:r>
      <w:r w:rsidRPr="00FF5A1A">
        <w:t xml:space="preserve"> </w:t>
      </w:r>
      <w:r w:rsidRPr="00296E84">
        <w:t>Qualitative data from POD implementation and operations staff</w:t>
      </w:r>
    </w:p>
    <w:p w14:paraId="1A722CAD" w14:textId="77777777" w:rsidR="006C08D5" w:rsidRDefault="006C08D5" w:rsidP="006C08D5">
      <w:pPr>
        <w:pStyle w:val="NormalSS"/>
      </w:pPr>
      <w:r w:rsidRPr="00EA037F">
        <w:t xml:space="preserve">The instruments associated with the process data collection have no sensitive questions. </w:t>
      </w:r>
      <w:r>
        <w:t xml:space="preserve"> </w:t>
      </w:r>
      <w:r w:rsidRPr="00EA037F">
        <w:t xml:space="preserve">Most focus on the experiences of program staff with their jobs delivering </w:t>
      </w:r>
      <w:r>
        <w:t xml:space="preserve">program </w:t>
      </w:r>
      <w:r w:rsidRPr="00EA037F">
        <w:t>services.</w:t>
      </w:r>
    </w:p>
    <w:p w14:paraId="2928BBA5" w14:textId="77777777" w:rsidR="006C08D5" w:rsidRPr="00B369E9" w:rsidRDefault="006C08D5" w:rsidP="006C08D5">
      <w:pPr>
        <w:pStyle w:val="H4NumberNoTOC"/>
      </w:pPr>
      <w:r w:rsidRPr="00FF5A1A">
        <w:t>A.11.4</w:t>
      </w:r>
      <w:r>
        <w:t>.</w:t>
      </w:r>
      <w:r w:rsidRPr="00FF5A1A">
        <w:t xml:space="preserve"> </w:t>
      </w:r>
      <w:r w:rsidRPr="00296E84">
        <w:t xml:space="preserve">Semi-structured interviews with </w:t>
      </w:r>
      <w:r>
        <w:t>treatment group subjects</w:t>
      </w:r>
    </w:p>
    <w:p w14:paraId="1AB377C5" w14:textId="77777777" w:rsidR="006C08D5" w:rsidRDefault="006C08D5" w:rsidP="006C08D5">
      <w:pPr>
        <w:pStyle w:val="NormalSS"/>
      </w:pPr>
      <w:r w:rsidRPr="001D47D1">
        <w:t xml:space="preserve">The instruments </w:t>
      </w:r>
      <w:r>
        <w:t xml:space="preserve">that the study will use to collect qualitative data from subjects </w:t>
      </w:r>
      <w:r w:rsidRPr="001D47D1">
        <w:t>have no sensiti</w:t>
      </w:r>
      <w:r>
        <w:t>ve questions.  Most questions focus on the subject’s direct experiences participating in the program.  For example, t</w:t>
      </w:r>
      <w:r w:rsidRPr="001D47D1">
        <w:t xml:space="preserve">he first interview will </w:t>
      </w:r>
      <w:r>
        <w:t>ask subjects</w:t>
      </w:r>
      <w:r w:rsidRPr="001D47D1">
        <w:t xml:space="preserve"> about their motivations for enrolling in POD; their perspectives on the outreach, recruitment, and enrollment processes; and their understanding of POD offset rules. </w:t>
      </w:r>
      <w:r>
        <w:t xml:space="preserve"> </w:t>
      </w:r>
      <w:r w:rsidRPr="001D47D1">
        <w:t xml:space="preserve">The second interview will capture subjects’ perspectives of their participation in POD including work incentives counseling, earnings reporting, and benefit adjustment; their attitudes toward employment and work experiences; </w:t>
      </w:r>
      <w:r>
        <w:t>and</w:t>
      </w:r>
      <w:r w:rsidRPr="001D47D1">
        <w:t xml:space="preserve"> POD areas in need of improvement. </w:t>
      </w:r>
    </w:p>
    <w:p w14:paraId="72067756" w14:textId="77777777" w:rsidR="006C08D5" w:rsidRDefault="006C08D5" w:rsidP="006C08D5">
      <w:pPr>
        <w:pStyle w:val="NormalSS"/>
        <w:ind w:firstLine="0"/>
      </w:pPr>
      <w:r>
        <w:rPr>
          <w:b/>
        </w:rPr>
        <w:t>A.11</w:t>
      </w:r>
      <w:r w:rsidRPr="001F0C64">
        <w:rPr>
          <w:b/>
        </w:rPr>
        <w:t>.5. I</w:t>
      </w:r>
      <w:r w:rsidRPr="00A334A9">
        <w:rPr>
          <w:b/>
        </w:rPr>
        <w:t>mplementation Data Collection Forms</w:t>
      </w:r>
    </w:p>
    <w:p w14:paraId="7D1D15F9" w14:textId="77777777" w:rsidR="006C08D5" w:rsidRPr="001D47D1" w:rsidRDefault="006C08D5" w:rsidP="006C08D5">
      <w:pPr>
        <w:pStyle w:val="NormalSS"/>
      </w:pPr>
      <w:r>
        <w:t xml:space="preserve">The </w:t>
      </w:r>
      <w:r w:rsidRPr="00147493">
        <w:t xml:space="preserve">POD Monthly Earnings and </w:t>
      </w:r>
      <w:r>
        <w:t>IRWE Reporting Form</w:t>
      </w:r>
      <w:r w:rsidRPr="00147493">
        <w:t xml:space="preserve"> and </w:t>
      </w:r>
      <w:r>
        <w:t>the</w:t>
      </w:r>
      <w:r w:rsidRPr="00147493">
        <w:t xml:space="preserve"> POD EOYR Form</w:t>
      </w:r>
      <w:r>
        <w:t xml:space="preserve"> include questions about household earnings that we do not deem sensitive</w:t>
      </w:r>
      <w:r w:rsidRPr="00147493">
        <w:t>.</w:t>
      </w:r>
      <w:r>
        <w:t xml:space="preserve">  These forms also include questions about financial costs of impairment-related work expenses that respondents might consider private.  However, this information is necessary for SSA to calculate respondents’ DI benefits</w:t>
      </w:r>
      <w:r w:rsidRPr="00DB517F">
        <w:t xml:space="preserve"> </w:t>
      </w:r>
      <w:r>
        <w:t>accurately, and for SSA to determine the effects of POD.  Strict security policies will protect all data, and implementation team members will use the data only for the purposes of implementing POD.</w:t>
      </w:r>
    </w:p>
    <w:p w14:paraId="5FE0FBD9" w14:textId="77777777" w:rsidR="006C08D5" w:rsidRDefault="006C08D5" w:rsidP="006C08D5">
      <w:pPr>
        <w:pStyle w:val="H3Alpha"/>
        <w:keepLines/>
      </w:pPr>
      <w:bookmarkStart w:id="20" w:name="_Toc476059362"/>
      <w:r>
        <w:t>A.12. Estimates of public reporting burden</w:t>
      </w:r>
      <w:bookmarkEnd w:id="20"/>
    </w:p>
    <w:p w14:paraId="552AA08D" w14:textId="77777777" w:rsidR="006C08D5" w:rsidRPr="00BF3BCF" w:rsidRDefault="006C08D5" w:rsidP="006C08D5">
      <w:pPr>
        <w:pStyle w:val="H4NumberNoTOC"/>
      </w:pPr>
      <w:r>
        <w:t xml:space="preserve">A.12.1. </w:t>
      </w:r>
      <w:r w:rsidRPr="00BF3BCF">
        <w:t xml:space="preserve">Recruitment and baseline survey </w:t>
      </w:r>
    </w:p>
    <w:p w14:paraId="5F5E3091" w14:textId="77777777" w:rsidR="006C08D5" w:rsidRDefault="006C08D5" w:rsidP="006C08D5">
      <w:pPr>
        <w:pStyle w:val="NormalSS"/>
        <w:keepNext/>
        <w:keepLines/>
      </w:pPr>
      <w:r>
        <w:t xml:space="preserve">The POD evaluation team plans to receive completed baseline surveys and consent forms from 16,500 beneficiaries.  (As explained previously, of these 16,500 beneficiaries, the evaluation team expects 15,000 beneficiaries to consent to random assignment and further participation in the study.)  Exhibit A.6 shows the total estimated respondent burden for the baseline survey and consent form.  It shows the average estimated time for demonstration subjects to complete each of the enrollment pieces.  Using the average times, the total burden of POD data collection for baseline survey respondents is 2,750 hours for the consent form and 5,500 hours for the baseline survey (or 8,250 hours in total) over a period of 15 months during 2017 to 2018. </w:t>
      </w:r>
    </w:p>
    <w:p w14:paraId="3B7A015E" w14:textId="77777777" w:rsidR="006C08D5" w:rsidRDefault="006C08D5" w:rsidP="006C08D5">
      <w:pPr>
        <w:pStyle w:val="H4NumberNoTOC"/>
      </w:pPr>
      <w:r>
        <w:t xml:space="preserve">A.12.2. </w:t>
      </w:r>
      <w:r w:rsidRPr="00AC0553">
        <w:t>Follow-up surveys</w:t>
      </w:r>
    </w:p>
    <w:p w14:paraId="5293530E" w14:textId="77777777" w:rsidR="006C08D5" w:rsidRPr="009B714E" w:rsidRDefault="006C08D5" w:rsidP="006C08D5">
      <w:pPr>
        <w:pStyle w:val="NormalSS"/>
      </w:pPr>
      <w:r>
        <w:t xml:space="preserve">The Year 1 follow-up survey data collection will begin in fall 2018.  The POD </w:t>
      </w:r>
      <w:r w:rsidRPr="00D666DD">
        <w:t xml:space="preserve">evaluation </w:t>
      </w:r>
      <w:r>
        <w:t xml:space="preserve">team will sample half of the study subjects (7,500) for the Year 1 survey and expects to complete surveys with 6,000 subjects or 80 percent of them.  The Year 2 follow-up survey data collection will begin in fall 2019.  The </w:t>
      </w:r>
      <w:r w:rsidRPr="00D666DD">
        <w:t xml:space="preserve">evaluation </w:t>
      </w:r>
      <w:r>
        <w:t>team expects to complete surveys with 80 percent of the 15,000 study subjects, or 12,000 subjects.</w:t>
      </w:r>
      <w:r w:rsidRPr="009B714E">
        <w:t xml:space="preserve"> </w:t>
      </w:r>
      <w:r>
        <w:t xml:space="preserve"> </w:t>
      </w:r>
      <w:r w:rsidRPr="009B714E">
        <w:t>Exhibit A.</w:t>
      </w:r>
      <w:r>
        <w:t>6</w:t>
      </w:r>
      <w:r w:rsidRPr="009B714E">
        <w:t xml:space="preserve"> shows the total estimated respondent burden for the </w:t>
      </w:r>
      <w:r>
        <w:t>follow-up</w:t>
      </w:r>
      <w:r w:rsidRPr="009B714E">
        <w:t xml:space="preserve"> survey</w:t>
      </w:r>
      <w:r>
        <w:t>s</w:t>
      </w:r>
      <w:r w:rsidRPr="009B714E">
        <w:t xml:space="preserve">. </w:t>
      </w:r>
      <w:r>
        <w:t xml:space="preserve"> </w:t>
      </w:r>
      <w:r w:rsidRPr="009B714E">
        <w:t xml:space="preserve">It shows the average time estimated for </w:t>
      </w:r>
      <w:r>
        <w:t>study subjects</w:t>
      </w:r>
      <w:r w:rsidRPr="009B714E">
        <w:t xml:space="preserve"> to complete each of the </w:t>
      </w:r>
      <w:r>
        <w:t>surveys (28 minutes for the Year 1 survey and 23 minutes for the Year 2 survey)</w:t>
      </w:r>
      <w:r w:rsidRPr="009B714E">
        <w:t xml:space="preserve">. </w:t>
      </w:r>
      <w:r>
        <w:t xml:space="preserve"> </w:t>
      </w:r>
      <w:r w:rsidRPr="009B714E">
        <w:t xml:space="preserve">Using the average times, the total burden of POD </w:t>
      </w:r>
      <w:r>
        <w:t xml:space="preserve">follow-up </w:t>
      </w:r>
      <w:r w:rsidRPr="009B714E">
        <w:t>data collection</w:t>
      </w:r>
      <w:r>
        <w:t xml:space="preserve"> for subjects is</w:t>
      </w:r>
      <w:r w:rsidRPr="009B714E">
        <w:t xml:space="preserve"> </w:t>
      </w:r>
      <w:r>
        <w:t>2,800 for the Year 1 survey and 4,600 for the Year 2 survey (or 7</w:t>
      </w:r>
      <w:r w:rsidRPr="009B714E">
        <w:t>,</w:t>
      </w:r>
      <w:r>
        <w:t>400</w:t>
      </w:r>
      <w:r w:rsidRPr="009B714E">
        <w:t xml:space="preserve"> hours</w:t>
      </w:r>
      <w:r>
        <w:t xml:space="preserve"> in total); </w:t>
      </w:r>
      <w:r w:rsidR="006F7196">
        <w:t xml:space="preserve">we will incur </w:t>
      </w:r>
      <w:r>
        <w:t xml:space="preserve">this </w:t>
      </w:r>
      <w:r w:rsidR="006F7196">
        <w:t>burden</w:t>
      </w:r>
      <w:r w:rsidRPr="009B714E">
        <w:t xml:space="preserve"> over a period of </w:t>
      </w:r>
      <w:r>
        <w:t>30</w:t>
      </w:r>
      <w:r w:rsidRPr="009B714E">
        <w:t xml:space="preserve"> months </w:t>
      </w:r>
      <w:r>
        <w:t>from fall</w:t>
      </w:r>
      <w:r w:rsidRPr="009B714E">
        <w:t xml:space="preserve"> 201</w:t>
      </w:r>
      <w:r>
        <w:t>8</w:t>
      </w:r>
      <w:r w:rsidRPr="009B714E">
        <w:t xml:space="preserve"> to </w:t>
      </w:r>
      <w:r>
        <w:t xml:space="preserve">spring </w:t>
      </w:r>
      <w:r w:rsidRPr="009B714E">
        <w:t>20</w:t>
      </w:r>
      <w:r>
        <w:t>21</w:t>
      </w:r>
      <w:r w:rsidRPr="009B714E">
        <w:t>.</w:t>
      </w:r>
    </w:p>
    <w:p w14:paraId="78E62D1A" w14:textId="77777777" w:rsidR="006C08D5" w:rsidRPr="00B369E9" w:rsidRDefault="006C08D5" w:rsidP="006C08D5">
      <w:pPr>
        <w:pStyle w:val="H4NumberNoTOC"/>
      </w:pPr>
      <w:r w:rsidRPr="00B369E9">
        <w:t>A.12.3</w:t>
      </w:r>
      <w:r>
        <w:t>.</w:t>
      </w:r>
      <w:r w:rsidRPr="00B369E9">
        <w:t xml:space="preserve"> Qualitative data from POD implementation and operations staff</w:t>
      </w:r>
    </w:p>
    <w:p w14:paraId="315D49AA" w14:textId="77777777" w:rsidR="006C08D5" w:rsidRDefault="006C08D5" w:rsidP="006C08D5">
      <w:pPr>
        <w:pStyle w:val="NormalSS"/>
      </w:pPr>
      <w:r>
        <w:t>Exhibit</w:t>
      </w:r>
      <w:r w:rsidRPr="00161BAE">
        <w:t xml:space="preserve"> A.</w:t>
      </w:r>
      <w:r>
        <w:t>6</w:t>
      </w:r>
      <w:r w:rsidRPr="00161BAE">
        <w:t xml:space="preserve"> shows the expected number of </w:t>
      </w:r>
      <w:r>
        <w:t>subject</w:t>
      </w:r>
      <w:r w:rsidRPr="00161BAE">
        <w:t xml:space="preserve">s in </w:t>
      </w:r>
      <w:r>
        <w:t>all four rounds of qualitative data collection (two in-person site visit rounds and two telephone interview rounds).  Exhibit A.6 also presents:  the number of interviews; hours per response;</w:t>
      </w:r>
      <w:r w:rsidRPr="00161BAE">
        <w:t xml:space="preserve"> and</w:t>
      </w:r>
      <w:r>
        <w:t xml:space="preserve"> the annualized response burden;</w:t>
      </w:r>
      <w:r w:rsidRPr="00161BAE">
        <w:t xml:space="preserve"> as well as the expected number of </w:t>
      </w:r>
      <w:r>
        <w:t>case files that the study will audit</w:t>
      </w:r>
      <w:r w:rsidRPr="00161BAE">
        <w:t xml:space="preserve">, number of </w:t>
      </w:r>
      <w:r>
        <w:t xml:space="preserve">rounds, the hours </w:t>
      </w:r>
      <w:r w:rsidRPr="00161BAE">
        <w:t>per response, and total response burden overall and by year.</w:t>
      </w:r>
    </w:p>
    <w:p w14:paraId="62DFC51D" w14:textId="77777777" w:rsidR="006C08D5" w:rsidRDefault="006C08D5" w:rsidP="006C08D5">
      <w:pPr>
        <w:pStyle w:val="NormalSScontinued"/>
      </w:pPr>
      <w:r>
        <w:t>T</w:t>
      </w:r>
      <w:r w:rsidRPr="00161BAE">
        <w:t xml:space="preserve">he </w:t>
      </w:r>
      <w:r>
        <w:t xml:space="preserve">POD </w:t>
      </w:r>
      <w:r w:rsidRPr="00161BAE">
        <w:t xml:space="preserve">evaluation team expects to conduct a total of </w:t>
      </w:r>
      <w:r>
        <w:t>16</w:t>
      </w:r>
      <w:r w:rsidRPr="00161BAE">
        <w:t xml:space="preserve">0 in-person staff and partner interviews (five interviews per site across </w:t>
      </w:r>
      <w:r>
        <w:t>eight</w:t>
      </w:r>
      <w:r w:rsidRPr="00161BAE">
        <w:t xml:space="preserve"> sites</w:t>
      </w:r>
      <w:r>
        <w:t>, for four rounds</w:t>
      </w:r>
      <w:r w:rsidRPr="00161BAE">
        <w:t xml:space="preserve">) </w:t>
      </w:r>
      <w:r>
        <w:t xml:space="preserve">during the in-person and virtual site </w:t>
      </w:r>
      <w:r w:rsidRPr="00F668D9">
        <w:t xml:space="preserve">visits. </w:t>
      </w:r>
      <w:r>
        <w:t xml:space="preserve"> </w:t>
      </w:r>
      <w:r w:rsidRPr="00F668D9">
        <w:t xml:space="preserve">Per staff member burden estimates for these interviews include time for setting up the interview appointment by phone or email (6 minutes) and participating in the interview (60 minutes). </w:t>
      </w:r>
      <w:r>
        <w:t xml:space="preserve"> </w:t>
      </w:r>
      <w:r w:rsidRPr="00F668D9">
        <w:t xml:space="preserve">Per staff member burden estimates also include assistance with the on-site audits of case files during the site visits (20 minutes), assuming one staff person in each site will generate a report for use in auditing case files during the site visit. </w:t>
      </w:r>
      <w:r>
        <w:t xml:space="preserve"> </w:t>
      </w:r>
      <w:r w:rsidRPr="00F668D9">
        <w:t>Thus, the total burden for site staff and community partners for all four rounds of qualitative data collecti</w:t>
      </w:r>
      <w:r>
        <w:t xml:space="preserve">on is 176 hours for </w:t>
      </w:r>
      <w:r w:rsidRPr="0054319B">
        <w:rPr>
          <w:noProof/>
        </w:rPr>
        <w:t>semi</w:t>
      </w:r>
      <w:r w:rsidRPr="0054319B">
        <w:rPr>
          <w:noProof/>
        </w:rPr>
        <w:noBreakHyphen/>
        <w:t>structured</w:t>
      </w:r>
      <w:r w:rsidRPr="00F668D9">
        <w:t xml:space="preserve"> interviews (40 staff members participating in four rounds of interviews lasting 1.1 hours each) and 5 hours for onsite audits of case files (or 181 hours in</w:t>
      </w:r>
      <w:r>
        <w:t xml:space="preserve"> total across both activities).</w:t>
      </w:r>
    </w:p>
    <w:p w14:paraId="3D99D8E1" w14:textId="77777777" w:rsidR="006C08D5" w:rsidRPr="00243B07" w:rsidRDefault="006C08D5" w:rsidP="006C08D5">
      <w:pPr>
        <w:pStyle w:val="H4NumberNoTOC"/>
        <w:spacing w:after="180"/>
      </w:pPr>
      <w:r w:rsidRPr="00243B07">
        <w:t>A.12.4</w:t>
      </w:r>
      <w:r>
        <w:t>.</w:t>
      </w:r>
      <w:r w:rsidRPr="00243B07">
        <w:t xml:space="preserve"> Semi-structured interviews with </w:t>
      </w:r>
      <w:r>
        <w:t>treatment group subjects</w:t>
      </w:r>
    </w:p>
    <w:p w14:paraId="5222066E" w14:textId="687B1BDD" w:rsidR="006C08D5" w:rsidRDefault="006C08D5" w:rsidP="006C08D5">
      <w:pPr>
        <w:pStyle w:val="NormalSS"/>
        <w:spacing w:after="180"/>
      </w:pPr>
      <w:r w:rsidRPr="00576346">
        <w:t xml:space="preserve">The </w:t>
      </w:r>
      <w:r>
        <w:t xml:space="preserve">POD </w:t>
      </w:r>
      <w:r w:rsidRPr="00576346">
        <w:t xml:space="preserve">evaluation team expects to conduct </w:t>
      </w:r>
      <w:r w:rsidR="006F7196" w:rsidRPr="00576346">
        <w:t>144</w:t>
      </w:r>
      <w:r>
        <w:t xml:space="preserve"> telephone</w:t>
      </w:r>
      <w:r w:rsidRPr="00576346">
        <w:t xml:space="preserve"> </w:t>
      </w:r>
      <w:r>
        <w:t>interviews with subjects</w:t>
      </w:r>
      <w:r w:rsidRPr="00576346">
        <w:t xml:space="preserve"> (</w:t>
      </w:r>
      <w:r>
        <w:t>nine</w:t>
      </w:r>
      <w:r w:rsidRPr="00576346">
        <w:t xml:space="preserve"> interviews per site across </w:t>
      </w:r>
      <w:r>
        <w:t>eight</w:t>
      </w:r>
      <w:r w:rsidRPr="00576346">
        <w:t xml:space="preserve"> sites</w:t>
      </w:r>
      <w:r>
        <w:t xml:space="preserve"> in each </w:t>
      </w:r>
      <w:r w:rsidRPr="0054319B">
        <w:rPr>
          <w:noProof/>
        </w:rPr>
        <w:t>round</w:t>
      </w:r>
      <w:r w:rsidRPr="00576346">
        <w:t xml:space="preserve">) during the </w:t>
      </w:r>
      <w:r>
        <w:t>second and third rounds of qualitative data collection.</w:t>
      </w:r>
      <w:r w:rsidRPr="00576346">
        <w:t xml:space="preserve"> </w:t>
      </w:r>
      <w:r>
        <w:t xml:space="preserve"> </w:t>
      </w:r>
      <w:r w:rsidRPr="00576346">
        <w:t xml:space="preserve">The </w:t>
      </w:r>
      <w:r>
        <w:t>subjects</w:t>
      </w:r>
      <w:r w:rsidRPr="00576346">
        <w:t xml:space="preserve"> selected for this evaluation component will represent a purposively selected sample of POD treatment </w:t>
      </w:r>
      <w:r>
        <w:t xml:space="preserve">and control </w:t>
      </w:r>
      <w:r w:rsidRPr="00576346">
        <w:t xml:space="preserve">subjects. </w:t>
      </w:r>
      <w:r>
        <w:t xml:space="preserve"> </w:t>
      </w:r>
      <w:r w:rsidRPr="00576346">
        <w:t xml:space="preserve">For each round of interviews, </w:t>
      </w:r>
      <w:r>
        <w:t xml:space="preserve">the POD evaluation team </w:t>
      </w:r>
      <w:r w:rsidRPr="00576346">
        <w:t xml:space="preserve">will </w:t>
      </w:r>
      <w:r>
        <w:t>interview</w:t>
      </w:r>
      <w:r w:rsidRPr="00576346">
        <w:t xml:space="preserve"> </w:t>
      </w:r>
      <w:r>
        <w:t>subjects</w:t>
      </w:r>
      <w:r w:rsidRPr="00576346">
        <w:t xml:space="preserve"> from both treatment groups and from key subgroups of interest (for example, </w:t>
      </w:r>
      <w:r>
        <w:t>subjects</w:t>
      </w:r>
      <w:r w:rsidRPr="00576346">
        <w:t xml:space="preserve"> who have requested to withdraw, low earning offset users, high earning offset users</w:t>
      </w:r>
      <w:r>
        <w:t>, and control group members</w:t>
      </w:r>
      <w:r w:rsidRPr="00576346">
        <w:t xml:space="preserve">). </w:t>
      </w:r>
      <w:r>
        <w:t xml:space="preserve"> T</w:t>
      </w:r>
      <w:r w:rsidRPr="00965B53">
        <w:t>he evaluation team</w:t>
      </w:r>
      <w:r>
        <w:t xml:space="preserve"> expects that these interviews will take approximately one hour to complete, resulting in an hour burden of 144. </w:t>
      </w:r>
    </w:p>
    <w:p w14:paraId="7E5D89DE" w14:textId="77777777" w:rsidR="006C08D5" w:rsidRPr="00243B07" w:rsidRDefault="006C08D5" w:rsidP="006C08D5">
      <w:pPr>
        <w:pStyle w:val="H4NumberNoTOC"/>
        <w:spacing w:after="180"/>
      </w:pPr>
      <w:r>
        <w:t>A.12.5</w:t>
      </w:r>
      <w:r w:rsidRPr="00B807DA">
        <w:t>. Implementation Data Collection Forms</w:t>
      </w:r>
    </w:p>
    <w:p w14:paraId="657EF6AB" w14:textId="77777777" w:rsidR="006C08D5" w:rsidRDefault="006C08D5" w:rsidP="006C08D5">
      <w:pPr>
        <w:pStyle w:val="NormalSS"/>
      </w:pPr>
      <w:r w:rsidRPr="00147493">
        <w:t>Data collection for POD’s implementat</w:t>
      </w:r>
      <w:r>
        <w:t>ion will take place over a five-</w:t>
      </w:r>
      <w:r w:rsidRPr="00147493">
        <w:t>year period</w:t>
      </w:r>
      <w:r>
        <w:t xml:space="preserve"> </w:t>
      </w:r>
      <w:r w:rsidRPr="00147493">
        <w:t>and will include two data collection activities:</w:t>
      </w:r>
      <w:r>
        <w:t xml:space="preserve"> </w:t>
      </w:r>
      <w:r w:rsidRPr="00147493">
        <w:t xml:space="preserve"> (1) POD Monthly Earnings and IRWE Reporting Form; and (2) POD EOYR Form.</w:t>
      </w:r>
      <w:r>
        <w:t xml:space="preserve">  Of the 10,000 POD participants assigned to the treatment groups, SSA estimates we will request earnings and IRWEs from 40 percent (approximately 4,000) of the POD participants.  Of these 4,000 participants, we expect 65 percent (approximately 2,600) to report earnings and IRWEs.  As indicated on Exhibit A.6, of these 2,600 POD participants, we expect 1,820 to complete the </w:t>
      </w:r>
      <w:r w:rsidRPr="00147493">
        <w:t>POD Monthly Earnings and IRWE Reporting For</w:t>
      </w:r>
      <w:r>
        <w:t>m by paper and 780 to complete the form online.  In addition, we expect 945 POD participants to complete the</w:t>
      </w:r>
      <w:r w:rsidRPr="00271D2C">
        <w:t xml:space="preserve"> </w:t>
      </w:r>
      <w:r w:rsidRPr="00147493">
        <w:t>POD EOYR Form</w:t>
      </w:r>
      <w:r>
        <w:t xml:space="preserve"> by paper, and 405 will complete the form online.</w:t>
      </w:r>
    </w:p>
    <w:p w14:paraId="52C9E30C" w14:textId="77777777" w:rsidR="006C08D5" w:rsidRDefault="006C08D5" w:rsidP="006C08D5">
      <w:pPr>
        <w:pStyle w:val="MarkforExhibitTitle"/>
      </w:pPr>
      <w:bookmarkStart w:id="21" w:name="_Toc476919859"/>
    </w:p>
    <w:p w14:paraId="4BBE1B25" w14:textId="77777777" w:rsidR="006C08D5" w:rsidRDefault="006C08D5" w:rsidP="006C08D5">
      <w:pPr>
        <w:pStyle w:val="MarkforExhibitTitle"/>
      </w:pPr>
      <w:r>
        <w:t>Exhibit A.6. Annual burden estimates by respondent type</w:t>
      </w:r>
      <w:bookmarkEnd w:id="21"/>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458"/>
        <w:gridCol w:w="1155"/>
        <w:gridCol w:w="1273"/>
        <w:gridCol w:w="1281"/>
        <w:gridCol w:w="1197"/>
      </w:tblGrid>
      <w:tr w:rsidR="006C08D5" w:rsidRPr="003F4C24" w14:paraId="3152EEDD" w14:textId="77777777" w:rsidTr="00876181">
        <w:trPr>
          <w:trHeight w:val="202"/>
        </w:trPr>
        <w:tc>
          <w:tcPr>
            <w:tcW w:w="1061" w:type="pct"/>
            <w:shd w:val="clear" w:color="auto" w:fill="6C6F70"/>
            <w:vAlign w:val="bottom"/>
          </w:tcPr>
          <w:p w14:paraId="572439E6" w14:textId="77777777" w:rsidR="006C08D5" w:rsidRPr="003F4C24" w:rsidRDefault="006C08D5" w:rsidP="00876181">
            <w:pPr>
              <w:pStyle w:val="TableHeaderLeft"/>
            </w:pPr>
            <w:r>
              <w:t>Modality of completion and</w:t>
            </w:r>
            <w:r>
              <w:br/>
            </w:r>
            <w:r w:rsidRPr="003F4C24">
              <w:t>respondent</w:t>
            </w:r>
            <w:r>
              <w:t xml:space="preserve"> type</w:t>
            </w:r>
          </w:p>
        </w:tc>
        <w:tc>
          <w:tcPr>
            <w:tcW w:w="902" w:type="pct"/>
            <w:shd w:val="clear" w:color="auto" w:fill="6C6F70"/>
            <w:vAlign w:val="bottom"/>
          </w:tcPr>
          <w:p w14:paraId="23CE1621" w14:textId="77777777" w:rsidR="006C08D5" w:rsidRPr="003F4C24" w:rsidRDefault="006C08D5" w:rsidP="00876181">
            <w:pPr>
              <w:pStyle w:val="TableHeaderCenter"/>
            </w:pPr>
            <w:r w:rsidRPr="003F4C24">
              <w:t>Number of respondents</w:t>
            </w:r>
          </w:p>
        </w:tc>
        <w:tc>
          <w:tcPr>
            <w:tcW w:w="715" w:type="pct"/>
            <w:shd w:val="clear" w:color="auto" w:fill="6C6F70"/>
            <w:vAlign w:val="bottom"/>
          </w:tcPr>
          <w:p w14:paraId="3433C735" w14:textId="77777777" w:rsidR="006C08D5" w:rsidRPr="003F4C24" w:rsidRDefault="006C08D5" w:rsidP="00876181">
            <w:pPr>
              <w:pStyle w:val="TableHeaderCenter"/>
            </w:pPr>
            <w:r w:rsidRPr="003F4C24">
              <w:t>Frequency</w:t>
            </w:r>
          </w:p>
        </w:tc>
        <w:tc>
          <w:tcPr>
            <w:tcW w:w="788" w:type="pct"/>
            <w:shd w:val="clear" w:color="auto" w:fill="6C6F70"/>
            <w:vAlign w:val="bottom"/>
          </w:tcPr>
          <w:p w14:paraId="416E0037" w14:textId="77777777" w:rsidR="006C08D5" w:rsidRPr="003F4C24" w:rsidRDefault="006C08D5" w:rsidP="00876181">
            <w:pPr>
              <w:pStyle w:val="TableHeaderCenter"/>
            </w:pPr>
            <w:r w:rsidRPr="003F4C24">
              <w:t>Number of responses</w:t>
            </w:r>
          </w:p>
        </w:tc>
        <w:tc>
          <w:tcPr>
            <w:tcW w:w="793" w:type="pct"/>
            <w:shd w:val="clear" w:color="auto" w:fill="6C6F70"/>
            <w:vAlign w:val="bottom"/>
          </w:tcPr>
          <w:p w14:paraId="340B0E28" w14:textId="77777777" w:rsidR="006C08D5" w:rsidRPr="003F4C24" w:rsidRDefault="006C08D5" w:rsidP="00876181">
            <w:pPr>
              <w:pStyle w:val="TableHeaderCenter"/>
            </w:pPr>
            <w:r w:rsidRPr="003F4C24">
              <w:t xml:space="preserve">Average burden per response </w:t>
            </w:r>
            <w:r>
              <w:br/>
            </w:r>
            <w:r w:rsidRPr="003F4C24">
              <w:t>(in minutes)</w:t>
            </w:r>
          </w:p>
        </w:tc>
        <w:tc>
          <w:tcPr>
            <w:tcW w:w="741" w:type="pct"/>
            <w:shd w:val="clear" w:color="auto" w:fill="6C6F70"/>
            <w:vAlign w:val="bottom"/>
          </w:tcPr>
          <w:p w14:paraId="272AD5A5" w14:textId="77777777" w:rsidR="006C08D5" w:rsidRPr="003F4C24" w:rsidRDefault="006C08D5" w:rsidP="00876181">
            <w:pPr>
              <w:pStyle w:val="TableHeaderCenter"/>
            </w:pPr>
            <w:r w:rsidRPr="003F4C24">
              <w:t xml:space="preserve">Total annual burden </w:t>
            </w:r>
            <w:r>
              <w:br/>
            </w:r>
            <w:r w:rsidRPr="003F4C24">
              <w:t>(in hours)</w:t>
            </w:r>
          </w:p>
        </w:tc>
      </w:tr>
      <w:tr w:rsidR="006C08D5" w:rsidRPr="007B4899" w14:paraId="41747CC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55A2588B" w14:textId="77777777" w:rsidR="006C08D5" w:rsidRPr="009C15E5" w:rsidRDefault="006C08D5" w:rsidP="00876181">
            <w:pPr>
              <w:pStyle w:val="TableText"/>
            </w:pPr>
            <w:r w:rsidRPr="009C15E5">
              <w:t>Informed Consent Form</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502BB88B" w14:textId="77777777" w:rsidR="006C08D5" w:rsidRPr="009C15E5" w:rsidRDefault="006C08D5" w:rsidP="00876181">
            <w:pPr>
              <w:pStyle w:val="TableText"/>
              <w:ind w:right="288"/>
              <w:jc w:val="right"/>
            </w:pPr>
            <w:r w:rsidRPr="009C15E5">
              <w:t>16,500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853837D"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6E827D3" w14:textId="77777777" w:rsidR="006C08D5" w:rsidRPr="009C15E5" w:rsidRDefault="006C08D5" w:rsidP="00876181">
            <w:pPr>
              <w:pStyle w:val="TableText"/>
              <w:ind w:right="288"/>
              <w:jc w:val="right"/>
            </w:pPr>
            <w:r w:rsidRPr="009C15E5">
              <w:t>16,500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34CCC8D" w14:textId="77777777" w:rsidR="006C08D5" w:rsidRPr="009C15E5" w:rsidRDefault="006C08D5" w:rsidP="00876181">
            <w:pPr>
              <w:pStyle w:val="TableText"/>
              <w:ind w:right="288"/>
              <w:jc w:val="right"/>
            </w:pPr>
            <w:r>
              <w:t>10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745023A6" w14:textId="77777777" w:rsidR="006C08D5" w:rsidRPr="009C15E5" w:rsidRDefault="006C08D5" w:rsidP="00876181">
            <w:pPr>
              <w:pStyle w:val="TableText"/>
              <w:ind w:right="288"/>
              <w:jc w:val="right"/>
            </w:pPr>
            <w:r>
              <w:t>2,750</w:t>
            </w:r>
          </w:p>
        </w:tc>
      </w:tr>
      <w:tr w:rsidR="006C08D5" w:rsidRPr="007B4899" w14:paraId="0F8F13D6"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2CE2F638" w14:textId="77777777" w:rsidR="006C08D5" w:rsidRPr="009C15E5" w:rsidRDefault="006C08D5" w:rsidP="00876181">
            <w:pPr>
              <w:pStyle w:val="TableText"/>
            </w:pPr>
            <w:r w:rsidRPr="009C15E5">
              <w:t>Baseline Survey</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A0C90B9" w14:textId="77777777" w:rsidR="006C08D5" w:rsidRPr="009C15E5" w:rsidRDefault="006C08D5" w:rsidP="00876181">
            <w:pPr>
              <w:pStyle w:val="TableText"/>
              <w:ind w:right="288"/>
              <w:jc w:val="right"/>
            </w:pPr>
            <w:r w:rsidRPr="009C15E5">
              <w:t>16,500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F18BC88"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3059782" w14:textId="77777777" w:rsidR="006C08D5" w:rsidRPr="009C15E5" w:rsidRDefault="006C08D5" w:rsidP="00876181">
            <w:pPr>
              <w:pStyle w:val="TableText"/>
              <w:ind w:right="288"/>
              <w:jc w:val="right"/>
            </w:pPr>
            <w:r w:rsidRPr="009C15E5">
              <w:t>16,500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2117F" w14:textId="77777777" w:rsidR="006C08D5" w:rsidRPr="009C15E5" w:rsidRDefault="006C08D5" w:rsidP="00876181">
            <w:pPr>
              <w:pStyle w:val="TableText"/>
              <w:ind w:right="288"/>
              <w:jc w:val="right"/>
            </w:pPr>
            <w:r w:rsidRPr="009C15E5">
              <w:t>20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06B6029E" w14:textId="77777777" w:rsidR="006C08D5" w:rsidRPr="009C15E5" w:rsidRDefault="006C08D5" w:rsidP="00876181">
            <w:pPr>
              <w:pStyle w:val="TableText"/>
              <w:ind w:right="288"/>
              <w:jc w:val="right"/>
            </w:pPr>
            <w:r w:rsidRPr="009C15E5">
              <w:t>5,500</w:t>
            </w:r>
          </w:p>
        </w:tc>
      </w:tr>
      <w:tr w:rsidR="006C08D5" w:rsidRPr="007B4899" w14:paraId="10D7DA6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7EF8A133" w14:textId="77777777" w:rsidR="006C08D5" w:rsidRPr="009C15E5" w:rsidRDefault="006C08D5" w:rsidP="00876181">
            <w:pPr>
              <w:pStyle w:val="TableText"/>
            </w:pPr>
            <w:r>
              <w:t xml:space="preserve">Year 1 </w:t>
            </w:r>
            <w:r w:rsidRPr="009C15E5">
              <w:t>Follow</w:t>
            </w:r>
            <w:r>
              <w:t>-</w:t>
            </w:r>
            <w:r w:rsidRPr="009C15E5">
              <w:t>up Survey</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34D2507" w14:textId="77777777" w:rsidR="006C08D5" w:rsidRPr="009C15E5" w:rsidRDefault="006C08D5" w:rsidP="00876181">
            <w:pPr>
              <w:pStyle w:val="TableText"/>
              <w:ind w:right="288"/>
              <w:jc w:val="right"/>
            </w:pPr>
            <w:r w:rsidRPr="009C15E5">
              <w:t>6,000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1924EFD"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4ED2AC2" w14:textId="77777777" w:rsidR="006C08D5" w:rsidRPr="009C15E5" w:rsidRDefault="006C08D5" w:rsidP="00876181">
            <w:pPr>
              <w:pStyle w:val="TableText"/>
              <w:ind w:right="288"/>
              <w:jc w:val="right"/>
            </w:pPr>
            <w:r w:rsidRPr="009C15E5">
              <w:t>6,000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98E2F10" w14:textId="77777777" w:rsidR="006C08D5" w:rsidRPr="009C15E5" w:rsidRDefault="006C08D5" w:rsidP="00876181">
            <w:pPr>
              <w:pStyle w:val="TableText"/>
              <w:ind w:right="288"/>
              <w:jc w:val="right"/>
            </w:pPr>
            <w:r>
              <w:t>28</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EB069CE" w14:textId="77777777" w:rsidR="006C08D5" w:rsidRPr="009C15E5" w:rsidRDefault="006C08D5" w:rsidP="00876181">
            <w:pPr>
              <w:pStyle w:val="TableText"/>
              <w:ind w:right="288"/>
              <w:jc w:val="right"/>
            </w:pPr>
            <w:r>
              <w:t>2,800</w:t>
            </w:r>
          </w:p>
        </w:tc>
      </w:tr>
      <w:tr w:rsidR="006C08D5" w:rsidRPr="007B4899" w14:paraId="7DDC06FA"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43E18D36" w14:textId="77777777" w:rsidR="006C08D5" w:rsidRPr="009C15E5" w:rsidRDefault="006C08D5" w:rsidP="00876181">
            <w:pPr>
              <w:pStyle w:val="TableText"/>
            </w:pPr>
            <w:r>
              <w:t xml:space="preserve">Year 2 </w:t>
            </w:r>
            <w:r w:rsidRPr="009C15E5">
              <w:t>Follow</w:t>
            </w:r>
            <w:r>
              <w:t>-</w:t>
            </w:r>
            <w:r w:rsidRPr="009C15E5">
              <w:t xml:space="preserve">up Survey </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3EF31F84" w14:textId="77777777" w:rsidR="006C08D5" w:rsidRPr="009C15E5" w:rsidRDefault="006C08D5" w:rsidP="00876181">
            <w:pPr>
              <w:pStyle w:val="TableText"/>
              <w:ind w:right="288"/>
              <w:jc w:val="right"/>
            </w:pPr>
            <w:r w:rsidRPr="009C15E5">
              <w:t>12,000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00CEF10"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B3BDFB3" w14:textId="77777777" w:rsidR="006C08D5" w:rsidRPr="009C15E5" w:rsidRDefault="006C08D5" w:rsidP="00876181">
            <w:pPr>
              <w:pStyle w:val="TableText"/>
              <w:ind w:right="288"/>
              <w:jc w:val="right"/>
            </w:pPr>
            <w:r w:rsidRPr="009C15E5">
              <w:t>12,000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301BA49" w14:textId="77777777" w:rsidR="006C08D5" w:rsidRPr="009C15E5" w:rsidRDefault="006C08D5" w:rsidP="00876181">
            <w:pPr>
              <w:pStyle w:val="TableText"/>
              <w:ind w:right="288"/>
              <w:jc w:val="right"/>
            </w:pPr>
            <w:r>
              <w:t>23</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4543759" w14:textId="77777777" w:rsidR="006C08D5" w:rsidRPr="009C15E5" w:rsidRDefault="006C08D5" w:rsidP="00876181">
            <w:pPr>
              <w:pStyle w:val="TableText"/>
              <w:ind w:right="288"/>
              <w:jc w:val="right"/>
            </w:pPr>
            <w:r>
              <w:t>4,600</w:t>
            </w:r>
          </w:p>
        </w:tc>
      </w:tr>
      <w:tr w:rsidR="006C08D5" w:rsidRPr="007B4899" w14:paraId="70C90460"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7D04A71E" w14:textId="77777777" w:rsidR="006C08D5" w:rsidRPr="009C15E5" w:rsidRDefault="006C08D5" w:rsidP="00876181">
            <w:pPr>
              <w:pStyle w:val="TableText"/>
            </w:pPr>
            <w:r w:rsidRPr="009C15E5">
              <w:t>Staff interviews with site staff</w:t>
            </w:r>
          </w:p>
        </w:tc>
        <w:tc>
          <w:tcPr>
            <w:tcW w:w="902" w:type="pct"/>
            <w:tcBorders>
              <w:top w:val="single" w:sz="4" w:space="0" w:color="auto"/>
              <w:left w:val="single" w:sz="4" w:space="0" w:color="auto"/>
              <w:bottom w:val="single" w:sz="4" w:space="0" w:color="auto"/>
              <w:right w:val="single" w:sz="4" w:space="0" w:color="auto"/>
            </w:tcBorders>
          </w:tcPr>
          <w:p w14:paraId="368C254E" w14:textId="77777777" w:rsidR="006C08D5" w:rsidRPr="009C15E5" w:rsidRDefault="006C08D5" w:rsidP="00876181">
            <w:pPr>
              <w:pStyle w:val="TableText"/>
              <w:ind w:right="288"/>
              <w:jc w:val="right"/>
            </w:pPr>
            <w:r>
              <w:t>4</w:t>
            </w:r>
            <w:r w:rsidRPr="009C15E5">
              <w:t>0</w:t>
            </w:r>
          </w:p>
        </w:tc>
        <w:tc>
          <w:tcPr>
            <w:tcW w:w="715" w:type="pct"/>
            <w:tcBorders>
              <w:top w:val="single" w:sz="4" w:space="0" w:color="auto"/>
              <w:left w:val="single" w:sz="4" w:space="0" w:color="auto"/>
              <w:bottom w:val="single" w:sz="4" w:space="0" w:color="auto"/>
              <w:right w:val="single" w:sz="4" w:space="0" w:color="auto"/>
            </w:tcBorders>
          </w:tcPr>
          <w:p w14:paraId="39800178" w14:textId="77777777" w:rsidR="006C08D5" w:rsidRPr="009C15E5" w:rsidRDefault="006C08D5" w:rsidP="00876181">
            <w:pPr>
              <w:pStyle w:val="TableText"/>
              <w:ind w:right="288"/>
              <w:jc w:val="right"/>
            </w:pPr>
            <w:r w:rsidRPr="009C15E5">
              <w:t>4</w:t>
            </w:r>
          </w:p>
        </w:tc>
        <w:tc>
          <w:tcPr>
            <w:tcW w:w="788" w:type="pct"/>
            <w:tcBorders>
              <w:top w:val="single" w:sz="4" w:space="0" w:color="auto"/>
              <w:left w:val="single" w:sz="4" w:space="0" w:color="auto"/>
              <w:bottom w:val="single" w:sz="4" w:space="0" w:color="auto"/>
              <w:right w:val="single" w:sz="4" w:space="0" w:color="auto"/>
            </w:tcBorders>
          </w:tcPr>
          <w:p w14:paraId="7EC53427" w14:textId="77777777" w:rsidR="006C08D5" w:rsidRPr="009C15E5" w:rsidRDefault="006C08D5" w:rsidP="00876181">
            <w:pPr>
              <w:pStyle w:val="TableText"/>
              <w:ind w:right="288"/>
              <w:jc w:val="right"/>
            </w:pPr>
            <w:r>
              <w:t>16</w:t>
            </w:r>
            <w:r w:rsidRPr="009C15E5">
              <w:t>0</w:t>
            </w:r>
          </w:p>
        </w:tc>
        <w:tc>
          <w:tcPr>
            <w:tcW w:w="793" w:type="pct"/>
            <w:tcBorders>
              <w:top w:val="single" w:sz="4" w:space="0" w:color="auto"/>
              <w:left w:val="single" w:sz="4" w:space="0" w:color="auto"/>
              <w:bottom w:val="single" w:sz="4" w:space="0" w:color="auto"/>
              <w:right w:val="single" w:sz="4" w:space="0" w:color="auto"/>
            </w:tcBorders>
          </w:tcPr>
          <w:p w14:paraId="6E6EBB05" w14:textId="77777777" w:rsidR="006C08D5" w:rsidRPr="009C15E5" w:rsidRDefault="006C08D5" w:rsidP="00876181">
            <w:pPr>
              <w:pStyle w:val="TableText"/>
              <w:ind w:right="288"/>
              <w:jc w:val="right"/>
            </w:pPr>
            <w:r w:rsidRPr="009C15E5">
              <w:t>66</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29099C97" w14:textId="77777777" w:rsidR="006C08D5" w:rsidRPr="009C15E5" w:rsidRDefault="006C08D5" w:rsidP="00876181">
            <w:pPr>
              <w:pStyle w:val="TableText"/>
              <w:ind w:right="288"/>
              <w:jc w:val="right"/>
            </w:pPr>
            <w:r>
              <w:t>176</w:t>
            </w:r>
          </w:p>
        </w:tc>
      </w:tr>
      <w:tr w:rsidR="006C08D5" w:rsidRPr="007B4899" w14:paraId="44EE89B5"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6AB9C791" w14:textId="77777777" w:rsidR="006C08D5" w:rsidRPr="009C15E5" w:rsidRDefault="006C08D5" w:rsidP="00876181">
            <w:pPr>
              <w:pStyle w:val="TableText"/>
            </w:pPr>
            <w:r w:rsidRPr="009C15E5">
              <w:t>Onsite audit of sample of case files in MIS</w:t>
            </w:r>
          </w:p>
        </w:tc>
        <w:tc>
          <w:tcPr>
            <w:tcW w:w="902" w:type="pct"/>
            <w:tcBorders>
              <w:top w:val="single" w:sz="4" w:space="0" w:color="auto"/>
              <w:left w:val="single" w:sz="4" w:space="0" w:color="auto"/>
              <w:bottom w:val="single" w:sz="4" w:space="0" w:color="auto"/>
              <w:right w:val="single" w:sz="4" w:space="0" w:color="auto"/>
            </w:tcBorders>
          </w:tcPr>
          <w:p w14:paraId="7429E6B4" w14:textId="77777777" w:rsidR="006C08D5" w:rsidRPr="009C15E5" w:rsidRDefault="006C08D5" w:rsidP="00876181">
            <w:pPr>
              <w:pStyle w:val="TableText"/>
              <w:ind w:right="288"/>
              <w:jc w:val="right"/>
            </w:pPr>
            <w:r>
              <w:t>8</w:t>
            </w:r>
          </w:p>
        </w:tc>
        <w:tc>
          <w:tcPr>
            <w:tcW w:w="715" w:type="pct"/>
            <w:tcBorders>
              <w:top w:val="single" w:sz="4" w:space="0" w:color="auto"/>
              <w:left w:val="single" w:sz="4" w:space="0" w:color="auto"/>
              <w:bottom w:val="single" w:sz="4" w:space="0" w:color="auto"/>
              <w:right w:val="single" w:sz="4" w:space="0" w:color="auto"/>
            </w:tcBorders>
          </w:tcPr>
          <w:p w14:paraId="06849037" w14:textId="77777777" w:rsidR="006C08D5" w:rsidRPr="009C15E5" w:rsidRDefault="006C08D5" w:rsidP="00876181">
            <w:pPr>
              <w:pStyle w:val="TableText"/>
              <w:ind w:right="288"/>
              <w:jc w:val="right"/>
            </w:pPr>
            <w:r w:rsidRPr="009C15E5">
              <w:t>2</w:t>
            </w:r>
          </w:p>
        </w:tc>
        <w:tc>
          <w:tcPr>
            <w:tcW w:w="788" w:type="pct"/>
            <w:tcBorders>
              <w:top w:val="single" w:sz="4" w:space="0" w:color="auto"/>
              <w:left w:val="single" w:sz="4" w:space="0" w:color="auto"/>
              <w:bottom w:val="single" w:sz="4" w:space="0" w:color="auto"/>
              <w:right w:val="single" w:sz="4" w:space="0" w:color="auto"/>
            </w:tcBorders>
          </w:tcPr>
          <w:p w14:paraId="269D352B" w14:textId="77777777" w:rsidR="006C08D5" w:rsidRPr="009C15E5" w:rsidRDefault="006C08D5" w:rsidP="00876181">
            <w:pPr>
              <w:pStyle w:val="TableText"/>
              <w:ind w:right="288"/>
              <w:jc w:val="right"/>
            </w:pPr>
            <w:r>
              <w:t>16</w:t>
            </w:r>
          </w:p>
        </w:tc>
        <w:tc>
          <w:tcPr>
            <w:tcW w:w="793" w:type="pct"/>
            <w:tcBorders>
              <w:top w:val="single" w:sz="4" w:space="0" w:color="auto"/>
              <w:left w:val="single" w:sz="4" w:space="0" w:color="auto"/>
              <w:bottom w:val="single" w:sz="4" w:space="0" w:color="auto"/>
              <w:right w:val="single" w:sz="4" w:space="0" w:color="auto"/>
            </w:tcBorders>
          </w:tcPr>
          <w:p w14:paraId="780D8C62" w14:textId="77777777" w:rsidR="006C08D5" w:rsidRPr="009C15E5" w:rsidRDefault="006C08D5" w:rsidP="00876181">
            <w:pPr>
              <w:pStyle w:val="TableText"/>
              <w:ind w:right="288"/>
              <w:jc w:val="right"/>
            </w:pPr>
            <w:r w:rsidRPr="009C15E5">
              <w:t>20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ACF7CAB" w14:textId="77777777" w:rsidR="006C08D5" w:rsidRPr="009C15E5" w:rsidRDefault="006C08D5" w:rsidP="00876181">
            <w:pPr>
              <w:pStyle w:val="TableText"/>
              <w:ind w:right="288"/>
              <w:jc w:val="right"/>
            </w:pPr>
            <w:r>
              <w:t>5</w:t>
            </w:r>
          </w:p>
        </w:tc>
      </w:tr>
      <w:tr w:rsidR="006C08D5" w:rsidRPr="007B4899" w14:paraId="26E7DAD1"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0E25B993" w14:textId="77777777" w:rsidR="006C08D5" w:rsidRPr="009C15E5" w:rsidRDefault="006C08D5" w:rsidP="00876181">
            <w:pPr>
              <w:pStyle w:val="TableText"/>
            </w:pPr>
            <w:r w:rsidRPr="001D47D1">
              <w:t xml:space="preserve">Semi-structured interviews with </w:t>
            </w:r>
            <w:r>
              <w:t>treatment group subjects</w:t>
            </w:r>
          </w:p>
        </w:tc>
        <w:tc>
          <w:tcPr>
            <w:tcW w:w="902" w:type="pct"/>
            <w:tcBorders>
              <w:top w:val="single" w:sz="4" w:space="0" w:color="auto"/>
              <w:left w:val="single" w:sz="4" w:space="0" w:color="auto"/>
              <w:bottom w:val="single" w:sz="4" w:space="0" w:color="auto"/>
              <w:right w:val="single" w:sz="4" w:space="0" w:color="auto"/>
            </w:tcBorders>
          </w:tcPr>
          <w:p w14:paraId="584D078E" w14:textId="77777777" w:rsidR="006C08D5" w:rsidRDefault="006C08D5" w:rsidP="00876181">
            <w:pPr>
              <w:pStyle w:val="TableText"/>
              <w:ind w:right="288"/>
              <w:jc w:val="right"/>
            </w:pPr>
            <w:r>
              <w:t>144</w:t>
            </w:r>
          </w:p>
        </w:tc>
        <w:tc>
          <w:tcPr>
            <w:tcW w:w="715" w:type="pct"/>
            <w:tcBorders>
              <w:top w:val="single" w:sz="4" w:space="0" w:color="auto"/>
              <w:left w:val="single" w:sz="4" w:space="0" w:color="auto"/>
              <w:bottom w:val="single" w:sz="4" w:space="0" w:color="auto"/>
              <w:right w:val="single" w:sz="4" w:space="0" w:color="auto"/>
            </w:tcBorders>
          </w:tcPr>
          <w:p w14:paraId="1E27B38C" w14:textId="77777777" w:rsidR="006C08D5" w:rsidRPr="009C15E5" w:rsidRDefault="006C08D5" w:rsidP="00876181">
            <w:pPr>
              <w:pStyle w:val="TableText"/>
              <w:ind w:right="288"/>
              <w:jc w:val="right"/>
            </w:pPr>
            <w:r>
              <w:t>1</w:t>
            </w:r>
          </w:p>
        </w:tc>
        <w:tc>
          <w:tcPr>
            <w:tcW w:w="788" w:type="pct"/>
            <w:tcBorders>
              <w:top w:val="single" w:sz="4" w:space="0" w:color="auto"/>
              <w:left w:val="single" w:sz="4" w:space="0" w:color="auto"/>
              <w:bottom w:val="single" w:sz="4" w:space="0" w:color="auto"/>
              <w:right w:val="single" w:sz="4" w:space="0" w:color="auto"/>
            </w:tcBorders>
          </w:tcPr>
          <w:p w14:paraId="741FB6FB" w14:textId="77777777" w:rsidR="006C08D5" w:rsidRDefault="006C08D5" w:rsidP="00876181">
            <w:pPr>
              <w:pStyle w:val="TableText"/>
              <w:ind w:right="288"/>
              <w:jc w:val="right"/>
            </w:pPr>
            <w:r>
              <w:t>144</w:t>
            </w:r>
          </w:p>
        </w:tc>
        <w:tc>
          <w:tcPr>
            <w:tcW w:w="793" w:type="pct"/>
            <w:tcBorders>
              <w:top w:val="single" w:sz="4" w:space="0" w:color="auto"/>
              <w:left w:val="single" w:sz="4" w:space="0" w:color="auto"/>
              <w:bottom w:val="single" w:sz="4" w:space="0" w:color="auto"/>
              <w:right w:val="single" w:sz="4" w:space="0" w:color="auto"/>
            </w:tcBorders>
          </w:tcPr>
          <w:p w14:paraId="7FBBB311" w14:textId="77777777" w:rsidR="006C08D5" w:rsidRPr="009C15E5" w:rsidRDefault="006C08D5" w:rsidP="00876181">
            <w:pPr>
              <w:pStyle w:val="TableText"/>
              <w:ind w:right="288"/>
              <w:jc w:val="right"/>
            </w:pPr>
            <w:r>
              <w:t>60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5ED184FE" w14:textId="77777777" w:rsidR="006C08D5" w:rsidRDefault="006C08D5" w:rsidP="00876181">
            <w:pPr>
              <w:pStyle w:val="TableText"/>
              <w:ind w:right="288"/>
              <w:jc w:val="right"/>
            </w:pPr>
            <w:r>
              <w:t>144</w:t>
            </w:r>
          </w:p>
        </w:tc>
      </w:tr>
      <w:tr w:rsidR="006C08D5" w:rsidRPr="007B4899" w14:paraId="654EA02B"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27C255E6" w14:textId="77777777" w:rsidR="006C08D5" w:rsidRPr="001D47D1" w:rsidRDefault="006C08D5" w:rsidP="00876181">
            <w:pPr>
              <w:pStyle w:val="TableText"/>
            </w:pPr>
            <w:r w:rsidRPr="00777491">
              <w:rPr>
                <w:szCs w:val="18"/>
              </w:rPr>
              <w:t>POD Monthly Earnings and Impairment-related work Expenses (IRWE) Reporting Form--</w:t>
            </w:r>
            <w:r w:rsidRPr="00777491">
              <w:rPr>
                <w:i/>
                <w:szCs w:val="18"/>
              </w:rPr>
              <w:t>by paper</w:t>
            </w:r>
          </w:p>
        </w:tc>
        <w:tc>
          <w:tcPr>
            <w:tcW w:w="902" w:type="pct"/>
            <w:tcBorders>
              <w:top w:val="single" w:sz="4" w:space="0" w:color="auto"/>
              <w:left w:val="single" w:sz="4" w:space="0" w:color="auto"/>
              <w:bottom w:val="single" w:sz="4" w:space="0" w:color="auto"/>
              <w:right w:val="single" w:sz="4" w:space="0" w:color="auto"/>
            </w:tcBorders>
          </w:tcPr>
          <w:p w14:paraId="65662774" w14:textId="77777777" w:rsidR="006C08D5" w:rsidRDefault="006C08D5" w:rsidP="00876181">
            <w:pPr>
              <w:pStyle w:val="TableText"/>
              <w:ind w:right="288"/>
              <w:jc w:val="right"/>
            </w:pPr>
            <w:r>
              <w:t>1,820</w:t>
            </w:r>
          </w:p>
        </w:tc>
        <w:tc>
          <w:tcPr>
            <w:tcW w:w="715" w:type="pct"/>
            <w:tcBorders>
              <w:top w:val="single" w:sz="4" w:space="0" w:color="auto"/>
              <w:left w:val="single" w:sz="4" w:space="0" w:color="auto"/>
              <w:bottom w:val="single" w:sz="4" w:space="0" w:color="auto"/>
              <w:right w:val="single" w:sz="4" w:space="0" w:color="auto"/>
            </w:tcBorders>
          </w:tcPr>
          <w:p w14:paraId="1B04713F" w14:textId="77777777" w:rsidR="006C08D5" w:rsidRDefault="006C08D5" w:rsidP="00876181">
            <w:pPr>
              <w:pStyle w:val="TableText"/>
              <w:ind w:right="288"/>
              <w:jc w:val="right"/>
            </w:pPr>
            <w:r>
              <w:t>12</w:t>
            </w:r>
          </w:p>
        </w:tc>
        <w:tc>
          <w:tcPr>
            <w:tcW w:w="788" w:type="pct"/>
            <w:tcBorders>
              <w:top w:val="single" w:sz="4" w:space="0" w:color="auto"/>
              <w:left w:val="single" w:sz="4" w:space="0" w:color="auto"/>
              <w:bottom w:val="single" w:sz="4" w:space="0" w:color="auto"/>
              <w:right w:val="single" w:sz="4" w:space="0" w:color="auto"/>
            </w:tcBorders>
          </w:tcPr>
          <w:p w14:paraId="14794B24" w14:textId="77777777" w:rsidR="006C08D5" w:rsidRDefault="006C08D5" w:rsidP="00876181">
            <w:pPr>
              <w:pStyle w:val="TableText"/>
              <w:ind w:right="288"/>
              <w:jc w:val="right"/>
            </w:pPr>
            <w:r>
              <w:t>21,840</w:t>
            </w:r>
          </w:p>
        </w:tc>
        <w:tc>
          <w:tcPr>
            <w:tcW w:w="793" w:type="pct"/>
            <w:tcBorders>
              <w:top w:val="single" w:sz="4" w:space="0" w:color="auto"/>
              <w:left w:val="single" w:sz="4" w:space="0" w:color="auto"/>
              <w:bottom w:val="single" w:sz="4" w:space="0" w:color="auto"/>
              <w:right w:val="single" w:sz="4" w:space="0" w:color="auto"/>
            </w:tcBorders>
          </w:tcPr>
          <w:p w14:paraId="0C4461F9" w14:textId="77777777" w:rsidR="006C08D5" w:rsidRDefault="006C08D5" w:rsidP="00876181">
            <w:pPr>
              <w:pStyle w:val="TableText"/>
              <w:ind w:right="288"/>
              <w:jc w:val="right"/>
            </w:pPr>
            <w:r>
              <w:t>10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66F4248" w14:textId="77777777" w:rsidR="006C08D5" w:rsidRDefault="006C08D5" w:rsidP="00876181">
            <w:pPr>
              <w:pStyle w:val="TableText"/>
              <w:ind w:right="288"/>
              <w:jc w:val="right"/>
            </w:pPr>
            <w:r>
              <w:t>3,640</w:t>
            </w:r>
          </w:p>
        </w:tc>
      </w:tr>
      <w:tr w:rsidR="006C08D5" w:rsidRPr="007B4899" w14:paraId="436B6B18"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14636D90" w14:textId="77777777" w:rsidR="006C08D5" w:rsidRPr="001D47D1" w:rsidRDefault="006C08D5" w:rsidP="00876181">
            <w:pPr>
              <w:pStyle w:val="TableText"/>
            </w:pPr>
            <w:r w:rsidRPr="00777491">
              <w:rPr>
                <w:szCs w:val="18"/>
              </w:rPr>
              <w:t>POD Monthly Earnings and Impairment-related work Expenses (IRWE) Reporting Form--</w:t>
            </w:r>
            <w:r w:rsidRPr="00777491">
              <w:rPr>
                <w:i/>
                <w:szCs w:val="18"/>
              </w:rPr>
              <w:t>online</w:t>
            </w:r>
          </w:p>
        </w:tc>
        <w:tc>
          <w:tcPr>
            <w:tcW w:w="902" w:type="pct"/>
            <w:tcBorders>
              <w:top w:val="single" w:sz="4" w:space="0" w:color="auto"/>
              <w:left w:val="single" w:sz="4" w:space="0" w:color="auto"/>
              <w:bottom w:val="single" w:sz="4" w:space="0" w:color="auto"/>
              <w:right w:val="single" w:sz="4" w:space="0" w:color="auto"/>
            </w:tcBorders>
          </w:tcPr>
          <w:p w14:paraId="456EDBEB" w14:textId="77777777" w:rsidR="006C08D5" w:rsidRDefault="006C08D5" w:rsidP="00876181">
            <w:pPr>
              <w:pStyle w:val="TableText"/>
              <w:ind w:right="288"/>
              <w:jc w:val="right"/>
            </w:pPr>
            <w:r>
              <w:t>780</w:t>
            </w:r>
          </w:p>
        </w:tc>
        <w:tc>
          <w:tcPr>
            <w:tcW w:w="715" w:type="pct"/>
            <w:tcBorders>
              <w:top w:val="single" w:sz="4" w:space="0" w:color="auto"/>
              <w:left w:val="single" w:sz="4" w:space="0" w:color="auto"/>
              <w:bottom w:val="single" w:sz="4" w:space="0" w:color="auto"/>
              <w:right w:val="single" w:sz="4" w:space="0" w:color="auto"/>
            </w:tcBorders>
          </w:tcPr>
          <w:p w14:paraId="48F79F76" w14:textId="77777777" w:rsidR="006C08D5" w:rsidRDefault="006C08D5" w:rsidP="00876181">
            <w:pPr>
              <w:pStyle w:val="TableText"/>
              <w:ind w:right="288"/>
              <w:jc w:val="right"/>
            </w:pPr>
            <w:r>
              <w:t>12</w:t>
            </w:r>
          </w:p>
        </w:tc>
        <w:tc>
          <w:tcPr>
            <w:tcW w:w="788" w:type="pct"/>
            <w:tcBorders>
              <w:top w:val="single" w:sz="4" w:space="0" w:color="auto"/>
              <w:left w:val="single" w:sz="4" w:space="0" w:color="auto"/>
              <w:bottom w:val="single" w:sz="4" w:space="0" w:color="auto"/>
              <w:right w:val="single" w:sz="4" w:space="0" w:color="auto"/>
            </w:tcBorders>
          </w:tcPr>
          <w:p w14:paraId="5EAD4A95" w14:textId="77777777" w:rsidR="006C08D5" w:rsidRDefault="006C08D5" w:rsidP="00876181">
            <w:pPr>
              <w:pStyle w:val="TableText"/>
              <w:ind w:right="288"/>
              <w:jc w:val="right"/>
            </w:pPr>
            <w:r>
              <w:t>9,360</w:t>
            </w:r>
          </w:p>
        </w:tc>
        <w:tc>
          <w:tcPr>
            <w:tcW w:w="793" w:type="pct"/>
            <w:tcBorders>
              <w:top w:val="single" w:sz="4" w:space="0" w:color="auto"/>
              <w:left w:val="single" w:sz="4" w:space="0" w:color="auto"/>
              <w:bottom w:val="single" w:sz="4" w:space="0" w:color="auto"/>
              <w:right w:val="single" w:sz="4" w:space="0" w:color="auto"/>
            </w:tcBorders>
          </w:tcPr>
          <w:p w14:paraId="3913125E" w14:textId="77777777" w:rsidR="006C08D5" w:rsidRDefault="006C08D5" w:rsidP="00876181">
            <w:pPr>
              <w:pStyle w:val="TableText"/>
              <w:ind w:right="288"/>
              <w:jc w:val="right"/>
            </w:pPr>
            <w:r>
              <w:t>5</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2BB46AA1" w14:textId="77777777" w:rsidR="006C08D5" w:rsidRDefault="006C08D5" w:rsidP="00876181">
            <w:pPr>
              <w:pStyle w:val="TableText"/>
              <w:ind w:right="288"/>
              <w:jc w:val="right"/>
            </w:pPr>
            <w:r>
              <w:t>780</w:t>
            </w:r>
          </w:p>
        </w:tc>
      </w:tr>
      <w:tr w:rsidR="006C08D5" w:rsidRPr="007B4899" w14:paraId="41A29064"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0AF851F0" w14:textId="77777777" w:rsidR="006C08D5" w:rsidRPr="001D47D1" w:rsidRDefault="006C08D5" w:rsidP="00876181">
            <w:pPr>
              <w:pStyle w:val="TableText"/>
            </w:pPr>
            <w:r w:rsidRPr="00777491">
              <w:rPr>
                <w:szCs w:val="18"/>
              </w:rPr>
              <w:t>POD End of Year reporting (EOYR) Form--</w:t>
            </w:r>
            <w:r w:rsidRPr="00777491">
              <w:rPr>
                <w:i/>
                <w:szCs w:val="18"/>
              </w:rPr>
              <w:t>by paper</w:t>
            </w:r>
          </w:p>
        </w:tc>
        <w:tc>
          <w:tcPr>
            <w:tcW w:w="902" w:type="pct"/>
            <w:tcBorders>
              <w:top w:val="single" w:sz="4" w:space="0" w:color="auto"/>
              <w:left w:val="single" w:sz="4" w:space="0" w:color="auto"/>
              <w:bottom w:val="single" w:sz="4" w:space="0" w:color="auto"/>
              <w:right w:val="single" w:sz="4" w:space="0" w:color="auto"/>
            </w:tcBorders>
          </w:tcPr>
          <w:p w14:paraId="736C0BF9" w14:textId="77777777" w:rsidR="006C08D5" w:rsidRDefault="006C08D5" w:rsidP="00876181">
            <w:pPr>
              <w:pStyle w:val="TableText"/>
              <w:ind w:right="288"/>
              <w:jc w:val="right"/>
            </w:pPr>
            <w:r>
              <w:t>945</w:t>
            </w:r>
          </w:p>
        </w:tc>
        <w:tc>
          <w:tcPr>
            <w:tcW w:w="715" w:type="pct"/>
            <w:tcBorders>
              <w:top w:val="single" w:sz="4" w:space="0" w:color="auto"/>
              <w:left w:val="single" w:sz="4" w:space="0" w:color="auto"/>
              <w:bottom w:val="single" w:sz="4" w:space="0" w:color="auto"/>
              <w:right w:val="single" w:sz="4" w:space="0" w:color="auto"/>
            </w:tcBorders>
          </w:tcPr>
          <w:p w14:paraId="13143A9C" w14:textId="77777777" w:rsidR="006C08D5" w:rsidRDefault="006C08D5" w:rsidP="00876181">
            <w:pPr>
              <w:pStyle w:val="TableText"/>
              <w:ind w:right="288"/>
              <w:jc w:val="right"/>
            </w:pPr>
            <w:r>
              <w:t>1</w:t>
            </w:r>
          </w:p>
        </w:tc>
        <w:tc>
          <w:tcPr>
            <w:tcW w:w="788" w:type="pct"/>
            <w:tcBorders>
              <w:top w:val="single" w:sz="4" w:space="0" w:color="auto"/>
              <w:left w:val="single" w:sz="4" w:space="0" w:color="auto"/>
              <w:bottom w:val="single" w:sz="4" w:space="0" w:color="auto"/>
              <w:right w:val="single" w:sz="4" w:space="0" w:color="auto"/>
            </w:tcBorders>
          </w:tcPr>
          <w:p w14:paraId="0A191C8F" w14:textId="77777777" w:rsidR="006C08D5" w:rsidRDefault="006C08D5" w:rsidP="00876181">
            <w:pPr>
              <w:pStyle w:val="TableText"/>
              <w:ind w:right="288"/>
              <w:jc w:val="right"/>
            </w:pPr>
            <w:r>
              <w:t>945</w:t>
            </w:r>
          </w:p>
        </w:tc>
        <w:tc>
          <w:tcPr>
            <w:tcW w:w="793" w:type="pct"/>
            <w:tcBorders>
              <w:top w:val="single" w:sz="4" w:space="0" w:color="auto"/>
              <w:left w:val="single" w:sz="4" w:space="0" w:color="auto"/>
              <w:bottom w:val="single" w:sz="4" w:space="0" w:color="auto"/>
              <w:right w:val="single" w:sz="4" w:space="0" w:color="auto"/>
            </w:tcBorders>
          </w:tcPr>
          <w:p w14:paraId="00696209" w14:textId="77777777" w:rsidR="006C08D5" w:rsidRDefault="006C08D5" w:rsidP="00876181">
            <w:pPr>
              <w:pStyle w:val="TableText"/>
              <w:ind w:right="288"/>
              <w:jc w:val="right"/>
            </w:pPr>
            <w:r>
              <w:t>15</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65E29CB4" w14:textId="77777777" w:rsidR="006C08D5" w:rsidRDefault="006C08D5" w:rsidP="00876181">
            <w:pPr>
              <w:pStyle w:val="TableText"/>
              <w:ind w:right="288"/>
              <w:jc w:val="right"/>
            </w:pPr>
            <w:r>
              <w:t>236</w:t>
            </w:r>
          </w:p>
        </w:tc>
      </w:tr>
      <w:tr w:rsidR="006C08D5" w:rsidRPr="007B4899" w14:paraId="669D9F4A"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148A1CE1" w14:textId="77777777" w:rsidR="006C08D5" w:rsidRPr="001D47D1" w:rsidRDefault="006C08D5" w:rsidP="00876181">
            <w:pPr>
              <w:pStyle w:val="TableText"/>
            </w:pPr>
            <w:r w:rsidRPr="00777491">
              <w:rPr>
                <w:szCs w:val="18"/>
              </w:rPr>
              <w:t>POD End of Year reporting (EOYR) Form--</w:t>
            </w:r>
            <w:r w:rsidRPr="00777491">
              <w:rPr>
                <w:i/>
                <w:szCs w:val="18"/>
              </w:rPr>
              <w:t>online</w:t>
            </w:r>
          </w:p>
        </w:tc>
        <w:tc>
          <w:tcPr>
            <w:tcW w:w="902" w:type="pct"/>
            <w:tcBorders>
              <w:top w:val="single" w:sz="4" w:space="0" w:color="auto"/>
              <w:left w:val="single" w:sz="4" w:space="0" w:color="auto"/>
              <w:bottom w:val="single" w:sz="4" w:space="0" w:color="auto"/>
              <w:right w:val="single" w:sz="4" w:space="0" w:color="auto"/>
            </w:tcBorders>
          </w:tcPr>
          <w:p w14:paraId="1182A155" w14:textId="77777777" w:rsidR="006C08D5" w:rsidRDefault="006C08D5" w:rsidP="00876181">
            <w:pPr>
              <w:pStyle w:val="TableText"/>
              <w:ind w:right="288"/>
              <w:jc w:val="right"/>
            </w:pPr>
            <w:r>
              <w:t>405</w:t>
            </w:r>
          </w:p>
        </w:tc>
        <w:tc>
          <w:tcPr>
            <w:tcW w:w="715" w:type="pct"/>
            <w:tcBorders>
              <w:top w:val="single" w:sz="4" w:space="0" w:color="auto"/>
              <w:left w:val="single" w:sz="4" w:space="0" w:color="auto"/>
              <w:bottom w:val="single" w:sz="4" w:space="0" w:color="auto"/>
              <w:right w:val="single" w:sz="4" w:space="0" w:color="auto"/>
            </w:tcBorders>
          </w:tcPr>
          <w:p w14:paraId="5B73F931" w14:textId="77777777" w:rsidR="006C08D5" w:rsidRDefault="006C08D5" w:rsidP="00876181">
            <w:pPr>
              <w:pStyle w:val="TableText"/>
              <w:ind w:right="288"/>
              <w:jc w:val="right"/>
            </w:pPr>
            <w:r>
              <w:t>1</w:t>
            </w:r>
          </w:p>
        </w:tc>
        <w:tc>
          <w:tcPr>
            <w:tcW w:w="788" w:type="pct"/>
            <w:tcBorders>
              <w:top w:val="single" w:sz="4" w:space="0" w:color="auto"/>
              <w:left w:val="single" w:sz="4" w:space="0" w:color="auto"/>
              <w:bottom w:val="single" w:sz="4" w:space="0" w:color="auto"/>
              <w:right w:val="single" w:sz="4" w:space="0" w:color="auto"/>
            </w:tcBorders>
          </w:tcPr>
          <w:p w14:paraId="0B2BB94D" w14:textId="77777777" w:rsidR="006C08D5" w:rsidRDefault="006C08D5" w:rsidP="00876181">
            <w:pPr>
              <w:pStyle w:val="TableText"/>
              <w:ind w:right="288"/>
              <w:jc w:val="right"/>
            </w:pPr>
            <w:r>
              <w:t>405</w:t>
            </w:r>
          </w:p>
        </w:tc>
        <w:tc>
          <w:tcPr>
            <w:tcW w:w="793" w:type="pct"/>
            <w:tcBorders>
              <w:top w:val="single" w:sz="4" w:space="0" w:color="auto"/>
              <w:left w:val="single" w:sz="4" w:space="0" w:color="auto"/>
              <w:bottom w:val="single" w:sz="4" w:space="0" w:color="auto"/>
              <w:right w:val="single" w:sz="4" w:space="0" w:color="auto"/>
            </w:tcBorders>
          </w:tcPr>
          <w:p w14:paraId="2770730D" w14:textId="77777777" w:rsidR="006C08D5" w:rsidRDefault="006C08D5" w:rsidP="00876181">
            <w:pPr>
              <w:pStyle w:val="TableText"/>
              <w:ind w:right="288"/>
              <w:jc w:val="right"/>
            </w:pPr>
            <w:r>
              <w:t>10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FFA766B" w14:textId="77777777" w:rsidR="006C08D5" w:rsidRDefault="006C08D5" w:rsidP="00876181">
            <w:pPr>
              <w:pStyle w:val="TableText"/>
              <w:ind w:right="288"/>
              <w:jc w:val="right"/>
            </w:pPr>
            <w:r>
              <w:t>68</w:t>
            </w:r>
          </w:p>
        </w:tc>
      </w:tr>
      <w:tr w:rsidR="006C08D5" w:rsidRPr="007B4899" w14:paraId="2F09E2A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47F4D178" w14:textId="77777777" w:rsidR="006C08D5" w:rsidRPr="001367BF" w:rsidRDefault="006C08D5" w:rsidP="00876181">
            <w:pPr>
              <w:pStyle w:val="TableText"/>
            </w:pPr>
            <w:r>
              <w:t>Totals</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614BE8A" w14:textId="77777777" w:rsidR="006C08D5" w:rsidRPr="001D47D1" w:rsidRDefault="006C08D5" w:rsidP="00876181">
            <w:pPr>
              <w:pStyle w:val="TableText"/>
              <w:ind w:right="288"/>
              <w:jc w:val="right"/>
            </w:pPr>
            <w:r>
              <w:t>55</w:t>
            </w:r>
            <w:r w:rsidRPr="001D47D1">
              <w:t>,</w:t>
            </w:r>
            <w:r>
              <w:t>14</w:t>
            </w:r>
            <w:r w:rsidRPr="00E4794B">
              <w:t>2</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4DE74B9" w14:textId="77777777" w:rsidR="006C08D5" w:rsidRPr="001D47D1" w:rsidRDefault="006C08D5" w:rsidP="00876181">
            <w:pPr>
              <w:pStyle w:val="TableText"/>
              <w:ind w:right="288"/>
              <w:jc w:val="right"/>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530A6B6" w14:textId="77777777" w:rsidR="006C08D5" w:rsidRPr="001D47D1" w:rsidRDefault="006C08D5" w:rsidP="00876181">
            <w:pPr>
              <w:pStyle w:val="TableText"/>
              <w:ind w:right="288"/>
              <w:jc w:val="right"/>
            </w:pPr>
            <w:r>
              <w:t>83,870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6787539" w14:textId="77777777" w:rsidR="006C08D5" w:rsidRPr="001D47D1" w:rsidRDefault="006C08D5" w:rsidP="00876181">
            <w:pPr>
              <w:pStyle w:val="TableText"/>
              <w:ind w:right="288"/>
              <w:jc w:val="right"/>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635F522" w14:textId="77777777" w:rsidR="006C08D5" w:rsidRPr="001D47D1" w:rsidRDefault="006C08D5" w:rsidP="00876181">
            <w:pPr>
              <w:pStyle w:val="TableText"/>
              <w:ind w:right="288"/>
              <w:jc w:val="right"/>
            </w:pPr>
            <w:r>
              <w:t>20,699</w:t>
            </w:r>
          </w:p>
        </w:tc>
      </w:tr>
    </w:tbl>
    <w:p w14:paraId="29482D0E" w14:textId="77777777" w:rsidR="006C08D5" w:rsidRDefault="006C08D5" w:rsidP="006C08D5">
      <w:pPr>
        <w:pStyle w:val="TableFootnoteCaption"/>
        <w:spacing w:after="360"/>
      </w:pPr>
      <w:bookmarkStart w:id="22" w:name="_Toc473537893"/>
    </w:p>
    <w:p w14:paraId="50F54182" w14:textId="77777777" w:rsidR="006C08D5" w:rsidRDefault="006C08D5" w:rsidP="006C08D5">
      <w:pPr>
        <w:pStyle w:val="H3Alpha"/>
        <w:keepLines/>
        <w:spacing w:before="240"/>
      </w:pPr>
      <w:bookmarkStart w:id="23" w:name="_Toc476059363"/>
      <w:bookmarkEnd w:id="22"/>
      <w:r>
        <w:t>A.13. Annual cost to the respondents (other)</w:t>
      </w:r>
      <w:bookmarkEnd w:id="23"/>
    </w:p>
    <w:p w14:paraId="6BDF06BE" w14:textId="77777777" w:rsidR="006C08D5" w:rsidRPr="00F84E2E" w:rsidRDefault="006C08D5" w:rsidP="006C08D5">
      <w:pPr>
        <w:pStyle w:val="NormalSS"/>
        <w:rPr>
          <w:szCs w:val="24"/>
          <w:u w:val="single"/>
        </w:rPr>
      </w:pPr>
      <w:r>
        <w:t xml:space="preserve">There are no direct costs to respondents for any of the surveys, forms, or semi-structured interviews other than their time to participate in the study as described in section A.12.  The POD </w:t>
      </w:r>
      <w:r w:rsidRPr="00D666DD">
        <w:t xml:space="preserve">evaluation </w:t>
      </w:r>
      <w:r>
        <w:t>team will not ask respondents to maintain any new records.  The evaluation team will collect and maintain all survey data, and is responsible for all costs associated with data collection, storage, processing, and other functions related to these data.  The implementation team will collect and maintain all data from the implementation data collection forms, and is responsible for all costs associated with the form data collection, storage, processing, and other functions related to these data.  Section A.14 summarizes these costs, which are costs to the federal government under an SSA contract.</w:t>
      </w:r>
      <w:r w:rsidRPr="00E47BCC">
        <w:t xml:space="preserve"> </w:t>
      </w:r>
    </w:p>
    <w:p w14:paraId="6612A427" w14:textId="77777777" w:rsidR="006C08D5" w:rsidRDefault="006C08D5" w:rsidP="006C08D5">
      <w:pPr>
        <w:pStyle w:val="H3Alpha"/>
      </w:pPr>
      <w:bookmarkStart w:id="24" w:name="_Toc476059364"/>
      <w:r>
        <w:t>A.14. Annualized cost to federal government</w:t>
      </w:r>
      <w:bookmarkEnd w:id="24"/>
    </w:p>
    <w:p w14:paraId="74305331" w14:textId="77777777" w:rsidR="006C08D5" w:rsidRDefault="006C08D5" w:rsidP="006C08D5">
      <w:pPr>
        <w:pStyle w:val="NormalSS"/>
      </w:pPr>
      <w:r>
        <w:t xml:space="preserve">Exhibit A.7 shows the costs for the major data collection components:  (1) qualitative data collection costs, </w:t>
      </w:r>
      <w:r w:rsidRPr="002E1FCD">
        <w:t>including startup and ongoing</w:t>
      </w:r>
      <w:r>
        <w:t xml:space="preserve"> costs;</w:t>
      </w:r>
      <w:r w:rsidRPr="002E1FCD">
        <w:t xml:space="preserve"> </w:t>
      </w:r>
      <w:r>
        <w:t xml:space="preserve">(2) costs for each survey, including startup and ongoing costs; (3) costs for setting up SMS and RAPTER; and (4) costs </w:t>
      </w:r>
      <w:r w:rsidRPr="003035D5">
        <w:t>for the two POD implementation data collection activities:</w:t>
      </w:r>
      <w:r>
        <w:t xml:space="preserve"> </w:t>
      </w:r>
      <w:r w:rsidRPr="003035D5">
        <w:t xml:space="preserve"> (1) POD Monthly Earnings and IRWE Reporting Form; and (2) POD EOYR</w:t>
      </w:r>
      <w:r>
        <w:t xml:space="preserve"> </w:t>
      </w:r>
      <w:r w:rsidRPr="003035D5">
        <w:t>Form</w:t>
      </w:r>
      <w:r>
        <w:t xml:space="preserve">. The POD </w:t>
      </w:r>
      <w:r w:rsidRPr="00D666DD">
        <w:t>evaluation</w:t>
      </w:r>
      <w:r>
        <w:t xml:space="preserve"> team budgeted the labor costs by estimating the number of hours for required staff at the various wage levels, multiplying by the applicable wage rates, and multiplying the resulting subtotals by factors to cover fringe benefits and burden expense. The basis for estimating other direct costs varies with the type of cost. The evaluation team summed the total of labor costs and other direct costs, multiplied them by a factor to cover general and program expenses, and included the fee.  The POD implementation team budgeted labor costs for their services as well as for data collection activities associated with this submission, including developing the forms and estimated costs for data collection activities.</w:t>
      </w:r>
    </w:p>
    <w:p w14:paraId="7CF475A2" w14:textId="77777777" w:rsidR="006C08D5" w:rsidRDefault="006C08D5" w:rsidP="006C08D5">
      <w:pPr>
        <w:pStyle w:val="MarkforExhibitTitle"/>
      </w:pPr>
      <w:bookmarkStart w:id="25" w:name="_Toc476919860"/>
      <w:r>
        <w:t>Exhibit</w:t>
      </w:r>
      <w:r w:rsidRPr="00E13658">
        <w:t xml:space="preserve"> A.</w:t>
      </w:r>
      <w:r>
        <w:t>7.</w:t>
      </w:r>
      <w:r w:rsidRPr="00E13658">
        <w:t xml:space="preserve"> Annual </w:t>
      </w:r>
      <w:r>
        <w:t>data collection c</w:t>
      </w:r>
      <w:r w:rsidRPr="00E13658">
        <w:t xml:space="preserve">osts to the </w:t>
      </w:r>
      <w:r>
        <w:t>f</w:t>
      </w:r>
      <w:r w:rsidRPr="00E13658">
        <w:t xml:space="preserve">ederal </w:t>
      </w:r>
      <w:r>
        <w:t>g</w:t>
      </w:r>
      <w:r w:rsidRPr="00E13658">
        <w:t>overnment</w:t>
      </w:r>
      <w:bookmarkEnd w:id="25"/>
    </w:p>
    <w:p w14:paraId="4951CB5A" w14:textId="77777777" w:rsidR="006C08D5" w:rsidRPr="005F0348" w:rsidRDefault="006C08D5" w:rsidP="006C08D5">
      <w:pPr>
        <w:pStyle w:val="NormalSS"/>
        <w:ind w:firstLine="0"/>
        <w:rPr>
          <w:b/>
        </w:rPr>
      </w:pPr>
      <w:r>
        <w:rPr>
          <w:b/>
        </w:rPr>
        <w:t xml:space="preserve">Exhibit </w:t>
      </w:r>
      <w:r w:rsidRPr="005F0348">
        <w:rPr>
          <w:b/>
        </w:rPr>
        <w:t>A.7.1. POD Evaluation Team Costs</w:t>
      </w:r>
    </w:p>
    <w:tbl>
      <w:tblPr>
        <w:tblStyle w:val="TableGrid1"/>
        <w:tblW w:w="0" w:type="auto"/>
        <w:tblBorders>
          <w:bottom w:val="single" w:sz="4" w:space="0" w:color="auto"/>
        </w:tblBorders>
        <w:tblLook w:val="04A0" w:firstRow="1" w:lastRow="0" w:firstColumn="1" w:lastColumn="0" w:noHBand="0" w:noVBand="1"/>
      </w:tblPr>
      <w:tblGrid>
        <w:gridCol w:w="1350"/>
        <w:gridCol w:w="1980"/>
        <w:gridCol w:w="1980"/>
        <w:gridCol w:w="2070"/>
        <w:gridCol w:w="1980"/>
      </w:tblGrid>
      <w:tr w:rsidR="006C08D5" w:rsidRPr="00873CA6" w14:paraId="4E983B51" w14:textId="77777777" w:rsidTr="00876181">
        <w:trPr>
          <w:trHeight w:val="296"/>
        </w:trPr>
        <w:tc>
          <w:tcPr>
            <w:tcW w:w="1350" w:type="dxa"/>
            <w:shd w:val="clear" w:color="auto" w:fill="6C6F70"/>
            <w:vAlign w:val="bottom"/>
          </w:tcPr>
          <w:p w14:paraId="61F30D24" w14:textId="77777777" w:rsidR="006C08D5" w:rsidRPr="00F312F2" w:rsidRDefault="006C08D5" w:rsidP="00876181">
            <w:pPr>
              <w:pStyle w:val="TableHeaderCenter"/>
            </w:pPr>
            <w:r w:rsidRPr="00F312F2">
              <w:t>Fiscal Year</w:t>
            </w:r>
          </w:p>
        </w:tc>
        <w:tc>
          <w:tcPr>
            <w:tcW w:w="1980" w:type="dxa"/>
            <w:shd w:val="clear" w:color="auto" w:fill="6C6F70"/>
            <w:vAlign w:val="bottom"/>
          </w:tcPr>
          <w:p w14:paraId="444C08ED" w14:textId="77777777" w:rsidR="006C08D5" w:rsidRPr="00F312F2" w:rsidRDefault="006C08D5" w:rsidP="00876181">
            <w:pPr>
              <w:pStyle w:val="TableHeaderCenter"/>
            </w:pPr>
            <w:r w:rsidRPr="00F312F2">
              <w:t>Qualitative Data Collection Cost</w:t>
            </w:r>
          </w:p>
        </w:tc>
        <w:tc>
          <w:tcPr>
            <w:tcW w:w="1980" w:type="dxa"/>
            <w:shd w:val="clear" w:color="auto" w:fill="6C6F70"/>
            <w:vAlign w:val="bottom"/>
          </w:tcPr>
          <w:p w14:paraId="33FF46B0" w14:textId="77777777" w:rsidR="006C08D5" w:rsidRPr="00C77421" w:rsidRDefault="006C08D5" w:rsidP="00876181">
            <w:pPr>
              <w:pStyle w:val="TableHeaderCenter"/>
            </w:pPr>
            <w:r w:rsidRPr="00F312F2">
              <w:t>Survey Cost</w:t>
            </w:r>
          </w:p>
        </w:tc>
        <w:tc>
          <w:tcPr>
            <w:tcW w:w="2070" w:type="dxa"/>
            <w:shd w:val="clear" w:color="auto" w:fill="6C6F70"/>
            <w:vAlign w:val="bottom"/>
          </w:tcPr>
          <w:p w14:paraId="63479890" w14:textId="77777777" w:rsidR="006C08D5" w:rsidRPr="00C77421" w:rsidRDefault="006C08D5" w:rsidP="00876181">
            <w:pPr>
              <w:pStyle w:val="TableHeaderCenter"/>
            </w:pPr>
            <w:r w:rsidRPr="00C77421">
              <w:t>SMS and RAPTER Cost</w:t>
            </w:r>
          </w:p>
        </w:tc>
        <w:tc>
          <w:tcPr>
            <w:tcW w:w="1980" w:type="dxa"/>
            <w:shd w:val="clear" w:color="auto" w:fill="6C6F70"/>
            <w:vAlign w:val="bottom"/>
          </w:tcPr>
          <w:p w14:paraId="4CB4C938" w14:textId="77777777" w:rsidR="006C08D5" w:rsidRPr="00CC3E67" w:rsidRDefault="006C08D5" w:rsidP="00876181">
            <w:pPr>
              <w:pStyle w:val="TableHeaderCenter"/>
            </w:pPr>
            <w:r w:rsidRPr="00CC3E67">
              <w:t>Total</w:t>
            </w:r>
          </w:p>
        </w:tc>
      </w:tr>
      <w:tr w:rsidR="006C08D5" w:rsidRPr="00873CA6" w14:paraId="6F2FF79D" w14:textId="77777777" w:rsidTr="00876181">
        <w:trPr>
          <w:trHeight w:val="296"/>
        </w:trPr>
        <w:tc>
          <w:tcPr>
            <w:tcW w:w="1350" w:type="dxa"/>
            <w:vAlign w:val="center"/>
          </w:tcPr>
          <w:p w14:paraId="41286153"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7</w:t>
            </w:r>
          </w:p>
        </w:tc>
        <w:tc>
          <w:tcPr>
            <w:tcW w:w="1980" w:type="dxa"/>
            <w:vAlign w:val="center"/>
          </w:tcPr>
          <w:p w14:paraId="452A914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$326,194</w:t>
            </w:r>
          </w:p>
        </w:tc>
        <w:tc>
          <w:tcPr>
            <w:tcW w:w="1980" w:type="dxa"/>
            <w:vAlign w:val="center"/>
          </w:tcPr>
          <w:p w14:paraId="0D135E3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$165,793</w:t>
            </w:r>
          </w:p>
        </w:tc>
        <w:tc>
          <w:tcPr>
            <w:tcW w:w="2070" w:type="dxa"/>
            <w:vAlign w:val="center"/>
          </w:tcPr>
          <w:p w14:paraId="3B12BB53"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$415,833</w:t>
            </w:r>
          </w:p>
        </w:tc>
        <w:tc>
          <w:tcPr>
            <w:tcW w:w="1980" w:type="dxa"/>
            <w:vAlign w:val="center"/>
          </w:tcPr>
          <w:p w14:paraId="58A93A5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$907,820</w:t>
            </w:r>
          </w:p>
        </w:tc>
      </w:tr>
      <w:tr w:rsidR="006C08D5" w:rsidRPr="00873CA6" w14:paraId="53261C2C" w14:textId="77777777" w:rsidTr="00876181">
        <w:trPr>
          <w:trHeight w:val="296"/>
        </w:trPr>
        <w:tc>
          <w:tcPr>
            <w:tcW w:w="1350" w:type="dxa"/>
            <w:vAlign w:val="center"/>
          </w:tcPr>
          <w:p w14:paraId="1E3B4456"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8</w:t>
            </w:r>
          </w:p>
        </w:tc>
        <w:tc>
          <w:tcPr>
            <w:tcW w:w="1980" w:type="dxa"/>
            <w:vAlign w:val="center"/>
          </w:tcPr>
          <w:p w14:paraId="62B96C49"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$737,422</w:t>
            </w:r>
          </w:p>
        </w:tc>
        <w:tc>
          <w:tcPr>
            <w:tcW w:w="1980" w:type="dxa"/>
            <w:vAlign w:val="center"/>
          </w:tcPr>
          <w:p w14:paraId="7E7C0C93"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$824,464</w:t>
            </w:r>
          </w:p>
        </w:tc>
        <w:tc>
          <w:tcPr>
            <w:tcW w:w="2070" w:type="dxa"/>
            <w:vAlign w:val="center"/>
          </w:tcPr>
          <w:p w14:paraId="77FB5E5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$30,335</w:t>
            </w:r>
          </w:p>
        </w:tc>
        <w:tc>
          <w:tcPr>
            <w:tcW w:w="1980" w:type="dxa"/>
            <w:vAlign w:val="center"/>
          </w:tcPr>
          <w:p w14:paraId="015FCC1D"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$1,592,221</w:t>
            </w:r>
          </w:p>
        </w:tc>
      </w:tr>
      <w:tr w:rsidR="006C08D5" w:rsidRPr="00873CA6" w14:paraId="77F07FAA" w14:textId="77777777" w:rsidTr="00876181">
        <w:trPr>
          <w:trHeight w:val="296"/>
        </w:trPr>
        <w:tc>
          <w:tcPr>
            <w:tcW w:w="1350" w:type="dxa"/>
            <w:vAlign w:val="center"/>
          </w:tcPr>
          <w:p w14:paraId="7813A131"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9</w:t>
            </w:r>
          </w:p>
        </w:tc>
        <w:tc>
          <w:tcPr>
            <w:tcW w:w="1980" w:type="dxa"/>
            <w:vAlign w:val="center"/>
          </w:tcPr>
          <w:p w14:paraId="241BDEF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$664,313</w:t>
            </w:r>
          </w:p>
        </w:tc>
        <w:tc>
          <w:tcPr>
            <w:tcW w:w="1980" w:type="dxa"/>
            <w:vAlign w:val="center"/>
          </w:tcPr>
          <w:p w14:paraId="5C45A7D5"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$870,154</w:t>
            </w:r>
          </w:p>
        </w:tc>
        <w:tc>
          <w:tcPr>
            <w:tcW w:w="2070" w:type="dxa"/>
            <w:vAlign w:val="center"/>
          </w:tcPr>
          <w:p w14:paraId="77448B1D"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$55,356</w:t>
            </w:r>
          </w:p>
        </w:tc>
        <w:tc>
          <w:tcPr>
            <w:tcW w:w="1980" w:type="dxa"/>
            <w:vAlign w:val="center"/>
          </w:tcPr>
          <w:p w14:paraId="1B99D79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$1,589,823</w:t>
            </w:r>
          </w:p>
        </w:tc>
      </w:tr>
      <w:tr w:rsidR="006C08D5" w:rsidRPr="00873CA6" w14:paraId="1F979938" w14:textId="77777777" w:rsidTr="00876181">
        <w:trPr>
          <w:trHeight w:val="296"/>
        </w:trPr>
        <w:tc>
          <w:tcPr>
            <w:tcW w:w="1350" w:type="dxa"/>
            <w:vAlign w:val="center"/>
          </w:tcPr>
          <w:p w14:paraId="605E855B"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20</w:t>
            </w:r>
          </w:p>
        </w:tc>
        <w:tc>
          <w:tcPr>
            <w:tcW w:w="1980" w:type="dxa"/>
            <w:vAlign w:val="center"/>
          </w:tcPr>
          <w:p w14:paraId="252EE3C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$477,912</w:t>
            </w:r>
          </w:p>
        </w:tc>
        <w:tc>
          <w:tcPr>
            <w:tcW w:w="1980" w:type="dxa"/>
            <w:vAlign w:val="center"/>
          </w:tcPr>
          <w:p w14:paraId="12E51C7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$1,886,647</w:t>
            </w:r>
          </w:p>
        </w:tc>
        <w:tc>
          <w:tcPr>
            <w:tcW w:w="2070" w:type="dxa"/>
            <w:vAlign w:val="center"/>
          </w:tcPr>
          <w:p w14:paraId="7A81CC8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$56,071</w:t>
            </w:r>
          </w:p>
        </w:tc>
        <w:tc>
          <w:tcPr>
            <w:tcW w:w="1980" w:type="dxa"/>
            <w:vAlign w:val="center"/>
          </w:tcPr>
          <w:p w14:paraId="60906C4C"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$2,420,630</w:t>
            </w:r>
          </w:p>
        </w:tc>
      </w:tr>
      <w:tr w:rsidR="006C08D5" w:rsidRPr="00873CA6" w14:paraId="6B6895F7" w14:textId="77777777" w:rsidTr="00876181">
        <w:trPr>
          <w:trHeight w:val="296"/>
        </w:trPr>
        <w:tc>
          <w:tcPr>
            <w:tcW w:w="1350" w:type="dxa"/>
            <w:vAlign w:val="center"/>
          </w:tcPr>
          <w:p w14:paraId="15DDCB9E"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w:t>
            </w:r>
            <w:r w:rsidRPr="00873CA6">
              <w:rPr>
                <w:rFonts w:ascii="Arial" w:hAnsi="Arial" w:cs="Arial"/>
                <w:sz w:val="18"/>
                <w:szCs w:val="18"/>
              </w:rPr>
              <w:t>1</w:t>
            </w:r>
          </w:p>
        </w:tc>
        <w:tc>
          <w:tcPr>
            <w:tcW w:w="1980" w:type="dxa"/>
            <w:vAlign w:val="center"/>
          </w:tcPr>
          <w:p w14:paraId="78D930CE"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$0</w:t>
            </w:r>
          </w:p>
        </w:tc>
        <w:tc>
          <w:tcPr>
            <w:tcW w:w="1980" w:type="dxa"/>
            <w:vAlign w:val="center"/>
          </w:tcPr>
          <w:p w14:paraId="3F3248D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$312,889</w:t>
            </w:r>
          </w:p>
        </w:tc>
        <w:tc>
          <w:tcPr>
            <w:tcW w:w="2070" w:type="dxa"/>
            <w:vAlign w:val="center"/>
          </w:tcPr>
          <w:p w14:paraId="07206F0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$0</w:t>
            </w:r>
          </w:p>
        </w:tc>
        <w:tc>
          <w:tcPr>
            <w:tcW w:w="1980" w:type="dxa"/>
            <w:vAlign w:val="center"/>
          </w:tcPr>
          <w:p w14:paraId="0250A8CE"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$312,889</w:t>
            </w:r>
          </w:p>
        </w:tc>
      </w:tr>
      <w:tr w:rsidR="006C08D5" w:rsidRPr="00873CA6" w14:paraId="28CAAEC1" w14:textId="77777777" w:rsidTr="00876181">
        <w:trPr>
          <w:trHeight w:val="296"/>
        </w:trPr>
        <w:tc>
          <w:tcPr>
            <w:tcW w:w="1350" w:type="dxa"/>
            <w:vAlign w:val="center"/>
          </w:tcPr>
          <w:p w14:paraId="264E083D"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980" w:type="dxa"/>
            <w:vAlign w:val="center"/>
          </w:tcPr>
          <w:p w14:paraId="1A9EDF1C"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$2,205,841</w:t>
            </w:r>
          </w:p>
        </w:tc>
        <w:tc>
          <w:tcPr>
            <w:tcW w:w="1980" w:type="dxa"/>
            <w:vAlign w:val="center"/>
          </w:tcPr>
          <w:p w14:paraId="5BE1EB92"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$4,059,947</w:t>
            </w:r>
          </w:p>
        </w:tc>
        <w:tc>
          <w:tcPr>
            <w:tcW w:w="2070" w:type="dxa"/>
            <w:vAlign w:val="center"/>
          </w:tcPr>
          <w:p w14:paraId="051714F0" w14:textId="77777777" w:rsidR="006C08D5" w:rsidRPr="00873CA6" w:rsidRDefault="006C08D5" w:rsidP="00876181">
            <w:pPr>
              <w:tabs>
                <w:tab w:val="decimal" w:pos="1293"/>
              </w:tabs>
              <w:spacing w:line="240" w:lineRule="auto"/>
              <w:rPr>
                <w:rFonts w:ascii="Arial" w:hAnsi="Arial" w:cs="Arial"/>
                <w:b/>
                <w:color w:val="000000"/>
                <w:sz w:val="18"/>
                <w:szCs w:val="18"/>
              </w:rPr>
            </w:pPr>
            <w:r>
              <w:rPr>
                <w:rFonts w:ascii="Arial" w:hAnsi="Arial" w:cs="Arial"/>
                <w:b/>
                <w:color w:val="000000"/>
                <w:sz w:val="18"/>
                <w:szCs w:val="18"/>
              </w:rPr>
              <w:t>$557,595</w:t>
            </w:r>
          </w:p>
        </w:tc>
        <w:tc>
          <w:tcPr>
            <w:tcW w:w="1980" w:type="dxa"/>
            <w:vAlign w:val="center"/>
          </w:tcPr>
          <w:p w14:paraId="618AE6F2"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$6,823,383</w:t>
            </w:r>
          </w:p>
        </w:tc>
      </w:tr>
    </w:tbl>
    <w:p w14:paraId="029ED79E" w14:textId="77777777" w:rsidR="006C08D5" w:rsidRDefault="006C08D5" w:rsidP="006C08D5">
      <w:pPr>
        <w:pStyle w:val="NormalSS"/>
        <w:ind w:firstLine="0"/>
        <w:rPr>
          <w:rFonts w:ascii="Arial Black" w:hAnsi="Arial Black"/>
          <w:sz w:val="22"/>
        </w:rPr>
      </w:pPr>
      <w:bookmarkStart w:id="26" w:name="_Toc476059365"/>
    </w:p>
    <w:p w14:paraId="63645D08" w14:textId="77777777" w:rsidR="00A45840" w:rsidRDefault="00A45840" w:rsidP="006C08D5">
      <w:pPr>
        <w:pStyle w:val="NormalSS"/>
        <w:ind w:firstLine="0"/>
        <w:rPr>
          <w:b/>
        </w:rPr>
      </w:pPr>
    </w:p>
    <w:p w14:paraId="1C51F06C" w14:textId="77777777" w:rsidR="00A45840" w:rsidRDefault="00A45840" w:rsidP="006C08D5">
      <w:pPr>
        <w:pStyle w:val="NormalSS"/>
        <w:ind w:firstLine="0"/>
        <w:rPr>
          <w:b/>
        </w:rPr>
      </w:pPr>
    </w:p>
    <w:p w14:paraId="004A3EE7" w14:textId="77777777" w:rsidR="007424E5" w:rsidRDefault="007424E5" w:rsidP="006C08D5">
      <w:pPr>
        <w:pStyle w:val="NormalSS"/>
        <w:ind w:firstLine="0"/>
        <w:rPr>
          <w:b/>
        </w:rPr>
      </w:pPr>
    </w:p>
    <w:p w14:paraId="3B5BC244" w14:textId="77777777" w:rsidR="007424E5" w:rsidRDefault="007424E5" w:rsidP="006C08D5">
      <w:pPr>
        <w:pStyle w:val="NormalSS"/>
        <w:ind w:firstLine="0"/>
        <w:rPr>
          <w:b/>
        </w:rPr>
      </w:pPr>
    </w:p>
    <w:p w14:paraId="4A3873D6" w14:textId="77777777" w:rsidR="007424E5" w:rsidRDefault="007424E5" w:rsidP="006C08D5">
      <w:pPr>
        <w:pStyle w:val="NormalSS"/>
        <w:ind w:firstLine="0"/>
        <w:rPr>
          <w:b/>
        </w:rPr>
      </w:pPr>
    </w:p>
    <w:p w14:paraId="72C0A564" w14:textId="77777777" w:rsidR="007424E5" w:rsidRDefault="007424E5" w:rsidP="006C08D5">
      <w:pPr>
        <w:pStyle w:val="NormalSS"/>
        <w:ind w:firstLine="0"/>
        <w:rPr>
          <w:b/>
        </w:rPr>
      </w:pPr>
    </w:p>
    <w:p w14:paraId="22C2700A" w14:textId="77777777" w:rsidR="006C08D5" w:rsidRDefault="006C08D5" w:rsidP="006C08D5">
      <w:pPr>
        <w:pStyle w:val="NormalSS"/>
        <w:ind w:firstLine="0"/>
        <w:rPr>
          <w:b/>
        </w:rPr>
      </w:pPr>
      <w:r>
        <w:rPr>
          <w:b/>
        </w:rPr>
        <w:t xml:space="preserve">Exhibit </w:t>
      </w:r>
      <w:r w:rsidRPr="005F0348">
        <w:rPr>
          <w:b/>
        </w:rPr>
        <w:t>A.</w:t>
      </w:r>
      <w:r>
        <w:rPr>
          <w:b/>
        </w:rPr>
        <w:t>7.2</w:t>
      </w:r>
      <w:r w:rsidRPr="005F0348">
        <w:rPr>
          <w:b/>
        </w:rPr>
        <w:t>.</w:t>
      </w:r>
      <w:r>
        <w:rPr>
          <w:b/>
        </w:rPr>
        <w:t xml:space="preserve"> POD Implementa</w:t>
      </w:r>
      <w:r w:rsidRPr="005F0348">
        <w:rPr>
          <w:b/>
        </w:rPr>
        <w:t>tion Team Costs</w:t>
      </w:r>
    </w:p>
    <w:tbl>
      <w:tblPr>
        <w:tblStyle w:val="TableGrid1"/>
        <w:tblW w:w="0" w:type="auto"/>
        <w:tblBorders>
          <w:bottom w:val="single" w:sz="4" w:space="0" w:color="auto"/>
        </w:tblBorders>
        <w:tblLook w:val="04A0" w:firstRow="1" w:lastRow="0" w:firstColumn="1" w:lastColumn="0" w:noHBand="0" w:noVBand="1"/>
      </w:tblPr>
      <w:tblGrid>
        <w:gridCol w:w="1350"/>
        <w:gridCol w:w="1980"/>
        <w:gridCol w:w="1980"/>
        <w:gridCol w:w="1980"/>
      </w:tblGrid>
      <w:tr w:rsidR="006C08D5" w:rsidRPr="00873CA6" w14:paraId="360AE648" w14:textId="77777777" w:rsidTr="00876181">
        <w:trPr>
          <w:trHeight w:val="296"/>
        </w:trPr>
        <w:tc>
          <w:tcPr>
            <w:tcW w:w="1350" w:type="dxa"/>
            <w:shd w:val="clear" w:color="auto" w:fill="6C6F70"/>
            <w:vAlign w:val="bottom"/>
          </w:tcPr>
          <w:p w14:paraId="1850E67C" w14:textId="77777777" w:rsidR="006C08D5" w:rsidRPr="00F312F2" w:rsidRDefault="006C08D5" w:rsidP="00876181">
            <w:pPr>
              <w:pStyle w:val="TableHeaderCenter"/>
            </w:pPr>
            <w:r w:rsidRPr="00F312F2">
              <w:t>Fiscal Year</w:t>
            </w:r>
          </w:p>
        </w:tc>
        <w:tc>
          <w:tcPr>
            <w:tcW w:w="1980" w:type="dxa"/>
            <w:shd w:val="clear" w:color="auto" w:fill="6C6F70"/>
            <w:vAlign w:val="bottom"/>
          </w:tcPr>
          <w:p w14:paraId="72A6EC06" w14:textId="77777777" w:rsidR="006C08D5" w:rsidRPr="00F312F2" w:rsidRDefault="006C08D5" w:rsidP="00876181">
            <w:pPr>
              <w:pStyle w:val="TableHeaderCenter"/>
            </w:pPr>
            <w:r w:rsidRPr="00D8542E">
              <w:rPr>
                <w:szCs w:val="18"/>
              </w:rPr>
              <w:t>POD Monthly Earnings and Impairment-Related Work Expenses (IRWE) Reporting Fo</w:t>
            </w:r>
            <w:r>
              <w:rPr>
                <w:szCs w:val="18"/>
              </w:rPr>
              <w:t>rm</w:t>
            </w:r>
          </w:p>
        </w:tc>
        <w:tc>
          <w:tcPr>
            <w:tcW w:w="1980" w:type="dxa"/>
            <w:shd w:val="clear" w:color="auto" w:fill="6C6F70"/>
            <w:vAlign w:val="bottom"/>
          </w:tcPr>
          <w:p w14:paraId="08B99F3D" w14:textId="77777777" w:rsidR="006C08D5" w:rsidRPr="00C77421" w:rsidRDefault="006C08D5" w:rsidP="00876181">
            <w:pPr>
              <w:pStyle w:val="TableHeaderCenter"/>
            </w:pPr>
            <w:r w:rsidRPr="006C08D5">
              <w:rPr>
                <w:rFonts w:cs="Arial"/>
                <w:color w:val="F2F2F2"/>
                <w:szCs w:val="18"/>
              </w:rPr>
              <w:t>POD End of Year Reporting (EOYR) Form</w:t>
            </w:r>
          </w:p>
        </w:tc>
        <w:tc>
          <w:tcPr>
            <w:tcW w:w="1980" w:type="dxa"/>
            <w:shd w:val="clear" w:color="auto" w:fill="6C6F70"/>
            <w:vAlign w:val="bottom"/>
          </w:tcPr>
          <w:p w14:paraId="541EA0C7" w14:textId="77777777" w:rsidR="006C08D5" w:rsidRPr="00CC3E67" w:rsidRDefault="006C08D5" w:rsidP="00876181">
            <w:pPr>
              <w:pStyle w:val="TableHeaderCenter"/>
            </w:pPr>
            <w:r w:rsidRPr="00CC3E67">
              <w:t>Total</w:t>
            </w:r>
          </w:p>
        </w:tc>
      </w:tr>
      <w:tr w:rsidR="006C08D5" w:rsidRPr="00873CA6" w14:paraId="67C91ED4" w14:textId="77777777" w:rsidTr="00876181">
        <w:trPr>
          <w:trHeight w:val="296"/>
        </w:trPr>
        <w:tc>
          <w:tcPr>
            <w:tcW w:w="1350" w:type="dxa"/>
            <w:vAlign w:val="center"/>
          </w:tcPr>
          <w:p w14:paraId="5B3138E3"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7</w:t>
            </w:r>
          </w:p>
        </w:tc>
        <w:tc>
          <w:tcPr>
            <w:tcW w:w="1980" w:type="dxa"/>
            <w:vAlign w:val="center"/>
          </w:tcPr>
          <w:p w14:paraId="0A60496A"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$205,278</w:t>
            </w:r>
          </w:p>
        </w:tc>
        <w:tc>
          <w:tcPr>
            <w:tcW w:w="1980" w:type="dxa"/>
            <w:vAlign w:val="center"/>
          </w:tcPr>
          <w:p w14:paraId="2AED1F0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$22,809</w:t>
            </w:r>
          </w:p>
        </w:tc>
        <w:tc>
          <w:tcPr>
            <w:tcW w:w="1980" w:type="dxa"/>
            <w:vAlign w:val="center"/>
          </w:tcPr>
          <w:p w14:paraId="65CC403C"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$228,087</w:t>
            </w:r>
          </w:p>
        </w:tc>
      </w:tr>
      <w:tr w:rsidR="006C08D5" w:rsidRPr="00873CA6" w14:paraId="3A05A1ED" w14:textId="77777777" w:rsidTr="00876181">
        <w:trPr>
          <w:trHeight w:val="296"/>
        </w:trPr>
        <w:tc>
          <w:tcPr>
            <w:tcW w:w="1350" w:type="dxa"/>
            <w:vAlign w:val="center"/>
          </w:tcPr>
          <w:p w14:paraId="29B08D79"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8</w:t>
            </w:r>
          </w:p>
        </w:tc>
        <w:tc>
          <w:tcPr>
            <w:tcW w:w="1980" w:type="dxa"/>
            <w:vAlign w:val="center"/>
          </w:tcPr>
          <w:p w14:paraId="7530285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$508,743</w:t>
            </w:r>
          </w:p>
        </w:tc>
        <w:tc>
          <w:tcPr>
            <w:tcW w:w="1980" w:type="dxa"/>
            <w:vAlign w:val="center"/>
          </w:tcPr>
          <w:p w14:paraId="53891D40"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$56,527</w:t>
            </w:r>
          </w:p>
        </w:tc>
        <w:tc>
          <w:tcPr>
            <w:tcW w:w="1980" w:type="dxa"/>
            <w:vAlign w:val="center"/>
          </w:tcPr>
          <w:p w14:paraId="4E33F33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$565,270</w:t>
            </w:r>
          </w:p>
        </w:tc>
      </w:tr>
      <w:tr w:rsidR="006C08D5" w:rsidRPr="00873CA6" w14:paraId="1099F63B" w14:textId="77777777" w:rsidTr="00876181">
        <w:trPr>
          <w:trHeight w:val="296"/>
        </w:trPr>
        <w:tc>
          <w:tcPr>
            <w:tcW w:w="1350" w:type="dxa"/>
            <w:vAlign w:val="center"/>
          </w:tcPr>
          <w:p w14:paraId="0521D5FF"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9</w:t>
            </w:r>
          </w:p>
        </w:tc>
        <w:tc>
          <w:tcPr>
            <w:tcW w:w="1980" w:type="dxa"/>
            <w:vAlign w:val="center"/>
          </w:tcPr>
          <w:p w14:paraId="7E1B4364"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659,072</w:t>
            </w:r>
          </w:p>
        </w:tc>
        <w:tc>
          <w:tcPr>
            <w:tcW w:w="1980" w:type="dxa"/>
            <w:vAlign w:val="center"/>
          </w:tcPr>
          <w:p w14:paraId="76F55686"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73,230</w:t>
            </w:r>
          </w:p>
        </w:tc>
        <w:tc>
          <w:tcPr>
            <w:tcW w:w="1980" w:type="dxa"/>
            <w:vAlign w:val="center"/>
          </w:tcPr>
          <w:p w14:paraId="3D0554FB"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732,302</w:t>
            </w:r>
          </w:p>
        </w:tc>
      </w:tr>
      <w:tr w:rsidR="006C08D5" w:rsidRPr="00873CA6" w14:paraId="490B7170" w14:textId="77777777" w:rsidTr="00876181">
        <w:trPr>
          <w:trHeight w:val="296"/>
        </w:trPr>
        <w:tc>
          <w:tcPr>
            <w:tcW w:w="1350" w:type="dxa"/>
            <w:vAlign w:val="center"/>
          </w:tcPr>
          <w:p w14:paraId="7D87EF20"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20</w:t>
            </w:r>
          </w:p>
        </w:tc>
        <w:tc>
          <w:tcPr>
            <w:tcW w:w="1980" w:type="dxa"/>
            <w:vAlign w:val="center"/>
          </w:tcPr>
          <w:p w14:paraId="62ED9995"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674,129</w:t>
            </w:r>
          </w:p>
        </w:tc>
        <w:tc>
          <w:tcPr>
            <w:tcW w:w="1980" w:type="dxa"/>
            <w:vAlign w:val="center"/>
          </w:tcPr>
          <w:p w14:paraId="5029C5D1"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74,903</w:t>
            </w:r>
          </w:p>
        </w:tc>
        <w:tc>
          <w:tcPr>
            <w:tcW w:w="1980" w:type="dxa"/>
            <w:vAlign w:val="center"/>
          </w:tcPr>
          <w:p w14:paraId="6D96B0D9"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749,032</w:t>
            </w:r>
          </w:p>
        </w:tc>
      </w:tr>
      <w:tr w:rsidR="006C08D5" w:rsidRPr="00873CA6" w14:paraId="2F7F1612" w14:textId="77777777" w:rsidTr="00876181">
        <w:trPr>
          <w:trHeight w:val="296"/>
        </w:trPr>
        <w:tc>
          <w:tcPr>
            <w:tcW w:w="1350" w:type="dxa"/>
            <w:vAlign w:val="center"/>
          </w:tcPr>
          <w:p w14:paraId="570BB239"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w:t>
            </w:r>
            <w:r w:rsidRPr="00873CA6">
              <w:rPr>
                <w:rFonts w:ascii="Arial" w:hAnsi="Arial" w:cs="Arial"/>
                <w:sz w:val="18"/>
                <w:szCs w:val="18"/>
              </w:rPr>
              <w:t>1</w:t>
            </w:r>
          </w:p>
        </w:tc>
        <w:tc>
          <w:tcPr>
            <w:tcW w:w="1980" w:type="dxa"/>
            <w:vAlign w:val="center"/>
          </w:tcPr>
          <w:p w14:paraId="76C11B0E"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350,076</w:t>
            </w:r>
          </w:p>
        </w:tc>
        <w:tc>
          <w:tcPr>
            <w:tcW w:w="1980" w:type="dxa"/>
            <w:vAlign w:val="center"/>
          </w:tcPr>
          <w:p w14:paraId="6937ECEE"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38,897</w:t>
            </w:r>
          </w:p>
        </w:tc>
        <w:tc>
          <w:tcPr>
            <w:tcW w:w="1980" w:type="dxa"/>
            <w:vAlign w:val="center"/>
          </w:tcPr>
          <w:p w14:paraId="2189689D"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388,973</w:t>
            </w:r>
          </w:p>
        </w:tc>
      </w:tr>
      <w:tr w:rsidR="006C08D5" w:rsidRPr="00873CA6" w14:paraId="6415B2DC" w14:textId="77777777" w:rsidTr="00876181">
        <w:trPr>
          <w:trHeight w:val="296"/>
        </w:trPr>
        <w:tc>
          <w:tcPr>
            <w:tcW w:w="1350" w:type="dxa"/>
            <w:vAlign w:val="center"/>
          </w:tcPr>
          <w:p w14:paraId="397E6B82"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980" w:type="dxa"/>
            <w:vAlign w:val="center"/>
          </w:tcPr>
          <w:p w14:paraId="41EF3231"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$2,397,298</w:t>
            </w:r>
          </w:p>
        </w:tc>
        <w:tc>
          <w:tcPr>
            <w:tcW w:w="1980" w:type="dxa"/>
            <w:vAlign w:val="center"/>
          </w:tcPr>
          <w:p w14:paraId="10656516"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w:t>
            </w:r>
          </w:p>
        </w:tc>
        <w:tc>
          <w:tcPr>
            <w:tcW w:w="1980" w:type="dxa"/>
            <w:vAlign w:val="center"/>
          </w:tcPr>
          <w:p w14:paraId="1CE3A3F5"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$2,663,664</w:t>
            </w:r>
          </w:p>
        </w:tc>
      </w:tr>
    </w:tbl>
    <w:p w14:paraId="2F7B9F5A" w14:textId="77777777" w:rsidR="006C08D5" w:rsidRDefault="006C08D5" w:rsidP="006C08D5">
      <w:pPr>
        <w:pStyle w:val="NormalSS"/>
        <w:ind w:firstLine="0"/>
      </w:pPr>
    </w:p>
    <w:p w14:paraId="0A4B2A0C" w14:textId="77777777" w:rsidR="006C08D5" w:rsidRPr="002956CA" w:rsidRDefault="006C08D5" w:rsidP="006C08D5">
      <w:pPr>
        <w:pStyle w:val="NormalSS"/>
        <w:ind w:firstLine="0"/>
        <w:rPr>
          <w:b/>
        </w:rPr>
      </w:pPr>
      <w:r>
        <w:rPr>
          <w:b/>
        </w:rPr>
        <w:t xml:space="preserve">Exhibit </w:t>
      </w:r>
      <w:r w:rsidRPr="002956CA">
        <w:rPr>
          <w:b/>
        </w:rPr>
        <w:t>A.7.3. Grand Total for Annual Data Collection Costs</w:t>
      </w:r>
    </w:p>
    <w:tbl>
      <w:tblPr>
        <w:tblStyle w:val="TableGrid1"/>
        <w:tblW w:w="0" w:type="auto"/>
        <w:tblBorders>
          <w:bottom w:val="single" w:sz="4" w:space="0" w:color="auto"/>
        </w:tblBorders>
        <w:tblLayout w:type="fixed"/>
        <w:tblLook w:val="04A0" w:firstRow="1" w:lastRow="0" w:firstColumn="1" w:lastColumn="0" w:noHBand="0" w:noVBand="1"/>
      </w:tblPr>
      <w:tblGrid>
        <w:gridCol w:w="810"/>
        <w:gridCol w:w="1440"/>
        <w:gridCol w:w="1440"/>
        <w:gridCol w:w="1530"/>
        <w:gridCol w:w="1230"/>
        <w:gridCol w:w="210"/>
        <w:gridCol w:w="1440"/>
        <w:gridCol w:w="1260"/>
      </w:tblGrid>
      <w:tr w:rsidR="006C08D5" w:rsidRPr="00873CA6" w14:paraId="73B0BA01" w14:textId="77777777" w:rsidTr="00876181">
        <w:trPr>
          <w:trHeight w:val="1908"/>
        </w:trPr>
        <w:tc>
          <w:tcPr>
            <w:tcW w:w="810" w:type="dxa"/>
            <w:shd w:val="clear" w:color="auto" w:fill="6C6F70"/>
            <w:vAlign w:val="bottom"/>
          </w:tcPr>
          <w:p w14:paraId="0098CEBA" w14:textId="77777777" w:rsidR="006C08D5" w:rsidRPr="00F312F2" w:rsidRDefault="006C08D5" w:rsidP="00876181">
            <w:pPr>
              <w:pStyle w:val="TableHeaderCenter"/>
            </w:pPr>
          </w:p>
        </w:tc>
        <w:tc>
          <w:tcPr>
            <w:tcW w:w="1440" w:type="dxa"/>
            <w:shd w:val="clear" w:color="auto" w:fill="6C6F70"/>
            <w:vAlign w:val="bottom"/>
          </w:tcPr>
          <w:p w14:paraId="013F6A2D" w14:textId="77777777" w:rsidR="006C08D5" w:rsidRPr="00F312F2" w:rsidRDefault="006C08D5" w:rsidP="00876181">
            <w:pPr>
              <w:pStyle w:val="TableHeaderCenter"/>
            </w:pPr>
            <w:r w:rsidRPr="00F312F2">
              <w:t>Qualitative Data Collection Cost</w:t>
            </w:r>
          </w:p>
        </w:tc>
        <w:tc>
          <w:tcPr>
            <w:tcW w:w="1440" w:type="dxa"/>
            <w:shd w:val="clear" w:color="auto" w:fill="6C6F70"/>
            <w:vAlign w:val="bottom"/>
          </w:tcPr>
          <w:p w14:paraId="78D8E117" w14:textId="77777777" w:rsidR="006C08D5" w:rsidRPr="00C77421" w:rsidRDefault="006C08D5" w:rsidP="00876181">
            <w:pPr>
              <w:pStyle w:val="TableHeaderCenter"/>
            </w:pPr>
            <w:r w:rsidRPr="00F312F2">
              <w:t>Survey Cost</w:t>
            </w:r>
          </w:p>
        </w:tc>
        <w:tc>
          <w:tcPr>
            <w:tcW w:w="1530" w:type="dxa"/>
            <w:shd w:val="clear" w:color="auto" w:fill="6C6F70"/>
            <w:vAlign w:val="bottom"/>
          </w:tcPr>
          <w:p w14:paraId="33402328" w14:textId="77777777" w:rsidR="006C08D5" w:rsidRPr="00C77421" w:rsidRDefault="006C08D5" w:rsidP="00876181">
            <w:pPr>
              <w:pStyle w:val="TableHeaderCenter"/>
            </w:pPr>
            <w:r w:rsidRPr="00C77421">
              <w:t>SMS and RAPTER Cost</w:t>
            </w:r>
          </w:p>
        </w:tc>
        <w:tc>
          <w:tcPr>
            <w:tcW w:w="1440" w:type="dxa"/>
            <w:gridSpan w:val="2"/>
            <w:shd w:val="clear" w:color="auto" w:fill="6C6F70"/>
          </w:tcPr>
          <w:p w14:paraId="3E918122" w14:textId="77777777" w:rsidR="006C08D5" w:rsidRPr="006C08D5" w:rsidRDefault="006C08D5" w:rsidP="00876181">
            <w:pPr>
              <w:pStyle w:val="TableHeaderCenter"/>
              <w:rPr>
                <w:rFonts w:cs="Arial"/>
                <w:color w:val="F2F2F2"/>
                <w:szCs w:val="18"/>
              </w:rPr>
            </w:pPr>
            <w:r w:rsidRPr="00D8542E">
              <w:rPr>
                <w:szCs w:val="18"/>
              </w:rPr>
              <w:t>POD Monthly Earnings and Impairment-Related Work Expenses (IRWE) Reporting Fo</w:t>
            </w:r>
            <w:r>
              <w:rPr>
                <w:szCs w:val="18"/>
              </w:rPr>
              <w:t>rm</w:t>
            </w:r>
          </w:p>
        </w:tc>
        <w:tc>
          <w:tcPr>
            <w:tcW w:w="1440" w:type="dxa"/>
            <w:shd w:val="clear" w:color="auto" w:fill="6C6F70"/>
          </w:tcPr>
          <w:p w14:paraId="6F13D9C1" w14:textId="77777777" w:rsidR="006C08D5" w:rsidRPr="00CC3E67" w:rsidRDefault="006C08D5" w:rsidP="00876181">
            <w:pPr>
              <w:pStyle w:val="TableHeaderCenter"/>
            </w:pPr>
            <w:r w:rsidRPr="006C08D5">
              <w:rPr>
                <w:rFonts w:cs="Arial"/>
                <w:color w:val="F2F2F2"/>
                <w:szCs w:val="18"/>
              </w:rPr>
              <w:t>POD End of Year Reporting (EOYR) Form</w:t>
            </w:r>
          </w:p>
        </w:tc>
        <w:tc>
          <w:tcPr>
            <w:tcW w:w="1260" w:type="dxa"/>
            <w:shd w:val="clear" w:color="auto" w:fill="6C6F70"/>
            <w:vAlign w:val="bottom"/>
          </w:tcPr>
          <w:p w14:paraId="6795AA3C" w14:textId="77777777" w:rsidR="006C08D5" w:rsidRPr="00CC3E67" w:rsidRDefault="006C08D5" w:rsidP="00876181">
            <w:pPr>
              <w:pStyle w:val="TableHeaderCenter"/>
            </w:pPr>
            <w:r w:rsidRPr="00CC3E67">
              <w:t>Total</w:t>
            </w:r>
          </w:p>
        </w:tc>
      </w:tr>
      <w:tr w:rsidR="006C08D5" w:rsidRPr="00873CA6" w14:paraId="5523B76D" w14:textId="77777777" w:rsidTr="00876181">
        <w:trPr>
          <w:trHeight w:val="296"/>
        </w:trPr>
        <w:tc>
          <w:tcPr>
            <w:tcW w:w="810" w:type="dxa"/>
            <w:vAlign w:val="center"/>
          </w:tcPr>
          <w:p w14:paraId="5DDC9C04"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440" w:type="dxa"/>
            <w:vAlign w:val="center"/>
          </w:tcPr>
          <w:p w14:paraId="735A35C5"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$2,205,841</w:t>
            </w:r>
          </w:p>
        </w:tc>
        <w:tc>
          <w:tcPr>
            <w:tcW w:w="1440" w:type="dxa"/>
            <w:vAlign w:val="center"/>
          </w:tcPr>
          <w:p w14:paraId="66CDAB1E"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$4,059,947</w:t>
            </w:r>
          </w:p>
        </w:tc>
        <w:tc>
          <w:tcPr>
            <w:tcW w:w="1530" w:type="dxa"/>
            <w:vAlign w:val="center"/>
          </w:tcPr>
          <w:p w14:paraId="7B2A951B" w14:textId="77777777" w:rsidR="006C08D5" w:rsidRPr="00873CA6" w:rsidRDefault="006C08D5" w:rsidP="00876181">
            <w:pPr>
              <w:tabs>
                <w:tab w:val="decimal" w:pos="1293"/>
              </w:tabs>
              <w:spacing w:line="240" w:lineRule="auto"/>
              <w:rPr>
                <w:rFonts w:ascii="Arial" w:hAnsi="Arial" w:cs="Arial"/>
                <w:b/>
                <w:color w:val="000000"/>
                <w:sz w:val="18"/>
                <w:szCs w:val="18"/>
              </w:rPr>
            </w:pPr>
            <w:r>
              <w:rPr>
                <w:rFonts w:ascii="Arial" w:hAnsi="Arial" w:cs="Arial"/>
                <w:b/>
                <w:color w:val="000000"/>
                <w:sz w:val="18"/>
                <w:szCs w:val="18"/>
              </w:rPr>
              <w:t>$557,595</w:t>
            </w:r>
          </w:p>
        </w:tc>
        <w:tc>
          <w:tcPr>
            <w:tcW w:w="1230" w:type="dxa"/>
          </w:tcPr>
          <w:p w14:paraId="2BA72CA3" w14:textId="77777777" w:rsidR="006C08D5"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$2,397,298</w:t>
            </w:r>
          </w:p>
        </w:tc>
        <w:tc>
          <w:tcPr>
            <w:tcW w:w="1650" w:type="dxa"/>
            <w:gridSpan w:val="2"/>
          </w:tcPr>
          <w:p w14:paraId="47683E8F" w14:textId="77777777" w:rsidR="006C08D5"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w:t>
            </w:r>
          </w:p>
        </w:tc>
        <w:tc>
          <w:tcPr>
            <w:tcW w:w="1260" w:type="dxa"/>
            <w:vAlign w:val="center"/>
          </w:tcPr>
          <w:p w14:paraId="0534C985"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$9,487,047</w:t>
            </w:r>
          </w:p>
        </w:tc>
      </w:tr>
    </w:tbl>
    <w:p w14:paraId="5640AEB5" w14:textId="77777777" w:rsidR="006C08D5" w:rsidRPr="005F0348" w:rsidRDefault="006C08D5" w:rsidP="006C08D5">
      <w:pPr>
        <w:pStyle w:val="NormalSS"/>
        <w:ind w:firstLine="0"/>
      </w:pPr>
    </w:p>
    <w:p w14:paraId="0A7B34FE" w14:textId="77777777" w:rsidR="006C08D5" w:rsidRDefault="006C08D5" w:rsidP="006C08D5">
      <w:pPr>
        <w:pStyle w:val="H3Alpha"/>
        <w:spacing w:before="240"/>
      </w:pPr>
      <w:r>
        <w:t>A.15. Program changes or adjustments to the information collection request</w:t>
      </w:r>
      <w:bookmarkEnd w:id="26"/>
    </w:p>
    <w:p w14:paraId="33ACA295" w14:textId="77777777" w:rsidR="006C08D5" w:rsidRDefault="006C08D5" w:rsidP="006C08D5">
      <w:pPr>
        <w:pStyle w:val="NormalSS"/>
      </w:pPr>
      <w:r w:rsidRPr="006024FD">
        <w:rPr>
          <w:szCs w:val="24"/>
        </w:rPr>
        <w:t xml:space="preserve">This new demonstration project increases the public reporting burden.  See #12 </w:t>
      </w:r>
      <w:r>
        <w:rPr>
          <w:szCs w:val="24"/>
        </w:rPr>
        <w:t xml:space="preserve">above </w:t>
      </w:r>
      <w:r w:rsidRPr="006024FD">
        <w:rPr>
          <w:szCs w:val="24"/>
        </w:rPr>
        <w:t>for updated burden figures.</w:t>
      </w:r>
    </w:p>
    <w:p w14:paraId="00E5EB59" w14:textId="77777777" w:rsidR="006C08D5" w:rsidRDefault="006C08D5" w:rsidP="006C08D5">
      <w:pPr>
        <w:pStyle w:val="H3Alpha"/>
      </w:pPr>
      <w:bookmarkStart w:id="27" w:name="_Toc476059366"/>
      <w:r w:rsidRPr="00A23CD3">
        <w:t>A.16. Plans for public information collection results</w:t>
      </w:r>
      <w:bookmarkEnd w:id="27"/>
    </w:p>
    <w:p w14:paraId="0F82782C" w14:textId="77777777" w:rsidR="006C08D5" w:rsidRDefault="006C08D5" w:rsidP="006C08D5">
      <w:pPr>
        <w:pStyle w:val="NormalSS"/>
      </w:pPr>
      <w:r>
        <w:t>The POD evaluation will analyze, tabulate, and report the data collected for the POD evaluation. We may publicize these findings may after SSA reviews them.</w:t>
      </w:r>
    </w:p>
    <w:p w14:paraId="1B48E45D" w14:textId="77777777" w:rsidR="006C08D5" w:rsidRDefault="006C08D5" w:rsidP="006C08D5">
      <w:pPr>
        <w:pStyle w:val="H4NumberNoTOC"/>
      </w:pPr>
      <w:r>
        <w:t>A.16.1. Time schedule for analysis and reporting</w:t>
      </w:r>
    </w:p>
    <w:p w14:paraId="566D817D" w14:textId="2D7FE203" w:rsidR="006C08D5" w:rsidRDefault="006C08D5" w:rsidP="006C08D5">
      <w:pPr>
        <w:pStyle w:val="NormalSS"/>
      </w:pPr>
      <w:r>
        <w:t xml:space="preserve">The expected period of survey data collection for POD subjects is from October 2017 to March 2021, beginning with recruitment and the baseline survey that will start in October 2017, and </w:t>
      </w:r>
      <w:r w:rsidRPr="0054319B">
        <w:rPr>
          <w:noProof/>
        </w:rPr>
        <w:t>end</w:t>
      </w:r>
      <w:r>
        <w:t xml:space="preserve"> with the final follow-up interviews in March 2021.  The POD evaluation team will analyze these data and produce major reports from the outcome surveys in July 2018 (early assessment report); April 2019 (recruitment and random assignment analysis report); and February 2020 (interim impact report), and complete a final report on the POD evaluation in June 2021.  The survey data collection and reporting schedule is as follows:</w:t>
      </w:r>
    </w:p>
    <w:p w14:paraId="420D755C" w14:textId="77777777" w:rsidR="006C08D5" w:rsidRDefault="006C08D5" w:rsidP="006C08D5">
      <w:pPr>
        <w:pStyle w:val="NormalSS"/>
        <w:tabs>
          <w:tab w:val="left" w:pos="2520"/>
        </w:tabs>
        <w:spacing w:after="0"/>
      </w:pPr>
      <w:r>
        <w:t>Data collection:</w:t>
      </w:r>
      <w:r>
        <w:tab/>
        <w:t>Four years from October 2017 to March 2021</w:t>
      </w:r>
    </w:p>
    <w:p w14:paraId="195C1D98" w14:textId="77777777" w:rsidR="006C08D5" w:rsidRDefault="006C08D5" w:rsidP="006C08D5">
      <w:pPr>
        <w:pStyle w:val="NormalSS"/>
        <w:tabs>
          <w:tab w:val="left" w:pos="2520"/>
        </w:tabs>
        <w:spacing w:after="0"/>
      </w:pPr>
      <w:r>
        <w:t>Data analysis:</w:t>
      </w:r>
      <w:r>
        <w:tab/>
        <w:t>Three years from spring 2018 to June 2021</w:t>
      </w:r>
    </w:p>
    <w:p w14:paraId="7DE81B85" w14:textId="77777777" w:rsidR="006C08D5" w:rsidRDefault="006C08D5" w:rsidP="006C08D5">
      <w:pPr>
        <w:pStyle w:val="NormalSS"/>
        <w:tabs>
          <w:tab w:val="left" w:pos="2520"/>
        </w:tabs>
        <w:spacing w:after="0"/>
      </w:pPr>
      <w:r>
        <w:t>Interim reports:</w:t>
      </w:r>
      <w:r>
        <w:tab/>
        <w:t>July 2018, April 2019, February 2020</w:t>
      </w:r>
    </w:p>
    <w:p w14:paraId="4C74AC36" w14:textId="77777777" w:rsidR="006C08D5" w:rsidRPr="006F7196" w:rsidRDefault="006C08D5" w:rsidP="006F7196">
      <w:pPr>
        <w:tabs>
          <w:tab w:val="left" w:pos="2520"/>
          <w:tab w:val="right" w:pos="9360"/>
        </w:tabs>
        <w:spacing w:line="240" w:lineRule="auto"/>
        <w:ind w:left="450"/>
        <w:rPr>
          <w:rFonts w:ascii="Times New Roman" w:hAnsi="Times New Roman"/>
          <w:sz w:val="24"/>
          <w:szCs w:val="24"/>
        </w:rPr>
      </w:pPr>
      <w:r w:rsidRPr="006F7196">
        <w:rPr>
          <w:rFonts w:ascii="Times New Roman" w:hAnsi="Times New Roman"/>
          <w:sz w:val="24"/>
          <w:szCs w:val="24"/>
        </w:rPr>
        <w:t>Policy briefs:</w:t>
      </w:r>
      <w:r w:rsidRPr="006F7196">
        <w:rPr>
          <w:rFonts w:ascii="Times New Roman" w:hAnsi="Times New Roman"/>
          <w:sz w:val="24"/>
          <w:szCs w:val="24"/>
        </w:rPr>
        <w:tab/>
        <w:t>Periodically from May 2018 to November 2021 (eight total)</w:t>
      </w:r>
    </w:p>
    <w:p w14:paraId="32FF66DD" w14:textId="77777777" w:rsidR="006C08D5" w:rsidRDefault="006C08D5" w:rsidP="006C08D5">
      <w:pPr>
        <w:pStyle w:val="NormalSS"/>
        <w:tabs>
          <w:tab w:val="left" w:pos="2520"/>
        </w:tabs>
      </w:pPr>
      <w:r>
        <w:t>Final report:</w:t>
      </w:r>
      <w:r>
        <w:tab/>
        <w:t>June 2021</w:t>
      </w:r>
    </w:p>
    <w:p w14:paraId="0B19FE8F" w14:textId="77777777" w:rsidR="006C08D5" w:rsidRDefault="006C08D5" w:rsidP="006C08D5">
      <w:pPr>
        <w:pStyle w:val="H4NumberNoTOC"/>
      </w:pPr>
      <w:r>
        <w:t>A.16.2. Analytic techniques, tabulations, and reporting</w:t>
      </w:r>
    </w:p>
    <w:p w14:paraId="7F47785B" w14:textId="77777777" w:rsidR="006C08D5" w:rsidRDefault="006C08D5" w:rsidP="006C08D5">
      <w:pPr>
        <w:pStyle w:val="NormalSS"/>
      </w:pPr>
      <w:r>
        <w:t>With the POD evaluation findings, SSA will be able to advise federal policymakers and state administrators on changes to existing SSDI program rules and simplification of work incentives that could encourage people to work and decrease their dependence on disability and other public benefits.  In fostering work efforts, the goal is to implement program changes, which produce savings to the federal government and improve program administration.  The impact evaluation reports will include information about all the demonstration’s impacts and integrated findings from the process, participation, and, in the final report, cost-benefit analysis.  In developing the reports, the POD evaluation team will synthesize information across the process, participation, and impact analyses to develop a cohesive understanding of how the POD benefit offset affected subjects.</w:t>
      </w:r>
    </w:p>
    <w:p w14:paraId="73E1350A" w14:textId="77777777" w:rsidR="006C08D5" w:rsidRPr="00C71C6C" w:rsidRDefault="006C08D5" w:rsidP="006C08D5">
      <w:pPr>
        <w:pStyle w:val="NormalSS"/>
      </w:pPr>
      <w:r>
        <w:rPr>
          <w:b/>
        </w:rPr>
        <w:t>Interim reports.</w:t>
      </w:r>
      <w:r>
        <w:t xml:space="preserve">  Mathematica will produce three interim reports to keep SSA and its stakeholders informed of results from the demonstration:  (1) an early assessment report; (2) a recruitment and random assignment report; and (3) a report on interim impacts.  In both of the first two reports, the POD evaluation team will present key findings from the process and participation analyses.  The evaluation team will use the </w:t>
      </w:r>
      <w:r w:rsidRPr="00162623">
        <w:t xml:space="preserve">early assessment report </w:t>
      </w:r>
      <w:r>
        <w:t xml:space="preserve">to understand </w:t>
      </w:r>
      <w:r w:rsidRPr="00162623">
        <w:t>POD’s implementation successes and challenges</w:t>
      </w:r>
      <w:r w:rsidRPr="00CF0FA1">
        <w:t xml:space="preserve"> </w:t>
      </w:r>
      <w:r w:rsidRPr="00162623">
        <w:t xml:space="preserve">early in the demonstration period, </w:t>
      </w:r>
      <w:r>
        <w:t xml:space="preserve">making </w:t>
      </w:r>
      <w:r w:rsidRPr="00162623">
        <w:t>recommendations for corrective acti</w:t>
      </w:r>
      <w:r>
        <w:t>on to improve service delivery.  They will develop t</w:t>
      </w:r>
      <w:r w:rsidRPr="00162623">
        <w:t xml:space="preserve">he recruitment and random assignment analysis report </w:t>
      </w:r>
      <w:r>
        <w:t xml:space="preserve">to </w:t>
      </w:r>
      <w:r w:rsidRPr="00162623">
        <w:t>include a more summative assessment of recruiting activitie</w:t>
      </w:r>
      <w:r>
        <w:t>s;</w:t>
      </w:r>
      <w:r w:rsidRPr="00162623">
        <w:t xml:space="preserve"> the characteristics of </w:t>
      </w:r>
      <w:r>
        <w:t xml:space="preserve">participants and </w:t>
      </w:r>
      <w:r w:rsidRPr="00162623">
        <w:t>n</w:t>
      </w:r>
      <w:r>
        <w:t xml:space="preserve">onparticipants; and information about early participation patterns that </w:t>
      </w:r>
      <w:r w:rsidRPr="00162623">
        <w:t xml:space="preserve">can further inform service </w:t>
      </w:r>
      <w:r>
        <w:t>delivery and</w:t>
      </w:r>
      <w:r w:rsidRPr="00162623">
        <w:t xml:space="preserve"> provide potential insights into the trajectory of early impact findings.</w:t>
      </w:r>
      <w:r>
        <w:t xml:space="preserve">  T</w:t>
      </w:r>
      <w:r w:rsidRPr="00CF0FA1">
        <w:t xml:space="preserve">he </w:t>
      </w:r>
      <w:r>
        <w:t xml:space="preserve">POD </w:t>
      </w:r>
      <w:r w:rsidRPr="00CF0FA1">
        <w:t>evaluation team</w:t>
      </w:r>
      <w:r>
        <w:t xml:space="preserve"> will write t</w:t>
      </w:r>
      <w:r w:rsidRPr="00583240">
        <w:t xml:space="preserve">he </w:t>
      </w:r>
      <w:r>
        <w:t xml:space="preserve">report on </w:t>
      </w:r>
      <w:r w:rsidRPr="00583240">
        <w:t xml:space="preserve">interim </w:t>
      </w:r>
      <w:r>
        <w:t xml:space="preserve">impacts to present early findings on the quantitative effects of the treatment offered through </w:t>
      </w:r>
      <w:r w:rsidRPr="0054319B">
        <w:rPr>
          <w:noProof/>
        </w:rPr>
        <w:t>POD</w:t>
      </w:r>
      <w:r>
        <w:t>.  In this initial assessment of POD, Mathematica will focus on impacts for outcomes measured during the first year after random assignment (</w:t>
      </w:r>
      <w:r w:rsidRPr="00583240">
        <w:t>Year 1 impacts</w:t>
      </w:r>
      <w:r>
        <w:t xml:space="preserve">), integrating </w:t>
      </w:r>
      <w:r w:rsidRPr="00D55B91">
        <w:t>findings from the process and participation analysi</w:t>
      </w:r>
      <w:r>
        <w:t>s to understand the emerging findings better</w:t>
      </w:r>
      <w:r w:rsidRPr="00583240">
        <w:t>.</w:t>
      </w:r>
    </w:p>
    <w:p w14:paraId="21BCB5BF" w14:textId="3022276F" w:rsidR="006C08D5" w:rsidRPr="00353A21" w:rsidRDefault="006C08D5" w:rsidP="006C08D5">
      <w:pPr>
        <w:pStyle w:val="NormalSS"/>
      </w:pPr>
      <w:r w:rsidRPr="00353A21">
        <w:rPr>
          <w:b/>
        </w:rPr>
        <w:t>Policy briefs.</w:t>
      </w:r>
      <w:r w:rsidRPr="00353A21">
        <w:t xml:space="preserve"> </w:t>
      </w:r>
      <w:r>
        <w:t xml:space="preserve"> The POD evaluation team</w:t>
      </w:r>
      <w:r w:rsidRPr="00353A21">
        <w:t xml:space="preserve"> will develop </w:t>
      </w:r>
      <w:r w:rsidRPr="009E749C">
        <w:t>eight</w:t>
      </w:r>
      <w:r w:rsidRPr="00353A21">
        <w:t xml:space="preserve"> policy briefs on special topics related to the POD study and issues that emerge during the implementation period. </w:t>
      </w:r>
      <w:r>
        <w:t xml:space="preserve"> </w:t>
      </w:r>
      <w:r w:rsidRPr="00353A21">
        <w:t>They will develop the briefs to keep SSA</w:t>
      </w:r>
      <w:r>
        <w:t>’s</w:t>
      </w:r>
      <w:r w:rsidRPr="00353A21">
        <w:t xml:space="preserve"> stakeholders appraised of emerging findings</w:t>
      </w:r>
      <w:r>
        <w:t xml:space="preserve"> from the evaluation;</w:t>
      </w:r>
      <w:r w:rsidRPr="00353A21">
        <w:t xml:space="preserve"> summarize information from the interim and final rep</w:t>
      </w:r>
      <w:r>
        <w:t xml:space="preserve">orts in a more succinct </w:t>
      </w:r>
      <w:r w:rsidRPr="0054319B">
        <w:rPr>
          <w:noProof/>
        </w:rPr>
        <w:t>fashion</w:t>
      </w:r>
      <w:r w:rsidR="0054319B">
        <w:rPr>
          <w:noProof/>
        </w:rPr>
        <w:t>,</w:t>
      </w:r>
      <w:r w:rsidRPr="0054319B">
        <w:rPr>
          <w:noProof/>
        </w:rPr>
        <w:t xml:space="preserve"> and</w:t>
      </w:r>
      <w:r w:rsidRPr="00353A21">
        <w:t xml:space="preserve"> provide results from exploratory analyses that go beyond the main reports. </w:t>
      </w:r>
      <w:r>
        <w:t xml:space="preserve"> Potential topics </w:t>
      </w:r>
      <w:r w:rsidRPr="00353A21">
        <w:t>these briefs could cover include innovative program practices identified t</w:t>
      </w:r>
      <w:r>
        <w:t>hrough the implementation study;</w:t>
      </w:r>
      <w:r w:rsidRPr="00353A21">
        <w:t xml:space="preserve"> lessons learned from conducting recruitment or oth</w:t>
      </w:r>
      <w:r>
        <w:t>er components of the evaluation;</w:t>
      </w:r>
      <w:r w:rsidRPr="00353A21">
        <w:t xml:space="preserve"> and differential effects of the benefit-offset policies across beneficiary subpopulations. </w:t>
      </w:r>
      <w:r>
        <w:t xml:space="preserve"> The evaluation team</w:t>
      </w:r>
      <w:r w:rsidRPr="00353A21">
        <w:t xml:space="preserve"> will refine the list of topics for the policy briefs as findings from the evaluation emerge.</w:t>
      </w:r>
    </w:p>
    <w:p w14:paraId="5F9536A1" w14:textId="0C33EB7B" w:rsidR="006C08D5" w:rsidRDefault="006C08D5" w:rsidP="006C08D5">
      <w:pPr>
        <w:pStyle w:val="NormalSS"/>
      </w:pPr>
      <w:r>
        <w:rPr>
          <w:b/>
        </w:rPr>
        <w:t xml:space="preserve">Final report.  </w:t>
      </w:r>
      <w:r>
        <w:t xml:space="preserve">The POD evaluation team will write the final report to provide a summative evaluation of all demonstration activities, including whether POD met its ultimate objectives. Their analysis for this report will include both Year 1 impacts and impacts </w:t>
      </w:r>
      <w:r w:rsidR="0054319B">
        <w:rPr>
          <w:noProof/>
        </w:rPr>
        <w:t>on</w:t>
      </w:r>
      <w:r>
        <w:t xml:space="preserve"> outcomes measured during the second year after random assignment (Year 2 impacts).  They will also provide a synthesis of contextual and administrative factors that inhibited or facilitated implementation of the offset and benefits counseling services.  This information will help inform the discussion of potential system changes, for example, in benefit-processing operations, overpayment identification, and interactions with state agencies and beneficiaries, to consider if the SSA were to implement the POD offset at scale.  In addition, the POD evaluation team will include a final summary of the participation rates </w:t>
      </w:r>
      <w:r w:rsidR="0054319B">
        <w:rPr>
          <w:noProof/>
        </w:rPr>
        <w:t>of</w:t>
      </w:r>
      <w:r>
        <w:t xml:space="preserve"> all benefits counseling activities and in the offset.  Furthermore, they will include in the report a consideration of how and why the demonstration produced its particular impacts based on differences identified in participation and processes across states, sites, and subgroups.  For this report, the evaluation team will also include an assessment of the potential effects of a broader implementation of the POD treatments.  Finally, they will develop for this report a systematic understanding of the perceived value of the POD offset from the perspectives of administrators, beneficiaries, and other SSA stakeholders.  This information will provide important context for the cost-benefit analysis, which will provide estimates of POD’s costs and benefits from the perspectives of multiple stakeholders, with</w:t>
      </w:r>
      <w:r w:rsidR="0054319B">
        <w:t xml:space="preserve"> a</w:t>
      </w:r>
      <w:r>
        <w:t xml:space="preserve"> </w:t>
      </w:r>
      <w:r w:rsidRPr="0054319B">
        <w:rPr>
          <w:noProof/>
        </w:rPr>
        <w:t>particular</w:t>
      </w:r>
      <w:r>
        <w:t xml:space="preserve"> focus on outcomes for beneficiaries and the SSDI trust fund.</w:t>
      </w:r>
    </w:p>
    <w:p w14:paraId="7A5D9AF2" w14:textId="77777777" w:rsidR="006C08D5" w:rsidRDefault="006C08D5" w:rsidP="006C08D5">
      <w:pPr>
        <w:pStyle w:val="NormalSS"/>
      </w:pPr>
      <w:r>
        <w:rPr>
          <w:b/>
        </w:rPr>
        <w:t xml:space="preserve">Analytic techniques.  </w:t>
      </w:r>
      <w:r>
        <w:t xml:space="preserve">Given the random assignment design, the impact analysis will focus on differences in the outcomes of subjects between the two treatment groups and the control group using a regression framework to control for other explanatory variables.  The POD evaluation team will use </w:t>
      </w:r>
      <w:r w:rsidR="006F7196">
        <w:t>a regression-adjusted comparison</w:t>
      </w:r>
      <w:r>
        <w:t xml:space="preserve"> of treatment group subjects to control group subjects to address the impact of the intervention on subjects’ education, labor market, and other outcomes.  Unadjusted comparisons of the treatment and control groups should tend to yield unbiased impacts estimates with high survey response rates, but regression adjustment will improve the precision of the estimates and guard against potential small-sample imbalances.  The evaluation team will also use regression-adjusted comparisons of subgroups of the treatment and control groups, defining subgroups by pre-randomization characteristics (for example, age, race, gender, and type of disability).  See Part B of this supporting statement for additional details about the statistical techniques that the POD evaluation team plans to use.</w:t>
      </w:r>
    </w:p>
    <w:p w14:paraId="740E3BA9" w14:textId="77777777" w:rsidR="006C08D5" w:rsidRDefault="006C08D5" w:rsidP="006C08D5">
      <w:pPr>
        <w:pStyle w:val="NormalSS"/>
      </w:pPr>
      <w:r>
        <w:t xml:space="preserve">The evaluator will also analyze the information from the staff interviews and observations of site operations to prepare reports that contain the findings and their program and policy implications.  The POD </w:t>
      </w:r>
      <w:r w:rsidRPr="00D666DD">
        <w:t xml:space="preserve">evaluation </w:t>
      </w:r>
      <w:r>
        <w:t xml:space="preserve">team will not use complex quantitative techniques to analyze the qualitative data from these collections; (Part B provides additional information about the analytic methods that the evaluation team will use.)  Products resulting from information obtained in this data collection will provide SSA and its stakeholders with information about recruitment, enrollment, early service provision, and the fidelity of implementation for the first half of the intake period. </w:t>
      </w:r>
    </w:p>
    <w:p w14:paraId="6113A513" w14:textId="77777777" w:rsidR="006C08D5" w:rsidRDefault="006C08D5" w:rsidP="006C08D5">
      <w:pPr>
        <w:pStyle w:val="H3Alpha"/>
      </w:pPr>
      <w:bookmarkStart w:id="28" w:name="_Toc476059367"/>
      <w:r>
        <w:t>A.17. Displaying the OMB approval expiration date</w:t>
      </w:r>
      <w:bookmarkEnd w:id="28"/>
    </w:p>
    <w:p w14:paraId="49B0AC48" w14:textId="77777777" w:rsidR="006C08D5" w:rsidRDefault="006C08D5" w:rsidP="006C08D5">
      <w:pPr>
        <w:pStyle w:val="NormalSS"/>
      </w:pPr>
      <w:r>
        <w:t xml:space="preserve">SSA is not requesting an exception to the requirement to display the OMB approval expiration date.  The POD </w:t>
      </w:r>
      <w:r w:rsidRPr="00D666DD">
        <w:t>evaluation</w:t>
      </w:r>
      <w:r>
        <w:t xml:space="preserve"> and implementation</w:t>
      </w:r>
      <w:r w:rsidRPr="00D666DD">
        <w:t xml:space="preserve"> </w:t>
      </w:r>
      <w:r>
        <w:t xml:space="preserve">teams will display the OMB expiration date on all site visit materials, recruitment materials, forms, and surveys. </w:t>
      </w:r>
    </w:p>
    <w:p w14:paraId="19CE32F4" w14:textId="77777777" w:rsidR="006C08D5" w:rsidRDefault="006C08D5" w:rsidP="006C08D5">
      <w:pPr>
        <w:pStyle w:val="H3Alpha"/>
      </w:pPr>
      <w:bookmarkStart w:id="29" w:name="_Toc476059368"/>
      <w:r>
        <w:t>A.18. Exception to certification statement</w:t>
      </w:r>
      <w:bookmarkEnd w:id="29"/>
    </w:p>
    <w:p w14:paraId="16858A98" w14:textId="77777777" w:rsidR="006C08D5" w:rsidRDefault="006C08D5" w:rsidP="006C08D5">
      <w:pPr>
        <w:pStyle w:val="NormalSS"/>
      </w:pPr>
      <w:r>
        <w:t>SSA is not requesting an exception to the c</w:t>
      </w:r>
      <w:r w:rsidRPr="00F03DDD">
        <w:t xml:space="preserve">ertification requirements at </w:t>
      </w:r>
      <w:r w:rsidRPr="000A3A64">
        <w:rPr>
          <w:i/>
        </w:rPr>
        <w:t>5 CFR 1320.9</w:t>
      </w:r>
      <w:r w:rsidRPr="00F03DDD">
        <w:t xml:space="preserve"> and related provisions at </w:t>
      </w:r>
      <w:r w:rsidRPr="000A3A64">
        <w:rPr>
          <w:i/>
        </w:rPr>
        <w:t>5 CFR 1320.8(b)(3)</w:t>
      </w:r>
      <w:r w:rsidRPr="00CB7F0E">
        <w:t>.</w:t>
      </w:r>
    </w:p>
    <w:p w14:paraId="1C22956E" w14:textId="77777777" w:rsidR="006C08D5" w:rsidRDefault="006C08D5" w:rsidP="006C08D5">
      <w:pPr>
        <w:spacing w:after="240" w:line="240" w:lineRule="auto"/>
      </w:pPr>
      <w:r>
        <w:br w:type="page"/>
      </w:r>
    </w:p>
    <w:p w14:paraId="75CB56E1" w14:textId="77777777" w:rsidR="006C08D5" w:rsidRDefault="006C08D5" w:rsidP="006C08D5">
      <w:pPr>
        <w:pStyle w:val="H2Chapter"/>
      </w:pPr>
      <w:bookmarkStart w:id="30" w:name="_Toc476059369"/>
      <w:r>
        <w:t>References</w:t>
      </w:r>
      <w:bookmarkEnd w:id="30"/>
    </w:p>
    <w:p w14:paraId="2C10F769" w14:textId="77777777" w:rsidR="00BF2823" w:rsidRPr="00BD46F9" w:rsidRDefault="00BF2823" w:rsidP="007424E5">
      <w:pPr>
        <w:pStyle w:val="References"/>
        <w:spacing w:after="120"/>
        <w:ind w:left="720" w:hanging="720"/>
        <w:rPr>
          <w:szCs w:val="24"/>
        </w:rPr>
      </w:pPr>
      <w:r w:rsidRPr="002940B0">
        <w:rPr>
          <w:szCs w:val="24"/>
        </w:rPr>
        <w:t xml:space="preserve">Autor, David H., </w:t>
      </w:r>
      <w:r w:rsidRPr="00BD46F9">
        <w:rPr>
          <w:szCs w:val="24"/>
        </w:rPr>
        <w:t xml:space="preserve">and Mark G. Duggan. “The Growth in the Social Security Disability Rolls: A Fiscal Crisis Unfolding.” </w:t>
      </w:r>
      <w:r w:rsidRPr="001B51E8">
        <w:rPr>
          <w:i/>
          <w:szCs w:val="24"/>
        </w:rPr>
        <w:t>The Journal of Economic Perspectives,</w:t>
      </w:r>
      <w:r w:rsidRPr="00BD46F9">
        <w:rPr>
          <w:szCs w:val="24"/>
        </w:rPr>
        <w:t xml:space="preserve"> vol. 20, no. 3, 2006, pp. 71–96.</w:t>
      </w:r>
    </w:p>
    <w:p w14:paraId="21F03F3A" w14:textId="21BB4889" w:rsidR="00BF2823" w:rsidRPr="00BF2823" w:rsidRDefault="00BF2823" w:rsidP="00EC13A6">
      <w:pPr>
        <w:pStyle w:val="citation"/>
        <w:spacing w:before="0" w:beforeAutospacing="0" w:after="120" w:afterAutospacing="0"/>
        <w:ind w:left="720" w:hanging="720"/>
        <w:jc w:val="both"/>
      </w:pPr>
      <w:r w:rsidRPr="00BF2823">
        <w:t>Berkowitz</w:t>
      </w:r>
      <w:r w:rsidR="003A05D6">
        <w:t>,</w:t>
      </w:r>
      <w:r w:rsidRPr="00BF2823">
        <w:t xml:space="preserve"> M</w:t>
      </w:r>
      <w:r w:rsidR="003A05D6">
        <w:t>.</w:t>
      </w:r>
      <w:r w:rsidRPr="00BF2823">
        <w:t xml:space="preserve"> </w:t>
      </w:r>
      <w:r w:rsidR="003A05D6">
        <w:t>“</w:t>
      </w:r>
      <w:r w:rsidRPr="00BF2823">
        <w:t xml:space="preserve">The </w:t>
      </w:r>
      <w:r w:rsidR="003A05D6">
        <w:t>T</w:t>
      </w:r>
      <w:r w:rsidRPr="00BF2823">
        <w:t xml:space="preserve">icket to </w:t>
      </w:r>
      <w:r w:rsidR="003A05D6">
        <w:t>W</w:t>
      </w:r>
      <w:r w:rsidRPr="00BF2823">
        <w:t xml:space="preserve">ork </w:t>
      </w:r>
      <w:r w:rsidR="003A05D6">
        <w:t>P</w:t>
      </w:r>
      <w:r w:rsidRPr="00BF2823">
        <w:t xml:space="preserve">rogram: </w:t>
      </w:r>
      <w:r w:rsidR="003A05D6">
        <w:t>T</w:t>
      </w:r>
      <w:r w:rsidRPr="00BF2823">
        <w:t xml:space="preserve">he </w:t>
      </w:r>
      <w:r w:rsidR="003A05D6">
        <w:t>C</w:t>
      </w:r>
      <w:r w:rsidRPr="00BF2823">
        <w:t xml:space="preserve">omplicated </w:t>
      </w:r>
      <w:r w:rsidR="003A05D6">
        <w:t>E</w:t>
      </w:r>
      <w:r w:rsidRPr="00BF2823">
        <w:t xml:space="preserve">volution of a </w:t>
      </w:r>
      <w:r w:rsidR="003A05D6">
        <w:t>S</w:t>
      </w:r>
      <w:r w:rsidRPr="00BF2823">
        <w:t xml:space="preserve">imple </w:t>
      </w:r>
      <w:r w:rsidR="003A05D6">
        <w:t>I</w:t>
      </w:r>
      <w:r w:rsidRPr="00BF2823">
        <w:t>dea.</w:t>
      </w:r>
      <w:r w:rsidR="003A05D6">
        <w:t>”</w:t>
      </w:r>
      <w:r w:rsidRPr="00BF2823">
        <w:t xml:space="preserve"> In </w:t>
      </w:r>
      <w:r w:rsidRPr="001B51E8">
        <w:rPr>
          <w:i/>
        </w:rPr>
        <w:t xml:space="preserve">Paying for </w:t>
      </w:r>
      <w:r w:rsidR="003A05D6" w:rsidRPr="001B51E8">
        <w:rPr>
          <w:i/>
        </w:rPr>
        <w:t>R</w:t>
      </w:r>
      <w:r w:rsidRPr="001B51E8">
        <w:rPr>
          <w:i/>
        </w:rPr>
        <w:t xml:space="preserve">esults in </w:t>
      </w:r>
      <w:r w:rsidR="003A05D6" w:rsidRPr="001B51E8">
        <w:rPr>
          <w:i/>
        </w:rPr>
        <w:t>V</w:t>
      </w:r>
      <w:r w:rsidRPr="001B51E8">
        <w:rPr>
          <w:i/>
        </w:rPr>
        <w:t xml:space="preserve">ocational </w:t>
      </w:r>
      <w:r w:rsidR="003A05D6" w:rsidRPr="001B51E8">
        <w:rPr>
          <w:i/>
        </w:rPr>
        <w:t>R</w:t>
      </w:r>
      <w:r w:rsidRPr="001B51E8">
        <w:rPr>
          <w:i/>
        </w:rPr>
        <w:t xml:space="preserve">ehabilitation: Will </w:t>
      </w:r>
      <w:r w:rsidR="003A05D6" w:rsidRPr="001B51E8">
        <w:rPr>
          <w:i/>
        </w:rPr>
        <w:t>P</w:t>
      </w:r>
      <w:r w:rsidRPr="001B51E8">
        <w:rPr>
          <w:i/>
        </w:rPr>
        <w:t xml:space="preserve">rovider </w:t>
      </w:r>
      <w:r w:rsidR="003A05D6" w:rsidRPr="001B51E8">
        <w:rPr>
          <w:i/>
        </w:rPr>
        <w:t>I</w:t>
      </w:r>
      <w:r w:rsidRPr="001B51E8">
        <w:rPr>
          <w:i/>
        </w:rPr>
        <w:t xml:space="preserve">ncentives </w:t>
      </w:r>
      <w:r w:rsidR="003A05D6" w:rsidRPr="001B51E8">
        <w:rPr>
          <w:i/>
        </w:rPr>
        <w:t>W</w:t>
      </w:r>
      <w:r w:rsidRPr="001B51E8">
        <w:rPr>
          <w:i/>
        </w:rPr>
        <w:t xml:space="preserve">ork for </w:t>
      </w:r>
      <w:r w:rsidR="0054319B" w:rsidRPr="001B51E8">
        <w:rPr>
          <w:i/>
          <w:noProof/>
        </w:rPr>
        <w:t>T</w:t>
      </w:r>
      <w:r w:rsidRPr="001B51E8">
        <w:rPr>
          <w:i/>
          <w:noProof/>
        </w:rPr>
        <w:t>icket</w:t>
      </w:r>
      <w:r w:rsidRPr="001B51E8">
        <w:rPr>
          <w:i/>
        </w:rPr>
        <w:t xml:space="preserve"> to </w:t>
      </w:r>
      <w:r w:rsidR="0054319B" w:rsidRPr="001B51E8">
        <w:rPr>
          <w:i/>
        </w:rPr>
        <w:t>W</w:t>
      </w:r>
      <w:r w:rsidRPr="001B51E8">
        <w:rPr>
          <w:i/>
        </w:rPr>
        <w:t>ork</w:t>
      </w:r>
      <w:r w:rsidR="003A05D6">
        <w:rPr>
          <w:i/>
        </w:rPr>
        <w:t xml:space="preserve">, </w:t>
      </w:r>
      <w:r w:rsidR="003A05D6">
        <w:t>edited by K. Rupp and S.H. Bell (</w:t>
      </w:r>
      <w:r w:rsidR="003A05D6" w:rsidRPr="00BF2823">
        <w:t>pp</w:t>
      </w:r>
      <w:r w:rsidR="003A05D6">
        <w:t>.</w:t>
      </w:r>
      <w:r w:rsidR="003A05D6" w:rsidRPr="00BF2823">
        <w:t xml:space="preserve"> 13–29</w:t>
      </w:r>
      <w:r w:rsidR="003A05D6">
        <w:t>)</w:t>
      </w:r>
      <w:r w:rsidRPr="00BF2823">
        <w:t>. Washington, DC</w:t>
      </w:r>
      <w:r w:rsidR="003A05D6">
        <w:t>:</w:t>
      </w:r>
      <w:r w:rsidR="003A05D6" w:rsidRPr="003A05D6">
        <w:t xml:space="preserve"> </w:t>
      </w:r>
      <w:r w:rsidR="003A05D6" w:rsidRPr="00BF2823">
        <w:t>Urban Institute</w:t>
      </w:r>
      <w:r w:rsidRPr="00BF2823">
        <w:t xml:space="preserve">, </w:t>
      </w:r>
      <w:r w:rsidR="003A05D6">
        <w:t>2003.</w:t>
      </w:r>
    </w:p>
    <w:p w14:paraId="18B663DF" w14:textId="77777777" w:rsidR="00BF2823" w:rsidRPr="000732D0" w:rsidRDefault="00BF2823" w:rsidP="007424E5">
      <w:pPr>
        <w:pStyle w:val="References"/>
        <w:spacing w:after="120"/>
        <w:ind w:left="720" w:hanging="720"/>
        <w:rPr>
          <w:szCs w:val="24"/>
        </w:rPr>
      </w:pPr>
      <w:r w:rsidRPr="002940B0">
        <w:rPr>
          <w:szCs w:val="24"/>
        </w:rPr>
        <w:t>Berlin, M., L. Mohadjer, J. Waksberg, A. Kolstad, I. Kirsch, D. Rock, and K. Yamam</w:t>
      </w:r>
      <w:r w:rsidRPr="00BD46F9">
        <w:rPr>
          <w:szCs w:val="24"/>
        </w:rPr>
        <w:t xml:space="preserve">oto. “An Experiment in Monetary Incentives.” </w:t>
      </w:r>
      <w:r w:rsidRPr="0054319B">
        <w:rPr>
          <w:i/>
          <w:noProof/>
          <w:szCs w:val="24"/>
        </w:rPr>
        <w:t>Proceedings</w:t>
      </w:r>
      <w:r w:rsidRPr="00BD46F9">
        <w:rPr>
          <w:i/>
          <w:szCs w:val="24"/>
        </w:rPr>
        <w:t xml:space="preserve"> of the Section on Survey Research Methods</w:t>
      </w:r>
      <w:r w:rsidRPr="00BD46F9">
        <w:rPr>
          <w:szCs w:val="24"/>
        </w:rPr>
        <w:t>. Alexandria, VA: American Statistical Association, 1992.</w:t>
      </w:r>
    </w:p>
    <w:p w14:paraId="282226A6" w14:textId="77777777" w:rsidR="00BF2823" w:rsidRPr="00A93A4A" w:rsidRDefault="00BF2823" w:rsidP="001B51E8">
      <w:pPr>
        <w:pStyle w:val="References"/>
        <w:spacing w:after="120"/>
        <w:ind w:left="720" w:hanging="720"/>
        <w:rPr>
          <w:bCs/>
          <w:kern w:val="24"/>
          <w:szCs w:val="24"/>
        </w:rPr>
      </w:pPr>
      <w:r w:rsidRPr="000732D0">
        <w:rPr>
          <w:bCs/>
          <w:kern w:val="24"/>
          <w:szCs w:val="24"/>
        </w:rPr>
        <w:t xml:space="preserve">Damschroder, Laura J., David C. Aron, Rosalind E. Keith, Susan R. Kirsh, Jeffery A. Alexander, and Julie C. Lowery. “Fostering Implementation of Health Services Research Findings into Practice: A Consolidated Framework for Advancing Implementation Science.” </w:t>
      </w:r>
      <w:r w:rsidRPr="000732D0">
        <w:rPr>
          <w:bCs/>
          <w:i/>
          <w:iCs/>
          <w:kern w:val="24"/>
          <w:szCs w:val="24"/>
        </w:rPr>
        <w:t xml:space="preserve">Implementation Science, </w:t>
      </w:r>
      <w:r w:rsidRPr="00A93A4A">
        <w:rPr>
          <w:bCs/>
          <w:kern w:val="24"/>
          <w:szCs w:val="24"/>
        </w:rPr>
        <w:t>vol. 4, 2009, pp. 50-65.</w:t>
      </w:r>
    </w:p>
    <w:p w14:paraId="41317077" w14:textId="77777777" w:rsidR="00BF2823" w:rsidRPr="00BD46F9" w:rsidRDefault="00BF2823" w:rsidP="001B51E8">
      <w:pPr>
        <w:pStyle w:val="References"/>
        <w:spacing w:after="120"/>
        <w:ind w:left="720" w:hanging="720"/>
        <w:rPr>
          <w:szCs w:val="24"/>
        </w:rPr>
      </w:pPr>
      <w:r w:rsidRPr="005B4A23">
        <w:rPr>
          <w:szCs w:val="24"/>
        </w:rPr>
        <w:t xml:space="preserve">Goss, Stephen C. “The Foreseen Trend in the Cost of Disability Insurance Benefits.” </w:t>
      </w:r>
      <w:r w:rsidRPr="0054319B">
        <w:rPr>
          <w:noProof/>
          <w:szCs w:val="24"/>
        </w:rPr>
        <w:t>Testimony</w:t>
      </w:r>
      <w:r w:rsidRPr="00370A90">
        <w:rPr>
          <w:szCs w:val="24"/>
        </w:rPr>
        <w:t xml:space="preserve"> to the Senate Committee on Finance, Social Security Administration. Available at </w:t>
      </w:r>
      <w:hyperlink r:id="rId13" w:history="1">
        <w:r w:rsidRPr="00BD46F9">
          <w:rPr>
            <w:rStyle w:val="Hyperlink"/>
            <w:szCs w:val="24"/>
          </w:rPr>
          <w:t>http://www.ssa.gov/OACT/testimony/SenateFinance_20140724.pdf</w:t>
        </w:r>
      </w:hyperlink>
      <w:r w:rsidRPr="002940B0">
        <w:rPr>
          <w:szCs w:val="24"/>
        </w:rPr>
        <w:t>, 2014. Accessed October 17, 2016.</w:t>
      </w:r>
    </w:p>
    <w:p w14:paraId="20B46DFC" w14:textId="77777777" w:rsidR="00BF2823" w:rsidRPr="000732D0" w:rsidRDefault="00BF2823" w:rsidP="001B51E8">
      <w:pPr>
        <w:pStyle w:val="References"/>
        <w:spacing w:after="120"/>
        <w:ind w:left="720" w:hanging="720"/>
        <w:rPr>
          <w:szCs w:val="24"/>
        </w:rPr>
      </w:pPr>
      <w:r w:rsidRPr="00BD46F9">
        <w:rPr>
          <w:szCs w:val="24"/>
        </w:rPr>
        <w:t>Gubits, Daniel, Winston Lin, Stephen Bell, and David Judkins. “BOND Implementation and Evaluation: First- and Second-Year Snapshot of Earnings and Benefit Impacts for Stage 2.” Cambridge, MA: Abt Associates and Washington, DC: Mathematica Policy Research, August 2014.</w:t>
      </w:r>
    </w:p>
    <w:p w14:paraId="44EC0D7A" w14:textId="77777777" w:rsidR="00BF2823" w:rsidRPr="000732D0" w:rsidRDefault="00BF2823" w:rsidP="001B51E8">
      <w:pPr>
        <w:pStyle w:val="References"/>
        <w:spacing w:after="120"/>
        <w:ind w:left="720" w:hanging="720"/>
        <w:rPr>
          <w:szCs w:val="24"/>
        </w:rPr>
      </w:pPr>
      <w:r w:rsidRPr="000732D0">
        <w:rPr>
          <w:szCs w:val="24"/>
        </w:rPr>
        <w:t>Gubits, Daniel, Winston Lin, Stephen Bell, and David Judkins. “BOND Implementation and Evaluation: First and Second-Year Snapshot of Earnings and Benefit Impacts for Stage 2.” Cambridge, MA: Abt Associates, and Washington, DC: Mathematica Policy Research, 2014.</w:t>
      </w:r>
    </w:p>
    <w:p w14:paraId="2ECDCC40" w14:textId="77777777" w:rsidR="00BF2823" w:rsidRPr="00BF2823" w:rsidRDefault="00BF2823" w:rsidP="001B51E8">
      <w:pPr>
        <w:pStyle w:val="References"/>
        <w:spacing w:after="120"/>
        <w:ind w:left="720" w:hanging="720"/>
        <w:rPr>
          <w:szCs w:val="24"/>
        </w:rPr>
      </w:pPr>
      <w:r w:rsidRPr="001B51E8">
        <w:rPr>
          <w:szCs w:val="24"/>
        </w:rPr>
        <w:t>Hoffman, Denise, Sarah Croake, David R. Mann, David Stapleton, Priyanka Anand, Chris Jones, Judy Geyer, Daniel Gubits, Stephen Bell, Andrew McGuirk, David Wittenburg, Debra Wright, Amang Sukasih, David Judkins, and Michael Sinclair. “2016 Stage 1 Interim Process, Participation, and Impact Report.” Washington, DC: Mathematica Policy Research, 2017.</w:t>
      </w:r>
    </w:p>
    <w:p w14:paraId="28217F4E" w14:textId="77777777" w:rsidR="00BF2823" w:rsidRPr="00BD46F9" w:rsidRDefault="00BF2823" w:rsidP="001B51E8">
      <w:pPr>
        <w:pStyle w:val="References"/>
        <w:spacing w:after="120"/>
        <w:ind w:left="720" w:hanging="720"/>
        <w:rPr>
          <w:szCs w:val="24"/>
        </w:rPr>
      </w:pPr>
      <w:r w:rsidRPr="002940B0">
        <w:rPr>
          <w:szCs w:val="24"/>
        </w:rPr>
        <w:t>Jäckle, Annette, and Peter Lynn. “Respondent Incenti</w:t>
      </w:r>
      <w:r w:rsidRPr="00BD46F9">
        <w:rPr>
          <w:szCs w:val="24"/>
        </w:rPr>
        <w:t>ves in a Multi-Mode Panel Survey: Cumulative Effects on Nonresponse and Bias.”  Working paper presented to the Institute for Social and Economic Research, University of Essex, Colchester, United Kingdom, 2007.</w:t>
      </w:r>
    </w:p>
    <w:p w14:paraId="281D94D3" w14:textId="77777777" w:rsidR="00BF2823" w:rsidRPr="000732D0" w:rsidRDefault="00BF2823" w:rsidP="007424E5">
      <w:pPr>
        <w:pStyle w:val="References"/>
        <w:spacing w:after="120"/>
        <w:ind w:left="720" w:hanging="720"/>
        <w:rPr>
          <w:szCs w:val="24"/>
        </w:rPr>
      </w:pPr>
      <w:r w:rsidRPr="00BD46F9">
        <w:rPr>
          <w:szCs w:val="24"/>
        </w:rPr>
        <w:t>James, Jeannine M., and Richard Bolstein. “The</w:t>
      </w:r>
      <w:r w:rsidRPr="000732D0">
        <w:rPr>
          <w:szCs w:val="24"/>
        </w:rPr>
        <w:t xml:space="preserve"> Effect of Monetary Incentives and Follow-Up Mailings on the Response Rate and Response Quality in Mail Surveys.” </w:t>
      </w:r>
      <w:r w:rsidRPr="000732D0">
        <w:rPr>
          <w:i/>
          <w:szCs w:val="24"/>
        </w:rPr>
        <w:t>Public Opinion Quarterly</w:t>
      </w:r>
      <w:r w:rsidRPr="000732D0">
        <w:rPr>
          <w:szCs w:val="24"/>
        </w:rPr>
        <w:t>, vol. 54, no. 3, autumn 1990, pp. 346–361.</w:t>
      </w:r>
    </w:p>
    <w:p w14:paraId="11E3330E" w14:textId="77777777" w:rsidR="00BF2823" w:rsidRPr="00370A90" w:rsidRDefault="00BF2823" w:rsidP="007424E5">
      <w:pPr>
        <w:pStyle w:val="References"/>
        <w:spacing w:after="120"/>
        <w:ind w:left="720" w:hanging="720"/>
        <w:rPr>
          <w:szCs w:val="24"/>
        </w:rPr>
      </w:pPr>
      <w:r w:rsidRPr="000732D0">
        <w:rPr>
          <w:szCs w:val="24"/>
        </w:rPr>
        <w:t>Kay, Ward R. “The Use of Targeted Incentives to Reluctant Respondents on R</w:t>
      </w:r>
      <w:r w:rsidRPr="00A93A4A">
        <w:rPr>
          <w:szCs w:val="24"/>
        </w:rPr>
        <w:t xml:space="preserve">esponse Rates and Data Quality.” </w:t>
      </w:r>
      <w:r w:rsidRPr="0054319B">
        <w:rPr>
          <w:i/>
          <w:noProof/>
          <w:szCs w:val="24"/>
        </w:rPr>
        <w:t>Proceedings</w:t>
      </w:r>
      <w:r w:rsidRPr="005B4A23">
        <w:rPr>
          <w:i/>
          <w:szCs w:val="24"/>
        </w:rPr>
        <w:t xml:space="preserve"> of the American Association for Public Re</w:t>
      </w:r>
      <w:r w:rsidRPr="00370A90">
        <w:rPr>
          <w:i/>
          <w:szCs w:val="24"/>
        </w:rPr>
        <w:t xml:space="preserve">search. </w:t>
      </w:r>
      <w:r w:rsidRPr="00370A90">
        <w:rPr>
          <w:szCs w:val="24"/>
        </w:rPr>
        <w:t>Montreal, Canada:  American Association for Public Opinion Research, 2001.</w:t>
      </w:r>
    </w:p>
    <w:p w14:paraId="57DF92EC" w14:textId="28DA6BCA" w:rsidR="00BA42EE" w:rsidRPr="00E23176" w:rsidRDefault="00BF2823" w:rsidP="007424E5">
      <w:pPr>
        <w:pStyle w:val="References"/>
        <w:spacing w:after="120"/>
        <w:ind w:left="720" w:hanging="720"/>
      </w:pPr>
      <w:r w:rsidRPr="00370A90">
        <w:rPr>
          <w:szCs w:val="24"/>
        </w:rPr>
        <w:t>Liebman, Jeffrey B. “Understanding the Increase in Disability Insurance Benefit Receipt in the United States.” The Journal of Economic Perspectives, vol. 29, no. 2, 2015, pp. 123–149.</w:t>
      </w:r>
      <w:r w:rsidR="00BA42EE" w:rsidRPr="00E23176">
        <w:t xml:space="preserve">Livermore, Gina, David C. Stapleton, and Meghan O’Toole. “Health Care Costs Are a Key Driver of Growth in Federal and State Assistance to Working-Age People with Disabilities.” </w:t>
      </w:r>
      <w:r w:rsidR="00BA42EE" w:rsidRPr="00B83F57">
        <w:rPr>
          <w:rStyle w:val="JournalTitle"/>
        </w:rPr>
        <w:t>Health Affairs,</w:t>
      </w:r>
      <w:r w:rsidR="00BA42EE" w:rsidRPr="00E23176">
        <w:t xml:space="preserve"> vol. 30, no. 9, September 2011, pp. 1664-1674.</w:t>
      </w:r>
    </w:p>
    <w:p w14:paraId="5B2A6083" w14:textId="45B36419" w:rsidR="00BF2823" w:rsidRPr="00BF2823" w:rsidRDefault="00BF2823" w:rsidP="00EC13A6">
      <w:pPr>
        <w:pStyle w:val="citation"/>
        <w:spacing w:before="0" w:beforeAutospacing="0" w:after="120" w:afterAutospacing="0"/>
        <w:ind w:left="720" w:hanging="720"/>
        <w:jc w:val="both"/>
      </w:pPr>
      <w:r w:rsidRPr="00BF2823">
        <w:t>Newcomb</w:t>
      </w:r>
      <w:r w:rsidR="00190EEB">
        <w:t>,</w:t>
      </w:r>
      <w:r w:rsidRPr="00BF2823">
        <w:t xml:space="preserve"> C</w:t>
      </w:r>
      <w:r w:rsidR="00190EEB">
        <w:t>.</w:t>
      </w:r>
      <w:r w:rsidRPr="00BF2823">
        <w:t xml:space="preserve">, </w:t>
      </w:r>
      <w:r w:rsidR="00190EEB">
        <w:t xml:space="preserve">S. </w:t>
      </w:r>
      <w:r w:rsidRPr="00BF2823">
        <w:t xml:space="preserve">Payne, </w:t>
      </w:r>
      <w:r w:rsidR="00190EEB">
        <w:t xml:space="preserve">and M.D. </w:t>
      </w:r>
      <w:r w:rsidRPr="00BF2823">
        <w:t>Waid</w:t>
      </w:r>
      <w:r w:rsidR="00190EEB">
        <w:t>.</w:t>
      </w:r>
      <w:r w:rsidRPr="00BF2823">
        <w:t xml:space="preserve"> </w:t>
      </w:r>
      <w:r w:rsidR="00190EEB">
        <w:t>“</w:t>
      </w:r>
      <w:r w:rsidRPr="00BF2823">
        <w:t xml:space="preserve">What </w:t>
      </w:r>
      <w:r w:rsidR="00190EEB">
        <w:t>D</w:t>
      </w:r>
      <w:r w:rsidRPr="00BF2823">
        <w:t xml:space="preserve">o </w:t>
      </w:r>
      <w:r w:rsidR="00190EEB">
        <w:t>W</w:t>
      </w:r>
      <w:r w:rsidRPr="00BF2823">
        <w:t xml:space="preserve">e </w:t>
      </w:r>
      <w:r w:rsidR="00190EEB">
        <w:t>K</w:t>
      </w:r>
      <w:r w:rsidRPr="00BF2823">
        <w:t xml:space="preserve">now </w:t>
      </w:r>
      <w:r w:rsidR="00190EEB">
        <w:t>A</w:t>
      </w:r>
      <w:r w:rsidRPr="00BF2823">
        <w:t xml:space="preserve">bout </w:t>
      </w:r>
      <w:r w:rsidR="00190EEB">
        <w:t>D</w:t>
      </w:r>
      <w:r w:rsidRPr="00BF2823">
        <w:t xml:space="preserve">isability </w:t>
      </w:r>
      <w:r w:rsidR="00190EEB">
        <w:t>B</w:t>
      </w:r>
      <w:r w:rsidRPr="00BF2823">
        <w:t xml:space="preserve">eneficiaries’ </w:t>
      </w:r>
      <w:r w:rsidR="00190EEB">
        <w:t>W</w:t>
      </w:r>
      <w:r w:rsidRPr="00BF2823">
        <w:t xml:space="preserve">ork and </w:t>
      </w:r>
      <w:r w:rsidR="00190EEB">
        <w:t>U</w:t>
      </w:r>
      <w:r w:rsidRPr="00BF2823">
        <w:t xml:space="preserve">se of </w:t>
      </w:r>
      <w:r w:rsidR="00190EEB">
        <w:t>W</w:t>
      </w:r>
      <w:r w:rsidRPr="00BF2823">
        <w:t xml:space="preserve">ork </w:t>
      </w:r>
      <w:r w:rsidR="00190EEB">
        <w:t>I</w:t>
      </w:r>
      <w:r w:rsidRPr="00BF2823">
        <w:t xml:space="preserve">ncentives </w:t>
      </w:r>
      <w:r w:rsidR="00190EEB">
        <w:t>P</w:t>
      </w:r>
      <w:r w:rsidRPr="00BF2823">
        <w:t xml:space="preserve">rior to </w:t>
      </w:r>
      <w:r w:rsidR="00190EEB">
        <w:rPr>
          <w:noProof/>
        </w:rPr>
        <w:t>T</w:t>
      </w:r>
      <w:r w:rsidRPr="0054319B">
        <w:rPr>
          <w:noProof/>
        </w:rPr>
        <w:t>icket</w:t>
      </w:r>
      <w:r w:rsidRPr="00BF2823">
        <w:t xml:space="preserve">?: </w:t>
      </w:r>
      <w:r w:rsidR="00190EEB">
        <w:t>B</w:t>
      </w:r>
      <w:r w:rsidRPr="00BF2823">
        <w:t xml:space="preserve">ackground </w:t>
      </w:r>
      <w:r w:rsidR="00190EEB">
        <w:t>I</w:t>
      </w:r>
      <w:r w:rsidRPr="00BF2823">
        <w:t xml:space="preserve">nformation and </w:t>
      </w:r>
      <w:r w:rsidR="00190EEB">
        <w:t>B</w:t>
      </w:r>
      <w:r w:rsidRPr="00BF2823">
        <w:t xml:space="preserve">aseline </w:t>
      </w:r>
      <w:r w:rsidR="00E77A3F">
        <w:t>D</w:t>
      </w:r>
      <w:r w:rsidRPr="00BF2823">
        <w:t>ata.</w:t>
      </w:r>
      <w:r w:rsidR="00E77A3F">
        <w:t>”</w:t>
      </w:r>
      <w:r w:rsidRPr="00BF2823">
        <w:t xml:space="preserve"> In </w:t>
      </w:r>
      <w:r w:rsidRPr="001B51E8">
        <w:rPr>
          <w:i/>
        </w:rPr>
        <w:t xml:space="preserve">Paying for </w:t>
      </w:r>
      <w:r w:rsidR="00E77A3F" w:rsidRPr="001B51E8">
        <w:rPr>
          <w:i/>
        </w:rPr>
        <w:t>R</w:t>
      </w:r>
      <w:r w:rsidRPr="001B51E8">
        <w:rPr>
          <w:i/>
        </w:rPr>
        <w:t xml:space="preserve">esults in </w:t>
      </w:r>
      <w:r w:rsidR="00E77A3F" w:rsidRPr="001B51E8">
        <w:rPr>
          <w:i/>
        </w:rPr>
        <w:t>V</w:t>
      </w:r>
      <w:r w:rsidRPr="001B51E8">
        <w:rPr>
          <w:i/>
        </w:rPr>
        <w:t xml:space="preserve">ocational </w:t>
      </w:r>
      <w:r w:rsidR="00E77A3F" w:rsidRPr="001B51E8">
        <w:rPr>
          <w:i/>
        </w:rPr>
        <w:t>R</w:t>
      </w:r>
      <w:r w:rsidRPr="001B51E8">
        <w:rPr>
          <w:i/>
        </w:rPr>
        <w:t xml:space="preserve">ehabilitation: </w:t>
      </w:r>
      <w:r w:rsidR="00E77A3F" w:rsidRPr="001B51E8">
        <w:rPr>
          <w:i/>
        </w:rPr>
        <w:t>W</w:t>
      </w:r>
      <w:r w:rsidRPr="001B51E8">
        <w:rPr>
          <w:i/>
        </w:rPr>
        <w:t xml:space="preserve">ill </w:t>
      </w:r>
      <w:r w:rsidR="00E77A3F" w:rsidRPr="001B51E8">
        <w:rPr>
          <w:i/>
        </w:rPr>
        <w:t>P</w:t>
      </w:r>
      <w:r w:rsidRPr="001B51E8">
        <w:rPr>
          <w:i/>
        </w:rPr>
        <w:t xml:space="preserve">rovider </w:t>
      </w:r>
      <w:r w:rsidR="00E77A3F" w:rsidRPr="001B51E8">
        <w:rPr>
          <w:i/>
        </w:rPr>
        <w:t>I</w:t>
      </w:r>
      <w:r w:rsidRPr="001B51E8">
        <w:rPr>
          <w:i/>
        </w:rPr>
        <w:t xml:space="preserve">ncentives </w:t>
      </w:r>
      <w:r w:rsidR="00E77A3F" w:rsidRPr="001B51E8">
        <w:rPr>
          <w:i/>
        </w:rPr>
        <w:t>W</w:t>
      </w:r>
      <w:r w:rsidRPr="001B51E8">
        <w:rPr>
          <w:i/>
        </w:rPr>
        <w:t xml:space="preserve">ork for </w:t>
      </w:r>
      <w:r w:rsidR="00E77A3F" w:rsidRPr="001B51E8">
        <w:rPr>
          <w:i/>
          <w:noProof/>
        </w:rPr>
        <w:t>T</w:t>
      </w:r>
      <w:r w:rsidRPr="001B51E8">
        <w:rPr>
          <w:i/>
          <w:noProof/>
        </w:rPr>
        <w:t>icket</w:t>
      </w:r>
      <w:r w:rsidRPr="001B51E8">
        <w:rPr>
          <w:i/>
        </w:rPr>
        <w:t xml:space="preserve"> to </w:t>
      </w:r>
      <w:r w:rsidR="00E77A3F" w:rsidRPr="001B51E8">
        <w:rPr>
          <w:i/>
        </w:rPr>
        <w:t>W</w:t>
      </w:r>
      <w:r w:rsidRPr="001B51E8">
        <w:rPr>
          <w:i/>
        </w:rPr>
        <w:t>ork</w:t>
      </w:r>
      <w:r w:rsidR="00E77A3F" w:rsidRPr="001B51E8">
        <w:rPr>
          <w:i/>
        </w:rPr>
        <w:t>,</w:t>
      </w:r>
      <w:r w:rsidR="00E77A3F">
        <w:t xml:space="preserve"> edited by K. Rupp and S.H. Bell (pp. 31–69)</w:t>
      </w:r>
      <w:r w:rsidRPr="00BF2823">
        <w:t xml:space="preserve">. </w:t>
      </w:r>
      <w:r w:rsidR="00E77A3F" w:rsidRPr="00BF2823">
        <w:t>Washington, DC</w:t>
      </w:r>
      <w:r w:rsidR="00E77A3F">
        <w:t>:</w:t>
      </w:r>
      <w:r w:rsidR="00E77A3F" w:rsidRPr="00BF2823">
        <w:t xml:space="preserve"> </w:t>
      </w:r>
      <w:r w:rsidRPr="00BF2823">
        <w:t xml:space="preserve">Urban Institute, </w:t>
      </w:r>
      <w:r w:rsidR="00E77A3F">
        <w:t>2003.</w:t>
      </w:r>
    </w:p>
    <w:p w14:paraId="03C5633A" w14:textId="77777777" w:rsidR="00BF2823" w:rsidRPr="000732D0" w:rsidRDefault="00BF2823" w:rsidP="007424E5">
      <w:pPr>
        <w:pStyle w:val="References"/>
        <w:spacing w:after="120"/>
        <w:ind w:left="720" w:hanging="720"/>
        <w:rPr>
          <w:szCs w:val="24"/>
        </w:rPr>
      </w:pPr>
      <w:r w:rsidRPr="002940B0">
        <w:rPr>
          <w:szCs w:val="24"/>
        </w:rPr>
        <w:t>Schwartz, Lisa K., Lisbeth Goble, and Edward M. English.</w:t>
      </w:r>
      <w:r w:rsidRPr="00BD46F9">
        <w:rPr>
          <w:szCs w:val="24"/>
        </w:rPr>
        <w:t xml:space="preserve"> “Counterbalancing Topic Interest with Cell Quotas and Incentives: Examining Leverage-Salience Theory in the Context of the Poverty in America Survey.” </w:t>
      </w:r>
      <w:r w:rsidRPr="0054319B">
        <w:rPr>
          <w:i/>
          <w:noProof/>
          <w:szCs w:val="24"/>
        </w:rPr>
        <w:t>Proceedings</w:t>
      </w:r>
      <w:r w:rsidRPr="00BD46F9">
        <w:rPr>
          <w:i/>
          <w:szCs w:val="24"/>
        </w:rPr>
        <w:t xml:space="preserve"> of the American Association for Public Research. </w:t>
      </w:r>
      <w:r w:rsidRPr="00BD46F9">
        <w:rPr>
          <w:szCs w:val="24"/>
        </w:rPr>
        <w:t>Montreal, Canada:  American Association for</w:t>
      </w:r>
      <w:r w:rsidRPr="000732D0">
        <w:rPr>
          <w:szCs w:val="24"/>
        </w:rPr>
        <w:t xml:space="preserve"> Public Opinion Research, 2006.</w:t>
      </w:r>
    </w:p>
    <w:p w14:paraId="467C4F2F" w14:textId="77777777" w:rsidR="00BF2823" w:rsidRPr="000732D0" w:rsidRDefault="00BF2823" w:rsidP="007424E5">
      <w:pPr>
        <w:pStyle w:val="References"/>
        <w:spacing w:after="120"/>
        <w:ind w:left="720" w:hanging="720"/>
        <w:rPr>
          <w:szCs w:val="24"/>
        </w:rPr>
      </w:pPr>
      <w:r w:rsidRPr="000732D0">
        <w:rPr>
          <w:szCs w:val="24"/>
        </w:rPr>
        <w:t>Singer, Eleanor, and Richard A. Kulka. “Paying Respondents for Survey Participation.” Ann Arbor, MI: The University of Michigan, Institute for Social Research, Survey Research Center, 2000.</w:t>
      </w:r>
    </w:p>
    <w:p w14:paraId="29F690DF" w14:textId="77777777" w:rsidR="00BF2823" w:rsidRPr="005B4A23" w:rsidRDefault="00BF2823" w:rsidP="007424E5">
      <w:pPr>
        <w:pStyle w:val="References"/>
        <w:spacing w:after="120"/>
        <w:ind w:left="720" w:hanging="720"/>
        <w:rPr>
          <w:szCs w:val="24"/>
        </w:rPr>
      </w:pPr>
      <w:r w:rsidRPr="00A93A4A">
        <w:rPr>
          <w:szCs w:val="24"/>
        </w:rPr>
        <w:t>Social Security Administration. “Fast Facts &amp; Figures About Social Security, 2015.” Washington, DC: Social Security Admi</w:t>
      </w:r>
      <w:r w:rsidRPr="005B4A23">
        <w:rPr>
          <w:szCs w:val="24"/>
        </w:rPr>
        <w:t>nistration, 2015.</w:t>
      </w:r>
    </w:p>
    <w:p w14:paraId="732089D5" w14:textId="2E779FC5" w:rsidR="00BF2823" w:rsidRPr="00BF2823" w:rsidRDefault="00BF2823" w:rsidP="00EC13A6">
      <w:pPr>
        <w:pStyle w:val="citation"/>
        <w:spacing w:before="0" w:beforeAutospacing="0" w:after="120" w:afterAutospacing="0"/>
        <w:ind w:left="720" w:hanging="720"/>
        <w:jc w:val="both"/>
      </w:pPr>
      <w:r w:rsidRPr="00BF2823">
        <w:t>Szymendera</w:t>
      </w:r>
      <w:r w:rsidR="00190EEB">
        <w:t>,</w:t>
      </w:r>
      <w:r w:rsidRPr="00BF2823">
        <w:t xml:space="preserve"> Scott</w:t>
      </w:r>
      <w:r w:rsidR="00190EEB">
        <w:t>.</w:t>
      </w:r>
      <w:r w:rsidRPr="00BF2823">
        <w:t xml:space="preserve"> </w:t>
      </w:r>
      <w:r w:rsidR="00190EEB">
        <w:t>“</w:t>
      </w:r>
      <w:r w:rsidRPr="00BF2823">
        <w:t xml:space="preserve">Social </w:t>
      </w:r>
      <w:r w:rsidR="00AF7B0F" w:rsidRPr="0054319B">
        <w:rPr>
          <w:noProof/>
        </w:rPr>
        <w:t>S</w:t>
      </w:r>
      <w:r w:rsidRPr="0054319B">
        <w:rPr>
          <w:noProof/>
        </w:rPr>
        <w:t>ecurity</w:t>
      </w:r>
      <w:r w:rsidRPr="00BF2823">
        <w:t xml:space="preserve"> </w:t>
      </w:r>
      <w:r w:rsidR="00AF7B0F" w:rsidRPr="0054319B">
        <w:rPr>
          <w:noProof/>
        </w:rPr>
        <w:t>D</w:t>
      </w:r>
      <w:r w:rsidRPr="0054319B">
        <w:rPr>
          <w:noProof/>
        </w:rPr>
        <w:t>isability</w:t>
      </w:r>
      <w:r w:rsidRPr="00BF2823">
        <w:t xml:space="preserve"> </w:t>
      </w:r>
      <w:r w:rsidR="00AF7B0F" w:rsidRPr="0054319B">
        <w:rPr>
          <w:noProof/>
        </w:rPr>
        <w:t>I</w:t>
      </w:r>
      <w:r w:rsidRPr="0054319B">
        <w:rPr>
          <w:noProof/>
        </w:rPr>
        <w:t>nsurance</w:t>
      </w:r>
      <w:r w:rsidRPr="00BF2823">
        <w:t xml:space="preserve"> </w:t>
      </w:r>
      <w:r w:rsidR="00AF7B0F" w:rsidRPr="0054319B">
        <w:rPr>
          <w:noProof/>
        </w:rPr>
        <w:t>D</w:t>
      </w:r>
      <w:r w:rsidRPr="0054319B">
        <w:rPr>
          <w:noProof/>
        </w:rPr>
        <w:t>emonstration</w:t>
      </w:r>
      <w:r w:rsidRPr="00BF2823">
        <w:t xml:space="preserve"> </w:t>
      </w:r>
      <w:r w:rsidR="00AF7B0F" w:rsidRPr="0054319B">
        <w:rPr>
          <w:noProof/>
        </w:rPr>
        <w:t>P</w:t>
      </w:r>
      <w:r w:rsidRPr="0054319B">
        <w:rPr>
          <w:noProof/>
        </w:rPr>
        <w:t>rojects</w:t>
      </w:r>
      <w:r w:rsidRPr="00BF2823">
        <w:t>.</w:t>
      </w:r>
      <w:r w:rsidR="00190EEB">
        <w:t>”</w:t>
      </w:r>
      <w:r w:rsidRPr="00BF2823">
        <w:t xml:space="preserve"> </w:t>
      </w:r>
      <w:r w:rsidR="00190EEB" w:rsidRPr="00BF2823">
        <w:t>Washington, DC</w:t>
      </w:r>
      <w:r w:rsidR="00190EEB">
        <w:t>:</w:t>
      </w:r>
      <w:r w:rsidR="00190EEB" w:rsidRPr="00BF2823">
        <w:t xml:space="preserve"> </w:t>
      </w:r>
      <w:r w:rsidRPr="00BF2823">
        <w:t xml:space="preserve">Congressional Research Service, </w:t>
      </w:r>
      <w:r w:rsidR="00190EEB">
        <w:t>2011.</w:t>
      </w:r>
    </w:p>
    <w:p w14:paraId="4254B3E1" w14:textId="1D426027" w:rsidR="00BF2823" w:rsidRPr="00BF2823" w:rsidRDefault="00BF2823" w:rsidP="00EC13A6">
      <w:pPr>
        <w:pStyle w:val="citation"/>
        <w:spacing w:before="0" w:beforeAutospacing="0" w:after="120" w:afterAutospacing="0"/>
        <w:ind w:left="720" w:hanging="720"/>
      </w:pPr>
      <w:r w:rsidRPr="00BF2823">
        <w:t>Weathers</w:t>
      </w:r>
      <w:r w:rsidR="00190EEB">
        <w:t>,</w:t>
      </w:r>
      <w:r w:rsidRPr="00BF2823">
        <w:t xml:space="preserve"> Robert</w:t>
      </w:r>
      <w:r w:rsidR="00190EEB">
        <w:t>,</w:t>
      </w:r>
      <w:r w:rsidRPr="00BF2823">
        <w:t xml:space="preserve"> and </w:t>
      </w:r>
      <w:r w:rsidR="00190EEB">
        <w:t xml:space="preserve">Jeffrey </w:t>
      </w:r>
      <w:r w:rsidRPr="00BF2823">
        <w:t>Hemmeter</w:t>
      </w:r>
      <w:r w:rsidR="00190EEB">
        <w:t>.</w:t>
      </w:r>
      <w:r w:rsidRPr="00BF2823">
        <w:t xml:space="preserve"> </w:t>
      </w:r>
      <w:r w:rsidR="00190EEB">
        <w:t>“</w:t>
      </w:r>
      <w:r w:rsidRPr="00BF2823">
        <w:t xml:space="preserve">The </w:t>
      </w:r>
      <w:r w:rsidR="00190EEB">
        <w:t>I</w:t>
      </w:r>
      <w:r w:rsidRPr="00BF2823">
        <w:t xml:space="preserve">mpact of </w:t>
      </w:r>
      <w:r w:rsidR="00190EEB">
        <w:t>C</w:t>
      </w:r>
      <w:r w:rsidRPr="00BF2823">
        <w:t xml:space="preserve">hanging </w:t>
      </w:r>
      <w:r w:rsidR="00190EEB">
        <w:t>F</w:t>
      </w:r>
      <w:r w:rsidRPr="00BF2823">
        <w:t xml:space="preserve">inancial </w:t>
      </w:r>
      <w:r w:rsidR="00190EEB">
        <w:t>W</w:t>
      </w:r>
      <w:r w:rsidRPr="00BF2823">
        <w:t xml:space="preserve">ork </w:t>
      </w:r>
      <w:r w:rsidR="00190EEB">
        <w:t>I</w:t>
      </w:r>
      <w:r w:rsidRPr="00BF2823">
        <w:t xml:space="preserve">ncentives on the </w:t>
      </w:r>
      <w:r w:rsidR="00190EEB">
        <w:t>E</w:t>
      </w:r>
      <w:r w:rsidRPr="00BF2823">
        <w:t xml:space="preserve">arnings of </w:t>
      </w:r>
      <w:r w:rsidR="00190EEB">
        <w:t>S</w:t>
      </w:r>
      <w:r w:rsidRPr="00BF2823">
        <w:t xml:space="preserve">ocial </w:t>
      </w:r>
      <w:r w:rsidR="00190EEB">
        <w:t>S</w:t>
      </w:r>
      <w:r w:rsidRPr="00BF2823">
        <w:t xml:space="preserve">ecurity </w:t>
      </w:r>
      <w:r w:rsidR="00190EEB">
        <w:t>D</w:t>
      </w:r>
      <w:r w:rsidRPr="00BF2823">
        <w:t xml:space="preserve">isability </w:t>
      </w:r>
      <w:r w:rsidR="00190EEB">
        <w:t>I</w:t>
      </w:r>
      <w:r w:rsidRPr="00BF2823">
        <w:t xml:space="preserve">nsurance (SSDI) </w:t>
      </w:r>
      <w:r w:rsidR="00190EEB">
        <w:t>B</w:t>
      </w:r>
      <w:r w:rsidRPr="00BF2823">
        <w:t>eneficiaries.</w:t>
      </w:r>
      <w:r w:rsidR="00190EEB">
        <w:t>”</w:t>
      </w:r>
      <w:r w:rsidRPr="00BF2823">
        <w:t xml:space="preserve"> </w:t>
      </w:r>
      <w:r w:rsidRPr="001B51E8">
        <w:rPr>
          <w:i/>
        </w:rPr>
        <w:t>J</w:t>
      </w:r>
      <w:r w:rsidR="00190EEB" w:rsidRPr="001B51E8">
        <w:rPr>
          <w:i/>
        </w:rPr>
        <w:t>ournal of</w:t>
      </w:r>
      <w:r w:rsidRPr="001B51E8">
        <w:rPr>
          <w:i/>
        </w:rPr>
        <w:t xml:space="preserve"> Policy Analysis Management</w:t>
      </w:r>
      <w:r w:rsidR="00190EEB" w:rsidRPr="001B51E8">
        <w:rPr>
          <w:i/>
        </w:rPr>
        <w:t>,</w:t>
      </w:r>
      <w:r w:rsidRPr="00BF2823">
        <w:t xml:space="preserve"> </w:t>
      </w:r>
      <w:r w:rsidR="00190EEB">
        <w:t xml:space="preserve">vol. </w:t>
      </w:r>
      <w:r w:rsidRPr="00BF2823">
        <w:t>30</w:t>
      </w:r>
      <w:r w:rsidR="00190EEB">
        <w:t xml:space="preserve">, no. </w:t>
      </w:r>
      <w:r w:rsidRPr="00BF2823">
        <w:t>4</w:t>
      </w:r>
      <w:r w:rsidR="00190EEB">
        <w:t xml:space="preserve">, 2011, pp. </w:t>
      </w:r>
      <w:r w:rsidRPr="00BF2823">
        <w:t>708–728</w:t>
      </w:r>
      <w:r w:rsidR="00190EEB">
        <w:t>.</w:t>
      </w:r>
    </w:p>
    <w:p w14:paraId="4685902F" w14:textId="77777777" w:rsidR="00BF2823" w:rsidRPr="001B51E8" w:rsidRDefault="00BF2823" w:rsidP="00EC13A6">
      <w:pPr>
        <w:pStyle w:val="ResPubs"/>
        <w:spacing w:before="0" w:after="120" w:line="240" w:lineRule="auto"/>
        <w:ind w:left="720" w:hanging="720"/>
        <w:rPr>
          <w:rFonts w:ascii="Times New Roman" w:hAnsi="Times New Roman" w:cs="Times New Roman"/>
          <w:sz w:val="24"/>
          <w:szCs w:val="24"/>
        </w:rPr>
      </w:pPr>
      <w:r w:rsidRPr="001B51E8">
        <w:rPr>
          <w:rFonts w:ascii="Times New Roman" w:hAnsi="Times New Roman" w:cs="Times New Roman"/>
          <w:sz w:val="24"/>
          <w:szCs w:val="24"/>
        </w:rPr>
        <w:t xml:space="preserve">Wittenburg, David, David Mann, and Allison Thompkins. “The Disability System and Programs to Promote Employment for People with Disabilities.” </w:t>
      </w:r>
      <w:r w:rsidRPr="001B51E8">
        <w:rPr>
          <w:rStyle w:val="JournalTitle"/>
          <w:rFonts w:ascii="Times New Roman" w:hAnsi="Times New Roman" w:cs="Times New Roman"/>
          <w:sz w:val="24"/>
          <w:szCs w:val="24"/>
        </w:rPr>
        <w:t>IZA Journal of Labor Policy,</w:t>
      </w:r>
      <w:r w:rsidRPr="001B51E8">
        <w:rPr>
          <w:rFonts w:ascii="Times New Roman" w:hAnsi="Times New Roman" w:cs="Times New Roman"/>
          <w:sz w:val="24"/>
          <w:szCs w:val="24"/>
        </w:rPr>
        <w:t xml:space="preserve"> vol. 2, no. 4, 2013.</w:t>
      </w:r>
    </w:p>
    <w:p w14:paraId="0CF945ED" w14:textId="77777777" w:rsidR="00BF2823" w:rsidRPr="00BD46F9" w:rsidRDefault="00BF2823" w:rsidP="007424E5">
      <w:pPr>
        <w:pStyle w:val="References"/>
        <w:spacing w:after="120"/>
        <w:ind w:left="720" w:hanging="720"/>
        <w:rPr>
          <w:szCs w:val="24"/>
        </w:rPr>
      </w:pPr>
      <w:r w:rsidRPr="002940B0">
        <w:rPr>
          <w:szCs w:val="24"/>
        </w:rPr>
        <w:t>Wittenburg, David, David R. Mann, David Stapleton, Daniel Gubits, David Judkins, and Andrew McGuirk. “BOND Implementation and</w:t>
      </w:r>
      <w:r w:rsidRPr="00BD46F9">
        <w:rPr>
          <w:szCs w:val="24"/>
        </w:rPr>
        <w:t xml:space="preserve"> Evaluation: Third-Year Snapshot of Earnings and Benefit Impacts for Stage 1.” Cambridge, MA: Abt Associates and Washington, DC: Mathematica Policy Research, 2015. </w:t>
      </w:r>
    </w:p>
    <w:p w14:paraId="2F8C0935" w14:textId="1E2DF8DB" w:rsidR="00BF2823" w:rsidRDefault="00BF2823" w:rsidP="001B51E8">
      <w:pPr>
        <w:pStyle w:val="References"/>
        <w:spacing w:after="120"/>
        <w:ind w:left="720" w:hanging="720"/>
      </w:pPr>
    </w:p>
    <w:sectPr w:rsidR="00BF282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B640D" w14:textId="77777777" w:rsidR="00716352" w:rsidRDefault="00716352">
      <w:pPr>
        <w:spacing w:after="0" w:line="240" w:lineRule="auto"/>
      </w:pPr>
      <w:r>
        <w:separator/>
      </w:r>
    </w:p>
  </w:endnote>
  <w:endnote w:type="continuationSeparator" w:id="0">
    <w:p w14:paraId="461504C8" w14:textId="77777777" w:rsidR="00716352" w:rsidRDefault="0071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8DC4" w14:textId="77777777" w:rsidR="00CD0204" w:rsidRPr="00A12B64" w:rsidRDefault="00CD0204" w:rsidP="00876181">
    <w:pPr>
      <w:pStyle w:val="Footer"/>
      <w:pBdr>
        <w:bottom w:val="none" w:sz="0" w:space="0" w:color="auto"/>
      </w:pBdr>
      <w:tabs>
        <w:tab w:val="clear" w:pos="4320"/>
        <w:tab w:val="right" w:leader="underscore" w:pos="8539"/>
      </w:tabs>
      <w:spacing w:line="192" w:lineRule="auto"/>
      <w:rPr>
        <w:rFonts w:cs="Arial"/>
        <w:snapToGrid w:val="0"/>
        <w:szCs w:val="14"/>
      </w:rPr>
    </w:pPr>
  </w:p>
  <w:p w14:paraId="5F4E6321" w14:textId="77777777" w:rsidR="00CD0204" w:rsidRDefault="00CD0204" w:rsidP="00876181">
    <w:pPr>
      <w:pStyle w:val="Footer"/>
      <w:pBdr>
        <w:top w:val="single" w:sz="2" w:space="1" w:color="auto"/>
        <w:bottom w:val="none" w:sz="0" w:space="0" w:color="auto"/>
      </w:pBdr>
      <w:spacing w:line="192" w:lineRule="auto"/>
      <w:rPr>
        <w:rStyle w:val="PageNumber"/>
      </w:rPr>
    </w:pPr>
  </w:p>
  <w:p w14:paraId="5D3DDB67" w14:textId="77777777" w:rsidR="00CD0204" w:rsidRPr="00964AB7" w:rsidRDefault="00CD0204" w:rsidP="00876181">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A5D35">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50354" w14:textId="77777777" w:rsidR="00716352" w:rsidRDefault="00716352">
      <w:pPr>
        <w:spacing w:after="0" w:line="240" w:lineRule="auto"/>
      </w:pPr>
      <w:r>
        <w:separator/>
      </w:r>
    </w:p>
  </w:footnote>
  <w:footnote w:type="continuationSeparator" w:id="0">
    <w:p w14:paraId="69D5CB50" w14:textId="77777777" w:rsidR="00716352" w:rsidRDefault="00716352">
      <w:pPr>
        <w:spacing w:after="0" w:line="240" w:lineRule="auto"/>
      </w:pPr>
      <w:r>
        <w:continuationSeparator/>
      </w:r>
    </w:p>
  </w:footnote>
  <w:footnote w:id="1">
    <w:p w14:paraId="61AA1D9B" w14:textId="75B89750" w:rsidR="00CD0204" w:rsidRDefault="00CD0204" w:rsidP="00174EFC">
      <w:pPr>
        <w:pStyle w:val="FootnoteText"/>
      </w:pPr>
      <w:r>
        <w:rPr>
          <w:rStyle w:val="FootnoteReference"/>
        </w:rPr>
        <w:footnoteRef/>
      </w:r>
      <w:r>
        <w:t xml:space="preserve"> </w:t>
      </w:r>
      <w:r w:rsidRPr="00916F01">
        <w:rPr>
          <w:rStyle w:val="FootnoteTextChar"/>
        </w:rPr>
        <w:t xml:space="preserve">SSA also previously conducted the </w:t>
      </w:r>
      <w:r>
        <w:rPr>
          <w:rStyle w:val="FootnoteTextChar"/>
        </w:rPr>
        <w:t xml:space="preserve">Four-State </w:t>
      </w:r>
      <w:r w:rsidRPr="00916F01">
        <w:rPr>
          <w:rStyle w:val="FootnoteTextChar"/>
        </w:rPr>
        <w:t xml:space="preserve">Benefit Offset Pilot Demonstration </w:t>
      </w:r>
      <w:r>
        <w:rPr>
          <w:rStyle w:val="FootnoteTextChar"/>
        </w:rPr>
        <w:t xml:space="preserve">with a sample of beneficiary volunteers in four states.  The pilot </w:t>
      </w:r>
      <w:r w:rsidRPr="00916F01">
        <w:rPr>
          <w:rStyle w:val="FootnoteTextChar"/>
        </w:rPr>
        <w:t xml:space="preserve">used the same benefit offset formula but with some differences in the earnings to which the offset applied and </w:t>
      </w:r>
      <w:r>
        <w:rPr>
          <w:rStyle w:val="FootnoteTextChar"/>
        </w:rPr>
        <w:t xml:space="preserve">in </w:t>
      </w:r>
      <w:r w:rsidRPr="00916F01">
        <w:rPr>
          <w:rStyle w:val="FootnoteTextChar"/>
        </w:rPr>
        <w:t>administrative details. Weathers</w:t>
      </w:r>
      <w:r>
        <w:rPr>
          <w:rStyle w:val="FootnoteTextChar"/>
        </w:rPr>
        <w:t xml:space="preserve"> and Hemmeter</w:t>
      </w:r>
      <w:r w:rsidRPr="00916F01">
        <w:rPr>
          <w:rStyle w:val="FootnoteTextChar"/>
        </w:rPr>
        <w:t xml:space="preserve"> (201</w:t>
      </w:r>
      <w:r>
        <w:rPr>
          <w:rStyle w:val="FootnoteTextChar"/>
        </w:rPr>
        <w:t>1</w:t>
      </w:r>
      <w:r w:rsidRPr="00916F01">
        <w:rPr>
          <w:rStyle w:val="FootnoteTextChar"/>
        </w:rPr>
        <w:t>) reported mixed findings of the impacts of the offset on earnings and benefit amounts. They found a significant increase in the percentage of treatment group subjects earning above annualized SGA. However, they found virtually no difference in mean earnings one year after random assignment and a modest difference in the second year (</w:t>
      </w:r>
      <w:r>
        <w:rPr>
          <w:rStyle w:val="FootnoteTextChar"/>
        </w:rPr>
        <w:t>slightly less than</w:t>
      </w:r>
      <w:r w:rsidRPr="00916F01">
        <w:rPr>
          <w:rStyle w:val="FootnoteTextChar"/>
        </w:rPr>
        <w:t xml:space="preserve"> $1,000 per year) that was not statistically significant. They also found a significant increase in mean benefits of a</w:t>
      </w:r>
      <w:r>
        <w:rPr>
          <w:rStyle w:val="FootnoteTextChar"/>
        </w:rPr>
        <w:t>bout</w:t>
      </w:r>
      <w:r w:rsidRPr="00916F01">
        <w:rPr>
          <w:rStyle w:val="FootnoteTextChar"/>
        </w:rPr>
        <w:t xml:space="preserve"> $500 in each of the first two years after random assignment. The authors point</w:t>
      </w:r>
      <w:r>
        <w:rPr>
          <w:rStyle w:val="FootnoteTextChar"/>
        </w:rPr>
        <w:t>ed</w:t>
      </w:r>
      <w:r w:rsidRPr="00916F01">
        <w:rPr>
          <w:rStyle w:val="FootnoteTextChar"/>
        </w:rPr>
        <w:t xml:space="preserve"> to shortcomings and delays with the processes used to report earnings, complete work </w:t>
      </w:r>
      <w:r>
        <w:rPr>
          <w:rStyle w:val="FootnoteTextChar"/>
        </w:rPr>
        <w:t>Continuing Disability Reviews</w:t>
      </w:r>
      <w:r w:rsidRPr="00916F01">
        <w:rPr>
          <w:rStyle w:val="FootnoteTextChar"/>
        </w:rPr>
        <w:t xml:space="preserve">, </w:t>
      </w:r>
      <w:r>
        <w:rPr>
          <w:rStyle w:val="FootnoteTextChar"/>
        </w:rPr>
        <w:t>adjust</w:t>
      </w:r>
      <w:r w:rsidRPr="00916F01">
        <w:rPr>
          <w:rStyle w:val="FootnoteTextChar"/>
        </w:rPr>
        <w:t xml:space="preserve"> benefits, and reconcile benefits at the end of the year</w:t>
      </w:r>
      <w:r>
        <w:rPr>
          <w:rStyle w:val="FootnoteTextChar"/>
        </w:rPr>
        <w:t xml:space="preserve">. </w:t>
      </w:r>
      <w:r w:rsidRPr="00916F01">
        <w:rPr>
          <w:rStyle w:val="FootnoteTextChar"/>
        </w:rPr>
        <w:t>The BOND evaluation built on these lessons, which is why we focus on BOND findings here</w:t>
      </w:r>
      <w:r>
        <w:rPr>
          <w:rStyle w:val="FootnoteTextChar"/>
        </w:rPr>
        <w:t>.</w:t>
      </w:r>
    </w:p>
  </w:footnote>
  <w:footnote w:id="2">
    <w:p w14:paraId="3BA77C0F" w14:textId="71F2A330" w:rsidR="00CD0204" w:rsidRDefault="00CD0204" w:rsidP="00FA68B8">
      <w:pPr>
        <w:pStyle w:val="FootnoteText"/>
      </w:pPr>
      <w:r>
        <w:rPr>
          <w:rStyle w:val="FootnoteReference"/>
        </w:rPr>
        <w:footnoteRef/>
      </w:r>
      <w:r>
        <w:t xml:space="preserve"> BOND Stage 2 recruitment was conducted in a series of waves from January 2011 to August 2012 with enrollment concluding in September 2012.  For each wave, the intended approach was to include multiple contact attempts:  a combination of an initial mailing, follow-up mailing(s), and telephone calls.  As described in more detail below, POD includes a direct outreach effort that parallels BOND Stage 2 recruitment, but differs in potentially important ways through the use of indirect contacts and in the specifics of the direct outreach materials and methods.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A179A"/>
    <w:lvl w:ilvl="0">
      <w:start w:val="1"/>
      <w:numFmt w:val="decimal"/>
      <w:lvlText w:val="%1."/>
      <w:lvlJc w:val="left"/>
      <w:pPr>
        <w:tabs>
          <w:tab w:val="num" w:pos="1800"/>
        </w:tabs>
        <w:ind w:left="1800" w:hanging="360"/>
      </w:pPr>
    </w:lvl>
  </w:abstractNum>
  <w:abstractNum w:abstractNumId="2">
    <w:nsid w:val="FFFFFF7D"/>
    <w:multiLevelType w:val="singleLevel"/>
    <w:tmpl w:val="57E2FE60"/>
    <w:lvl w:ilvl="0">
      <w:start w:val="1"/>
      <w:numFmt w:val="decimal"/>
      <w:lvlText w:val="%1."/>
      <w:lvlJc w:val="left"/>
      <w:pPr>
        <w:tabs>
          <w:tab w:val="num" w:pos="1440"/>
        </w:tabs>
        <w:ind w:left="1440" w:hanging="360"/>
      </w:pPr>
    </w:lvl>
  </w:abstractNum>
  <w:abstractNum w:abstractNumId="3">
    <w:nsid w:val="FFFFFF7E"/>
    <w:multiLevelType w:val="singleLevel"/>
    <w:tmpl w:val="724C458C"/>
    <w:lvl w:ilvl="0">
      <w:start w:val="1"/>
      <w:numFmt w:val="decimal"/>
      <w:lvlText w:val="%1."/>
      <w:lvlJc w:val="left"/>
      <w:pPr>
        <w:tabs>
          <w:tab w:val="num" w:pos="1080"/>
        </w:tabs>
        <w:ind w:left="1080" w:hanging="360"/>
      </w:pPr>
    </w:lvl>
  </w:abstractNum>
  <w:abstractNum w:abstractNumId="4">
    <w:nsid w:val="FFFFFF7F"/>
    <w:multiLevelType w:val="singleLevel"/>
    <w:tmpl w:val="1366941C"/>
    <w:lvl w:ilvl="0">
      <w:start w:val="1"/>
      <w:numFmt w:val="decimal"/>
      <w:lvlText w:val="%1."/>
      <w:lvlJc w:val="left"/>
      <w:pPr>
        <w:tabs>
          <w:tab w:val="num" w:pos="720"/>
        </w:tabs>
        <w:ind w:left="720" w:hanging="360"/>
      </w:pPr>
    </w:lvl>
  </w:abstractNum>
  <w:abstractNum w:abstractNumId="5">
    <w:nsid w:val="FFFFFF80"/>
    <w:multiLevelType w:val="singleLevel"/>
    <w:tmpl w:val="52423D7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9DE8F7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3667E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32D3D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1BC5B9E"/>
    <w:lvl w:ilvl="0">
      <w:start w:val="1"/>
      <w:numFmt w:val="decimal"/>
      <w:lvlText w:val="%1."/>
      <w:lvlJc w:val="left"/>
      <w:pPr>
        <w:tabs>
          <w:tab w:val="num" w:pos="360"/>
        </w:tabs>
        <w:ind w:left="360" w:hanging="360"/>
      </w:pPr>
    </w:lvl>
  </w:abstractNum>
  <w:abstractNum w:abstractNumId="10">
    <w:nsid w:val="FFFFFF89"/>
    <w:multiLevelType w:val="singleLevel"/>
    <w:tmpl w:val="051E98BA"/>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29512C"/>
    <w:multiLevelType w:val="hybridMultilevel"/>
    <w:tmpl w:val="7194C9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0651E1A"/>
    <w:multiLevelType w:val="hybridMultilevel"/>
    <w:tmpl w:val="E29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675BB"/>
    <w:multiLevelType w:val="hybridMultilevel"/>
    <w:tmpl w:val="9DFC406E"/>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40C62C1"/>
    <w:multiLevelType w:val="hybridMultilevel"/>
    <w:tmpl w:val="7B303BE2"/>
    <w:lvl w:ilvl="0" w:tplc="9D94E0D8">
      <w:start w:val="1"/>
      <w:numFmt w:val="bullet"/>
      <w:pStyle w:val="BulletRed"/>
      <w:lvlText w:val=""/>
      <w:lvlJc w:val="left"/>
      <w:pPr>
        <w:ind w:left="1152" w:hanging="360"/>
      </w:pPr>
      <w:rPr>
        <w:rFonts w:ascii="Symbol" w:hAnsi="Symbol" w:hint="default"/>
        <w:color w:val="C0000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9A06905"/>
    <w:multiLevelType w:val="hybridMultilevel"/>
    <w:tmpl w:val="5CC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26810"/>
    <w:multiLevelType w:val="hybridMultilevel"/>
    <w:tmpl w:val="DAC0A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F08EA"/>
    <w:multiLevelType w:val="hybridMultilevel"/>
    <w:tmpl w:val="3C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4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E7236FF"/>
    <w:multiLevelType w:val="hybridMultilevel"/>
    <w:tmpl w:val="20C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39"/>
  </w:num>
  <w:num w:numId="4">
    <w:abstractNumId w:val="18"/>
  </w:num>
  <w:num w:numId="5">
    <w:abstractNumId w:val="38"/>
  </w:num>
  <w:num w:numId="6">
    <w:abstractNumId w:val="42"/>
  </w:num>
  <w:num w:numId="7">
    <w:abstractNumId w:val="32"/>
  </w:num>
  <w:num w:numId="8">
    <w:abstractNumId w:val="0"/>
  </w:num>
  <w:num w:numId="9">
    <w:abstractNumId w:val="26"/>
  </w:num>
  <w:num w:numId="10">
    <w:abstractNumId w:val="22"/>
  </w:num>
  <w:num w:numId="11">
    <w:abstractNumId w:val="28"/>
  </w:num>
  <w:num w:numId="12">
    <w:abstractNumId w:val="15"/>
  </w:num>
  <w:num w:numId="13">
    <w:abstractNumId w:val="29"/>
  </w:num>
  <w:num w:numId="14">
    <w:abstractNumId w:val="12"/>
  </w:num>
  <w:num w:numId="15">
    <w:abstractNumId w:val="24"/>
  </w:num>
  <w:num w:numId="16">
    <w:abstractNumId w:val="36"/>
  </w:num>
  <w:num w:numId="17">
    <w:abstractNumId w:val="16"/>
  </w:num>
  <w:num w:numId="18">
    <w:abstractNumId w:val="11"/>
  </w:num>
  <w:num w:numId="19">
    <w:abstractNumId w:val="20"/>
  </w:num>
  <w:num w:numId="20">
    <w:abstractNumId w:val="25"/>
  </w:num>
  <w:num w:numId="21">
    <w:abstractNumId w:val="33"/>
  </w:num>
  <w:num w:numId="22">
    <w:abstractNumId w:val="30"/>
  </w:num>
  <w:num w:numId="23">
    <w:abstractNumId w:val="14"/>
  </w:num>
  <w:num w:numId="24">
    <w:abstractNumId w:val="26"/>
    <w:lvlOverride w:ilvl="0">
      <w:startOverride w:val="1"/>
    </w:lvlOverride>
  </w:num>
  <w:num w:numId="25">
    <w:abstractNumId w:val="21"/>
  </w:num>
  <w:num w:numId="26">
    <w:abstractNumId w:val="35"/>
  </w:num>
  <w:num w:numId="27">
    <w:abstractNumId w:val="13"/>
  </w:num>
  <w:num w:numId="28">
    <w:abstractNumId w:val="23"/>
  </w:num>
  <w:num w:numId="29">
    <w:abstractNumId w:val="26"/>
    <w:lvlOverride w:ilvl="0">
      <w:startOverride w:val="1"/>
    </w:lvlOverride>
  </w:num>
  <w:num w:numId="30">
    <w:abstractNumId w:val="19"/>
  </w:num>
  <w:num w:numId="31">
    <w:abstractNumId w:val="31"/>
  </w:num>
  <w:num w:numId="32">
    <w:abstractNumId w:val="41"/>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40"/>
  </w:num>
  <w:num w:numId="44">
    <w:abstractNumId w:val="43"/>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tjS2MLMwNjU3M7FU0lEKTi0uzszPAymwqAUATFBObiwAAAA="/>
  </w:docVars>
  <w:rsids>
    <w:rsidRoot w:val="006C08D5"/>
    <w:rsid w:val="00006E9D"/>
    <w:rsid w:val="00010C8E"/>
    <w:rsid w:val="0001480A"/>
    <w:rsid w:val="000402D2"/>
    <w:rsid w:val="00065E0A"/>
    <w:rsid w:val="000732D0"/>
    <w:rsid w:val="0007338B"/>
    <w:rsid w:val="00091858"/>
    <w:rsid w:val="0009471B"/>
    <w:rsid w:val="00097C54"/>
    <w:rsid w:val="000A4592"/>
    <w:rsid w:val="000B64CD"/>
    <w:rsid w:val="000C60E0"/>
    <w:rsid w:val="000F27C9"/>
    <w:rsid w:val="000F5D9F"/>
    <w:rsid w:val="0010316F"/>
    <w:rsid w:val="00147578"/>
    <w:rsid w:val="00174EFC"/>
    <w:rsid w:val="00182909"/>
    <w:rsid w:val="0019090A"/>
    <w:rsid w:val="00190EEB"/>
    <w:rsid w:val="001930EE"/>
    <w:rsid w:val="001976C9"/>
    <w:rsid w:val="001A30DB"/>
    <w:rsid w:val="001B41C7"/>
    <w:rsid w:val="001B51E8"/>
    <w:rsid w:val="001C6294"/>
    <w:rsid w:val="001C7ABC"/>
    <w:rsid w:val="001E6729"/>
    <w:rsid w:val="001E703B"/>
    <w:rsid w:val="001E79E7"/>
    <w:rsid w:val="001F2622"/>
    <w:rsid w:val="00200940"/>
    <w:rsid w:val="00217887"/>
    <w:rsid w:val="00235177"/>
    <w:rsid w:val="002706AA"/>
    <w:rsid w:val="00271866"/>
    <w:rsid w:val="002751BA"/>
    <w:rsid w:val="0028137D"/>
    <w:rsid w:val="002940B0"/>
    <w:rsid w:val="002B3F15"/>
    <w:rsid w:val="003012C5"/>
    <w:rsid w:val="00324CE8"/>
    <w:rsid w:val="00331953"/>
    <w:rsid w:val="00345F78"/>
    <w:rsid w:val="00370A90"/>
    <w:rsid w:val="003848B7"/>
    <w:rsid w:val="0038564E"/>
    <w:rsid w:val="00397157"/>
    <w:rsid w:val="003A05D6"/>
    <w:rsid w:val="003A58B2"/>
    <w:rsid w:val="003E1FF5"/>
    <w:rsid w:val="003F1D08"/>
    <w:rsid w:val="00404187"/>
    <w:rsid w:val="00404637"/>
    <w:rsid w:val="00405B09"/>
    <w:rsid w:val="0041733F"/>
    <w:rsid w:val="00421145"/>
    <w:rsid w:val="00431491"/>
    <w:rsid w:val="00467C19"/>
    <w:rsid w:val="0047079A"/>
    <w:rsid w:val="004810C5"/>
    <w:rsid w:val="00486786"/>
    <w:rsid w:val="00487AD1"/>
    <w:rsid w:val="0049368F"/>
    <w:rsid w:val="004A68E6"/>
    <w:rsid w:val="004C2961"/>
    <w:rsid w:val="004D0F81"/>
    <w:rsid w:val="004F687B"/>
    <w:rsid w:val="0050497F"/>
    <w:rsid w:val="00517D91"/>
    <w:rsid w:val="00522345"/>
    <w:rsid w:val="00541C7F"/>
    <w:rsid w:val="0054319B"/>
    <w:rsid w:val="00565B99"/>
    <w:rsid w:val="00580EB8"/>
    <w:rsid w:val="00582C1F"/>
    <w:rsid w:val="00586317"/>
    <w:rsid w:val="005A1143"/>
    <w:rsid w:val="005A5F31"/>
    <w:rsid w:val="005B4A23"/>
    <w:rsid w:val="005B665A"/>
    <w:rsid w:val="005C7F3A"/>
    <w:rsid w:val="005E3FF3"/>
    <w:rsid w:val="005E6F57"/>
    <w:rsid w:val="005F0137"/>
    <w:rsid w:val="005F3CBB"/>
    <w:rsid w:val="005F3ED2"/>
    <w:rsid w:val="005F6A86"/>
    <w:rsid w:val="006200C4"/>
    <w:rsid w:val="00653689"/>
    <w:rsid w:val="0066793A"/>
    <w:rsid w:val="0067286F"/>
    <w:rsid w:val="006761C9"/>
    <w:rsid w:val="006833D4"/>
    <w:rsid w:val="00697035"/>
    <w:rsid w:val="006B5DE8"/>
    <w:rsid w:val="006C08D5"/>
    <w:rsid w:val="006C0AB9"/>
    <w:rsid w:val="006D0464"/>
    <w:rsid w:val="006D5B5E"/>
    <w:rsid w:val="006F382F"/>
    <w:rsid w:val="006F7196"/>
    <w:rsid w:val="00716352"/>
    <w:rsid w:val="00725F0D"/>
    <w:rsid w:val="00732A4A"/>
    <w:rsid w:val="007424E5"/>
    <w:rsid w:val="00750D87"/>
    <w:rsid w:val="007521D8"/>
    <w:rsid w:val="0076173A"/>
    <w:rsid w:val="007663EB"/>
    <w:rsid w:val="00781C60"/>
    <w:rsid w:val="007A5480"/>
    <w:rsid w:val="007C12AB"/>
    <w:rsid w:val="007D14E9"/>
    <w:rsid w:val="007F0F17"/>
    <w:rsid w:val="008032EA"/>
    <w:rsid w:val="008412CA"/>
    <w:rsid w:val="00846C39"/>
    <w:rsid w:val="00851B83"/>
    <w:rsid w:val="0086564D"/>
    <w:rsid w:val="00876181"/>
    <w:rsid w:val="00885C93"/>
    <w:rsid w:val="008A53FC"/>
    <w:rsid w:val="00907B8B"/>
    <w:rsid w:val="00917EE2"/>
    <w:rsid w:val="00925C0D"/>
    <w:rsid w:val="00940B2F"/>
    <w:rsid w:val="00957135"/>
    <w:rsid w:val="00961A06"/>
    <w:rsid w:val="009B0273"/>
    <w:rsid w:val="009C7978"/>
    <w:rsid w:val="009F2116"/>
    <w:rsid w:val="00A03050"/>
    <w:rsid w:val="00A10E35"/>
    <w:rsid w:val="00A17D22"/>
    <w:rsid w:val="00A45840"/>
    <w:rsid w:val="00A87B93"/>
    <w:rsid w:val="00A93A4A"/>
    <w:rsid w:val="00AA0DE3"/>
    <w:rsid w:val="00AA5A34"/>
    <w:rsid w:val="00AA5D35"/>
    <w:rsid w:val="00AB0C46"/>
    <w:rsid w:val="00AB2823"/>
    <w:rsid w:val="00AB2C73"/>
    <w:rsid w:val="00AD20BA"/>
    <w:rsid w:val="00AD7311"/>
    <w:rsid w:val="00AE68D3"/>
    <w:rsid w:val="00AF2051"/>
    <w:rsid w:val="00AF45BB"/>
    <w:rsid w:val="00AF6C3A"/>
    <w:rsid w:val="00AF7B0F"/>
    <w:rsid w:val="00B0174F"/>
    <w:rsid w:val="00B1000B"/>
    <w:rsid w:val="00B27B9B"/>
    <w:rsid w:val="00B31888"/>
    <w:rsid w:val="00B37194"/>
    <w:rsid w:val="00B37573"/>
    <w:rsid w:val="00B60C1E"/>
    <w:rsid w:val="00B6468D"/>
    <w:rsid w:val="00B6575C"/>
    <w:rsid w:val="00B72AA3"/>
    <w:rsid w:val="00B84587"/>
    <w:rsid w:val="00B955E2"/>
    <w:rsid w:val="00BA42EE"/>
    <w:rsid w:val="00BD3E96"/>
    <w:rsid w:val="00BD46F9"/>
    <w:rsid w:val="00BF2823"/>
    <w:rsid w:val="00BF314F"/>
    <w:rsid w:val="00C02B6B"/>
    <w:rsid w:val="00C127E4"/>
    <w:rsid w:val="00C23388"/>
    <w:rsid w:val="00C2700A"/>
    <w:rsid w:val="00C357CC"/>
    <w:rsid w:val="00C817C5"/>
    <w:rsid w:val="00C846E2"/>
    <w:rsid w:val="00C92044"/>
    <w:rsid w:val="00C93110"/>
    <w:rsid w:val="00CB7F2B"/>
    <w:rsid w:val="00CC3846"/>
    <w:rsid w:val="00CD0204"/>
    <w:rsid w:val="00CD08AC"/>
    <w:rsid w:val="00D01A3E"/>
    <w:rsid w:val="00D1151C"/>
    <w:rsid w:val="00D1229C"/>
    <w:rsid w:val="00D12FA9"/>
    <w:rsid w:val="00D16276"/>
    <w:rsid w:val="00D32271"/>
    <w:rsid w:val="00D36770"/>
    <w:rsid w:val="00D37F68"/>
    <w:rsid w:val="00D42A3E"/>
    <w:rsid w:val="00D66AD5"/>
    <w:rsid w:val="00D73C3C"/>
    <w:rsid w:val="00D744F6"/>
    <w:rsid w:val="00D852F0"/>
    <w:rsid w:val="00D97BE8"/>
    <w:rsid w:val="00DA7FB8"/>
    <w:rsid w:val="00DB0C2E"/>
    <w:rsid w:val="00DB29E0"/>
    <w:rsid w:val="00DB7DF6"/>
    <w:rsid w:val="00DD7EF2"/>
    <w:rsid w:val="00DE697B"/>
    <w:rsid w:val="00DF63FE"/>
    <w:rsid w:val="00E0170A"/>
    <w:rsid w:val="00E1351C"/>
    <w:rsid w:val="00E16BAE"/>
    <w:rsid w:val="00E60A68"/>
    <w:rsid w:val="00E74B35"/>
    <w:rsid w:val="00E76E8D"/>
    <w:rsid w:val="00E77A3F"/>
    <w:rsid w:val="00E86704"/>
    <w:rsid w:val="00E92B34"/>
    <w:rsid w:val="00EB0CD1"/>
    <w:rsid w:val="00EB6256"/>
    <w:rsid w:val="00EC13A6"/>
    <w:rsid w:val="00EC351E"/>
    <w:rsid w:val="00ED30AD"/>
    <w:rsid w:val="00F1114E"/>
    <w:rsid w:val="00F27601"/>
    <w:rsid w:val="00F31002"/>
    <w:rsid w:val="00F50A61"/>
    <w:rsid w:val="00F76106"/>
    <w:rsid w:val="00F81066"/>
    <w:rsid w:val="00F82408"/>
    <w:rsid w:val="00FA111B"/>
    <w:rsid w:val="00FA68B8"/>
    <w:rsid w:val="00FB789C"/>
    <w:rsid w:val="00FF0826"/>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aliases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FOOTNOTE"/>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FOOTNOTE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iPriority w:val="99"/>
    <w:unhideWhenUsed/>
    <w:rsid w:val="005F6A86"/>
    <w:pPr>
      <w:spacing w:before="100" w:beforeAutospacing="1" w:after="100" w:afterAutospacing="1" w:line="240" w:lineRule="auto"/>
    </w:pPr>
    <w:rPr>
      <w:rFonts w:ascii="Times New Roman" w:eastAsiaTheme="minorEastAsia" w:hAnsi="Times New Roman"/>
      <w:sz w:val="24"/>
      <w:szCs w:val="24"/>
    </w:rPr>
  </w:style>
  <w:style w:type="paragraph" w:customStyle="1" w:styleId="citation">
    <w:name w:val="citation"/>
    <w:basedOn w:val="Normal"/>
    <w:rsid w:val="00BF2823"/>
    <w:pPr>
      <w:spacing w:before="100" w:beforeAutospacing="1" w:after="100" w:afterAutospacing="1" w:line="240" w:lineRule="auto"/>
    </w:pPr>
    <w:rPr>
      <w:rFonts w:ascii="Times New Roman" w:eastAsiaTheme="minorEastAsia" w:hAnsi="Times New Roman"/>
      <w:sz w:val="24"/>
      <w:szCs w:val="24"/>
    </w:rPr>
  </w:style>
  <w:style w:type="character" w:customStyle="1" w:styleId="JournalTitle">
    <w:name w:val="JournalTitle"/>
    <w:uiPriority w:val="1"/>
    <w:qFormat/>
    <w:rsid w:val="00BF2823"/>
    <w:rPr>
      <w:i/>
    </w:rPr>
  </w:style>
  <w:style w:type="paragraph" w:customStyle="1" w:styleId="ResPubs">
    <w:name w:val="Res_Pubs"/>
    <w:basedOn w:val="Normal"/>
    <w:qFormat/>
    <w:rsid w:val="00BF2823"/>
    <w:pPr>
      <w:keepLines/>
      <w:spacing w:before="80" w:after="0" w:line="250" w:lineRule="exact"/>
    </w:pPr>
    <w:rPr>
      <w:rFonts w:ascii="Garamond" w:eastAsiaTheme="minorHAnsi" w:hAnsi="Garamond" w:cs="Arial"/>
      <w:kern w:val="22"/>
      <w14:ligatures w14:val="standard"/>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aliases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FOOTNOTE"/>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FOOTNOTE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iPriority w:val="99"/>
    <w:unhideWhenUsed/>
    <w:rsid w:val="005F6A86"/>
    <w:pPr>
      <w:spacing w:before="100" w:beforeAutospacing="1" w:after="100" w:afterAutospacing="1" w:line="240" w:lineRule="auto"/>
    </w:pPr>
    <w:rPr>
      <w:rFonts w:ascii="Times New Roman" w:eastAsiaTheme="minorEastAsia" w:hAnsi="Times New Roman"/>
      <w:sz w:val="24"/>
      <w:szCs w:val="24"/>
    </w:rPr>
  </w:style>
  <w:style w:type="paragraph" w:customStyle="1" w:styleId="citation">
    <w:name w:val="citation"/>
    <w:basedOn w:val="Normal"/>
    <w:rsid w:val="00BF2823"/>
    <w:pPr>
      <w:spacing w:before="100" w:beforeAutospacing="1" w:after="100" w:afterAutospacing="1" w:line="240" w:lineRule="auto"/>
    </w:pPr>
    <w:rPr>
      <w:rFonts w:ascii="Times New Roman" w:eastAsiaTheme="minorEastAsia" w:hAnsi="Times New Roman"/>
      <w:sz w:val="24"/>
      <w:szCs w:val="24"/>
    </w:rPr>
  </w:style>
  <w:style w:type="character" w:customStyle="1" w:styleId="JournalTitle">
    <w:name w:val="JournalTitle"/>
    <w:uiPriority w:val="1"/>
    <w:qFormat/>
    <w:rsid w:val="00BF2823"/>
    <w:rPr>
      <w:i/>
    </w:rPr>
  </w:style>
  <w:style w:type="paragraph" w:customStyle="1" w:styleId="ResPubs">
    <w:name w:val="Res_Pubs"/>
    <w:basedOn w:val="Normal"/>
    <w:qFormat/>
    <w:rsid w:val="00BF2823"/>
    <w:pPr>
      <w:keepLines/>
      <w:spacing w:before="80" w:after="0" w:line="250" w:lineRule="exact"/>
    </w:pPr>
    <w:rPr>
      <w:rFonts w:ascii="Garamond" w:eastAsiaTheme="minorHAnsi" w:hAnsi="Garamond" w:cs="Arial"/>
      <w:kern w:val="22"/>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3369">
      <w:bodyDiv w:val="1"/>
      <w:marLeft w:val="0"/>
      <w:marRight w:val="0"/>
      <w:marTop w:val="0"/>
      <w:marBottom w:val="0"/>
      <w:divBdr>
        <w:top w:val="none" w:sz="0" w:space="0" w:color="auto"/>
        <w:left w:val="none" w:sz="0" w:space="0" w:color="auto"/>
        <w:bottom w:val="none" w:sz="0" w:space="0" w:color="auto"/>
        <w:right w:val="none" w:sz="0" w:space="0" w:color="auto"/>
      </w:divBdr>
    </w:div>
    <w:div w:id="952133190">
      <w:bodyDiv w:val="1"/>
      <w:marLeft w:val="0"/>
      <w:marRight w:val="0"/>
      <w:marTop w:val="0"/>
      <w:marBottom w:val="0"/>
      <w:divBdr>
        <w:top w:val="none" w:sz="0" w:space="0" w:color="auto"/>
        <w:left w:val="none" w:sz="0" w:space="0" w:color="auto"/>
        <w:bottom w:val="none" w:sz="0" w:space="0" w:color="auto"/>
        <w:right w:val="none" w:sz="0" w:space="0" w:color="auto"/>
      </w:divBdr>
    </w:div>
    <w:div w:id="965353669">
      <w:bodyDiv w:val="1"/>
      <w:marLeft w:val="0"/>
      <w:marRight w:val="0"/>
      <w:marTop w:val="0"/>
      <w:marBottom w:val="0"/>
      <w:divBdr>
        <w:top w:val="none" w:sz="0" w:space="0" w:color="auto"/>
        <w:left w:val="none" w:sz="0" w:space="0" w:color="auto"/>
        <w:bottom w:val="none" w:sz="0" w:space="0" w:color="auto"/>
        <w:right w:val="none" w:sz="0" w:space="0" w:color="auto"/>
      </w:divBdr>
    </w:div>
    <w:div w:id="1022170877">
      <w:bodyDiv w:val="1"/>
      <w:marLeft w:val="0"/>
      <w:marRight w:val="0"/>
      <w:marTop w:val="0"/>
      <w:marBottom w:val="0"/>
      <w:divBdr>
        <w:top w:val="none" w:sz="0" w:space="0" w:color="auto"/>
        <w:left w:val="none" w:sz="0" w:space="0" w:color="auto"/>
        <w:bottom w:val="none" w:sz="0" w:space="0" w:color="auto"/>
        <w:right w:val="none" w:sz="0" w:space="0" w:color="auto"/>
      </w:divBdr>
    </w:div>
    <w:div w:id="1262377636">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sa.gov/OACT/testimony/SenateFinance_20140724.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6396-4175-4332-937B-1DD8AEB1E9A5}">
  <ds:schemaRefs>
    <ds:schemaRef ds:uri="http://schemas.microsoft.com/sharepoint/v3/contenttype/forms"/>
  </ds:schemaRefs>
</ds:datastoreItem>
</file>

<file path=customXml/itemProps2.xml><?xml version="1.0" encoding="utf-8"?>
<ds:datastoreItem xmlns:ds="http://schemas.openxmlformats.org/officeDocument/2006/customXml" ds:itemID="{83DAA38F-E052-468A-A7D8-785E5F01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79DD3E-C588-4257-A805-186C682443AE}">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2F82A96-13F7-4B47-970D-2B9694A9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16015</Words>
  <Characters>91288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Support Part A - POD October 31 responses</vt:lpstr>
    </vt:vector>
  </TitlesOfParts>
  <LinksUpToDate>false</LinksUpToDate>
  <CharactersWithSpaces>107089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Part A - POD October 31 responses</dc:title>
  <dc:creator/>
  <cp:lastModifiedBy/>
  <cp:revision>1</cp:revision>
  <dcterms:created xsi:type="dcterms:W3CDTF">2017-11-07T23:00:00Z</dcterms:created>
  <dcterms:modified xsi:type="dcterms:W3CDTF">2017-11-07T23:00:00Z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0x01010037E3A37FC1FCA140AF0145C1889E0048</vt:lpwstr>
  </property>
</Properties>
</file>