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CE" w:rsidRPr="004426CE" w:rsidRDefault="005C4386" w:rsidP="004426CE">
      <w:pPr>
        <w:jc w:val="center"/>
        <w:rPr>
          <w:rFonts w:ascii="Times New Roman" w:hAnsi="Times New Roman"/>
          <w:b/>
          <w:bCs/>
        </w:rPr>
      </w:pPr>
      <w:r w:rsidRPr="004426CE">
        <w:rPr>
          <w:rFonts w:ascii="Times New Roman" w:hAnsi="Times New Roman"/>
          <w:b/>
        </w:rPr>
        <w:t>Justification for Non-Substantive Changes</w:t>
      </w:r>
      <w:r w:rsidR="00855A2B" w:rsidRPr="004426CE">
        <w:rPr>
          <w:rFonts w:ascii="Times New Roman" w:hAnsi="Times New Roman"/>
          <w:b/>
        </w:rPr>
        <w:t xml:space="preserve"> for </w:t>
      </w:r>
      <w:r w:rsidR="004426CE">
        <w:rPr>
          <w:rFonts w:ascii="Times New Roman" w:hAnsi="Times New Roman"/>
          <w:b/>
          <w:bCs/>
        </w:rPr>
        <w:t>Form</w:t>
      </w:r>
      <w:r w:rsidR="004426CE" w:rsidRPr="004426CE">
        <w:rPr>
          <w:rFonts w:ascii="Times New Roman" w:hAnsi="Times New Roman"/>
          <w:b/>
          <w:bCs/>
        </w:rPr>
        <w:t xml:space="preserve"> SSA-157</w:t>
      </w:r>
    </w:p>
    <w:p w:rsidR="004426CE" w:rsidRPr="004426CE" w:rsidRDefault="004426CE" w:rsidP="004426C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Data</w:t>
      </w:r>
      <w:r w:rsidRPr="004426CE">
        <w:rPr>
          <w:rFonts w:ascii="Times New Roman" w:hAnsi="Times New Roman"/>
          <w:b/>
          <w:bCs/>
        </w:rPr>
        <w:t xml:space="preserve"> E</w:t>
      </w:r>
      <w:r>
        <w:rPr>
          <w:rFonts w:ascii="Times New Roman" w:hAnsi="Times New Roman"/>
          <w:b/>
          <w:bCs/>
        </w:rPr>
        <w:t>xchange</w:t>
      </w:r>
      <w:r w:rsidRPr="004426CE">
        <w:rPr>
          <w:rFonts w:ascii="Times New Roman" w:hAnsi="Times New Roman"/>
          <w:b/>
          <w:bCs/>
        </w:rPr>
        <w:t xml:space="preserve"> R</w:t>
      </w:r>
      <w:r>
        <w:rPr>
          <w:rFonts w:ascii="Times New Roman" w:hAnsi="Times New Roman"/>
          <w:b/>
          <w:bCs/>
        </w:rPr>
        <w:t>equest</w:t>
      </w:r>
      <w:r w:rsidRPr="004426CE">
        <w:rPr>
          <w:rFonts w:ascii="Times New Roman" w:hAnsi="Times New Roman"/>
          <w:b/>
          <w:bCs/>
        </w:rPr>
        <w:t xml:space="preserve"> F</w:t>
      </w:r>
      <w:r>
        <w:rPr>
          <w:rFonts w:ascii="Times New Roman" w:hAnsi="Times New Roman"/>
          <w:b/>
          <w:bCs/>
        </w:rPr>
        <w:t>orm</w:t>
      </w:r>
    </w:p>
    <w:p w:rsidR="00C03EDF" w:rsidRPr="004426CE" w:rsidRDefault="004426CE" w:rsidP="004426CE">
      <w:pPr>
        <w:jc w:val="center"/>
        <w:rPr>
          <w:rFonts w:ascii="Times New Roman" w:hAnsi="Times New Roman"/>
          <w:b/>
          <w:bCs/>
        </w:rPr>
      </w:pPr>
      <w:r w:rsidRPr="004426CE">
        <w:rPr>
          <w:rFonts w:ascii="Times New Roman" w:hAnsi="Times New Roman"/>
          <w:b/>
          <w:bCs/>
        </w:rPr>
        <w:t>OMB No. 0960-</w:t>
      </w:r>
      <w:r>
        <w:rPr>
          <w:rFonts w:ascii="Times New Roman" w:hAnsi="Times New Roman"/>
          <w:b/>
          <w:bCs/>
        </w:rPr>
        <w:t>0802</w:t>
      </w:r>
    </w:p>
    <w:p w:rsidR="004426CE" w:rsidRDefault="004426CE" w:rsidP="004426CE">
      <w:pPr>
        <w:jc w:val="center"/>
        <w:rPr>
          <w:rFonts w:ascii="Times New Roman" w:hAnsi="Times New Roman"/>
        </w:rPr>
      </w:pPr>
    </w:p>
    <w:p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="00855A2B"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RDefault="00855A2B" w:rsidP="00C03EDF">
      <w:pPr>
        <w:rPr>
          <w:rFonts w:ascii="Times New Roman" w:hAnsi="Times New Roman"/>
          <w:snapToGrid w:val="0"/>
        </w:rPr>
      </w:pPr>
    </w:p>
    <w:p w:rsidR="00262B15" w:rsidRDefault="004426CE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Revisions to the Collection Instrument</w:t>
      </w:r>
      <w:r w:rsidR="00262B15">
        <w:rPr>
          <w:rFonts w:ascii="Times New Roman" w:hAnsi="Times New Roman"/>
          <w:snapToGrid w:val="0"/>
        </w:rPr>
        <w:t>:</w:t>
      </w: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262B1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B343B">
        <w:rPr>
          <w:rFonts w:ascii="Times New Roman" w:hAnsi="Times New Roman"/>
          <w:b/>
          <w:snapToGrid w:val="0"/>
        </w:rPr>
        <w:t>Change #1:</w:t>
      </w:r>
      <w:r>
        <w:rPr>
          <w:rFonts w:ascii="Times New Roman" w:hAnsi="Times New Roman"/>
          <w:snapToGrid w:val="0"/>
        </w:rPr>
        <w:t xml:space="preserve">  </w:t>
      </w:r>
      <w:r w:rsidR="008B487E">
        <w:rPr>
          <w:rFonts w:ascii="Times New Roman" w:hAnsi="Times New Roman"/>
          <w:snapToGrid w:val="0"/>
        </w:rPr>
        <w:t xml:space="preserve">We </w:t>
      </w:r>
      <w:r w:rsidR="007125F1">
        <w:rPr>
          <w:rFonts w:ascii="Times New Roman" w:hAnsi="Times New Roman"/>
          <w:snapToGrid w:val="0"/>
        </w:rPr>
        <w:t>modified</w:t>
      </w:r>
      <w:r w:rsidR="004B343B">
        <w:rPr>
          <w:rFonts w:ascii="Times New Roman" w:hAnsi="Times New Roman"/>
          <w:snapToGrid w:val="0"/>
        </w:rPr>
        <w:t xml:space="preserve"> the </w:t>
      </w:r>
      <w:r w:rsidR="004426CE">
        <w:rPr>
          <w:rFonts w:ascii="Times New Roman" w:hAnsi="Times New Roman"/>
          <w:snapToGrid w:val="0"/>
        </w:rPr>
        <w:t>language on our website to include new directions as part of our Service to Epidemiological Researchers.</w:t>
      </w: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  <w:r w:rsidRPr="004B343B">
        <w:rPr>
          <w:rFonts w:ascii="Times New Roman" w:hAnsi="Times New Roman"/>
          <w:b/>
          <w:snapToGrid w:val="0"/>
        </w:rPr>
        <w:t>Justification #1:</w:t>
      </w:r>
      <w:r>
        <w:rPr>
          <w:rFonts w:ascii="Times New Roman" w:hAnsi="Times New Roman"/>
          <w:snapToGrid w:val="0"/>
        </w:rPr>
        <w:t xml:space="preserve">  </w:t>
      </w:r>
      <w:r w:rsidR="004426CE">
        <w:rPr>
          <w:rFonts w:ascii="Times New Roman" w:hAnsi="Times New Roman"/>
          <w:snapToGrid w:val="0"/>
        </w:rPr>
        <w:t>Our old direc</w:t>
      </w:r>
      <w:r w:rsidR="004B343B">
        <w:rPr>
          <w:rFonts w:ascii="Times New Roman" w:hAnsi="Times New Roman"/>
          <w:snapToGrid w:val="0"/>
        </w:rPr>
        <w:t>tions to the epidemiological r</w:t>
      </w:r>
      <w:r w:rsidR="004426CE">
        <w:rPr>
          <w:rFonts w:ascii="Times New Roman" w:hAnsi="Times New Roman"/>
          <w:snapToGrid w:val="0"/>
        </w:rPr>
        <w:t>esearchers had them create a separate documentation for their research request under OMB No. 0960</w:t>
      </w:r>
      <w:r w:rsidR="004426CE">
        <w:rPr>
          <w:rFonts w:ascii="Times New Roman" w:hAnsi="Times New Roman"/>
          <w:snapToGrid w:val="0"/>
        </w:rPr>
        <w:noBreakHyphen/>
        <w:t>0701; however, since we established the Data Exchange Request Form, SSA</w:t>
      </w:r>
      <w:r w:rsidR="004426CE">
        <w:rPr>
          <w:rFonts w:ascii="Times New Roman" w:hAnsi="Times New Roman"/>
          <w:snapToGrid w:val="0"/>
        </w:rPr>
        <w:noBreakHyphen/>
        <w:t>157, we no longer require any researchers to complete separate forms.  Therefore, our new directions indicate they need to complete the SSA-157 to receive the services we offer to Epidemiological researchers.</w:t>
      </w:r>
      <w:r w:rsidR="001B240F">
        <w:rPr>
          <w:rFonts w:ascii="Times New Roman" w:hAnsi="Times New Roman"/>
          <w:snapToGrid w:val="0"/>
        </w:rPr>
        <w:t xml:space="preserve">  In addition, we discontinued use of 0960-0701, as the new SSA-157 offers an easier way for researchers to request the same information from SSA.</w:t>
      </w:r>
    </w:p>
    <w:p w:rsidR="00262B15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:rsidR="00262B1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B343B">
        <w:rPr>
          <w:rFonts w:ascii="Times New Roman" w:hAnsi="Times New Roman"/>
          <w:b/>
          <w:snapToGrid w:val="0"/>
        </w:rPr>
        <w:t>Change #2:</w:t>
      </w:r>
      <w:r>
        <w:rPr>
          <w:rFonts w:ascii="Times New Roman" w:hAnsi="Times New Roman"/>
          <w:snapToGrid w:val="0"/>
        </w:rPr>
        <w:t xml:space="preserve">  </w:t>
      </w:r>
      <w:r w:rsidR="004B343B">
        <w:rPr>
          <w:rFonts w:ascii="Times New Roman" w:hAnsi="Times New Roman"/>
          <w:snapToGrid w:val="0"/>
        </w:rPr>
        <w:t xml:space="preserve">We revised our Internet directions for Requesting </w:t>
      </w:r>
      <w:proofErr w:type="gramStart"/>
      <w:r w:rsidR="004B343B">
        <w:rPr>
          <w:rFonts w:ascii="Times New Roman" w:hAnsi="Times New Roman"/>
          <w:snapToGrid w:val="0"/>
        </w:rPr>
        <w:t>An</w:t>
      </w:r>
      <w:proofErr w:type="gramEnd"/>
      <w:r w:rsidR="004B343B">
        <w:rPr>
          <w:rFonts w:ascii="Times New Roman" w:hAnsi="Times New Roman"/>
          <w:snapToGrid w:val="0"/>
        </w:rPr>
        <w:t xml:space="preserve"> Electronic Data Exchange to include requesting vital status data for epidemiological research.</w:t>
      </w:r>
    </w:p>
    <w:p w:rsidR="004B343B" w:rsidRDefault="004B343B" w:rsidP="004B343B">
      <w:pPr>
        <w:ind w:left="360"/>
        <w:rPr>
          <w:rFonts w:ascii="Times New Roman" w:hAnsi="Times New Roman"/>
          <w:snapToGrid w:val="0"/>
        </w:rPr>
      </w:pPr>
    </w:p>
    <w:p w:rsidR="004B343B" w:rsidRDefault="004B343B" w:rsidP="004B343B">
      <w:pPr>
        <w:ind w:left="360"/>
        <w:rPr>
          <w:rFonts w:ascii="Times New Roman" w:hAnsi="Times New Roman"/>
          <w:snapToGrid w:val="0"/>
        </w:rPr>
      </w:pPr>
      <w:r w:rsidRPr="004B343B">
        <w:rPr>
          <w:rFonts w:ascii="Times New Roman" w:hAnsi="Times New Roman"/>
          <w:b/>
          <w:snapToGrid w:val="0"/>
        </w:rPr>
        <w:t>Justification #2:</w:t>
      </w:r>
      <w:r>
        <w:rPr>
          <w:rFonts w:ascii="Times New Roman" w:hAnsi="Times New Roman"/>
          <w:snapToGrid w:val="0"/>
        </w:rPr>
        <w:t xml:space="preserve">  Previously we did not specifically include this data on our website for the Data Exchange Requests; however, since we discontinued our process for requesting vital status data under 0960-0701, </w:t>
      </w:r>
      <w:r w:rsidR="001B240F">
        <w:rPr>
          <w:rFonts w:ascii="Times New Roman" w:hAnsi="Times New Roman"/>
          <w:snapToGrid w:val="0"/>
        </w:rPr>
        <w:t>epidemiological researchers</w:t>
      </w:r>
      <w:r>
        <w:rPr>
          <w:rFonts w:ascii="Times New Roman" w:hAnsi="Times New Roman"/>
          <w:snapToGrid w:val="0"/>
        </w:rPr>
        <w:t xml:space="preserve"> only</w:t>
      </w:r>
      <w:r w:rsidR="001B240F">
        <w:rPr>
          <w:rFonts w:ascii="Times New Roman" w:hAnsi="Times New Roman"/>
          <w:snapToGrid w:val="0"/>
        </w:rPr>
        <w:t xml:space="preserve"> use</w:t>
      </w:r>
      <w:r>
        <w:rPr>
          <w:rFonts w:ascii="Times New Roman" w:hAnsi="Times New Roman"/>
          <w:snapToGrid w:val="0"/>
        </w:rPr>
        <w:t xml:space="preserve"> the SSA-157 (0960-0802) to complete their request for vital status or other data exchange information.</w:t>
      </w:r>
      <w:r w:rsidR="001B240F">
        <w:rPr>
          <w:rFonts w:ascii="Times New Roman" w:hAnsi="Times New Roman"/>
          <w:snapToGrid w:val="0"/>
        </w:rPr>
        <w:t xml:space="preserve">  Therefore, we included this information on our website to avoid any confusion, and allow those epidemiological researchers to find the information they wish to request faster.</w:t>
      </w:r>
    </w:p>
    <w:p w:rsidR="004B343B" w:rsidRPr="004B343B" w:rsidRDefault="004B343B" w:rsidP="004B343B">
      <w:pPr>
        <w:ind w:left="360"/>
        <w:rPr>
          <w:rFonts w:ascii="Times New Roman" w:hAnsi="Times New Roman"/>
          <w:snapToGrid w:val="0"/>
        </w:rPr>
      </w:pPr>
    </w:p>
    <w:p w:rsidR="004B343B" w:rsidRDefault="004B343B" w:rsidP="004B343B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Change #3</w:t>
      </w:r>
      <w:r w:rsidRPr="004B34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updating our burden information to include the epidemiological research requestors who previously requested information under 0960-0701.</w:t>
      </w:r>
    </w:p>
    <w:p w:rsidR="004B343B" w:rsidRDefault="004B343B" w:rsidP="004B343B">
      <w:pPr>
        <w:ind w:left="360"/>
        <w:rPr>
          <w:rFonts w:ascii="Times New Roman" w:hAnsi="Times New Roman"/>
          <w:snapToGrid w:val="0"/>
        </w:rPr>
      </w:pPr>
    </w:p>
    <w:p w:rsidR="004B343B" w:rsidRDefault="004B343B" w:rsidP="004B343B">
      <w:pPr>
        <w:ind w:left="360"/>
        <w:rPr>
          <w:rFonts w:ascii="Times New Roman" w:hAnsi="Times New Roman"/>
          <w:snapToGrid w:val="0"/>
        </w:rPr>
      </w:pPr>
      <w:r w:rsidRPr="004B343B">
        <w:rPr>
          <w:rFonts w:ascii="Times New Roman" w:hAnsi="Times New Roman"/>
          <w:b/>
          <w:snapToGrid w:val="0"/>
        </w:rPr>
        <w:t>Just</w:t>
      </w:r>
      <w:r>
        <w:rPr>
          <w:rFonts w:ascii="Times New Roman" w:hAnsi="Times New Roman"/>
          <w:b/>
          <w:snapToGrid w:val="0"/>
        </w:rPr>
        <w:t>ification #3</w:t>
      </w:r>
      <w:r w:rsidRPr="004B34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Since we discontinued 0960-0701, and replaced it with the SSA</w:t>
      </w:r>
      <w:r>
        <w:rPr>
          <w:rFonts w:ascii="Times New Roman" w:hAnsi="Times New Roman"/>
          <w:snapToGrid w:val="0"/>
        </w:rPr>
        <w:noBreakHyphen/>
        <w:t>157, we are including those researchers who previously used 0960-0701 for their epidemiological research requests under 0960-0802:</w:t>
      </w:r>
    </w:p>
    <w:p w:rsidR="004B343B" w:rsidRDefault="004B343B" w:rsidP="004B343B">
      <w:pPr>
        <w:ind w:left="360"/>
        <w:rPr>
          <w:rFonts w:ascii="Times New Roman" w:hAnsi="Times New Roman"/>
          <w:snapToGrid w:val="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87"/>
        <w:gridCol w:w="1702"/>
        <w:gridCol w:w="1643"/>
        <w:gridCol w:w="1610"/>
        <w:gridCol w:w="1628"/>
      </w:tblGrid>
      <w:tr w:rsidR="004B343B" w:rsidTr="008B487E">
        <w:tc>
          <w:tcPr>
            <w:tcW w:w="1714" w:type="dxa"/>
          </w:tcPr>
          <w:p w:rsidR="004B343B" w:rsidRPr="008B487E" w:rsidRDefault="004B343B" w:rsidP="004B343B">
            <w:pPr>
              <w:rPr>
                <w:rFonts w:ascii="Times New Roman" w:hAnsi="Times New Roman"/>
                <w:b/>
                <w:snapToGrid w:val="0"/>
              </w:rPr>
            </w:pPr>
            <w:r w:rsidRPr="008B487E">
              <w:rPr>
                <w:rFonts w:ascii="Times New Roman" w:hAnsi="Times New Roman"/>
                <w:b/>
                <w:snapToGrid w:val="0"/>
              </w:rPr>
              <w:t>Type of Respondent</w:t>
            </w:r>
          </w:p>
        </w:tc>
        <w:tc>
          <w:tcPr>
            <w:tcW w:w="1729" w:type="dxa"/>
          </w:tcPr>
          <w:p w:rsidR="004B343B" w:rsidRPr="008B487E" w:rsidRDefault="004B343B" w:rsidP="004B343B">
            <w:pPr>
              <w:rPr>
                <w:rFonts w:ascii="Times New Roman" w:hAnsi="Times New Roman"/>
                <w:b/>
                <w:snapToGrid w:val="0"/>
              </w:rPr>
            </w:pPr>
            <w:r w:rsidRPr="008B487E">
              <w:rPr>
                <w:rFonts w:ascii="Times New Roman" w:hAnsi="Times New Roman"/>
                <w:b/>
                <w:snapToGrid w:val="0"/>
              </w:rPr>
              <w:t>Number of Respondents</w:t>
            </w:r>
          </w:p>
        </w:tc>
        <w:tc>
          <w:tcPr>
            <w:tcW w:w="1694" w:type="dxa"/>
          </w:tcPr>
          <w:p w:rsidR="004B343B" w:rsidRPr="008B487E" w:rsidRDefault="004B343B" w:rsidP="004B343B">
            <w:pPr>
              <w:rPr>
                <w:rFonts w:ascii="Times New Roman" w:hAnsi="Times New Roman"/>
                <w:b/>
                <w:snapToGrid w:val="0"/>
              </w:rPr>
            </w:pPr>
            <w:r w:rsidRPr="008B487E">
              <w:rPr>
                <w:rFonts w:ascii="Times New Roman" w:hAnsi="Times New Roman"/>
                <w:b/>
                <w:snapToGrid w:val="0"/>
              </w:rPr>
              <w:t>Frequency of Response</w:t>
            </w:r>
          </w:p>
        </w:tc>
        <w:tc>
          <w:tcPr>
            <w:tcW w:w="1674" w:type="dxa"/>
          </w:tcPr>
          <w:p w:rsidR="004B343B" w:rsidRPr="008B487E" w:rsidRDefault="004B343B" w:rsidP="004B343B">
            <w:pPr>
              <w:rPr>
                <w:rFonts w:ascii="Times New Roman" w:hAnsi="Times New Roman"/>
                <w:b/>
                <w:snapToGrid w:val="0"/>
              </w:rPr>
            </w:pPr>
            <w:r w:rsidRPr="008B487E">
              <w:rPr>
                <w:rFonts w:ascii="Times New Roman" w:hAnsi="Times New Roman"/>
                <w:b/>
                <w:snapToGrid w:val="0"/>
              </w:rPr>
              <w:t>Average Burden Per Response (minutes)</w:t>
            </w:r>
          </w:p>
        </w:tc>
        <w:tc>
          <w:tcPr>
            <w:tcW w:w="1685" w:type="dxa"/>
          </w:tcPr>
          <w:p w:rsidR="004B343B" w:rsidRPr="008B487E" w:rsidRDefault="004B343B" w:rsidP="004B343B">
            <w:pPr>
              <w:rPr>
                <w:rFonts w:ascii="Times New Roman" w:hAnsi="Times New Roman"/>
                <w:b/>
                <w:snapToGrid w:val="0"/>
              </w:rPr>
            </w:pPr>
            <w:r w:rsidRPr="008B487E">
              <w:rPr>
                <w:rFonts w:ascii="Times New Roman" w:hAnsi="Times New Roman"/>
                <w:b/>
                <w:snapToGrid w:val="0"/>
              </w:rPr>
              <w:t>Estimated Total Annual Burden (hours)</w:t>
            </w:r>
          </w:p>
        </w:tc>
      </w:tr>
      <w:tr w:rsidR="008B487E" w:rsidTr="008B487E">
        <w:tc>
          <w:tcPr>
            <w:tcW w:w="1714" w:type="dxa"/>
          </w:tcPr>
          <w:p w:rsidR="008B487E" w:rsidRPr="008B487E" w:rsidRDefault="008B487E" w:rsidP="008B487E">
            <w:pPr>
              <w:rPr>
                <w:rFonts w:ascii="Times New Roman" w:hAnsi="Times New Roman"/>
              </w:rPr>
            </w:pPr>
            <w:r w:rsidRPr="008B487E">
              <w:rPr>
                <w:rFonts w:ascii="Times New Roman" w:hAnsi="Times New Roman"/>
              </w:rPr>
              <w:t>State and  local governments</w:t>
            </w:r>
          </w:p>
        </w:tc>
        <w:tc>
          <w:tcPr>
            <w:tcW w:w="1729" w:type="dxa"/>
          </w:tcPr>
          <w:p w:rsidR="008B487E" w:rsidRDefault="008B487E" w:rsidP="008B487E">
            <w:pPr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114</w:t>
            </w:r>
          </w:p>
        </w:tc>
        <w:tc>
          <w:tcPr>
            <w:tcW w:w="1694" w:type="dxa"/>
          </w:tcPr>
          <w:p w:rsidR="008B487E" w:rsidRDefault="008B487E" w:rsidP="008B487E">
            <w:pPr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1674" w:type="dxa"/>
          </w:tcPr>
          <w:p w:rsidR="008B487E" w:rsidRDefault="008B487E" w:rsidP="008B487E">
            <w:pPr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30</w:t>
            </w:r>
          </w:p>
        </w:tc>
        <w:tc>
          <w:tcPr>
            <w:tcW w:w="1685" w:type="dxa"/>
          </w:tcPr>
          <w:p w:rsidR="008B487E" w:rsidRDefault="008B487E" w:rsidP="008B487E">
            <w:pPr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57</w:t>
            </w:r>
          </w:p>
        </w:tc>
      </w:tr>
      <w:tr w:rsidR="008B487E" w:rsidTr="008B487E">
        <w:tc>
          <w:tcPr>
            <w:tcW w:w="1714" w:type="dxa"/>
          </w:tcPr>
          <w:p w:rsidR="008B487E" w:rsidRPr="008B487E" w:rsidRDefault="008B487E" w:rsidP="008B487E">
            <w:pPr>
              <w:rPr>
                <w:rFonts w:ascii="Times New Roman" w:hAnsi="Times New Roman"/>
              </w:rPr>
            </w:pPr>
            <w:r w:rsidRPr="008B487E">
              <w:rPr>
                <w:rFonts w:ascii="Times New Roman" w:hAnsi="Times New Roman"/>
              </w:rPr>
              <w:lastRenderedPageBreak/>
              <w:t>Private sector organizations</w:t>
            </w:r>
          </w:p>
        </w:tc>
        <w:tc>
          <w:tcPr>
            <w:tcW w:w="1729" w:type="dxa"/>
          </w:tcPr>
          <w:p w:rsidR="008B487E" w:rsidRDefault="008B487E" w:rsidP="008B487E">
            <w:pPr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32</w:t>
            </w:r>
          </w:p>
        </w:tc>
        <w:tc>
          <w:tcPr>
            <w:tcW w:w="1694" w:type="dxa"/>
          </w:tcPr>
          <w:p w:rsidR="008B487E" w:rsidRDefault="008B487E" w:rsidP="008B487E">
            <w:pPr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1674" w:type="dxa"/>
          </w:tcPr>
          <w:p w:rsidR="008B487E" w:rsidRDefault="008B487E" w:rsidP="008B487E">
            <w:pPr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30</w:t>
            </w:r>
          </w:p>
        </w:tc>
        <w:tc>
          <w:tcPr>
            <w:tcW w:w="1685" w:type="dxa"/>
          </w:tcPr>
          <w:p w:rsidR="008B487E" w:rsidRDefault="008B487E" w:rsidP="008B487E">
            <w:pPr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16</w:t>
            </w:r>
          </w:p>
        </w:tc>
      </w:tr>
      <w:tr w:rsidR="008B487E" w:rsidTr="008B487E">
        <w:tc>
          <w:tcPr>
            <w:tcW w:w="1714" w:type="dxa"/>
          </w:tcPr>
          <w:p w:rsidR="008B487E" w:rsidRPr="008B487E" w:rsidRDefault="008B487E" w:rsidP="008B487E">
            <w:pPr>
              <w:rPr>
                <w:rFonts w:ascii="Times New Roman" w:hAnsi="Times New Roman"/>
                <w:b/>
              </w:rPr>
            </w:pPr>
            <w:r w:rsidRPr="008B487E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729" w:type="dxa"/>
          </w:tcPr>
          <w:p w:rsidR="008B487E" w:rsidRPr="008B487E" w:rsidRDefault="008B487E" w:rsidP="008B487E">
            <w:pPr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146</w:t>
            </w:r>
          </w:p>
        </w:tc>
        <w:tc>
          <w:tcPr>
            <w:tcW w:w="1694" w:type="dxa"/>
          </w:tcPr>
          <w:p w:rsidR="008B487E" w:rsidRPr="008B487E" w:rsidRDefault="008B487E" w:rsidP="008B487E">
            <w:pPr>
              <w:rPr>
                <w:rFonts w:ascii="Times New Roman" w:hAnsi="Times New Roman"/>
                <w:b/>
                <w:snapToGrid w:val="0"/>
              </w:rPr>
            </w:pPr>
          </w:p>
        </w:tc>
        <w:tc>
          <w:tcPr>
            <w:tcW w:w="1674" w:type="dxa"/>
          </w:tcPr>
          <w:p w:rsidR="008B487E" w:rsidRPr="008B487E" w:rsidRDefault="008B487E" w:rsidP="008B487E">
            <w:pPr>
              <w:rPr>
                <w:rFonts w:ascii="Times New Roman" w:hAnsi="Times New Roman"/>
                <w:b/>
                <w:snapToGrid w:val="0"/>
              </w:rPr>
            </w:pPr>
          </w:p>
        </w:tc>
        <w:tc>
          <w:tcPr>
            <w:tcW w:w="1685" w:type="dxa"/>
          </w:tcPr>
          <w:p w:rsidR="008B487E" w:rsidRPr="008B487E" w:rsidRDefault="008B487E" w:rsidP="008B487E">
            <w:pPr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73</w:t>
            </w:r>
          </w:p>
        </w:tc>
      </w:tr>
    </w:tbl>
    <w:p w:rsidR="008B487E" w:rsidRDefault="008B487E" w:rsidP="004B343B">
      <w:pPr>
        <w:ind w:left="360"/>
        <w:rPr>
          <w:rFonts w:ascii="Times New Roman" w:hAnsi="Times New Roman"/>
          <w:snapToGrid w:val="0"/>
        </w:rPr>
      </w:pPr>
    </w:p>
    <w:p w:rsidR="008B487E" w:rsidRDefault="008B487E" w:rsidP="008B487E">
      <w:pPr>
        <w:ind w:left="90"/>
        <w:rPr>
          <w:rFonts w:ascii="Times New Roman" w:hAnsi="Times New Roman"/>
          <w:snapToGrid w:val="0"/>
        </w:rPr>
      </w:pPr>
      <w:r w:rsidRPr="008B3EA6">
        <w:rPr>
          <w:rFonts w:ascii="Times New Roman" w:hAnsi="Times New Roman"/>
          <w:b/>
          <w:snapToGrid w:val="0"/>
        </w:rPr>
        <w:t xml:space="preserve">Note: </w:t>
      </w:r>
      <w:r>
        <w:rPr>
          <w:rFonts w:ascii="Times New Roman" w:hAnsi="Times New Roman"/>
          <w:snapToGrid w:val="0"/>
        </w:rPr>
        <w:t xml:space="preserve"> We </w:t>
      </w:r>
      <w:r w:rsidR="008B3EA6">
        <w:rPr>
          <w:rFonts w:ascii="Times New Roman" w:hAnsi="Times New Roman"/>
          <w:snapToGrid w:val="0"/>
        </w:rPr>
        <w:t xml:space="preserve">inadvertently did not submit these revisions in </w:t>
      </w:r>
      <w:r w:rsidR="00233387">
        <w:rPr>
          <w:rFonts w:ascii="Times New Roman" w:hAnsi="Times New Roman"/>
          <w:snapToGrid w:val="0"/>
        </w:rPr>
        <w:t>February 2017</w:t>
      </w:r>
      <w:r w:rsidR="008B3EA6">
        <w:rPr>
          <w:rFonts w:ascii="Times New Roman" w:hAnsi="Times New Roman"/>
          <w:snapToGrid w:val="0"/>
        </w:rPr>
        <w:t xml:space="preserve"> when we </w:t>
      </w:r>
      <w:r>
        <w:rPr>
          <w:rFonts w:ascii="Times New Roman" w:hAnsi="Times New Roman"/>
          <w:snapToGrid w:val="0"/>
        </w:rPr>
        <w:t>began using the SSA-157 to complete all Internet data exchange requests, including the epidemiological requests</w:t>
      </w:r>
      <w:r w:rsidR="008B3EA6">
        <w:rPr>
          <w:rFonts w:ascii="Times New Roman" w:hAnsi="Times New Roman"/>
          <w:snapToGrid w:val="0"/>
        </w:rPr>
        <w:t>.  We are correcting that oversight now, to bring these changes into compliance with the PRA.  We understand that this lapse</w:t>
      </w:r>
      <w:bookmarkStart w:id="0" w:name="_GoBack"/>
      <w:bookmarkEnd w:id="0"/>
      <w:r w:rsidR="008B3EA6">
        <w:rPr>
          <w:rFonts w:ascii="Times New Roman" w:hAnsi="Times New Roman"/>
          <w:snapToGrid w:val="0"/>
        </w:rPr>
        <w:t xml:space="preserve"> is a </w:t>
      </w:r>
      <w:r>
        <w:rPr>
          <w:rFonts w:ascii="Times New Roman" w:hAnsi="Times New Roman"/>
          <w:snapToGrid w:val="0"/>
        </w:rPr>
        <w:t>violation of the PRA</w:t>
      </w:r>
      <w:r w:rsidR="008B3EA6">
        <w:rPr>
          <w:rFonts w:ascii="Times New Roman" w:hAnsi="Times New Roman"/>
          <w:snapToGrid w:val="0"/>
        </w:rPr>
        <w:t>; t</w:t>
      </w:r>
      <w:r>
        <w:rPr>
          <w:rFonts w:ascii="Times New Roman" w:hAnsi="Times New Roman"/>
          <w:snapToGrid w:val="0"/>
        </w:rPr>
        <w:t>herefore, we will list this as a violation of the PRA in our next ICB submission.</w:t>
      </w:r>
    </w:p>
    <w:p w:rsidR="00330A53" w:rsidRDefault="00330A53" w:rsidP="00C03EDF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240F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3387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26C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343B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5F1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B3EA6"/>
    <w:rsid w:val="008B487E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71FA9-7836-4F7E-B7E4-F54DC017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table" w:styleId="TableGrid">
    <w:name w:val="Table Grid"/>
    <w:basedOn w:val="TableNormal"/>
    <w:rsid w:val="004B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 </vt:lpstr>
    </vt:vector>
  </TitlesOfParts>
  <Company>Social Security Administration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Sipple, Naomi</cp:lastModifiedBy>
  <cp:revision>5</cp:revision>
  <dcterms:created xsi:type="dcterms:W3CDTF">2017-04-14T08:25:00Z</dcterms:created>
  <dcterms:modified xsi:type="dcterms:W3CDTF">2017-04-14T11:32:00Z</dcterms:modified>
</cp:coreProperties>
</file>