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A36AC" w14:textId="77777777" w:rsidR="00A230D2" w:rsidRPr="006C6EAA" w:rsidRDefault="00A230D2" w:rsidP="00A230D2">
      <w:pPr>
        <w:jc w:val="center"/>
        <w:rPr>
          <w:rFonts w:ascii="Arial" w:hAnsi="Arial" w:cs="Arial"/>
          <w:b/>
          <w:sz w:val="36"/>
          <w:szCs w:val="36"/>
        </w:rPr>
      </w:pPr>
      <w:r w:rsidRPr="006C6EAA">
        <w:rPr>
          <w:rFonts w:ascii="Arial" w:hAnsi="Arial" w:cs="Arial"/>
          <w:b/>
          <w:sz w:val="36"/>
          <w:szCs w:val="36"/>
        </w:rPr>
        <w:t>Evaluating Coverage to Care</w:t>
      </w:r>
    </w:p>
    <w:p w14:paraId="0620339D" w14:textId="77777777" w:rsidR="00A230D2" w:rsidRPr="006C6EAA" w:rsidRDefault="00A230D2" w:rsidP="00A230D2">
      <w:pPr>
        <w:jc w:val="center"/>
        <w:rPr>
          <w:rFonts w:ascii="Times New Roman" w:hAnsi="Times New Roman" w:cs="Times New Roman"/>
          <w:b/>
          <w:sz w:val="36"/>
          <w:szCs w:val="36"/>
        </w:rPr>
      </w:pPr>
    </w:p>
    <w:p w14:paraId="1C68BA52" w14:textId="77777777" w:rsidR="00A230D2" w:rsidRPr="006C6EAA" w:rsidRDefault="00A230D2" w:rsidP="00A230D2">
      <w:pPr>
        <w:jc w:val="center"/>
        <w:rPr>
          <w:rFonts w:ascii="Arial" w:hAnsi="Arial" w:cs="Arial"/>
          <w:b/>
          <w:sz w:val="32"/>
          <w:szCs w:val="32"/>
        </w:rPr>
      </w:pPr>
      <w:r w:rsidRPr="006C6EAA">
        <w:rPr>
          <w:rFonts w:ascii="Arial" w:hAnsi="Arial" w:cs="Arial"/>
          <w:b/>
          <w:sz w:val="32"/>
          <w:szCs w:val="32"/>
        </w:rPr>
        <w:t>Supporting Statement Part A for OMB Approval</w:t>
      </w:r>
    </w:p>
    <w:p w14:paraId="78C09CAC" w14:textId="77777777" w:rsidR="00A230D2" w:rsidRPr="006C6EAA" w:rsidRDefault="00A230D2" w:rsidP="00A230D2">
      <w:pPr>
        <w:jc w:val="center"/>
        <w:rPr>
          <w:rFonts w:ascii="Times New Roman" w:hAnsi="Times New Roman" w:cs="Times New Roman"/>
          <w:b/>
          <w:sz w:val="32"/>
          <w:szCs w:val="32"/>
        </w:rPr>
      </w:pPr>
    </w:p>
    <w:p w14:paraId="21C247C5" w14:textId="1CB14D7C" w:rsidR="00A230D2" w:rsidRPr="006C6EAA" w:rsidRDefault="00632B4F" w:rsidP="00A230D2">
      <w:pPr>
        <w:jc w:val="center"/>
        <w:rPr>
          <w:rFonts w:ascii="Times New Roman" w:hAnsi="Times New Roman" w:cs="Times New Roman"/>
          <w:b/>
          <w:sz w:val="26"/>
          <w:szCs w:val="26"/>
        </w:rPr>
      </w:pPr>
      <w:r>
        <w:rPr>
          <w:rFonts w:ascii="Times New Roman" w:hAnsi="Times New Roman" w:cs="Times New Roman"/>
          <w:b/>
          <w:sz w:val="26"/>
          <w:szCs w:val="26"/>
        </w:rPr>
        <w:t>(</w:t>
      </w:r>
      <w:bookmarkStart w:id="0" w:name="_GoBack"/>
      <w:bookmarkEnd w:id="0"/>
      <w:r>
        <w:rPr>
          <w:rFonts w:ascii="Times New Roman" w:hAnsi="Times New Roman" w:cs="Times New Roman"/>
          <w:b/>
          <w:sz w:val="26"/>
          <w:szCs w:val="26"/>
        </w:rPr>
        <w:t>CMS-10632; 0938-New)</w:t>
      </w:r>
    </w:p>
    <w:p w14:paraId="35481C18" w14:textId="77777777" w:rsidR="00A230D2" w:rsidRPr="006C6EAA" w:rsidRDefault="00A230D2" w:rsidP="00A230D2">
      <w:pPr>
        <w:rPr>
          <w:rFonts w:ascii="Times New Roman" w:hAnsi="Times New Roman" w:cs="Times New Roman"/>
          <w:b/>
        </w:rPr>
      </w:pPr>
      <w:r w:rsidRPr="006C6EAA">
        <w:rPr>
          <w:rFonts w:ascii="Times New Roman" w:hAnsi="Times New Roman" w:cs="Times New Roman"/>
          <w:b/>
        </w:rPr>
        <w:br w:type="page"/>
      </w:r>
    </w:p>
    <w:p w14:paraId="2A6AA228" w14:textId="77777777" w:rsidR="00A230D2" w:rsidRPr="006C6EAA" w:rsidRDefault="00A230D2" w:rsidP="00A230D2">
      <w:pPr>
        <w:rPr>
          <w:rFonts w:ascii="Arial" w:hAnsi="Arial" w:cs="Arial"/>
          <w:b/>
          <w:sz w:val="28"/>
          <w:szCs w:val="28"/>
        </w:rPr>
      </w:pPr>
      <w:r w:rsidRPr="006C6EAA">
        <w:rPr>
          <w:rFonts w:ascii="Arial" w:hAnsi="Arial" w:cs="Arial"/>
          <w:b/>
          <w:sz w:val="28"/>
          <w:szCs w:val="28"/>
        </w:rPr>
        <w:lastRenderedPageBreak/>
        <w:t>A.</w:t>
      </w:r>
      <w:r w:rsidRPr="006C6EAA">
        <w:rPr>
          <w:rFonts w:ascii="Arial" w:hAnsi="Arial" w:cs="Arial"/>
          <w:b/>
          <w:sz w:val="28"/>
          <w:szCs w:val="28"/>
        </w:rPr>
        <w:tab/>
        <w:t>Justification</w:t>
      </w:r>
    </w:p>
    <w:p w14:paraId="57DB9F6A" w14:textId="77777777" w:rsidR="00A230D2" w:rsidRPr="006C6EAA" w:rsidRDefault="00A230D2" w:rsidP="00A230D2">
      <w:pPr>
        <w:rPr>
          <w:rFonts w:ascii="Times New Roman" w:hAnsi="Times New Roman" w:cs="Times New Roman"/>
          <w:b/>
        </w:rPr>
      </w:pPr>
    </w:p>
    <w:p w14:paraId="1F7F78E8" w14:textId="77777777" w:rsidR="00A230D2" w:rsidRPr="006C6EAA" w:rsidRDefault="00A230D2" w:rsidP="00A230D2">
      <w:pPr>
        <w:rPr>
          <w:rFonts w:ascii="Times New Roman" w:hAnsi="Times New Roman" w:cs="Times New Roman"/>
        </w:rPr>
      </w:pPr>
      <w:r w:rsidRPr="006C6EAA">
        <w:rPr>
          <w:rFonts w:ascii="Times New Roman" w:hAnsi="Times New Roman" w:cs="Times New Roman"/>
        </w:rPr>
        <w:t xml:space="preserve">The Office of Minority Health (OMH) of the Center for Medicare &amp; Medicaid Services (CMS) of the Department of Health and Human Services (DHHS) is requesting Office of Management and Budget (OMB) clearance for the Evaluation of Coverage to Care (C2C) study. </w:t>
      </w:r>
    </w:p>
    <w:p w14:paraId="784E161F" w14:textId="77777777" w:rsidR="00A230D2" w:rsidRPr="006C6EAA" w:rsidRDefault="00A230D2" w:rsidP="00A230D2">
      <w:pPr>
        <w:rPr>
          <w:rFonts w:ascii="Times New Roman" w:hAnsi="Times New Roman" w:cs="Times New Roman"/>
        </w:rPr>
      </w:pPr>
    </w:p>
    <w:p w14:paraId="66B3AC27" w14:textId="77777777" w:rsidR="00A230D2" w:rsidRPr="006C6EAA" w:rsidRDefault="00A230D2" w:rsidP="00A230D2">
      <w:pPr>
        <w:rPr>
          <w:rFonts w:ascii="Arial" w:hAnsi="Arial" w:cs="Arial"/>
          <w:b/>
          <w:sz w:val="28"/>
          <w:szCs w:val="28"/>
        </w:rPr>
      </w:pPr>
      <w:r w:rsidRPr="006C6EAA">
        <w:rPr>
          <w:rFonts w:ascii="Arial" w:hAnsi="Arial" w:cs="Arial"/>
          <w:b/>
          <w:sz w:val="28"/>
          <w:szCs w:val="28"/>
        </w:rPr>
        <w:t>A.1.</w:t>
      </w:r>
      <w:r w:rsidRPr="006C6EAA">
        <w:rPr>
          <w:rFonts w:ascii="Arial" w:hAnsi="Arial" w:cs="Arial"/>
          <w:b/>
          <w:sz w:val="28"/>
          <w:szCs w:val="28"/>
        </w:rPr>
        <w:tab/>
        <w:t>Circumstances Making the Collection of Information Necessary</w:t>
      </w:r>
    </w:p>
    <w:p w14:paraId="15E04EFA" w14:textId="77777777" w:rsidR="00A230D2" w:rsidRPr="006C6EAA" w:rsidRDefault="00A230D2" w:rsidP="00A230D2">
      <w:pPr>
        <w:rPr>
          <w:rFonts w:ascii="Times New Roman" w:hAnsi="Times New Roman" w:cs="Times New Roman"/>
          <w:b/>
          <w:sz w:val="28"/>
          <w:szCs w:val="28"/>
        </w:rPr>
      </w:pPr>
    </w:p>
    <w:p w14:paraId="59429B7E" w14:textId="77777777" w:rsidR="00A230D2" w:rsidRPr="006C6EAA" w:rsidRDefault="00A230D2" w:rsidP="00A230D2">
      <w:pPr>
        <w:rPr>
          <w:rFonts w:ascii="Arial" w:hAnsi="Arial" w:cs="Arial"/>
          <w:b/>
          <w:sz w:val="24"/>
          <w:szCs w:val="24"/>
        </w:rPr>
      </w:pPr>
      <w:r w:rsidRPr="006C6EAA">
        <w:rPr>
          <w:rFonts w:ascii="Arial" w:hAnsi="Arial" w:cs="Arial"/>
          <w:b/>
          <w:sz w:val="24"/>
          <w:szCs w:val="24"/>
        </w:rPr>
        <w:t>A.1.1. Overview of Request</w:t>
      </w:r>
    </w:p>
    <w:p w14:paraId="6B542655" w14:textId="77777777" w:rsidR="00A230D2" w:rsidRPr="006C6EAA" w:rsidRDefault="00A230D2" w:rsidP="00A230D2">
      <w:pPr>
        <w:rPr>
          <w:rFonts w:ascii="Times New Roman" w:hAnsi="Times New Roman" w:cs="Times New Roman"/>
          <w:b/>
        </w:rPr>
      </w:pPr>
    </w:p>
    <w:p w14:paraId="164F8ADC" w14:textId="77777777" w:rsidR="00A230D2" w:rsidRPr="006C6EAA" w:rsidRDefault="00A230D2" w:rsidP="00A230D2">
      <w:pPr>
        <w:rPr>
          <w:rFonts w:ascii="Times New Roman" w:hAnsi="Times New Roman" w:cs="Times New Roman"/>
        </w:rPr>
      </w:pPr>
      <w:r w:rsidRPr="006C6EAA">
        <w:rPr>
          <w:rFonts w:ascii="Times New Roman" w:hAnsi="Times New Roman" w:cs="Times New Roman"/>
        </w:rPr>
        <w:t xml:space="preserve">CMS OMH has contracted with the RAND Corporation to evaluate </w:t>
      </w:r>
      <w:r>
        <w:rPr>
          <w:rFonts w:ascii="Times New Roman" w:hAnsi="Times New Roman" w:cs="Times New Roman"/>
        </w:rPr>
        <w:t xml:space="preserve">From </w:t>
      </w:r>
      <w:r w:rsidRPr="006C6EAA">
        <w:rPr>
          <w:rFonts w:ascii="Times New Roman" w:hAnsi="Times New Roman" w:cs="Times New Roman"/>
        </w:rPr>
        <w:t>Coverage to Care (C2C). This section provides an overview of the study and discusses its objectives and the need for the proposed information collection.</w:t>
      </w:r>
    </w:p>
    <w:p w14:paraId="048ED6B1" w14:textId="77777777" w:rsidR="00A230D2" w:rsidRPr="006C6EAA" w:rsidRDefault="00A230D2" w:rsidP="00A230D2">
      <w:pPr>
        <w:rPr>
          <w:rFonts w:ascii="Times New Roman" w:hAnsi="Times New Roman" w:cs="Times New Roman"/>
        </w:rPr>
      </w:pPr>
    </w:p>
    <w:p w14:paraId="76CF03B0" w14:textId="77777777" w:rsidR="00A230D2" w:rsidRPr="006C6EAA" w:rsidRDefault="00A230D2" w:rsidP="00A230D2">
      <w:pPr>
        <w:rPr>
          <w:rFonts w:ascii="Times New Roman" w:hAnsi="Times New Roman" w:cs="Times New Roman"/>
        </w:rPr>
      </w:pPr>
      <w:r w:rsidRPr="006C6EAA">
        <w:rPr>
          <w:rFonts w:ascii="Times New Roman" w:hAnsi="Times New Roman" w:cs="Times New Roman"/>
        </w:rPr>
        <w:t>From the beginning of the Affordable Care Act’s implementation, the Centers for Medicare &amp; Medicaid Services, Office of Minority Health (CMS OMH) recognized that achieving better health and reduced health care costs would require individuals to take an active role in their health care and regularly use primary and preventive care services. To address this need, CMS OMH launched From Coverage to Care (C2C) in June 2014. C2C was designed to help consumers understand what it means to have health insurance coverage, how to find a provider, when and where to seek appropriate health services, and why prevention and partnering with a provider is important for achieving optimal health. It was also designed to equip health care providers and stakeholders in the community who support consumers’ connection to care with the tools needed to promote consumer engagement and to promote changes in the health care system that improve access to care. As part of C2C, CMS produced a range of consumer-oriented materials, both web-based and in print. The most in-depth of the print materials is an eight-step booklet titled “A Roadmap to Better Care and a Healthier You.” Based on the need for the information to be communicated in smaller, more digestible packets, booklets were developed to correspond to each of the eight steps. Four of the most popular pages of the Roadmap have been made available as single-page handouts for easier distribution. These materials are currently available in eight languages, including English, Spanish, Arabic, Chinese, Haitian Creole, Korean, Russian, and Vietnamese.</w:t>
      </w:r>
    </w:p>
    <w:p w14:paraId="7ECD6A66" w14:textId="77777777" w:rsidR="00A230D2" w:rsidRPr="006C6EAA" w:rsidRDefault="00A230D2" w:rsidP="00A230D2">
      <w:pPr>
        <w:rPr>
          <w:rFonts w:ascii="Times New Roman" w:hAnsi="Times New Roman" w:cs="Times New Roman"/>
        </w:rPr>
      </w:pPr>
    </w:p>
    <w:p w14:paraId="2977C7D0" w14:textId="77777777" w:rsidR="00A230D2" w:rsidRPr="006C6EAA" w:rsidRDefault="00A230D2" w:rsidP="00A230D2">
      <w:pPr>
        <w:autoSpaceDE w:val="0"/>
        <w:autoSpaceDN w:val="0"/>
        <w:adjustRightInd w:val="0"/>
        <w:rPr>
          <w:rFonts w:ascii="Times New Roman" w:hAnsi="Times New Roman" w:cs="Times New Roman"/>
        </w:rPr>
      </w:pPr>
      <w:r w:rsidRPr="006C6EAA">
        <w:rPr>
          <w:rFonts w:ascii="Times New Roman" w:hAnsi="Times New Roman" w:cs="Times New Roman"/>
        </w:rPr>
        <w:t>Since the national launch in 2014, CMS has disseminated C2C through speaking engagements, webinars, and meetings sponsored by CMS regional offices. CMS fills product orders and recently completed a redesign of the C2C website. C2C has grown to address emerging needs of consumers, as well as stakeholders or organizations that work with and support consumers, across the full continuum of health insurance and care: plan selection, enrollment, finding a provider, and engaging in care over time.</w:t>
      </w:r>
    </w:p>
    <w:p w14:paraId="73393AAB" w14:textId="77777777" w:rsidR="00A230D2" w:rsidRPr="006C6EAA" w:rsidRDefault="00A230D2" w:rsidP="00A230D2">
      <w:pPr>
        <w:rPr>
          <w:rFonts w:ascii="Times New Roman" w:hAnsi="Times New Roman" w:cs="Times New Roman"/>
        </w:rPr>
      </w:pPr>
    </w:p>
    <w:p w14:paraId="758CB697" w14:textId="77777777" w:rsidR="00A230D2" w:rsidRPr="006C6EAA" w:rsidRDefault="00A230D2" w:rsidP="00A230D2">
      <w:pPr>
        <w:rPr>
          <w:rFonts w:ascii="Times New Roman" w:hAnsi="Times New Roman" w:cs="Times New Roman"/>
        </w:rPr>
      </w:pPr>
      <w:r w:rsidRPr="006C6EAA">
        <w:rPr>
          <w:rFonts w:ascii="Times New Roman" w:hAnsi="Times New Roman" w:cs="Times New Roman"/>
        </w:rPr>
        <w:t xml:space="preserve">RAND spent the past year designing and preparing for this evaluation to assess C2C’s impact on consumer health insurance literacy and care utilization. This evaluation will also help CMS understand how C2C is spread within a community and disseminated to consumers, and in turn how best to maximize C2C’s impact. The next three years will be dedicated to implementing the evaluation described in this submission. We are proposing four data collection activities: 1) A cross-sectional survey of organizations that have ordered and used the materials with consumers; 2) A cross-sectional survey of consumers, drawn from the Knowledge Networks panel, to measure the </w:t>
      </w:r>
      <w:r>
        <w:rPr>
          <w:rFonts w:ascii="Times New Roman" w:hAnsi="Times New Roman" w:cs="Times New Roman"/>
        </w:rPr>
        <w:t xml:space="preserve">association </w:t>
      </w:r>
      <w:r>
        <w:rPr>
          <w:rFonts w:ascii="Times New Roman" w:hAnsi="Times New Roman" w:cs="Times New Roman"/>
        </w:rPr>
        <w:lastRenderedPageBreak/>
        <w:t>between</w:t>
      </w:r>
      <w:r w:rsidRPr="006C6EAA">
        <w:rPr>
          <w:rFonts w:ascii="Times New Roman" w:hAnsi="Times New Roman" w:cs="Times New Roman"/>
        </w:rPr>
        <w:t xml:space="preserve"> C2C </w:t>
      </w:r>
      <w:r>
        <w:rPr>
          <w:rFonts w:ascii="Times New Roman" w:hAnsi="Times New Roman" w:cs="Times New Roman"/>
        </w:rPr>
        <w:t>and</w:t>
      </w:r>
      <w:r w:rsidRPr="006C6EAA">
        <w:rPr>
          <w:rFonts w:ascii="Times New Roman" w:hAnsi="Times New Roman" w:cs="Times New Roman"/>
        </w:rPr>
        <w:t xml:space="preserve"> consumer knowledge and behavior; 3) semi-structured interviews with staff from a limited set of community organizations as part of a case study; and (4) focus groups of consumers as part of a case study. The case study will be conducted in a community where English is not the preferred language, and where C2C materials in another language (e.g., Spanish, Arabic, Chinese, Haitian Creole, Korean, Russian, and Vietnamese) were used with consumers.</w:t>
      </w:r>
    </w:p>
    <w:p w14:paraId="3245C474" w14:textId="77777777" w:rsidR="00A230D2" w:rsidRPr="006C6EAA" w:rsidRDefault="00A230D2" w:rsidP="00A230D2">
      <w:pPr>
        <w:rPr>
          <w:rFonts w:ascii="Times New Roman" w:hAnsi="Times New Roman" w:cs="Times New Roman"/>
        </w:rPr>
      </w:pPr>
    </w:p>
    <w:p w14:paraId="398E6AE3" w14:textId="77777777" w:rsidR="00A230D2" w:rsidRPr="006C6EAA" w:rsidRDefault="00A230D2" w:rsidP="00A230D2">
      <w:pPr>
        <w:rPr>
          <w:rFonts w:ascii="Arial" w:hAnsi="Arial" w:cs="Arial"/>
          <w:b/>
          <w:sz w:val="24"/>
          <w:szCs w:val="24"/>
        </w:rPr>
      </w:pPr>
      <w:r w:rsidRPr="006C6EAA">
        <w:rPr>
          <w:rFonts w:ascii="Arial" w:hAnsi="Arial" w:cs="Arial"/>
          <w:b/>
          <w:sz w:val="24"/>
          <w:szCs w:val="24"/>
        </w:rPr>
        <w:t>A.1.2. Study Context and Rationale</w:t>
      </w:r>
    </w:p>
    <w:p w14:paraId="27A74AA7" w14:textId="77777777" w:rsidR="00A230D2" w:rsidRPr="006C6EAA" w:rsidRDefault="00A230D2" w:rsidP="00A230D2">
      <w:pPr>
        <w:rPr>
          <w:rFonts w:ascii="Times New Roman" w:hAnsi="Times New Roman" w:cs="Times New Roman"/>
        </w:rPr>
      </w:pPr>
    </w:p>
    <w:p w14:paraId="57E7A762" w14:textId="77777777" w:rsidR="00A230D2" w:rsidRPr="006C6EAA" w:rsidRDefault="00A230D2" w:rsidP="00A230D2">
      <w:pPr>
        <w:rPr>
          <w:rFonts w:ascii="Times New Roman" w:hAnsi="Times New Roman" w:cs="Times New Roman"/>
        </w:rPr>
      </w:pPr>
      <w:r w:rsidRPr="006C6EAA">
        <w:rPr>
          <w:rFonts w:ascii="Times New Roman" w:hAnsi="Times New Roman" w:cs="Times New Roman"/>
        </w:rPr>
        <w:t xml:space="preserve">The proposed evaluation is intended to achieve two separate but related goals. </w:t>
      </w:r>
      <w:r w:rsidRPr="006C6EAA" w:rsidDel="00F50DC2">
        <w:rPr>
          <w:rFonts w:ascii="Times New Roman" w:hAnsi="Times New Roman" w:cs="Times New Roman"/>
        </w:rPr>
        <w:t xml:space="preserve">First, </w:t>
      </w:r>
      <w:r w:rsidRPr="006C6EAA">
        <w:rPr>
          <w:rFonts w:ascii="Times New Roman" w:hAnsi="Times New Roman" w:cs="Times New Roman"/>
        </w:rPr>
        <w:t xml:space="preserve">it will provide information that will support CMS OMH to maximize the impact of C2C at the local, state, and national levels. The evaluation will support selecting the best dissemination activities to maximize the spread of C2C, developing new messaging on preventive visits and primary care, and creating additional products to fill critical gaps. Second, findings from the evaluation will help CMS to assess whether and how C2C improves consumer health literacy and care utilization. </w:t>
      </w:r>
    </w:p>
    <w:p w14:paraId="6D0D35B6" w14:textId="77777777" w:rsidR="00A230D2" w:rsidRPr="006C6EAA" w:rsidRDefault="00A230D2" w:rsidP="00A230D2">
      <w:pPr>
        <w:rPr>
          <w:rFonts w:ascii="Times New Roman" w:hAnsi="Times New Roman" w:cs="Times New Roman"/>
        </w:rPr>
      </w:pPr>
    </w:p>
    <w:p w14:paraId="2ED28287" w14:textId="77777777" w:rsidR="00A230D2" w:rsidRPr="006C6EAA" w:rsidRDefault="00A230D2" w:rsidP="00A230D2">
      <w:pPr>
        <w:rPr>
          <w:rFonts w:ascii="Times New Roman" w:hAnsi="Times New Roman" w:cs="Times New Roman"/>
        </w:rPr>
      </w:pPr>
      <w:r w:rsidRPr="006C6EAA">
        <w:rPr>
          <w:rFonts w:ascii="Times New Roman" w:hAnsi="Times New Roman" w:cs="Times New Roman"/>
        </w:rPr>
        <w:t xml:space="preserve">Although C2C includes a range of print and on-line materials and resources, it is not considered to be a “program” or “initiative” with guidance on what and how the materials should be used or implemented within the community.  As a result, organizations have significant flexibility to use, and even customize the materials, and to implement them in a way that meets their needs. Conversations that occurred with six organizations during the planning year for this evaluation found that organizations range from passive distribution of materials (e.g., leaving them on a resource table) to very active distribution (e.g., walking consumers through specific pages or sections of the Roadmap). With this flexibility, however, comes the challenge of understanding how C2C is being spread within a community and the impact that C2C is having on organizations and consumers. As discussed in more detail in the sections that follow, this study seeks to gain that understanding by collecting much needed data to inform future directions of C2C to most effectively and efficiently maximize its impact. </w:t>
      </w:r>
    </w:p>
    <w:p w14:paraId="5CE62ED0" w14:textId="77777777" w:rsidR="00A230D2" w:rsidRPr="006C6EAA" w:rsidRDefault="00A230D2" w:rsidP="00A230D2">
      <w:pPr>
        <w:ind w:firstLine="360"/>
        <w:rPr>
          <w:rFonts w:ascii="Times New Roman" w:hAnsi="Times New Roman" w:cs="Times New Roman"/>
        </w:rPr>
      </w:pPr>
    </w:p>
    <w:p w14:paraId="059EBD21" w14:textId="77777777" w:rsidR="00A230D2" w:rsidRPr="006C6EAA" w:rsidRDefault="00A230D2" w:rsidP="00A230D2">
      <w:pPr>
        <w:rPr>
          <w:rFonts w:ascii="Times New Roman" w:hAnsi="Times New Roman" w:cs="Times New Roman"/>
        </w:rPr>
      </w:pPr>
      <w:r w:rsidRPr="006C6EAA">
        <w:rPr>
          <w:rFonts w:ascii="Times New Roman" w:hAnsi="Times New Roman" w:cs="Times New Roman"/>
        </w:rPr>
        <w:t>This study is guided by a conceptual framework (see Exhibit A.1.1.) that outlines the diffusion of C2C, based on Rogers’s Diff</w:t>
      </w:r>
      <w:r>
        <w:rPr>
          <w:rFonts w:ascii="Times New Roman" w:hAnsi="Times New Roman" w:cs="Times New Roman"/>
        </w:rPr>
        <w:t>usion of Innovation theory</w:t>
      </w:r>
      <w:r w:rsidRPr="006C6EAA">
        <w:rPr>
          <w:rFonts w:ascii="Times New Roman" w:hAnsi="Times New Roman" w:cs="Times New Roman"/>
        </w:rPr>
        <w:t>.</w:t>
      </w:r>
      <w:r>
        <w:rPr>
          <w:rStyle w:val="FootnoteReference"/>
          <w:rFonts w:ascii="Times New Roman" w:hAnsi="Times New Roman" w:cs="Times New Roman"/>
        </w:rPr>
        <w:footnoteReference w:id="1"/>
      </w:r>
      <w:r w:rsidRPr="006C6EAA">
        <w:rPr>
          <w:rFonts w:ascii="Times New Roman" w:hAnsi="Times New Roman" w:cs="Times New Roman"/>
        </w:rPr>
        <w:t xml:space="preserve"> In Rogers’s theory, the innovation-decision process involves five steps: knowledge, persuasion, decision, implementation, and confirmation. In the C2C model, CMS OMH outreach and dissemination efforts are intended to spread knowledge of C2C and present a compelling case for its value to consumers and organizations that work with and support consumers. These efforts include a wide range of dissemination and outreach activities at the national, state, and local levels, including webinars, blogs, community events, and presentations. Organizations within the community then decide to use C2C, place product orders, disseminate materials to consumers, and diffuse C2C more broadly within the community by sharing C2C messages and materials with other community stakeholders. </w:t>
      </w:r>
    </w:p>
    <w:p w14:paraId="35CA4D1E" w14:textId="77777777" w:rsidR="00A230D2" w:rsidRPr="006C6EAA" w:rsidRDefault="00A230D2" w:rsidP="00A230D2">
      <w:pPr>
        <w:rPr>
          <w:rFonts w:ascii="Times New Roman" w:hAnsi="Times New Roman" w:cs="Times New Roman"/>
        </w:rPr>
      </w:pPr>
    </w:p>
    <w:p w14:paraId="2CFD3F3B" w14:textId="77777777" w:rsidR="00A230D2" w:rsidRPr="006C6EAA" w:rsidRDefault="00A230D2" w:rsidP="00A230D2">
      <w:pPr>
        <w:rPr>
          <w:rFonts w:ascii="Times New Roman" w:hAnsi="Times New Roman" w:cs="Times New Roman"/>
        </w:rPr>
      </w:pPr>
      <w:r w:rsidRPr="006C6EAA">
        <w:rPr>
          <w:rFonts w:ascii="Times New Roman" w:hAnsi="Times New Roman" w:cs="Times New Roman"/>
        </w:rPr>
        <w:t xml:space="preserve">C2C materials and messages are intended to produce changes in consumers’ health insurance literacy and knowledge, beliefs, and intentions around health care seeking, which then may translate into changes in consumer behaviors through participation in primary and preventive care and reductions in unnecessary care. The shading in Exhibit A.1.1. indicates the temporality of the four stages of C2C diffusion and the possible strength of anticipated impacts from one stage to the next. </w:t>
      </w:r>
    </w:p>
    <w:p w14:paraId="0A6F9147" w14:textId="77777777" w:rsidR="00A230D2" w:rsidRPr="006C6EAA" w:rsidRDefault="00A230D2" w:rsidP="00A230D2">
      <w:pPr>
        <w:rPr>
          <w:rFonts w:ascii="Times New Roman" w:hAnsi="Times New Roman" w:cs="Times New Roman"/>
        </w:rPr>
      </w:pPr>
    </w:p>
    <w:p w14:paraId="75251846" w14:textId="77777777" w:rsidR="00A230D2" w:rsidRPr="006C6EAA" w:rsidRDefault="00A230D2" w:rsidP="00A230D2">
      <w:pPr>
        <w:rPr>
          <w:rFonts w:ascii="Times New Roman" w:hAnsi="Times New Roman" w:cs="Times New Roman"/>
          <w:bCs/>
        </w:rPr>
      </w:pPr>
      <w:r w:rsidRPr="006C6EAA">
        <w:rPr>
          <w:rFonts w:ascii="Times New Roman" w:hAnsi="Times New Roman" w:cs="Times New Roman"/>
        </w:rPr>
        <w:lastRenderedPageBreak/>
        <w:t>The information collected for the study will support a richer understanding of the steps required for impact at the consumer level,</w:t>
      </w:r>
      <w:r w:rsidRPr="00497131">
        <w:rPr>
          <w:rFonts w:ascii="Times New Roman" w:hAnsi="Times New Roman" w:cs="Times New Roman"/>
        </w:rPr>
        <w:t xml:space="preserve"> including dissemination from CMS to organizations</w:t>
      </w:r>
      <w:r w:rsidRPr="006C6EAA">
        <w:rPr>
          <w:rFonts w:ascii="Times New Roman" w:hAnsi="Times New Roman" w:cs="Times New Roman"/>
        </w:rPr>
        <w:t>, and from organizations to consumers. It will also help uncover the ways in which organizations and consumers are meeting with success and continued gaps and challenges in supporting consumers’ connections to care. Such insights, coupled with detailed information on the types of organizations that have placed prod</w:t>
      </w:r>
      <w:r w:rsidRPr="00497131">
        <w:rPr>
          <w:rFonts w:ascii="Times New Roman" w:hAnsi="Times New Roman" w:cs="Times New Roman"/>
        </w:rPr>
        <w:t>uct orders and insights into the effectiveness of C2C materials in a language other than English</w:t>
      </w:r>
      <w:r w:rsidRPr="006C6EAA">
        <w:rPr>
          <w:rFonts w:ascii="Times New Roman" w:hAnsi="Times New Roman" w:cs="Times New Roman"/>
        </w:rPr>
        <w:t xml:space="preserve">, will provide a wealth of information for the CMS Office of Minority Health. </w:t>
      </w:r>
      <w:r w:rsidRPr="006C6EAA">
        <w:rPr>
          <w:rFonts w:ascii="Times New Roman" w:hAnsi="Times New Roman" w:cs="Times New Roman"/>
          <w:bCs/>
        </w:rPr>
        <w:t>The resulting data will inform decisions about programmatic improvement, including how C2C is disseminated and the need for new or refined materials or messages, and identify information gaps to be addressed in future data collection efforts.</w:t>
      </w:r>
    </w:p>
    <w:p w14:paraId="2B211A36" w14:textId="77777777" w:rsidR="00A230D2" w:rsidRPr="00497131" w:rsidRDefault="00A230D2" w:rsidP="00A230D2">
      <w:pPr>
        <w:rPr>
          <w:rFonts w:ascii="Times New Roman" w:hAnsi="Times New Roman" w:cs="Times New Roman"/>
        </w:rPr>
      </w:pPr>
    </w:p>
    <w:p w14:paraId="2FF748EF" w14:textId="77777777" w:rsidR="00A230D2" w:rsidRPr="006C6EAA" w:rsidRDefault="00A230D2" w:rsidP="00A230D2">
      <w:pPr>
        <w:pStyle w:val="Table"/>
        <w:pBdr>
          <w:top w:val="single" w:sz="12" w:space="1" w:color="auto"/>
          <w:bottom w:val="single" w:sz="12" w:space="1" w:color="auto"/>
        </w:pBdr>
        <w:spacing w:line="240" w:lineRule="auto"/>
        <w:ind w:right="540"/>
        <w:rPr>
          <w:rFonts w:ascii="Times New Roman" w:hAnsi="Times New Roman"/>
          <w:b/>
          <w:sz w:val="22"/>
          <w:szCs w:val="22"/>
        </w:rPr>
      </w:pPr>
      <w:r w:rsidRPr="006C6EAA">
        <w:rPr>
          <w:rFonts w:ascii="Times New Roman" w:hAnsi="Times New Roman"/>
          <w:b/>
          <w:sz w:val="22"/>
          <w:szCs w:val="22"/>
        </w:rPr>
        <w:t>Exhibit A.1.1 Conceptual Framework of C2C Impact</w:t>
      </w:r>
    </w:p>
    <w:p w14:paraId="3CB5BEF5" w14:textId="77777777" w:rsidR="00A230D2" w:rsidRPr="006C6EAA" w:rsidRDefault="00A230D2" w:rsidP="00A230D2">
      <w:pPr>
        <w:spacing w:line="288" w:lineRule="auto"/>
        <w:ind w:firstLine="360"/>
        <w:rPr>
          <w:rFonts w:ascii="Times New Roman" w:eastAsia="Times New Roman" w:hAnsi="Times New Roman" w:cs="Times New Roman"/>
          <w:sz w:val="24"/>
          <w:szCs w:val="24"/>
        </w:rPr>
      </w:pPr>
    </w:p>
    <w:p w14:paraId="236B9772" w14:textId="77777777" w:rsidR="00A230D2" w:rsidRPr="006C6EAA" w:rsidRDefault="00A230D2" w:rsidP="00A230D2">
      <w:pPr>
        <w:spacing w:line="288" w:lineRule="auto"/>
        <w:ind w:firstLine="360"/>
        <w:rPr>
          <w:rFonts w:ascii="Times New Roman" w:eastAsia="Times New Roman" w:hAnsi="Times New Roman" w:cs="Times New Roman"/>
          <w:sz w:val="24"/>
          <w:szCs w:val="24"/>
        </w:rPr>
      </w:pPr>
      <w:r w:rsidRPr="006C6EAA">
        <w:rPr>
          <w:rFonts w:ascii="Times New Roman" w:hAnsi="Times New Roman" w:cs="Times New Roman"/>
          <w:noProof/>
        </w:rPr>
        <w:drawing>
          <wp:inline distT="0" distB="0" distL="0" distR="0" wp14:anchorId="3876D1DF" wp14:editId="415E2C75">
            <wp:extent cx="3473017" cy="4411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2510" cy="4398632"/>
                    </a:xfrm>
                    <a:prstGeom prst="rect">
                      <a:avLst/>
                    </a:prstGeom>
                    <a:noFill/>
                  </pic:spPr>
                </pic:pic>
              </a:graphicData>
            </a:graphic>
          </wp:inline>
        </w:drawing>
      </w:r>
    </w:p>
    <w:p w14:paraId="719DAD1A" w14:textId="77777777" w:rsidR="00A230D2" w:rsidRPr="006C6EAA" w:rsidRDefault="00A230D2" w:rsidP="00A230D2">
      <w:pPr>
        <w:rPr>
          <w:rFonts w:ascii="Times New Roman" w:hAnsi="Times New Roman" w:cs="Times New Roman"/>
        </w:rPr>
      </w:pPr>
    </w:p>
    <w:p w14:paraId="4906C398" w14:textId="77777777" w:rsidR="00A230D2" w:rsidRPr="006C6EAA" w:rsidRDefault="00A230D2" w:rsidP="00A230D2">
      <w:pPr>
        <w:rPr>
          <w:rFonts w:ascii="Arial" w:hAnsi="Arial" w:cs="Arial"/>
          <w:b/>
          <w:sz w:val="28"/>
          <w:szCs w:val="28"/>
        </w:rPr>
      </w:pPr>
      <w:r w:rsidRPr="006C6EAA">
        <w:rPr>
          <w:rFonts w:ascii="Arial" w:hAnsi="Arial" w:cs="Arial"/>
          <w:b/>
          <w:sz w:val="28"/>
          <w:szCs w:val="28"/>
        </w:rPr>
        <w:t>A.2.</w:t>
      </w:r>
      <w:r w:rsidRPr="006C6EAA">
        <w:rPr>
          <w:rFonts w:ascii="Arial" w:hAnsi="Arial" w:cs="Arial"/>
          <w:b/>
          <w:sz w:val="28"/>
          <w:szCs w:val="28"/>
        </w:rPr>
        <w:tab/>
        <w:t>Purpose and Use of the Information Collection</w:t>
      </w:r>
    </w:p>
    <w:p w14:paraId="238A6F85" w14:textId="77777777" w:rsidR="00A230D2" w:rsidRPr="006C6EAA" w:rsidRDefault="00A230D2" w:rsidP="00A230D2">
      <w:pPr>
        <w:rPr>
          <w:rFonts w:ascii="Times New Roman" w:hAnsi="Times New Roman" w:cs="Times New Roman"/>
        </w:rPr>
      </w:pPr>
    </w:p>
    <w:p w14:paraId="10E4F7DE" w14:textId="77777777" w:rsidR="00A230D2" w:rsidRPr="006C6EAA" w:rsidRDefault="00A230D2" w:rsidP="00A230D2">
      <w:pPr>
        <w:rPr>
          <w:rFonts w:ascii="Times New Roman" w:hAnsi="Times New Roman" w:cs="Times New Roman"/>
        </w:rPr>
      </w:pPr>
      <w:r w:rsidRPr="00497131">
        <w:rPr>
          <w:rFonts w:ascii="Times New Roman" w:hAnsi="Times New Roman" w:cs="Times New Roman"/>
        </w:rPr>
        <w:t xml:space="preserve">As noted above, the purpose of this evaluation is to </w:t>
      </w:r>
      <w:r w:rsidRPr="006C6EAA">
        <w:rPr>
          <w:rFonts w:ascii="Times New Roman" w:hAnsi="Times New Roman" w:cs="Times New Roman"/>
        </w:rPr>
        <w:t>assess whether and how C2C improves consumer health literacy and care utilization</w:t>
      </w:r>
      <w:r w:rsidRPr="00497131">
        <w:rPr>
          <w:rFonts w:ascii="Times New Roman" w:hAnsi="Times New Roman" w:cs="Times New Roman"/>
        </w:rPr>
        <w:t xml:space="preserve"> </w:t>
      </w:r>
      <w:r>
        <w:rPr>
          <w:rFonts w:ascii="Times New Roman" w:hAnsi="Times New Roman" w:cs="Times New Roman"/>
        </w:rPr>
        <w:t xml:space="preserve">and to </w:t>
      </w:r>
      <w:r w:rsidRPr="00497131">
        <w:rPr>
          <w:rFonts w:ascii="Times New Roman" w:hAnsi="Times New Roman" w:cs="Times New Roman"/>
        </w:rPr>
        <w:t>provide information that will support CMS OMH to maximize the impact of C2C at the local, state, and national levels. The evaluation will support selecting the best dissemination activities to maximize the spread of C2C, developing new messaging on preventive visits and primary care</w:t>
      </w:r>
      <w:r w:rsidRPr="006C6EAA">
        <w:rPr>
          <w:rFonts w:ascii="Times New Roman" w:hAnsi="Times New Roman" w:cs="Times New Roman"/>
        </w:rPr>
        <w:t xml:space="preserve">, and creating additional products to fill critical gaps. . </w:t>
      </w:r>
    </w:p>
    <w:p w14:paraId="3B05BC1E" w14:textId="77777777" w:rsidR="00A230D2" w:rsidRPr="006C6EAA" w:rsidRDefault="00A230D2" w:rsidP="00A230D2">
      <w:pPr>
        <w:rPr>
          <w:rFonts w:ascii="Times New Roman" w:hAnsi="Times New Roman" w:cs="Times New Roman"/>
        </w:rPr>
      </w:pPr>
    </w:p>
    <w:p w14:paraId="660E94C7" w14:textId="77777777" w:rsidR="00A230D2" w:rsidRPr="006C6EAA" w:rsidRDefault="00A230D2" w:rsidP="00A230D2">
      <w:pPr>
        <w:rPr>
          <w:rFonts w:ascii="Times New Roman" w:eastAsia="Times New Roman" w:hAnsi="Times New Roman" w:cs="Times New Roman"/>
        </w:rPr>
      </w:pPr>
      <w:r w:rsidRPr="006C6EAA">
        <w:rPr>
          <w:rFonts w:ascii="Times New Roman" w:eastAsia="Times New Roman" w:hAnsi="Times New Roman" w:cs="Times New Roman"/>
        </w:rPr>
        <w:lastRenderedPageBreak/>
        <w:t xml:space="preserve">To design an evaluation that best aligns with CMS needs and interests, the RAND team worked with CMS to identify priority research questions for the evaluation. Four priority research questions were identified, and subquestions were developed to provide more specificity and context for each of the priority questions. These questions and subquestions, shown below and in Exhibit A.2.2, capture information on high-priority objectives that will support decisions about the direction of C2C. </w:t>
      </w:r>
    </w:p>
    <w:p w14:paraId="586E73E1" w14:textId="77777777" w:rsidR="00A230D2" w:rsidRPr="006C6EAA" w:rsidRDefault="00A230D2" w:rsidP="00A230D2">
      <w:pPr>
        <w:pStyle w:val="ListNumber"/>
        <w:rPr>
          <w:sz w:val="22"/>
          <w:szCs w:val="22"/>
        </w:rPr>
      </w:pPr>
      <w:r w:rsidRPr="006C6EAA">
        <w:rPr>
          <w:sz w:val="22"/>
          <w:szCs w:val="22"/>
        </w:rPr>
        <w:t>How successful was the spread and uptake of C2C?</w:t>
      </w:r>
    </w:p>
    <w:p w14:paraId="2060538F" w14:textId="77777777" w:rsidR="00A230D2" w:rsidRPr="006C6EAA" w:rsidRDefault="00A230D2" w:rsidP="00A230D2">
      <w:pPr>
        <w:pStyle w:val="ListNumber"/>
        <w:rPr>
          <w:sz w:val="22"/>
          <w:szCs w:val="22"/>
        </w:rPr>
      </w:pPr>
      <w:r w:rsidRPr="006C6EAA">
        <w:rPr>
          <w:sz w:val="22"/>
          <w:szCs w:val="22"/>
        </w:rPr>
        <w:t>What did organizations do with the C2C materials/messages?</w:t>
      </w:r>
    </w:p>
    <w:p w14:paraId="2A72601B" w14:textId="77777777" w:rsidR="00A230D2" w:rsidRPr="006C6EAA" w:rsidRDefault="00A230D2" w:rsidP="00A230D2">
      <w:pPr>
        <w:pStyle w:val="ListNumber"/>
        <w:rPr>
          <w:sz w:val="22"/>
          <w:szCs w:val="22"/>
        </w:rPr>
      </w:pPr>
      <w:r w:rsidRPr="006C6EAA">
        <w:rPr>
          <w:sz w:val="22"/>
          <w:szCs w:val="22"/>
        </w:rPr>
        <w:t>How did consumers use C2C materials/messages?</w:t>
      </w:r>
    </w:p>
    <w:p w14:paraId="00DDA668" w14:textId="77777777" w:rsidR="00A230D2" w:rsidRPr="006C6EAA" w:rsidRDefault="00A230D2" w:rsidP="00A230D2">
      <w:pPr>
        <w:pStyle w:val="ListNumber"/>
        <w:rPr>
          <w:sz w:val="22"/>
          <w:szCs w:val="22"/>
        </w:rPr>
      </w:pPr>
      <w:r w:rsidRPr="006C6EAA">
        <w:rPr>
          <w:sz w:val="22"/>
          <w:szCs w:val="22"/>
        </w:rPr>
        <w:t>To what extent is C2C associated with changes in care utilization?</w:t>
      </w:r>
    </w:p>
    <w:p w14:paraId="524598E8" w14:textId="77777777" w:rsidR="00A230D2" w:rsidRPr="006C6EAA" w:rsidRDefault="00A230D2" w:rsidP="00A230D2">
      <w:pPr>
        <w:rPr>
          <w:rFonts w:ascii="Times New Roman" w:eastAsia="Times New Roman" w:hAnsi="Times New Roman" w:cs="Times New Roman"/>
        </w:rPr>
      </w:pPr>
      <w:r w:rsidRPr="006C6EAA">
        <w:rPr>
          <w:rFonts w:ascii="Times New Roman" w:eastAsia="Times New Roman" w:hAnsi="Times New Roman" w:cs="Times New Roman"/>
        </w:rPr>
        <w:t xml:space="preserve">The four research questions map to the conceptual model above (see Exhibit A.1.1). Each research question serves a unique purpose in helping CMS better understand C2C impact and potential next steps, and as a result has its own set of outcomes. Examples of these outcomes can be found in the rounded boxes on the right hand side of Exhibit A.1.1. </w:t>
      </w:r>
    </w:p>
    <w:p w14:paraId="5307CDCE" w14:textId="77777777" w:rsidR="00A230D2" w:rsidRPr="006C6EAA" w:rsidRDefault="00A230D2" w:rsidP="00A230D2">
      <w:pPr>
        <w:rPr>
          <w:rFonts w:ascii="Times New Roman" w:eastAsia="Times New Roman" w:hAnsi="Times New Roman" w:cs="Times New Roman"/>
        </w:rPr>
      </w:pPr>
    </w:p>
    <w:p w14:paraId="6D6F2EC0" w14:textId="77777777" w:rsidR="00A230D2" w:rsidRPr="006C6EAA" w:rsidRDefault="00A230D2" w:rsidP="00A230D2">
      <w:pPr>
        <w:rPr>
          <w:rFonts w:ascii="Times New Roman" w:hAnsi="Times New Roman" w:cs="Times New Roman"/>
        </w:rPr>
      </w:pPr>
      <w:r w:rsidRPr="006C6EAA">
        <w:rPr>
          <w:rFonts w:ascii="Times New Roman" w:hAnsi="Times New Roman" w:cs="Times New Roman"/>
        </w:rPr>
        <w:t>These study objectives will be accomplished through the four data collection components shown in Exhibit A.2</w:t>
      </w:r>
      <w:r w:rsidRPr="00497131">
        <w:rPr>
          <w:rFonts w:ascii="Times New Roman" w:hAnsi="Times New Roman" w:cs="Times New Roman"/>
        </w:rPr>
        <w:t>.1</w:t>
      </w:r>
      <w:r w:rsidRPr="006C6EAA">
        <w:rPr>
          <w:rFonts w:ascii="Times New Roman" w:hAnsi="Times New Roman" w:cs="Times New Roman"/>
        </w:rPr>
        <w:t xml:space="preserve">. </w:t>
      </w:r>
      <w:r w:rsidRPr="006C6EAA">
        <w:rPr>
          <w:rFonts w:ascii="Times New Roman" w:eastAsia="Times New Roman" w:hAnsi="Times New Roman" w:cs="Times New Roman"/>
        </w:rPr>
        <w:t xml:space="preserve">Exhibit A.2.2. shows how the evaluation questions map to the data collection components. </w:t>
      </w:r>
      <w:r w:rsidRPr="006C6EAA">
        <w:rPr>
          <w:rFonts w:ascii="Times New Roman" w:hAnsi="Times New Roman" w:cs="Times New Roman"/>
        </w:rPr>
        <w:t>These components are:</w:t>
      </w:r>
    </w:p>
    <w:p w14:paraId="5D617090" w14:textId="77777777" w:rsidR="00A230D2" w:rsidRPr="006C6EAA" w:rsidRDefault="00A230D2" w:rsidP="00A230D2">
      <w:pPr>
        <w:rPr>
          <w:rFonts w:ascii="Times New Roman" w:hAnsi="Times New Roman" w:cs="Times New Roman"/>
        </w:rPr>
      </w:pPr>
    </w:p>
    <w:p w14:paraId="7E28250B" w14:textId="77777777" w:rsidR="00A230D2" w:rsidRPr="006C6EAA" w:rsidRDefault="00A230D2" w:rsidP="00A230D2">
      <w:pPr>
        <w:pStyle w:val="ListParagraph"/>
        <w:numPr>
          <w:ilvl w:val="0"/>
          <w:numId w:val="1"/>
        </w:numPr>
        <w:rPr>
          <w:rFonts w:ascii="Times New Roman" w:eastAsia="Times New Roman" w:hAnsi="Times New Roman" w:cs="Times New Roman"/>
        </w:rPr>
      </w:pPr>
      <w:r w:rsidRPr="006C6EAA">
        <w:rPr>
          <w:rFonts w:ascii="Times New Roman" w:hAnsi="Times New Roman" w:cs="Times New Roman"/>
          <w:u w:val="single"/>
        </w:rPr>
        <w:t>A cross-sectional survey of organizations that placed product orders.</w:t>
      </w:r>
      <w:r w:rsidRPr="006C6EAA">
        <w:rPr>
          <w:rFonts w:ascii="Times New Roman" w:hAnsi="Times New Roman" w:cs="Times New Roman"/>
        </w:rPr>
        <w:t xml:space="preserve"> Based on contact information available from the CMS product ordering reports, the full population, or universe, of organizations that have placed a product order will be invited to complete a short online survey to obtain basic information about </w:t>
      </w:r>
      <w:r w:rsidRPr="006C6EAA">
        <w:rPr>
          <w:rFonts w:ascii="Times New Roman" w:eastAsia="Times New Roman" w:hAnsi="Times New Roman" w:cs="Times New Roman"/>
        </w:rPr>
        <w:t>ordering organizations themselves, how they learned about C2C, which materials they use and how, lateral interactions with other organizations in their communities relevant to C2C or its topics, and additional C2C resources that would be useful to them. This survey instrument is attached in Appendix A.</w:t>
      </w:r>
    </w:p>
    <w:p w14:paraId="652203F1" w14:textId="77777777" w:rsidR="00A230D2" w:rsidRPr="006C6EAA" w:rsidRDefault="00A230D2" w:rsidP="00A230D2">
      <w:pPr>
        <w:pStyle w:val="ListParagraph"/>
        <w:rPr>
          <w:rFonts w:ascii="Times New Roman" w:hAnsi="Times New Roman" w:cs="Times New Roman"/>
        </w:rPr>
      </w:pPr>
    </w:p>
    <w:p w14:paraId="64FE1295" w14:textId="77777777" w:rsidR="00A230D2" w:rsidRPr="006C6EAA" w:rsidRDefault="00A230D2" w:rsidP="00A230D2">
      <w:pPr>
        <w:pStyle w:val="ListParagraph"/>
        <w:numPr>
          <w:ilvl w:val="0"/>
          <w:numId w:val="1"/>
        </w:numPr>
        <w:rPr>
          <w:rFonts w:ascii="Times New Roman" w:hAnsi="Times New Roman" w:cs="Times New Roman"/>
        </w:rPr>
      </w:pPr>
      <w:r w:rsidRPr="006C6EAA">
        <w:rPr>
          <w:rFonts w:ascii="Times New Roman" w:hAnsi="Times New Roman" w:cs="Times New Roman"/>
          <w:u w:val="single"/>
        </w:rPr>
        <w:t>A cross-sectional survey of consumers selected from the Knowledge Networks</w:t>
      </w:r>
      <w:r w:rsidRPr="00497131">
        <w:rPr>
          <w:rFonts w:ascii="Times New Roman" w:hAnsi="Times New Roman" w:cs="Times New Roman"/>
          <w:u w:val="single"/>
        </w:rPr>
        <w:t xml:space="preserve"> panel</w:t>
      </w:r>
      <w:r w:rsidRPr="006C6EAA">
        <w:rPr>
          <w:rFonts w:ascii="Times New Roman" w:hAnsi="Times New Roman" w:cs="Times New Roman"/>
        </w:rPr>
        <w:t>. We will conduct a cross-sectional web-based survey of members of a probability-weighted panel in order to understand whether and how C2C dissemination efforts thus far</w:t>
      </w:r>
      <w:r>
        <w:rPr>
          <w:rFonts w:ascii="Times New Roman" w:hAnsi="Times New Roman" w:cs="Times New Roman"/>
        </w:rPr>
        <w:t xml:space="preserve"> may</w:t>
      </w:r>
      <w:r w:rsidRPr="006C6EAA">
        <w:rPr>
          <w:rFonts w:ascii="Times New Roman" w:hAnsi="Times New Roman" w:cs="Times New Roman"/>
        </w:rPr>
        <w:t xml:space="preserve"> have impacted consumers. This survey questionnaire, described more fully below, is attached in Appendix B.</w:t>
      </w:r>
    </w:p>
    <w:p w14:paraId="021BDCC3" w14:textId="77777777" w:rsidR="00A230D2" w:rsidRPr="00497131" w:rsidRDefault="00A230D2" w:rsidP="00A230D2">
      <w:pPr>
        <w:pStyle w:val="ListParagraph"/>
        <w:rPr>
          <w:rFonts w:ascii="Times New Roman" w:hAnsi="Times New Roman" w:cs="Times New Roman"/>
        </w:rPr>
      </w:pPr>
    </w:p>
    <w:p w14:paraId="01F0D745" w14:textId="77777777" w:rsidR="00A230D2" w:rsidRPr="006C6EAA" w:rsidRDefault="00A230D2" w:rsidP="00A230D2">
      <w:pPr>
        <w:pStyle w:val="ListParagraph"/>
        <w:numPr>
          <w:ilvl w:val="0"/>
          <w:numId w:val="1"/>
        </w:numPr>
        <w:rPr>
          <w:rFonts w:ascii="Times New Roman" w:hAnsi="Times New Roman" w:cs="Times New Roman"/>
        </w:rPr>
      </w:pPr>
      <w:r w:rsidRPr="006C6EAA">
        <w:rPr>
          <w:rFonts w:ascii="Times New Roman" w:hAnsi="Times New Roman" w:cs="Times New Roman"/>
          <w:u w:val="single"/>
        </w:rPr>
        <w:t>Semi-structured interviews with staff from a limited set of community organizations as part of  case stud</w:t>
      </w:r>
      <w:r>
        <w:rPr>
          <w:rFonts w:ascii="Times New Roman" w:hAnsi="Times New Roman" w:cs="Times New Roman"/>
          <w:u w:val="single"/>
        </w:rPr>
        <w:t>ies</w:t>
      </w:r>
      <w:r w:rsidRPr="006C6EAA">
        <w:rPr>
          <w:rFonts w:ascii="Times New Roman" w:hAnsi="Times New Roman" w:cs="Times New Roman"/>
          <w:u w:val="single"/>
        </w:rPr>
        <w:t xml:space="preserve"> (non-English).</w:t>
      </w:r>
      <w:r w:rsidRPr="006C6EAA">
        <w:rPr>
          <w:rFonts w:ascii="Times New Roman" w:hAnsi="Times New Roman" w:cs="Times New Roman"/>
        </w:rPr>
        <w:t xml:space="preserve"> C2C has been translated into seven languages (Spanish, Arabic, Mandarin, Haitian Creole, Korean, Russian, and Vietnamese) and CMS is particularly interested in learning more about how these materials are being used and the impact they are having in communities where the primary language is not English</w:t>
      </w:r>
      <w:r>
        <w:rPr>
          <w:rFonts w:ascii="Times New Roman" w:hAnsi="Times New Roman" w:cs="Times New Roman"/>
        </w:rPr>
        <w:t xml:space="preserve"> or Spanish</w:t>
      </w:r>
      <w:r w:rsidRPr="006C6EAA">
        <w:rPr>
          <w:rFonts w:ascii="Times New Roman" w:hAnsi="Times New Roman" w:cs="Times New Roman"/>
        </w:rPr>
        <w:t xml:space="preserve">. We will conduct </w:t>
      </w:r>
      <w:r>
        <w:rPr>
          <w:rFonts w:ascii="Times New Roman" w:hAnsi="Times New Roman" w:cs="Times New Roman"/>
        </w:rPr>
        <w:t>up to three</w:t>
      </w:r>
      <w:r w:rsidRPr="006C6EAA">
        <w:rPr>
          <w:rFonts w:ascii="Times New Roman" w:hAnsi="Times New Roman" w:cs="Times New Roman"/>
        </w:rPr>
        <w:t xml:space="preserve"> case stud</w:t>
      </w:r>
      <w:r>
        <w:rPr>
          <w:rFonts w:ascii="Times New Roman" w:hAnsi="Times New Roman" w:cs="Times New Roman"/>
        </w:rPr>
        <w:t>ies</w:t>
      </w:r>
      <w:r w:rsidRPr="006C6EAA">
        <w:rPr>
          <w:rFonts w:ascii="Times New Roman" w:hAnsi="Times New Roman" w:cs="Times New Roman"/>
        </w:rPr>
        <w:t xml:space="preserve"> that will include a purposive sample of 5-</w:t>
      </w:r>
      <w:r>
        <w:rPr>
          <w:rFonts w:ascii="Times New Roman" w:hAnsi="Times New Roman" w:cs="Times New Roman"/>
        </w:rPr>
        <w:t>8</w:t>
      </w:r>
      <w:r w:rsidRPr="006C6EAA">
        <w:rPr>
          <w:rFonts w:ascii="Times New Roman" w:hAnsi="Times New Roman" w:cs="Times New Roman"/>
        </w:rPr>
        <w:t xml:space="preserve"> key staff of organizations in the selected community who have used translated C2C materials. The discussion guide is attached in Appendix C.</w:t>
      </w:r>
    </w:p>
    <w:p w14:paraId="0F7F2EEA" w14:textId="77777777" w:rsidR="00A230D2" w:rsidRPr="006C6EAA" w:rsidRDefault="00A230D2" w:rsidP="00A230D2">
      <w:pPr>
        <w:pStyle w:val="ListParagraph"/>
        <w:rPr>
          <w:rFonts w:ascii="Times New Roman" w:hAnsi="Times New Roman" w:cs="Times New Roman"/>
        </w:rPr>
      </w:pPr>
    </w:p>
    <w:p w14:paraId="1D377E01" w14:textId="77777777" w:rsidR="00A230D2" w:rsidRPr="006C6EAA" w:rsidRDefault="00A230D2" w:rsidP="00A230D2">
      <w:pPr>
        <w:pStyle w:val="ListParagraph"/>
        <w:numPr>
          <w:ilvl w:val="0"/>
          <w:numId w:val="1"/>
        </w:numPr>
        <w:rPr>
          <w:rFonts w:ascii="Times New Roman" w:hAnsi="Times New Roman" w:cs="Times New Roman"/>
          <w:u w:val="single"/>
        </w:rPr>
      </w:pPr>
      <w:r w:rsidRPr="006C6EAA">
        <w:rPr>
          <w:rFonts w:ascii="Times New Roman" w:hAnsi="Times New Roman" w:cs="Times New Roman"/>
          <w:u w:val="single"/>
        </w:rPr>
        <w:t>Focus group(s) of consumers as part of a case study (non-English).</w:t>
      </w:r>
      <w:r w:rsidRPr="006C6EAA">
        <w:rPr>
          <w:rFonts w:ascii="Times New Roman" w:hAnsi="Times New Roman" w:cs="Times New Roman"/>
        </w:rPr>
        <w:t xml:space="preserve"> As part of </w:t>
      </w:r>
      <w:r>
        <w:rPr>
          <w:rFonts w:ascii="Times New Roman" w:hAnsi="Times New Roman" w:cs="Times New Roman"/>
        </w:rPr>
        <w:t>each</w:t>
      </w:r>
      <w:r w:rsidRPr="006C6EAA">
        <w:rPr>
          <w:rFonts w:ascii="Times New Roman" w:hAnsi="Times New Roman" w:cs="Times New Roman"/>
        </w:rPr>
        <w:t xml:space="preserve"> case study, we will also conduct </w:t>
      </w:r>
      <w:r w:rsidRPr="006C6EAA" w:rsidDel="005C7C33">
        <w:rPr>
          <w:rFonts w:ascii="Times New Roman" w:hAnsi="Times New Roman" w:cs="Times New Roman"/>
        </w:rPr>
        <w:t xml:space="preserve">a </w:t>
      </w:r>
      <w:r w:rsidRPr="006C6EAA">
        <w:rPr>
          <w:rFonts w:ascii="Times New Roman" w:hAnsi="Times New Roman" w:cs="Times New Roman"/>
        </w:rPr>
        <w:t>focus group with</w:t>
      </w:r>
      <w:r>
        <w:rPr>
          <w:rFonts w:ascii="Times New Roman" w:hAnsi="Times New Roman" w:cs="Times New Roman"/>
        </w:rPr>
        <w:t xml:space="preserve"> 7</w:t>
      </w:r>
      <w:r w:rsidRPr="006C6EAA">
        <w:rPr>
          <w:rFonts w:ascii="Times New Roman" w:hAnsi="Times New Roman" w:cs="Times New Roman"/>
        </w:rPr>
        <w:t>-</w:t>
      </w:r>
      <w:r w:rsidRPr="006C6EAA" w:rsidDel="005C7C33">
        <w:rPr>
          <w:rFonts w:ascii="Times New Roman" w:hAnsi="Times New Roman" w:cs="Times New Roman"/>
        </w:rPr>
        <w:t xml:space="preserve">12 </w:t>
      </w:r>
      <w:r w:rsidRPr="006C6EAA">
        <w:rPr>
          <w:rFonts w:ascii="Times New Roman" w:hAnsi="Times New Roman" w:cs="Times New Roman"/>
        </w:rPr>
        <w:t xml:space="preserve">consumers to assess consumer perceptions of the value and impact C2C has had on their understanding of health insurance and decisions to seek care. </w:t>
      </w:r>
      <w:r>
        <w:rPr>
          <w:rFonts w:ascii="Times New Roman" w:hAnsi="Times New Roman" w:cs="Times New Roman"/>
        </w:rPr>
        <w:t>S</w:t>
      </w:r>
      <w:r w:rsidRPr="006C6EAA">
        <w:rPr>
          <w:rFonts w:ascii="Times New Roman" w:hAnsi="Times New Roman" w:cs="Times New Roman"/>
        </w:rPr>
        <w:t xml:space="preserve">maller focus groups may be held to accommodate the schedules of the participants. As part of the focus group, individuals will be asked to complete a one-page survey </w:t>
      </w:r>
      <w:r w:rsidRPr="006C6EAA">
        <w:rPr>
          <w:rFonts w:ascii="Times New Roman" w:hAnsi="Times New Roman" w:cs="Times New Roman"/>
        </w:rPr>
        <w:lastRenderedPageBreak/>
        <w:t>that will help us to characterize focus group participants. Personally identifiable information, including name, will not be collected on the form. The facilitator guide for the focus groups and this one-page survey are attached in Appendix D.</w:t>
      </w:r>
    </w:p>
    <w:p w14:paraId="74E9A4A6" w14:textId="77777777" w:rsidR="00A230D2" w:rsidRPr="006C6EAA" w:rsidRDefault="00A230D2" w:rsidP="00A230D2">
      <w:pPr>
        <w:pStyle w:val="ListParagraph"/>
        <w:rPr>
          <w:rFonts w:ascii="Times New Roman" w:hAnsi="Times New Roman" w:cs="Times New Roman"/>
          <w:u w:val="single"/>
        </w:rPr>
      </w:pPr>
    </w:p>
    <w:p w14:paraId="425E7C73" w14:textId="77777777" w:rsidR="00A230D2" w:rsidRPr="006C6EAA" w:rsidRDefault="00A230D2" w:rsidP="00A230D2">
      <w:pPr>
        <w:pStyle w:val="ListParagraph"/>
        <w:numPr>
          <w:ilvl w:val="0"/>
          <w:numId w:val="1"/>
        </w:numPr>
        <w:rPr>
          <w:rFonts w:ascii="Times New Roman" w:hAnsi="Times New Roman" w:cs="Times New Roman"/>
        </w:rPr>
      </w:pPr>
      <w:r w:rsidRPr="006C6EAA">
        <w:rPr>
          <w:rFonts w:ascii="Times New Roman" w:hAnsi="Times New Roman" w:cs="Times New Roman"/>
          <w:u w:val="single"/>
        </w:rPr>
        <w:t>Secondary data analysis.</w:t>
      </w:r>
      <w:r w:rsidRPr="006C6EAA">
        <w:rPr>
          <w:rFonts w:ascii="Times New Roman" w:hAnsi="Times New Roman" w:cs="Times New Roman"/>
        </w:rPr>
        <w:t xml:space="preserve"> In addition to four data collection elements under review, the evaluation also includes analyses of existing data, including CMS product ordering reports, national surveys, and claims data. Although these data to not require OMB review and approval, we provide a brief overview of this work and how we estimate C2C saturation in small geographic areas (the exposure variable) in Appendix E. This appendix may provide helpful context for how some of the research questions will be addressed. Our estimates of C2C saturation are also important for developi</w:t>
      </w:r>
      <w:r>
        <w:rPr>
          <w:rFonts w:ascii="Times New Roman" w:hAnsi="Times New Roman" w:cs="Times New Roman"/>
        </w:rPr>
        <w:t>ng the sampling frame of the on</w:t>
      </w:r>
      <w:r w:rsidRPr="006C6EAA">
        <w:rPr>
          <w:rFonts w:ascii="Times New Roman" w:hAnsi="Times New Roman" w:cs="Times New Roman"/>
        </w:rPr>
        <w:t xml:space="preserve">line consumer survey and the selection of the case study location. </w:t>
      </w:r>
    </w:p>
    <w:p w14:paraId="3DD92344" w14:textId="77777777" w:rsidR="00A230D2" w:rsidRPr="006C6EAA" w:rsidRDefault="00A230D2" w:rsidP="00A230D2">
      <w:pPr>
        <w:rPr>
          <w:rFonts w:ascii="Times New Roman" w:hAnsi="Times New Roman" w:cs="Times New Roman"/>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905"/>
        <w:gridCol w:w="3690"/>
        <w:gridCol w:w="2160"/>
      </w:tblGrid>
      <w:tr w:rsidR="00A230D2" w:rsidRPr="006C6EAA" w14:paraId="5810B186" w14:textId="77777777" w:rsidTr="005C2414">
        <w:tc>
          <w:tcPr>
            <w:tcW w:w="8755" w:type="dxa"/>
            <w:gridSpan w:val="3"/>
            <w:tcBorders>
              <w:top w:val="single" w:sz="18" w:space="0" w:color="auto"/>
              <w:left w:val="nil"/>
              <w:bottom w:val="single" w:sz="8" w:space="0" w:color="auto"/>
              <w:right w:val="nil"/>
            </w:tcBorders>
            <w:vAlign w:val="bottom"/>
          </w:tcPr>
          <w:p w14:paraId="4E2AB939" w14:textId="77777777" w:rsidR="00A230D2" w:rsidRPr="006C6EAA" w:rsidRDefault="00A230D2" w:rsidP="005C2414">
            <w:pPr>
              <w:pStyle w:val="Table"/>
              <w:keepNext/>
              <w:keepLines/>
              <w:spacing w:before="60" w:after="60" w:line="240" w:lineRule="auto"/>
              <w:rPr>
                <w:rFonts w:ascii="Times New Roman" w:hAnsi="Times New Roman"/>
                <w:b/>
                <w:sz w:val="22"/>
                <w:szCs w:val="22"/>
              </w:rPr>
            </w:pPr>
            <w:r w:rsidRPr="006C6EAA">
              <w:rPr>
                <w:rFonts w:ascii="Times New Roman" w:hAnsi="Times New Roman"/>
                <w:b/>
                <w:sz w:val="22"/>
                <w:szCs w:val="22"/>
              </w:rPr>
              <w:t>Exhibit A.2.1. Data Collection Components</w:t>
            </w:r>
          </w:p>
        </w:tc>
      </w:tr>
      <w:tr w:rsidR="00A230D2" w:rsidRPr="006C6EAA" w14:paraId="14363414" w14:textId="77777777" w:rsidTr="005C2414">
        <w:tc>
          <w:tcPr>
            <w:tcW w:w="2905" w:type="dxa"/>
            <w:tcBorders>
              <w:top w:val="single" w:sz="18" w:space="0" w:color="auto"/>
              <w:left w:val="nil"/>
              <w:bottom w:val="single" w:sz="8" w:space="0" w:color="auto"/>
              <w:right w:val="nil"/>
            </w:tcBorders>
            <w:vAlign w:val="bottom"/>
          </w:tcPr>
          <w:p w14:paraId="13773826" w14:textId="77777777" w:rsidR="00A230D2" w:rsidRPr="00251A7B" w:rsidRDefault="00A230D2" w:rsidP="005C2414">
            <w:pPr>
              <w:pStyle w:val="Table"/>
              <w:keepNext/>
              <w:keepLines/>
              <w:spacing w:before="60" w:after="60" w:line="240" w:lineRule="auto"/>
              <w:rPr>
                <w:rFonts w:ascii="Times New Roman" w:hAnsi="Times New Roman"/>
                <w:b/>
                <w:sz w:val="18"/>
                <w:szCs w:val="18"/>
              </w:rPr>
            </w:pPr>
            <w:r w:rsidRPr="00251A7B">
              <w:rPr>
                <w:rFonts w:ascii="Times New Roman" w:hAnsi="Times New Roman"/>
                <w:b/>
                <w:sz w:val="18"/>
                <w:szCs w:val="18"/>
              </w:rPr>
              <w:t>Component</w:t>
            </w:r>
          </w:p>
        </w:tc>
        <w:tc>
          <w:tcPr>
            <w:tcW w:w="3690" w:type="dxa"/>
            <w:tcBorders>
              <w:top w:val="single" w:sz="18" w:space="0" w:color="auto"/>
              <w:left w:val="nil"/>
              <w:bottom w:val="single" w:sz="8" w:space="0" w:color="auto"/>
              <w:right w:val="nil"/>
            </w:tcBorders>
            <w:vAlign w:val="bottom"/>
          </w:tcPr>
          <w:p w14:paraId="5FB1D4CE" w14:textId="77777777" w:rsidR="00A230D2" w:rsidRPr="00251A7B" w:rsidRDefault="00A230D2" w:rsidP="005C2414">
            <w:pPr>
              <w:pStyle w:val="Table"/>
              <w:keepNext/>
              <w:keepLines/>
              <w:spacing w:before="60" w:after="60" w:line="240" w:lineRule="auto"/>
              <w:jc w:val="center"/>
              <w:rPr>
                <w:rFonts w:ascii="Times New Roman" w:hAnsi="Times New Roman"/>
                <w:b/>
                <w:sz w:val="18"/>
                <w:szCs w:val="18"/>
              </w:rPr>
            </w:pPr>
            <w:r w:rsidRPr="00251A7B">
              <w:rPr>
                <w:rFonts w:ascii="Times New Roman" w:hAnsi="Times New Roman"/>
                <w:b/>
                <w:sz w:val="18"/>
                <w:szCs w:val="18"/>
              </w:rPr>
              <w:t>Study Population</w:t>
            </w:r>
          </w:p>
        </w:tc>
        <w:tc>
          <w:tcPr>
            <w:tcW w:w="2160" w:type="dxa"/>
            <w:tcBorders>
              <w:top w:val="single" w:sz="18" w:space="0" w:color="auto"/>
              <w:left w:val="nil"/>
              <w:bottom w:val="single" w:sz="8" w:space="0" w:color="auto"/>
              <w:right w:val="nil"/>
            </w:tcBorders>
          </w:tcPr>
          <w:p w14:paraId="443DDC38" w14:textId="77777777" w:rsidR="00A230D2" w:rsidRPr="00251A7B" w:rsidRDefault="00A230D2" w:rsidP="005C2414">
            <w:pPr>
              <w:pStyle w:val="Table"/>
              <w:keepNext/>
              <w:keepLines/>
              <w:spacing w:before="60" w:after="60" w:line="240" w:lineRule="auto"/>
              <w:jc w:val="center"/>
              <w:rPr>
                <w:rFonts w:ascii="Times New Roman" w:hAnsi="Times New Roman"/>
                <w:b/>
                <w:sz w:val="18"/>
                <w:szCs w:val="18"/>
              </w:rPr>
            </w:pPr>
            <w:r w:rsidRPr="00251A7B">
              <w:rPr>
                <w:rFonts w:ascii="Times New Roman" w:hAnsi="Times New Roman"/>
                <w:b/>
                <w:sz w:val="18"/>
                <w:szCs w:val="18"/>
              </w:rPr>
              <w:t>Mode</w:t>
            </w:r>
          </w:p>
        </w:tc>
      </w:tr>
      <w:tr w:rsidR="00A230D2" w:rsidRPr="006C6EAA" w14:paraId="1BD794B9" w14:textId="77777777" w:rsidTr="005C2414">
        <w:tc>
          <w:tcPr>
            <w:tcW w:w="2905" w:type="dxa"/>
            <w:tcBorders>
              <w:top w:val="single" w:sz="8" w:space="0" w:color="auto"/>
              <w:left w:val="nil"/>
              <w:bottom w:val="single" w:sz="8" w:space="0" w:color="auto"/>
              <w:right w:val="nil"/>
            </w:tcBorders>
            <w:vAlign w:val="center"/>
          </w:tcPr>
          <w:p w14:paraId="7E788DAC" w14:textId="77777777" w:rsidR="00A230D2" w:rsidRPr="00251A7B" w:rsidRDefault="00A230D2" w:rsidP="005C2414">
            <w:pPr>
              <w:pStyle w:val="Table"/>
              <w:spacing w:line="240" w:lineRule="auto"/>
              <w:rPr>
                <w:rFonts w:ascii="Times New Roman" w:hAnsi="Times New Roman"/>
                <w:sz w:val="18"/>
                <w:szCs w:val="18"/>
              </w:rPr>
            </w:pPr>
            <w:r w:rsidRPr="00251A7B">
              <w:rPr>
                <w:rFonts w:ascii="Times New Roman" w:hAnsi="Times New Roman"/>
                <w:sz w:val="18"/>
                <w:szCs w:val="18"/>
              </w:rPr>
              <w:t>Survey of organizations</w:t>
            </w:r>
          </w:p>
        </w:tc>
        <w:tc>
          <w:tcPr>
            <w:tcW w:w="3690" w:type="dxa"/>
            <w:tcBorders>
              <w:top w:val="single" w:sz="8" w:space="0" w:color="auto"/>
              <w:left w:val="nil"/>
              <w:bottom w:val="single" w:sz="8" w:space="0" w:color="auto"/>
              <w:right w:val="nil"/>
            </w:tcBorders>
          </w:tcPr>
          <w:p w14:paraId="71DFF857" w14:textId="77777777" w:rsidR="00A230D2" w:rsidRPr="00251A7B" w:rsidRDefault="00A230D2" w:rsidP="005C2414">
            <w:pPr>
              <w:pStyle w:val="Table"/>
              <w:spacing w:line="240" w:lineRule="auto"/>
              <w:jc w:val="center"/>
              <w:rPr>
                <w:rFonts w:ascii="Times New Roman" w:hAnsi="Times New Roman"/>
                <w:sz w:val="18"/>
                <w:szCs w:val="18"/>
              </w:rPr>
            </w:pPr>
            <w:r w:rsidRPr="00251A7B">
              <w:rPr>
                <w:rFonts w:ascii="Times New Roman" w:hAnsi="Times New Roman"/>
                <w:sz w:val="18"/>
                <w:szCs w:val="18"/>
              </w:rPr>
              <w:t>Organizations that ordered C2C materials</w:t>
            </w:r>
          </w:p>
        </w:tc>
        <w:tc>
          <w:tcPr>
            <w:tcW w:w="2160" w:type="dxa"/>
            <w:tcBorders>
              <w:top w:val="single" w:sz="8" w:space="0" w:color="auto"/>
              <w:left w:val="nil"/>
              <w:bottom w:val="single" w:sz="8" w:space="0" w:color="auto"/>
              <w:right w:val="nil"/>
            </w:tcBorders>
            <w:vAlign w:val="center"/>
          </w:tcPr>
          <w:p w14:paraId="3847215C" w14:textId="77777777" w:rsidR="00A230D2" w:rsidRPr="00251A7B" w:rsidRDefault="00A230D2" w:rsidP="005C2414">
            <w:pPr>
              <w:pStyle w:val="Table"/>
              <w:spacing w:line="240" w:lineRule="auto"/>
              <w:jc w:val="center"/>
              <w:rPr>
                <w:rFonts w:ascii="Times New Roman" w:hAnsi="Times New Roman"/>
                <w:sz w:val="18"/>
                <w:szCs w:val="18"/>
              </w:rPr>
            </w:pPr>
            <w:r w:rsidRPr="00251A7B">
              <w:rPr>
                <w:rFonts w:ascii="Times New Roman" w:hAnsi="Times New Roman"/>
                <w:sz w:val="18"/>
                <w:szCs w:val="18"/>
              </w:rPr>
              <w:t>Online survey</w:t>
            </w:r>
          </w:p>
        </w:tc>
      </w:tr>
      <w:tr w:rsidR="00A230D2" w:rsidRPr="006C6EAA" w14:paraId="11F78BBA" w14:textId="77777777" w:rsidTr="005C2414">
        <w:tc>
          <w:tcPr>
            <w:tcW w:w="2905" w:type="dxa"/>
            <w:tcBorders>
              <w:top w:val="single" w:sz="8" w:space="0" w:color="auto"/>
              <w:left w:val="nil"/>
              <w:bottom w:val="single" w:sz="8" w:space="0" w:color="auto"/>
              <w:right w:val="nil"/>
            </w:tcBorders>
            <w:vAlign w:val="center"/>
          </w:tcPr>
          <w:p w14:paraId="38714FEE" w14:textId="77777777" w:rsidR="00A230D2" w:rsidRPr="00251A7B" w:rsidRDefault="00A230D2" w:rsidP="005C2414">
            <w:pPr>
              <w:pStyle w:val="Table"/>
              <w:spacing w:line="240" w:lineRule="auto"/>
              <w:rPr>
                <w:rFonts w:ascii="Times New Roman" w:hAnsi="Times New Roman"/>
                <w:sz w:val="18"/>
                <w:szCs w:val="18"/>
              </w:rPr>
            </w:pPr>
            <w:r w:rsidRPr="00251A7B">
              <w:rPr>
                <w:rFonts w:ascii="Times New Roman" w:hAnsi="Times New Roman"/>
                <w:sz w:val="18"/>
                <w:szCs w:val="18"/>
              </w:rPr>
              <w:t>Survey of consumers</w:t>
            </w:r>
          </w:p>
        </w:tc>
        <w:tc>
          <w:tcPr>
            <w:tcW w:w="3690" w:type="dxa"/>
            <w:tcBorders>
              <w:top w:val="single" w:sz="8" w:space="0" w:color="auto"/>
              <w:left w:val="nil"/>
              <w:bottom w:val="single" w:sz="8" w:space="0" w:color="auto"/>
              <w:right w:val="nil"/>
            </w:tcBorders>
          </w:tcPr>
          <w:p w14:paraId="6E142551" w14:textId="77777777" w:rsidR="00A230D2" w:rsidRPr="00251A7B" w:rsidRDefault="00A230D2" w:rsidP="005C2414">
            <w:pPr>
              <w:pStyle w:val="Table"/>
              <w:spacing w:line="240" w:lineRule="auto"/>
              <w:jc w:val="center"/>
              <w:rPr>
                <w:rFonts w:ascii="Times New Roman" w:hAnsi="Times New Roman"/>
                <w:sz w:val="18"/>
                <w:szCs w:val="18"/>
              </w:rPr>
            </w:pPr>
            <w:r w:rsidRPr="00251A7B">
              <w:rPr>
                <w:rFonts w:ascii="Times New Roman" w:hAnsi="Times New Roman"/>
                <w:sz w:val="18"/>
                <w:szCs w:val="18"/>
              </w:rPr>
              <w:t>Consumers selected from the Knowledge Networks panel</w:t>
            </w:r>
          </w:p>
        </w:tc>
        <w:tc>
          <w:tcPr>
            <w:tcW w:w="2160" w:type="dxa"/>
            <w:tcBorders>
              <w:top w:val="single" w:sz="8" w:space="0" w:color="auto"/>
              <w:left w:val="nil"/>
              <w:bottom w:val="single" w:sz="8" w:space="0" w:color="auto"/>
              <w:right w:val="nil"/>
            </w:tcBorders>
            <w:vAlign w:val="center"/>
          </w:tcPr>
          <w:p w14:paraId="15E875B0" w14:textId="77777777" w:rsidR="00A230D2" w:rsidRPr="00251A7B" w:rsidRDefault="00A230D2" w:rsidP="005C2414">
            <w:pPr>
              <w:pStyle w:val="Table"/>
              <w:spacing w:line="240" w:lineRule="auto"/>
              <w:jc w:val="center"/>
              <w:rPr>
                <w:rFonts w:ascii="Times New Roman" w:hAnsi="Times New Roman"/>
                <w:sz w:val="18"/>
                <w:szCs w:val="18"/>
              </w:rPr>
            </w:pPr>
            <w:r w:rsidRPr="00251A7B">
              <w:rPr>
                <w:rFonts w:ascii="Times New Roman" w:hAnsi="Times New Roman"/>
                <w:sz w:val="18"/>
                <w:szCs w:val="18"/>
              </w:rPr>
              <w:t>Online survey</w:t>
            </w:r>
          </w:p>
        </w:tc>
      </w:tr>
      <w:tr w:rsidR="00A230D2" w:rsidRPr="006C6EAA" w14:paraId="19898870" w14:textId="77777777" w:rsidTr="005C2414">
        <w:tc>
          <w:tcPr>
            <w:tcW w:w="2905" w:type="dxa"/>
            <w:tcBorders>
              <w:top w:val="single" w:sz="8" w:space="0" w:color="auto"/>
              <w:left w:val="nil"/>
              <w:bottom w:val="single" w:sz="8" w:space="0" w:color="auto"/>
              <w:right w:val="nil"/>
            </w:tcBorders>
            <w:vAlign w:val="center"/>
          </w:tcPr>
          <w:p w14:paraId="60B8072E" w14:textId="77777777" w:rsidR="00A230D2" w:rsidRPr="00251A7B" w:rsidRDefault="00A230D2" w:rsidP="005C2414">
            <w:pPr>
              <w:pStyle w:val="Table"/>
              <w:spacing w:line="240" w:lineRule="auto"/>
              <w:rPr>
                <w:rFonts w:ascii="Times New Roman" w:hAnsi="Times New Roman"/>
                <w:sz w:val="18"/>
                <w:szCs w:val="18"/>
              </w:rPr>
            </w:pPr>
            <w:r w:rsidRPr="00251A7B">
              <w:rPr>
                <w:rFonts w:ascii="Times New Roman" w:hAnsi="Times New Roman"/>
                <w:sz w:val="18"/>
                <w:szCs w:val="18"/>
              </w:rPr>
              <w:t>Case study: semi-structured interviews</w:t>
            </w:r>
          </w:p>
        </w:tc>
        <w:tc>
          <w:tcPr>
            <w:tcW w:w="3690" w:type="dxa"/>
            <w:tcBorders>
              <w:top w:val="single" w:sz="8" w:space="0" w:color="auto"/>
              <w:left w:val="nil"/>
              <w:bottom w:val="single" w:sz="8" w:space="0" w:color="auto"/>
              <w:right w:val="nil"/>
            </w:tcBorders>
          </w:tcPr>
          <w:p w14:paraId="0EF85AC9" w14:textId="77777777" w:rsidR="00A230D2" w:rsidRPr="00251A7B" w:rsidRDefault="00A230D2" w:rsidP="005C2414">
            <w:pPr>
              <w:pStyle w:val="Table"/>
              <w:spacing w:line="240" w:lineRule="auto"/>
              <w:ind w:left="-115" w:right="-115"/>
              <w:jc w:val="center"/>
              <w:rPr>
                <w:rFonts w:ascii="Times New Roman" w:hAnsi="Times New Roman"/>
                <w:sz w:val="18"/>
                <w:szCs w:val="18"/>
              </w:rPr>
            </w:pPr>
            <w:r w:rsidRPr="00251A7B">
              <w:rPr>
                <w:rFonts w:ascii="Times New Roman" w:hAnsi="Times New Roman"/>
                <w:sz w:val="18"/>
                <w:szCs w:val="18"/>
              </w:rPr>
              <w:t>Organizations in case study location who ordered C2C products in a language other than English</w:t>
            </w:r>
          </w:p>
        </w:tc>
        <w:tc>
          <w:tcPr>
            <w:tcW w:w="2160" w:type="dxa"/>
            <w:tcBorders>
              <w:top w:val="single" w:sz="8" w:space="0" w:color="auto"/>
              <w:left w:val="nil"/>
              <w:bottom w:val="single" w:sz="8" w:space="0" w:color="auto"/>
              <w:right w:val="nil"/>
            </w:tcBorders>
            <w:vAlign w:val="center"/>
          </w:tcPr>
          <w:p w14:paraId="68BF9A26" w14:textId="77777777" w:rsidR="00A230D2" w:rsidRPr="00251A7B" w:rsidRDefault="00A230D2" w:rsidP="005C2414">
            <w:pPr>
              <w:pStyle w:val="Table"/>
              <w:spacing w:line="240" w:lineRule="auto"/>
              <w:jc w:val="center"/>
              <w:rPr>
                <w:rFonts w:ascii="Times New Roman" w:hAnsi="Times New Roman"/>
                <w:sz w:val="18"/>
                <w:szCs w:val="18"/>
              </w:rPr>
            </w:pPr>
            <w:r w:rsidRPr="00251A7B">
              <w:rPr>
                <w:rFonts w:ascii="Times New Roman" w:hAnsi="Times New Roman"/>
                <w:sz w:val="18"/>
                <w:szCs w:val="18"/>
              </w:rPr>
              <w:t>Semi-structured interview</w:t>
            </w:r>
          </w:p>
        </w:tc>
      </w:tr>
      <w:tr w:rsidR="00A230D2" w:rsidRPr="006C6EAA" w14:paraId="04BA6A8B" w14:textId="77777777" w:rsidTr="005C2414">
        <w:tc>
          <w:tcPr>
            <w:tcW w:w="2905" w:type="dxa"/>
            <w:tcBorders>
              <w:top w:val="single" w:sz="8" w:space="0" w:color="auto"/>
              <w:left w:val="nil"/>
              <w:bottom w:val="single" w:sz="12" w:space="0" w:color="auto"/>
              <w:right w:val="nil"/>
            </w:tcBorders>
            <w:vAlign w:val="center"/>
          </w:tcPr>
          <w:p w14:paraId="4C43E1FD" w14:textId="77777777" w:rsidR="00A230D2" w:rsidRPr="00251A7B" w:rsidRDefault="00A230D2" w:rsidP="005C2414">
            <w:pPr>
              <w:pStyle w:val="Table"/>
              <w:spacing w:line="240" w:lineRule="auto"/>
              <w:rPr>
                <w:rFonts w:ascii="Times New Roman" w:hAnsi="Times New Roman"/>
                <w:sz w:val="18"/>
                <w:szCs w:val="18"/>
              </w:rPr>
            </w:pPr>
            <w:r w:rsidRPr="00251A7B">
              <w:rPr>
                <w:rFonts w:ascii="Times New Roman" w:hAnsi="Times New Roman"/>
                <w:sz w:val="18"/>
                <w:szCs w:val="18"/>
              </w:rPr>
              <w:t>Case study: focus group</w:t>
            </w:r>
          </w:p>
        </w:tc>
        <w:tc>
          <w:tcPr>
            <w:tcW w:w="3690" w:type="dxa"/>
            <w:tcBorders>
              <w:top w:val="single" w:sz="8" w:space="0" w:color="auto"/>
              <w:left w:val="nil"/>
              <w:bottom w:val="single" w:sz="12" w:space="0" w:color="auto"/>
              <w:right w:val="nil"/>
            </w:tcBorders>
          </w:tcPr>
          <w:p w14:paraId="634194AE" w14:textId="77777777" w:rsidR="00A230D2" w:rsidRPr="00251A7B" w:rsidRDefault="00A230D2" w:rsidP="005C2414">
            <w:pPr>
              <w:pStyle w:val="Table"/>
              <w:spacing w:line="240" w:lineRule="auto"/>
              <w:ind w:left="-115" w:right="-115"/>
              <w:jc w:val="center"/>
              <w:rPr>
                <w:rFonts w:ascii="Times New Roman" w:hAnsi="Times New Roman"/>
                <w:sz w:val="18"/>
                <w:szCs w:val="18"/>
              </w:rPr>
            </w:pPr>
            <w:r w:rsidRPr="00251A7B">
              <w:rPr>
                <w:rFonts w:ascii="Times New Roman" w:hAnsi="Times New Roman"/>
                <w:sz w:val="18"/>
                <w:szCs w:val="18"/>
              </w:rPr>
              <w:t>Consumers residing in case study location who have been exposed to C2C materials/messages</w:t>
            </w:r>
          </w:p>
        </w:tc>
        <w:tc>
          <w:tcPr>
            <w:tcW w:w="2160" w:type="dxa"/>
            <w:tcBorders>
              <w:top w:val="single" w:sz="8" w:space="0" w:color="auto"/>
              <w:left w:val="nil"/>
              <w:bottom w:val="single" w:sz="12" w:space="0" w:color="auto"/>
              <w:right w:val="nil"/>
            </w:tcBorders>
            <w:vAlign w:val="center"/>
          </w:tcPr>
          <w:p w14:paraId="65F1B505" w14:textId="77777777" w:rsidR="00A230D2" w:rsidRPr="00251A7B" w:rsidRDefault="00A230D2" w:rsidP="005C2414">
            <w:pPr>
              <w:pStyle w:val="Table"/>
              <w:spacing w:line="240" w:lineRule="auto"/>
              <w:jc w:val="center"/>
              <w:rPr>
                <w:rFonts w:ascii="Times New Roman" w:hAnsi="Times New Roman"/>
                <w:sz w:val="18"/>
                <w:szCs w:val="18"/>
              </w:rPr>
            </w:pPr>
            <w:r w:rsidRPr="00251A7B">
              <w:rPr>
                <w:rFonts w:ascii="Times New Roman" w:hAnsi="Times New Roman"/>
                <w:sz w:val="18"/>
                <w:szCs w:val="18"/>
              </w:rPr>
              <w:t>Focus group</w:t>
            </w:r>
          </w:p>
        </w:tc>
      </w:tr>
    </w:tbl>
    <w:p w14:paraId="7E961548" w14:textId="77777777" w:rsidR="00A230D2" w:rsidRPr="006C6EAA" w:rsidRDefault="00A230D2" w:rsidP="00A230D2">
      <w:pPr>
        <w:rPr>
          <w:rFonts w:ascii="Times New Roman" w:eastAsia="Times New Roman" w:hAnsi="Times New Roman" w:cs="Times New Roman"/>
          <w:sz w:val="24"/>
          <w:szCs w:val="24"/>
        </w:rPr>
      </w:pPr>
    </w:p>
    <w:p w14:paraId="5EBB7399" w14:textId="77777777" w:rsidR="00A230D2" w:rsidRPr="006C6EAA" w:rsidRDefault="00A230D2" w:rsidP="00A230D2">
      <w:pPr>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4158"/>
        <w:gridCol w:w="902"/>
        <w:gridCol w:w="1049"/>
        <w:gridCol w:w="996"/>
        <w:gridCol w:w="783"/>
        <w:gridCol w:w="968"/>
      </w:tblGrid>
      <w:tr w:rsidR="00A230D2" w:rsidRPr="006C6EAA" w14:paraId="5D2723F3" w14:textId="77777777" w:rsidTr="005C2414">
        <w:trPr>
          <w:trHeight w:val="287"/>
        </w:trPr>
        <w:tc>
          <w:tcPr>
            <w:tcW w:w="8856" w:type="dxa"/>
            <w:gridSpan w:val="6"/>
            <w:tcBorders>
              <w:top w:val="single" w:sz="18" w:space="0" w:color="auto"/>
              <w:left w:val="nil"/>
              <w:bottom w:val="single" w:sz="18" w:space="0" w:color="auto"/>
              <w:right w:val="nil"/>
            </w:tcBorders>
            <w:noWrap/>
            <w:hideMark/>
          </w:tcPr>
          <w:p w14:paraId="584EABF1" w14:textId="77777777" w:rsidR="00A230D2" w:rsidRPr="006C6EAA" w:rsidRDefault="00A230D2" w:rsidP="005C2414">
            <w:pPr>
              <w:widowControl w:val="0"/>
              <w:spacing w:before="60"/>
              <w:rPr>
                <w:rFonts w:ascii="Times New Roman" w:eastAsia="Times New Roman" w:hAnsi="Times New Roman" w:cs="Times New Roman"/>
              </w:rPr>
            </w:pPr>
            <w:r w:rsidRPr="006C6EAA">
              <w:rPr>
                <w:rFonts w:ascii="Times New Roman" w:eastAsia="Times New Roman" w:hAnsi="Times New Roman" w:cs="Times New Roman"/>
                <w:b/>
                <w:bCs/>
              </w:rPr>
              <w:t>Exhibit A.2.2. Evaluation Questions by Data Collection Component</w:t>
            </w:r>
            <w:r w:rsidRPr="006C6EAA">
              <w:rPr>
                <w:rFonts w:ascii="Times New Roman" w:eastAsia="Times New Roman" w:hAnsi="Times New Roman" w:cs="Times New Roman"/>
              </w:rPr>
              <w:t> </w:t>
            </w:r>
          </w:p>
        </w:tc>
      </w:tr>
      <w:tr w:rsidR="00A230D2" w:rsidRPr="006C6EAA" w14:paraId="596F72E4" w14:textId="77777777" w:rsidTr="005C2414">
        <w:trPr>
          <w:trHeight w:val="300"/>
        </w:trPr>
        <w:tc>
          <w:tcPr>
            <w:tcW w:w="4158" w:type="dxa"/>
            <w:tcBorders>
              <w:top w:val="single" w:sz="18" w:space="0" w:color="auto"/>
              <w:left w:val="nil"/>
            </w:tcBorders>
            <w:noWrap/>
            <w:hideMark/>
          </w:tcPr>
          <w:p w14:paraId="419B1498" w14:textId="77777777" w:rsidR="00A230D2" w:rsidRPr="00251A7B" w:rsidRDefault="00A230D2" w:rsidP="005C2414">
            <w:pPr>
              <w:widowControl w:val="0"/>
              <w:spacing w:before="60"/>
              <w:rPr>
                <w:rFonts w:ascii="Times New Roman" w:eastAsia="Times New Roman" w:hAnsi="Times New Roman" w:cs="Times New Roman"/>
                <w:b/>
                <w:bCs/>
                <w:sz w:val="18"/>
                <w:szCs w:val="18"/>
              </w:rPr>
            </w:pPr>
            <w:r w:rsidRPr="00251A7B">
              <w:rPr>
                <w:rFonts w:ascii="Times New Roman" w:eastAsia="Times New Roman" w:hAnsi="Times New Roman" w:cs="Times New Roman"/>
                <w:b/>
                <w:bCs/>
                <w:sz w:val="18"/>
                <w:szCs w:val="18"/>
              </w:rPr>
              <w:t>Research Questions</w:t>
            </w:r>
          </w:p>
        </w:tc>
        <w:tc>
          <w:tcPr>
            <w:tcW w:w="902" w:type="dxa"/>
            <w:tcBorders>
              <w:top w:val="single" w:sz="18" w:space="0" w:color="auto"/>
            </w:tcBorders>
            <w:noWrap/>
            <w:hideMark/>
          </w:tcPr>
          <w:p w14:paraId="7571D399" w14:textId="77777777" w:rsidR="00A230D2" w:rsidRPr="00251A7B" w:rsidRDefault="00A230D2" w:rsidP="005C2414">
            <w:pPr>
              <w:widowControl w:val="0"/>
              <w:spacing w:before="60"/>
              <w:jc w:val="center"/>
              <w:rPr>
                <w:rFonts w:ascii="Times New Roman" w:eastAsia="Times New Roman" w:hAnsi="Times New Roman" w:cs="Times New Roman"/>
                <w:b/>
                <w:bCs/>
                <w:sz w:val="18"/>
                <w:szCs w:val="18"/>
              </w:rPr>
            </w:pPr>
            <w:r w:rsidRPr="00251A7B">
              <w:rPr>
                <w:rFonts w:ascii="Times New Roman" w:eastAsia="Times New Roman" w:hAnsi="Times New Roman" w:cs="Times New Roman"/>
                <w:b/>
                <w:bCs/>
                <w:sz w:val="18"/>
                <w:szCs w:val="18"/>
              </w:rPr>
              <w:t>Org. Survey</w:t>
            </w:r>
          </w:p>
        </w:tc>
        <w:tc>
          <w:tcPr>
            <w:tcW w:w="1049" w:type="dxa"/>
            <w:tcBorders>
              <w:top w:val="single" w:sz="18" w:space="0" w:color="auto"/>
            </w:tcBorders>
            <w:noWrap/>
            <w:hideMark/>
          </w:tcPr>
          <w:p w14:paraId="2ACF8041" w14:textId="77777777" w:rsidR="00A230D2" w:rsidRPr="00251A7B" w:rsidRDefault="00A230D2" w:rsidP="005C2414">
            <w:pPr>
              <w:widowControl w:val="0"/>
              <w:spacing w:before="60"/>
              <w:jc w:val="center"/>
              <w:rPr>
                <w:rFonts w:ascii="Times New Roman" w:eastAsia="Times New Roman" w:hAnsi="Times New Roman" w:cs="Times New Roman"/>
                <w:b/>
                <w:bCs/>
                <w:sz w:val="18"/>
                <w:szCs w:val="18"/>
              </w:rPr>
            </w:pPr>
            <w:r w:rsidRPr="00251A7B">
              <w:rPr>
                <w:rFonts w:ascii="Times New Roman" w:eastAsia="Times New Roman" w:hAnsi="Times New Roman" w:cs="Times New Roman"/>
                <w:b/>
                <w:bCs/>
                <w:sz w:val="18"/>
                <w:szCs w:val="18"/>
              </w:rPr>
              <w:t>Consumer Survey</w:t>
            </w:r>
          </w:p>
        </w:tc>
        <w:tc>
          <w:tcPr>
            <w:tcW w:w="996" w:type="dxa"/>
            <w:tcBorders>
              <w:top w:val="single" w:sz="18" w:space="0" w:color="auto"/>
            </w:tcBorders>
            <w:noWrap/>
            <w:hideMark/>
          </w:tcPr>
          <w:p w14:paraId="75781833" w14:textId="77777777" w:rsidR="00A230D2" w:rsidRPr="00251A7B" w:rsidRDefault="00A230D2" w:rsidP="005C2414">
            <w:pPr>
              <w:widowControl w:val="0"/>
              <w:spacing w:before="60"/>
              <w:jc w:val="center"/>
              <w:rPr>
                <w:rFonts w:ascii="Times New Roman" w:eastAsia="Times New Roman" w:hAnsi="Times New Roman" w:cs="Times New Roman"/>
                <w:b/>
                <w:bCs/>
                <w:sz w:val="18"/>
                <w:szCs w:val="18"/>
              </w:rPr>
            </w:pPr>
            <w:r w:rsidRPr="00251A7B">
              <w:rPr>
                <w:rFonts w:ascii="Times New Roman" w:eastAsia="Times New Roman" w:hAnsi="Times New Roman" w:cs="Times New Roman"/>
                <w:b/>
                <w:bCs/>
                <w:sz w:val="18"/>
                <w:szCs w:val="18"/>
              </w:rPr>
              <w:t>Interview</w:t>
            </w:r>
          </w:p>
        </w:tc>
        <w:tc>
          <w:tcPr>
            <w:tcW w:w="783" w:type="dxa"/>
            <w:tcBorders>
              <w:top w:val="single" w:sz="18" w:space="0" w:color="auto"/>
            </w:tcBorders>
            <w:noWrap/>
            <w:hideMark/>
          </w:tcPr>
          <w:p w14:paraId="1B454D86" w14:textId="77777777" w:rsidR="00A230D2" w:rsidRPr="00251A7B" w:rsidRDefault="00A230D2" w:rsidP="005C2414">
            <w:pPr>
              <w:widowControl w:val="0"/>
              <w:spacing w:before="60"/>
              <w:jc w:val="center"/>
              <w:rPr>
                <w:rFonts w:ascii="Times New Roman" w:eastAsia="Times New Roman" w:hAnsi="Times New Roman" w:cs="Times New Roman"/>
                <w:b/>
                <w:bCs/>
                <w:sz w:val="18"/>
                <w:szCs w:val="18"/>
              </w:rPr>
            </w:pPr>
            <w:r w:rsidRPr="00251A7B">
              <w:rPr>
                <w:rFonts w:ascii="Times New Roman" w:eastAsia="Times New Roman" w:hAnsi="Times New Roman" w:cs="Times New Roman"/>
                <w:b/>
                <w:bCs/>
                <w:sz w:val="18"/>
                <w:szCs w:val="18"/>
              </w:rPr>
              <w:t>Focus Group</w:t>
            </w:r>
          </w:p>
        </w:tc>
        <w:tc>
          <w:tcPr>
            <w:tcW w:w="968" w:type="dxa"/>
            <w:tcBorders>
              <w:top w:val="single" w:sz="18" w:space="0" w:color="auto"/>
              <w:right w:val="nil"/>
            </w:tcBorders>
            <w:noWrap/>
            <w:hideMark/>
          </w:tcPr>
          <w:p w14:paraId="4CBBBDDC" w14:textId="77777777" w:rsidR="00A230D2" w:rsidRPr="00251A7B" w:rsidRDefault="00A230D2" w:rsidP="005C2414">
            <w:pPr>
              <w:widowControl w:val="0"/>
              <w:spacing w:before="60"/>
              <w:jc w:val="center"/>
              <w:rPr>
                <w:rFonts w:ascii="Times New Roman" w:eastAsia="Times New Roman" w:hAnsi="Times New Roman" w:cs="Times New Roman"/>
                <w:b/>
                <w:bCs/>
                <w:sz w:val="18"/>
                <w:szCs w:val="18"/>
              </w:rPr>
            </w:pPr>
            <w:r w:rsidRPr="00251A7B">
              <w:rPr>
                <w:rFonts w:ascii="Times New Roman" w:eastAsia="Times New Roman" w:hAnsi="Times New Roman" w:cs="Times New Roman"/>
                <w:b/>
                <w:bCs/>
                <w:sz w:val="18"/>
                <w:szCs w:val="18"/>
              </w:rPr>
              <w:t>Existing Data</w:t>
            </w:r>
          </w:p>
        </w:tc>
      </w:tr>
      <w:tr w:rsidR="00A230D2" w:rsidRPr="006C6EAA" w14:paraId="6A097F79" w14:textId="77777777" w:rsidTr="005C2414">
        <w:trPr>
          <w:trHeight w:val="300"/>
        </w:trPr>
        <w:tc>
          <w:tcPr>
            <w:tcW w:w="4158" w:type="dxa"/>
            <w:tcBorders>
              <w:left w:val="nil"/>
            </w:tcBorders>
            <w:shd w:val="clear" w:color="auto" w:fill="D9D9D9" w:themeFill="background1" w:themeFillShade="D9"/>
            <w:vAlign w:val="center"/>
            <w:hideMark/>
          </w:tcPr>
          <w:p w14:paraId="23978A18" w14:textId="77777777" w:rsidR="00A230D2" w:rsidRPr="00251A7B" w:rsidRDefault="00A230D2" w:rsidP="005C2414">
            <w:pPr>
              <w:widowControl w:val="0"/>
              <w:rPr>
                <w:rFonts w:ascii="Times New Roman" w:eastAsia="Times New Roman" w:hAnsi="Times New Roman" w:cs="Times New Roman"/>
                <w:b/>
                <w:bCs/>
                <w:sz w:val="18"/>
                <w:szCs w:val="18"/>
              </w:rPr>
            </w:pPr>
            <w:r w:rsidRPr="00251A7B">
              <w:rPr>
                <w:rFonts w:ascii="Times New Roman" w:eastAsia="Times New Roman" w:hAnsi="Times New Roman" w:cs="Times New Roman"/>
                <w:b/>
                <w:bCs/>
                <w:sz w:val="18"/>
                <w:szCs w:val="18"/>
              </w:rPr>
              <w:t>1. How successful was C2C spread and uptake?</w:t>
            </w:r>
          </w:p>
        </w:tc>
        <w:tc>
          <w:tcPr>
            <w:tcW w:w="902" w:type="dxa"/>
            <w:shd w:val="clear" w:color="auto" w:fill="D9D9D9" w:themeFill="background1" w:themeFillShade="D9"/>
            <w:noWrap/>
            <w:vAlign w:val="center"/>
            <w:hideMark/>
          </w:tcPr>
          <w:p w14:paraId="07997877" w14:textId="77777777" w:rsidR="00A230D2" w:rsidRPr="00251A7B" w:rsidRDefault="00A230D2" w:rsidP="005C2414">
            <w:pPr>
              <w:widowControl w:val="0"/>
              <w:jc w:val="center"/>
              <w:rPr>
                <w:rFonts w:ascii="Times New Roman" w:eastAsia="Times New Roman" w:hAnsi="Times New Roman" w:cs="Times New Roman"/>
                <w:sz w:val="18"/>
                <w:szCs w:val="18"/>
              </w:rPr>
            </w:pPr>
            <w:r w:rsidRPr="00251A7B">
              <w:rPr>
                <w:rFonts w:ascii="Times New Roman" w:eastAsia="Times New Roman" w:hAnsi="Times New Roman" w:cs="Times New Roman"/>
                <w:sz w:val="18"/>
                <w:szCs w:val="18"/>
              </w:rPr>
              <w:t>X</w:t>
            </w:r>
          </w:p>
        </w:tc>
        <w:tc>
          <w:tcPr>
            <w:tcW w:w="1049" w:type="dxa"/>
            <w:shd w:val="clear" w:color="auto" w:fill="D9D9D9" w:themeFill="background1" w:themeFillShade="D9"/>
            <w:noWrap/>
            <w:vAlign w:val="center"/>
            <w:hideMark/>
          </w:tcPr>
          <w:p w14:paraId="25AF141F" w14:textId="77777777" w:rsidR="00A230D2" w:rsidRPr="00251A7B" w:rsidRDefault="00A230D2" w:rsidP="005C2414">
            <w:pPr>
              <w:widowControl w:val="0"/>
              <w:tabs>
                <w:tab w:val="left" w:pos="720"/>
                <w:tab w:val="left" w:pos="1080"/>
                <w:tab w:val="left" w:pos="1440"/>
                <w:tab w:val="left" w:pos="1800"/>
              </w:tabs>
              <w:spacing w:line="264" w:lineRule="auto"/>
              <w:jc w:val="center"/>
              <w:rPr>
                <w:rFonts w:ascii="Times New Roman" w:eastAsia="Times New Roman" w:hAnsi="Times New Roman" w:cs="Times New Roman"/>
                <w:sz w:val="18"/>
                <w:szCs w:val="18"/>
              </w:rPr>
            </w:pPr>
          </w:p>
        </w:tc>
        <w:tc>
          <w:tcPr>
            <w:tcW w:w="996" w:type="dxa"/>
            <w:shd w:val="clear" w:color="auto" w:fill="D9D9D9" w:themeFill="background1" w:themeFillShade="D9"/>
            <w:noWrap/>
            <w:vAlign w:val="center"/>
            <w:hideMark/>
          </w:tcPr>
          <w:p w14:paraId="48A3A727" w14:textId="77777777" w:rsidR="00A230D2" w:rsidRPr="00251A7B" w:rsidRDefault="00A230D2" w:rsidP="005C2414">
            <w:pPr>
              <w:widowControl w:val="0"/>
              <w:jc w:val="center"/>
              <w:rPr>
                <w:rFonts w:ascii="Times New Roman" w:eastAsia="Times New Roman" w:hAnsi="Times New Roman" w:cs="Times New Roman"/>
                <w:sz w:val="18"/>
                <w:szCs w:val="18"/>
              </w:rPr>
            </w:pPr>
            <w:r w:rsidRPr="00251A7B">
              <w:rPr>
                <w:rFonts w:ascii="Times New Roman" w:eastAsia="Times New Roman" w:hAnsi="Times New Roman" w:cs="Times New Roman"/>
                <w:sz w:val="18"/>
                <w:szCs w:val="18"/>
              </w:rPr>
              <w:t>X</w:t>
            </w:r>
          </w:p>
        </w:tc>
        <w:tc>
          <w:tcPr>
            <w:tcW w:w="783" w:type="dxa"/>
            <w:shd w:val="clear" w:color="auto" w:fill="D9D9D9" w:themeFill="background1" w:themeFillShade="D9"/>
            <w:noWrap/>
            <w:vAlign w:val="center"/>
            <w:hideMark/>
          </w:tcPr>
          <w:p w14:paraId="49505E5B" w14:textId="77777777" w:rsidR="00A230D2" w:rsidRPr="00251A7B" w:rsidRDefault="00A230D2" w:rsidP="005C2414">
            <w:pPr>
              <w:widowControl w:val="0"/>
              <w:tabs>
                <w:tab w:val="left" w:pos="720"/>
                <w:tab w:val="left" w:pos="1080"/>
                <w:tab w:val="left" w:pos="1440"/>
                <w:tab w:val="left" w:pos="1800"/>
              </w:tabs>
              <w:spacing w:line="264" w:lineRule="auto"/>
              <w:jc w:val="center"/>
              <w:rPr>
                <w:rFonts w:ascii="Times New Roman" w:eastAsia="Times New Roman" w:hAnsi="Times New Roman" w:cs="Times New Roman"/>
                <w:sz w:val="18"/>
                <w:szCs w:val="18"/>
              </w:rPr>
            </w:pPr>
          </w:p>
        </w:tc>
        <w:tc>
          <w:tcPr>
            <w:tcW w:w="968" w:type="dxa"/>
            <w:tcBorders>
              <w:right w:val="nil"/>
            </w:tcBorders>
            <w:shd w:val="clear" w:color="auto" w:fill="D9D9D9" w:themeFill="background1" w:themeFillShade="D9"/>
            <w:noWrap/>
            <w:vAlign w:val="center"/>
            <w:hideMark/>
          </w:tcPr>
          <w:p w14:paraId="2B40A512" w14:textId="77777777" w:rsidR="00A230D2" w:rsidRPr="00251A7B" w:rsidRDefault="00A230D2" w:rsidP="005C2414">
            <w:pPr>
              <w:widowControl w:val="0"/>
              <w:jc w:val="center"/>
              <w:rPr>
                <w:rFonts w:ascii="Times New Roman" w:eastAsia="Times New Roman" w:hAnsi="Times New Roman" w:cs="Times New Roman"/>
                <w:sz w:val="18"/>
                <w:szCs w:val="18"/>
              </w:rPr>
            </w:pPr>
            <w:r w:rsidRPr="00251A7B">
              <w:rPr>
                <w:rFonts w:ascii="Times New Roman" w:eastAsia="Times New Roman" w:hAnsi="Times New Roman" w:cs="Times New Roman"/>
                <w:sz w:val="18"/>
                <w:szCs w:val="18"/>
              </w:rPr>
              <w:t>X</w:t>
            </w:r>
          </w:p>
        </w:tc>
      </w:tr>
      <w:tr w:rsidR="00A230D2" w:rsidRPr="006C6EAA" w14:paraId="699F4F35" w14:textId="77777777" w:rsidTr="005C2414">
        <w:trPr>
          <w:trHeight w:val="300"/>
        </w:trPr>
        <w:tc>
          <w:tcPr>
            <w:tcW w:w="4158" w:type="dxa"/>
            <w:tcBorders>
              <w:left w:val="nil"/>
            </w:tcBorders>
            <w:vAlign w:val="center"/>
            <w:hideMark/>
          </w:tcPr>
          <w:p w14:paraId="096C404B" w14:textId="77777777" w:rsidR="00A230D2" w:rsidRPr="00251A7B" w:rsidRDefault="00A230D2" w:rsidP="005C2414">
            <w:pPr>
              <w:widowControl w:val="0"/>
              <w:rPr>
                <w:rFonts w:ascii="Times New Roman" w:eastAsia="Times New Roman" w:hAnsi="Times New Roman" w:cs="Times New Roman"/>
                <w:sz w:val="18"/>
                <w:szCs w:val="18"/>
              </w:rPr>
            </w:pPr>
            <w:r w:rsidRPr="00251A7B">
              <w:rPr>
                <w:rFonts w:ascii="Times New Roman" w:eastAsia="Times New Roman" w:hAnsi="Times New Roman" w:cs="Times New Roman"/>
                <w:sz w:val="18"/>
                <w:szCs w:val="18"/>
              </w:rPr>
              <w:t>How many systems and organizations were reached?</w:t>
            </w:r>
          </w:p>
        </w:tc>
        <w:tc>
          <w:tcPr>
            <w:tcW w:w="902" w:type="dxa"/>
            <w:noWrap/>
            <w:vAlign w:val="center"/>
            <w:hideMark/>
          </w:tcPr>
          <w:p w14:paraId="18EB2FFA" w14:textId="77777777" w:rsidR="00A230D2" w:rsidRPr="00251A7B" w:rsidRDefault="00A230D2" w:rsidP="005C2414">
            <w:pPr>
              <w:widowControl w:val="0"/>
              <w:tabs>
                <w:tab w:val="left" w:pos="720"/>
                <w:tab w:val="left" w:pos="1080"/>
                <w:tab w:val="left" w:pos="1440"/>
                <w:tab w:val="left" w:pos="1800"/>
              </w:tabs>
              <w:spacing w:line="264" w:lineRule="auto"/>
              <w:jc w:val="center"/>
              <w:rPr>
                <w:rFonts w:ascii="Times New Roman" w:eastAsia="Times New Roman" w:hAnsi="Times New Roman" w:cs="Times New Roman"/>
                <w:sz w:val="18"/>
                <w:szCs w:val="18"/>
              </w:rPr>
            </w:pPr>
          </w:p>
        </w:tc>
        <w:tc>
          <w:tcPr>
            <w:tcW w:w="1049" w:type="dxa"/>
            <w:noWrap/>
            <w:vAlign w:val="center"/>
            <w:hideMark/>
          </w:tcPr>
          <w:p w14:paraId="119C3C2D" w14:textId="77777777" w:rsidR="00A230D2" w:rsidRPr="00251A7B" w:rsidRDefault="00A230D2" w:rsidP="005C2414">
            <w:pPr>
              <w:widowControl w:val="0"/>
              <w:tabs>
                <w:tab w:val="left" w:pos="720"/>
                <w:tab w:val="left" w:pos="1080"/>
                <w:tab w:val="left" w:pos="1440"/>
                <w:tab w:val="left" w:pos="1800"/>
              </w:tabs>
              <w:spacing w:line="264" w:lineRule="auto"/>
              <w:jc w:val="center"/>
              <w:rPr>
                <w:rFonts w:ascii="Times New Roman" w:eastAsia="Times New Roman" w:hAnsi="Times New Roman" w:cs="Times New Roman"/>
                <w:sz w:val="18"/>
                <w:szCs w:val="18"/>
              </w:rPr>
            </w:pPr>
          </w:p>
        </w:tc>
        <w:tc>
          <w:tcPr>
            <w:tcW w:w="996" w:type="dxa"/>
            <w:noWrap/>
            <w:vAlign w:val="center"/>
            <w:hideMark/>
          </w:tcPr>
          <w:p w14:paraId="31BD4039" w14:textId="77777777" w:rsidR="00A230D2" w:rsidRPr="00251A7B" w:rsidRDefault="00A230D2" w:rsidP="005C2414">
            <w:pPr>
              <w:widowControl w:val="0"/>
              <w:tabs>
                <w:tab w:val="left" w:pos="720"/>
                <w:tab w:val="left" w:pos="1080"/>
                <w:tab w:val="left" w:pos="1440"/>
                <w:tab w:val="left" w:pos="1800"/>
              </w:tabs>
              <w:spacing w:line="264" w:lineRule="auto"/>
              <w:jc w:val="center"/>
              <w:rPr>
                <w:rFonts w:ascii="Times New Roman" w:eastAsia="Times New Roman" w:hAnsi="Times New Roman" w:cs="Times New Roman"/>
                <w:sz w:val="18"/>
                <w:szCs w:val="18"/>
              </w:rPr>
            </w:pPr>
          </w:p>
        </w:tc>
        <w:tc>
          <w:tcPr>
            <w:tcW w:w="783" w:type="dxa"/>
            <w:noWrap/>
            <w:vAlign w:val="center"/>
            <w:hideMark/>
          </w:tcPr>
          <w:p w14:paraId="44559530" w14:textId="77777777" w:rsidR="00A230D2" w:rsidRPr="00251A7B" w:rsidRDefault="00A230D2" w:rsidP="005C2414">
            <w:pPr>
              <w:widowControl w:val="0"/>
              <w:tabs>
                <w:tab w:val="left" w:pos="720"/>
                <w:tab w:val="left" w:pos="1080"/>
                <w:tab w:val="left" w:pos="1440"/>
                <w:tab w:val="left" w:pos="1800"/>
              </w:tabs>
              <w:spacing w:line="264" w:lineRule="auto"/>
              <w:jc w:val="center"/>
              <w:rPr>
                <w:rFonts w:ascii="Times New Roman" w:eastAsia="Times New Roman" w:hAnsi="Times New Roman" w:cs="Times New Roman"/>
                <w:sz w:val="18"/>
                <w:szCs w:val="18"/>
              </w:rPr>
            </w:pPr>
          </w:p>
        </w:tc>
        <w:tc>
          <w:tcPr>
            <w:tcW w:w="968" w:type="dxa"/>
            <w:tcBorders>
              <w:right w:val="nil"/>
            </w:tcBorders>
            <w:noWrap/>
            <w:vAlign w:val="center"/>
            <w:hideMark/>
          </w:tcPr>
          <w:p w14:paraId="22491B0C" w14:textId="77777777" w:rsidR="00A230D2" w:rsidRPr="00251A7B" w:rsidRDefault="00A230D2" w:rsidP="005C2414">
            <w:pPr>
              <w:widowControl w:val="0"/>
              <w:jc w:val="center"/>
              <w:rPr>
                <w:rFonts w:ascii="Times New Roman" w:eastAsia="Times New Roman" w:hAnsi="Times New Roman" w:cs="Times New Roman"/>
                <w:sz w:val="18"/>
                <w:szCs w:val="18"/>
              </w:rPr>
            </w:pPr>
            <w:r w:rsidRPr="00251A7B">
              <w:rPr>
                <w:rFonts w:ascii="Times New Roman" w:eastAsia="Times New Roman" w:hAnsi="Times New Roman" w:cs="Times New Roman"/>
                <w:sz w:val="18"/>
                <w:szCs w:val="18"/>
              </w:rPr>
              <w:t>X</w:t>
            </w:r>
          </w:p>
        </w:tc>
      </w:tr>
      <w:tr w:rsidR="00A230D2" w:rsidRPr="006C6EAA" w14:paraId="55A6EF85" w14:textId="77777777" w:rsidTr="005C2414">
        <w:trPr>
          <w:trHeight w:val="300"/>
        </w:trPr>
        <w:tc>
          <w:tcPr>
            <w:tcW w:w="4158" w:type="dxa"/>
            <w:tcBorders>
              <w:left w:val="nil"/>
            </w:tcBorders>
            <w:vAlign w:val="center"/>
            <w:hideMark/>
          </w:tcPr>
          <w:p w14:paraId="1FAE98C5" w14:textId="77777777" w:rsidR="00A230D2" w:rsidRPr="00251A7B" w:rsidRDefault="00A230D2" w:rsidP="005C2414">
            <w:pPr>
              <w:widowControl w:val="0"/>
              <w:rPr>
                <w:rFonts w:ascii="Times New Roman" w:eastAsia="Times New Roman" w:hAnsi="Times New Roman" w:cs="Times New Roman"/>
                <w:sz w:val="18"/>
                <w:szCs w:val="18"/>
              </w:rPr>
            </w:pPr>
            <w:r w:rsidRPr="00251A7B">
              <w:rPr>
                <w:rFonts w:ascii="Times New Roman" w:eastAsia="Times New Roman" w:hAnsi="Times New Roman" w:cs="Times New Roman"/>
                <w:sz w:val="18"/>
                <w:szCs w:val="18"/>
              </w:rPr>
              <w:t>Which areas have more/less penetration?</w:t>
            </w:r>
          </w:p>
        </w:tc>
        <w:tc>
          <w:tcPr>
            <w:tcW w:w="902" w:type="dxa"/>
            <w:noWrap/>
            <w:vAlign w:val="center"/>
            <w:hideMark/>
          </w:tcPr>
          <w:p w14:paraId="0827825B" w14:textId="77777777" w:rsidR="00A230D2" w:rsidRPr="00251A7B" w:rsidRDefault="00A230D2" w:rsidP="005C2414">
            <w:pPr>
              <w:widowControl w:val="0"/>
              <w:tabs>
                <w:tab w:val="left" w:pos="720"/>
                <w:tab w:val="left" w:pos="1080"/>
                <w:tab w:val="left" w:pos="1440"/>
                <w:tab w:val="left" w:pos="1800"/>
              </w:tabs>
              <w:spacing w:line="264" w:lineRule="auto"/>
              <w:jc w:val="center"/>
              <w:rPr>
                <w:rFonts w:ascii="Times New Roman" w:eastAsia="Times New Roman" w:hAnsi="Times New Roman" w:cs="Times New Roman"/>
                <w:sz w:val="18"/>
                <w:szCs w:val="18"/>
              </w:rPr>
            </w:pPr>
          </w:p>
        </w:tc>
        <w:tc>
          <w:tcPr>
            <w:tcW w:w="1049" w:type="dxa"/>
            <w:noWrap/>
            <w:vAlign w:val="center"/>
            <w:hideMark/>
          </w:tcPr>
          <w:p w14:paraId="6EC086CB" w14:textId="77777777" w:rsidR="00A230D2" w:rsidRPr="00251A7B" w:rsidRDefault="00A230D2" w:rsidP="005C2414">
            <w:pPr>
              <w:widowControl w:val="0"/>
              <w:tabs>
                <w:tab w:val="left" w:pos="720"/>
                <w:tab w:val="left" w:pos="1080"/>
                <w:tab w:val="left" w:pos="1440"/>
                <w:tab w:val="left" w:pos="1800"/>
              </w:tabs>
              <w:spacing w:line="264" w:lineRule="auto"/>
              <w:jc w:val="center"/>
              <w:rPr>
                <w:rFonts w:ascii="Times New Roman" w:eastAsia="Times New Roman" w:hAnsi="Times New Roman" w:cs="Times New Roman"/>
                <w:sz w:val="18"/>
                <w:szCs w:val="18"/>
              </w:rPr>
            </w:pPr>
          </w:p>
        </w:tc>
        <w:tc>
          <w:tcPr>
            <w:tcW w:w="996" w:type="dxa"/>
            <w:noWrap/>
            <w:vAlign w:val="center"/>
            <w:hideMark/>
          </w:tcPr>
          <w:p w14:paraId="6AFFFA40" w14:textId="77777777" w:rsidR="00A230D2" w:rsidRPr="00251A7B" w:rsidRDefault="00A230D2" w:rsidP="005C2414">
            <w:pPr>
              <w:widowControl w:val="0"/>
              <w:tabs>
                <w:tab w:val="left" w:pos="720"/>
                <w:tab w:val="left" w:pos="1080"/>
                <w:tab w:val="left" w:pos="1440"/>
                <w:tab w:val="left" w:pos="1800"/>
              </w:tabs>
              <w:spacing w:line="264" w:lineRule="auto"/>
              <w:jc w:val="center"/>
              <w:rPr>
                <w:rFonts w:ascii="Times New Roman" w:eastAsia="Times New Roman" w:hAnsi="Times New Roman" w:cs="Times New Roman"/>
                <w:sz w:val="18"/>
                <w:szCs w:val="18"/>
              </w:rPr>
            </w:pPr>
          </w:p>
        </w:tc>
        <w:tc>
          <w:tcPr>
            <w:tcW w:w="783" w:type="dxa"/>
            <w:noWrap/>
            <w:vAlign w:val="center"/>
            <w:hideMark/>
          </w:tcPr>
          <w:p w14:paraId="793067A7" w14:textId="77777777" w:rsidR="00A230D2" w:rsidRPr="00251A7B" w:rsidRDefault="00A230D2" w:rsidP="005C2414">
            <w:pPr>
              <w:widowControl w:val="0"/>
              <w:tabs>
                <w:tab w:val="left" w:pos="720"/>
                <w:tab w:val="left" w:pos="1080"/>
                <w:tab w:val="left" w:pos="1440"/>
                <w:tab w:val="left" w:pos="1800"/>
              </w:tabs>
              <w:spacing w:line="264" w:lineRule="auto"/>
              <w:jc w:val="center"/>
              <w:rPr>
                <w:rFonts w:ascii="Times New Roman" w:eastAsia="Times New Roman" w:hAnsi="Times New Roman" w:cs="Times New Roman"/>
                <w:sz w:val="18"/>
                <w:szCs w:val="18"/>
              </w:rPr>
            </w:pPr>
          </w:p>
        </w:tc>
        <w:tc>
          <w:tcPr>
            <w:tcW w:w="968" w:type="dxa"/>
            <w:tcBorders>
              <w:right w:val="nil"/>
            </w:tcBorders>
            <w:noWrap/>
            <w:vAlign w:val="center"/>
            <w:hideMark/>
          </w:tcPr>
          <w:p w14:paraId="51055BFE" w14:textId="77777777" w:rsidR="00A230D2" w:rsidRPr="00251A7B" w:rsidRDefault="00A230D2" w:rsidP="005C2414">
            <w:pPr>
              <w:widowControl w:val="0"/>
              <w:jc w:val="center"/>
              <w:rPr>
                <w:rFonts w:ascii="Times New Roman" w:eastAsia="Times New Roman" w:hAnsi="Times New Roman" w:cs="Times New Roman"/>
                <w:sz w:val="18"/>
                <w:szCs w:val="18"/>
              </w:rPr>
            </w:pPr>
            <w:r w:rsidRPr="00251A7B">
              <w:rPr>
                <w:rFonts w:ascii="Times New Roman" w:eastAsia="Times New Roman" w:hAnsi="Times New Roman" w:cs="Times New Roman"/>
                <w:sz w:val="18"/>
                <w:szCs w:val="18"/>
              </w:rPr>
              <w:t>X</w:t>
            </w:r>
          </w:p>
        </w:tc>
      </w:tr>
      <w:tr w:rsidR="00A230D2" w:rsidRPr="006C6EAA" w14:paraId="7AAEAA72" w14:textId="77777777" w:rsidTr="005C2414">
        <w:trPr>
          <w:trHeight w:val="480"/>
        </w:trPr>
        <w:tc>
          <w:tcPr>
            <w:tcW w:w="4158" w:type="dxa"/>
            <w:tcBorders>
              <w:left w:val="nil"/>
            </w:tcBorders>
            <w:vAlign w:val="center"/>
            <w:hideMark/>
          </w:tcPr>
          <w:p w14:paraId="003FAFC4" w14:textId="77777777" w:rsidR="00A230D2" w:rsidRPr="00251A7B" w:rsidRDefault="00A230D2" w:rsidP="005C2414">
            <w:pPr>
              <w:widowControl w:val="0"/>
              <w:rPr>
                <w:rFonts w:ascii="Times New Roman" w:eastAsia="Times New Roman" w:hAnsi="Times New Roman" w:cs="Times New Roman"/>
                <w:sz w:val="18"/>
                <w:szCs w:val="18"/>
              </w:rPr>
            </w:pPr>
            <w:r w:rsidRPr="00251A7B">
              <w:rPr>
                <w:rFonts w:ascii="Times New Roman" w:eastAsia="Times New Roman" w:hAnsi="Times New Roman" w:cs="Times New Roman"/>
                <w:sz w:val="18"/>
                <w:szCs w:val="18"/>
              </w:rPr>
              <w:t>What are effective strategies for dissemination from CMS to organizations?</w:t>
            </w:r>
          </w:p>
        </w:tc>
        <w:tc>
          <w:tcPr>
            <w:tcW w:w="902" w:type="dxa"/>
            <w:noWrap/>
            <w:vAlign w:val="center"/>
            <w:hideMark/>
          </w:tcPr>
          <w:p w14:paraId="26469BA4" w14:textId="77777777" w:rsidR="00A230D2" w:rsidRPr="00251A7B" w:rsidRDefault="00A230D2" w:rsidP="005C2414">
            <w:pPr>
              <w:widowControl w:val="0"/>
              <w:jc w:val="center"/>
              <w:rPr>
                <w:rFonts w:ascii="Times New Roman" w:eastAsia="Times New Roman" w:hAnsi="Times New Roman" w:cs="Times New Roman"/>
                <w:sz w:val="18"/>
                <w:szCs w:val="18"/>
              </w:rPr>
            </w:pPr>
            <w:r w:rsidRPr="00251A7B">
              <w:rPr>
                <w:rFonts w:ascii="Times New Roman" w:eastAsia="Times New Roman" w:hAnsi="Times New Roman" w:cs="Times New Roman"/>
                <w:sz w:val="18"/>
                <w:szCs w:val="18"/>
              </w:rPr>
              <w:t>X</w:t>
            </w:r>
          </w:p>
        </w:tc>
        <w:tc>
          <w:tcPr>
            <w:tcW w:w="1049" w:type="dxa"/>
            <w:noWrap/>
            <w:vAlign w:val="center"/>
            <w:hideMark/>
          </w:tcPr>
          <w:p w14:paraId="7DCDA736" w14:textId="77777777" w:rsidR="00A230D2" w:rsidRPr="00251A7B" w:rsidRDefault="00A230D2" w:rsidP="005C2414">
            <w:pPr>
              <w:widowControl w:val="0"/>
              <w:tabs>
                <w:tab w:val="left" w:pos="720"/>
                <w:tab w:val="left" w:pos="1080"/>
                <w:tab w:val="left" w:pos="1440"/>
                <w:tab w:val="left" w:pos="1800"/>
              </w:tabs>
              <w:spacing w:line="264" w:lineRule="auto"/>
              <w:jc w:val="center"/>
              <w:rPr>
                <w:rFonts w:ascii="Times New Roman" w:eastAsia="Times New Roman" w:hAnsi="Times New Roman" w:cs="Times New Roman"/>
                <w:sz w:val="18"/>
                <w:szCs w:val="18"/>
              </w:rPr>
            </w:pPr>
          </w:p>
        </w:tc>
        <w:tc>
          <w:tcPr>
            <w:tcW w:w="996" w:type="dxa"/>
            <w:noWrap/>
            <w:vAlign w:val="center"/>
            <w:hideMark/>
          </w:tcPr>
          <w:p w14:paraId="5594B987" w14:textId="77777777" w:rsidR="00A230D2" w:rsidRPr="00251A7B" w:rsidRDefault="00A230D2" w:rsidP="005C2414">
            <w:pPr>
              <w:widowControl w:val="0"/>
              <w:jc w:val="center"/>
              <w:rPr>
                <w:rFonts w:ascii="Times New Roman" w:eastAsia="Times New Roman" w:hAnsi="Times New Roman" w:cs="Times New Roman"/>
                <w:sz w:val="18"/>
                <w:szCs w:val="18"/>
              </w:rPr>
            </w:pPr>
            <w:r w:rsidRPr="00251A7B">
              <w:rPr>
                <w:rFonts w:ascii="Times New Roman" w:eastAsia="Times New Roman" w:hAnsi="Times New Roman" w:cs="Times New Roman"/>
                <w:sz w:val="18"/>
                <w:szCs w:val="18"/>
              </w:rPr>
              <w:t>X</w:t>
            </w:r>
          </w:p>
        </w:tc>
        <w:tc>
          <w:tcPr>
            <w:tcW w:w="783" w:type="dxa"/>
            <w:noWrap/>
            <w:vAlign w:val="center"/>
            <w:hideMark/>
          </w:tcPr>
          <w:p w14:paraId="459E5412" w14:textId="77777777" w:rsidR="00A230D2" w:rsidRPr="00251A7B" w:rsidRDefault="00A230D2" w:rsidP="005C2414">
            <w:pPr>
              <w:widowControl w:val="0"/>
              <w:tabs>
                <w:tab w:val="left" w:pos="720"/>
                <w:tab w:val="left" w:pos="1080"/>
                <w:tab w:val="left" w:pos="1440"/>
                <w:tab w:val="left" w:pos="1800"/>
              </w:tabs>
              <w:spacing w:line="264" w:lineRule="auto"/>
              <w:jc w:val="center"/>
              <w:rPr>
                <w:rFonts w:ascii="Times New Roman" w:eastAsia="Times New Roman" w:hAnsi="Times New Roman" w:cs="Times New Roman"/>
                <w:sz w:val="18"/>
                <w:szCs w:val="18"/>
              </w:rPr>
            </w:pPr>
          </w:p>
        </w:tc>
        <w:tc>
          <w:tcPr>
            <w:tcW w:w="968" w:type="dxa"/>
            <w:tcBorders>
              <w:right w:val="nil"/>
            </w:tcBorders>
            <w:noWrap/>
            <w:vAlign w:val="center"/>
            <w:hideMark/>
          </w:tcPr>
          <w:p w14:paraId="660C232F" w14:textId="77777777" w:rsidR="00A230D2" w:rsidRPr="00251A7B" w:rsidRDefault="00A230D2" w:rsidP="005C2414">
            <w:pPr>
              <w:widowControl w:val="0"/>
              <w:jc w:val="center"/>
              <w:rPr>
                <w:rFonts w:ascii="Times New Roman" w:eastAsia="Times New Roman" w:hAnsi="Times New Roman" w:cs="Times New Roman"/>
                <w:sz w:val="18"/>
                <w:szCs w:val="18"/>
              </w:rPr>
            </w:pPr>
            <w:r w:rsidRPr="00251A7B">
              <w:rPr>
                <w:rFonts w:ascii="Times New Roman" w:eastAsia="Times New Roman" w:hAnsi="Times New Roman" w:cs="Times New Roman"/>
                <w:sz w:val="18"/>
                <w:szCs w:val="18"/>
              </w:rPr>
              <w:t>X</w:t>
            </w:r>
          </w:p>
        </w:tc>
      </w:tr>
      <w:tr w:rsidR="00A230D2" w:rsidRPr="006C6EAA" w14:paraId="1D4138C3" w14:textId="77777777" w:rsidTr="005C2414">
        <w:trPr>
          <w:trHeight w:val="720"/>
        </w:trPr>
        <w:tc>
          <w:tcPr>
            <w:tcW w:w="4158" w:type="dxa"/>
            <w:tcBorders>
              <w:left w:val="nil"/>
            </w:tcBorders>
            <w:vAlign w:val="center"/>
            <w:hideMark/>
          </w:tcPr>
          <w:p w14:paraId="19CDD898" w14:textId="77777777" w:rsidR="00A230D2" w:rsidRPr="00251A7B" w:rsidRDefault="00A230D2" w:rsidP="005C2414">
            <w:pPr>
              <w:widowControl w:val="0"/>
              <w:rPr>
                <w:rFonts w:ascii="Times New Roman" w:eastAsia="Times New Roman" w:hAnsi="Times New Roman" w:cs="Times New Roman"/>
                <w:sz w:val="18"/>
                <w:szCs w:val="18"/>
              </w:rPr>
            </w:pPr>
            <w:r w:rsidRPr="00251A7B">
              <w:rPr>
                <w:rFonts w:ascii="Times New Roman" w:eastAsia="Times New Roman" w:hAnsi="Times New Roman" w:cs="Times New Roman"/>
                <w:sz w:val="18"/>
                <w:szCs w:val="18"/>
              </w:rPr>
              <w:t>How did organizations share the information with other organizations (e.g., spread within community) and what are best practices?</w:t>
            </w:r>
          </w:p>
        </w:tc>
        <w:tc>
          <w:tcPr>
            <w:tcW w:w="902" w:type="dxa"/>
            <w:noWrap/>
            <w:vAlign w:val="center"/>
            <w:hideMark/>
          </w:tcPr>
          <w:p w14:paraId="08FAF865" w14:textId="77777777" w:rsidR="00A230D2" w:rsidRPr="00251A7B" w:rsidRDefault="00A230D2" w:rsidP="005C2414">
            <w:pPr>
              <w:widowControl w:val="0"/>
              <w:jc w:val="center"/>
              <w:rPr>
                <w:rFonts w:ascii="Times New Roman" w:eastAsia="Times New Roman" w:hAnsi="Times New Roman" w:cs="Times New Roman"/>
                <w:sz w:val="18"/>
                <w:szCs w:val="18"/>
              </w:rPr>
            </w:pPr>
            <w:r w:rsidRPr="00251A7B">
              <w:rPr>
                <w:rFonts w:ascii="Times New Roman" w:eastAsia="Times New Roman" w:hAnsi="Times New Roman" w:cs="Times New Roman"/>
                <w:sz w:val="18"/>
                <w:szCs w:val="18"/>
              </w:rPr>
              <w:t>X</w:t>
            </w:r>
          </w:p>
        </w:tc>
        <w:tc>
          <w:tcPr>
            <w:tcW w:w="1049" w:type="dxa"/>
            <w:noWrap/>
            <w:vAlign w:val="center"/>
            <w:hideMark/>
          </w:tcPr>
          <w:p w14:paraId="1F17DE82" w14:textId="77777777" w:rsidR="00A230D2" w:rsidRPr="00251A7B" w:rsidRDefault="00A230D2" w:rsidP="005C2414">
            <w:pPr>
              <w:widowControl w:val="0"/>
              <w:tabs>
                <w:tab w:val="left" w:pos="720"/>
                <w:tab w:val="left" w:pos="1080"/>
                <w:tab w:val="left" w:pos="1440"/>
                <w:tab w:val="left" w:pos="1800"/>
              </w:tabs>
              <w:spacing w:line="264" w:lineRule="auto"/>
              <w:jc w:val="center"/>
              <w:rPr>
                <w:rFonts w:ascii="Times New Roman" w:eastAsia="Times New Roman" w:hAnsi="Times New Roman" w:cs="Times New Roman"/>
                <w:sz w:val="18"/>
                <w:szCs w:val="18"/>
              </w:rPr>
            </w:pPr>
          </w:p>
        </w:tc>
        <w:tc>
          <w:tcPr>
            <w:tcW w:w="996" w:type="dxa"/>
            <w:noWrap/>
            <w:vAlign w:val="center"/>
            <w:hideMark/>
          </w:tcPr>
          <w:p w14:paraId="71BFF452" w14:textId="77777777" w:rsidR="00A230D2" w:rsidRPr="00251A7B" w:rsidRDefault="00A230D2" w:rsidP="005C2414">
            <w:pPr>
              <w:widowControl w:val="0"/>
              <w:jc w:val="center"/>
              <w:rPr>
                <w:rFonts w:ascii="Times New Roman" w:eastAsia="Times New Roman" w:hAnsi="Times New Roman" w:cs="Times New Roman"/>
                <w:sz w:val="18"/>
                <w:szCs w:val="18"/>
              </w:rPr>
            </w:pPr>
            <w:r w:rsidRPr="00251A7B">
              <w:rPr>
                <w:rFonts w:ascii="Times New Roman" w:eastAsia="Times New Roman" w:hAnsi="Times New Roman" w:cs="Times New Roman"/>
                <w:sz w:val="18"/>
                <w:szCs w:val="18"/>
              </w:rPr>
              <w:t>X</w:t>
            </w:r>
          </w:p>
        </w:tc>
        <w:tc>
          <w:tcPr>
            <w:tcW w:w="783" w:type="dxa"/>
            <w:noWrap/>
            <w:vAlign w:val="center"/>
            <w:hideMark/>
          </w:tcPr>
          <w:p w14:paraId="6C0CD87C" w14:textId="77777777" w:rsidR="00A230D2" w:rsidRPr="00251A7B" w:rsidRDefault="00A230D2" w:rsidP="005C2414">
            <w:pPr>
              <w:widowControl w:val="0"/>
              <w:tabs>
                <w:tab w:val="left" w:pos="720"/>
                <w:tab w:val="left" w:pos="1080"/>
                <w:tab w:val="left" w:pos="1440"/>
                <w:tab w:val="left" w:pos="1800"/>
              </w:tabs>
              <w:spacing w:line="264" w:lineRule="auto"/>
              <w:jc w:val="center"/>
              <w:rPr>
                <w:rFonts w:ascii="Times New Roman" w:eastAsia="Times New Roman" w:hAnsi="Times New Roman" w:cs="Times New Roman"/>
                <w:sz w:val="18"/>
                <w:szCs w:val="18"/>
              </w:rPr>
            </w:pPr>
          </w:p>
        </w:tc>
        <w:tc>
          <w:tcPr>
            <w:tcW w:w="968" w:type="dxa"/>
            <w:tcBorders>
              <w:right w:val="nil"/>
            </w:tcBorders>
            <w:noWrap/>
            <w:vAlign w:val="center"/>
            <w:hideMark/>
          </w:tcPr>
          <w:p w14:paraId="43DA0010" w14:textId="77777777" w:rsidR="00A230D2" w:rsidRPr="00251A7B" w:rsidRDefault="00A230D2" w:rsidP="005C2414">
            <w:pPr>
              <w:widowControl w:val="0"/>
              <w:tabs>
                <w:tab w:val="left" w:pos="720"/>
                <w:tab w:val="left" w:pos="1080"/>
                <w:tab w:val="left" w:pos="1440"/>
                <w:tab w:val="left" w:pos="1800"/>
              </w:tabs>
              <w:spacing w:line="264" w:lineRule="auto"/>
              <w:jc w:val="center"/>
              <w:rPr>
                <w:rFonts w:ascii="Times New Roman" w:eastAsia="Times New Roman" w:hAnsi="Times New Roman" w:cs="Times New Roman"/>
                <w:sz w:val="18"/>
                <w:szCs w:val="18"/>
              </w:rPr>
            </w:pPr>
          </w:p>
        </w:tc>
      </w:tr>
      <w:tr w:rsidR="00A230D2" w:rsidRPr="006C6EAA" w14:paraId="6A133412" w14:textId="77777777" w:rsidTr="005C2414">
        <w:trPr>
          <w:trHeight w:val="480"/>
        </w:trPr>
        <w:tc>
          <w:tcPr>
            <w:tcW w:w="4158" w:type="dxa"/>
            <w:tcBorders>
              <w:left w:val="nil"/>
            </w:tcBorders>
            <w:shd w:val="clear" w:color="auto" w:fill="D9D9D9" w:themeFill="background1" w:themeFillShade="D9"/>
            <w:vAlign w:val="center"/>
            <w:hideMark/>
          </w:tcPr>
          <w:p w14:paraId="6A2B473C" w14:textId="77777777" w:rsidR="00A230D2" w:rsidRPr="00251A7B" w:rsidRDefault="00A230D2" w:rsidP="005C2414">
            <w:pPr>
              <w:widowControl w:val="0"/>
              <w:rPr>
                <w:rFonts w:ascii="Times New Roman" w:eastAsia="Times New Roman" w:hAnsi="Times New Roman" w:cs="Times New Roman"/>
                <w:b/>
                <w:bCs/>
                <w:sz w:val="18"/>
                <w:szCs w:val="18"/>
              </w:rPr>
            </w:pPr>
            <w:r w:rsidRPr="00251A7B">
              <w:rPr>
                <w:rFonts w:ascii="Times New Roman" w:eastAsia="Times New Roman" w:hAnsi="Times New Roman" w:cs="Times New Roman"/>
                <w:b/>
                <w:bCs/>
                <w:sz w:val="18"/>
                <w:szCs w:val="18"/>
              </w:rPr>
              <w:t>2. What did organizations do with C2C materials/messages?</w:t>
            </w:r>
          </w:p>
        </w:tc>
        <w:tc>
          <w:tcPr>
            <w:tcW w:w="902" w:type="dxa"/>
            <w:shd w:val="clear" w:color="auto" w:fill="D9D9D9" w:themeFill="background1" w:themeFillShade="D9"/>
            <w:noWrap/>
            <w:vAlign w:val="center"/>
            <w:hideMark/>
          </w:tcPr>
          <w:p w14:paraId="1958C40E" w14:textId="77777777" w:rsidR="00A230D2" w:rsidRPr="00251A7B" w:rsidRDefault="00A230D2" w:rsidP="005C2414">
            <w:pPr>
              <w:widowControl w:val="0"/>
              <w:jc w:val="center"/>
              <w:rPr>
                <w:rFonts w:ascii="Times New Roman" w:eastAsia="Times New Roman" w:hAnsi="Times New Roman" w:cs="Times New Roman"/>
                <w:sz w:val="18"/>
                <w:szCs w:val="18"/>
              </w:rPr>
            </w:pPr>
            <w:r w:rsidRPr="00251A7B">
              <w:rPr>
                <w:rFonts w:ascii="Times New Roman" w:eastAsia="Times New Roman" w:hAnsi="Times New Roman" w:cs="Times New Roman"/>
                <w:sz w:val="18"/>
                <w:szCs w:val="18"/>
              </w:rPr>
              <w:t>X</w:t>
            </w:r>
          </w:p>
        </w:tc>
        <w:tc>
          <w:tcPr>
            <w:tcW w:w="1049" w:type="dxa"/>
            <w:shd w:val="clear" w:color="auto" w:fill="D9D9D9" w:themeFill="background1" w:themeFillShade="D9"/>
            <w:noWrap/>
            <w:vAlign w:val="center"/>
            <w:hideMark/>
          </w:tcPr>
          <w:p w14:paraId="7D661F34" w14:textId="77777777" w:rsidR="00A230D2" w:rsidRPr="00251A7B" w:rsidRDefault="00A230D2" w:rsidP="005C2414">
            <w:pPr>
              <w:widowControl w:val="0"/>
              <w:tabs>
                <w:tab w:val="left" w:pos="720"/>
                <w:tab w:val="left" w:pos="1080"/>
                <w:tab w:val="left" w:pos="1440"/>
                <w:tab w:val="left" w:pos="1800"/>
              </w:tabs>
              <w:spacing w:line="264" w:lineRule="auto"/>
              <w:jc w:val="center"/>
              <w:rPr>
                <w:rFonts w:ascii="Times New Roman" w:eastAsia="Times New Roman" w:hAnsi="Times New Roman" w:cs="Times New Roman"/>
                <w:sz w:val="18"/>
                <w:szCs w:val="18"/>
              </w:rPr>
            </w:pPr>
          </w:p>
        </w:tc>
        <w:tc>
          <w:tcPr>
            <w:tcW w:w="996" w:type="dxa"/>
            <w:shd w:val="clear" w:color="auto" w:fill="D9D9D9" w:themeFill="background1" w:themeFillShade="D9"/>
            <w:noWrap/>
            <w:vAlign w:val="center"/>
            <w:hideMark/>
          </w:tcPr>
          <w:p w14:paraId="51C81117" w14:textId="77777777" w:rsidR="00A230D2" w:rsidRPr="00251A7B" w:rsidRDefault="00A230D2" w:rsidP="005C2414">
            <w:pPr>
              <w:widowControl w:val="0"/>
              <w:jc w:val="center"/>
              <w:rPr>
                <w:rFonts w:ascii="Times New Roman" w:eastAsia="Times New Roman" w:hAnsi="Times New Roman" w:cs="Times New Roman"/>
                <w:sz w:val="18"/>
                <w:szCs w:val="18"/>
              </w:rPr>
            </w:pPr>
            <w:r w:rsidRPr="00251A7B">
              <w:rPr>
                <w:rFonts w:ascii="Times New Roman" w:eastAsia="Times New Roman" w:hAnsi="Times New Roman" w:cs="Times New Roman"/>
                <w:sz w:val="18"/>
                <w:szCs w:val="18"/>
              </w:rPr>
              <w:t>X</w:t>
            </w:r>
          </w:p>
        </w:tc>
        <w:tc>
          <w:tcPr>
            <w:tcW w:w="783" w:type="dxa"/>
            <w:shd w:val="clear" w:color="auto" w:fill="D9D9D9" w:themeFill="background1" w:themeFillShade="D9"/>
            <w:noWrap/>
            <w:vAlign w:val="center"/>
            <w:hideMark/>
          </w:tcPr>
          <w:p w14:paraId="03447B4C" w14:textId="77777777" w:rsidR="00A230D2" w:rsidRPr="00251A7B" w:rsidRDefault="00A230D2" w:rsidP="005C2414">
            <w:pPr>
              <w:widowControl w:val="0"/>
              <w:tabs>
                <w:tab w:val="left" w:pos="720"/>
                <w:tab w:val="left" w:pos="1080"/>
                <w:tab w:val="left" w:pos="1440"/>
                <w:tab w:val="left" w:pos="1800"/>
              </w:tabs>
              <w:spacing w:line="264" w:lineRule="auto"/>
              <w:jc w:val="center"/>
              <w:rPr>
                <w:rFonts w:ascii="Times New Roman" w:eastAsia="Times New Roman" w:hAnsi="Times New Roman" w:cs="Times New Roman"/>
                <w:sz w:val="18"/>
                <w:szCs w:val="18"/>
              </w:rPr>
            </w:pPr>
          </w:p>
        </w:tc>
        <w:tc>
          <w:tcPr>
            <w:tcW w:w="968" w:type="dxa"/>
            <w:tcBorders>
              <w:right w:val="nil"/>
            </w:tcBorders>
            <w:shd w:val="clear" w:color="auto" w:fill="D9D9D9" w:themeFill="background1" w:themeFillShade="D9"/>
            <w:noWrap/>
            <w:vAlign w:val="center"/>
            <w:hideMark/>
          </w:tcPr>
          <w:p w14:paraId="753AC136" w14:textId="77777777" w:rsidR="00A230D2" w:rsidRPr="00251A7B" w:rsidRDefault="00A230D2" w:rsidP="005C2414">
            <w:pPr>
              <w:widowControl w:val="0"/>
              <w:jc w:val="center"/>
              <w:rPr>
                <w:rFonts w:ascii="Times New Roman" w:eastAsia="Times New Roman" w:hAnsi="Times New Roman" w:cs="Times New Roman"/>
                <w:sz w:val="18"/>
                <w:szCs w:val="18"/>
              </w:rPr>
            </w:pPr>
            <w:r w:rsidRPr="00251A7B">
              <w:rPr>
                <w:rFonts w:ascii="Times New Roman" w:eastAsia="Times New Roman" w:hAnsi="Times New Roman" w:cs="Times New Roman"/>
                <w:sz w:val="18"/>
                <w:szCs w:val="18"/>
              </w:rPr>
              <w:t>X</w:t>
            </w:r>
          </w:p>
        </w:tc>
      </w:tr>
      <w:tr w:rsidR="00A230D2" w:rsidRPr="006C6EAA" w14:paraId="3E57AD8F" w14:textId="77777777" w:rsidTr="005C2414">
        <w:trPr>
          <w:trHeight w:val="480"/>
        </w:trPr>
        <w:tc>
          <w:tcPr>
            <w:tcW w:w="4158" w:type="dxa"/>
            <w:tcBorders>
              <w:left w:val="nil"/>
            </w:tcBorders>
            <w:vAlign w:val="center"/>
            <w:hideMark/>
          </w:tcPr>
          <w:p w14:paraId="7DC18641" w14:textId="77777777" w:rsidR="00A230D2" w:rsidRPr="00251A7B" w:rsidRDefault="00A230D2" w:rsidP="005C2414">
            <w:pPr>
              <w:widowControl w:val="0"/>
              <w:rPr>
                <w:rFonts w:ascii="Times New Roman" w:eastAsia="Times New Roman" w:hAnsi="Times New Roman" w:cs="Times New Roman"/>
                <w:sz w:val="18"/>
                <w:szCs w:val="18"/>
              </w:rPr>
            </w:pPr>
            <w:r w:rsidRPr="00251A7B">
              <w:rPr>
                <w:rFonts w:ascii="Times New Roman" w:eastAsia="Times New Roman" w:hAnsi="Times New Roman" w:cs="Times New Roman"/>
                <w:sz w:val="18"/>
                <w:szCs w:val="18"/>
              </w:rPr>
              <w:t>How did organizations use the materials with consumers and what are best practices?</w:t>
            </w:r>
          </w:p>
        </w:tc>
        <w:tc>
          <w:tcPr>
            <w:tcW w:w="902" w:type="dxa"/>
            <w:noWrap/>
            <w:vAlign w:val="center"/>
            <w:hideMark/>
          </w:tcPr>
          <w:p w14:paraId="04486527" w14:textId="77777777" w:rsidR="00A230D2" w:rsidRPr="00251A7B" w:rsidRDefault="00A230D2" w:rsidP="005C2414">
            <w:pPr>
              <w:widowControl w:val="0"/>
              <w:jc w:val="center"/>
              <w:rPr>
                <w:rFonts w:ascii="Times New Roman" w:eastAsia="Times New Roman" w:hAnsi="Times New Roman" w:cs="Times New Roman"/>
                <w:sz w:val="18"/>
                <w:szCs w:val="18"/>
              </w:rPr>
            </w:pPr>
            <w:r w:rsidRPr="00251A7B">
              <w:rPr>
                <w:rFonts w:ascii="Times New Roman" w:eastAsia="Times New Roman" w:hAnsi="Times New Roman" w:cs="Times New Roman"/>
                <w:sz w:val="18"/>
                <w:szCs w:val="18"/>
              </w:rPr>
              <w:t>X</w:t>
            </w:r>
          </w:p>
        </w:tc>
        <w:tc>
          <w:tcPr>
            <w:tcW w:w="1049" w:type="dxa"/>
            <w:noWrap/>
            <w:vAlign w:val="center"/>
            <w:hideMark/>
          </w:tcPr>
          <w:p w14:paraId="685D2E41" w14:textId="77777777" w:rsidR="00A230D2" w:rsidRPr="00251A7B" w:rsidRDefault="00A230D2" w:rsidP="005C2414">
            <w:pPr>
              <w:widowControl w:val="0"/>
              <w:tabs>
                <w:tab w:val="left" w:pos="720"/>
                <w:tab w:val="left" w:pos="1080"/>
                <w:tab w:val="left" w:pos="1440"/>
                <w:tab w:val="left" w:pos="1800"/>
              </w:tabs>
              <w:spacing w:line="264" w:lineRule="auto"/>
              <w:jc w:val="center"/>
              <w:rPr>
                <w:rFonts w:ascii="Times New Roman" w:eastAsia="Times New Roman" w:hAnsi="Times New Roman" w:cs="Times New Roman"/>
                <w:sz w:val="18"/>
                <w:szCs w:val="18"/>
              </w:rPr>
            </w:pPr>
          </w:p>
        </w:tc>
        <w:tc>
          <w:tcPr>
            <w:tcW w:w="996" w:type="dxa"/>
            <w:noWrap/>
            <w:vAlign w:val="center"/>
            <w:hideMark/>
          </w:tcPr>
          <w:p w14:paraId="59C47071" w14:textId="77777777" w:rsidR="00A230D2" w:rsidRPr="00251A7B" w:rsidRDefault="00A230D2" w:rsidP="005C2414">
            <w:pPr>
              <w:widowControl w:val="0"/>
              <w:jc w:val="center"/>
              <w:rPr>
                <w:rFonts w:ascii="Times New Roman" w:eastAsia="Times New Roman" w:hAnsi="Times New Roman" w:cs="Times New Roman"/>
                <w:sz w:val="18"/>
                <w:szCs w:val="18"/>
              </w:rPr>
            </w:pPr>
            <w:r w:rsidRPr="00251A7B">
              <w:rPr>
                <w:rFonts w:ascii="Times New Roman" w:eastAsia="Times New Roman" w:hAnsi="Times New Roman" w:cs="Times New Roman"/>
                <w:sz w:val="18"/>
                <w:szCs w:val="18"/>
              </w:rPr>
              <w:t>X</w:t>
            </w:r>
          </w:p>
        </w:tc>
        <w:tc>
          <w:tcPr>
            <w:tcW w:w="783" w:type="dxa"/>
            <w:noWrap/>
            <w:vAlign w:val="center"/>
            <w:hideMark/>
          </w:tcPr>
          <w:p w14:paraId="601A906A" w14:textId="77777777" w:rsidR="00A230D2" w:rsidRPr="00251A7B" w:rsidRDefault="00A230D2" w:rsidP="005C2414">
            <w:pPr>
              <w:widowControl w:val="0"/>
              <w:tabs>
                <w:tab w:val="left" w:pos="720"/>
                <w:tab w:val="left" w:pos="1080"/>
                <w:tab w:val="left" w:pos="1440"/>
                <w:tab w:val="left" w:pos="1800"/>
              </w:tabs>
              <w:spacing w:line="264" w:lineRule="auto"/>
              <w:jc w:val="center"/>
              <w:rPr>
                <w:rFonts w:ascii="Times New Roman" w:eastAsia="Times New Roman" w:hAnsi="Times New Roman" w:cs="Times New Roman"/>
                <w:sz w:val="18"/>
                <w:szCs w:val="18"/>
              </w:rPr>
            </w:pPr>
          </w:p>
        </w:tc>
        <w:tc>
          <w:tcPr>
            <w:tcW w:w="968" w:type="dxa"/>
            <w:tcBorders>
              <w:right w:val="nil"/>
            </w:tcBorders>
            <w:noWrap/>
            <w:vAlign w:val="center"/>
            <w:hideMark/>
          </w:tcPr>
          <w:p w14:paraId="76232BE3" w14:textId="77777777" w:rsidR="00A230D2" w:rsidRPr="00251A7B" w:rsidRDefault="00A230D2" w:rsidP="005C2414">
            <w:pPr>
              <w:widowControl w:val="0"/>
              <w:tabs>
                <w:tab w:val="left" w:pos="720"/>
                <w:tab w:val="left" w:pos="1080"/>
                <w:tab w:val="left" w:pos="1440"/>
                <w:tab w:val="left" w:pos="1800"/>
              </w:tabs>
              <w:spacing w:line="264" w:lineRule="auto"/>
              <w:jc w:val="center"/>
              <w:rPr>
                <w:rFonts w:ascii="Times New Roman" w:eastAsia="Times New Roman" w:hAnsi="Times New Roman" w:cs="Times New Roman"/>
                <w:sz w:val="18"/>
                <w:szCs w:val="18"/>
              </w:rPr>
            </w:pPr>
          </w:p>
        </w:tc>
      </w:tr>
      <w:tr w:rsidR="00A230D2" w:rsidRPr="006C6EAA" w14:paraId="6A4C4996" w14:textId="77777777" w:rsidTr="005C2414">
        <w:trPr>
          <w:trHeight w:val="300"/>
        </w:trPr>
        <w:tc>
          <w:tcPr>
            <w:tcW w:w="4158" w:type="dxa"/>
            <w:tcBorders>
              <w:left w:val="nil"/>
            </w:tcBorders>
            <w:vAlign w:val="center"/>
            <w:hideMark/>
          </w:tcPr>
          <w:p w14:paraId="44AA17CC" w14:textId="77777777" w:rsidR="00A230D2" w:rsidRPr="00251A7B" w:rsidRDefault="00A230D2" w:rsidP="005C2414">
            <w:pPr>
              <w:widowControl w:val="0"/>
              <w:rPr>
                <w:rFonts w:ascii="Times New Roman" w:eastAsia="Times New Roman" w:hAnsi="Times New Roman" w:cs="Times New Roman"/>
                <w:sz w:val="18"/>
                <w:szCs w:val="18"/>
              </w:rPr>
            </w:pPr>
            <w:r w:rsidRPr="00251A7B">
              <w:rPr>
                <w:rFonts w:ascii="Times New Roman" w:eastAsia="Times New Roman" w:hAnsi="Times New Roman" w:cs="Times New Roman"/>
                <w:sz w:val="18"/>
                <w:szCs w:val="18"/>
              </w:rPr>
              <w:t>Which C2C materials/messages did they use?</w:t>
            </w:r>
          </w:p>
        </w:tc>
        <w:tc>
          <w:tcPr>
            <w:tcW w:w="902" w:type="dxa"/>
            <w:noWrap/>
            <w:vAlign w:val="center"/>
            <w:hideMark/>
          </w:tcPr>
          <w:p w14:paraId="4C5FC693" w14:textId="77777777" w:rsidR="00A230D2" w:rsidRPr="00251A7B" w:rsidRDefault="00A230D2" w:rsidP="005C2414">
            <w:pPr>
              <w:widowControl w:val="0"/>
              <w:jc w:val="center"/>
              <w:rPr>
                <w:rFonts w:ascii="Times New Roman" w:eastAsia="Times New Roman" w:hAnsi="Times New Roman" w:cs="Times New Roman"/>
                <w:sz w:val="18"/>
                <w:szCs w:val="18"/>
              </w:rPr>
            </w:pPr>
            <w:r w:rsidRPr="00251A7B">
              <w:rPr>
                <w:rFonts w:ascii="Times New Roman" w:eastAsia="Times New Roman" w:hAnsi="Times New Roman" w:cs="Times New Roman"/>
                <w:sz w:val="18"/>
                <w:szCs w:val="18"/>
              </w:rPr>
              <w:t>X</w:t>
            </w:r>
          </w:p>
        </w:tc>
        <w:tc>
          <w:tcPr>
            <w:tcW w:w="1049" w:type="dxa"/>
            <w:noWrap/>
            <w:vAlign w:val="center"/>
            <w:hideMark/>
          </w:tcPr>
          <w:p w14:paraId="1151CA99" w14:textId="77777777" w:rsidR="00A230D2" w:rsidRPr="00251A7B" w:rsidRDefault="00A230D2" w:rsidP="005C2414">
            <w:pPr>
              <w:widowControl w:val="0"/>
              <w:tabs>
                <w:tab w:val="left" w:pos="720"/>
                <w:tab w:val="left" w:pos="1080"/>
                <w:tab w:val="left" w:pos="1440"/>
                <w:tab w:val="left" w:pos="1800"/>
              </w:tabs>
              <w:spacing w:line="264" w:lineRule="auto"/>
              <w:jc w:val="center"/>
              <w:rPr>
                <w:rFonts w:ascii="Times New Roman" w:eastAsia="Times New Roman" w:hAnsi="Times New Roman" w:cs="Times New Roman"/>
                <w:sz w:val="18"/>
                <w:szCs w:val="18"/>
              </w:rPr>
            </w:pPr>
          </w:p>
        </w:tc>
        <w:tc>
          <w:tcPr>
            <w:tcW w:w="996" w:type="dxa"/>
            <w:noWrap/>
            <w:vAlign w:val="center"/>
            <w:hideMark/>
          </w:tcPr>
          <w:p w14:paraId="09D61738" w14:textId="77777777" w:rsidR="00A230D2" w:rsidRPr="00251A7B" w:rsidRDefault="00A230D2" w:rsidP="005C2414">
            <w:pPr>
              <w:widowControl w:val="0"/>
              <w:jc w:val="center"/>
              <w:rPr>
                <w:rFonts w:ascii="Times New Roman" w:eastAsia="Times New Roman" w:hAnsi="Times New Roman" w:cs="Times New Roman"/>
                <w:sz w:val="18"/>
                <w:szCs w:val="18"/>
              </w:rPr>
            </w:pPr>
            <w:r w:rsidRPr="00251A7B">
              <w:rPr>
                <w:rFonts w:ascii="Times New Roman" w:eastAsia="Times New Roman" w:hAnsi="Times New Roman" w:cs="Times New Roman"/>
                <w:sz w:val="18"/>
                <w:szCs w:val="18"/>
              </w:rPr>
              <w:t>X</w:t>
            </w:r>
          </w:p>
        </w:tc>
        <w:tc>
          <w:tcPr>
            <w:tcW w:w="783" w:type="dxa"/>
            <w:noWrap/>
            <w:vAlign w:val="center"/>
            <w:hideMark/>
          </w:tcPr>
          <w:p w14:paraId="75456554" w14:textId="77777777" w:rsidR="00A230D2" w:rsidRPr="00251A7B" w:rsidRDefault="00A230D2" w:rsidP="005C2414">
            <w:pPr>
              <w:widowControl w:val="0"/>
              <w:tabs>
                <w:tab w:val="left" w:pos="720"/>
                <w:tab w:val="left" w:pos="1080"/>
                <w:tab w:val="left" w:pos="1440"/>
                <w:tab w:val="left" w:pos="1800"/>
              </w:tabs>
              <w:spacing w:line="264" w:lineRule="auto"/>
              <w:jc w:val="center"/>
              <w:rPr>
                <w:rFonts w:ascii="Times New Roman" w:eastAsia="Times New Roman" w:hAnsi="Times New Roman" w:cs="Times New Roman"/>
                <w:sz w:val="18"/>
                <w:szCs w:val="18"/>
              </w:rPr>
            </w:pPr>
          </w:p>
        </w:tc>
        <w:tc>
          <w:tcPr>
            <w:tcW w:w="968" w:type="dxa"/>
            <w:tcBorders>
              <w:right w:val="nil"/>
            </w:tcBorders>
            <w:noWrap/>
            <w:vAlign w:val="center"/>
            <w:hideMark/>
          </w:tcPr>
          <w:p w14:paraId="024D4B3E" w14:textId="77777777" w:rsidR="00A230D2" w:rsidRPr="00251A7B" w:rsidRDefault="00A230D2" w:rsidP="005C2414">
            <w:pPr>
              <w:widowControl w:val="0"/>
              <w:jc w:val="center"/>
              <w:rPr>
                <w:rFonts w:ascii="Times New Roman" w:eastAsia="Times New Roman" w:hAnsi="Times New Roman" w:cs="Times New Roman"/>
                <w:sz w:val="18"/>
                <w:szCs w:val="18"/>
              </w:rPr>
            </w:pPr>
            <w:r w:rsidRPr="00251A7B">
              <w:rPr>
                <w:rFonts w:ascii="Times New Roman" w:eastAsia="Times New Roman" w:hAnsi="Times New Roman" w:cs="Times New Roman"/>
                <w:sz w:val="18"/>
                <w:szCs w:val="18"/>
              </w:rPr>
              <w:t>X</w:t>
            </w:r>
          </w:p>
        </w:tc>
      </w:tr>
      <w:tr w:rsidR="00A230D2" w:rsidRPr="006C6EAA" w14:paraId="1F829FDC" w14:textId="77777777" w:rsidTr="005C2414">
        <w:trPr>
          <w:trHeight w:val="480"/>
        </w:trPr>
        <w:tc>
          <w:tcPr>
            <w:tcW w:w="4158" w:type="dxa"/>
            <w:tcBorders>
              <w:left w:val="nil"/>
            </w:tcBorders>
            <w:vAlign w:val="center"/>
            <w:hideMark/>
          </w:tcPr>
          <w:p w14:paraId="0BAFE4F3" w14:textId="77777777" w:rsidR="00A230D2" w:rsidRPr="00251A7B" w:rsidRDefault="00A230D2" w:rsidP="005C2414">
            <w:pPr>
              <w:widowControl w:val="0"/>
              <w:rPr>
                <w:rFonts w:ascii="Times New Roman" w:eastAsia="Times New Roman" w:hAnsi="Times New Roman" w:cs="Times New Roman"/>
                <w:sz w:val="18"/>
                <w:szCs w:val="18"/>
              </w:rPr>
            </w:pPr>
            <w:r w:rsidRPr="00251A7B">
              <w:rPr>
                <w:rFonts w:ascii="Times New Roman" w:eastAsia="Times New Roman" w:hAnsi="Times New Roman" w:cs="Times New Roman"/>
                <w:sz w:val="18"/>
                <w:szCs w:val="18"/>
              </w:rPr>
              <w:t>Which materials/messages did organizations find most helpful, and why?</w:t>
            </w:r>
          </w:p>
        </w:tc>
        <w:tc>
          <w:tcPr>
            <w:tcW w:w="902" w:type="dxa"/>
            <w:noWrap/>
            <w:vAlign w:val="center"/>
            <w:hideMark/>
          </w:tcPr>
          <w:p w14:paraId="75EF0681" w14:textId="77777777" w:rsidR="00A230D2" w:rsidRPr="00251A7B" w:rsidRDefault="00A230D2" w:rsidP="005C2414">
            <w:pPr>
              <w:widowControl w:val="0"/>
              <w:jc w:val="center"/>
              <w:rPr>
                <w:rFonts w:ascii="Times New Roman" w:eastAsia="Times New Roman" w:hAnsi="Times New Roman" w:cs="Times New Roman"/>
                <w:sz w:val="18"/>
                <w:szCs w:val="18"/>
              </w:rPr>
            </w:pPr>
            <w:r w:rsidRPr="00251A7B">
              <w:rPr>
                <w:rFonts w:ascii="Times New Roman" w:eastAsia="Times New Roman" w:hAnsi="Times New Roman" w:cs="Times New Roman"/>
                <w:sz w:val="18"/>
                <w:szCs w:val="18"/>
              </w:rPr>
              <w:t>X</w:t>
            </w:r>
          </w:p>
        </w:tc>
        <w:tc>
          <w:tcPr>
            <w:tcW w:w="1049" w:type="dxa"/>
            <w:noWrap/>
            <w:vAlign w:val="center"/>
            <w:hideMark/>
          </w:tcPr>
          <w:p w14:paraId="6DD986F6" w14:textId="77777777" w:rsidR="00A230D2" w:rsidRPr="00251A7B" w:rsidRDefault="00A230D2" w:rsidP="005C2414">
            <w:pPr>
              <w:widowControl w:val="0"/>
              <w:tabs>
                <w:tab w:val="left" w:pos="720"/>
                <w:tab w:val="left" w:pos="1080"/>
                <w:tab w:val="left" w:pos="1440"/>
                <w:tab w:val="left" w:pos="1800"/>
              </w:tabs>
              <w:spacing w:line="264" w:lineRule="auto"/>
              <w:jc w:val="center"/>
              <w:rPr>
                <w:rFonts w:ascii="Times New Roman" w:eastAsia="Times New Roman" w:hAnsi="Times New Roman" w:cs="Times New Roman"/>
                <w:sz w:val="18"/>
                <w:szCs w:val="18"/>
              </w:rPr>
            </w:pPr>
          </w:p>
        </w:tc>
        <w:tc>
          <w:tcPr>
            <w:tcW w:w="996" w:type="dxa"/>
            <w:noWrap/>
            <w:vAlign w:val="center"/>
            <w:hideMark/>
          </w:tcPr>
          <w:p w14:paraId="4D1B6E32" w14:textId="77777777" w:rsidR="00A230D2" w:rsidRPr="00251A7B" w:rsidRDefault="00A230D2" w:rsidP="005C2414">
            <w:pPr>
              <w:widowControl w:val="0"/>
              <w:jc w:val="center"/>
              <w:rPr>
                <w:rFonts w:ascii="Times New Roman" w:eastAsia="Times New Roman" w:hAnsi="Times New Roman" w:cs="Times New Roman"/>
                <w:sz w:val="18"/>
                <w:szCs w:val="18"/>
              </w:rPr>
            </w:pPr>
            <w:r w:rsidRPr="00251A7B">
              <w:rPr>
                <w:rFonts w:ascii="Times New Roman" w:eastAsia="Times New Roman" w:hAnsi="Times New Roman" w:cs="Times New Roman"/>
                <w:sz w:val="18"/>
                <w:szCs w:val="18"/>
              </w:rPr>
              <w:t>X</w:t>
            </w:r>
          </w:p>
        </w:tc>
        <w:tc>
          <w:tcPr>
            <w:tcW w:w="783" w:type="dxa"/>
            <w:noWrap/>
            <w:vAlign w:val="center"/>
            <w:hideMark/>
          </w:tcPr>
          <w:p w14:paraId="305F647C" w14:textId="77777777" w:rsidR="00A230D2" w:rsidRPr="00251A7B" w:rsidRDefault="00A230D2" w:rsidP="005C2414">
            <w:pPr>
              <w:widowControl w:val="0"/>
              <w:tabs>
                <w:tab w:val="left" w:pos="720"/>
                <w:tab w:val="left" w:pos="1080"/>
                <w:tab w:val="left" w:pos="1440"/>
                <w:tab w:val="left" w:pos="1800"/>
              </w:tabs>
              <w:spacing w:line="264" w:lineRule="auto"/>
              <w:jc w:val="center"/>
              <w:rPr>
                <w:rFonts w:ascii="Times New Roman" w:eastAsia="Times New Roman" w:hAnsi="Times New Roman" w:cs="Times New Roman"/>
                <w:sz w:val="18"/>
                <w:szCs w:val="18"/>
              </w:rPr>
            </w:pPr>
          </w:p>
        </w:tc>
        <w:tc>
          <w:tcPr>
            <w:tcW w:w="968" w:type="dxa"/>
            <w:tcBorders>
              <w:right w:val="nil"/>
            </w:tcBorders>
            <w:noWrap/>
            <w:vAlign w:val="center"/>
            <w:hideMark/>
          </w:tcPr>
          <w:p w14:paraId="569EA73C" w14:textId="77777777" w:rsidR="00A230D2" w:rsidRPr="00251A7B" w:rsidRDefault="00A230D2" w:rsidP="005C2414">
            <w:pPr>
              <w:widowControl w:val="0"/>
              <w:tabs>
                <w:tab w:val="left" w:pos="720"/>
                <w:tab w:val="left" w:pos="1080"/>
                <w:tab w:val="left" w:pos="1440"/>
                <w:tab w:val="left" w:pos="1800"/>
              </w:tabs>
              <w:spacing w:line="264" w:lineRule="auto"/>
              <w:jc w:val="center"/>
              <w:rPr>
                <w:rFonts w:ascii="Times New Roman" w:eastAsia="Times New Roman" w:hAnsi="Times New Roman" w:cs="Times New Roman"/>
                <w:sz w:val="18"/>
                <w:szCs w:val="18"/>
              </w:rPr>
            </w:pPr>
          </w:p>
        </w:tc>
      </w:tr>
      <w:tr w:rsidR="00A230D2" w:rsidRPr="006C6EAA" w14:paraId="02F77929" w14:textId="77777777" w:rsidTr="005C2414">
        <w:trPr>
          <w:trHeight w:val="480"/>
        </w:trPr>
        <w:tc>
          <w:tcPr>
            <w:tcW w:w="4158" w:type="dxa"/>
            <w:tcBorders>
              <w:left w:val="nil"/>
            </w:tcBorders>
            <w:vAlign w:val="center"/>
            <w:hideMark/>
          </w:tcPr>
          <w:p w14:paraId="713B8672" w14:textId="77777777" w:rsidR="00A230D2" w:rsidRPr="00251A7B" w:rsidRDefault="00A230D2" w:rsidP="005C2414">
            <w:pPr>
              <w:widowControl w:val="0"/>
              <w:rPr>
                <w:rFonts w:ascii="Times New Roman" w:eastAsia="Times New Roman" w:hAnsi="Times New Roman" w:cs="Times New Roman"/>
                <w:sz w:val="18"/>
                <w:szCs w:val="18"/>
              </w:rPr>
            </w:pPr>
            <w:r w:rsidRPr="00251A7B">
              <w:rPr>
                <w:rFonts w:ascii="Times New Roman" w:eastAsia="Times New Roman" w:hAnsi="Times New Roman" w:cs="Times New Roman"/>
                <w:sz w:val="18"/>
                <w:szCs w:val="18"/>
              </w:rPr>
              <w:t>What factors influenced what materials/messages organizations decided to use and how to use them?</w:t>
            </w:r>
          </w:p>
        </w:tc>
        <w:tc>
          <w:tcPr>
            <w:tcW w:w="902" w:type="dxa"/>
            <w:noWrap/>
            <w:vAlign w:val="center"/>
            <w:hideMark/>
          </w:tcPr>
          <w:p w14:paraId="13A1C737" w14:textId="77777777" w:rsidR="00A230D2" w:rsidRPr="00251A7B" w:rsidRDefault="00A230D2" w:rsidP="005C2414">
            <w:pPr>
              <w:widowControl w:val="0"/>
              <w:jc w:val="center"/>
              <w:rPr>
                <w:rFonts w:ascii="Times New Roman" w:eastAsia="Times New Roman" w:hAnsi="Times New Roman" w:cs="Times New Roman"/>
                <w:sz w:val="18"/>
                <w:szCs w:val="18"/>
              </w:rPr>
            </w:pPr>
            <w:r w:rsidRPr="00251A7B">
              <w:rPr>
                <w:rFonts w:ascii="Times New Roman" w:eastAsia="Times New Roman" w:hAnsi="Times New Roman" w:cs="Times New Roman"/>
                <w:sz w:val="18"/>
                <w:szCs w:val="18"/>
              </w:rPr>
              <w:t>X</w:t>
            </w:r>
          </w:p>
        </w:tc>
        <w:tc>
          <w:tcPr>
            <w:tcW w:w="1049" w:type="dxa"/>
            <w:noWrap/>
            <w:vAlign w:val="center"/>
            <w:hideMark/>
          </w:tcPr>
          <w:p w14:paraId="40644FF0" w14:textId="77777777" w:rsidR="00A230D2" w:rsidRPr="00251A7B" w:rsidRDefault="00A230D2" w:rsidP="005C2414">
            <w:pPr>
              <w:widowControl w:val="0"/>
              <w:tabs>
                <w:tab w:val="left" w:pos="720"/>
                <w:tab w:val="left" w:pos="1080"/>
                <w:tab w:val="left" w:pos="1440"/>
                <w:tab w:val="left" w:pos="1800"/>
              </w:tabs>
              <w:spacing w:line="264" w:lineRule="auto"/>
              <w:jc w:val="center"/>
              <w:rPr>
                <w:rFonts w:ascii="Times New Roman" w:eastAsia="Times New Roman" w:hAnsi="Times New Roman" w:cs="Times New Roman"/>
                <w:sz w:val="18"/>
                <w:szCs w:val="18"/>
              </w:rPr>
            </w:pPr>
          </w:p>
        </w:tc>
        <w:tc>
          <w:tcPr>
            <w:tcW w:w="996" w:type="dxa"/>
            <w:noWrap/>
            <w:vAlign w:val="center"/>
            <w:hideMark/>
          </w:tcPr>
          <w:p w14:paraId="635B848D" w14:textId="77777777" w:rsidR="00A230D2" w:rsidRPr="00251A7B" w:rsidRDefault="00A230D2" w:rsidP="005C2414">
            <w:pPr>
              <w:widowControl w:val="0"/>
              <w:jc w:val="center"/>
              <w:rPr>
                <w:rFonts w:ascii="Times New Roman" w:eastAsia="Times New Roman" w:hAnsi="Times New Roman" w:cs="Times New Roman"/>
                <w:sz w:val="18"/>
                <w:szCs w:val="18"/>
              </w:rPr>
            </w:pPr>
            <w:r w:rsidRPr="00251A7B">
              <w:rPr>
                <w:rFonts w:ascii="Times New Roman" w:eastAsia="Times New Roman" w:hAnsi="Times New Roman" w:cs="Times New Roman"/>
                <w:sz w:val="18"/>
                <w:szCs w:val="18"/>
              </w:rPr>
              <w:t>X</w:t>
            </w:r>
          </w:p>
        </w:tc>
        <w:tc>
          <w:tcPr>
            <w:tcW w:w="783" w:type="dxa"/>
            <w:noWrap/>
            <w:vAlign w:val="center"/>
            <w:hideMark/>
          </w:tcPr>
          <w:p w14:paraId="48F8F14F" w14:textId="77777777" w:rsidR="00A230D2" w:rsidRPr="00251A7B" w:rsidRDefault="00A230D2" w:rsidP="005C2414">
            <w:pPr>
              <w:widowControl w:val="0"/>
              <w:tabs>
                <w:tab w:val="left" w:pos="720"/>
                <w:tab w:val="left" w:pos="1080"/>
                <w:tab w:val="left" w:pos="1440"/>
                <w:tab w:val="left" w:pos="1800"/>
              </w:tabs>
              <w:spacing w:line="264" w:lineRule="auto"/>
              <w:jc w:val="center"/>
              <w:rPr>
                <w:rFonts w:ascii="Times New Roman" w:eastAsia="Times New Roman" w:hAnsi="Times New Roman" w:cs="Times New Roman"/>
                <w:sz w:val="18"/>
                <w:szCs w:val="18"/>
              </w:rPr>
            </w:pPr>
          </w:p>
        </w:tc>
        <w:tc>
          <w:tcPr>
            <w:tcW w:w="968" w:type="dxa"/>
            <w:tcBorders>
              <w:right w:val="nil"/>
            </w:tcBorders>
            <w:noWrap/>
            <w:vAlign w:val="center"/>
            <w:hideMark/>
          </w:tcPr>
          <w:p w14:paraId="114E469C" w14:textId="77777777" w:rsidR="00A230D2" w:rsidRPr="00251A7B" w:rsidRDefault="00A230D2" w:rsidP="005C2414">
            <w:pPr>
              <w:widowControl w:val="0"/>
              <w:tabs>
                <w:tab w:val="left" w:pos="720"/>
                <w:tab w:val="left" w:pos="1080"/>
                <w:tab w:val="left" w:pos="1440"/>
                <w:tab w:val="left" w:pos="1800"/>
              </w:tabs>
              <w:spacing w:line="264" w:lineRule="auto"/>
              <w:jc w:val="center"/>
              <w:rPr>
                <w:rFonts w:ascii="Times New Roman" w:eastAsia="Times New Roman" w:hAnsi="Times New Roman" w:cs="Times New Roman"/>
                <w:sz w:val="18"/>
                <w:szCs w:val="18"/>
              </w:rPr>
            </w:pPr>
          </w:p>
        </w:tc>
      </w:tr>
      <w:tr w:rsidR="00A230D2" w:rsidRPr="006C6EAA" w14:paraId="65F3ABE7" w14:textId="77777777" w:rsidTr="005C2414">
        <w:trPr>
          <w:trHeight w:val="480"/>
        </w:trPr>
        <w:tc>
          <w:tcPr>
            <w:tcW w:w="4158" w:type="dxa"/>
            <w:tcBorders>
              <w:left w:val="nil"/>
            </w:tcBorders>
            <w:shd w:val="clear" w:color="auto" w:fill="D9D9D9" w:themeFill="background1" w:themeFillShade="D9"/>
            <w:vAlign w:val="center"/>
            <w:hideMark/>
          </w:tcPr>
          <w:p w14:paraId="6AEFCCFE" w14:textId="77777777" w:rsidR="00A230D2" w:rsidRPr="00251A7B" w:rsidRDefault="00A230D2" w:rsidP="005C2414">
            <w:pPr>
              <w:widowControl w:val="0"/>
              <w:rPr>
                <w:rFonts w:ascii="Times New Roman" w:eastAsia="Times New Roman" w:hAnsi="Times New Roman" w:cs="Times New Roman"/>
                <w:b/>
                <w:bCs/>
                <w:sz w:val="18"/>
                <w:szCs w:val="18"/>
              </w:rPr>
            </w:pPr>
            <w:r w:rsidRPr="00251A7B">
              <w:rPr>
                <w:rFonts w:ascii="Times New Roman" w:eastAsia="Times New Roman" w:hAnsi="Times New Roman" w:cs="Times New Roman"/>
                <w:b/>
                <w:bCs/>
                <w:sz w:val="18"/>
                <w:szCs w:val="18"/>
              </w:rPr>
              <w:t>3. How did consumers use C2C materials and messages?</w:t>
            </w:r>
          </w:p>
        </w:tc>
        <w:tc>
          <w:tcPr>
            <w:tcW w:w="902" w:type="dxa"/>
            <w:shd w:val="clear" w:color="auto" w:fill="D9D9D9" w:themeFill="background1" w:themeFillShade="D9"/>
            <w:noWrap/>
            <w:vAlign w:val="center"/>
            <w:hideMark/>
          </w:tcPr>
          <w:p w14:paraId="0C9827D6" w14:textId="77777777" w:rsidR="00A230D2" w:rsidRPr="00251A7B" w:rsidRDefault="00A230D2" w:rsidP="005C2414">
            <w:pPr>
              <w:widowControl w:val="0"/>
              <w:tabs>
                <w:tab w:val="left" w:pos="720"/>
                <w:tab w:val="left" w:pos="1080"/>
                <w:tab w:val="left" w:pos="1440"/>
                <w:tab w:val="left" w:pos="1800"/>
              </w:tabs>
              <w:spacing w:line="264" w:lineRule="auto"/>
              <w:jc w:val="center"/>
              <w:rPr>
                <w:rFonts w:ascii="Times New Roman" w:eastAsia="Times New Roman" w:hAnsi="Times New Roman" w:cs="Times New Roman"/>
                <w:sz w:val="18"/>
                <w:szCs w:val="18"/>
              </w:rPr>
            </w:pPr>
          </w:p>
        </w:tc>
        <w:tc>
          <w:tcPr>
            <w:tcW w:w="1049" w:type="dxa"/>
            <w:shd w:val="clear" w:color="auto" w:fill="D9D9D9" w:themeFill="background1" w:themeFillShade="D9"/>
            <w:noWrap/>
            <w:vAlign w:val="center"/>
            <w:hideMark/>
          </w:tcPr>
          <w:p w14:paraId="443CF503" w14:textId="77777777" w:rsidR="00A230D2" w:rsidRPr="00251A7B" w:rsidRDefault="00A230D2" w:rsidP="005C2414">
            <w:pPr>
              <w:widowControl w:val="0"/>
              <w:jc w:val="center"/>
              <w:rPr>
                <w:rFonts w:ascii="Times New Roman" w:eastAsia="Times New Roman" w:hAnsi="Times New Roman" w:cs="Times New Roman"/>
                <w:sz w:val="18"/>
                <w:szCs w:val="18"/>
              </w:rPr>
            </w:pPr>
            <w:r w:rsidRPr="00251A7B">
              <w:rPr>
                <w:rFonts w:ascii="Times New Roman" w:eastAsia="Times New Roman" w:hAnsi="Times New Roman" w:cs="Times New Roman"/>
                <w:sz w:val="18"/>
                <w:szCs w:val="18"/>
              </w:rPr>
              <w:t>X</w:t>
            </w:r>
          </w:p>
        </w:tc>
        <w:tc>
          <w:tcPr>
            <w:tcW w:w="996" w:type="dxa"/>
            <w:shd w:val="clear" w:color="auto" w:fill="D9D9D9" w:themeFill="background1" w:themeFillShade="D9"/>
            <w:noWrap/>
            <w:vAlign w:val="center"/>
            <w:hideMark/>
          </w:tcPr>
          <w:p w14:paraId="71905DBC" w14:textId="77777777" w:rsidR="00A230D2" w:rsidRPr="00251A7B" w:rsidRDefault="00A230D2" w:rsidP="005C2414">
            <w:pPr>
              <w:widowControl w:val="0"/>
              <w:tabs>
                <w:tab w:val="left" w:pos="720"/>
                <w:tab w:val="left" w:pos="1080"/>
                <w:tab w:val="left" w:pos="1440"/>
                <w:tab w:val="left" w:pos="1800"/>
              </w:tabs>
              <w:spacing w:line="264" w:lineRule="auto"/>
              <w:jc w:val="center"/>
              <w:rPr>
                <w:rFonts w:ascii="Times New Roman" w:eastAsia="Times New Roman" w:hAnsi="Times New Roman" w:cs="Times New Roman"/>
                <w:sz w:val="18"/>
                <w:szCs w:val="18"/>
              </w:rPr>
            </w:pPr>
          </w:p>
        </w:tc>
        <w:tc>
          <w:tcPr>
            <w:tcW w:w="783" w:type="dxa"/>
            <w:shd w:val="clear" w:color="auto" w:fill="D9D9D9" w:themeFill="background1" w:themeFillShade="D9"/>
            <w:noWrap/>
            <w:vAlign w:val="center"/>
            <w:hideMark/>
          </w:tcPr>
          <w:p w14:paraId="4A68F9D8" w14:textId="77777777" w:rsidR="00A230D2" w:rsidRPr="00251A7B" w:rsidRDefault="00A230D2" w:rsidP="005C2414">
            <w:pPr>
              <w:widowControl w:val="0"/>
              <w:jc w:val="center"/>
              <w:rPr>
                <w:rFonts w:ascii="Times New Roman" w:eastAsia="Times New Roman" w:hAnsi="Times New Roman" w:cs="Times New Roman"/>
                <w:sz w:val="18"/>
                <w:szCs w:val="18"/>
              </w:rPr>
            </w:pPr>
            <w:r w:rsidRPr="00251A7B">
              <w:rPr>
                <w:rFonts w:ascii="Times New Roman" w:eastAsia="Times New Roman" w:hAnsi="Times New Roman" w:cs="Times New Roman"/>
                <w:sz w:val="18"/>
                <w:szCs w:val="18"/>
              </w:rPr>
              <w:t>X</w:t>
            </w:r>
          </w:p>
        </w:tc>
        <w:tc>
          <w:tcPr>
            <w:tcW w:w="968" w:type="dxa"/>
            <w:tcBorders>
              <w:right w:val="nil"/>
            </w:tcBorders>
            <w:shd w:val="clear" w:color="auto" w:fill="D9D9D9" w:themeFill="background1" w:themeFillShade="D9"/>
            <w:noWrap/>
            <w:vAlign w:val="center"/>
            <w:hideMark/>
          </w:tcPr>
          <w:p w14:paraId="3845B9BF" w14:textId="77777777" w:rsidR="00A230D2" w:rsidRPr="00251A7B" w:rsidRDefault="00A230D2" w:rsidP="005C2414">
            <w:pPr>
              <w:widowControl w:val="0"/>
              <w:tabs>
                <w:tab w:val="left" w:pos="720"/>
                <w:tab w:val="left" w:pos="1080"/>
                <w:tab w:val="left" w:pos="1440"/>
                <w:tab w:val="left" w:pos="1800"/>
              </w:tabs>
              <w:spacing w:line="264" w:lineRule="auto"/>
              <w:jc w:val="center"/>
              <w:rPr>
                <w:rFonts w:ascii="Times New Roman" w:eastAsia="Times New Roman" w:hAnsi="Times New Roman" w:cs="Times New Roman"/>
                <w:sz w:val="18"/>
                <w:szCs w:val="18"/>
              </w:rPr>
            </w:pPr>
          </w:p>
        </w:tc>
      </w:tr>
      <w:tr w:rsidR="00A230D2" w:rsidRPr="006C6EAA" w14:paraId="39CE4D6B" w14:textId="77777777" w:rsidTr="005C2414">
        <w:trPr>
          <w:trHeight w:val="480"/>
        </w:trPr>
        <w:tc>
          <w:tcPr>
            <w:tcW w:w="4158" w:type="dxa"/>
            <w:tcBorders>
              <w:left w:val="nil"/>
              <w:bottom w:val="single" w:sz="4" w:space="0" w:color="auto"/>
            </w:tcBorders>
            <w:vAlign w:val="center"/>
            <w:hideMark/>
          </w:tcPr>
          <w:p w14:paraId="50169CC0" w14:textId="77777777" w:rsidR="00A230D2" w:rsidRPr="00251A7B" w:rsidRDefault="00A230D2" w:rsidP="005C2414">
            <w:pPr>
              <w:widowControl w:val="0"/>
              <w:rPr>
                <w:rFonts w:ascii="Times New Roman" w:eastAsia="Times New Roman" w:hAnsi="Times New Roman" w:cs="Times New Roman"/>
                <w:sz w:val="18"/>
                <w:szCs w:val="18"/>
              </w:rPr>
            </w:pPr>
            <w:r w:rsidRPr="00251A7B">
              <w:rPr>
                <w:rFonts w:ascii="Times New Roman" w:eastAsia="Times New Roman" w:hAnsi="Times New Roman" w:cs="Times New Roman"/>
                <w:sz w:val="18"/>
                <w:szCs w:val="18"/>
              </w:rPr>
              <w:t>Which of the materials/messages did consumers find helpful, and why?</w:t>
            </w:r>
          </w:p>
        </w:tc>
        <w:tc>
          <w:tcPr>
            <w:tcW w:w="902" w:type="dxa"/>
            <w:noWrap/>
            <w:vAlign w:val="center"/>
            <w:hideMark/>
          </w:tcPr>
          <w:p w14:paraId="0E8857CE" w14:textId="77777777" w:rsidR="00A230D2" w:rsidRPr="00251A7B" w:rsidRDefault="00A230D2" w:rsidP="005C2414">
            <w:pPr>
              <w:widowControl w:val="0"/>
              <w:tabs>
                <w:tab w:val="left" w:pos="720"/>
                <w:tab w:val="left" w:pos="1080"/>
                <w:tab w:val="left" w:pos="1440"/>
                <w:tab w:val="left" w:pos="1800"/>
              </w:tabs>
              <w:spacing w:line="264" w:lineRule="auto"/>
              <w:jc w:val="center"/>
              <w:rPr>
                <w:rFonts w:ascii="Times New Roman" w:eastAsia="Times New Roman" w:hAnsi="Times New Roman" w:cs="Times New Roman"/>
                <w:sz w:val="18"/>
                <w:szCs w:val="18"/>
              </w:rPr>
            </w:pPr>
          </w:p>
        </w:tc>
        <w:tc>
          <w:tcPr>
            <w:tcW w:w="1049" w:type="dxa"/>
            <w:noWrap/>
            <w:vAlign w:val="center"/>
            <w:hideMark/>
          </w:tcPr>
          <w:p w14:paraId="1F9D3C73" w14:textId="77777777" w:rsidR="00A230D2" w:rsidRPr="00251A7B" w:rsidRDefault="00A230D2" w:rsidP="005C2414">
            <w:pPr>
              <w:widowControl w:val="0"/>
              <w:jc w:val="center"/>
              <w:rPr>
                <w:rFonts w:ascii="Times New Roman" w:eastAsia="Times New Roman" w:hAnsi="Times New Roman" w:cs="Times New Roman"/>
                <w:sz w:val="18"/>
                <w:szCs w:val="18"/>
              </w:rPr>
            </w:pPr>
            <w:r w:rsidRPr="00251A7B">
              <w:rPr>
                <w:rFonts w:ascii="Times New Roman" w:eastAsia="Times New Roman" w:hAnsi="Times New Roman" w:cs="Times New Roman"/>
                <w:sz w:val="18"/>
                <w:szCs w:val="18"/>
              </w:rPr>
              <w:t>X</w:t>
            </w:r>
          </w:p>
        </w:tc>
        <w:tc>
          <w:tcPr>
            <w:tcW w:w="996" w:type="dxa"/>
            <w:noWrap/>
            <w:vAlign w:val="center"/>
            <w:hideMark/>
          </w:tcPr>
          <w:p w14:paraId="6E24CD9C" w14:textId="77777777" w:rsidR="00A230D2" w:rsidRPr="00251A7B" w:rsidRDefault="00A230D2" w:rsidP="005C2414">
            <w:pPr>
              <w:widowControl w:val="0"/>
              <w:tabs>
                <w:tab w:val="left" w:pos="720"/>
                <w:tab w:val="left" w:pos="1080"/>
                <w:tab w:val="left" w:pos="1440"/>
                <w:tab w:val="left" w:pos="1800"/>
              </w:tabs>
              <w:spacing w:line="264" w:lineRule="auto"/>
              <w:jc w:val="center"/>
              <w:rPr>
                <w:rFonts w:ascii="Times New Roman" w:eastAsia="Times New Roman" w:hAnsi="Times New Roman" w:cs="Times New Roman"/>
                <w:sz w:val="18"/>
                <w:szCs w:val="18"/>
              </w:rPr>
            </w:pPr>
          </w:p>
        </w:tc>
        <w:tc>
          <w:tcPr>
            <w:tcW w:w="783" w:type="dxa"/>
            <w:noWrap/>
            <w:vAlign w:val="center"/>
            <w:hideMark/>
          </w:tcPr>
          <w:p w14:paraId="14F0BE9A" w14:textId="77777777" w:rsidR="00A230D2" w:rsidRPr="00251A7B" w:rsidRDefault="00A230D2" w:rsidP="005C2414">
            <w:pPr>
              <w:widowControl w:val="0"/>
              <w:jc w:val="center"/>
              <w:rPr>
                <w:rFonts w:ascii="Times New Roman" w:eastAsia="Times New Roman" w:hAnsi="Times New Roman" w:cs="Times New Roman"/>
                <w:sz w:val="18"/>
                <w:szCs w:val="18"/>
              </w:rPr>
            </w:pPr>
            <w:r w:rsidRPr="00251A7B">
              <w:rPr>
                <w:rFonts w:ascii="Times New Roman" w:eastAsia="Times New Roman" w:hAnsi="Times New Roman" w:cs="Times New Roman"/>
                <w:sz w:val="18"/>
                <w:szCs w:val="18"/>
              </w:rPr>
              <w:t>X</w:t>
            </w:r>
          </w:p>
        </w:tc>
        <w:tc>
          <w:tcPr>
            <w:tcW w:w="968" w:type="dxa"/>
            <w:tcBorders>
              <w:right w:val="nil"/>
            </w:tcBorders>
            <w:noWrap/>
            <w:vAlign w:val="center"/>
            <w:hideMark/>
          </w:tcPr>
          <w:p w14:paraId="72CCE732" w14:textId="77777777" w:rsidR="00A230D2" w:rsidRPr="00251A7B" w:rsidRDefault="00A230D2" w:rsidP="005C2414">
            <w:pPr>
              <w:widowControl w:val="0"/>
              <w:tabs>
                <w:tab w:val="left" w:pos="720"/>
                <w:tab w:val="left" w:pos="1080"/>
                <w:tab w:val="left" w:pos="1440"/>
                <w:tab w:val="left" w:pos="1800"/>
              </w:tabs>
              <w:spacing w:line="264" w:lineRule="auto"/>
              <w:jc w:val="center"/>
              <w:rPr>
                <w:rFonts w:ascii="Times New Roman" w:eastAsia="Times New Roman" w:hAnsi="Times New Roman" w:cs="Times New Roman"/>
                <w:sz w:val="18"/>
                <w:szCs w:val="18"/>
              </w:rPr>
            </w:pPr>
          </w:p>
        </w:tc>
      </w:tr>
      <w:tr w:rsidR="00A230D2" w:rsidRPr="006C6EAA" w14:paraId="1FB5601D" w14:textId="77777777" w:rsidTr="005C2414">
        <w:trPr>
          <w:trHeight w:val="720"/>
        </w:trPr>
        <w:tc>
          <w:tcPr>
            <w:tcW w:w="4158" w:type="dxa"/>
            <w:tcBorders>
              <w:left w:val="nil"/>
            </w:tcBorders>
            <w:vAlign w:val="center"/>
            <w:hideMark/>
          </w:tcPr>
          <w:p w14:paraId="3A7CDD36" w14:textId="77777777" w:rsidR="00A230D2" w:rsidRPr="00251A7B" w:rsidRDefault="00A230D2" w:rsidP="005C2414">
            <w:pPr>
              <w:widowControl w:val="0"/>
              <w:rPr>
                <w:rFonts w:ascii="Times New Roman" w:eastAsia="Times New Roman" w:hAnsi="Times New Roman" w:cs="Times New Roman"/>
                <w:sz w:val="18"/>
                <w:szCs w:val="18"/>
              </w:rPr>
            </w:pPr>
            <w:r w:rsidRPr="00251A7B">
              <w:rPr>
                <w:rFonts w:ascii="Times New Roman" w:eastAsia="Times New Roman" w:hAnsi="Times New Roman" w:cs="Times New Roman"/>
                <w:sz w:val="18"/>
                <w:szCs w:val="18"/>
              </w:rPr>
              <w:t xml:space="preserve">Did C2C contribute to a change in consumer knowledge and understanding of health insurance coverage and how it works (e.g., health insurance </w:t>
            </w:r>
            <w:r w:rsidRPr="00251A7B">
              <w:rPr>
                <w:rFonts w:ascii="Times New Roman" w:eastAsia="Times New Roman" w:hAnsi="Times New Roman" w:cs="Times New Roman"/>
                <w:sz w:val="18"/>
                <w:szCs w:val="18"/>
              </w:rPr>
              <w:lastRenderedPageBreak/>
              <w:t xml:space="preserve">literacy)? </w:t>
            </w:r>
          </w:p>
        </w:tc>
        <w:tc>
          <w:tcPr>
            <w:tcW w:w="902" w:type="dxa"/>
            <w:noWrap/>
            <w:vAlign w:val="center"/>
            <w:hideMark/>
          </w:tcPr>
          <w:p w14:paraId="633F2433" w14:textId="77777777" w:rsidR="00A230D2" w:rsidRPr="00251A7B" w:rsidRDefault="00A230D2" w:rsidP="005C2414">
            <w:pPr>
              <w:widowControl w:val="0"/>
              <w:tabs>
                <w:tab w:val="left" w:pos="720"/>
                <w:tab w:val="left" w:pos="1080"/>
                <w:tab w:val="left" w:pos="1440"/>
                <w:tab w:val="left" w:pos="1800"/>
              </w:tabs>
              <w:spacing w:line="264" w:lineRule="auto"/>
              <w:jc w:val="center"/>
              <w:rPr>
                <w:rFonts w:ascii="Times New Roman" w:eastAsia="Times New Roman" w:hAnsi="Times New Roman" w:cs="Times New Roman"/>
                <w:sz w:val="18"/>
                <w:szCs w:val="18"/>
              </w:rPr>
            </w:pPr>
          </w:p>
        </w:tc>
        <w:tc>
          <w:tcPr>
            <w:tcW w:w="1049" w:type="dxa"/>
            <w:noWrap/>
            <w:vAlign w:val="center"/>
            <w:hideMark/>
          </w:tcPr>
          <w:p w14:paraId="085CB297" w14:textId="77777777" w:rsidR="00A230D2" w:rsidRPr="00251A7B" w:rsidRDefault="00A230D2" w:rsidP="005C2414">
            <w:pPr>
              <w:widowControl w:val="0"/>
              <w:jc w:val="center"/>
              <w:rPr>
                <w:rFonts w:ascii="Times New Roman" w:eastAsia="Times New Roman" w:hAnsi="Times New Roman" w:cs="Times New Roman"/>
                <w:sz w:val="18"/>
                <w:szCs w:val="18"/>
              </w:rPr>
            </w:pPr>
            <w:r w:rsidRPr="00251A7B">
              <w:rPr>
                <w:rFonts w:ascii="Times New Roman" w:eastAsia="Times New Roman" w:hAnsi="Times New Roman" w:cs="Times New Roman"/>
                <w:sz w:val="18"/>
                <w:szCs w:val="18"/>
              </w:rPr>
              <w:t>X</w:t>
            </w:r>
          </w:p>
        </w:tc>
        <w:tc>
          <w:tcPr>
            <w:tcW w:w="996" w:type="dxa"/>
            <w:noWrap/>
            <w:vAlign w:val="center"/>
            <w:hideMark/>
          </w:tcPr>
          <w:p w14:paraId="673BFA35" w14:textId="77777777" w:rsidR="00A230D2" w:rsidRPr="00251A7B" w:rsidRDefault="00A230D2" w:rsidP="005C2414">
            <w:pPr>
              <w:widowControl w:val="0"/>
              <w:tabs>
                <w:tab w:val="left" w:pos="720"/>
                <w:tab w:val="left" w:pos="1080"/>
                <w:tab w:val="left" w:pos="1440"/>
                <w:tab w:val="left" w:pos="1800"/>
              </w:tabs>
              <w:spacing w:line="264" w:lineRule="auto"/>
              <w:jc w:val="center"/>
              <w:rPr>
                <w:rFonts w:ascii="Times New Roman" w:eastAsia="Times New Roman" w:hAnsi="Times New Roman" w:cs="Times New Roman"/>
                <w:sz w:val="18"/>
                <w:szCs w:val="18"/>
              </w:rPr>
            </w:pPr>
          </w:p>
        </w:tc>
        <w:tc>
          <w:tcPr>
            <w:tcW w:w="783" w:type="dxa"/>
            <w:noWrap/>
            <w:vAlign w:val="center"/>
            <w:hideMark/>
          </w:tcPr>
          <w:p w14:paraId="02FABBAB" w14:textId="77777777" w:rsidR="00A230D2" w:rsidRPr="00251A7B" w:rsidRDefault="00A230D2" w:rsidP="005C2414">
            <w:pPr>
              <w:widowControl w:val="0"/>
              <w:jc w:val="center"/>
              <w:rPr>
                <w:rFonts w:ascii="Times New Roman" w:eastAsia="Times New Roman" w:hAnsi="Times New Roman" w:cs="Times New Roman"/>
                <w:sz w:val="18"/>
                <w:szCs w:val="18"/>
              </w:rPr>
            </w:pPr>
            <w:r w:rsidRPr="00251A7B">
              <w:rPr>
                <w:rFonts w:ascii="Times New Roman" w:eastAsia="Times New Roman" w:hAnsi="Times New Roman" w:cs="Times New Roman"/>
                <w:sz w:val="18"/>
                <w:szCs w:val="18"/>
              </w:rPr>
              <w:t>X</w:t>
            </w:r>
          </w:p>
        </w:tc>
        <w:tc>
          <w:tcPr>
            <w:tcW w:w="968" w:type="dxa"/>
            <w:tcBorders>
              <w:right w:val="nil"/>
            </w:tcBorders>
            <w:noWrap/>
            <w:vAlign w:val="center"/>
            <w:hideMark/>
          </w:tcPr>
          <w:p w14:paraId="67FE3EA0" w14:textId="77777777" w:rsidR="00A230D2" w:rsidRPr="00251A7B" w:rsidRDefault="00A230D2" w:rsidP="005C2414">
            <w:pPr>
              <w:widowControl w:val="0"/>
              <w:tabs>
                <w:tab w:val="left" w:pos="720"/>
                <w:tab w:val="left" w:pos="1080"/>
                <w:tab w:val="left" w:pos="1440"/>
                <w:tab w:val="left" w:pos="1800"/>
              </w:tabs>
              <w:spacing w:line="264" w:lineRule="auto"/>
              <w:jc w:val="center"/>
              <w:rPr>
                <w:rFonts w:ascii="Times New Roman" w:eastAsia="Times New Roman" w:hAnsi="Times New Roman" w:cs="Times New Roman"/>
                <w:sz w:val="18"/>
                <w:szCs w:val="18"/>
              </w:rPr>
            </w:pPr>
          </w:p>
        </w:tc>
      </w:tr>
      <w:tr w:rsidR="00A230D2" w:rsidRPr="006C6EAA" w14:paraId="19FE7AA7" w14:textId="77777777" w:rsidTr="005C2414">
        <w:trPr>
          <w:trHeight w:val="720"/>
        </w:trPr>
        <w:tc>
          <w:tcPr>
            <w:tcW w:w="4158" w:type="dxa"/>
            <w:tcBorders>
              <w:left w:val="nil"/>
            </w:tcBorders>
            <w:vAlign w:val="center"/>
            <w:hideMark/>
          </w:tcPr>
          <w:p w14:paraId="0C34F6CE" w14:textId="77777777" w:rsidR="00A230D2" w:rsidRPr="00251A7B" w:rsidRDefault="00A230D2" w:rsidP="005C2414">
            <w:pPr>
              <w:widowControl w:val="0"/>
              <w:rPr>
                <w:rFonts w:ascii="Times New Roman" w:eastAsia="Times New Roman" w:hAnsi="Times New Roman" w:cs="Times New Roman"/>
                <w:sz w:val="18"/>
                <w:szCs w:val="18"/>
              </w:rPr>
            </w:pPr>
            <w:r w:rsidRPr="00251A7B">
              <w:rPr>
                <w:rFonts w:ascii="Times New Roman" w:eastAsia="Times New Roman" w:hAnsi="Times New Roman" w:cs="Times New Roman"/>
                <w:sz w:val="18"/>
                <w:szCs w:val="18"/>
              </w:rPr>
              <w:t>Did C2C contribute to a change in consumer knowledge or understanding of how to access care as a result of C2C messages or materials?</w:t>
            </w:r>
          </w:p>
        </w:tc>
        <w:tc>
          <w:tcPr>
            <w:tcW w:w="902" w:type="dxa"/>
            <w:noWrap/>
            <w:vAlign w:val="center"/>
            <w:hideMark/>
          </w:tcPr>
          <w:p w14:paraId="66ECEE23" w14:textId="77777777" w:rsidR="00A230D2" w:rsidRPr="00251A7B" w:rsidRDefault="00A230D2" w:rsidP="005C2414">
            <w:pPr>
              <w:widowControl w:val="0"/>
              <w:tabs>
                <w:tab w:val="left" w:pos="720"/>
                <w:tab w:val="left" w:pos="1080"/>
                <w:tab w:val="left" w:pos="1440"/>
                <w:tab w:val="left" w:pos="1800"/>
              </w:tabs>
              <w:spacing w:line="264" w:lineRule="auto"/>
              <w:jc w:val="center"/>
              <w:rPr>
                <w:rFonts w:ascii="Times New Roman" w:eastAsia="Times New Roman" w:hAnsi="Times New Roman" w:cs="Times New Roman"/>
                <w:sz w:val="18"/>
                <w:szCs w:val="18"/>
              </w:rPr>
            </w:pPr>
          </w:p>
        </w:tc>
        <w:tc>
          <w:tcPr>
            <w:tcW w:w="1049" w:type="dxa"/>
            <w:noWrap/>
            <w:vAlign w:val="center"/>
            <w:hideMark/>
          </w:tcPr>
          <w:p w14:paraId="2A78A27D" w14:textId="77777777" w:rsidR="00A230D2" w:rsidRPr="00251A7B" w:rsidRDefault="00A230D2" w:rsidP="005C2414">
            <w:pPr>
              <w:widowControl w:val="0"/>
              <w:jc w:val="center"/>
              <w:rPr>
                <w:rFonts w:ascii="Times New Roman" w:eastAsia="Times New Roman" w:hAnsi="Times New Roman" w:cs="Times New Roman"/>
                <w:sz w:val="18"/>
                <w:szCs w:val="18"/>
              </w:rPr>
            </w:pPr>
            <w:r w:rsidRPr="00251A7B">
              <w:rPr>
                <w:rFonts w:ascii="Times New Roman" w:eastAsia="Times New Roman" w:hAnsi="Times New Roman" w:cs="Times New Roman"/>
                <w:sz w:val="18"/>
                <w:szCs w:val="18"/>
              </w:rPr>
              <w:t>X</w:t>
            </w:r>
          </w:p>
        </w:tc>
        <w:tc>
          <w:tcPr>
            <w:tcW w:w="996" w:type="dxa"/>
            <w:noWrap/>
            <w:vAlign w:val="center"/>
            <w:hideMark/>
          </w:tcPr>
          <w:p w14:paraId="70FE4CDB" w14:textId="77777777" w:rsidR="00A230D2" w:rsidRPr="00251A7B" w:rsidRDefault="00A230D2" w:rsidP="005C2414">
            <w:pPr>
              <w:widowControl w:val="0"/>
              <w:tabs>
                <w:tab w:val="left" w:pos="720"/>
                <w:tab w:val="left" w:pos="1080"/>
                <w:tab w:val="left" w:pos="1440"/>
                <w:tab w:val="left" w:pos="1800"/>
              </w:tabs>
              <w:spacing w:line="264" w:lineRule="auto"/>
              <w:jc w:val="center"/>
              <w:rPr>
                <w:rFonts w:ascii="Times New Roman" w:eastAsia="Times New Roman" w:hAnsi="Times New Roman" w:cs="Times New Roman"/>
                <w:sz w:val="18"/>
                <w:szCs w:val="18"/>
              </w:rPr>
            </w:pPr>
          </w:p>
        </w:tc>
        <w:tc>
          <w:tcPr>
            <w:tcW w:w="783" w:type="dxa"/>
            <w:noWrap/>
            <w:vAlign w:val="center"/>
            <w:hideMark/>
          </w:tcPr>
          <w:p w14:paraId="66D75748" w14:textId="77777777" w:rsidR="00A230D2" w:rsidRPr="00251A7B" w:rsidRDefault="00A230D2" w:rsidP="005C2414">
            <w:pPr>
              <w:widowControl w:val="0"/>
              <w:jc w:val="center"/>
              <w:rPr>
                <w:rFonts w:ascii="Times New Roman" w:eastAsia="Times New Roman" w:hAnsi="Times New Roman" w:cs="Times New Roman"/>
                <w:sz w:val="18"/>
                <w:szCs w:val="18"/>
              </w:rPr>
            </w:pPr>
            <w:r w:rsidRPr="00251A7B">
              <w:rPr>
                <w:rFonts w:ascii="Times New Roman" w:eastAsia="Times New Roman" w:hAnsi="Times New Roman" w:cs="Times New Roman"/>
                <w:sz w:val="18"/>
                <w:szCs w:val="18"/>
              </w:rPr>
              <w:t>X</w:t>
            </w:r>
          </w:p>
        </w:tc>
        <w:tc>
          <w:tcPr>
            <w:tcW w:w="968" w:type="dxa"/>
            <w:tcBorders>
              <w:right w:val="nil"/>
            </w:tcBorders>
            <w:noWrap/>
            <w:vAlign w:val="center"/>
            <w:hideMark/>
          </w:tcPr>
          <w:p w14:paraId="6E3C4A62" w14:textId="77777777" w:rsidR="00A230D2" w:rsidRPr="00251A7B" w:rsidRDefault="00A230D2" w:rsidP="005C2414">
            <w:pPr>
              <w:widowControl w:val="0"/>
              <w:tabs>
                <w:tab w:val="left" w:pos="720"/>
                <w:tab w:val="left" w:pos="1080"/>
                <w:tab w:val="left" w:pos="1440"/>
                <w:tab w:val="left" w:pos="1800"/>
              </w:tabs>
              <w:spacing w:line="264" w:lineRule="auto"/>
              <w:jc w:val="center"/>
              <w:rPr>
                <w:rFonts w:ascii="Times New Roman" w:eastAsia="Times New Roman" w:hAnsi="Times New Roman" w:cs="Times New Roman"/>
                <w:sz w:val="18"/>
                <w:szCs w:val="18"/>
              </w:rPr>
            </w:pPr>
          </w:p>
        </w:tc>
      </w:tr>
      <w:tr w:rsidR="00A230D2" w:rsidRPr="006C6EAA" w14:paraId="4C0E7C86" w14:textId="77777777" w:rsidTr="005C2414">
        <w:trPr>
          <w:trHeight w:val="480"/>
        </w:trPr>
        <w:tc>
          <w:tcPr>
            <w:tcW w:w="4158" w:type="dxa"/>
            <w:tcBorders>
              <w:left w:val="nil"/>
            </w:tcBorders>
            <w:shd w:val="clear" w:color="auto" w:fill="D9D9D9" w:themeFill="background1" w:themeFillShade="D9"/>
            <w:vAlign w:val="center"/>
            <w:hideMark/>
          </w:tcPr>
          <w:p w14:paraId="52B4259E" w14:textId="77777777" w:rsidR="00A230D2" w:rsidRPr="00251A7B" w:rsidRDefault="00A230D2" w:rsidP="005C2414">
            <w:pPr>
              <w:widowControl w:val="0"/>
              <w:rPr>
                <w:rFonts w:ascii="Times New Roman" w:eastAsia="Times New Roman" w:hAnsi="Times New Roman" w:cs="Times New Roman"/>
                <w:b/>
                <w:bCs/>
                <w:sz w:val="18"/>
                <w:szCs w:val="18"/>
              </w:rPr>
            </w:pPr>
            <w:r w:rsidRPr="00251A7B">
              <w:rPr>
                <w:rFonts w:ascii="Times New Roman" w:eastAsia="Times New Roman" w:hAnsi="Times New Roman" w:cs="Times New Roman"/>
                <w:b/>
                <w:bCs/>
                <w:sz w:val="18"/>
                <w:szCs w:val="18"/>
              </w:rPr>
              <w:t>4.  To what extent is C2C associated with changes in care utilization?</w:t>
            </w:r>
          </w:p>
        </w:tc>
        <w:tc>
          <w:tcPr>
            <w:tcW w:w="902" w:type="dxa"/>
            <w:shd w:val="clear" w:color="auto" w:fill="D9D9D9" w:themeFill="background1" w:themeFillShade="D9"/>
            <w:noWrap/>
            <w:vAlign w:val="center"/>
            <w:hideMark/>
          </w:tcPr>
          <w:p w14:paraId="64140D24" w14:textId="77777777" w:rsidR="00A230D2" w:rsidRPr="00251A7B" w:rsidRDefault="00A230D2" w:rsidP="005C2414">
            <w:pPr>
              <w:widowControl w:val="0"/>
              <w:tabs>
                <w:tab w:val="left" w:pos="720"/>
                <w:tab w:val="left" w:pos="1080"/>
                <w:tab w:val="left" w:pos="1440"/>
                <w:tab w:val="left" w:pos="1800"/>
              </w:tabs>
              <w:spacing w:line="264" w:lineRule="auto"/>
              <w:jc w:val="center"/>
              <w:rPr>
                <w:rFonts w:ascii="Times New Roman" w:eastAsia="Times New Roman" w:hAnsi="Times New Roman" w:cs="Times New Roman"/>
                <w:sz w:val="18"/>
                <w:szCs w:val="18"/>
              </w:rPr>
            </w:pPr>
          </w:p>
        </w:tc>
        <w:tc>
          <w:tcPr>
            <w:tcW w:w="1049" w:type="dxa"/>
            <w:shd w:val="clear" w:color="auto" w:fill="D9D9D9" w:themeFill="background1" w:themeFillShade="D9"/>
            <w:noWrap/>
            <w:vAlign w:val="center"/>
            <w:hideMark/>
          </w:tcPr>
          <w:p w14:paraId="704909BF" w14:textId="77777777" w:rsidR="00A230D2" w:rsidRPr="00251A7B" w:rsidRDefault="00A230D2" w:rsidP="005C2414">
            <w:pPr>
              <w:widowControl w:val="0"/>
              <w:jc w:val="center"/>
              <w:rPr>
                <w:rFonts w:ascii="Times New Roman" w:eastAsia="Times New Roman" w:hAnsi="Times New Roman" w:cs="Times New Roman"/>
                <w:sz w:val="18"/>
                <w:szCs w:val="18"/>
              </w:rPr>
            </w:pPr>
            <w:r w:rsidRPr="00251A7B">
              <w:rPr>
                <w:rFonts w:ascii="Times New Roman" w:eastAsia="Times New Roman" w:hAnsi="Times New Roman" w:cs="Times New Roman"/>
                <w:sz w:val="18"/>
                <w:szCs w:val="18"/>
              </w:rPr>
              <w:t>X</w:t>
            </w:r>
          </w:p>
        </w:tc>
        <w:tc>
          <w:tcPr>
            <w:tcW w:w="996" w:type="dxa"/>
            <w:shd w:val="clear" w:color="auto" w:fill="D9D9D9" w:themeFill="background1" w:themeFillShade="D9"/>
            <w:noWrap/>
            <w:vAlign w:val="center"/>
            <w:hideMark/>
          </w:tcPr>
          <w:p w14:paraId="3D07E544" w14:textId="77777777" w:rsidR="00A230D2" w:rsidRPr="00251A7B" w:rsidRDefault="00A230D2" w:rsidP="005C2414">
            <w:pPr>
              <w:widowControl w:val="0"/>
              <w:tabs>
                <w:tab w:val="left" w:pos="720"/>
                <w:tab w:val="left" w:pos="1080"/>
                <w:tab w:val="left" w:pos="1440"/>
                <w:tab w:val="left" w:pos="1800"/>
              </w:tabs>
              <w:spacing w:line="264" w:lineRule="auto"/>
              <w:jc w:val="center"/>
              <w:rPr>
                <w:rFonts w:ascii="Times New Roman" w:eastAsia="Times New Roman" w:hAnsi="Times New Roman" w:cs="Times New Roman"/>
                <w:sz w:val="18"/>
                <w:szCs w:val="18"/>
              </w:rPr>
            </w:pPr>
          </w:p>
        </w:tc>
        <w:tc>
          <w:tcPr>
            <w:tcW w:w="783" w:type="dxa"/>
            <w:shd w:val="clear" w:color="auto" w:fill="D9D9D9" w:themeFill="background1" w:themeFillShade="D9"/>
            <w:noWrap/>
            <w:vAlign w:val="center"/>
            <w:hideMark/>
          </w:tcPr>
          <w:p w14:paraId="72F3255C" w14:textId="77777777" w:rsidR="00A230D2" w:rsidRPr="00251A7B" w:rsidRDefault="00A230D2" w:rsidP="005C2414">
            <w:pPr>
              <w:widowControl w:val="0"/>
              <w:jc w:val="center"/>
              <w:rPr>
                <w:rFonts w:ascii="Times New Roman" w:eastAsia="Times New Roman" w:hAnsi="Times New Roman" w:cs="Times New Roman"/>
                <w:sz w:val="18"/>
                <w:szCs w:val="18"/>
              </w:rPr>
            </w:pPr>
            <w:r w:rsidRPr="00251A7B">
              <w:rPr>
                <w:rFonts w:ascii="Times New Roman" w:eastAsia="Times New Roman" w:hAnsi="Times New Roman" w:cs="Times New Roman"/>
                <w:sz w:val="18"/>
                <w:szCs w:val="18"/>
              </w:rPr>
              <w:t>X</w:t>
            </w:r>
          </w:p>
        </w:tc>
        <w:tc>
          <w:tcPr>
            <w:tcW w:w="968" w:type="dxa"/>
            <w:tcBorders>
              <w:right w:val="nil"/>
            </w:tcBorders>
            <w:shd w:val="clear" w:color="auto" w:fill="D9D9D9" w:themeFill="background1" w:themeFillShade="D9"/>
            <w:noWrap/>
            <w:vAlign w:val="center"/>
            <w:hideMark/>
          </w:tcPr>
          <w:p w14:paraId="74ED3B72" w14:textId="77777777" w:rsidR="00A230D2" w:rsidRPr="00251A7B" w:rsidRDefault="00A230D2" w:rsidP="005C2414">
            <w:pPr>
              <w:widowControl w:val="0"/>
              <w:jc w:val="center"/>
              <w:rPr>
                <w:rFonts w:ascii="Times New Roman" w:eastAsia="Times New Roman" w:hAnsi="Times New Roman" w:cs="Times New Roman"/>
                <w:sz w:val="18"/>
                <w:szCs w:val="18"/>
              </w:rPr>
            </w:pPr>
            <w:r w:rsidRPr="00251A7B">
              <w:rPr>
                <w:rFonts w:ascii="Times New Roman" w:eastAsia="Times New Roman" w:hAnsi="Times New Roman" w:cs="Times New Roman"/>
                <w:sz w:val="18"/>
                <w:szCs w:val="18"/>
              </w:rPr>
              <w:t>X</w:t>
            </w:r>
          </w:p>
        </w:tc>
      </w:tr>
      <w:tr w:rsidR="00A230D2" w:rsidRPr="006C6EAA" w14:paraId="7F887CB1" w14:textId="77777777" w:rsidTr="005C2414">
        <w:trPr>
          <w:trHeight w:val="480"/>
        </w:trPr>
        <w:tc>
          <w:tcPr>
            <w:tcW w:w="4158" w:type="dxa"/>
            <w:tcBorders>
              <w:left w:val="nil"/>
            </w:tcBorders>
            <w:vAlign w:val="center"/>
            <w:hideMark/>
          </w:tcPr>
          <w:p w14:paraId="62CC011C" w14:textId="77777777" w:rsidR="00A230D2" w:rsidRPr="00251A7B" w:rsidRDefault="00A230D2" w:rsidP="005C2414">
            <w:pPr>
              <w:widowControl w:val="0"/>
              <w:rPr>
                <w:rFonts w:ascii="Times New Roman" w:eastAsia="Times New Roman" w:hAnsi="Times New Roman" w:cs="Times New Roman"/>
                <w:sz w:val="18"/>
                <w:szCs w:val="18"/>
              </w:rPr>
            </w:pPr>
            <w:r w:rsidRPr="00251A7B">
              <w:rPr>
                <w:rFonts w:ascii="Times New Roman" w:eastAsia="Times New Roman" w:hAnsi="Times New Roman" w:cs="Times New Roman"/>
                <w:sz w:val="18"/>
                <w:szCs w:val="18"/>
              </w:rPr>
              <w:t>Did the use of preventive services change (e.g., primary care, vaccination)?</w:t>
            </w:r>
          </w:p>
        </w:tc>
        <w:tc>
          <w:tcPr>
            <w:tcW w:w="902" w:type="dxa"/>
            <w:noWrap/>
            <w:vAlign w:val="center"/>
            <w:hideMark/>
          </w:tcPr>
          <w:p w14:paraId="4753869C" w14:textId="77777777" w:rsidR="00A230D2" w:rsidRPr="00251A7B" w:rsidRDefault="00A230D2" w:rsidP="005C2414">
            <w:pPr>
              <w:widowControl w:val="0"/>
              <w:tabs>
                <w:tab w:val="left" w:pos="720"/>
                <w:tab w:val="left" w:pos="1080"/>
                <w:tab w:val="left" w:pos="1440"/>
                <w:tab w:val="left" w:pos="1800"/>
              </w:tabs>
              <w:spacing w:line="264" w:lineRule="auto"/>
              <w:jc w:val="center"/>
              <w:rPr>
                <w:rFonts w:ascii="Times New Roman" w:eastAsia="Times New Roman" w:hAnsi="Times New Roman" w:cs="Times New Roman"/>
                <w:sz w:val="18"/>
                <w:szCs w:val="18"/>
              </w:rPr>
            </w:pPr>
          </w:p>
        </w:tc>
        <w:tc>
          <w:tcPr>
            <w:tcW w:w="1049" w:type="dxa"/>
            <w:noWrap/>
            <w:vAlign w:val="center"/>
            <w:hideMark/>
          </w:tcPr>
          <w:p w14:paraId="6A5FD6AD" w14:textId="77777777" w:rsidR="00A230D2" w:rsidRPr="00251A7B" w:rsidRDefault="00A230D2" w:rsidP="005C2414">
            <w:pPr>
              <w:widowControl w:val="0"/>
              <w:jc w:val="center"/>
              <w:rPr>
                <w:rFonts w:ascii="Times New Roman" w:eastAsia="Times New Roman" w:hAnsi="Times New Roman" w:cs="Times New Roman"/>
                <w:sz w:val="18"/>
                <w:szCs w:val="18"/>
              </w:rPr>
            </w:pPr>
            <w:r w:rsidRPr="00251A7B">
              <w:rPr>
                <w:rFonts w:ascii="Times New Roman" w:eastAsia="Times New Roman" w:hAnsi="Times New Roman" w:cs="Times New Roman"/>
                <w:sz w:val="18"/>
                <w:szCs w:val="18"/>
              </w:rPr>
              <w:t>X</w:t>
            </w:r>
          </w:p>
        </w:tc>
        <w:tc>
          <w:tcPr>
            <w:tcW w:w="996" w:type="dxa"/>
            <w:noWrap/>
            <w:vAlign w:val="center"/>
            <w:hideMark/>
          </w:tcPr>
          <w:p w14:paraId="79BB9A0A" w14:textId="77777777" w:rsidR="00A230D2" w:rsidRPr="00251A7B" w:rsidRDefault="00A230D2" w:rsidP="005C2414">
            <w:pPr>
              <w:widowControl w:val="0"/>
              <w:tabs>
                <w:tab w:val="left" w:pos="720"/>
                <w:tab w:val="left" w:pos="1080"/>
                <w:tab w:val="left" w:pos="1440"/>
                <w:tab w:val="left" w:pos="1800"/>
              </w:tabs>
              <w:spacing w:line="264" w:lineRule="auto"/>
              <w:jc w:val="center"/>
              <w:rPr>
                <w:rFonts w:ascii="Times New Roman" w:eastAsia="Times New Roman" w:hAnsi="Times New Roman" w:cs="Times New Roman"/>
                <w:sz w:val="18"/>
                <w:szCs w:val="18"/>
              </w:rPr>
            </w:pPr>
          </w:p>
        </w:tc>
        <w:tc>
          <w:tcPr>
            <w:tcW w:w="783" w:type="dxa"/>
            <w:noWrap/>
            <w:vAlign w:val="center"/>
            <w:hideMark/>
          </w:tcPr>
          <w:p w14:paraId="2D1160C1" w14:textId="77777777" w:rsidR="00A230D2" w:rsidRPr="00251A7B" w:rsidRDefault="00A230D2" w:rsidP="005C2414">
            <w:pPr>
              <w:widowControl w:val="0"/>
              <w:jc w:val="center"/>
              <w:rPr>
                <w:rFonts w:ascii="Times New Roman" w:eastAsia="Times New Roman" w:hAnsi="Times New Roman" w:cs="Times New Roman"/>
                <w:sz w:val="18"/>
                <w:szCs w:val="18"/>
              </w:rPr>
            </w:pPr>
            <w:r w:rsidRPr="00251A7B">
              <w:rPr>
                <w:rFonts w:ascii="Times New Roman" w:eastAsia="Times New Roman" w:hAnsi="Times New Roman" w:cs="Times New Roman"/>
                <w:sz w:val="18"/>
                <w:szCs w:val="18"/>
              </w:rPr>
              <w:t>X</w:t>
            </w:r>
          </w:p>
        </w:tc>
        <w:tc>
          <w:tcPr>
            <w:tcW w:w="968" w:type="dxa"/>
            <w:tcBorders>
              <w:right w:val="nil"/>
            </w:tcBorders>
            <w:noWrap/>
            <w:vAlign w:val="center"/>
            <w:hideMark/>
          </w:tcPr>
          <w:p w14:paraId="0EB98DFB" w14:textId="77777777" w:rsidR="00A230D2" w:rsidRPr="00251A7B" w:rsidRDefault="00A230D2" w:rsidP="005C2414">
            <w:pPr>
              <w:widowControl w:val="0"/>
              <w:jc w:val="center"/>
              <w:rPr>
                <w:rFonts w:ascii="Times New Roman" w:eastAsia="Times New Roman" w:hAnsi="Times New Roman" w:cs="Times New Roman"/>
                <w:sz w:val="18"/>
                <w:szCs w:val="18"/>
              </w:rPr>
            </w:pPr>
            <w:r w:rsidRPr="00251A7B">
              <w:rPr>
                <w:rFonts w:ascii="Times New Roman" w:eastAsia="Times New Roman" w:hAnsi="Times New Roman" w:cs="Times New Roman"/>
                <w:sz w:val="18"/>
                <w:szCs w:val="18"/>
              </w:rPr>
              <w:t>X</w:t>
            </w:r>
          </w:p>
        </w:tc>
      </w:tr>
      <w:tr w:rsidR="00A230D2" w:rsidRPr="006C6EAA" w14:paraId="66ED067A" w14:textId="77777777" w:rsidTr="005C2414">
        <w:trPr>
          <w:trHeight w:val="300"/>
        </w:trPr>
        <w:tc>
          <w:tcPr>
            <w:tcW w:w="4158" w:type="dxa"/>
            <w:tcBorders>
              <w:left w:val="nil"/>
            </w:tcBorders>
            <w:vAlign w:val="center"/>
            <w:hideMark/>
          </w:tcPr>
          <w:p w14:paraId="3224A071" w14:textId="77777777" w:rsidR="00A230D2" w:rsidRPr="00251A7B" w:rsidRDefault="00A230D2" w:rsidP="005C2414">
            <w:pPr>
              <w:widowControl w:val="0"/>
              <w:rPr>
                <w:rFonts w:ascii="Times New Roman" w:eastAsia="Times New Roman" w:hAnsi="Times New Roman" w:cs="Times New Roman"/>
                <w:sz w:val="18"/>
                <w:szCs w:val="18"/>
              </w:rPr>
            </w:pPr>
            <w:r w:rsidRPr="00251A7B">
              <w:rPr>
                <w:rFonts w:ascii="Times New Roman" w:eastAsia="Times New Roman" w:hAnsi="Times New Roman" w:cs="Times New Roman"/>
                <w:sz w:val="18"/>
                <w:szCs w:val="18"/>
              </w:rPr>
              <w:t>Did use of ED services change?</w:t>
            </w:r>
          </w:p>
        </w:tc>
        <w:tc>
          <w:tcPr>
            <w:tcW w:w="902" w:type="dxa"/>
            <w:noWrap/>
            <w:vAlign w:val="center"/>
            <w:hideMark/>
          </w:tcPr>
          <w:p w14:paraId="422BD88E" w14:textId="77777777" w:rsidR="00A230D2" w:rsidRPr="00251A7B" w:rsidRDefault="00A230D2" w:rsidP="005C2414">
            <w:pPr>
              <w:widowControl w:val="0"/>
              <w:tabs>
                <w:tab w:val="left" w:pos="720"/>
                <w:tab w:val="left" w:pos="1080"/>
                <w:tab w:val="left" w:pos="1440"/>
                <w:tab w:val="left" w:pos="1800"/>
              </w:tabs>
              <w:spacing w:line="264" w:lineRule="auto"/>
              <w:jc w:val="center"/>
              <w:rPr>
                <w:rFonts w:ascii="Times New Roman" w:eastAsia="Times New Roman" w:hAnsi="Times New Roman" w:cs="Times New Roman"/>
                <w:sz w:val="18"/>
                <w:szCs w:val="18"/>
              </w:rPr>
            </w:pPr>
          </w:p>
        </w:tc>
        <w:tc>
          <w:tcPr>
            <w:tcW w:w="1049" w:type="dxa"/>
            <w:noWrap/>
            <w:vAlign w:val="center"/>
            <w:hideMark/>
          </w:tcPr>
          <w:p w14:paraId="271FA0B2" w14:textId="77777777" w:rsidR="00A230D2" w:rsidRPr="00251A7B" w:rsidRDefault="00A230D2" w:rsidP="005C2414">
            <w:pPr>
              <w:widowControl w:val="0"/>
              <w:jc w:val="center"/>
              <w:rPr>
                <w:rFonts w:ascii="Times New Roman" w:eastAsia="Times New Roman" w:hAnsi="Times New Roman" w:cs="Times New Roman"/>
                <w:sz w:val="18"/>
                <w:szCs w:val="18"/>
              </w:rPr>
            </w:pPr>
            <w:r w:rsidRPr="00251A7B">
              <w:rPr>
                <w:rFonts w:ascii="Times New Roman" w:eastAsia="Times New Roman" w:hAnsi="Times New Roman" w:cs="Times New Roman"/>
                <w:sz w:val="18"/>
                <w:szCs w:val="18"/>
              </w:rPr>
              <w:t>X</w:t>
            </w:r>
          </w:p>
        </w:tc>
        <w:tc>
          <w:tcPr>
            <w:tcW w:w="996" w:type="dxa"/>
            <w:noWrap/>
            <w:vAlign w:val="center"/>
            <w:hideMark/>
          </w:tcPr>
          <w:p w14:paraId="03648FBB" w14:textId="77777777" w:rsidR="00A230D2" w:rsidRPr="00251A7B" w:rsidRDefault="00A230D2" w:rsidP="005C2414">
            <w:pPr>
              <w:widowControl w:val="0"/>
              <w:tabs>
                <w:tab w:val="left" w:pos="720"/>
                <w:tab w:val="left" w:pos="1080"/>
                <w:tab w:val="left" w:pos="1440"/>
                <w:tab w:val="left" w:pos="1800"/>
              </w:tabs>
              <w:spacing w:line="264" w:lineRule="auto"/>
              <w:jc w:val="center"/>
              <w:rPr>
                <w:rFonts w:ascii="Times New Roman" w:eastAsia="Times New Roman" w:hAnsi="Times New Roman" w:cs="Times New Roman"/>
                <w:sz w:val="18"/>
                <w:szCs w:val="18"/>
              </w:rPr>
            </w:pPr>
          </w:p>
        </w:tc>
        <w:tc>
          <w:tcPr>
            <w:tcW w:w="783" w:type="dxa"/>
            <w:noWrap/>
            <w:vAlign w:val="center"/>
            <w:hideMark/>
          </w:tcPr>
          <w:p w14:paraId="43EA9BDA" w14:textId="77777777" w:rsidR="00A230D2" w:rsidRPr="00251A7B" w:rsidRDefault="00A230D2" w:rsidP="005C2414">
            <w:pPr>
              <w:widowControl w:val="0"/>
              <w:jc w:val="center"/>
              <w:rPr>
                <w:rFonts w:ascii="Times New Roman" w:eastAsia="Times New Roman" w:hAnsi="Times New Roman" w:cs="Times New Roman"/>
                <w:sz w:val="18"/>
                <w:szCs w:val="18"/>
              </w:rPr>
            </w:pPr>
            <w:r w:rsidRPr="00251A7B">
              <w:rPr>
                <w:rFonts w:ascii="Times New Roman" w:eastAsia="Times New Roman" w:hAnsi="Times New Roman" w:cs="Times New Roman"/>
                <w:sz w:val="18"/>
                <w:szCs w:val="18"/>
              </w:rPr>
              <w:t>X</w:t>
            </w:r>
          </w:p>
        </w:tc>
        <w:tc>
          <w:tcPr>
            <w:tcW w:w="968" w:type="dxa"/>
            <w:tcBorders>
              <w:right w:val="nil"/>
            </w:tcBorders>
            <w:noWrap/>
            <w:vAlign w:val="center"/>
            <w:hideMark/>
          </w:tcPr>
          <w:p w14:paraId="1A69C666" w14:textId="77777777" w:rsidR="00A230D2" w:rsidRPr="00251A7B" w:rsidRDefault="00A230D2" w:rsidP="005C2414">
            <w:pPr>
              <w:widowControl w:val="0"/>
              <w:jc w:val="center"/>
              <w:rPr>
                <w:rFonts w:ascii="Times New Roman" w:eastAsia="Times New Roman" w:hAnsi="Times New Roman" w:cs="Times New Roman"/>
                <w:sz w:val="18"/>
                <w:szCs w:val="18"/>
              </w:rPr>
            </w:pPr>
            <w:r w:rsidRPr="00251A7B">
              <w:rPr>
                <w:rFonts w:ascii="Times New Roman" w:eastAsia="Times New Roman" w:hAnsi="Times New Roman" w:cs="Times New Roman"/>
                <w:sz w:val="18"/>
                <w:szCs w:val="18"/>
              </w:rPr>
              <w:t>X</w:t>
            </w:r>
          </w:p>
        </w:tc>
      </w:tr>
      <w:tr w:rsidR="00A230D2" w:rsidRPr="006C6EAA" w14:paraId="519936C0" w14:textId="77777777" w:rsidTr="005C2414">
        <w:trPr>
          <w:trHeight w:val="480"/>
        </w:trPr>
        <w:tc>
          <w:tcPr>
            <w:tcW w:w="4158" w:type="dxa"/>
            <w:tcBorders>
              <w:left w:val="nil"/>
            </w:tcBorders>
            <w:vAlign w:val="center"/>
            <w:hideMark/>
          </w:tcPr>
          <w:p w14:paraId="2E1E64D7" w14:textId="77777777" w:rsidR="00A230D2" w:rsidRPr="00251A7B" w:rsidRDefault="00A230D2" w:rsidP="005C2414">
            <w:pPr>
              <w:widowControl w:val="0"/>
              <w:rPr>
                <w:rFonts w:ascii="Times New Roman" w:eastAsia="Times New Roman" w:hAnsi="Times New Roman" w:cs="Times New Roman"/>
                <w:sz w:val="18"/>
                <w:szCs w:val="18"/>
              </w:rPr>
            </w:pPr>
            <w:r w:rsidRPr="00251A7B">
              <w:rPr>
                <w:rFonts w:ascii="Times New Roman" w:eastAsia="Times New Roman" w:hAnsi="Times New Roman" w:cs="Times New Roman"/>
                <w:sz w:val="18"/>
                <w:szCs w:val="18"/>
              </w:rPr>
              <w:t>Did the fraction of the population with an identified PCP change?</w:t>
            </w:r>
          </w:p>
        </w:tc>
        <w:tc>
          <w:tcPr>
            <w:tcW w:w="902" w:type="dxa"/>
            <w:noWrap/>
            <w:vAlign w:val="center"/>
            <w:hideMark/>
          </w:tcPr>
          <w:p w14:paraId="5F0F62DF" w14:textId="77777777" w:rsidR="00A230D2" w:rsidRPr="00251A7B" w:rsidRDefault="00A230D2" w:rsidP="005C2414">
            <w:pPr>
              <w:widowControl w:val="0"/>
              <w:tabs>
                <w:tab w:val="left" w:pos="720"/>
                <w:tab w:val="left" w:pos="1080"/>
                <w:tab w:val="left" w:pos="1440"/>
                <w:tab w:val="left" w:pos="1800"/>
              </w:tabs>
              <w:spacing w:line="264" w:lineRule="auto"/>
              <w:jc w:val="center"/>
              <w:rPr>
                <w:rFonts w:ascii="Times New Roman" w:eastAsia="Times New Roman" w:hAnsi="Times New Roman" w:cs="Times New Roman"/>
                <w:sz w:val="18"/>
                <w:szCs w:val="18"/>
              </w:rPr>
            </w:pPr>
          </w:p>
        </w:tc>
        <w:tc>
          <w:tcPr>
            <w:tcW w:w="1049" w:type="dxa"/>
            <w:noWrap/>
            <w:vAlign w:val="center"/>
            <w:hideMark/>
          </w:tcPr>
          <w:p w14:paraId="6C50EBE3" w14:textId="77777777" w:rsidR="00A230D2" w:rsidRPr="00251A7B" w:rsidRDefault="00A230D2" w:rsidP="005C2414">
            <w:pPr>
              <w:widowControl w:val="0"/>
              <w:jc w:val="center"/>
              <w:rPr>
                <w:rFonts w:ascii="Times New Roman" w:eastAsia="Times New Roman" w:hAnsi="Times New Roman" w:cs="Times New Roman"/>
                <w:sz w:val="18"/>
                <w:szCs w:val="18"/>
              </w:rPr>
            </w:pPr>
            <w:r w:rsidRPr="00251A7B">
              <w:rPr>
                <w:rFonts w:ascii="Times New Roman" w:eastAsia="Times New Roman" w:hAnsi="Times New Roman" w:cs="Times New Roman"/>
                <w:sz w:val="18"/>
                <w:szCs w:val="18"/>
              </w:rPr>
              <w:t>X</w:t>
            </w:r>
          </w:p>
        </w:tc>
        <w:tc>
          <w:tcPr>
            <w:tcW w:w="996" w:type="dxa"/>
            <w:noWrap/>
            <w:vAlign w:val="center"/>
            <w:hideMark/>
          </w:tcPr>
          <w:p w14:paraId="77764C5D" w14:textId="77777777" w:rsidR="00A230D2" w:rsidRPr="00251A7B" w:rsidRDefault="00A230D2" w:rsidP="005C2414">
            <w:pPr>
              <w:widowControl w:val="0"/>
              <w:tabs>
                <w:tab w:val="left" w:pos="720"/>
                <w:tab w:val="left" w:pos="1080"/>
                <w:tab w:val="left" w:pos="1440"/>
                <w:tab w:val="left" w:pos="1800"/>
              </w:tabs>
              <w:spacing w:line="264" w:lineRule="auto"/>
              <w:jc w:val="center"/>
              <w:rPr>
                <w:rFonts w:ascii="Times New Roman" w:eastAsia="Times New Roman" w:hAnsi="Times New Roman" w:cs="Times New Roman"/>
                <w:sz w:val="18"/>
                <w:szCs w:val="18"/>
              </w:rPr>
            </w:pPr>
          </w:p>
        </w:tc>
        <w:tc>
          <w:tcPr>
            <w:tcW w:w="783" w:type="dxa"/>
            <w:noWrap/>
            <w:vAlign w:val="center"/>
            <w:hideMark/>
          </w:tcPr>
          <w:p w14:paraId="105C7104" w14:textId="77777777" w:rsidR="00A230D2" w:rsidRPr="00251A7B" w:rsidRDefault="00A230D2" w:rsidP="005C2414">
            <w:pPr>
              <w:widowControl w:val="0"/>
              <w:tabs>
                <w:tab w:val="left" w:pos="720"/>
                <w:tab w:val="left" w:pos="1080"/>
                <w:tab w:val="left" w:pos="1440"/>
                <w:tab w:val="left" w:pos="1800"/>
              </w:tabs>
              <w:spacing w:line="264" w:lineRule="auto"/>
              <w:jc w:val="center"/>
              <w:rPr>
                <w:rFonts w:ascii="Times New Roman" w:eastAsia="Times New Roman" w:hAnsi="Times New Roman" w:cs="Times New Roman"/>
                <w:sz w:val="18"/>
                <w:szCs w:val="18"/>
              </w:rPr>
            </w:pPr>
          </w:p>
        </w:tc>
        <w:tc>
          <w:tcPr>
            <w:tcW w:w="968" w:type="dxa"/>
            <w:tcBorders>
              <w:right w:val="nil"/>
            </w:tcBorders>
            <w:noWrap/>
            <w:vAlign w:val="center"/>
            <w:hideMark/>
          </w:tcPr>
          <w:p w14:paraId="45686937" w14:textId="77777777" w:rsidR="00A230D2" w:rsidRPr="00251A7B" w:rsidRDefault="00A230D2" w:rsidP="005C2414">
            <w:pPr>
              <w:widowControl w:val="0"/>
              <w:jc w:val="center"/>
              <w:rPr>
                <w:rFonts w:ascii="Times New Roman" w:eastAsia="Times New Roman" w:hAnsi="Times New Roman" w:cs="Times New Roman"/>
                <w:sz w:val="18"/>
                <w:szCs w:val="18"/>
              </w:rPr>
            </w:pPr>
            <w:r w:rsidRPr="00251A7B">
              <w:rPr>
                <w:rFonts w:ascii="Times New Roman" w:eastAsia="Times New Roman" w:hAnsi="Times New Roman" w:cs="Times New Roman"/>
                <w:sz w:val="18"/>
                <w:szCs w:val="18"/>
              </w:rPr>
              <w:t>X</w:t>
            </w:r>
          </w:p>
        </w:tc>
      </w:tr>
      <w:tr w:rsidR="00A230D2" w:rsidRPr="006C6EAA" w14:paraId="20515040" w14:textId="77777777" w:rsidTr="005C2414">
        <w:trPr>
          <w:trHeight w:val="315"/>
        </w:trPr>
        <w:tc>
          <w:tcPr>
            <w:tcW w:w="4158" w:type="dxa"/>
            <w:tcBorders>
              <w:left w:val="nil"/>
            </w:tcBorders>
            <w:vAlign w:val="center"/>
            <w:hideMark/>
          </w:tcPr>
          <w:p w14:paraId="7DD6406F" w14:textId="77777777" w:rsidR="00A230D2" w:rsidRPr="00251A7B" w:rsidRDefault="00A230D2" w:rsidP="005C2414">
            <w:pPr>
              <w:widowControl w:val="0"/>
              <w:rPr>
                <w:rFonts w:ascii="Times New Roman" w:eastAsia="Times New Roman" w:hAnsi="Times New Roman" w:cs="Times New Roman"/>
                <w:sz w:val="18"/>
                <w:szCs w:val="18"/>
              </w:rPr>
            </w:pPr>
            <w:r w:rsidRPr="00251A7B">
              <w:rPr>
                <w:rFonts w:ascii="Times New Roman" w:eastAsia="Times New Roman" w:hAnsi="Times New Roman" w:cs="Times New Roman"/>
                <w:sz w:val="18"/>
                <w:szCs w:val="18"/>
              </w:rPr>
              <w:t>Did use of behavioral health care change?</w:t>
            </w:r>
          </w:p>
        </w:tc>
        <w:tc>
          <w:tcPr>
            <w:tcW w:w="902" w:type="dxa"/>
            <w:noWrap/>
            <w:vAlign w:val="center"/>
            <w:hideMark/>
          </w:tcPr>
          <w:p w14:paraId="1F72D69E" w14:textId="77777777" w:rsidR="00A230D2" w:rsidRPr="00251A7B" w:rsidRDefault="00A230D2" w:rsidP="005C2414">
            <w:pPr>
              <w:widowControl w:val="0"/>
              <w:tabs>
                <w:tab w:val="left" w:pos="720"/>
                <w:tab w:val="left" w:pos="1080"/>
                <w:tab w:val="left" w:pos="1440"/>
                <w:tab w:val="left" w:pos="1800"/>
              </w:tabs>
              <w:spacing w:line="264" w:lineRule="auto"/>
              <w:jc w:val="center"/>
              <w:rPr>
                <w:rFonts w:ascii="Times New Roman" w:eastAsia="Times New Roman" w:hAnsi="Times New Roman" w:cs="Times New Roman"/>
                <w:sz w:val="18"/>
                <w:szCs w:val="18"/>
              </w:rPr>
            </w:pPr>
          </w:p>
        </w:tc>
        <w:tc>
          <w:tcPr>
            <w:tcW w:w="1049" w:type="dxa"/>
            <w:noWrap/>
            <w:vAlign w:val="center"/>
            <w:hideMark/>
          </w:tcPr>
          <w:p w14:paraId="13A01B48" w14:textId="77777777" w:rsidR="00A230D2" w:rsidRPr="00251A7B" w:rsidRDefault="00A230D2" w:rsidP="005C2414">
            <w:pPr>
              <w:widowControl w:val="0"/>
              <w:jc w:val="center"/>
              <w:rPr>
                <w:rFonts w:ascii="Times New Roman" w:eastAsia="Times New Roman" w:hAnsi="Times New Roman" w:cs="Times New Roman"/>
                <w:sz w:val="18"/>
                <w:szCs w:val="18"/>
              </w:rPr>
            </w:pPr>
            <w:r w:rsidRPr="00251A7B">
              <w:rPr>
                <w:rFonts w:ascii="Times New Roman" w:eastAsia="Times New Roman" w:hAnsi="Times New Roman" w:cs="Times New Roman"/>
                <w:sz w:val="18"/>
                <w:szCs w:val="18"/>
              </w:rPr>
              <w:t>X</w:t>
            </w:r>
          </w:p>
        </w:tc>
        <w:tc>
          <w:tcPr>
            <w:tcW w:w="996" w:type="dxa"/>
            <w:noWrap/>
            <w:vAlign w:val="center"/>
            <w:hideMark/>
          </w:tcPr>
          <w:p w14:paraId="00434F42" w14:textId="77777777" w:rsidR="00A230D2" w:rsidRPr="00251A7B" w:rsidRDefault="00A230D2" w:rsidP="005C2414">
            <w:pPr>
              <w:widowControl w:val="0"/>
              <w:tabs>
                <w:tab w:val="left" w:pos="720"/>
                <w:tab w:val="left" w:pos="1080"/>
                <w:tab w:val="left" w:pos="1440"/>
                <w:tab w:val="left" w:pos="1800"/>
              </w:tabs>
              <w:spacing w:line="264" w:lineRule="auto"/>
              <w:jc w:val="center"/>
              <w:rPr>
                <w:rFonts w:ascii="Times New Roman" w:eastAsia="Times New Roman" w:hAnsi="Times New Roman" w:cs="Times New Roman"/>
                <w:sz w:val="18"/>
                <w:szCs w:val="18"/>
              </w:rPr>
            </w:pPr>
          </w:p>
        </w:tc>
        <w:tc>
          <w:tcPr>
            <w:tcW w:w="783" w:type="dxa"/>
            <w:noWrap/>
            <w:vAlign w:val="center"/>
            <w:hideMark/>
          </w:tcPr>
          <w:p w14:paraId="31445000" w14:textId="77777777" w:rsidR="00A230D2" w:rsidRPr="00251A7B" w:rsidRDefault="00A230D2" w:rsidP="005C2414">
            <w:pPr>
              <w:widowControl w:val="0"/>
              <w:jc w:val="center"/>
              <w:rPr>
                <w:rFonts w:ascii="Times New Roman" w:eastAsia="Times New Roman" w:hAnsi="Times New Roman" w:cs="Times New Roman"/>
                <w:sz w:val="18"/>
                <w:szCs w:val="18"/>
              </w:rPr>
            </w:pPr>
            <w:r w:rsidRPr="00251A7B">
              <w:rPr>
                <w:rFonts w:ascii="Times New Roman" w:eastAsia="Times New Roman" w:hAnsi="Times New Roman" w:cs="Times New Roman"/>
                <w:sz w:val="18"/>
                <w:szCs w:val="18"/>
              </w:rPr>
              <w:t>X</w:t>
            </w:r>
          </w:p>
        </w:tc>
        <w:tc>
          <w:tcPr>
            <w:tcW w:w="968" w:type="dxa"/>
            <w:tcBorders>
              <w:right w:val="nil"/>
            </w:tcBorders>
            <w:noWrap/>
            <w:vAlign w:val="center"/>
            <w:hideMark/>
          </w:tcPr>
          <w:p w14:paraId="24BDCC3F" w14:textId="77777777" w:rsidR="00A230D2" w:rsidRPr="00251A7B" w:rsidRDefault="00A230D2" w:rsidP="005C2414">
            <w:pPr>
              <w:widowControl w:val="0"/>
              <w:tabs>
                <w:tab w:val="left" w:pos="720"/>
                <w:tab w:val="left" w:pos="1080"/>
                <w:tab w:val="left" w:pos="1440"/>
                <w:tab w:val="left" w:pos="1800"/>
              </w:tabs>
              <w:spacing w:line="264" w:lineRule="auto"/>
              <w:jc w:val="center"/>
              <w:rPr>
                <w:rFonts w:ascii="Times New Roman" w:eastAsia="Times New Roman" w:hAnsi="Times New Roman" w:cs="Times New Roman"/>
                <w:sz w:val="18"/>
                <w:szCs w:val="18"/>
              </w:rPr>
            </w:pPr>
          </w:p>
        </w:tc>
      </w:tr>
    </w:tbl>
    <w:p w14:paraId="6A80660A" w14:textId="77777777" w:rsidR="00A230D2" w:rsidRPr="00712C4B" w:rsidRDefault="00A230D2" w:rsidP="00A230D2">
      <w:pPr>
        <w:widowControl w:val="0"/>
        <w:rPr>
          <w:rFonts w:ascii="Times New Roman" w:eastAsia="Times New Roman" w:hAnsi="Times New Roman" w:cs="Times New Roman"/>
          <w:sz w:val="18"/>
          <w:szCs w:val="20"/>
        </w:rPr>
      </w:pPr>
    </w:p>
    <w:p w14:paraId="5AD76FB6" w14:textId="77777777" w:rsidR="00A230D2" w:rsidRPr="006C6EAA" w:rsidRDefault="00A230D2" w:rsidP="00A230D2">
      <w:pPr>
        <w:rPr>
          <w:rFonts w:ascii="Arial" w:hAnsi="Arial" w:cs="Arial"/>
          <w:b/>
          <w:sz w:val="28"/>
          <w:szCs w:val="28"/>
        </w:rPr>
      </w:pPr>
      <w:r w:rsidRPr="006C6EAA">
        <w:rPr>
          <w:rFonts w:ascii="Arial" w:hAnsi="Arial" w:cs="Arial"/>
          <w:b/>
          <w:sz w:val="28"/>
          <w:szCs w:val="28"/>
        </w:rPr>
        <w:t>A.3.</w:t>
      </w:r>
      <w:r w:rsidRPr="006C6EAA">
        <w:rPr>
          <w:rFonts w:ascii="Arial" w:hAnsi="Arial" w:cs="Arial"/>
          <w:b/>
          <w:sz w:val="28"/>
          <w:szCs w:val="28"/>
        </w:rPr>
        <w:tab/>
        <w:t>Use of Improved Technology and Burden Reduction</w:t>
      </w:r>
    </w:p>
    <w:p w14:paraId="15E59068" w14:textId="77777777" w:rsidR="00A230D2" w:rsidRPr="006C6EAA" w:rsidRDefault="00A230D2" w:rsidP="00A230D2">
      <w:pPr>
        <w:rPr>
          <w:rFonts w:ascii="Times New Roman" w:hAnsi="Times New Roman" w:cs="Times New Roman"/>
        </w:rPr>
      </w:pPr>
    </w:p>
    <w:p w14:paraId="22E19FDA" w14:textId="77777777" w:rsidR="00A230D2" w:rsidRPr="006C6EAA" w:rsidRDefault="00A230D2" w:rsidP="00A230D2">
      <w:pPr>
        <w:rPr>
          <w:rFonts w:ascii="Times New Roman" w:hAnsi="Times New Roman" w:cs="Times New Roman"/>
        </w:rPr>
      </w:pPr>
      <w:r w:rsidRPr="006C6EAA">
        <w:rPr>
          <w:rFonts w:ascii="Times New Roman" w:hAnsi="Times New Roman" w:cs="Times New Roman"/>
        </w:rPr>
        <w:t xml:space="preserve">The two survey-based data collection components of this study (the online surveys of organizations and consumers) </w:t>
      </w:r>
      <w:r w:rsidRPr="00497131">
        <w:rPr>
          <w:rFonts w:ascii="Times New Roman" w:hAnsi="Times New Roman" w:cs="Times New Roman"/>
        </w:rPr>
        <w:t xml:space="preserve">will be administered through </w:t>
      </w:r>
      <w:r w:rsidRPr="006C6EAA">
        <w:rPr>
          <w:rFonts w:ascii="Times New Roman" w:hAnsi="Times New Roman" w:cs="Times New Roman"/>
        </w:rPr>
        <w:t>computer-assisted data collection programs to reduce response burden on respondents. The surveys will be hosted and programmed by DatStat and Knowledge Networks. Both data collection platforms are</w:t>
      </w:r>
      <w:r w:rsidRPr="00497131">
        <w:rPr>
          <w:rFonts w:ascii="Times New Roman" w:hAnsi="Times New Roman" w:cs="Times New Roman"/>
        </w:rPr>
        <w:t xml:space="preserve"> used to help manage the data collection process including questionnaire layout (including skip patterns), sample management, fieldwork monitoring, and final dataset production. The system</w:t>
      </w:r>
      <w:r w:rsidRPr="006C6EAA">
        <w:rPr>
          <w:rFonts w:ascii="Times New Roman" w:hAnsi="Times New Roman" w:cs="Times New Roman"/>
        </w:rPr>
        <w:t xml:space="preserve">s allow a user to begin the survey, save responses, and go back later to complete the remaining items. DatStat and Knowledge Networks also offer an email address and toll-free hotline, which provides technical assistance for respondents. Through both systems, respondents can participate in the survey via the Internet and smart phones. In instances when the Internet is not available, Knowledge Networks can support administration by paper; </w:t>
      </w:r>
      <w:r>
        <w:rPr>
          <w:rFonts w:ascii="Times New Roman" w:hAnsi="Times New Roman" w:cs="Times New Roman"/>
        </w:rPr>
        <w:t>i</w:t>
      </w:r>
      <w:r w:rsidRPr="006C6EAA">
        <w:rPr>
          <w:rFonts w:ascii="Times New Roman" w:hAnsi="Times New Roman" w:cs="Times New Roman"/>
        </w:rPr>
        <w:t>n addition, Knowledge Networks also has capability for phone surveys</w:t>
      </w:r>
      <w:r w:rsidRPr="00497131">
        <w:rPr>
          <w:rFonts w:ascii="Times New Roman" w:hAnsi="Times New Roman" w:cs="Times New Roman"/>
        </w:rPr>
        <w:t xml:space="preserve">. </w:t>
      </w:r>
    </w:p>
    <w:p w14:paraId="44BE3F45" w14:textId="77777777" w:rsidR="00A230D2" w:rsidRPr="006C6EAA" w:rsidRDefault="00A230D2" w:rsidP="00A230D2">
      <w:pPr>
        <w:rPr>
          <w:rFonts w:ascii="Times New Roman" w:hAnsi="Times New Roman" w:cs="Times New Roman"/>
        </w:rPr>
      </w:pPr>
    </w:p>
    <w:p w14:paraId="518E0212" w14:textId="77777777" w:rsidR="00A230D2" w:rsidRPr="006C6EAA" w:rsidRDefault="00A230D2" w:rsidP="00A230D2">
      <w:pPr>
        <w:rPr>
          <w:rFonts w:ascii="Times New Roman" w:hAnsi="Times New Roman" w:cs="Times New Roman"/>
        </w:rPr>
      </w:pPr>
      <w:r w:rsidRPr="006C6EAA">
        <w:rPr>
          <w:rFonts w:ascii="Times New Roman" w:hAnsi="Times New Roman" w:cs="Times New Roman"/>
        </w:rPr>
        <w:t>Because the two surveys are not slated to launch until the following fiscal year (FY18), we are not currently working with either vendor and do not have illustrative screen shots for these surveys. However, both platforms have been in existence for years and fielded countless studies of similar size and scope. As a result, they both provide easy to use interfaces for respondents. Upon OMB request, we can submit screen shots prior to study launch.</w:t>
      </w:r>
    </w:p>
    <w:p w14:paraId="4FF25BBB" w14:textId="77777777" w:rsidR="00A230D2" w:rsidRPr="006C6EAA" w:rsidRDefault="00A230D2" w:rsidP="00A230D2">
      <w:pPr>
        <w:rPr>
          <w:rFonts w:ascii="Times New Roman" w:hAnsi="Times New Roman" w:cs="Times New Roman"/>
        </w:rPr>
      </w:pPr>
    </w:p>
    <w:p w14:paraId="1FB6040E" w14:textId="77777777" w:rsidR="00A230D2" w:rsidRPr="006C6EAA" w:rsidRDefault="00A230D2" w:rsidP="00A230D2">
      <w:pPr>
        <w:rPr>
          <w:rFonts w:ascii="Times New Roman" w:hAnsi="Times New Roman" w:cs="Times New Roman"/>
        </w:rPr>
      </w:pPr>
      <w:r w:rsidRPr="006C6EAA">
        <w:rPr>
          <w:rFonts w:ascii="Times New Roman" w:hAnsi="Times New Roman" w:cs="Times New Roman"/>
        </w:rPr>
        <w:t>The components of this study that involve existing data, focus groups, and stakeholder interviews are not conducive to computerized interviewing.</w:t>
      </w:r>
    </w:p>
    <w:p w14:paraId="24C64EE0" w14:textId="77777777" w:rsidR="00A230D2" w:rsidRPr="006C6EAA" w:rsidRDefault="00A230D2" w:rsidP="00A230D2">
      <w:pPr>
        <w:rPr>
          <w:rFonts w:ascii="Times New Roman" w:hAnsi="Times New Roman" w:cs="Times New Roman"/>
        </w:rPr>
      </w:pPr>
    </w:p>
    <w:p w14:paraId="66CCAD48" w14:textId="77777777" w:rsidR="00A230D2" w:rsidRPr="006C6EAA" w:rsidRDefault="00A230D2" w:rsidP="00A230D2">
      <w:pPr>
        <w:rPr>
          <w:rFonts w:ascii="Arial" w:hAnsi="Arial" w:cs="Arial"/>
          <w:b/>
          <w:sz w:val="28"/>
          <w:szCs w:val="28"/>
        </w:rPr>
      </w:pPr>
      <w:r w:rsidRPr="006C6EAA">
        <w:rPr>
          <w:rFonts w:ascii="Arial" w:hAnsi="Arial" w:cs="Arial"/>
          <w:b/>
          <w:sz w:val="28"/>
          <w:szCs w:val="28"/>
        </w:rPr>
        <w:t>A.4.</w:t>
      </w:r>
      <w:r w:rsidRPr="006C6EAA">
        <w:rPr>
          <w:rFonts w:ascii="Arial" w:hAnsi="Arial" w:cs="Arial"/>
          <w:b/>
          <w:sz w:val="28"/>
          <w:szCs w:val="28"/>
        </w:rPr>
        <w:tab/>
        <w:t>Efforts to Identify Duplication and Use of Similar Information</w:t>
      </w:r>
    </w:p>
    <w:p w14:paraId="55208F0D" w14:textId="77777777" w:rsidR="00A230D2" w:rsidRPr="006C6EAA" w:rsidRDefault="00A230D2" w:rsidP="00A230D2">
      <w:pPr>
        <w:rPr>
          <w:rFonts w:ascii="Times New Roman" w:hAnsi="Times New Roman" w:cs="Times New Roman"/>
        </w:rPr>
      </w:pPr>
    </w:p>
    <w:p w14:paraId="5D1CD524" w14:textId="77777777" w:rsidR="00A230D2" w:rsidRPr="006C6EAA" w:rsidRDefault="00A230D2" w:rsidP="00A230D2">
      <w:pPr>
        <w:tabs>
          <w:tab w:val="left" w:pos="1616"/>
        </w:tabs>
        <w:rPr>
          <w:rFonts w:ascii="Times New Roman" w:hAnsi="Times New Roman" w:cs="Times New Roman"/>
        </w:rPr>
      </w:pPr>
      <w:r w:rsidRPr="006C6EAA">
        <w:rPr>
          <w:rFonts w:ascii="Times New Roman" w:hAnsi="Times New Roman" w:cs="Times New Roman"/>
        </w:rPr>
        <w:t xml:space="preserve">The C2C Evaluation is designed to complement, not duplicate, existing information and to provide information that does not currently exist. For example, the </w:t>
      </w:r>
      <w:r w:rsidRPr="00497131">
        <w:rPr>
          <w:rFonts w:ascii="Times New Roman" w:hAnsi="Times New Roman" w:cs="Times New Roman"/>
        </w:rPr>
        <w:t xml:space="preserve">organizational </w:t>
      </w:r>
      <w:r w:rsidRPr="006C6EAA">
        <w:rPr>
          <w:rFonts w:ascii="Times New Roman" w:hAnsi="Times New Roman" w:cs="Times New Roman"/>
        </w:rPr>
        <w:t xml:space="preserve">survey does not collect information that can be obtained from the CMS OMH product ordering reports. Existing information about program size, location, and types and quantities of products ordered will be matched with the survey data to provide a more complete database. </w:t>
      </w:r>
    </w:p>
    <w:p w14:paraId="3629A3BD" w14:textId="77777777" w:rsidR="00A230D2" w:rsidRPr="006C6EAA" w:rsidRDefault="00A230D2" w:rsidP="00A230D2">
      <w:pPr>
        <w:tabs>
          <w:tab w:val="left" w:pos="1616"/>
        </w:tabs>
        <w:rPr>
          <w:rFonts w:ascii="Times New Roman" w:hAnsi="Times New Roman" w:cs="Times New Roman"/>
        </w:rPr>
      </w:pPr>
    </w:p>
    <w:p w14:paraId="767B6572" w14:textId="77777777" w:rsidR="00A230D2" w:rsidRPr="006C6EAA" w:rsidRDefault="00A230D2" w:rsidP="00A230D2">
      <w:pPr>
        <w:tabs>
          <w:tab w:val="left" w:pos="1616"/>
        </w:tabs>
        <w:rPr>
          <w:rFonts w:ascii="Times New Roman" w:hAnsi="Times New Roman" w:cs="Times New Roman"/>
        </w:rPr>
      </w:pPr>
      <w:r w:rsidRPr="006C6EAA">
        <w:rPr>
          <w:rFonts w:ascii="Times New Roman" w:hAnsi="Times New Roman" w:cs="Times New Roman"/>
        </w:rPr>
        <w:t xml:space="preserve">Similarly, for the consumer survey, we will utilize demographic information collected on an annual basis from Knowledge Networks and will purchase additional data from </w:t>
      </w:r>
      <w:r w:rsidRPr="006C6EAA">
        <w:rPr>
          <w:rFonts w:ascii="Times New Roman" w:hAnsi="Times New Roman" w:cs="Times New Roman"/>
        </w:rPr>
        <w:lastRenderedPageBreak/>
        <w:t>them on characteristics relevant to our study including prior health insurance coverage (see Appendix B for more information on these variables).</w:t>
      </w:r>
    </w:p>
    <w:p w14:paraId="76EFB3CE" w14:textId="77777777" w:rsidR="00A230D2" w:rsidRPr="006C6EAA" w:rsidRDefault="00A230D2" w:rsidP="00A230D2">
      <w:pPr>
        <w:tabs>
          <w:tab w:val="left" w:pos="1616"/>
        </w:tabs>
        <w:rPr>
          <w:rFonts w:ascii="Times New Roman" w:hAnsi="Times New Roman" w:cs="Times New Roman"/>
        </w:rPr>
      </w:pPr>
    </w:p>
    <w:p w14:paraId="64D1ED87" w14:textId="77777777" w:rsidR="00A230D2" w:rsidRDefault="00A230D2" w:rsidP="00A230D2">
      <w:pPr>
        <w:rPr>
          <w:rFonts w:ascii="Times New Roman" w:hAnsi="Times New Roman" w:cs="Times New Roman"/>
        </w:rPr>
      </w:pPr>
      <w:r w:rsidRPr="006C6EAA">
        <w:rPr>
          <w:rFonts w:ascii="Times New Roman" w:hAnsi="Times New Roman" w:cs="Times New Roman"/>
        </w:rPr>
        <w:t xml:space="preserve">In sum, these data collection efforts will provide CMS with comprehensive up-to-date information that is not available from any other source. The resulting data will help to inform future directions of C2C. </w:t>
      </w:r>
    </w:p>
    <w:p w14:paraId="64925272" w14:textId="77777777" w:rsidR="00A230D2" w:rsidRPr="006C6EAA" w:rsidRDefault="00A230D2" w:rsidP="00A230D2">
      <w:pPr>
        <w:rPr>
          <w:rFonts w:ascii="Times New Roman" w:hAnsi="Times New Roman" w:cs="Times New Roman"/>
        </w:rPr>
      </w:pPr>
    </w:p>
    <w:p w14:paraId="5C71C9A9" w14:textId="77777777" w:rsidR="00A230D2" w:rsidRPr="006C6EAA" w:rsidRDefault="00A230D2" w:rsidP="00A230D2">
      <w:pPr>
        <w:rPr>
          <w:rFonts w:ascii="Arial" w:hAnsi="Arial" w:cs="Arial"/>
          <w:b/>
          <w:sz w:val="28"/>
          <w:szCs w:val="28"/>
        </w:rPr>
      </w:pPr>
      <w:r w:rsidRPr="006C6EAA">
        <w:rPr>
          <w:rFonts w:ascii="Arial" w:hAnsi="Arial" w:cs="Arial"/>
          <w:b/>
          <w:sz w:val="28"/>
          <w:szCs w:val="28"/>
        </w:rPr>
        <w:t>A.5.</w:t>
      </w:r>
      <w:r w:rsidRPr="006C6EAA">
        <w:rPr>
          <w:rFonts w:ascii="Arial" w:hAnsi="Arial" w:cs="Arial"/>
          <w:b/>
          <w:sz w:val="28"/>
          <w:szCs w:val="28"/>
        </w:rPr>
        <w:tab/>
        <w:t>Impact on Small Business or Other Small Entities</w:t>
      </w:r>
    </w:p>
    <w:p w14:paraId="145247F7" w14:textId="77777777" w:rsidR="00A230D2" w:rsidRPr="006C6EAA" w:rsidRDefault="00A230D2" w:rsidP="00A230D2">
      <w:pPr>
        <w:rPr>
          <w:rFonts w:ascii="Times New Roman" w:hAnsi="Times New Roman" w:cs="Times New Roman"/>
        </w:rPr>
      </w:pPr>
    </w:p>
    <w:p w14:paraId="339F93F7" w14:textId="77777777" w:rsidR="00A230D2" w:rsidRPr="006C6EAA" w:rsidRDefault="00A230D2" w:rsidP="00A230D2">
      <w:pPr>
        <w:rPr>
          <w:rFonts w:ascii="Times New Roman" w:hAnsi="Times New Roman" w:cs="Times New Roman"/>
        </w:rPr>
      </w:pPr>
      <w:r>
        <w:rPr>
          <w:rFonts w:ascii="Times New Roman" w:hAnsi="Times New Roman" w:cs="Times New Roman"/>
        </w:rPr>
        <w:t xml:space="preserve">The impact on small businesses is minimal. For the survey of organizations, only one person will be asked to complete the survey, and the survey will last no more than 20 minutes. Individuals can complete the survey at a time that is convenient for them (e.g., does not have to be completed during work hours). The study may impact small businesses, but the impact is designed to be minimal and businesses can select their level of involvement. We do anticipate conducting semi-structured interviews with a limited number of staff (not more than 3 per organization). These will be conducted in person, but at a time that is convenient for the individuals that will not impact their workflow. Organizations in the community will also be asked to help spread the word to consumers who may be interested in participating in the focus group, and may also provide meeting space for the focus groups, but this will not be required of organizations and organizations will be compensated for their time and resources used in support of this project. </w:t>
      </w:r>
    </w:p>
    <w:p w14:paraId="0BFC3E47" w14:textId="77777777" w:rsidR="00A230D2" w:rsidRPr="006C6EAA" w:rsidRDefault="00A230D2" w:rsidP="00A230D2">
      <w:pPr>
        <w:rPr>
          <w:rFonts w:ascii="Times New Roman" w:hAnsi="Times New Roman" w:cs="Times New Roman"/>
        </w:rPr>
      </w:pPr>
    </w:p>
    <w:p w14:paraId="66EDF192" w14:textId="77777777" w:rsidR="00A230D2" w:rsidRPr="006C6EAA" w:rsidRDefault="00A230D2" w:rsidP="00A230D2">
      <w:pPr>
        <w:rPr>
          <w:rFonts w:ascii="Arial" w:hAnsi="Arial" w:cs="Arial"/>
          <w:b/>
          <w:sz w:val="28"/>
          <w:szCs w:val="28"/>
        </w:rPr>
      </w:pPr>
      <w:r w:rsidRPr="006C6EAA">
        <w:rPr>
          <w:rFonts w:ascii="Arial" w:hAnsi="Arial" w:cs="Arial"/>
          <w:b/>
          <w:sz w:val="28"/>
          <w:szCs w:val="28"/>
        </w:rPr>
        <w:t>A.6.</w:t>
      </w:r>
      <w:r w:rsidRPr="006C6EAA">
        <w:rPr>
          <w:rFonts w:ascii="Arial" w:hAnsi="Arial" w:cs="Arial"/>
          <w:b/>
          <w:sz w:val="28"/>
          <w:szCs w:val="28"/>
        </w:rPr>
        <w:tab/>
        <w:t>Consequences of Collecting Information Less Frequently</w:t>
      </w:r>
    </w:p>
    <w:p w14:paraId="51596EB1" w14:textId="77777777" w:rsidR="00A230D2" w:rsidRPr="006C6EAA" w:rsidRDefault="00A230D2" w:rsidP="00A230D2">
      <w:pPr>
        <w:rPr>
          <w:rFonts w:ascii="Times New Roman" w:hAnsi="Times New Roman" w:cs="Times New Roman"/>
        </w:rPr>
      </w:pPr>
    </w:p>
    <w:p w14:paraId="6EF8516B" w14:textId="77777777" w:rsidR="00A230D2" w:rsidRPr="006C6EAA" w:rsidRDefault="00A230D2" w:rsidP="00A230D2">
      <w:pPr>
        <w:rPr>
          <w:rFonts w:ascii="Times New Roman" w:hAnsi="Times New Roman" w:cs="Times New Roman"/>
        </w:rPr>
      </w:pPr>
      <w:r w:rsidRPr="00497131">
        <w:rPr>
          <w:rFonts w:ascii="Times New Roman" w:hAnsi="Times New Roman" w:cs="Times New Roman"/>
        </w:rPr>
        <w:t>All study components are</w:t>
      </w:r>
      <w:r w:rsidRPr="006C6EAA">
        <w:rPr>
          <w:rFonts w:ascii="Times New Roman" w:hAnsi="Times New Roman" w:cs="Times New Roman"/>
        </w:rPr>
        <w:t xml:space="preserve"> one-time collection efforts.</w:t>
      </w:r>
    </w:p>
    <w:p w14:paraId="47585CE6" w14:textId="77777777" w:rsidR="00A230D2" w:rsidRPr="006C6EAA" w:rsidRDefault="00A230D2" w:rsidP="00A230D2">
      <w:pPr>
        <w:rPr>
          <w:rFonts w:ascii="Times New Roman" w:hAnsi="Times New Roman" w:cs="Times New Roman"/>
        </w:rPr>
      </w:pPr>
    </w:p>
    <w:p w14:paraId="23F0B41B" w14:textId="77777777" w:rsidR="00A230D2" w:rsidRPr="006C6EAA" w:rsidRDefault="00A230D2" w:rsidP="00A230D2">
      <w:pPr>
        <w:rPr>
          <w:rFonts w:ascii="Arial" w:hAnsi="Arial" w:cs="Arial"/>
          <w:b/>
          <w:sz w:val="28"/>
          <w:szCs w:val="28"/>
        </w:rPr>
      </w:pPr>
      <w:r w:rsidRPr="006C6EAA">
        <w:rPr>
          <w:rFonts w:ascii="Arial" w:hAnsi="Arial" w:cs="Arial"/>
          <w:b/>
          <w:sz w:val="28"/>
          <w:szCs w:val="28"/>
        </w:rPr>
        <w:t>A.7.</w:t>
      </w:r>
      <w:r w:rsidRPr="006C6EAA">
        <w:rPr>
          <w:rFonts w:ascii="Arial" w:hAnsi="Arial" w:cs="Arial"/>
          <w:b/>
          <w:sz w:val="28"/>
          <w:szCs w:val="28"/>
        </w:rPr>
        <w:tab/>
        <w:t>Special Circumstances Relating to the Guidelines of 5 CFR 1320.5</w:t>
      </w:r>
    </w:p>
    <w:p w14:paraId="643A2D66" w14:textId="77777777" w:rsidR="00A230D2" w:rsidRPr="006C6EAA" w:rsidRDefault="00A230D2" w:rsidP="00A230D2">
      <w:pPr>
        <w:rPr>
          <w:rFonts w:ascii="Times New Roman" w:hAnsi="Times New Roman" w:cs="Times New Roman"/>
        </w:rPr>
      </w:pPr>
    </w:p>
    <w:p w14:paraId="26EC87BC" w14:textId="77777777" w:rsidR="00A230D2" w:rsidRPr="006C6EAA" w:rsidRDefault="00A230D2" w:rsidP="00A230D2">
      <w:pPr>
        <w:rPr>
          <w:rFonts w:ascii="Times New Roman" w:hAnsi="Times New Roman" w:cs="Times New Roman"/>
        </w:rPr>
      </w:pPr>
      <w:r w:rsidRPr="006C6EAA">
        <w:rPr>
          <w:rFonts w:ascii="Times New Roman" w:hAnsi="Times New Roman" w:cs="Times New Roman"/>
        </w:rPr>
        <w:t>There are no special circumstances for the proposed data collection.</w:t>
      </w:r>
    </w:p>
    <w:p w14:paraId="5B1FFD6E" w14:textId="77777777" w:rsidR="00A230D2" w:rsidRPr="006C6EAA" w:rsidRDefault="00A230D2" w:rsidP="00A230D2">
      <w:pPr>
        <w:rPr>
          <w:rFonts w:ascii="Times New Roman" w:hAnsi="Times New Roman" w:cs="Times New Roman"/>
        </w:rPr>
      </w:pPr>
    </w:p>
    <w:p w14:paraId="754A3F65" w14:textId="77777777" w:rsidR="00A230D2" w:rsidRPr="006C6EAA" w:rsidRDefault="00A230D2" w:rsidP="00A230D2">
      <w:pPr>
        <w:rPr>
          <w:rFonts w:ascii="Arial" w:hAnsi="Arial" w:cs="Arial"/>
          <w:b/>
          <w:sz w:val="28"/>
          <w:szCs w:val="28"/>
        </w:rPr>
      </w:pPr>
      <w:r w:rsidRPr="006C6EAA">
        <w:rPr>
          <w:rFonts w:ascii="Arial" w:hAnsi="Arial" w:cs="Arial"/>
          <w:b/>
          <w:sz w:val="28"/>
          <w:szCs w:val="28"/>
        </w:rPr>
        <w:t>A.8.</w:t>
      </w:r>
      <w:r w:rsidRPr="006C6EAA">
        <w:rPr>
          <w:rFonts w:ascii="Arial" w:hAnsi="Arial" w:cs="Arial"/>
          <w:b/>
          <w:sz w:val="28"/>
          <w:szCs w:val="28"/>
        </w:rPr>
        <w:tab/>
        <w:t>Comments in Response to the Federal Register Notice and Efforts to Consult Outside the Agency</w:t>
      </w:r>
    </w:p>
    <w:p w14:paraId="3C6F0F1C" w14:textId="77777777" w:rsidR="00A230D2" w:rsidRPr="006C6EAA" w:rsidRDefault="00A230D2" w:rsidP="00A230D2">
      <w:pPr>
        <w:rPr>
          <w:rFonts w:ascii="Times New Roman" w:hAnsi="Times New Roman" w:cs="Times New Roman"/>
        </w:rPr>
      </w:pPr>
    </w:p>
    <w:p w14:paraId="4AE99DCB" w14:textId="725453BD" w:rsidR="00A230D2" w:rsidRPr="006C6EAA" w:rsidRDefault="00A230D2" w:rsidP="00260524">
      <w:pPr>
        <w:rPr>
          <w:rFonts w:ascii="Times New Roman" w:hAnsi="Times New Roman" w:cs="Times New Roman"/>
          <w:bCs/>
        </w:rPr>
      </w:pPr>
      <w:r w:rsidRPr="006C6EAA">
        <w:rPr>
          <w:rFonts w:ascii="Times New Roman" w:hAnsi="Times New Roman" w:cs="Times New Roman"/>
          <w:bCs/>
        </w:rPr>
        <w:t xml:space="preserve">In accordance with the Paperwork Reduction Act of 1995 (Pub. L. 104-13) and Office of Management and Budget (OMB) regulations at 5 CFR Park 1320 (60 FR 44978, August 29, 1995), </w:t>
      </w:r>
      <w:r w:rsidRPr="00497131">
        <w:rPr>
          <w:rFonts w:ascii="Times New Roman" w:hAnsi="Times New Roman" w:cs="Times New Roman"/>
          <w:bCs/>
        </w:rPr>
        <w:t>CMS</w:t>
      </w:r>
      <w:r w:rsidRPr="006C6EAA">
        <w:rPr>
          <w:rFonts w:ascii="Times New Roman" w:hAnsi="Times New Roman" w:cs="Times New Roman"/>
          <w:bCs/>
        </w:rPr>
        <w:t xml:space="preserve"> published a notice in the Federal Register announcing the agency’s intention to request an OMB review of this information collection activity.</w:t>
      </w:r>
      <w:r w:rsidR="00260524">
        <w:rPr>
          <w:rFonts w:ascii="Times New Roman" w:hAnsi="Times New Roman" w:cs="Times New Roman"/>
          <w:bCs/>
        </w:rPr>
        <w:t xml:space="preserve"> The 60-day Federal Register notice published on November 2, 2016 (81 FR 76538). No public comments were received.</w:t>
      </w:r>
      <w:r w:rsidRPr="006C6EAA">
        <w:rPr>
          <w:rFonts w:ascii="Times New Roman" w:hAnsi="Times New Roman" w:cs="Times New Roman"/>
          <w:bCs/>
        </w:rPr>
        <w:t xml:space="preserve"> </w:t>
      </w:r>
    </w:p>
    <w:p w14:paraId="7F575C71" w14:textId="77777777" w:rsidR="00A230D2" w:rsidRPr="00497131" w:rsidRDefault="00A230D2" w:rsidP="00A230D2">
      <w:pPr>
        <w:rPr>
          <w:rFonts w:ascii="Times New Roman" w:hAnsi="Times New Roman" w:cs="Times New Roman"/>
          <w:bCs/>
        </w:rPr>
      </w:pPr>
    </w:p>
    <w:p w14:paraId="55826A3D" w14:textId="0C91A675" w:rsidR="00A230D2" w:rsidRPr="006C6EAA" w:rsidRDefault="00A230D2" w:rsidP="00A230D2">
      <w:pPr>
        <w:rPr>
          <w:rFonts w:ascii="Times New Roman" w:hAnsi="Times New Roman" w:cs="Times New Roman"/>
          <w:bCs/>
        </w:rPr>
      </w:pPr>
      <w:r w:rsidRPr="006C6EAA">
        <w:rPr>
          <w:rFonts w:ascii="Times New Roman" w:hAnsi="Times New Roman" w:cs="Times New Roman"/>
          <w:bCs/>
        </w:rPr>
        <w:t>During the planning year, the study team interviewed six organizations and three consumers about the study approach and topics for inclusion. Their feedback helped to shape the evaluation design. Once the protocols were developed, three organizations were consulted through cognitive interviews to obtain their input on the clarity of the online survey instrument for organizations and to get their feedback on any potential issues associated</w:t>
      </w:r>
      <w:r w:rsidRPr="00497131">
        <w:rPr>
          <w:rFonts w:ascii="Times New Roman" w:hAnsi="Times New Roman" w:cs="Times New Roman"/>
          <w:bCs/>
        </w:rPr>
        <w:t xml:space="preserve"> with completing the survey. </w:t>
      </w:r>
      <w:r w:rsidR="003E2CFA">
        <w:rPr>
          <w:rFonts w:ascii="Times New Roman" w:hAnsi="Times New Roman" w:cs="Times New Roman"/>
          <w:bCs/>
        </w:rPr>
        <w:t>During the 60</w:t>
      </w:r>
      <w:r w:rsidR="00D64974">
        <w:rPr>
          <w:rFonts w:ascii="Times New Roman" w:hAnsi="Times New Roman" w:cs="Times New Roman"/>
          <w:bCs/>
        </w:rPr>
        <w:t>-</w:t>
      </w:r>
      <w:r w:rsidR="003E2CFA">
        <w:rPr>
          <w:rFonts w:ascii="Times New Roman" w:hAnsi="Times New Roman" w:cs="Times New Roman"/>
          <w:bCs/>
        </w:rPr>
        <w:t>day comment period, t</w:t>
      </w:r>
      <w:r w:rsidRPr="00497131">
        <w:rPr>
          <w:rFonts w:ascii="Times New Roman" w:hAnsi="Times New Roman" w:cs="Times New Roman"/>
          <w:bCs/>
        </w:rPr>
        <w:t>he draft survey instruments and interview protocols were revised to reflect this feedback.</w:t>
      </w:r>
    </w:p>
    <w:p w14:paraId="07328480" w14:textId="77777777" w:rsidR="00A230D2" w:rsidRPr="00497131" w:rsidRDefault="00A230D2" w:rsidP="00A230D2">
      <w:pPr>
        <w:rPr>
          <w:rFonts w:ascii="Times New Roman" w:hAnsi="Times New Roman" w:cs="Times New Roman"/>
        </w:rPr>
      </w:pPr>
    </w:p>
    <w:p w14:paraId="3811C9EA" w14:textId="77777777" w:rsidR="00A230D2" w:rsidRPr="006C6EAA" w:rsidRDefault="00A230D2" w:rsidP="00A230D2">
      <w:pPr>
        <w:rPr>
          <w:rFonts w:ascii="Arial" w:hAnsi="Arial" w:cs="Arial"/>
          <w:b/>
          <w:sz w:val="28"/>
          <w:szCs w:val="28"/>
        </w:rPr>
      </w:pPr>
      <w:r w:rsidRPr="006C6EAA">
        <w:rPr>
          <w:rFonts w:ascii="Arial" w:hAnsi="Arial" w:cs="Arial"/>
          <w:b/>
          <w:sz w:val="28"/>
          <w:szCs w:val="28"/>
        </w:rPr>
        <w:lastRenderedPageBreak/>
        <w:t>A.9.</w:t>
      </w:r>
      <w:r w:rsidRPr="006C6EAA">
        <w:rPr>
          <w:rFonts w:ascii="Arial" w:hAnsi="Arial" w:cs="Arial"/>
          <w:b/>
          <w:sz w:val="28"/>
          <w:szCs w:val="28"/>
        </w:rPr>
        <w:tab/>
        <w:t>Explanation of Any Payment or Gift to Respondents</w:t>
      </w:r>
    </w:p>
    <w:p w14:paraId="1D7BDE51" w14:textId="77777777" w:rsidR="00A230D2" w:rsidRPr="006C6EAA" w:rsidRDefault="00A230D2" w:rsidP="00A230D2">
      <w:pPr>
        <w:rPr>
          <w:rFonts w:ascii="Times New Roman" w:hAnsi="Times New Roman" w:cs="Times New Roman"/>
        </w:rPr>
      </w:pPr>
    </w:p>
    <w:p w14:paraId="340C87C4" w14:textId="77777777" w:rsidR="00A230D2" w:rsidRPr="006C6EAA" w:rsidRDefault="00A230D2" w:rsidP="00A230D2">
      <w:pPr>
        <w:rPr>
          <w:rFonts w:ascii="Times New Roman" w:hAnsi="Times New Roman" w:cs="Times New Roman"/>
        </w:rPr>
      </w:pPr>
      <w:r w:rsidRPr="00497131">
        <w:rPr>
          <w:rFonts w:ascii="Times New Roman" w:hAnsi="Times New Roman" w:cs="Times New Roman"/>
        </w:rPr>
        <w:t>Incentives for web surveys have been found to reduce refusals, i</w:t>
      </w:r>
      <w:r w:rsidRPr="006C6EAA">
        <w:rPr>
          <w:rFonts w:ascii="Times New Roman" w:hAnsi="Times New Roman" w:cs="Times New Roman"/>
        </w:rPr>
        <w:t>ncrease the odds ratio of starting (1.19), and completion (1.27).</w:t>
      </w:r>
      <w:r w:rsidRPr="006C6EAA">
        <w:rPr>
          <w:rStyle w:val="FootnoteReference"/>
          <w:rFonts w:ascii="Times New Roman" w:hAnsi="Times New Roman" w:cs="Times New Roman"/>
        </w:rPr>
        <w:footnoteReference w:id="2"/>
      </w:r>
      <w:r w:rsidRPr="006C6EAA">
        <w:rPr>
          <w:rFonts w:ascii="Times New Roman" w:hAnsi="Times New Roman" w:cs="Times New Roman"/>
        </w:rPr>
        <w:t xml:space="preserve"> While incentives may affect sample composition, they have not been found to affect response quality. Incentives have also been found to increase response rates without introducing response bias.</w:t>
      </w:r>
      <w:r w:rsidRPr="006C6EAA">
        <w:rPr>
          <w:rStyle w:val="FootnoteReference"/>
          <w:rFonts w:ascii="Times New Roman" w:hAnsi="Times New Roman" w:cs="Times New Roman"/>
        </w:rPr>
        <w:footnoteReference w:id="3"/>
      </w:r>
    </w:p>
    <w:p w14:paraId="5FC148D6" w14:textId="77777777" w:rsidR="00A230D2" w:rsidRPr="006C6EAA" w:rsidRDefault="00A230D2" w:rsidP="00A230D2">
      <w:pPr>
        <w:rPr>
          <w:rFonts w:ascii="Times New Roman" w:hAnsi="Times New Roman" w:cs="Times New Roman"/>
        </w:rPr>
      </w:pPr>
    </w:p>
    <w:p w14:paraId="15142365" w14:textId="44B57158" w:rsidR="00A230D2" w:rsidRPr="006C6EAA" w:rsidRDefault="00A230D2" w:rsidP="00A230D2">
      <w:pPr>
        <w:rPr>
          <w:rFonts w:ascii="Times New Roman" w:hAnsi="Times New Roman" w:cs="Times New Roman"/>
        </w:rPr>
      </w:pPr>
      <w:r w:rsidRPr="006C6EAA">
        <w:rPr>
          <w:rFonts w:ascii="Times New Roman" w:hAnsi="Times New Roman" w:cs="Times New Roman"/>
        </w:rPr>
        <w:t xml:space="preserve">For the </w:t>
      </w:r>
      <w:r w:rsidRPr="00B3492A">
        <w:rPr>
          <w:rFonts w:ascii="Times New Roman" w:hAnsi="Times New Roman"/>
          <w:u w:val="single"/>
        </w:rPr>
        <w:t>organizational survey</w:t>
      </w:r>
      <w:r w:rsidRPr="006C6EAA">
        <w:rPr>
          <w:rFonts w:ascii="Times New Roman" w:hAnsi="Times New Roman" w:cs="Times New Roman"/>
        </w:rPr>
        <w:t xml:space="preserve">, we plan to give $25 to the person completing the survey as incentive for participation. Respondents to the </w:t>
      </w:r>
      <w:r w:rsidRPr="00B3492A">
        <w:rPr>
          <w:rFonts w:ascii="Times New Roman" w:hAnsi="Times New Roman"/>
          <w:u w:val="single"/>
        </w:rPr>
        <w:t>consumer survey</w:t>
      </w:r>
      <w:r w:rsidRPr="006C6EAA">
        <w:rPr>
          <w:rFonts w:ascii="Times New Roman" w:hAnsi="Times New Roman" w:cs="Times New Roman"/>
        </w:rPr>
        <w:t xml:space="preserve"> will receive</w:t>
      </w:r>
      <w:r w:rsidRPr="00497131">
        <w:rPr>
          <w:rFonts w:ascii="Times New Roman" w:hAnsi="Times New Roman" w:cs="Times New Roman"/>
          <w:bCs/>
        </w:rPr>
        <w:t xml:space="preserve"> points for each survey they complete. </w:t>
      </w:r>
      <w:r>
        <w:rPr>
          <w:rFonts w:ascii="Times New Roman" w:hAnsi="Times New Roman" w:cs="Times New Roman"/>
          <w:bCs/>
        </w:rPr>
        <w:t>We will work with GfK, who run the Knowledge Networks Panel, to determine the actual point value for the survey. We anticipate the point value to be between 5,000 and 10,000 points, which roughly equates to $5 to $10 depending on the type of award selected by respondents when redeeming.</w:t>
      </w:r>
      <w:r w:rsidRPr="00497131">
        <w:rPr>
          <w:rFonts w:ascii="Times New Roman" w:hAnsi="Times New Roman" w:cs="Times New Roman"/>
          <w:bCs/>
        </w:rPr>
        <w:t xml:space="preserve"> Points can be redeemed for </w:t>
      </w:r>
      <w:r>
        <w:rPr>
          <w:rFonts w:ascii="Times New Roman" w:hAnsi="Times New Roman" w:cs="Times New Roman"/>
          <w:bCs/>
        </w:rPr>
        <w:t>cash, merchandis</w:t>
      </w:r>
      <w:r w:rsidRPr="006C6EAA">
        <w:rPr>
          <w:rFonts w:ascii="Times New Roman" w:hAnsi="Times New Roman" w:cs="Times New Roman"/>
          <w:bCs/>
        </w:rPr>
        <w:t xml:space="preserve">e, gift cards, or game entries. </w:t>
      </w:r>
      <w:r w:rsidRPr="006C6EAA">
        <w:rPr>
          <w:rFonts w:ascii="Times New Roman" w:hAnsi="Times New Roman" w:cs="Times New Roman"/>
        </w:rPr>
        <w:t xml:space="preserve">For the </w:t>
      </w:r>
      <w:r w:rsidRPr="00B3492A">
        <w:rPr>
          <w:rFonts w:ascii="Times New Roman" w:hAnsi="Times New Roman"/>
          <w:u w:val="single"/>
        </w:rPr>
        <w:t>case studies</w:t>
      </w:r>
      <w:r w:rsidRPr="006C6EAA">
        <w:rPr>
          <w:rFonts w:ascii="Times New Roman" w:hAnsi="Times New Roman" w:cs="Times New Roman"/>
        </w:rPr>
        <w:t xml:space="preserve">, we plan to offer organizations </w:t>
      </w:r>
      <w:r>
        <w:rPr>
          <w:rFonts w:ascii="Times New Roman" w:hAnsi="Times New Roman" w:cs="Times New Roman"/>
        </w:rPr>
        <w:t>that</w:t>
      </w:r>
      <w:r w:rsidRPr="006C6EAA">
        <w:rPr>
          <w:rFonts w:ascii="Times New Roman" w:hAnsi="Times New Roman" w:cs="Times New Roman"/>
        </w:rPr>
        <w:t xml:space="preserve"> assist us </w:t>
      </w:r>
      <w:r>
        <w:rPr>
          <w:rFonts w:ascii="Times New Roman" w:hAnsi="Times New Roman" w:cs="Times New Roman"/>
        </w:rPr>
        <w:t>up to $250</w:t>
      </w:r>
      <w:r w:rsidRPr="006C6EAA">
        <w:rPr>
          <w:rFonts w:ascii="Times New Roman" w:hAnsi="Times New Roman" w:cs="Times New Roman"/>
        </w:rPr>
        <w:t xml:space="preserve"> to cover the</w:t>
      </w:r>
      <w:r>
        <w:rPr>
          <w:rFonts w:ascii="Times New Roman" w:hAnsi="Times New Roman" w:cs="Times New Roman"/>
        </w:rPr>
        <w:t>ir</w:t>
      </w:r>
      <w:r w:rsidRPr="006C6EAA">
        <w:rPr>
          <w:rFonts w:ascii="Times New Roman" w:hAnsi="Times New Roman" w:cs="Times New Roman"/>
        </w:rPr>
        <w:t xml:space="preserve"> time</w:t>
      </w:r>
      <w:r>
        <w:rPr>
          <w:rFonts w:ascii="Times New Roman" w:hAnsi="Times New Roman" w:cs="Times New Roman"/>
        </w:rPr>
        <w:t xml:space="preserve"> and resources required to assist us with </w:t>
      </w:r>
      <w:r w:rsidRPr="006C6EAA">
        <w:rPr>
          <w:rFonts w:ascii="Times New Roman" w:hAnsi="Times New Roman" w:cs="Times New Roman"/>
        </w:rPr>
        <w:t>the identification and recruitment of consumers, and rental of facilities to hold the focus group.</w:t>
      </w:r>
      <w:r>
        <w:rPr>
          <w:rFonts w:ascii="Times New Roman" w:hAnsi="Times New Roman" w:cs="Times New Roman"/>
        </w:rPr>
        <w:t xml:space="preserve"> The actual dollar amount will be commensurate with the level of effort. The exact dollar amount will be based on their level of involvement.</w:t>
      </w:r>
      <w:r w:rsidRPr="006C6EAA">
        <w:rPr>
          <w:rFonts w:ascii="Times New Roman" w:hAnsi="Times New Roman" w:cs="Times New Roman"/>
        </w:rPr>
        <w:t xml:space="preserve"> </w:t>
      </w:r>
      <w:r>
        <w:rPr>
          <w:rFonts w:ascii="Times New Roman" w:hAnsi="Times New Roman" w:cs="Times New Roman"/>
        </w:rPr>
        <w:t>Participants who complete a semi-structured interview and c</w:t>
      </w:r>
      <w:r w:rsidRPr="006C6EAA">
        <w:rPr>
          <w:rFonts w:ascii="Times New Roman" w:hAnsi="Times New Roman" w:cs="Times New Roman"/>
        </w:rPr>
        <w:t xml:space="preserve">onsumers who participate in the focus group will </w:t>
      </w:r>
      <w:r>
        <w:rPr>
          <w:rFonts w:ascii="Times New Roman" w:hAnsi="Times New Roman" w:cs="Times New Roman"/>
        </w:rPr>
        <w:t xml:space="preserve">also </w:t>
      </w:r>
      <w:r w:rsidRPr="006C6EAA">
        <w:rPr>
          <w:rFonts w:ascii="Times New Roman" w:hAnsi="Times New Roman" w:cs="Times New Roman"/>
        </w:rPr>
        <w:t xml:space="preserve">receive </w:t>
      </w:r>
      <w:r>
        <w:rPr>
          <w:rFonts w:ascii="Times New Roman" w:hAnsi="Times New Roman" w:cs="Times New Roman"/>
        </w:rPr>
        <w:t>financial incentives</w:t>
      </w:r>
      <w:r w:rsidRPr="006C6EAA">
        <w:rPr>
          <w:rFonts w:ascii="Times New Roman" w:hAnsi="Times New Roman" w:cs="Times New Roman"/>
        </w:rPr>
        <w:t>.</w:t>
      </w:r>
      <w:r>
        <w:rPr>
          <w:rFonts w:ascii="Times New Roman" w:hAnsi="Times New Roman" w:cs="Times New Roman"/>
        </w:rPr>
        <w:t xml:space="preserve"> The exact dollar amount of these incentives will be decided upon once the location of the case study site is selected but will not exceed $75 per person. We will select a dollar amount that is reasonable and reflective of the cost of living in the area (e.g., to cover transportation, child care) but not too high as to be considered coercive.</w:t>
      </w:r>
    </w:p>
    <w:p w14:paraId="409E9183" w14:textId="77777777" w:rsidR="00A230D2" w:rsidRPr="00497131" w:rsidRDefault="00A230D2" w:rsidP="00A230D2">
      <w:pPr>
        <w:rPr>
          <w:rFonts w:ascii="Times New Roman" w:hAnsi="Times New Roman" w:cs="Times New Roman"/>
        </w:rPr>
      </w:pPr>
    </w:p>
    <w:p w14:paraId="1E4134CB" w14:textId="77777777" w:rsidR="00A230D2" w:rsidRPr="006C6EAA" w:rsidRDefault="00A230D2" w:rsidP="00A230D2">
      <w:pPr>
        <w:rPr>
          <w:rFonts w:ascii="Arial" w:hAnsi="Arial" w:cs="Arial"/>
          <w:b/>
          <w:sz w:val="28"/>
          <w:szCs w:val="28"/>
        </w:rPr>
      </w:pPr>
      <w:r w:rsidRPr="006C6EAA">
        <w:rPr>
          <w:rFonts w:ascii="Arial" w:hAnsi="Arial" w:cs="Arial"/>
          <w:b/>
          <w:sz w:val="28"/>
          <w:szCs w:val="28"/>
        </w:rPr>
        <w:t>A.10.</w:t>
      </w:r>
      <w:r w:rsidRPr="006C6EAA">
        <w:rPr>
          <w:rFonts w:ascii="Arial" w:hAnsi="Arial" w:cs="Arial"/>
          <w:b/>
          <w:sz w:val="28"/>
          <w:szCs w:val="28"/>
        </w:rPr>
        <w:tab/>
        <w:t>Assurance of Privacy Provided to Respondents</w:t>
      </w:r>
    </w:p>
    <w:p w14:paraId="4693204B" w14:textId="77777777" w:rsidR="00A230D2" w:rsidRPr="006C6EAA" w:rsidRDefault="00A230D2" w:rsidP="00A230D2">
      <w:pPr>
        <w:rPr>
          <w:rFonts w:ascii="Times New Roman" w:hAnsi="Times New Roman" w:cs="Times New Roman"/>
        </w:rPr>
      </w:pPr>
    </w:p>
    <w:p w14:paraId="154AC134" w14:textId="77777777" w:rsidR="00A230D2" w:rsidRPr="006C6EAA" w:rsidRDefault="00A230D2" w:rsidP="00A230D2">
      <w:pPr>
        <w:rPr>
          <w:rFonts w:ascii="Times New Roman" w:hAnsi="Times New Roman" w:cs="Times New Roman"/>
        </w:rPr>
      </w:pPr>
      <w:r w:rsidRPr="00497131">
        <w:rPr>
          <w:rFonts w:ascii="Times New Roman" w:hAnsi="Times New Roman" w:cs="Times New Roman"/>
        </w:rPr>
        <w:t>All persons who participate in this data collection, either through the web survey or the focus group, will be assured that the personally identifiable information they provide will be kept private to</w:t>
      </w:r>
      <w:r w:rsidRPr="006C6EAA">
        <w:rPr>
          <w:rFonts w:ascii="Times New Roman" w:hAnsi="Times New Roman" w:cs="Times New Roman"/>
        </w:rPr>
        <w:t xml:space="preserve"> the fullest extent allowed by law. Informed consent from participants will be obtained to ensure that they understand the nature of the research being conducted and their rights as survey respondents. Respondents who have questions about the consent statement or other aspects of the study will be instructed to call the RAND principal investigators or the administrator of RAND’s Institutional Review Board.</w:t>
      </w:r>
    </w:p>
    <w:p w14:paraId="6FE2A734" w14:textId="77777777" w:rsidR="00A230D2" w:rsidRPr="006C6EAA" w:rsidRDefault="00A230D2" w:rsidP="00A230D2">
      <w:pPr>
        <w:rPr>
          <w:rFonts w:ascii="Times New Roman" w:hAnsi="Times New Roman" w:cs="Times New Roman"/>
        </w:rPr>
      </w:pPr>
    </w:p>
    <w:p w14:paraId="65356263" w14:textId="77777777" w:rsidR="00A230D2" w:rsidRPr="006C6EAA" w:rsidRDefault="00A230D2" w:rsidP="00A230D2">
      <w:pPr>
        <w:rPr>
          <w:rFonts w:ascii="Times New Roman" w:hAnsi="Times New Roman" w:cs="Times New Roman"/>
        </w:rPr>
      </w:pPr>
      <w:r w:rsidRPr="006C6EAA">
        <w:rPr>
          <w:rFonts w:ascii="Times New Roman" w:hAnsi="Times New Roman" w:cs="Times New Roman"/>
        </w:rPr>
        <w:t xml:space="preserve">For both online surveys, the consent script will appear on an introductory screen and the survey will only continue after the respondent has given his or her consent to participate. For those participating in the focus group or semi-structured interviews as part of the case study, the consent script will be read in the appropriate language as part of the introduction to the discussion and the group facilitator will not proceed unless oral consent is given. These consent scripts are included as part of the survey instruments and focus group protocols provided in Appendices A, B, C, and D. </w:t>
      </w:r>
    </w:p>
    <w:p w14:paraId="4C0C4A67" w14:textId="77777777" w:rsidR="00A230D2" w:rsidRPr="006C6EAA" w:rsidRDefault="00A230D2" w:rsidP="00A230D2">
      <w:pPr>
        <w:rPr>
          <w:rFonts w:ascii="Times New Roman" w:hAnsi="Times New Roman" w:cs="Times New Roman"/>
        </w:rPr>
      </w:pPr>
    </w:p>
    <w:p w14:paraId="0E8F347A" w14:textId="77777777" w:rsidR="00A230D2" w:rsidRPr="006C6EAA" w:rsidRDefault="00A230D2" w:rsidP="00A230D2">
      <w:pPr>
        <w:rPr>
          <w:rFonts w:ascii="Times New Roman" w:hAnsi="Times New Roman" w:cs="Times New Roman"/>
        </w:rPr>
      </w:pPr>
      <w:r w:rsidRPr="006C6EAA">
        <w:rPr>
          <w:rFonts w:ascii="Times New Roman" w:hAnsi="Times New Roman" w:cs="Times New Roman"/>
        </w:rPr>
        <w:t>The study will have a Data Safeguarding Plan to further ensure the privacy of the information that is collected. For the organizational survey, RAND will assign a data ID to each respondent that will enable us to link survey responses with known infor</w:t>
      </w:r>
      <w:r w:rsidRPr="006C6EAA">
        <w:rPr>
          <w:rFonts w:ascii="Times New Roman" w:hAnsi="Times New Roman" w:cs="Times New Roman"/>
        </w:rPr>
        <w:lastRenderedPageBreak/>
        <w:t xml:space="preserve">mation about the organization and </w:t>
      </w:r>
      <w:r w:rsidRPr="00497131">
        <w:rPr>
          <w:rFonts w:ascii="Times New Roman" w:hAnsi="Times New Roman" w:cs="Times New Roman"/>
        </w:rPr>
        <w:t xml:space="preserve">history of </w:t>
      </w:r>
      <w:r w:rsidRPr="006C6EAA">
        <w:rPr>
          <w:rFonts w:ascii="Times New Roman" w:hAnsi="Times New Roman" w:cs="Times New Roman"/>
        </w:rPr>
        <w:t xml:space="preserve">product orders. Neither names of respondents nor any other kinds of personal identifiers of the respondent will appear in the survey or interview data. The consumer survey is administered by Knowledge Networks. After the survey has been fielded, Knowledge Networks will send RAND the data that has been stripped of any information that would identify the respondent, per their standard protocols. Personally identifying information is never revealed to clients (i.e. the RAND Corporation) or other external parties without explicit </w:t>
      </w:r>
      <w:r w:rsidRPr="00497131">
        <w:rPr>
          <w:rFonts w:ascii="Times New Roman" w:hAnsi="Times New Roman" w:cs="Times New Roman"/>
        </w:rPr>
        <w:t>respondent approval and a client-signed nondisclosure agreement. RAND will not have access to any identifying information</w:t>
      </w:r>
      <w:r w:rsidRPr="006C6EAA">
        <w:rPr>
          <w:rFonts w:ascii="Times New Roman" w:hAnsi="Times New Roman" w:cs="Times New Roman"/>
        </w:rPr>
        <w:t xml:space="preserve">, thus participant confidentiality will be maintained. For the case study, </w:t>
      </w:r>
      <w:r>
        <w:rPr>
          <w:rFonts w:ascii="Times New Roman" w:hAnsi="Times New Roman" w:cs="Times New Roman"/>
        </w:rPr>
        <w:t>d</w:t>
      </w:r>
      <w:r w:rsidRPr="006C6EAA">
        <w:rPr>
          <w:rFonts w:ascii="Times New Roman" w:hAnsi="Times New Roman" w:cs="Times New Roman"/>
        </w:rPr>
        <w:t>ata collection forms and notes will have an ID to indicate organization but they will not include information on the staff member(s) we meet with.</w:t>
      </w:r>
    </w:p>
    <w:p w14:paraId="26DCE4BE" w14:textId="77777777" w:rsidR="00A230D2" w:rsidRPr="00497131" w:rsidRDefault="00A230D2" w:rsidP="00A230D2">
      <w:pPr>
        <w:rPr>
          <w:rFonts w:ascii="Times New Roman" w:hAnsi="Times New Roman" w:cs="Times New Roman"/>
        </w:rPr>
      </w:pPr>
    </w:p>
    <w:p w14:paraId="03401E40" w14:textId="77777777" w:rsidR="00A230D2" w:rsidRPr="006C6EAA" w:rsidRDefault="00A230D2" w:rsidP="00A230D2">
      <w:pPr>
        <w:rPr>
          <w:rFonts w:ascii="Times New Roman" w:hAnsi="Times New Roman" w:cs="Times New Roman"/>
        </w:rPr>
      </w:pPr>
      <w:r w:rsidRPr="006C6EAA">
        <w:rPr>
          <w:rFonts w:ascii="Times New Roman" w:hAnsi="Times New Roman" w:cs="Times New Roman"/>
        </w:rPr>
        <w:t>All participants will be informed as part of the consent process that their participation in this study will be kept confidential and that the information received will be aggregated prior to presenting it to CMS. If any quotations are used in reports, they will not be attributable to a specific individual or organization.</w:t>
      </w:r>
    </w:p>
    <w:p w14:paraId="4DD52CD4" w14:textId="77777777" w:rsidR="00A230D2" w:rsidRPr="006C6EAA" w:rsidRDefault="00A230D2" w:rsidP="00A230D2">
      <w:pPr>
        <w:rPr>
          <w:rFonts w:ascii="Times New Roman" w:hAnsi="Times New Roman" w:cs="Times New Roman"/>
        </w:rPr>
      </w:pPr>
    </w:p>
    <w:p w14:paraId="0625A7F9" w14:textId="77777777" w:rsidR="00A230D2" w:rsidRPr="006C6EAA" w:rsidRDefault="00A230D2" w:rsidP="00A230D2">
      <w:pPr>
        <w:rPr>
          <w:rFonts w:ascii="Arial" w:hAnsi="Arial" w:cs="Arial"/>
          <w:b/>
          <w:sz w:val="28"/>
          <w:szCs w:val="28"/>
        </w:rPr>
      </w:pPr>
      <w:r w:rsidRPr="006C6EAA">
        <w:rPr>
          <w:rFonts w:ascii="Arial" w:hAnsi="Arial" w:cs="Arial"/>
          <w:b/>
          <w:sz w:val="28"/>
          <w:szCs w:val="28"/>
        </w:rPr>
        <w:t>A.11.</w:t>
      </w:r>
      <w:r w:rsidRPr="006C6EAA">
        <w:rPr>
          <w:rFonts w:ascii="Arial" w:hAnsi="Arial" w:cs="Arial"/>
          <w:b/>
          <w:sz w:val="28"/>
          <w:szCs w:val="28"/>
        </w:rPr>
        <w:tab/>
        <w:t>Justification for Sensitive Questions</w:t>
      </w:r>
    </w:p>
    <w:p w14:paraId="6DA9B599" w14:textId="77777777" w:rsidR="00A230D2" w:rsidRPr="006C6EAA" w:rsidRDefault="00A230D2" w:rsidP="00A230D2">
      <w:pPr>
        <w:rPr>
          <w:rFonts w:ascii="Times New Roman" w:hAnsi="Times New Roman" w:cs="Times New Roman"/>
        </w:rPr>
      </w:pPr>
    </w:p>
    <w:p w14:paraId="22A8ACFD" w14:textId="77777777" w:rsidR="00A230D2" w:rsidRPr="006C6EAA" w:rsidRDefault="00A230D2" w:rsidP="00A230D2">
      <w:pPr>
        <w:rPr>
          <w:rFonts w:ascii="Times New Roman" w:hAnsi="Times New Roman" w:cs="Times New Roman"/>
        </w:rPr>
      </w:pPr>
      <w:r w:rsidRPr="00497131">
        <w:rPr>
          <w:rFonts w:ascii="Times New Roman" w:hAnsi="Times New Roman" w:cs="Times New Roman"/>
        </w:rPr>
        <w:t xml:space="preserve">Data collection elements that involve organizations contain </w:t>
      </w:r>
      <w:r w:rsidRPr="006C6EAA">
        <w:rPr>
          <w:rFonts w:ascii="Times New Roman" w:hAnsi="Times New Roman" w:cs="Times New Roman"/>
        </w:rPr>
        <w:t>no personally sensitive questions. Data collection elements involving consumers do ask about health care utilization, but are done so using standardized questions common in large-scale surveys and ask only about timing of these events (e.g., when was the last time you saw your primary care provider) and do not ask about specific health conditions or concerns. As such, the level of sensitivity for these data collection elements is low. Although the level of sensitivity is low, individuals who do not wish to report on their health care utilization (e.g., of health screens or emergency department utilization) may skip these questions.</w:t>
      </w:r>
    </w:p>
    <w:p w14:paraId="3C0129DF" w14:textId="77777777" w:rsidR="00A230D2" w:rsidRPr="006C6EAA" w:rsidRDefault="00A230D2" w:rsidP="00A230D2">
      <w:pPr>
        <w:rPr>
          <w:rFonts w:ascii="Times New Roman" w:hAnsi="Times New Roman" w:cs="Times New Roman"/>
        </w:rPr>
      </w:pPr>
    </w:p>
    <w:p w14:paraId="13B02030" w14:textId="77777777" w:rsidR="00A230D2" w:rsidRPr="006C6EAA" w:rsidRDefault="00A230D2" w:rsidP="00A230D2">
      <w:pPr>
        <w:rPr>
          <w:rFonts w:ascii="Arial" w:hAnsi="Arial" w:cs="Arial"/>
          <w:b/>
          <w:sz w:val="28"/>
          <w:szCs w:val="28"/>
        </w:rPr>
      </w:pPr>
      <w:r w:rsidRPr="006C6EAA">
        <w:rPr>
          <w:rFonts w:ascii="Arial" w:hAnsi="Arial" w:cs="Arial"/>
          <w:b/>
          <w:sz w:val="28"/>
          <w:szCs w:val="28"/>
        </w:rPr>
        <w:t>A.12.</w:t>
      </w:r>
      <w:r w:rsidRPr="006C6EAA">
        <w:rPr>
          <w:rFonts w:ascii="Arial" w:hAnsi="Arial" w:cs="Arial"/>
          <w:b/>
          <w:sz w:val="28"/>
          <w:szCs w:val="28"/>
        </w:rPr>
        <w:tab/>
        <w:t>Estimates of Annualized Burden Hours and Costs</w:t>
      </w:r>
    </w:p>
    <w:p w14:paraId="66CF928C" w14:textId="77777777" w:rsidR="00A230D2" w:rsidRPr="006C6EAA" w:rsidRDefault="00A230D2" w:rsidP="00A230D2">
      <w:pPr>
        <w:rPr>
          <w:rFonts w:ascii="Times New Roman" w:hAnsi="Times New Roman" w:cs="Times New Roman"/>
        </w:rPr>
      </w:pPr>
    </w:p>
    <w:p w14:paraId="4435FF24" w14:textId="77777777" w:rsidR="00A230D2" w:rsidRPr="00DA30CE" w:rsidRDefault="00A230D2" w:rsidP="00A230D2">
      <w:pPr>
        <w:rPr>
          <w:rFonts w:ascii="Times New Roman" w:hAnsi="Times New Roman" w:cs="Times New Roman"/>
        </w:rPr>
      </w:pPr>
      <w:r w:rsidRPr="00497131">
        <w:rPr>
          <w:rFonts w:ascii="Times New Roman" w:hAnsi="Times New Roman" w:cs="Times New Roman"/>
        </w:rPr>
        <w:t xml:space="preserve">This proposed data collection </w:t>
      </w:r>
      <w:r w:rsidRPr="006C6EAA">
        <w:rPr>
          <w:rFonts w:ascii="Times New Roman" w:hAnsi="Times New Roman" w:cs="Times New Roman"/>
        </w:rPr>
        <w:t xml:space="preserve">efforts do not impose a financial burden on respondents. Respondents will not incur any expenses other than the time spent answering the web survey questions and the semi-structured interview questions. The estimated annual burden for study respondents is shown in Table A.12.1.  </w:t>
      </w:r>
    </w:p>
    <w:p w14:paraId="6689F2B3" w14:textId="77777777" w:rsidR="00A230D2" w:rsidRPr="006C6EAA" w:rsidRDefault="00A230D2" w:rsidP="00A230D2">
      <w:pPr>
        <w:rPr>
          <w:rFonts w:ascii="Times New Roman" w:hAnsi="Times New Roman" w:cs="Times New Roman"/>
        </w:rPr>
      </w:pPr>
    </w:p>
    <w:p w14:paraId="5530A913" w14:textId="77777777" w:rsidR="00A230D2" w:rsidRPr="006C6EAA" w:rsidRDefault="00A230D2" w:rsidP="00A230D2">
      <w:pPr>
        <w:rPr>
          <w:rFonts w:ascii="Times New Roman" w:hAnsi="Times New Roman" w:cs="Times New Roman"/>
        </w:rPr>
      </w:pPr>
      <w:r w:rsidRPr="006C6EAA">
        <w:rPr>
          <w:rFonts w:ascii="Times New Roman" w:hAnsi="Times New Roman" w:cs="Times New Roman"/>
        </w:rPr>
        <w:t>Survey respondents will fall within two groups. The first group consists of representatives from organizations who can speak to how C2C is being used within their organization. These individ</w:t>
      </w:r>
      <w:r>
        <w:rPr>
          <w:rFonts w:ascii="Times New Roman" w:hAnsi="Times New Roman" w:cs="Times New Roman"/>
        </w:rPr>
        <w:t>uals will participate in the on</w:t>
      </w:r>
      <w:r w:rsidRPr="006C6EAA">
        <w:rPr>
          <w:rFonts w:ascii="Times New Roman" w:hAnsi="Times New Roman" w:cs="Times New Roman"/>
        </w:rPr>
        <w:t>line survey and a small sample will participate in semi-structured interviews as part of the case study. The second group will be consumers, drawn from the Knowledge Network panel (to participate in the online survey) or the community (to participate in the case study focus group). To compute the total estimated annual cost, the total burden hours were multiplied by the average hourly wage for each participant according to wage data compiled by the Bureau of Labor Statistics. For organization representatives, we used data for 2014 median weekly salary for full-time employees over the age of 25 with a bachelor’s degree or higher ($30.60 per hour assuming an average work week of 40 hours).</w:t>
      </w:r>
      <w:r w:rsidRPr="006C6EAA">
        <w:rPr>
          <w:rStyle w:val="FootnoteReference"/>
          <w:rFonts w:ascii="Times New Roman" w:hAnsi="Times New Roman" w:cs="Times New Roman"/>
        </w:rPr>
        <w:footnoteReference w:id="4"/>
      </w:r>
      <w:r w:rsidRPr="006C6EAA">
        <w:rPr>
          <w:rFonts w:ascii="Times New Roman" w:hAnsi="Times New Roman" w:cs="Times New Roman"/>
        </w:rPr>
        <w:t xml:space="preserve"> For </w:t>
      </w:r>
      <w:r w:rsidRPr="006C6EAA">
        <w:rPr>
          <w:rFonts w:ascii="Times New Roman" w:hAnsi="Times New Roman" w:cs="Times New Roman"/>
        </w:rPr>
        <w:lastRenderedPageBreak/>
        <w:t>consumers, we are primarily interested in collecting data from individuals who were likely exposed, or could have been exposed to C2C through community organizat</w:t>
      </w:r>
      <w:r w:rsidRPr="00497131">
        <w:rPr>
          <w:rFonts w:ascii="Times New Roman" w:hAnsi="Times New Roman" w:cs="Times New Roman"/>
        </w:rPr>
        <w:t xml:space="preserve">ions or during open enrollment as they enroll in </w:t>
      </w:r>
      <w:r w:rsidRPr="006C6EAA">
        <w:rPr>
          <w:rFonts w:ascii="Times New Roman" w:hAnsi="Times New Roman" w:cs="Times New Roman"/>
        </w:rPr>
        <w:t xml:space="preserve">Medicaid or purchase insurance through their health insurance exchange. As such for consumers, we used the same data source to obtain the 2014 median weekly salary for full-time employees over the age of 25 with some college or associate degree ($19.27 per hour assuming an average work week of 40 hours). Some consumers will have a high school degree, or less than a high school degree, but we use the some college category as an upper estimate of total annual cost. </w:t>
      </w:r>
    </w:p>
    <w:p w14:paraId="46D314E5" w14:textId="77777777" w:rsidR="00A230D2" w:rsidRPr="006C6EAA" w:rsidRDefault="00A230D2" w:rsidP="00A230D2">
      <w:pPr>
        <w:rPr>
          <w:rFonts w:ascii="Times New Roman" w:hAnsi="Times New Roman" w:cs="Times New Roman"/>
        </w:rPr>
      </w:pPr>
    </w:p>
    <w:p w14:paraId="2AD56A9C" w14:textId="77777777" w:rsidR="00A230D2" w:rsidRPr="006C6EAA" w:rsidRDefault="00A230D2" w:rsidP="00A230D2">
      <w:pPr>
        <w:rPr>
          <w:rFonts w:ascii="Times New Roman" w:hAnsi="Times New Roman" w:cs="Times New Roman"/>
        </w:rPr>
      </w:pPr>
      <w:r w:rsidRPr="006C6EAA">
        <w:rPr>
          <w:rFonts w:ascii="Times New Roman" w:hAnsi="Times New Roman" w:cs="Times New Roman"/>
        </w:rPr>
        <w:t>Exhibit A.12.1 summarizes the reporting burden on respondents to the various instruments submitted for OMB clearance. The annual number of respondents for the organization survey is estimated to be between 400 and 600, given</w:t>
      </w:r>
      <w:r>
        <w:rPr>
          <w:rFonts w:ascii="Times New Roman" w:hAnsi="Times New Roman" w:cs="Times New Roman"/>
        </w:rPr>
        <w:t xml:space="preserve"> likely response rates to an on</w:t>
      </w:r>
      <w:r w:rsidRPr="006C6EAA">
        <w:rPr>
          <w:rFonts w:ascii="Times New Roman" w:hAnsi="Times New Roman" w:cs="Times New Roman"/>
        </w:rPr>
        <w:t xml:space="preserve">line survey. We use the upper end of this estimate in our calculation of annual burden and cost estimates. For the number of respondents to the consumer survey, we are using the number of respondents necessary to achieve adequate power (n=2,800). Response times were estimated from pre-tests with three potential respondents to the organizational survey and known completion times for existing measures included in the consumer survey. The annual burden is estimated from the total number of completed surveys and interviews and the minutes taken per instrument. </w:t>
      </w:r>
    </w:p>
    <w:p w14:paraId="5867BF35" w14:textId="77777777" w:rsidR="00A230D2" w:rsidRPr="006C6EAA" w:rsidRDefault="00A230D2" w:rsidP="00A230D2">
      <w:pPr>
        <w:rPr>
          <w:rFonts w:ascii="Times New Roman" w:hAnsi="Times New Roman" w:cs="Times New Roman"/>
        </w:rPr>
      </w:pPr>
    </w:p>
    <w:tbl>
      <w:tblPr>
        <w:tblW w:w="8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45"/>
        <w:gridCol w:w="1440"/>
        <w:gridCol w:w="1350"/>
        <w:gridCol w:w="1170"/>
        <w:gridCol w:w="900"/>
        <w:gridCol w:w="990"/>
        <w:gridCol w:w="1350"/>
      </w:tblGrid>
      <w:tr w:rsidR="00A230D2" w:rsidRPr="006C6EAA" w14:paraId="0C182ACC" w14:textId="77777777" w:rsidTr="005C2414">
        <w:tc>
          <w:tcPr>
            <w:tcW w:w="8845" w:type="dxa"/>
            <w:gridSpan w:val="7"/>
            <w:tcBorders>
              <w:top w:val="single" w:sz="18" w:space="0" w:color="auto"/>
              <w:left w:val="nil"/>
              <w:bottom w:val="single" w:sz="18" w:space="0" w:color="auto"/>
              <w:right w:val="nil"/>
            </w:tcBorders>
          </w:tcPr>
          <w:p w14:paraId="1F1F3A9C" w14:textId="77777777" w:rsidR="00A230D2" w:rsidRPr="006C6EAA" w:rsidRDefault="00A230D2" w:rsidP="005C2414">
            <w:pPr>
              <w:pStyle w:val="Table"/>
              <w:spacing w:before="60" w:after="60" w:line="240" w:lineRule="auto"/>
              <w:rPr>
                <w:rFonts w:ascii="Times New Roman" w:hAnsi="Times New Roman"/>
                <w:b/>
                <w:sz w:val="22"/>
                <w:szCs w:val="22"/>
              </w:rPr>
            </w:pPr>
            <w:r w:rsidRPr="006C6EAA">
              <w:rPr>
                <w:rFonts w:ascii="Times New Roman" w:hAnsi="Times New Roman"/>
                <w:b/>
                <w:sz w:val="22"/>
                <w:szCs w:val="22"/>
              </w:rPr>
              <w:t>Exhibit A.12.1 Annual Burden and Cost Estimates</w:t>
            </w:r>
          </w:p>
        </w:tc>
      </w:tr>
      <w:tr w:rsidR="00A230D2" w:rsidRPr="00251A7B" w14:paraId="306CC9FE" w14:textId="77777777" w:rsidTr="005C2414">
        <w:tc>
          <w:tcPr>
            <w:tcW w:w="1645" w:type="dxa"/>
            <w:tcBorders>
              <w:top w:val="single" w:sz="18" w:space="0" w:color="auto"/>
              <w:left w:val="nil"/>
              <w:bottom w:val="single" w:sz="8" w:space="0" w:color="auto"/>
              <w:right w:val="nil"/>
            </w:tcBorders>
            <w:vAlign w:val="bottom"/>
          </w:tcPr>
          <w:p w14:paraId="162E8976" w14:textId="77777777" w:rsidR="00A230D2" w:rsidRPr="00251A7B" w:rsidRDefault="00A230D2" w:rsidP="005C2414">
            <w:pPr>
              <w:pStyle w:val="Table"/>
              <w:spacing w:line="240" w:lineRule="auto"/>
              <w:jc w:val="center"/>
              <w:rPr>
                <w:rFonts w:ascii="Times New Roman" w:hAnsi="Times New Roman"/>
                <w:b/>
                <w:sz w:val="18"/>
                <w:szCs w:val="18"/>
              </w:rPr>
            </w:pPr>
            <w:r w:rsidRPr="00251A7B">
              <w:rPr>
                <w:rFonts w:ascii="Times New Roman" w:hAnsi="Times New Roman"/>
                <w:b/>
                <w:sz w:val="18"/>
                <w:szCs w:val="18"/>
              </w:rPr>
              <w:t>Data collection</w:t>
            </w:r>
          </w:p>
        </w:tc>
        <w:tc>
          <w:tcPr>
            <w:tcW w:w="1440" w:type="dxa"/>
            <w:tcBorders>
              <w:top w:val="single" w:sz="18" w:space="0" w:color="auto"/>
              <w:left w:val="nil"/>
              <w:bottom w:val="single" w:sz="8" w:space="0" w:color="auto"/>
              <w:right w:val="nil"/>
            </w:tcBorders>
            <w:vAlign w:val="bottom"/>
          </w:tcPr>
          <w:p w14:paraId="125C33EF" w14:textId="77777777" w:rsidR="00A230D2" w:rsidRPr="00251A7B" w:rsidRDefault="00A230D2" w:rsidP="005C2414">
            <w:pPr>
              <w:pStyle w:val="Table"/>
              <w:spacing w:line="240" w:lineRule="auto"/>
              <w:jc w:val="center"/>
              <w:rPr>
                <w:rFonts w:ascii="Times New Roman" w:hAnsi="Times New Roman"/>
                <w:b/>
                <w:sz w:val="18"/>
                <w:szCs w:val="18"/>
              </w:rPr>
            </w:pPr>
            <w:r w:rsidRPr="00251A7B">
              <w:rPr>
                <w:rFonts w:ascii="Times New Roman" w:hAnsi="Times New Roman"/>
                <w:b/>
                <w:sz w:val="18"/>
                <w:szCs w:val="18"/>
              </w:rPr>
              <w:t>Annual Number of Respondents</w:t>
            </w:r>
          </w:p>
        </w:tc>
        <w:tc>
          <w:tcPr>
            <w:tcW w:w="1350" w:type="dxa"/>
            <w:tcBorders>
              <w:top w:val="single" w:sz="18" w:space="0" w:color="auto"/>
              <w:left w:val="nil"/>
              <w:bottom w:val="single" w:sz="8" w:space="0" w:color="auto"/>
              <w:right w:val="nil"/>
            </w:tcBorders>
            <w:vAlign w:val="bottom"/>
          </w:tcPr>
          <w:p w14:paraId="764116E9" w14:textId="77777777" w:rsidR="00A230D2" w:rsidRPr="00251A7B" w:rsidRDefault="00A230D2" w:rsidP="005C2414">
            <w:pPr>
              <w:pStyle w:val="Table"/>
              <w:spacing w:line="240" w:lineRule="auto"/>
              <w:jc w:val="center"/>
              <w:rPr>
                <w:rFonts w:ascii="Times New Roman" w:hAnsi="Times New Roman"/>
                <w:b/>
                <w:sz w:val="18"/>
                <w:szCs w:val="18"/>
              </w:rPr>
            </w:pPr>
            <w:r w:rsidRPr="00251A7B">
              <w:rPr>
                <w:rFonts w:ascii="Times New Roman" w:hAnsi="Times New Roman"/>
                <w:b/>
                <w:sz w:val="18"/>
                <w:szCs w:val="18"/>
              </w:rPr>
              <w:t>Number of Responses Per Respondent</w:t>
            </w:r>
          </w:p>
        </w:tc>
        <w:tc>
          <w:tcPr>
            <w:tcW w:w="1170" w:type="dxa"/>
            <w:tcBorders>
              <w:top w:val="single" w:sz="18" w:space="0" w:color="auto"/>
              <w:left w:val="nil"/>
              <w:bottom w:val="single" w:sz="8" w:space="0" w:color="auto"/>
              <w:right w:val="nil"/>
            </w:tcBorders>
            <w:vAlign w:val="bottom"/>
          </w:tcPr>
          <w:p w14:paraId="3A18E69A" w14:textId="77777777" w:rsidR="00A230D2" w:rsidRPr="00251A7B" w:rsidRDefault="00A230D2" w:rsidP="005C2414">
            <w:pPr>
              <w:pStyle w:val="Table"/>
              <w:spacing w:line="240" w:lineRule="auto"/>
              <w:jc w:val="center"/>
              <w:rPr>
                <w:rFonts w:ascii="Times New Roman" w:hAnsi="Times New Roman"/>
                <w:b/>
                <w:sz w:val="18"/>
                <w:szCs w:val="18"/>
              </w:rPr>
            </w:pPr>
            <w:r w:rsidRPr="00251A7B">
              <w:rPr>
                <w:rFonts w:ascii="Times New Roman" w:hAnsi="Times New Roman"/>
                <w:b/>
                <w:sz w:val="18"/>
                <w:szCs w:val="18"/>
              </w:rPr>
              <w:t>Average Burden Hours Per Response</w:t>
            </w:r>
          </w:p>
        </w:tc>
        <w:tc>
          <w:tcPr>
            <w:tcW w:w="900" w:type="dxa"/>
            <w:tcBorders>
              <w:top w:val="single" w:sz="18" w:space="0" w:color="auto"/>
              <w:left w:val="nil"/>
              <w:bottom w:val="single" w:sz="8" w:space="0" w:color="auto"/>
              <w:right w:val="nil"/>
            </w:tcBorders>
            <w:vAlign w:val="bottom"/>
          </w:tcPr>
          <w:p w14:paraId="68536275" w14:textId="77777777" w:rsidR="00A230D2" w:rsidRPr="00251A7B" w:rsidRDefault="00A230D2" w:rsidP="005C2414">
            <w:pPr>
              <w:pStyle w:val="Table"/>
              <w:spacing w:line="240" w:lineRule="auto"/>
              <w:jc w:val="center"/>
              <w:rPr>
                <w:rFonts w:ascii="Times New Roman" w:hAnsi="Times New Roman"/>
                <w:b/>
                <w:sz w:val="18"/>
                <w:szCs w:val="18"/>
              </w:rPr>
            </w:pPr>
            <w:r w:rsidRPr="00251A7B">
              <w:rPr>
                <w:rFonts w:ascii="Times New Roman" w:hAnsi="Times New Roman"/>
                <w:b/>
                <w:sz w:val="18"/>
                <w:szCs w:val="18"/>
              </w:rPr>
              <w:t xml:space="preserve"> Total Burden Hours</w:t>
            </w:r>
          </w:p>
        </w:tc>
        <w:tc>
          <w:tcPr>
            <w:tcW w:w="990" w:type="dxa"/>
            <w:tcBorders>
              <w:top w:val="single" w:sz="18" w:space="0" w:color="auto"/>
              <w:left w:val="nil"/>
              <w:bottom w:val="single" w:sz="8" w:space="0" w:color="auto"/>
              <w:right w:val="nil"/>
            </w:tcBorders>
            <w:vAlign w:val="bottom"/>
          </w:tcPr>
          <w:p w14:paraId="61F50B67" w14:textId="77777777" w:rsidR="00A230D2" w:rsidRPr="00251A7B" w:rsidRDefault="00A230D2" w:rsidP="005C2414">
            <w:pPr>
              <w:pStyle w:val="Table"/>
              <w:spacing w:line="240" w:lineRule="auto"/>
              <w:jc w:val="center"/>
              <w:rPr>
                <w:rFonts w:ascii="Times New Roman" w:hAnsi="Times New Roman"/>
                <w:b/>
                <w:sz w:val="18"/>
                <w:szCs w:val="18"/>
              </w:rPr>
            </w:pPr>
            <w:r w:rsidRPr="00251A7B">
              <w:rPr>
                <w:rFonts w:ascii="Times New Roman" w:hAnsi="Times New Roman"/>
                <w:b/>
                <w:sz w:val="18"/>
                <w:szCs w:val="18"/>
              </w:rPr>
              <w:t>Average Hourly Wage</w:t>
            </w:r>
          </w:p>
        </w:tc>
        <w:tc>
          <w:tcPr>
            <w:tcW w:w="1350" w:type="dxa"/>
            <w:tcBorders>
              <w:top w:val="single" w:sz="18" w:space="0" w:color="auto"/>
              <w:left w:val="nil"/>
              <w:bottom w:val="single" w:sz="8" w:space="0" w:color="auto"/>
              <w:right w:val="nil"/>
            </w:tcBorders>
            <w:vAlign w:val="bottom"/>
          </w:tcPr>
          <w:p w14:paraId="10C353A6" w14:textId="77777777" w:rsidR="00A230D2" w:rsidRPr="00251A7B" w:rsidRDefault="00A230D2" w:rsidP="005C2414">
            <w:pPr>
              <w:pStyle w:val="Table"/>
              <w:tabs>
                <w:tab w:val="clear" w:pos="720"/>
                <w:tab w:val="left" w:pos="965"/>
              </w:tabs>
              <w:spacing w:line="240" w:lineRule="auto"/>
              <w:jc w:val="center"/>
              <w:rPr>
                <w:rFonts w:ascii="Times New Roman" w:hAnsi="Times New Roman"/>
                <w:b/>
                <w:sz w:val="18"/>
                <w:szCs w:val="18"/>
              </w:rPr>
            </w:pPr>
            <w:r w:rsidRPr="00251A7B">
              <w:rPr>
                <w:rFonts w:ascii="Times New Roman" w:hAnsi="Times New Roman"/>
                <w:b/>
                <w:sz w:val="18"/>
                <w:szCs w:val="18"/>
              </w:rPr>
              <w:t>Total Annual Cost</w:t>
            </w:r>
          </w:p>
        </w:tc>
      </w:tr>
      <w:tr w:rsidR="00A230D2" w:rsidRPr="00251A7B" w14:paraId="1937352B" w14:textId="77777777" w:rsidTr="005C2414">
        <w:tc>
          <w:tcPr>
            <w:tcW w:w="1645" w:type="dxa"/>
            <w:tcBorders>
              <w:top w:val="single" w:sz="8" w:space="0" w:color="auto"/>
              <w:left w:val="nil"/>
              <w:bottom w:val="single" w:sz="8" w:space="0" w:color="auto"/>
              <w:right w:val="nil"/>
            </w:tcBorders>
          </w:tcPr>
          <w:p w14:paraId="588DE213" w14:textId="77777777" w:rsidR="00A230D2" w:rsidRPr="00251A7B" w:rsidRDefault="00A230D2" w:rsidP="005C2414">
            <w:pPr>
              <w:pStyle w:val="Table"/>
              <w:spacing w:line="240" w:lineRule="auto"/>
              <w:rPr>
                <w:rFonts w:ascii="Times New Roman" w:hAnsi="Times New Roman"/>
                <w:sz w:val="18"/>
                <w:szCs w:val="18"/>
                <w:highlight w:val="yellow"/>
              </w:rPr>
            </w:pPr>
            <w:r w:rsidRPr="00251A7B">
              <w:rPr>
                <w:rFonts w:ascii="Times New Roman" w:hAnsi="Times New Roman"/>
                <w:sz w:val="18"/>
                <w:szCs w:val="18"/>
              </w:rPr>
              <w:t>Organizational survey</w:t>
            </w:r>
          </w:p>
        </w:tc>
        <w:tc>
          <w:tcPr>
            <w:tcW w:w="1440" w:type="dxa"/>
            <w:tcBorders>
              <w:top w:val="single" w:sz="8" w:space="0" w:color="auto"/>
              <w:left w:val="nil"/>
              <w:bottom w:val="single" w:sz="8" w:space="0" w:color="auto"/>
              <w:right w:val="nil"/>
            </w:tcBorders>
          </w:tcPr>
          <w:p w14:paraId="5626D3B5" w14:textId="77777777" w:rsidR="00A230D2" w:rsidRPr="00251A7B" w:rsidRDefault="00A230D2" w:rsidP="005C2414">
            <w:pPr>
              <w:pStyle w:val="Table"/>
              <w:spacing w:line="240" w:lineRule="auto"/>
              <w:jc w:val="center"/>
              <w:rPr>
                <w:rFonts w:ascii="Times New Roman" w:hAnsi="Times New Roman"/>
                <w:sz w:val="18"/>
                <w:szCs w:val="18"/>
              </w:rPr>
            </w:pPr>
            <w:r w:rsidRPr="00251A7B">
              <w:rPr>
                <w:rFonts w:ascii="Times New Roman" w:hAnsi="Times New Roman"/>
                <w:sz w:val="18"/>
                <w:szCs w:val="18"/>
              </w:rPr>
              <w:t>600</w:t>
            </w:r>
          </w:p>
        </w:tc>
        <w:tc>
          <w:tcPr>
            <w:tcW w:w="1350" w:type="dxa"/>
            <w:tcBorders>
              <w:top w:val="single" w:sz="8" w:space="0" w:color="auto"/>
              <w:left w:val="nil"/>
              <w:bottom w:val="single" w:sz="8" w:space="0" w:color="auto"/>
              <w:right w:val="nil"/>
            </w:tcBorders>
          </w:tcPr>
          <w:p w14:paraId="2A94BAAB" w14:textId="77777777" w:rsidR="00A230D2" w:rsidRPr="00251A7B" w:rsidRDefault="00A230D2" w:rsidP="005C2414">
            <w:pPr>
              <w:pStyle w:val="Table"/>
              <w:spacing w:line="240" w:lineRule="auto"/>
              <w:jc w:val="center"/>
              <w:rPr>
                <w:rFonts w:ascii="Times New Roman" w:hAnsi="Times New Roman"/>
                <w:sz w:val="18"/>
                <w:szCs w:val="18"/>
              </w:rPr>
            </w:pPr>
            <w:r w:rsidRPr="00251A7B">
              <w:rPr>
                <w:rFonts w:ascii="Times New Roman" w:hAnsi="Times New Roman"/>
                <w:sz w:val="18"/>
                <w:szCs w:val="18"/>
              </w:rPr>
              <w:t>1</w:t>
            </w:r>
          </w:p>
        </w:tc>
        <w:tc>
          <w:tcPr>
            <w:tcW w:w="1170" w:type="dxa"/>
            <w:tcBorders>
              <w:top w:val="single" w:sz="8" w:space="0" w:color="auto"/>
              <w:left w:val="nil"/>
              <w:bottom w:val="single" w:sz="8" w:space="0" w:color="auto"/>
              <w:right w:val="nil"/>
            </w:tcBorders>
          </w:tcPr>
          <w:p w14:paraId="26CA0BE3" w14:textId="77777777" w:rsidR="00A230D2" w:rsidRPr="00251A7B" w:rsidRDefault="00A230D2" w:rsidP="005C2414">
            <w:pPr>
              <w:pStyle w:val="Table"/>
              <w:spacing w:line="240" w:lineRule="auto"/>
              <w:jc w:val="center"/>
              <w:rPr>
                <w:rFonts w:ascii="Times New Roman" w:hAnsi="Times New Roman"/>
                <w:sz w:val="18"/>
                <w:szCs w:val="18"/>
              </w:rPr>
            </w:pPr>
            <w:r w:rsidRPr="00251A7B">
              <w:rPr>
                <w:rFonts w:ascii="Times New Roman" w:hAnsi="Times New Roman"/>
                <w:sz w:val="18"/>
                <w:szCs w:val="18"/>
              </w:rPr>
              <w:t>0.33</w:t>
            </w:r>
          </w:p>
        </w:tc>
        <w:tc>
          <w:tcPr>
            <w:tcW w:w="900" w:type="dxa"/>
            <w:tcBorders>
              <w:top w:val="single" w:sz="8" w:space="0" w:color="auto"/>
              <w:left w:val="nil"/>
              <w:bottom w:val="single" w:sz="8" w:space="0" w:color="auto"/>
              <w:right w:val="nil"/>
            </w:tcBorders>
          </w:tcPr>
          <w:p w14:paraId="3036CE2B" w14:textId="77777777" w:rsidR="00A230D2" w:rsidRPr="00251A7B" w:rsidRDefault="00A230D2" w:rsidP="005C2414">
            <w:pPr>
              <w:pStyle w:val="Table"/>
              <w:spacing w:line="240" w:lineRule="auto"/>
              <w:jc w:val="center"/>
              <w:rPr>
                <w:rFonts w:ascii="Times New Roman" w:hAnsi="Times New Roman"/>
                <w:sz w:val="18"/>
                <w:szCs w:val="18"/>
              </w:rPr>
            </w:pPr>
            <w:r w:rsidRPr="00251A7B">
              <w:rPr>
                <w:rFonts w:ascii="Times New Roman" w:hAnsi="Times New Roman"/>
                <w:sz w:val="18"/>
                <w:szCs w:val="18"/>
              </w:rPr>
              <w:t>198.0</w:t>
            </w:r>
          </w:p>
        </w:tc>
        <w:tc>
          <w:tcPr>
            <w:tcW w:w="990" w:type="dxa"/>
            <w:tcBorders>
              <w:top w:val="single" w:sz="8" w:space="0" w:color="auto"/>
              <w:left w:val="nil"/>
              <w:bottom w:val="single" w:sz="8" w:space="0" w:color="auto"/>
              <w:right w:val="nil"/>
            </w:tcBorders>
          </w:tcPr>
          <w:p w14:paraId="41902522" w14:textId="77777777" w:rsidR="00A230D2" w:rsidRPr="00251A7B" w:rsidRDefault="00096E50" w:rsidP="005C2414">
            <w:pPr>
              <w:pStyle w:val="Table"/>
              <w:tabs>
                <w:tab w:val="clear" w:pos="720"/>
                <w:tab w:val="clear" w:pos="1080"/>
                <w:tab w:val="clear" w:pos="1440"/>
                <w:tab w:val="clear" w:pos="1800"/>
                <w:tab w:val="decimal" w:pos="425"/>
              </w:tabs>
              <w:spacing w:line="240" w:lineRule="auto"/>
              <w:jc w:val="center"/>
              <w:rPr>
                <w:rFonts w:ascii="Times New Roman" w:hAnsi="Times New Roman"/>
                <w:sz w:val="18"/>
                <w:szCs w:val="18"/>
              </w:rPr>
            </w:pPr>
            <w:r>
              <w:rPr>
                <w:rFonts w:ascii="Times New Roman" w:hAnsi="Times New Roman"/>
                <w:sz w:val="18"/>
                <w:szCs w:val="18"/>
              </w:rPr>
              <w:t>$61.2</w:t>
            </w:r>
            <w:r w:rsidR="00A230D2" w:rsidRPr="00251A7B">
              <w:rPr>
                <w:rFonts w:ascii="Times New Roman" w:hAnsi="Times New Roman"/>
                <w:sz w:val="18"/>
                <w:szCs w:val="18"/>
              </w:rPr>
              <w:t>0</w:t>
            </w:r>
          </w:p>
        </w:tc>
        <w:tc>
          <w:tcPr>
            <w:tcW w:w="1350" w:type="dxa"/>
            <w:tcBorders>
              <w:top w:val="single" w:sz="8" w:space="0" w:color="auto"/>
              <w:left w:val="nil"/>
              <w:bottom w:val="single" w:sz="8" w:space="0" w:color="auto"/>
              <w:right w:val="nil"/>
            </w:tcBorders>
          </w:tcPr>
          <w:p w14:paraId="51ED5734" w14:textId="77777777" w:rsidR="00A230D2" w:rsidRPr="00251A7B" w:rsidRDefault="00096E50" w:rsidP="005C2414">
            <w:pPr>
              <w:pStyle w:val="Table"/>
              <w:tabs>
                <w:tab w:val="clear" w:pos="720"/>
                <w:tab w:val="clear" w:pos="1080"/>
                <w:tab w:val="clear" w:pos="1440"/>
                <w:tab w:val="clear" w:pos="1800"/>
                <w:tab w:val="decimal" w:pos="785"/>
              </w:tabs>
              <w:spacing w:line="240" w:lineRule="auto"/>
              <w:ind w:right="155"/>
              <w:jc w:val="right"/>
              <w:rPr>
                <w:rFonts w:ascii="Times New Roman" w:hAnsi="Times New Roman"/>
                <w:sz w:val="18"/>
                <w:szCs w:val="18"/>
              </w:rPr>
            </w:pPr>
            <w:r>
              <w:rPr>
                <w:rFonts w:ascii="Times New Roman" w:hAnsi="Times New Roman"/>
                <w:sz w:val="18"/>
                <w:szCs w:val="18"/>
              </w:rPr>
              <w:t>$12,117.6</w:t>
            </w:r>
            <w:r w:rsidR="00A230D2" w:rsidRPr="00251A7B">
              <w:rPr>
                <w:rFonts w:ascii="Times New Roman" w:hAnsi="Times New Roman"/>
                <w:sz w:val="18"/>
                <w:szCs w:val="18"/>
              </w:rPr>
              <w:t>0</w:t>
            </w:r>
          </w:p>
        </w:tc>
      </w:tr>
      <w:tr w:rsidR="00A230D2" w:rsidRPr="00251A7B" w14:paraId="5000AFF1" w14:textId="77777777" w:rsidTr="005C2414">
        <w:tc>
          <w:tcPr>
            <w:tcW w:w="1645" w:type="dxa"/>
            <w:tcBorders>
              <w:top w:val="single" w:sz="8" w:space="0" w:color="auto"/>
              <w:left w:val="nil"/>
              <w:bottom w:val="single" w:sz="8" w:space="0" w:color="auto"/>
              <w:right w:val="nil"/>
            </w:tcBorders>
          </w:tcPr>
          <w:p w14:paraId="75FF6CD6" w14:textId="77777777" w:rsidR="00A230D2" w:rsidRPr="00251A7B" w:rsidRDefault="00A230D2" w:rsidP="005C2414">
            <w:pPr>
              <w:pStyle w:val="Table"/>
              <w:spacing w:line="240" w:lineRule="auto"/>
              <w:rPr>
                <w:rFonts w:ascii="Times New Roman" w:hAnsi="Times New Roman"/>
                <w:sz w:val="18"/>
                <w:szCs w:val="18"/>
              </w:rPr>
            </w:pPr>
            <w:r w:rsidRPr="00251A7B">
              <w:rPr>
                <w:rFonts w:ascii="Times New Roman" w:hAnsi="Times New Roman"/>
                <w:sz w:val="18"/>
                <w:szCs w:val="18"/>
              </w:rPr>
              <w:t>Consumer survey</w:t>
            </w:r>
          </w:p>
        </w:tc>
        <w:tc>
          <w:tcPr>
            <w:tcW w:w="1440" w:type="dxa"/>
            <w:tcBorders>
              <w:top w:val="single" w:sz="8" w:space="0" w:color="auto"/>
              <w:left w:val="nil"/>
              <w:bottom w:val="single" w:sz="8" w:space="0" w:color="auto"/>
              <w:right w:val="nil"/>
            </w:tcBorders>
          </w:tcPr>
          <w:p w14:paraId="62FF531D" w14:textId="77777777" w:rsidR="00A230D2" w:rsidRPr="00251A7B" w:rsidRDefault="00A230D2" w:rsidP="005C2414">
            <w:pPr>
              <w:pStyle w:val="Table"/>
              <w:spacing w:line="240" w:lineRule="auto"/>
              <w:jc w:val="center"/>
              <w:rPr>
                <w:rFonts w:ascii="Times New Roman" w:hAnsi="Times New Roman"/>
                <w:sz w:val="18"/>
                <w:szCs w:val="18"/>
              </w:rPr>
            </w:pPr>
            <w:r w:rsidRPr="00251A7B">
              <w:rPr>
                <w:rFonts w:ascii="Times New Roman" w:hAnsi="Times New Roman"/>
                <w:sz w:val="18"/>
                <w:szCs w:val="18"/>
              </w:rPr>
              <w:t>2,800</w:t>
            </w:r>
          </w:p>
        </w:tc>
        <w:tc>
          <w:tcPr>
            <w:tcW w:w="1350" w:type="dxa"/>
            <w:tcBorders>
              <w:top w:val="single" w:sz="8" w:space="0" w:color="auto"/>
              <w:left w:val="nil"/>
              <w:bottom w:val="single" w:sz="8" w:space="0" w:color="auto"/>
              <w:right w:val="nil"/>
            </w:tcBorders>
          </w:tcPr>
          <w:p w14:paraId="782465A9" w14:textId="77777777" w:rsidR="00A230D2" w:rsidRPr="00251A7B" w:rsidRDefault="00A230D2" w:rsidP="005C2414">
            <w:pPr>
              <w:pStyle w:val="Table"/>
              <w:spacing w:line="240" w:lineRule="auto"/>
              <w:jc w:val="center"/>
              <w:rPr>
                <w:rFonts w:ascii="Times New Roman" w:hAnsi="Times New Roman"/>
                <w:sz w:val="18"/>
                <w:szCs w:val="18"/>
              </w:rPr>
            </w:pPr>
            <w:r w:rsidRPr="00251A7B">
              <w:rPr>
                <w:rFonts w:ascii="Times New Roman" w:hAnsi="Times New Roman"/>
                <w:sz w:val="18"/>
                <w:szCs w:val="18"/>
              </w:rPr>
              <w:t>1</w:t>
            </w:r>
          </w:p>
        </w:tc>
        <w:tc>
          <w:tcPr>
            <w:tcW w:w="1170" w:type="dxa"/>
            <w:tcBorders>
              <w:top w:val="single" w:sz="8" w:space="0" w:color="auto"/>
              <w:left w:val="nil"/>
              <w:bottom w:val="single" w:sz="8" w:space="0" w:color="auto"/>
              <w:right w:val="nil"/>
            </w:tcBorders>
          </w:tcPr>
          <w:p w14:paraId="275CF457" w14:textId="77777777" w:rsidR="00A230D2" w:rsidRPr="00251A7B" w:rsidRDefault="00A230D2" w:rsidP="005C2414">
            <w:pPr>
              <w:pStyle w:val="Table"/>
              <w:spacing w:line="240" w:lineRule="auto"/>
              <w:jc w:val="center"/>
              <w:rPr>
                <w:rFonts w:ascii="Times New Roman" w:hAnsi="Times New Roman"/>
                <w:sz w:val="18"/>
                <w:szCs w:val="18"/>
              </w:rPr>
            </w:pPr>
            <w:r w:rsidRPr="00251A7B">
              <w:rPr>
                <w:rFonts w:ascii="Times New Roman" w:hAnsi="Times New Roman"/>
                <w:sz w:val="18"/>
                <w:szCs w:val="18"/>
              </w:rPr>
              <w:t>0.33</w:t>
            </w:r>
          </w:p>
        </w:tc>
        <w:tc>
          <w:tcPr>
            <w:tcW w:w="900" w:type="dxa"/>
            <w:tcBorders>
              <w:top w:val="single" w:sz="8" w:space="0" w:color="auto"/>
              <w:left w:val="nil"/>
              <w:bottom w:val="single" w:sz="8" w:space="0" w:color="auto"/>
              <w:right w:val="nil"/>
            </w:tcBorders>
          </w:tcPr>
          <w:p w14:paraId="34166F78" w14:textId="77777777" w:rsidR="00A230D2" w:rsidRPr="00251A7B" w:rsidRDefault="00A230D2" w:rsidP="005C2414">
            <w:pPr>
              <w:pStyle w:val="Table"/>
              <w:spacing w:line="240" w:lineRule="auto"/>
              <w:jc w:val="center"/>
              <w:rPr>
                <w:rFonts w:ascii="Times New Roman" w:hAnsi="Times New Roman"/>
                <w:sz w:val="18"/>
                <w:szCs w:val="18"/>
              </w:rPr>
            </w:pPr>
            <w:r w:rsidRPr="00251A7B">
              <w:rPr>
                <w:rFonts w:ascii="Times New Roman" w:hAnsi="Times New Roman"/>
                <w:sz w:val="18"/>
                <w:szCs w:val="18"/>
              </w:rPr>
              <w:t>924.0</w:t>
            </w:r>
          </w:p>
        </w:tc>
        <w:tc>
          <w:tcPr>
            <w:tcW w:w="990" w:type="dxa"/>
            <w:tcBorders>
              <w:top w:val="single" w:sz="8" w:space="0" w:color="auto"/>
              <w:left w:val="nil"/>
              <w:bottom w:val="single" w:sz="8" w:space="0" w:color="auto"/>
              <w:right w:val="nil"/>
            </w:tcBorders>
          </w:tcPr>
          <w:p w14:paraId="5BBF1B78" w14:textId="77777777" w:rsidR="00A230D2" w:rsidRPr="00251A7B" w:rsidRDefault="00096E50" w:rsidP="005C2414">
            <w:pPr>
              <w:pStyle w:val="Table"/>
              <w:tabs>
                <w:tab w:val="clear" w:pos="720"/>
                <w:tab w:val="clear" w:pos="1080"/>
                <w:tab w:val="clear" w:pos="1440"/>
                <w:tab w:val="clear" w:pos="1800"/>
                <w:tab w:val="decimal" w:pos="425"/>
              </w:tabs>
              <w:spacing w:line="240" w:lineRule="auto"/>
              <w:jc w:val="center"/>
              <w:rPr>
                <w:rFonts w:ascii="Times New Roman" w:hAnsi="Times New Roman"/>
                <w:sz w:val="18"/>
                <w:szCs w:val="18"/>
              </w:rPr>
            </w:pPr>
            <w:r>
              <w:rPr>
                <w:rFonts w:ascii="Times New Roman" w:hAnsi="Times New Roman"/>
                <w:sz w:val="18"/>
                <w:szCs w:val="18"/>
              </w:rPr>
              <w:t>$38.54</w:t>
            </w:r>
          </w:p>
        </w:tc>
        <w:tc>
          <w:tcPr>
            <w:tcW w:w="1350" w:type="dxa"/>
            <w:tcBorders>
              <w:top w:val="single" w:sz="8" w:space="0" w:color="auto"/>
              <w:left w:val="nil"/>
              <w:bottom w:val="single" w:sz="8" w:space="0" w:color="auto"/>
              <w:right w:val="nil"/>
            </w:tcBorders>
          </w:tcPr>
          <w:p w14:paraId="4D8DB25E" w14:textId="77777777" w:rsidR="00A230D2" w:rsidRPr="00251A7B" w:rsidRDefault="00096E50" w:rsidP="005C2414">
            <w:pPr>
              <w:pStyle w:val="Table"/>
              <w:tabs>
                <w:tab w:val="clear" w:pos="720"/>
                <w:tab w:val="clear" w:pos="1080"/>
                <w:tab w:val="clear" w:pos="1440"/>
                <w:tab w:val="clear" w:pos="1800"/>
                <w:tab w:val="decimal" w:pos="785"/>
                <w:tab w:val="decimal" w:pos="875"/>
              </w:tabs>
              <w:spacing w:line="240" w:lineRule="auto"/>
              <w:ind w:right="155"/>
              <w:jc w:val="right"/>
              <w:rPr>
                <w:rFonts w:ascii="Times New Roman" w:hAnsi="Times New Roman"/>
                <w:sz w:val="18"/>
                <w:szCs w:val="18"/>
              </w:rPr>
            </w:pPr>
            <w:r>
              <w:rPr>
                <w:rFonts w:ascii="Times New Roman" w:hAnsi="Times New Roman"/>
                <w:sz w:val="18"/>
                <w:szCs w:val="18"/>
              </w:rPr>
              <w:t>$35,610</w:t>
            </w:r>
            <w:r w:rsidR="00A230D2" w:rsidRPr="00251A7B">
              <w:rPr>
                <w:rFonts w:ascii="Times New Roman" w:hAnsi="Times New Roman"/>
                <w:sz w:val="18"/>
                <w:szCs w:val="18"/>
              </w:rPr>
              <w:t>.</w:t>
            </w:r>
            <w:r>
              <w:rPr>
                <w:rFonts w:ascii="Times New Roman" w:hAnsi="Times New Roman"/>
                <w:sz w:val="18"/>
                <w:szCs w:val="18"/>
              </w:rPr>
              <w:t>96</w:t>
            </w:r>
          </w:p>
        </w:tc>
      </w:tr>
      <w:tr w:rsidR="00A230D2" w:rsidRPr="00251A7B" w14:paraId="4EA11760" w14:textId="77777777" w:rsidTr="005C2414">
        <w:tc>
          <w:tcPr>
            <w:tcW w:w="1645" w:type="dxa"/>
            <w:tcBorders>
              <w:top w:val="single" w:sz="8" w:space="0" w:color="auto"/>
              <w:left w:val="nil"/>
              <w:bottom w:val="single" w:sz="8" w:space="0" w:color="auto"/>
              <w:right w:val="nil"/>
            </w:tcBorders>
          </w:tcPr>
          <w:p w14:paraId="456A8AB1" w14:textId="77777777" w:rsidR="00A230D2" w:rsidRPr="00251A7B" w:rsidRDefault="00A230D2" w:rsidP="005C2414">
            <w:pPr>
              <w:pStyle w:val="Table"/>
              <w:spacing w:line="240" w:lineRule="auto"/>
              <w:rPr>
                <w:rFonts w:ascii="Times New Roman" w:hAnsi="Times New Roman"/>
                <w:sz w:val="18"/>
                <w:szCs w:val="18"/>
              </w:rPr>
            </w:pPr>
            <w:r w:rsidRPr="00251A7B">
              <w:rPr>
                <w:rFonts w:ascii="Times New Roman" w:hAnsi="Times New Roman"/>
                <w:sz w:val="18"/>
                <w:szCs w:val="18"/>
              </w:rPr>
              <w:t>Case study: semi-structured interviews</w:t>
            </w:r>
          </w:p>
        </w:tc>
        <w:tc>
          <w:tcPr>
            <w:tcW w:w="1440" w:type="dxa"/>
            <w:tcBorders>
              <w:top w:val="single" w:sz="8" w:space="0" w:color="auto"/>
              <w:left w:val="nil"/>
              <w:bottom w:val="single" w:sz="8" w:space="0" w:color="auto"/>
              <w:right w:val="nil"/>
            </w:tcBorders>
          </w:tcPr>
          <w:p w14:paraId="23576F7C" w14:textId="77777777" w:rsidR="00A230D2" w:rsidRPr="00251A7B" w:rsidRDefault="00A230D2" w:rsidP="005C2414">
            <w:pPr>
              <w:pStyle w:val="Table"/>
              <w:spacing w:line="240" w:lineRule="auto"/>
              <w:jc w:val="center"/>
              <w:rPr>
                <w:rFonts w:ascii="Times New Roman" w:hAnsi="Times New Roman"/>
                <w:sz w:val="18"/>
                <w:szCs w:val="18"/>
              </w:rPr>
            </w:pPr>
            <w:r>
              <w:rPr>
                <w:rFonts w:ascii="Times New Roman" w:hAnsi="Times New Roman"/>
                <w:sz w:val="18"/>
                <w:szCs w:val="18"/>
              </w:rPr>
              <w:t>24</w:t>
            </w:r>
          </w:p>
        </w:tc>
        <w:tc>
          <w:tcPr>
            <w:tcW w:w="1350" w:type="dxa"/>
            <w:tcBorders>
              <w:top w:val="single" w:sz="8" w:space="0" w:color="auto"/>
              <w:left w:val="nil"/>
              <w:bottom w:val="single" w:sz="8" w:space="0" w:color="auto"/>
              <w:right w:val="nil"/>
            </w:tcBorders>
          </w:tcPr>
          <w:p w14:paraId="6C5CB0F3" w14:textId="77777777" w:rsidR="00A230D2" w:rsidRPr="00251A7B" w:rsidRDefault="00A230D2" w:rsidP="005C2414">
            <w:pPr>
              <w:pStyle w:val="Table"/>
              <w:spacing w:line="240" w:lineRule="auto"/>
              <w:jc w:val="center"/>
              <w:rPr>
                <w:rFonts w:ascii="Times New Roman" w:hAnsi="Times New Roman"/>
                <w:sz w:val="18"/>
                <w:szCs w:val="18"/>
              </w:rPr>
            </w:pPr>
            <w:r w:rsidRPr="00251A7B">
              <w:rPr>
                <w:rFonts w:ascii="Times New Roman" w:hAnsi="Times New Roman"/>
                <w:sz w:val="18"/>
                <w:szCs w:val="18"/>
              </w:rPr>
              <w:t>1</w:t>
            </w:r>
          </w:p>
        </w:tc>
        <w:tc>
          <w:tcPr>
            <w:tcW w:w="1170" w:type="dxa"/>
            <w:tcBorders>
              <w:top w:val="single" w:sz="8" w:space="0" w:color="auto"/>
              <w:left w:val="nil"/>
              <w:bottom w:val="single" w:sz="8" w:space="0" w:color="auto"/>
              <w:right w:val="nil"/>
            </w:tcBorders>
          </w:tcPr>
          <w:p w14:paraId="3AFD505D" w14:textId="77777777" w:rsidR="00A230D2" w:rsidRPr="00251A7B" w:rsidRDefault="00A230D2" w:rsidP="005C2414">
            <w:pPr>
              <w:pStyle w:val="Table"/>
              <w:spacing w:line="240" w:lineRule="auto"/>
              <w:jc w:val="center"/>
              <w:rPr>
                <w:rFonts w:ascii="Times New Roman" w:hAnsi="Times New Roman"/>
                <w:sz w:val="18"/>
                <w:szCs w:val="18"/>
              </w:rPr>
            </w:pPr>
            <w:r w:rsidRPr="00251A7B">
              <w:rPr>
                <w:rFonts w:ascii="Times New Roman" w:hAnsi="Times New Roman"/>
                <w:sz w:val="18"/>
                <w:szCs w:val="18"/>
              </w:rPr>
              <w:t>.75</w:t>
            </w:r>
          </w:p>
        </w:tc>
        <w:tc>
          <w:tcPr>
            <w:tcW w:w="900" w:type="dxa"/>
            <w:tcBorders>
              <w:top w:val="single" w:sz="8" w:space="0" w:color="auto"/>
              <w:left w:val="nil"/>
              <w:bottom w:val="single" w:sz="8" w:space="0" w:color="auto"/>
              <w:right w:val="nil"/>
            </w:tcBorders>
          </w:tcPr>
          <w:p w14:paraId="2300E3D1" w14:textId="77777777" w:rsidR="00A230D2" w:rsidRPr="00251A7B" w:rsidRDefault="00A230D2" w:rsidP="005C2414">
            <w:pPr>
              <w:pStyle w:val="Table"/>
              <w:spacing w:line="240" w:lineRule="auto"/>
              <w:jc w:val="center"/>
              <w:rPr>
                <w:rFonts w:ascii="Times New Roman" w:hAnsi="Times New Roman"/>
                <w:sz w:val="18"/>
                <w:szCs w:val="18"/>
              </w:rPr>
            </w:pPr>
            <w:r>
              <w:rPr>
                <w:rFonts w:ascii="Times New Roman" w:hAnsi="Times New Roman"/>
                <w:sz w:val="18"/>
                <w:szCs w:val="18"/>
              </w:rPr>
              <w:t>18</w:t>
            </w:r>
          </w:p>
        </w:tc>
        <w:tc>
          <w:tcPr>
            <w:tcW w:w="990" w:type="dxa"/>
            <w:tcBorders>
              <w:top w:val="single" w:sz="8" w:space="0" w:color="auto"/>
              <w:left w:val="nil"/>
              <w:bottom w:val="single" w:sz="8" w:space="0" w:color="auto"/>
              <w:right w:val="nil"/>
            </w:tcBorders>
          </w:tcPr>
          <w:p w14:paraId="74308F35" w14:textId="77777777" w:rsidR="00A230D2" w:rsidRPr="00251A7B" w:rsidRDefault="00A230D2" w:rsidP="005C2414">
            <w:pPr>
              <w:pStyle w:val="Table"/>
              <w:tabs>
                <w:tab w:val="clear" w:pos="720"/>
                <w:tab w:val="clear" w:pos="1080"/>
                <w:tab w:val="clear" w:pos="1440"/>
                <w:tab w:val="clear" w:pos="1800"/>
                <w:tab w:val="decimal" w:pos="425"/>
              </w:tabs>
              <w:spacing w:line="240" w:lineRule="auto"/>
              <w:jc w:val="center"/>
              <w:rPr>
                <w:rFonts w:ascii="Times New Roman" w:hAnsi="Times New Roman"/>
                <w:sz w:val="18"/>
                <w:szCs w:val="18"/>
              </w:rPr>
            </w:pPr>
            <w:r w:rsidRPr="00251A7B">
              <w:rPr>
                <w:rFonts w:ascii="Times New Roman" w:hAnsi="Times New Roman"/>
                <w:sz w:val="18"/>
                <w:szCs w:val="18"/>
              </w:rPr>
              <w:t>$30.60</w:t>
            </w:r>
          </w:p>
        </w:tc>
        <w:tc>
          <w:tcPr>
            <w:tcW w:w="1350" w:type="dxa"/>
            <w:tcBorders>
              <w:top w:val="single" w:sz="8" w:space="0" w:color="auto"/>
              <w:left w:val="nil"/>
              <w:bottom w:val="single" w:sz="8" w:space="0" w:color="auto"/>
              <w:right w:val="nil"/>
            </w:tcBorders>
          </w:tcPr>
          <w:p w14:paraId="05F2CCA2" w14:textId="77777777" w:rsidR="00A230D2" w:rsidRPr="00251A7B" w:rsidRDefault="00A230D2" w:rsidP="005C2414">
            <w:pPr>
              <w:pStyle w:val="Table"/>
              <w:tabs>
                <w:tab w:val="clear" w:pos="720"/>
                <w:tab w:val="clear" w:pos="1080"/>
                <w:tab w:val="clear" w:pos="1440"/>
                <w:tab w:val="clear" w:pos="1800"/>
                <w:tab w:val="decimal" w:pos="785"/>
                <w:tab w:val="left" w:pos="875"/>
              </w:tabs>
              <w:spacing w:line="240" w:lineRule="auto"/>
              <w:ind w:right="155"/>
              <w:jc w:val="right"/>
              <w:rPr>
                <w:rFonts w:ascii="Times New Roman" w:hAnsi="Times New Roman"/>
                <w:sz w:val="18"/>
                <w:szCs w:val="18"/>
              </w:rPr>
            </w:pPr>
            <w:r w:rsidRPr="00251A7B">
              <w:rPr>
                <w:rFonts w:ascii="Times New Roman" w:hAnsi="Times New Roman"/>
                <w:sz w:val="18"/>
                <w:szCs w:val="18"/>
              </w:rPr>
              <w:t>$</w:t>
            </w:r>
            <w:r>
              <w:rPr>
                <w:rFonts w:ascii="Times New Roman" w:hAnsi="Times New Roman"/>
                <w:sz w:val="18"/>
                <w:szCs w:val="18"/>
              </w:rPr>
              <w:t>550.80</w:t>
            </w:r>
          </w:p>
        </w:tc>
      </w:tr>
      <w:tr w:rsidR="00A230D2" w:rsidRPr="00251A7B" w14:paraId="107C204C" w14:textId="77777777" w:rsidTr="005C2414">
        <w:tc>
          <w:tcPr>
            <w:tcW w:w="1645" w:type="dxa"/>
            <w:tcBorders>
              <w:top w:val="single" w:sz="8" w:space="0" w:color="auto"/>
              <w:left w:val="nil"/>
              <w:bottom w:val="single" w:sz="12" w:space="0" w:color="auto"/>
              <w:right w:val="nil"/>
            </w:tcBorders>
          </w:tcPr>
          <w:p w14:paraId="150AA461" w14:textId="77777777" w:rsidR="00A230D2" w:rsidRPr="00251A7B" w:rsidRDefault="00A230D2" w:rsidP="005C2414">
            <w:pPr>
              <w:pStyle w:val="Table"/>
              <w:spacing w:line="240" w:lineRule="auto"/>
              <w:rPr>
                <w:rFonts w:ascii="Times New Roman" w:hAnsi="Times New Roman"/>
                <w:sz w:val="18"/>
                <w:szCs w:val="18"/>
              </w:rPr>
            </w:pPr>
            <w:r w:rsidRPr="00251A7B">
              <w:rPr>
                <w:rFonts w:ascii="Times New Roman" w:hAnsi="Times New Roman"/>
                <w:sz w:val="18"/>
                <w:szCs w:val="18"/>
              </w:rPr>
              <w:t>Case study: focus group</w:t>
            </w:r>
          </w:p>
        </w:tc>
        <w:tc>
          <w:tcPr>
            <w:tcW w:w="1440" w:type="dxa"/>
            <w:tcBorders>
              <w:top w:val="single" w:sz="8" w:space="0" w:color="auto"/>
              <w:left w:val="nil"/>
              <w:bottom w:val="single" w:sz="12" w:space="0" w:color="auto"/>
              <w:right w:val="nil"/>
            </w:tcBorders>
          </w:tcPr>
          <w:p w14:paraId="5450E34C" w14:textId="77777777" w:rsidR="00A230D2" w:rsidRPr="00251A7B" w:rsidRDefault="00A230D2" w:rsidP="005C2414">
            <w:pPr>
              <w:pStyle w:val="Table"/>
              <w:spacing w:line="240" w:lineRule="auto"/>
              <w:jc w:val="center"/>
              <w:rPr>
                <w:rFonts w:ascii="Times New Roman" w:hAnsi="Times New Roman"/>
                <w:sz w:val="18"/>
                <w:szCs w:val="18"/>
              </w:rPr>
            </w:pPr>
            <w:r>
              <w:rPr>
                <w:rFonts w:ascii="Times New Roman" w:hAnsi="Times New Roman"/>
                <w:sz w:val="18"/>
                <w:szCs w:val="18"/>
              </w:rPr>
              <w:t>36</w:t>
            </w:r>
          </w:p>
        </w:tc>
        <w:tc>
          <w:tcPr>
            <w:tcW w:w="1350" w:type="dxa"/>
            <w:tcBorders>
              <w:top w:val="single" w:sz="8" w:space="0" w:color="auto"/>
              <w:left w:val="nil"/>
              <w:bottom w:val="single" w:sz="12" w:space="0" w:color="auto"/>
              <w:right w:val="nil"/>
            </w:tcBorders>
          </w:tcPr>
          <w:p w14:paraId="3E2CAE14" w14:textId="77777777" w:rsidR="00A230D2" w:rsidRPr="00251A7B" w:rsidRDefault="00A230D2" w:rsidP="005C2414">
            <w:pPr>
              <w:pStyle w:val="Table"/>
              <w:spacing w:line="240" w:lineRule="auto"/>
              <w:jc w:val="center"/>
              <w:rPr>
                <w:rFonts w:ascii="Times New Roman" w:hAnsi="Times New Roman"/>
                <w:sz w:val="18"/>
                <w:szCs w:val="18"/>
              </w:rPr>
            </w:pPr>
            <w:r w:rsidRPr="00251A7B">
              <w:rPr>
                <w:rFonts w:ascii="Times New Roman" w:hAnsi="Times New Roman"/>
                <w:sz w:val="18"/>
                <w:szCs w:val="18"/>
              </w:rPr>
              <w:t>1</w:t>
            </w:r>
          </w:p>
        </w:tc>
        <w:tc>
          <w:tcPr>
            <w:tcW w:w="1170" w:type="dxa"/>
            <w:tcBorders>
              <w:top w:val="single" w:sz="8" w:space="0" w:color="auto"/>
              <w:left w:val="nil"/>
              <w:bottom w:val="single" w:sz="12" w:space="0" w:color="auto"/>
              <w:right w:val="nil"/>
            </w:tcBorders>
          </w:tcPr>
          <w:p w14:paraId="531F1C71" w14:textId="77777777" w:rsidR="00A230D2" w:rsidRPr="00251A7B" w:rsidRDefault="00A230D2" w:rsidP="005C2414">
            <w:pPr>
              <w:pStyle w:val="Table"/>
              <w:spacing w:line="240" w:lineRule="auto"/>
              <w:jc w:val="center"/>
              <w:rPr>
                <w:rFonts w:ascii="Times New Roman" w:hAnsi="Times New Roman"/>
                <w:sz w:val="18"/>
                <w:szCs w:val="18"/>
              </w:rPr>
            </w:pPr>
            <w:r w:rsidRPr="00251A7B">
              <w:rPr>
                <w:rFonts w:ascii="Times New Roman" w:hAnsi="Times New Roman"/>
                <w:sz w:val="18"/>
                <w:szCs w:val="18"/>
              </w:rPr>
              <w:t>1.0</w:t>
            </w:r>
          </w:p>
        </w:tc>
        <w:tc>
          <w:tcPr>
            <w:tcW w:w="900" w:type="dxa"/>
            <w:tcBorders>
              <w:top w:val="single" w:sz="8" w:space="0" w:color="auto"/>
              <w:left w:val="nil"/>
              <w:bottom w:val="single" w:sz="12" w:space="0" w:color="auto"/>
              <w:right w:val="nil"/>
            </w:tcBorders>
          </w:tcPr>
          <w:p w14:paraId="6B92F975" w14:textId="77777777" w:rsidR="00A230D2" w:rsidRPr="00251A7B" w:rsidRDefault="00A230D2" w:rsidP="005C2414">
            <w:pPr>
              <w:pStyle w:val="Table"/>
              <w:spacing w:line="240" w:lineRule="auto"/>
              <w:jc w:val="center"/>
              <w:rPr>
                <w:rFonts w:ascii="Times New Roman" w:hAnsi="Times New Roman"/>
                <w:sz w:val="18"/>
                <w:szCs w:val="18"/>
              </w:rPr>
            </w:pPr>
            <w:r>
              <w:rPr>
                <w:rFonts w:ascii="Times New Roman" w:hAnsi="Times New Roman"/>
                <w:sz w:val="18"/>
                <w:szCs w:val="18"/>
              </w:rPr>
              <w:t>36</w:t>
            </w:r>
            <w:r w:rsidRPr="00251A7B">
              <w:rPr>
                <w:rFonts w:ascii="Times New Roman" w:hAnsi="Times New Roman"/>
                <w:sz w:val="18"/>
                <w:szCs w:val="18"/>
              </w:rPr>
              <w:t>.0</w:t>
            </w:r>
          </w:p>
        </w:tc>
        <w:tc>
          <w:tcPr>
            <w:tcW w:w="990" w:type="dxa"/>
            <w:tcBorders>
              <w:top w:val="single" w:sz="8" w:space="0" w:color="auto"/>
              <w:left w:val="nil"/>
              <w:bottom w:val="single" w:sz="12" w:space="0" w:color="auto"/>
              <w:right w:val="nil"/>
            </w:tcBorders>
          </w:tcPr>
          <w:p w14:paraId="0078F89E" w14:textId="77777777" w:rsidR="00A230D2" w:rsidRPr="00251A7B" w:rsidRDefault="00A230D2" w:rsidP="005C2414">
            <w:pPr>
              <w:pStyle w:val="Table"/>
              <w:tabs>
                <w:tab w:val="clear" w:pos="720"/>
                <w:tab w:val="clear" w:pos="1080"/>
                <w:tab w:val="clear" w:pos="1440"/>
                <w:tab w:val="clear" w:pos="1800"/>
                <w:tab w:val="decimal" w:pos="425"/>
              </w:tabs>
              <w:spacing w:line="240" w:lineRule="auto"/>
              <w:jc w:val="center"/>
              <w:rPr>
                <w:rFonts w:ascii="Times New Roman" w:hAnsi="Times New Roman"/>
                <w:sz w:val="18"/>
                <w:szCs w:val="18"/>
              </w:rPr>
            </w:pPr>
            <w:r w:rsidRPr="00251A7B">
              <w:rPr>
                <w:rFonts w:ascii="Times New Roman" w:hAnsi="Times New Roman"/>
                <w:sz w:val="18"/>
                <w:szCs w:val="18"/>
              </w:rPr>
              <w:t>$19.27</w:t>
            </w:r>
          </w:p>
        </w:tc>
        <w:tc>
          <w:tcPr>
            <w:tcW w:w="1350" w:type="dxa"/>
            <w:tcBorders>
              <w:top w:val="single" w:sz="8" w:space="0" w:color="auto"/>
              <w:left w:val="nil"/>
              <w:bottom w:val="single" w:sz="12" w:space="0" w:color="auto"/>
              <w:right w:val="nil"/>
            </w:tcBorders>
          </w:tcPr>
          <w:p w14:paraId="3BE6634C" w14:textId="77777777" w:rsidR="00A230D2" w:rsidRPr="00251A7B" w:rsidRDefault="00A230D2" w:rsidP="005C2414">
            <w:pPr>
              <w:pStyle w:val="Table"/>
              <w:tabs>
                <w:tab w:val="clear" w:pos="720"/>
                <w:tab w:val="clear" w:pos="1080"/>
                <w:tab w:val="clear" w:pos="1440"/>
                <w:tab w:val="clear" w:pos="1800"/>
                <w:tab w:val="decimal" w:pos="785"/>
                <w:tab w:val="decimal" w:pos="875"/>
              </w:tabs>
              <w:spacing w:line="240" w:lineRule="auto"/>
              <w:ind w:right="155"/>
              <w:jc w:val="right"/>
              <w:rPr>
                <w:rFonts w:ascii="Times New Roman" w:hAnsi="Times New Roman"/>
                <w:sz w:val="18"/>
                <w:szCs w:val="18"/>
              </w:rPr>
            </w:pPr>
            <w:r w:rsidRPr="00251A7B">
              <w:rPr>
                <w:rFonts w:ascii="Times New Roman" w:hAnsi="Times New Roman"/>
                <w:sz w:val="18"/>
                <w:szCs w:val="18"/>
              </w:rPr>
              <w:t>$</w:t>
            </w:r>
            <w:r>
              <w:rPr>
                <w:rFonts w:ascii="Times New Roman" w:hAnsi="Times New Roman"/>
                <w:sz w:val="18"/>
                <w:szCs w:val="18"/>
              </w:rPr>
              <w:t>693.72</w:t>
            </w:r>
          </w:p>
        </w:tc>
      </w:tr>
      <w:tr w:rsidR="00A230D2" w:rsidRPr="00251A7B" w14:paraId="0424AA5F" w14:textId="77777777" w:rsidTr="005C2414">
        <w:tc>
          <w:tcPr>
            <w:tcW w:w="1645" w:type="dxa"/>
            <w:tcBorders>
              <w:top w:val="single" w:sz="12" w:space="0" w:color="auto"/>
              <w:left w:val="nil"/>
              <w:bottom w:val="single" w:sz="18" w:space="0" w:color="auto"/>
              <w:right w:val="nil"/>
            </w:tcBorders>
          </w:tcPr>
          <w:p w14:paraId="04EFBFB5" w14:textId="77777777" w:rsidR="00A230D2" w:rsidRPr="00251A7B" w:rsidRDefault="00A230D2" w:rsidP="005C2414">
            <w:pPr>
              <w:pStyle w:val="Table"/>
              <w:spacing w:line="240" w:lineRule="auto"/>
              <w:rPr>
                <w:rFonts w:ascii="Times New Roman" w:hAnsi="Times New Roman"/>
                <w:sz w:val="18"/>
                <w:szCs w:val="18"/>
              </w:rPr>
            </w:pPr>
            <w:r w:rsidRPr="00251A7B">
              <w:rPr>
                <w:rFonts w:ascii="Times New Roman" w:hAnsi="Times New Roman"/>
                <w:sz w:val="18"/>
                <w:szCs w:val="18"/>
              </w:rPr>
              <w:t>Total Annual Estimate</w:t>
            </w:r>
          </w:p>
        </w:tc>
        <w:tc>
          <w:tcPr>
            <w:tcW w:w="1440" w:type="dxa"/>
            <w:tcBorders>
              <w:top w:val="single" w:sz="12" w:space="0" w:color="auto"/>
              <w:left w:val="nil"/>
              <w:bottom w:val="single" w:sz="18" w:space="0" w:color="auto"/>
              <w:right w:val="nil"/>
            </w:tcBorders>
          </w:tcPr>
          <w:p w14:paraId="7C9A29CA" w14:textId="77777777" w:rsidR="00A230D2" w:rsidRPr="00251A7B" w:rsidRDefault="00A230D2" w:rsidP="005C2414">
            <w:pPr>
              <w:pStyle w:val="Table"/>
              <w:spacing w:line="240" w:lineRule="auto"/>
              <w:jc w:val="center"/>
              <w:rPr>
                <w:rFonts w:ascii="Times New Roman" w:hAnsi="Times New Roman"/>
                <w:sz w:val="18"/>
                <w:szCs w:val="18"/>
              </w:rPr>
            </w:pPr>
          </w:p>
        </w:tc>
        <w:tc>
          <w:tcPr>
            <w:tcW w:w="1350" w:type="dxa"/>
            <w:tcBorders>
              <w:top w:val="single" w:sz="12" w:space="0" w:color="auto"/>
              <w:left w:val="nil"/>
              <w:bottom w:val="single" w:sz="18" w:space="0" w:color="auto"/>
              <w:right w:val="nil"/>
            </w:tcBorders>
          </w:tcPr>
          <w:p w14:paraId="41421C93" w14:textId="77777777" w:rsidR="00A230D2" w:rsidRPr="00251A7B" w:rsidRDefault="00A230D2" w:rsidP="005C2414">
            <w:pPr>
              <w:pStyle w:val="Table"/>
              <w:spacing w:line="240" w:lineRule="auto"/>
              <w:jc w:val="center"/>
              <w:rPr>
                <w:rFonts w:ascii="Times New Roman" w:hAnsi="Times New Roman"/>
                <w:sz w:val="18"/>
                <w:szCs w:val="18"/>
              </w:rPr>
            </w:pPr>
          </w:p>
        </w:tc>
        <w:tc>
          <w:tcPr>
            <w:tcW w:w="1170" w:type="dxa"/>
            <w:tcBorders>
              <w:top w:val="single" w:sz="12" w:space="0" w:color="auto"/>
              <w:left w:val="nil"/>
              <w:bottom w:val="single" w:sz="18" w:space="0" w:color="auto"/>
              <w:right w:val="nil"/>
            </w:tcBorders>
          </w:tcPr>
          <w:p w14:paraId="204F065A" w14:textId="77777777" w:rsidR="00A230D2" w:rsidRPr="00251A7B" w:rsidRDefault="00A230D2" w:rsidP="005C2414">
            <w:pPr>
              <w:pStyle w:val="Table"/>
              <w:spacing w:line="240" w:lineRule="auto"/>
              <w:jc w:val="center"/>
              <w:rPr>
                <w:rFonts w:ascii="Times New Roman" w:hAnsi="Times New Roman"/>
                <w:sz w:val="18"/>
                <w:szCs w:val="18"/>
              </w:rPr>
            </w:pPr>
          </w:p>
        </w:tc>
        <w:tc>
          <w:tcPr>
            <w:tcW w:w="900" w:type="dxa"/>
            <w:tcBorders>
              <w:top w:val="single" w:sz="12" w:space="0" w:color="auto"/>
              <w:left w:val="nil"/>
              <w:bottom w:val="single" w:sz="18" w:space="0" w:color="auto"/>
              <w:right w:val="nil"/>
            </w:tcBorders>
          </w:tcPr>
          <w:p w14:paraId="12B36119" w14:textId="77777777" w:rsidR="00A230D2" w:rsidRPr="00251A7B" w:rsidRDefault="00A230D2" w:rsidP="005C2414">
            <w:pPr>
              <w:pStyle w:val="Table"/>
              <w:spacing w:line="240" w:lineRule="auto"/>
              <w:jc w:val="center"/>
              <w:rPr>
                <w:rFonts w:ascii="Times New Roman" w:hAnsi="Times New Roman"/>
                <w:sz w:val="18"/>
                <w:szCs w:val="18"/>
              </w:rPr>
            </w:pPr>
            <w:r>
              <w:rPr>
                <w:rFonts w:ascii="Times New Roman" w:hAnsi="Times New Roman"/>
                <w:sz w:val="18"/>
                <w:szCs w:val="18"/>
              </w:rPr>
              <w:t>1176</w:t>
            </w:r>
          </w:p>
        </w:tc>
        <w:tc>
          <w:tcPr>
            <w:tcW w:w="990" w:type="dxa"/>
            <w:tcBorders>
              <w:top w:val="single" w:sz="12" w:space="0" w:color="auto"/>
              <w:left w:val="nil"/>
              <w:bottom w:val="single" w:sz="18" w:space="0" w:color="auto"/>
              <w:right w:val="nil"/>
            </w:tcBorders>
          </w:tcPr>
          <w:p w14:paraId="06A0AA9E" w14:textId="77777777" w:rsidR="00A230D2" w:rsidRPr="00251A7B" w:rsidRDefault="00A230D2" w:rsidP="005C2414">
            <w:pPr>
              <w:pStyle w:val="Table"/>
              <w:tabs>
                <w:tab w:val="clear" w:pos="720"/>
                <w:tab w:val="clear" w:pos="1080"/>
                <w:tab w:val="clear" w:pos="1440"/>
                <w:tab w:val="clear" w:pos="1800"/>
                <w:tab w:val="decimal" w:pos="425"/>
              </w:tabs>
              <w:spacing w:line="240" w:lineRule="auto"/>
              <w:jc w:val="center"/>
              <w:rPr>
                <w:rFonts w:ascii="Times New Roman" w:hAnsi="Times New Roman"/>
                <w:sz w:val="18"/>
                <w:szCs w:val="18"/>
              </w:rPr>
            </w:pPr>
          </w:p>
        </w:tc>
        <w:tc>
          <w:tcPr>
            <w:tcW w:w="1350" w:type="dxa"/>
            <w:tcBorders>
              <w:top w:val="single" w:sz="12" w:space="0" w:color="auto"/>
              <w:left w:val="nil"/>
              <w:bottom w:val="single" w:sz="18" w:space="0" w:color="auto"/>
              <w:right w:val="nil"/>
            </w:tcBorders>
          </w:tcPr>
          <w:p w14:paraId="5CBE1B28" w14:textId="77777777" w:rsidR="00A230D2" w:rsidRPr="00251A7B" w:rsidRDefault="00A230D2" w:rsidP="005C2414">
            <w:pPr>
              <w:pStyle w:val="Table"/>
              <w:tabs>
                <w:tab w:val="clear" w:pos="720"/>
                <w:tab w:val="clear" w:pos="1080"/>
                <w:tab w:val="clear" w:pos="1440"/>
                <w:tab w:val="clear" w:pos="1800"/>
                <w:tab w:val="decimal" w:pos="785"/>
                <w:tab w:val="decimal" w:pos="875"/>
              </w:tabs>
              <w:spacing w:line="240" w:lineRule="auto"/>
              <w:ind w:right="155"/>
              <w:jc w:val="right"/>
              <w:rPr>
                <w:rFonts w:ascii="Times New Roman" w:hAnsi="Times New Roman"/>
                <w:sz w:val="18"/>
                <w:szCs w:val="18"/>
              </w:rPr>
            </w:pPr>
            <w:r w:rsidRPr="00251A7B">
              <w:rPr>
                <w:rFonts w:ascii="Times New Roman" w:hAnsi="Times New Roman"/>
                <w:sz w:val="18"/>
                <w:szCs w:val="18"/>
              </w:rPr>
              <w:t>$</w:t>
            </w:r>
            <w:r w:rsidR="00096E50">
              <w:rPr>
                <w:rFonts w:ascii="Times New Roman" w:hAnsi="Times New Roman"/>
                <w:sz w:val="18"/>
                <w:szCs w:val="18"/>
              </w:rPr>
              <w:t>48,973</w:t>
            </w:r>
            <w:r>
              <w:rPr>
                <w:rFonts w:ascii="Times New Roman" w:hAnsi="Times New Roman"/>
                <w:sz w:val="18"/>
                <w:szCs w:val="18"/>
              </w:rPr>
              <w:t>.</w:t>
            </w:r>
            <w:r w:rsidR="00096E50">
              <w:rPr>
                <w:rFonts w:ascii="Times New Roman" w:hAnsi="Times New Roman"/>
                <w:sz w:val="18"/>
                <w:szCs w:val="18"/>
              </w:rPr>
              <w:t>08</w:t>
            </w:r>
          </w:p>
        </w:tc>
      </w:tr>
    </w:tbl>
    <w:p w14:paraId="0DA8B404" w14:textId="77777777" w:rsidR="00A230D2" w:rsidRPr="00251A7B" w:rsidRDefault="00A230D2" w:rsidP="00A230D2">
      <w:pPr>
        <w:rPr>
          <w:rFonts w:ascii="Times New Roman" w:hAnsi="Times New Roman" w:cs="Times New Roman"/>
        </w:rPr>
      </w:pPr>
    </w:p>
    <w:p w14:paraId="1C0EA518" w14:textId="77777777" w:rsidR="00A230D2" w:rsidRPr="006C6EAA" w:rsidRDefault="00A230D2" w:rsidP="00A230D2">
      <w:pPr>
        <w:rPr>
          <w:rFonts w:ascii="Arial" w:hAnsi="Arial" w:cs="Arial"/>
          <w:b/>
          <w:sz w:val="28"/>
          <w:szCs w:val="28"/>
        </w:rPr>
      </w:pPr>
      <w:r w:rsidRPr="006C6EAA">
        <w:rPr>
          <w:rFonts w:ascii="Arial" w:hAnsi="Arial" w:cs="Arial"/>
          <w:b/>
          <w:sz w:val="28"/>
          <w:szCs w:val="28"/>
        </w:rPr>
        <w:t>A.13.</w:t>
      </w:r>
      <w:r w:rsidRPr="006C6EAA">
        <w:rPr>
          <w:rFonts w:ascii="Arial" w:hAnsi="Arial" w:cs="Arial"/>
          <w:b/>
          <w:sz w:val="28"/>
          <w:szCs w:val="28"/>
        </w:rPr>
        <w:tab/>
        <w:t>Estimates of Other Total Annual Cost Burden to Respondents and Record Keepers</w:t>
      </w:r>
    </w:p>
    <w:p w14:paraId="78E04090" w14:textId="77777777" w:rsidR="00A230D2" w:rsidRPr="006C6EAA" w:rsidRDefault="00A230D2" w:rsidP="00A230D2">
      <w:pPr>
        <w:rPr>
          <w:rFonts w:ascii="Times New Roman" w:hAnsi="Times New Roman" w:cs="Times New Roman"/>
        </w:rPr>
      </w:pPr>
    </w:p>
    <w:p w14:paraId="4E19D304" w14:textId="77777777" w:rsidR="00A230D2" w:rsidRPr="006C6EAA" w:rsidRDefault="00A230D2" w:rsidP="00A230D2">
      <w:pPr>
        <w:rPr>
          <w:rFonts w:ascii="Times New Roman" w:hAnsi="Times New Roman" w:cs="Times New Roman"/>
        </w:rPr>
      </w:pPr>
      <w:r w:rsidRPr="00497131">
        <w:rPr>
          <w:rFonts w:ascii="Times New Roman" w:hAnsi="Times New Roman" w:cs="Times New Roman"/>
        </w:rPr>
        <w:t>The only potential additional cost may be transportation costs incurred by consumers to trav</w:t>
      </w:r>
      <w:r w:rsidRPr="006C6EAA">
        <w:rPr>
          <w:rFonts w:ascii="Times New Roman" w:hAnsi="Times New Roman" w:cs="Times New Roman"/>
        </w:rPr>
        <w:t xml:space="preserve">el to and from the focus group. The </w:t>
      </w:r>
      <w:r>
        <w:rPr>
          <w:rFonts w:ascii="Times New Roman" w:hAnsi="Times New Roman" w:cs="Times New Roman"/>
        </w:rPr>
        <w:t>financial incentive is intended to help off</w:t>
      </w:r>
      <w:r w:rsidRPr="006C6EAA">
        <w:rPr>
          <w:rFonts w:ascii="Times New Roman" w:hAnsi="Times New Roman" w:cs="Times New Roman"/>
        </w:rPr>
        <w:t>set this cost.</w:t>
      </w:r>
    </w:p>
    <w:p w14:paraId="4FC12049" w14:textId="77777777" w:rsidR="00A230D2" w:rsidRPr="006C6EAA" w:rsidRDefault="00A230D2" w:rsidP="00A230D2">
      <w:pPr>
        <w:rPr>
          <w:rFonts w:ascii="Times New Roman" w:hAnsi="Times New Roman" w:cs="Times New Roman"/>
        </w:rPr>
      </w:pPr>
    </w:p>
    <w:p w14:paraId="3F007692" w14:textId="77777777" w:rsidR="00A230D2" w:rsidRPr="006C6EAA" w:rsidRDefault="00A230D2" w:rsidP="00A230D2">
      <w:pPr>
        <w:rPr>
          <w:rFonts w:ascii="Arial" w:hAnsi="Arial" w:cs="Arial"/>
          <w:b/>
          <w:sz w:val="28"/>
          <w:szCs w:val="28"/>
        </w:rPr>
      </w:pPr>
      <w:r w:rsidRPr="006C6EAA">
        <w:rPr>
          <w:rFonts w:ascii="Arial" w:hAnsi="Arial" w:cs="Arial"/>
          <w:b/>
          <w:sz w:val="28"/>
          <w:szCs w:val="28"/>
        </w:rPr>
        <w:t>A.14.</w:t>
      </w:r>
      <w:r w:rsidRPr="006C6EAA">
        <w:rPr>
          <w:rFonts w:ascii="Arial" w:hAnsi="Arial" w:cs="Arial"/>
          <w:b/>
          <w:sz w:val="28"/>
          <w:szCs w:val="28"/>
        </w:rPr>
        <w:tab/>
        <w:t>Annualized Cost to the Federal Government</w:t>
      </w:r>
    </w:p>
    <w:p w14:paraId="0FD1A804" w14:textId="77777777" w:rsidR="00A230D2" w:rsidRPr="006C6EAA" w:rsidRDefault="00A230D2" w:rsidP="00A230D2">
      <w:pPr>
        <w:rPr>
          <w:rFonts w:ascii="Times New Roman" w:hAnsi="Times New Roman" w:cs="Times New Roman"/>
        </w:rPr>
      </w:pPr>
    </w:p>
    <w:p w14:paraId="79276748" w14:textId="77777777" w:rsidR="00A230D2" w:rsidRPr="006C6EAA" w:rsidRDefault="00A230D2" w:rsidP="00A230D2">
      <w:pPr>
        <w:rPr>
          <w:rFonts w:ascii="Times New Roman" w:hAnsi="Times New Roman" w:cs="Times New Roman"/>
        </w:rPr>
      </w:pPr>
      <w:r w:rsidRPr="006C6EAA">
        <w:rPr>
          <w:rFonts w:ascii="Times New Roman" w:hAnsi="Times New Roman" w:cs="Times New Roman"/>
        </w:rPr>
        <w:t>The total cost for the three years of data collection planning, implementation, and reporting is $</w:t>
      </w:r>
      <w:r w:rsidRPr="00497131">
        <w:rPr>
          <w:rFonts w:ascii="Times New Roman" w:hAnsi="Times New Roman" w:cs="Times New Roman"/>
        </w:rPr>
        <w:t>925,516</w:t>
      </w:r>
      <w:r w:rsidRPr="006C6EAA">
        <w:rPr>
          <w:rFonts w:ascii="Times New Roman" w:hAnsi="Times New Roman" w:cs="Times New Roman"/>
        </w:rPr>
        <w:t xml:space="preserve"> or $308,505 per year. These costs include all four data collection elements including protocol development for each component of the evaluation including the development of sampling frames</w:t>
      </w:r>
      <w:r w:rsidRPr="00497131">
        <w:rPr>
          <w:rFonts w:ascii="Times New Roman" w:hAnsi="Times New Roman" w:cs="Times New Roman"/>
        </w:rPr>
        <w:t>,</w:t>
      </w:r>
      <w:r w:rsidRPr="006C6EAA">
        <w:rPr>
          <w:rFonts w:ascii="Times New Roman" w:hAnsi="Times New Roman" w:cs="Times New Roman"/>
        </w:rPr>
        <w:t xml:space="preserve"> costs for the survey vendors to program and implement the two on-line surveys, recruitment of participants, data collection and data coding, and the data analysis and report preparation. </w:t>
      </w:r>
    </w:p>
    <w:p w14:paraId="77B24072" w14:textId="77777777" w:rsidR="00A230D2" w:rsidRPr="00497131" w:rsidRDefault="00A230D2" w:rsidP="00A230D2">
      <w:pPr>
        <w:rPr>
          <w:rFonts w:ascii="Times New Roman" w:hAnsi="Times New Roman" w:cs="Times New Roman"/>
        </w:rPr>
      </w:pPr>
    </w:p>
    <w:p w14:paraId="0C5F4908" w14:textId="77777777" w:rsidR="00A230D2" w:rsidRPr="006C6EAA" w:rsidRDefault="00A230D2" w:rsidP="00A230D2">
      <w:pPr>
        <w:rPr>
          <w:rFonts w:ascii="Arial" w:hAnsi="Arial" w:cs="Arial"/>
          <w:b/>
          <w:sz w:val="28"/>
          <w:szCs w:val="28"/>
        </w:rPr>
      </w:pPr>
      <w:r w:rsidRPr="006C6EAA">
        <w:rPr>
          <w:rFonts w:ascii="Arial" w:hAnsi="Arial" w:cs="Arial"/>
          <w:b/>
          <w:sz w:val="28"/>
          <w:szCs w:val="28"/>
        </w:rPr>
        <w:lastRenderedPageBreak/>
        <w:t>A.15.</w:t>
      </w:r>
      <w:r w:rsidRPr="006C6EAA">
        <w:rPr>
          <w:rFonts w:ascii="Arial" w:hAnsi="Arial" w:cs="Arial"/>
          <w:b/>
          <w:sz w:val="28"/>
          <w:szCs w:val="28"/>
        </w:rPr>
        <w:tab/>
        <w:t>Explanation for Program Changes or Adjustments</w:t>
      </w:r>
    </w:p>
    <w:p w14:paraId="3E8175DF" w14:textId="77777777" w:rsidR="00A230D2" w:rsidRPr="006C6EAA" w:rsidRDefault="00A230D2" w:rsidP="00A230D2">
      <w:pPr>
        <w:rPr>
          <w:rFonts w:ascii="Times New Roman" w:hAnsi="Times New Roman" w:cs="Times New Roman"/>
        </w:rPr>
      </w:pPr>
    </w:p>
    <w:p w14:paraId="0793CE2C" w14:textId="37B7EC43" w:rsidR="00A230D2" w:rsidRPr="006C6EAA" w:rsidRDefault="00A230D2" w:rsidP="00A230D2">
      <w:pPr>
        <w:rPr>
          <w:rFonts w:ascii="Times New Roman" w:hAnsi="Times New Roman" w:cs="Times New Roman"/>
        </w:rPr>
      </w:pPr>
      <w:r w:rsidRPr="006C6EAA">
        <w:rPr>
          <w:rFonts w:ascii="Times New Roman" w:hAnsi="Times New Roman" w:cs="Times New Roman"/>
        </w:rPr>
        <w:t>This submission to OMB is a new request for approval.</w:t>
      </w:r>
      <w:r w:rsidR="003E2CFA">
        <w:rPr>
          <w:rFonts w:ascii="Times New Roman" w:hAnsi="Times New Roman" w:cs="Times New Roman"/>
        </w:rPr>
        <w:t xml:space="preserve"> While no changes were made as a result of public comment during the 60-day review period, edits were made to the organizational survey at this time as a result of three cognitive interviews conducted by RAND during this period. These edits clarified and streamlined the organizational survey. </w:t>
      </w:r>
    </w:p>
    <w:p w14:paraId="4C591F83" w14:textId="77777777" w:rsidR="00A230D2" w:rsidRPr="006C6EAA" w:rsidRDefault="00A230D2" w:rsidP="00A230D2">
      <w:pPr>
        <w:rPr>
          <w:rFonts w:ascii="Times New Roman" w:hAnsi="Times New Roman" w:cs="Times New Roman"/>
        </w:rPr>
      </w:pPr>
    </w:p>
    <w:p w14:paraId="121AC0E8" w14:textId="77777777" w:rsidR="00A230D2" w:rsidRPr="006C6EAA" w:rsidRDefault="00A230D2" w:rsidP="00A230D2">
      <w:pPr>
        <w:rPr>
          <w:rFonts w:ascii="Arial" w:hAnsi="Arial" w:cs="Arial"/>
          <w:b/>
          <w:sz w:val="28"/>
          <w:szCs w:val="28"/>
        </w:rPr>
      </w:pPr>
      <w:r w:rsidRPr="006C6EAA">
        <w:rPr>
          <w:rFonts w:ascii="Arial" w:hAnsi="Arial" w:cs="Arial"/>
          <w:b/>
          <w:sz w:val="28"/>
          <w:szCs w:val="28"/>
        </w:rPr>
        <w:t>A.16. Plans for Tabulation and Publication and Project Time Schedule</w:t>
      </w:r>
    </w:p>
    <w:p w14:paraId="27672F5E" w14:textId="77777777" w:rsidR="00A230D2" w:rsidRPr="006C6EAA" w:rsidRDefault="00A230D2" w:rsidP="00A230D2">
      <w:pPr>
        <w:rPr>
          <w:rFonts w:ascii="Times New Roman" w:hAnsi="Times New Roman" w:cs="Times New Roman"/>
        </w:rPr>
      </w:pPr>
    </w:p>
    <w:p w14:paraId="3C90EDA2" w14:textId="77777777" w:rsidR="00A230D2" w:rsidRPr="006C6EAA" w:rsidRDefault="00A230D2" w:rsidP="00A230D2">
      <w:pPr>
        <w:rPr>
          <w:rFonts w:ascii="Arial" w:hAnsi="Arial" w:cs="Arial"/>
          <w:b/>
          <w:sz w:val="24"/>
          <w:szCs w:val="24"/>
        </w:rPr>
      </w:pPr>
      <w:r w:rsidRPr="006C6EAA">
        <w:rPr>
          <w:rFonts w:ascii="Arial" w:hAnsi="Arial" w:cs="Arial"/>
          <w:b/>
          <w:sz w:val="24"/>
          <w:szCs w:val="24"/>
        </w:rPr>
        <w:t>A.16.1. Analysis Plan</w:t>
      </w:r>
    </w:p>
    <w:p w14:paraId="1EF93A71" w14:textId="77777777" w:rsidR="00A230D2" w:rsidRPr="00251A7B" w:rsidRDefault="00A230D2" w:rsidP="00A230D2">
      <w:pPr>
        <w:rPr>
          <w:rFonts w:ascii="Times New Roman" w:hAnsi="Times New Roman" w:cs="Times New Roman"/>
        </w:rPr>
      </w:pPr>
    </w:p>
    <w:p w14:paraId="5A43CBAE" w14:textId="77777777" w:rsidR="00A230D2" w:rsidRPr="00251A7B" w:rsidRDefault="00A230D2" w:rsidP="00A230D2">
      <w:pPr>
        <w:pStyle w:val="BodyText"/>
        <w:spacing w:line="240" w:lineRule="auto"/>
        <w:rPr>
          <w:szCs w:val="22"/>
        </w:rPr>
      </w:pPr>
      <w:r w:rsidRPr="00251A7B">
        <w:rPr>
          <w:szCs w:val="22"/>
        </w:rPr>
        <w:t>The analysis plan for the C2C Evaluation will be tailored to address each of the study’s research questions. Specifically, the analyses will aim to assess (1) how successful was the spread and uptake of C2C; (2) what organizations did with the C2C materials/messages; (3) how consumers used C2C materials/messages; and (4) to what extent is C2C associated with changes in care utilization. In this section, the analysis plan for the information collected through the two online surveys: organization survey and consumer survey is described. Then the analysis plan for the information collected through the semi-structured interviews and focus groups as part of the case study is discussed.</w:t>
      </w:r>
    </w:p>
    <w:p w14:paraId="75E9A8C0" w14:textId="77777777" w:rsidR="00A230D2" w:rsidRPr="00251A7B" w:rsidRDefault="00A230D2" w:rsidP="00A230D2">
      <w:pPr>
        <w:pStyle w:val="BodyText"/>
        <w:spacing w:line="240" w:lineRule="auto"/>
        <w:rPr>
          <w:szCs w:val="22"/>
        </w:rPr>
      </w:pPr>
    </w:p>
    <w:p w14:paraId="1FFBC616" w14:textId="77777777" w:rsidR="00A230D2" w:rsidRPr="00251A7B" w:rsidRDefault="00A230D2" w:rsidP="00A230D2">
      <w:pPr>
        <w:pStyle w:val="BodyText"/>
        <w:spacing w:line="240" w:lineRule="auto"/>
        <w:rPr>
          <w:szCs w:val="22"/>
        </w:rPr>
      </w:pPr>
      <w:r w:rsidRPr="00251A7B">
        <w:rPr>
          <w:b/>
          <w:szCs w:val="22"/>
        </w:rPr>
        <w:t xml:space="preserve">Analysis of Information from Organizational and Consumer Surveys. </w:t>
      </w:r>
      <w:r w:rsidRPr="00251A7B">
        <w:rPr>
          <w:szCs w:val="22"/>
        </w:rPr>
        <w:t>The analysis of the information collected in the online organizational and consumer surveys will have two main components: (1) development of nonresponse weights for organizational surveys and (2) descriptive analyses.</w:t>
      </w:r>
    </w:p>
    <w:p w14:paraId="18EB090B" w14:textId="77777777" w:rsidR="00A230D2" w:rsidRPr="00251A7B" w:rsidRDefault="00A230D2" w:rsidP="00A230D2">
      <w:pPr>
        <w:autoSpaceDE w:val="0"/>
        <w:autoSpaceDN w:val="0"/>
        <w:adjustRightInd w:val="0"/>
        <w:rPr>
          <w:rFonts w:ascii="Times New Roman" w:hAnsi="Times New Roman" w:cs="Times New Roman"/>
          <w:b/>
          <w:i/>
        </w:rPr>
      </w:pPr>
    </w:p>
    <w:p w14:paraId="0BC6B6AD" w14:textId="77777777" w:rsidR="00A230D2" w:rsidRPr="00251A7B" w:rsidRDefault="00A230D2" w:rsidP="00A230D2">
      <w:pPr>
        <w:autoSpaceDE w:val="0"/>
        <w:autoSpaceDN w:val="0"/>
        <w:adjustRightInd w:val="0"/>
        <w:rPr>
          <w:rFonts w:ascii="Times New Roman" w:hAnsi="Times New Roman" w:cs="Times New Roman"/>
        </w:rPr>
      </w:pPr>
      <w:r w:rsidRPr="00251A7B">
        <w:rPr>
          <w:rFonts w:ascii="Times New Roman" w:hAnsi="Times New Roman" w:cs="Times New Roman"/>
          <w:b/>
        </w:rPr>
        <w:t>(1) Development of nonresponse weights.</w:t>
      </w:r>
      <w:r w:rsidRPr="00251A7B">
        <w:rPr>
          <w:rFonts w:ascii="Times New Roman" w:hAnsi="Times New Roman" w:cs="Times New Roman"/>
          <w:b/>
          <w:i/>
        </w:rPr>
        <w:t xml:space="preserve"> </w:t>
      </w:r>
      <w:r w:rsidRPr="00251A7B">
        <w:rPr>
          <w:rFonts w:ascii="Times New Roman" w:hAnsi="Times New Roman" w:cs="Times New Roman"/>
        </w:rPr>
        <w:t xml:space="preserve">As discussed in Section A.9, we will use a number of strategies to maximize organizational response rates. However, some nonresponse is expected so appropriate statistical procedures to correct for any potential nonresponse bias will be used. With some characteristics of all organizations known a priori, based on geographic characteristics and through information available from ordering histories, non-response weights will be designed based on those program characteristics that will allow for reweighting the sample of survey respondents to be similar to the population of organizations that placed orders for C2C materials. Logistic regression models will be used to predict the propensity of an organization participating in the survey and the inverse of the propensity will be used to construct non-response weights. These obtained weights will be used throughout the analyses for inference. </w:t>
      </w:r>
      <w:r w:rsidRPr="00251A7B">
        <w:rPr>
          <w:rFonts w:ascii="Times New Roman" w:hAnsi="Times New Roman" w:cs="Times New Roman"/>
        </w:rPr>
        <w:br/>
      </w:r>
      <w:r w:rsidRPr="00251A7B">
        <w:rPr>
          <w:rFonts w:ascii="Times New Roman" w:hAnsi="Times New Roman" w:cs="Times New Roman"/>
        </w:rPr>
        <w:br/>
        <w:t>The consumer survey will draw participants from the Knowledge Networks Knowledge Panel®. This probability-based sample will be provided with sampling weights that will be used in analyses to obtain nationally representative findings. A more detailed explanation of the sample calculation is available in Section B.1.2 of Supporting Statement B.</w:t>
      </w:r>
    </w:p>
    <w:p w14:paraId="615ACFDB" w14:textId="77777777" w:rsidR="00A230D2" w:rsidRPr="00251A7B" w:rsidRDefault="00A230D2" w:rsidP="00A230D2">
      <w:pPr>
        <w:autoSpaceDE w:val="0"/>
        <w:autoSpaceDN w:val="0"/>
        <w:adjustRightInd w:val="0"/>
        <w:rPr>
          <w:rFonts w:ascii="Times New Roman" w:hAnsi="Times New Roman" w:cs="Times New Roman"/>
        </w:rPr>
      </w:pPr>
    </w:p>
    <w:p w14:paraId="73E4E98F" w14:textId="77777777" w:rsidR="00A230D2" w:rsidRPr="00251A7B" w:rsidRDefault="00A230D2" w:rsidP="00A230D2">
      <w:pPr>
        <w:autoSpaceDE w:val="0"/>
        <w:autoSpaceDN w:val="0"/>
        <w:adjustRightInd w:val="0"/>
        <w:rPr>
          <w:rFonts w:ascii="Times New Roman" w:hAnsi="Times New Roman" w:cs="Times New Roman"/>
        </w:rPr>
      </w:pPr>
      <w:r w:rsidRPr="00251A7B">
        <w:rPr>
          <w:rFonts w:ascii="Times New Roman" w:hAnsi="Times New Roman" w:cs="Times New Roman"/>
          <w:b/>
        </w:rPr>
        <w:t>(2) Descriptive analyses.</w:t>
      </w:r>
      <w:r w:rsidRPr="00251A7B">
        <w:rPr>
          <w:rFonts w:ascii="Times New Roman" w:hAnsi="Times New Roman" w:cs="Times New Roman"/>
          <w:b/>
          <w:i/>
        </w:rPr>
        <w:t xml:space="preserve"> </w:t>
      </w:r>
      <w:r w:rsidRPr="00251A7B">
        <w:rPr>
          <w:rFonts w:ascii="Times New Roman" w:hAnsi="Times New Roman" w:cs="Times New Roman"/>
        </w:rPr>
        <w:t xml:space="preserve">In order to address the study questions outlined above, summary statistics of the different survey questions (means, percentages) and cross tabulations or two or more questions will be reported in aggregate and for subgroups. For both organizational and consumer surveys, the primary subgroups of interest will be </w:t>
      </w:r>
      <w:r w:rsidRPr="00251A7B">
        <w:rPr>
          <w:rFonts w:ascii="Times New Roman" w:hAnsi="Times New Roman" w:cs="Times New Roman"/>
        </w:rPr>
        <w:lastRenderedPageBreak/>
        <w:t xml:space="preserve">based on the level of C2C saturation within the geographic area where the organization is sited or the consumer resides. Other subgroups of interest for the organizational survey include:   </w:t>
      </w:r>
    </w:p>
    <w:p w14:paraId="2FE10D75" w14:textId="77777777" w:rsidR="00A230D2" w:rsidRPr="00251A7B" w:rsidRDefault="00A230D2" w:rsidP="00A230D2">
      <w:pPr>
        <w:numPr>
          <w:ilvl w:val="0"/>
          <w:numId w:val="3"/>
        </w:numPr>
        <w:tabs>
          <w:tab w:val="left" w:pos="720"/>
          <w:tab w:val="left" w:pos="1080"/>
          <w:tab w:val="left" w:pos="1440"/>
          <w:tab w:val="left" w:pos="1800"/>
        </w:tabs>
        <w:contextualSpacing/>
        <w:rPr>
          <w:rFonts w:ascii="Times New Roman" w:hAnsi="Times New Roman" w:cs="Times New Roman"/>
        </w:rPr>
      </w:pPr>
      <w:r w:rsidRPr="00251A7B">
        <w:rPr>
          <w:rFonts w:ascii="Times New Roman" w:hAnsi="Times New Roman" w:cs="Times New Roman"/>
        </w:rPr>
        <w:t>Perception of C2C value and helpfulness;</w:t>
      </w:r>
      <w:r w:rsidRPr="00251A7B" w:rsidDel="0052417A">
        <w:rPr>
          <w:rFonts w:ascii="Times New Roman" w:hAnsi="Times New Roman" w:cs="Times New Roman"/>
        </w:rPr>
        <w:t xml:space="preserve"> </w:t>
      </w:r>
    </w:p>
    <w:p w14:paraId="67CE1ABE" w14:textId="77777777" w:rsidR="00A230D2" w:rsidRPr="00251A7B" w:rsidRDefault="00A230D2" w:rsidP="00A230D2">
      <w:pPr>
        <w:numPr>
          <w:ilvl w:val="0"/>
          <w:numId w:val="3"/>
        </w:numPr>
        <w:tabs>
          <w:tab w:val="left" w:pos="720"/>
          <w:tab w:val="left" w:pos="1080"/>
          <w:tab w:val="left" w:pos="1440"/>
          <w:tab w:val="left" w:pos="1800"/>
        </w:tabs>
        <w:contextualSpacing/>
        <w:rPr>
          <w:rFonts w:ascii="Times New Roman" w:hAnsi="Times New Roman" w:cs="Times New Roman"/>
        </w:rPr>
      </w:pPr>
      <w:r w:rsidRPr="00251A7B">
        <w:rPr>
          <w:rFonts w:ascii="Times New Roman" w:hAnsi="Times New Roman" w:cs="Times New Roman"/>
        </w:rPr>
        <w:t>Urban versus rural location; and</w:t>
      </w:r>
    </w:p>
    <w:p w14:paraId="68E4D1AC" w14:textId="77777777" w:rsidR="00A230D2" w:rsidRPr="00251A7B" w:rsidRDefault="00A230D2" w:rsidP="00A230D2">
      <w:pPr>
        <w:numPr>
          <w:ilvl w:val="0"/>
          <w:numId w:val="3"/>
        </w:numPr>
        <w:tabs>
          <w:tab w:val="left" w:pos="720"/>
          <w:tab w:val="left" w:pos="1080"/>
          <w:tab w:val="left" w:pos="1440"/>
          <w:tab w:val="left" w:pos="1800"/>
        </w:tabs>
        <w:contextualSpacing/>
        <w:rPr>
          <w:rFonts w:ascii="Times New Roman" w:hAnsi="Times New Roman" w:cs="Times New Roman"/>
        </w:rPr>
      </w:pPr>
      <w:r w:rsidRPr="00251A7B">
        <w:rPr>
          <w:rFonts w:ascii="Times New Roman" w:hAnsi="Times New Roman" w:cs="Times New Roman"/>
        </w:rPr>
        <w:t xml:space="preserve">Demographics of the population served by the organization, based on census characteristics (e.g., racial/ethnic characteristics, rates of insurance. </w:t>
      </w:r>
    </w:p>
    <w:p w14:paraId="2D4CADD8" w14:textId="77777777" w:rsidR="00A230D2" w:rsidRPr="00251A7B" w:rsidRDefault="00A230D2" w:rsidP="00A230D2">
      <w:pPr>
        <w:tabs>
          <w:tab w:val="left" w:pos="720"/>
          <w:tab w:val="left" w:pos="1080"/>
          <w:tab w:val="left" w:pos="1440"/>
          <w:tab w:val="left" w:pos="1800"/>
        </w:tabs>
        <w:contextualSpacing/>
        <w:rPr>
          <w:rFonts w:ascii="Times New Roman" w:hAnsi="Times New Roman" w:cs="Times New Roman"/>
        </w:rPr>
      </w:pPr>
      <w:r w:rsidRPr="00251A7B">
        <w:rPr>
          <w:rFonts w:ascii="Times New Roman" w:hAnsi="Times New Roman" w:cs="Times New Roman"/>
        </w:rPr>
        <w:t>For the consumer survey, we will identify similar subgroups based on individual-level characteristics, rather than geographic characteristics. Additional organization and consumer subgroups that are not anticipated in advance of the data collection may emerge as part of the descriptive analysis.</w:t>
      </w:r>
    </w:p>
    <w:p w14:paraId="71B602B2" w14:textId="77777777" w:rsidR="00A230D2" w:rsidRPr="00251A7B" w:rsidRDefault="00A230D2" w:rsidP="00A230D2">
      <w:pPr>
        <w:autoSpaceDE w:val="0"/>
        <w:autoSpaceDN w:val="0"/>
        <w:adjustRightInd w:val="0"/>
        <w:rPr>
          <w:rFonts w:ascii="Times New Roman" w:hAnsi="Times New Roman" w:cs="Times New Roman"/>
        </w:rPr>
      </w:pPr>
    </w:p>
    <w:p w14:paraId="6E924E96" w14:textId="77777777" w:rsidR="00A230D2" w:rsidRPr="00251A7B" w:rsidRDefault="00A230D2" w:rsidP="00A230D2">
      <w:pPr>
        <w:autoSpaceDE w:val="0"/>
        <w:autoSpaceDN w:val="0"/>
        <w:adjustRightInd w:val="0"/>
        <w:rPr>
          <w:rFonts w:ascii="Times New Roman" w:hAnsi="Times New Roman" w:cs="Times New Roman"/>
        </w:rPr>
      </w:pPr>
      <w:r w:rsidRPr="00251A7B">
        <w:rPr>
          <w:rFonts w:ascii="Times New Roman" w:hAnsi="Times New Roman" w:cs="Times New Roman"/>
        </w:rPr>
        <w:t>T-test or chi-squared tests will be conducted to test for differences across subgroups. Multivariable regression models will also be used to examine the factors associated with key outcomes of interest related to organizational use of C2C materials. For consumer surveys, the primary predictor will be level of C2C saturation.</w:t>
      </w:r>
    </w:p>
    <w:p w14:paraId="7DDDCE4B" w14:textId="77777777" w:rsidR="00A230D2" w:rsidRPr="00251A7B" w:rsidRDefault="00A230D2" w:rsidP="00A230D2">
      <w:pPr>
        <w:pStyle w:val="BodyText"/>
        <w:spacing w:line="240" w:lineRule="auto"/>
        <w:rPr>
          <w:szCs w:val="22"/>
        </w:rPr>
      </w:pPr>
    </w:p>
    <w:p w14:paraId="4140128D" w14:textId="77777777" w:rsidR="00A230D2" w:rsidRPr="00251A7B" w:rsidRDefault="00A230D2" w:rsidP="00A230D2">
      <w:pPr>
        <w:pStyle w:val="BodyText"/>
        <w:spacing w:line="240" w:lineRule="auto"/>
        <w:rPr>
          <w:szCs w:val="22"/>
        </w:rPr>
      </w:pPr>
      <w:r w:rsidRPr="00251A7B">
        <w:rPr>
          <w:b/>
          <w:szCs w:val="22"/>
        </w:rPr>
        <w:t>Analysis of Information from Semi-Structured Interviews.</w:t>
      </w:r>
      <w:r w:rsidRPr="00251A7B">
        <w:rPr>
          <w:szCs w:val="22"/>
        </w:rPr>
        <w:t xml:space="preserve"> Drawing on state-of-the-art practices for analyzing qualitative data,</w:t>
      </w:r>
      <w:r w:rsidRPr="00251A7B">
        <w:rPr>
          <w:rStyle w:val="FootnoteReference"/>
          <w:szCs w:val="22"/>
        </w:rPr>
        <w:footnoteReference w:id="5"/>
      </w:r>
      <w:r w:rsidRPr="00251A7B">
        <w:rPr>
          <w:szCs w:val="22"/>
        </w:rPr>
        <w:t xml:space="preserve"> including grounded theory,</w:t>
      </w:r>
      <w:r w:rsidRPr="00251A7B">
        <w:rPr>
          <w:rStyle w:val="FootnoteReference"/>
          <w:szCs w:val="22"/>
        </w:rPr>
        <w:footnoteReference w:id="6"/>
      </w:r>
      <w:r w:rsidRPr="00251A7B">
        <w:rPr>
          <w:rStyle w:val="FootnoteReference"/>
          <w:szCs w:val="22"/>
        </w:rPr>
        <w:t xml:space="preserve"> </w:t>
      </w:r>
      <w:r w:rsidRPr="00251A7B">
        <w:rPr>
          <w:szCs w:val="22"/>
          <w:vertAlign w:val="superscript"/>
        </w:rPr>
        <w:t>,</w:t>
      </w:r>
      <w:r w:rsidRPr="00251A7B">
        <w:rPr>
          <w:rStyle w:val="FootnoteReference"/>
          <w:szCs w:val="22"/>
        </w:rPr>
        <w:footnoteReference w:id="7"/>
      </w:r>
      <w:r w:rsidRPr="00251A7B">
        <w:rPr>
          <w:szCs w:val="22"/>
        </w:rPr>
        <w:t xml:space="preserve"> the analysis plan for the semi-structured interviews with key staff from organizations and focus groups of consumers will include: (1) identifying themes, (2) building and applying a codebook, (3) describing themes, and (4) identifying patterns. </w:t>
      </w:r>
    </w:p>
    <w:p w14:paraId="52147613" w14:textId="77777777" w:rsidR="00A230D2" w:rsidRPr="00251A7B" w:rsidRDefault="00A230D2" w:rsidP="00A230D2">
      <w:pPr>
        <w:pStyle w:val="BodyText"/>
        <w:spacing w:line="240" w:lineRule="auto"/>
        <w:rPr>
          <w:szCs w:val="22"/>
        </w:rPr>
      </w:pPr>
    </w:p>
    <w:p w14:paraId="7602A259" w14:textId="77777777" w:rsidR="00A230D2" w:rsidRPr="00251A7B" w:rsidRDefault="00A230D2" w:rsidP="00A230D2">
      <w:pPr>
        <w:widowControl w:val="0"/>
        <w:autoSpaceDE w:val="0"/>
        <w:autoSpaceDN w:val="0"/>
        <w:rPr>
          <w:rFonts w:ascii="Times New Roman" w:hAnsi="Times New Roman" w:cs="Times New Roman"/>
        </w:rPr>
      </w:pPr>
      <w:r w:rsidRPr="00251A7B">
        <w:rPr>
          <w:rFonts w:ascii="Times New Roman" w:hAnsi="Times New Roman" w:cs="Times New Roman"/>
          <w:b/>
        </w:rPr>
        <w:t>(1) Identifying themes</w:t>
      </w:r>
      <w:r w:rsidRPr="00251A7B">
        <w:rPr>
          <w:rFonts w:ascii="Times New Roman" w:hAnsi="Times New Roman" w:cs="Times New Roman"/>
        </w:rPr>
        <w:t xml:space="preserve">. To identify themes (the abstract constructs that researchers may identify before, during, and after data collection), a variety of techniques, including those from the analytic tradition of grounded theory, to read a sample of transcripts to look for examples that suggest processes, actions, assumptions, and consequences will be used. Metaphors, repetitions across informants, and shifts in content that may indicate relevant themes will be explored. Text management software (e.g., ATLAS.ti) will be used to review texts and mark instances where each theme occurs. </w:t>
      </w:r>
    </w:p>
    <w:p w14:paraId="5E1B1C4D" w14:textId="77777777" w:rsidR="00A230D2" w:rsidRPr="00251A7B" w:rsidRDefault="00A230D2" w:rsidP="00A230D2">
      <w:pPr>
        <w:widowControl w:val="0"/>
        <w:autoSpaceDE w:val="0"/>
        <w:autoSpaceDN w:val="0"/>
        <w:rPr>
          <w:rFonts w:ascii="Times New Roman" w:hAnsi="Times New Roman" w:cs="Times New Roman"/>
        </w:rPr>
      </w:pPr>
    </w:p>
    <w:p w14:paraId="5119AC6F" w14:textId="77777777" w:rsidR="00A230D2" w:rsidRPr="00251A7B" w:rsidRDefault="00A230D2" w:rsidP="00A230D2">
      <w:pPr>
        <w:widowControl w:val="0"/>
        <w:autoSpaceDE w:val="0"/>
        <w:autoSpaceDN w:val="0"/>
        <w:rPr>
          <w:rFonts w:ascii="Times New Roman" w:hAnsi="Times New Roman" w:cs="Times New Roman"/>
        </w:rPr>
      </w:pPr>
      <w:r w:rsidRPr="00251A7B">
        <w:rPr>
          <w:rFonts w:ascii="Times New Roman" w:hAnsi="Times New Roman" w:cs="Times New Roman"/>
          <w:b/>
        </w:rPr>
        <w:t>(2) Building and applying a codebook</w:t>
      </w:r>
      <w:r w:rsidRPr="00251A7B">
        <w:rPr>
          <w:rFonts w:ascii="Times New Roman" w:hAnsi="Times New Roman" w:cs="Times New Roman"/>
        </w:rPr>
        <w:t xml:space="preserve">. To increase inter-coder reliability and the validity of the findings, a codebook will be developed using standard procedures. Qualitative codebooks, similar to quantitative codebooks, list each theme (rather than each variable) accompanied by a detailed description, inclusion and exclusion criteria, and exemplars. Once the codebook is complete, we will meet to familiarize ourselves with a set of standardized procedures for marking chunks of text that pertain to each theme. To practice the procedures, we will select a random sample of transcript sections that we will each code independently. On completion, the coding will be reviewed as a group. Disagreement among coders will suggest where the codebook may be ambiguous and confusing. Ambiguities will be fixed and additional exemplars will be included in the codebook. The training will continue until coders are familiar with the codebook and can consistently identify and mark each theme when it appears in sample texts. Upon completion of the training, two coders will analyze each interview. The first coder will take the first pass at marking the text for themes. The second </w:t>
      </w:r>
      <w:r w:rsidRPr="00251A7B">
        <w:rPr>
          <w:rFonts w:ascii="Times New Roman" w:hAnsi="Times New Roman" w:cs="Times New Roman"/>
        </w:rPr>
        <w:lastRenderedPageBreak/>
        <w:t>coder will re-examine the text to assure that no themes have been missed. In an exploratory analysis like this, we are more concerned with finding all examples of a theme and less concerned with calculating a measure of inter-coder agreement. Using two coders helps us accomplish this goal.</w:t>
      </w:r>
      <w:r w:rsidRPr="00251A7B">
        <w:rPr>
          <w:rStyle w:val="CommentReference"/>
          <w:rFonts w:ascii="Times New Roman" w:hAnsi="Times New Roman" w:cs="Times New Roman"/>
        </w:rPr>
        <w:t xml:space="preserve"> </w:t>
      </w:r>
    </w:p>
    <w:p w14:paraId="60F8FED5" w14:textId="77777777" w:rsidR="00A230D2" w:rsidRPr="00251A7B" w:rsidRDefault="00A230D2" w:rsidP="00A230D2">
      <w:pPr>
        <w:widowControl w:val="0"/>
        <w:autoSpaceDE w:val="0"/>
        <w:autoSpaceDN w:val="0"/>
        <w:rPr>
          <w:rFonts w:ascii="Times New Roman" w:hAnsi="Times New Roman" w:cs="Times New Roman"/>
          <w:b/>
        </w:rPr>
      </w:pPr>
    </w:p>
    <w:p w14:paraId="4B55096B" w14:textId="77777777" w:rsidR="00A230D2" w:rsidRPr="00251A7B" w:rsidRDefault="00A230D2" w:rsidP="00A230D2">
      <w:pPr>
        <w:widowControl w:val="0"/>
        <w:autoSpaceDE w:val="0"/>
        <w:autoSpaceDN w:val="0"/>
        <w:rPr>
          <w:rFonts w:ascii="Times New Roman" w:hAnsi="Times New Roman" w:cs="Times New Roman"/>
        </w:rPr>
      </w:pPr>
      <w:r w:rsidRPr="00251A7B">
        <w:rPr>
          <w:rFonts w:ascii="Times New Roman" w:hAnsi="Times New Roman" w:cs="Times New Roman"/>
          <w:b/>
        </w:rPr>
        <w:t>(3) Describing themes</w:t>
      </w:r>
      <w:r w:rsidRPr="00251A7B">
        <w:rPr>
          <w:rFonts w:ascii="Times New Roman" w:hAnsi="Times New Roman" w:cs="Times New Roman"/>
        </w:rPr>
        <w:t xml:space="preserve">. Once coding is complete, we will use the coding software to retrieve all instances of each theme. We will review these instances and describe the theme by presenting segments of text—paraphrases of cases and verbatim quotes from informants—as typical and atypical examples of concepts. We will also examine the distribution of the theme across all groups. </w:t>
      </w:r>
    </w:p>
    <w:p w14:paraId="1857381F" w14:textId="77777777" w:rsidR="00A230D2" w:rsidRPr="00251A7B" w:rsidRDefault="00A230D2" w:rsidP="00A230D2">
      <w:pPr>
        <w:widowControl w:val="0"/>
        <w:autoSpaceDE w:val="0"/>
        <w:autoSpaceDN w:val="0"/>
        <w:rPr>
          <w:rFonts w:ascii="Times New Roman" w:hAnsi="Times New Roman" w:cs="Times New Roman"/>
        </w:rPr>
      </w:pPr>
    </w:p>
    <w:p w14:paraId="6510C677" w14:textId="77777777" w:rsidR="00A230D2" w:rsidRPr="00251A7B" w:rsidRDefault="00A230D2" w:rsidP="00A230D2">
      <w:pPr>
        <w:widowControl w:val="0"/>
        <w:autoSpaceDE w:val="0"/>
        <w:autoSpaceDN w:val="0"/>
        <w:rPr>
          <w:rFonts w:ascii="Times New Roman" w:hAnsi="Times New Roman" w:cs="Times New Roman"/>
        </w:rPr>
      </w:pPr>
      <w:r w:rsidRPr="00251A7B">
        <w:rPr>
          <w:rFonts w:ascii="Times New Roman" w:hAnsi="Times New Roman" w:cs="Times New Roman"/>
          <w:b/>
        </w:rPr>
        <w:t>(4) Identifying patterns</w:t>
      </w:r>
      <w:r w:rsidRPr="00251A7B">
        <w:rPr>
          <w:rFonts w:ascii="Times New Roman" w:hAnsi="Times New Roman" w:cs="Times New Roman"/>
        </w:rPr>
        <w:t xml:space="preserve">. There are two types of patterns we will explore: (1) “cross group” themes that cut across all respondents and (2) “within-group” thematic similarities and differences that appear within respondent sub-groups. We will examine to what degree themes are central or peripheral to group members and how they might be distributed across various group characteristics. Finally, we will identify how themes from the qualitative interviews are linked to survey data. For example, we may sort the qualitative themes and map to categories in the quantitative data. Then, we will note the extent to which the interview data expand or align with a quantitative data point, or contradict a survey finding. </w:t>
      </w:r>
    </w:p>
    <w:p w14:paraId="4F9AAED4" w14:textId="77777777" w:rsidR="00A230D2" w:rsidRPr="00251A7B" w:rsidRDefault="00A230D2" w:rsidP="00A230D2">
      <w:pPr>
        <w:rPr>
          <w:rFonts w:ascii="Times New Roman" w:hAnsi="Times New Roman" w:cs="Times New Roman"/>
          <w:highlight w:val="yellow"/>
        </w:rPr>
      </w:pPr>
    </w:p>
    <w:p w14:paraId="7C31CE8F" w14:textId="77777777" w:rsidR="00A230D2" w:rsidRPr="006C6EAA" w:rsidRDefault="00A230D2" w:rsidP="00A230D2">
      <w:pPr>
        <w:rPr>
          <w:rFonts w:ascii="Arial" w:hAnsi="Arial" w:cs="Arial"/>
          <w:b/>
          <w:sz w:val="24"/>
          <w:szCs w:val="24"/>
        </w:rPr>
      </w:pPr>
      <w:r w:rsidRPr="006F56F0">
        <w:rPr>
          <w:rFonts w:ascii="Arial" w:hAnsi="Arial" w:cs="Arial"/>
          <w:b/>
          <w:sz w:val="24"/>
          <w:szCs w:val="24"/>
        </w:rPr>
        <w:t>A.16.2. Time Schedule and Publications</w:t>
      </w:r>
    </w:p>
    <w:p w14:paraId="1DCE3219" w14:textId="77777777" w:rsidR="00A230D2" w:rsidRPr="00251A7B" w:rsidRDefault="00A230D2" w:rsidP="00A230D2">
      <w:pPr>
        <w:rPr>
          <w:rFonts w:ascii="Times New Roman" w:hAnsi="Times New Roman" w:cs="Times New Roman"/>
        </w:rPr>
      </w:pPr>
    </w:p>
    <w:p w14:paraId="0A649D29" w14:textId="77777777" w:rsidR="00A230D2" w:rsidRPr="00251A7B" w:rsidRDefault="00A230D2" w:rsidP="00A230D2">
      <w:pPr>
        <w:pStyle w:val="BodyText"/>
        <w:spacing w:line="240" w:lineRule="auto"/>
        <w:rPr>
          <w:szCs w:val="22"/>
        </w:rPr>
      </w:pPr>
      <w:r w:rsidRPr="00251A7B">
        <w:rPr>
          <w:szCs w:val="22"/>
        </w:rPr>
        <w:t>Exhibit A.16.1 details the timeline for surveys with organizations and consumers and Exhibit A.16.2 details the timeline for the case study.</w:t>
      </w:r>
    </w:p>
    <w:p w14:paraId="50EDEA96" w14:textId="77777777" w:rsidR="00A230D2" w:rsidRPr="00251A7B" w:rsidRDefault="00A230D2" w:rsidP="00A230D2">
      <w:pPr>
        <w:pStyle w:val="BodyText"/>
        <w:spacing w:line="240" w:lineRule="auto"/>
        <w:rPr>
          <w:szCs w:val="22"/>
        </w:rPr>
      </w:pPr>
    </w:p>
    <w:tbl>
      <w:tblPr>
        <w:tblW w:w="8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35"/>
        <w:gridCol w:w="2970"/>
        <w:gridCol w:w="3060"/>
      </w:tblGrid>
      <w:tr w:rsidR="00A230D2" w:rsidRPr="006C6EAA" w14:paraId="7CB38403" w14:textId="77777777" w:rsidTr="005C2414">
        <w:tc>
          <w:tcPr>
            <w:tcW w:w="8665" w:type="dxa"/>
            <w:gridSpan w:val="3"/>
            <w:tcBorders>
              <w:top w:val="single" w:sz="18" w:space="0" w:color="auto"/>
              <w:left w:val="nil"/>
              <w:bottom w:val="single" w:sz="8" w:space="0" w:color="auto"/>
              <w:right w:val="nil"/>
            </w:tcBorders>
            <w:vAlign w:val="bottom"/>
          </w:tcPr>
          <w:p w14:paraId="524D5B47" w14:textId="77777777" w:rsidR="00A230D2" w:rsidRPr="00251A7B" w:rsidRDefault="00A230D2" w:rsidP="005C2414">
            <w:pPr>
              <w:pStyle w:val="Table"/>
              <w:spacing w:line="240" w:lineRule="auto"/>
              <w:rPr>
                <w:rFonts w:ascii="Times New Roman" w:hAnsi="Times New Roman"/>
                <w:b/>
                <w:sz w:val="22"/>
                <w:szCs w:val="22"/>
              </w:rPr>
            </w:pPr>
            <w:r w:rsidRPr="00251A7B">
              <w:rPr>
                <w:rFonts w:ascii="Times New Roman" w:hAnsi="Times New Roman"/>
                <w:b/>
                <w:sz w:val="22"/>
                <w:szCs w:val="22"/>
              </w:rPr>
              <w:t>Exhibit A.16.1 Timeline for Surveys with organizations and consumers</w:t>
            </w:r>
          </w:p>
        </w:tc>
      </w:tr>
      <w:tr w:rsidR="00A230D2" w:rsidRPr="00251A7B" w14:paraId="35C4F76A" w14:textId="77777777" w:rsidTr="005C2414">
        <w:tc>
          <w:tcPr>
            <w:tcW w:w="2635" w:type="dxa"/>
            <w:tcBorders>
              <w:top w:val="single" w:sz="18" w:space="0" w:color="auto"/>
              <w:left w:val="nil"/>
              <w:bottom w:val="single" w:sz="8" w:space="0" w:color="auto"/>
              <w:right w:val="nil"/>
            </w:tcBorders>
            <w:vAlign w:val="bottom"/>
          </w:tcPr>
          <w:p w14:paraId="0DDC6366" w14:textId="77777777" w:rsidR="00A230D2" w:rsidRPr="00251A7B" w:rsidRDefault="00A230D2" w:rsidP="005C2414">
            <w:pPr>
              <w:pStyle w:val="Table"/>
              <w:spacing w:line="240" w:lineRule="auto"/>
              <w:jc w:val="center"/>
              <w:rPr>
                <w:rFonts w:ascii="Times New Roman" w:hAnsi="Times New Roman"/>
                <w:b/>
                <w:sz w:val="18"/>
                <w:szCs w:val="18"/>
              </w:rPr>
            </w:pPr>
            <w:r w:rsidRPr="00251A7B">
              <w:rPr>
                <w:rFonts w:ascii="Times New Roman" w:hAnsi="Times New Roman"/>
                <w:b/>
                <w:sz w:val="18"/>
                <w:szCs w:val="18"/>
              </w:rPr>
              <w:t>Task</w:t>
            </w:r>
          </w:p>
        </w:tc>
        <w:tc>
          <w:tcPr>
            <w:tcW w:w="2970" w:type="dxa"/>
            <w:tcBorders>
              <w:top w:val="single" w:sz="18" w:space="0" w:color="auto"/>
              <w:left w:val="nil"/>
              <w:bottom w:val="single" w:sz="8" w:space="0" w:color="auto"/>
              <w:right w:val="nil"/>
            </w:tcBorders>
            <w:vAlign w:val="bottom"/>
          </w:tcPr>
          <w:p w14:paraId="5ADE00B7" w14:textId="77777777" w:rsidR="00A230D2" w:rsidRPr="00251A7B" w:rsidRDefault="00A230D2" w:rsidP="005C2414">
            <w:pPr>
              <w:pStyle w:val="Table"/>
              <w:spacing w:line="240" w:lineRule="auto"/>
              <w:jc w:val="center"/>
              <w:rPr>
                <w:rFonts w:ascii="Times New Roman" w:hAnsi="Times New Roman"/>
                <w:b/>
                <w:sz w:val="18"/>
                <w:szCs w:val="18"/>
              </w:rPr>
            </w:pPr>
            <w:r w:rsidRPr="00251A7B">
              <w:rPr>
                <w:rFonts w:ascii="Times New Roman" w:hAnsi="Times New Roman"/>
                <w:b/>
                <w:sz w:val="18"/>
                <w:szCs w:val="18"/>
              </w:rPr>
              <w:t>Planned Start Date</w:t>
            </w:r>
          </w:p>
        </w:tc>
        <w:tc>
          <w:tcPr>
            <w:tcW w:w="3060" w:type="dxa"/>
            <w:tcBorders>
              <w:top w:val="single" w:sz="18" w:space="0" w:color="auto"/>
              <w:left w:val="nil"/>
              <w:bottom w:val="single" w:sz="8" w:space="0" w:color="auto"/>
              <w:right w:val="nil"/>
            </w:tcBorders>
            <w:vAlign w:val="bottom"/>
          </w:tcPr>
          <w:p w14:paraId="11CE6352" w14:textId="77777777" w:rsidR="00A230D2" w:rsidRPr="00251A7B" w:rsidRDefault="00A230D2" w:rsidP="005C2414">
            <w:pPr>
              <w:pStyle w:val="Table"/>
              <w:spacing w:line="240" w:lineRule="auto"/>
              <w:jc w:val="center"/>
              <w:rPr>
                <w:rFonts w:ascii="Times New Roman" w:hAnsi="Times New Roman"/>
                <w:b/>
                <w:sz w:val="18"/>
                <w:szCs w:val="18"/>
              </w:rPr>
            </w:pPr>
            <w:r w:rsidRPr="00251A7B">
              <w:rPr>
                <w:rFonts w:ascii="Times New Roman" w:hAnsi="Times New Roman"/>
                <w:b/>
                <w:sz w:val="18"/>
                <w:szCs w:val="18"/>
              </w:rPr>
              <w:t>Planned End Date</w:t>
            </w:r>
          </w:p>
        </w:tc>
      </w:tr>
      <w:tr w:rsidR="00A230D2" w:rsidRPr="00251A7B" w14:paraId="654A6BB6" w14:textId="77777777" w:rsidTr="005C2414">
        <w:tc>
          <w:tcPr>
            <w:tcW w:w="2635" w:type="dxa"/>
            <w:tcBorders>
              <w:top w:val="single" w:sz="8" w:space="0" w:color="auto"/>
              <w:left w:val="nil"/>
              <w:bottom w:val="single" w:sz="8" w:space="0" w:color="auto"/>
              <w:right w:val="nil"/>
            </w:tcBorders>
          </w:tcPr>
          <w:p w14:paraId="605460F1" w14:textId="77777777" w:rsidR="00A230D2" w:rsidRPr="00251A7B" w:rsidRDefault="00A230D2" w:rsidP="005C2414">
            <w:pPr>
              <w:pStyle w:val="Table"/>
              <w:tabs>
                <w:tab w:val="center" w:pos="4320"/>
                <w:tab w:val="right" w:pos="8640"/>
              </w:tabs>
              <w:spacing w:line="240" w:lineRule="auto"/>
              <w:rPr>
                <w:rFonts w:ascii="Times New Roman" w:hAnsi="Times New Roman"/>
                <w:sz w:val="18"/>
                <w:szCs w:val="18"/>
              </w:rPr>
            </w:pPr>
            <w:r w:rsidRPr="00251A7B">
              <w:rPr>
                <w:rFonts w:ascii="Times New Roman" w:hAnsi="Times New Roman"/>
                <w:sz w:val="18"/>
                <w:szCs w:val="18"/>
              </w:rPr>
              <w:t>Acquisition of survey frame and file preparation</w:t>
            </w:r>
          </w:p>
        </w:tc>
        <w:tc>
          <w:tcPr>
            <w:tcW w:w="2970" w:type="dxa"/>
            <w:tcBorders>
              <w:top w:val="single" w:sz="8" w:space="0" w:color="auto"/>
              <w:left w:val="nil"/>
              <w:bottom w:val="single" w:sz="8" w:space="0" w:color="auto"/>
              <w:right w:val="nil"/>
            </w:tcBorders>
          </w:tcPr>
          <w:p w14:paraId="2017E9AD" w14:textId="77777777" w:rsidR="00A230D2" w:rsidRPr="00251A7B" w:rsidRDefault="00A230D2" w:rsidP="005C2414">
            <w:pPr>
              <w:pStyle w:val="Table"/>
              <w:tabs>
                <w:tab w:val="center" w:pos="4320"/>
                <w:tab w:val="right" w:pos="8640"/>
              </w:tabs>
              <w:spacing w:line="240" w:lineRule="auto"/>
              <w:jc w:val="center"/>
              <w:rPr>
                <w:rFonts w:ascii="Times New Roman" w:hAnsi="Times New Roman"/>
                <w:sz w:val="18"/>
                <w:szCs w:val="18"/>
              </w:rPr>
            </w:pPr>
            <w:r w:rsidRPr="00251A7B">
              <w:rPr>
                <w:rFonts w:ascii="Times New Roman" w:hAnsi="Times New Roman"/>
                <w:sz w:val="18"/>
                <w:szCs w:val="18"/>
              </w:rPr>
              <w:t>OMB approval</w:t>
            </w:r>
          </w:p>
        </w:tc>
        <w:tc>
          <w:tcPr>
            <w:tcW w:w="3060" w:type="dxa"/>
            <w:tcBorders>
              <w:top w:val="single" w:sz="8" w:space="0" w:color="auto"/>
              <w:left w:val="nil"/>
              <w:bottom w:val="single" w:sz="8" w:space="0" w:color="auto"/>
              <w:right w:val="nil"/>
            </w:tcBorders>
          </w:tcPr>
          <w:p w14:paraId="506C4972" w14:textId="77777777" w:rsidR="00A230D2" w:rsidRPr="00251A7B" w:rsidRDefault="00A230D2" w:rsidP="005C2414">
            <w:pPr>
              <w:pStyle w:val="Table"/>
              <w:tabs>
                <w:tab w:val="center" w:pos="4320"/>
                <w:tab w:val="right" w:pos="8640"/>
              </w:tabs>
              <w:spacing w:line="240" w:lineRule="auto"/>
              <w:jc w:val="center"/>
              <w:rPr>
                <w:rFonts w:ascii="Times New Roman" w:hAnsi="Times New Roman"/>
                <w:sz w:val="18"/>
                <w:szCs w:val="18"/>
              </w:rPr>
            </w:pPr>
            <w:r w:rsidRPr="00251A7B">
              <w:rPr>
                <w:rFonts w:ascii="Times New Roman" w:hAnsi="Times New Roman"/>
                <w:sz w:val="18"/>
                <w:szCs w:val="18"/>
              </w:rPr>
              <w:t>220 days after OMB approval</w:t>
            </w:r>
          </w:p>
        </w:tc>
      </w:tr>
      <w:tr w:rsidR="00A230D2" w:rsidRPr="00251A7B" w14:paraId="13E65693" w14:textId="77777777" w:rsidTr="005C2414">
        <w:tc>
          <w:tcPr>
            <w:tcW w:w="2635" w:type="dxa"/>
            <w:tcBorders>
              <w:top w:val="single" w:sz="8" w:space="0" w:color="auto"/>
              <w:left w:val="nil"/>
              <w:bottom w:val="single" w:sz="8" w:space="0" w:color="auto"/>
              <w:right w:val="nil"/>
            </w:tcBorders>
          </w:tcPr>
          <w:p w14:paraId="73130207" w14:textId="77777777" w:rsidR="00A230D2" w:rsidRPr="00251A7B" w:rsidRDefault="00A230D2" w:rsidP="005C2414">
            <w:pPr>
              <w:pStyle w:val="Table"/>
              <w:tabs>
                <w:tab w:val="center" w:pos="4320"/>
                <w:tab w:val="right" w:pos="8640"/>
              </w:tabs>
              <w:spacing w:line="240" w:lineRule="auto"/>
              <w:rPr>
                <w:rFonts w:ascii="Times New Roman" w:hAnsi="Times New Roman"/>
                <w:sz w:val="18"/>
                <w:szCs w:val="18"/>
              </w:rPr>
            </w:pPr>
            <w:r w:rsidRPr="00251A7B">
              <w:rPr>
                <w:rFonts w:ascii="Times New Roman" w:hAnsi="Times New Roman"/>
                <w:sz w:val="18"/>
                <w:szCs w:val="18"/>
              </w:rPr>
              <w:t>Data collection activities</w:t>
            </w:r>
          </w:p>
        </w:tc>
        <w:tc>
          <w:tcPr>
            <w:tcW w:w="2970" w:type="dxa"/>
            <w:tcBorders>
              <w:top w:val="single" w:sz="8" w:space="0" w:color="auto"/>
              <w:left w:val="nil"/>
              <w:bottom w:val="single" w:sz="8" w:space="0" w:color="auto"/>
              <w:right w:val="nil"/>
            </w:tcBorders>
          </w:tcPr>
          <w:p w14:paraId="3B41A960" w14:textId="77777777" w:rsidR="00A230D2" w:rsidRPr="00251A7B" w:rsidRDefault="00A230D2" w:rsidP="005C2414">
            <w:pPr>
              <w:pStyle w:val="Table"/>
              <w:tabs>
                <w:tab w:val="center" w:pos="4320"/>
                <w:tab w:val="right" w:pos="8640"/>
              </w:tabs>
              <w:spacing w:line="240" w:lineRule="auto"/>
              <w:jc w:val="center"/>
              <w:rPr>
                <w:rFonts w:ascii="Times New Roman" w:hAnsi="Times New Roman"/>
                <w:sz w:val="18"/>
                <w:szCs w:val="18"/>
              </w:rPr>
            </w:pPr>
            <w:r w:rsidRPr="00251A7B">
              <w:rPr>
                <w:rFonts w:ascii="Times New Roman" w:hAnsi="Times New Roman"/>
                <w:sz w:val="18"/>
                <w:szCs w:val="18"/>
              </w:rPr>
              <w:t>30 days after OMB approval</w:t>
            </w:r>
          </w:p>
        </w:tc>
        <w:tc>
          <w:tcPr>
            <w:tcW w:w="3060" w:type="dxa"/>
            <w:tcBorders>
              <w:top w:val="single" w:sz="8" w:space="0" w:color="auto"/>
              <w:left w:val="nil"/>
              <w:bottom w:val="single" w:sz="8" w:space="0" w:color="auto"/>
              <w:right w:val="nil"/>
            </w:tcBorders>
          </w:tcPr>
          <w:p w14:paraId="610B91D4" w14:textId="77777777" w:rsidR="00A230D2" w:rsidRPr="00251A7B" w:rsidRDefault="00A230D2" w:rsidP="005C2414">
            <w:pPr>
              <w:pStyle w:val="Table"/>
              <w:tabs>
                <w:tab w:val="center" w:pos="4320"/>
                <w:tab w:val="right" w:pos="8640"/>
              </w:tabs>
              <w:spacing w:line="240" w:lineRule="auto"/>
              <w:jc w:val="center"/>
              <w:rPr>
                <w:rFonts w:ascii="Times New Roman" w:hAnsi="Times New Roman"/>
                <w:sz w:val="18"/>
                <w:szCs w:val="18"/>
              </w:rPr>
            </w:pPr>
            <w:r w:rsidRPr="00251A7B">
              <w:rPr>
                <w:rFonts w:ascii="Times New Roman" w:hAnsi="Times New Roman"/>
                <w:sz w:val="18"/>
                <w:szCs w:val="18"/>
              </w:rPr>
              <w:t>180 days after OMB approval</w:t>
            </w:r>
          </w:p>
        </w:tc>
      </w:tr>
      <w:tr w:rsidR="00A230D2" w:rsidRPr="00251A7B" w14:paraId="2C95A755" w14:textId="77777777" w:rsidTr="005C2414">
        <w:tc>
          <w:tcPr>
            <w:tcW w:w="2635" w:type="dxa"/>
            <w:tcBorders>
              <w:top w:val="single" w:sz="8" w:space="0" w:color="auto"/>
              <w:left w:val="nil"/>
              <w:bottom w:val="single" w:sz="8" w:space="0" w:color="auto"/>
              <w:right w:val="nil"/>
            </w:tcBorders>
          </w:tcPr>
          <w:p w14:paraId="0693EFBE" w14:textId="77777777" w:rsidR="00A230D2" w:rsidRPr="00251A7B" w:rsidRDefault="00A230D2" w:rsidP="005C2414">
            <w:pPr>
              <w:pStyle w:val="Table"/>
              <w:tabs>
                <w:tab w:val="center" w:pos="4320"/>
                <w:tab w:val="right" w:pos="8640"/>
              </w:tabs>
              <w:spacing w:line="240" w:lineRule="auto"/>
              <w:rPr>
                <w:rFonts w:ascii="Times New Roman" w:hAnsi="Times New Roman"/>
                <w:sz w:val="18"/>
                <w:szCs w:val="18"/>
              </w:rPr>
            </w:pPr>
            <w:r w:rsidRPr="00251A7B">
              <w:rPr>
                <w:rFonts w:ascii="Times New Roman" w:hAnsi="Times New Roman"/>
                <w:sz w:val="18"/>
                <w:szCs w:val="18"/>
              </w:rPr>
              <w:t>Data analysis</w:t>
            </w:r>
          </w:p>
        </w:tc>
        <w:tc>
          <w:tcPr>
            <w:tcW w:w="2970" w:type="dxa"/>
            <w:tcBorders>
              <w:top w:val="single" w:sz="8" w:space="0" w:color="auto"/>
              <w:left w:val="nil"/>
              <w:bottom w:val="single" w:sz="8" w:space="0" w:color="auto"/>
              <w:right w:val="nil"/>
            </w:tcBorders>
          </w:tcPr>
          <w:p w14:paraId="7460F12F" w14:textId="77777777" w:rsidR="00A230D2" w:rsidRPr="00251A7B" w:rsidRDefault="00A230D2" w:rsidP="005C2414">
            <w:pPr>
              <w:pStyle w:val="Table"/>
              <w:tabs>
                <w:tab w:val="center" w:pos="4320"/>
                <w:tab w:val="right" w:pos="8640"/>
              </w:tabs>
              <w:spacing w:line="240" w:lineRule="auto"/>
              <w:jc w:val="center"/>
              <w:rPr>
                <w:rFonts w:ascii="Times New Roman" w:hAnsi="Times New Roman"/>
                <w:sz w:val="18"/>
                <w:szCs w:val="18"/>
              </w:rPr>
            </w:pPr>
            <w:r w:rsidRPr="00251A7B">
              <w:rPr>
                <w:rFonts w:ascii="Times New Roman" w:hAnsi="Times New Roman"/>
                <w:sz w:val="18"/>
                <w:szCs w:val="18"/>
              </w:rPr>
              <w:t>90 days after OMB approval</w:t>
            </w:r>
          </w:p>
        </w:tc>
        <w:tc>
          <w:tcPr>
            <w:tcW w:w="3060" w:type="dxa"/>
            <w:tcBorders>
              <w:top w:val="single" w:sz="8" w:space="0" w:color="auto"/>
              <w:left w:val="nil"/>
              <w:bottom w:val="single" w:sz="8" w:space="0" w:color="auto"/>
              <w:right w:val="nil"/>
            </w:tcBorders>
          </w:tcPr>
          <w:p w14:paraId="46119BDF" w14:textId="77777777" w:rsidR="00A230D2" w:rsidRPr="00251A7B" w:rsidRDefault="00A230D2" w:rsidP="005C2414">
            <w:pPr>
              <w:pStyle w:val="Table"/>
              <w:tabs>
                <w:tab w:val="center" w:pos="4320"/>
                <w:tab w:val="right" w:pos="8640"/>
              </w:tabs>
              <w:spacing w:line="240" w:lineRule="auto"/>
              <w:jc w:val="center"/>
              <w:rPr>
                <w:rFonts w:ascii="Times New Roman" w:hAnsi="Times New Roman"/>
                <w:sz w:val="18"/>
                <w:szCs w:val="18"/>
              </w:rPr>
            </w:pPr>
            <w:r w:rsidRPr="00251A7B">
              <w:rPr>
                <w:rFonts w:ascii="Times New Roman" w:hAnsi="Times New Roman"/>
                <w:sz w:val="18"/>
                <w:szCs w:val="18"/>
              </w:rPr>
              <w:t>450 days after OMB approval</w:t>
            </w:r>
          </w:p>
        </w:tc>
      </w:tr>
      <w:tr w:rsidR="00A230D2" w:rsidRPr="00251A7B" w14:paraId="4889759D" w14:textId="77777777" w:rsidTr="005C2414">
        <w:tc>
          <w:tcPr>
            <w:tcW w:w="2635" w:type="dxa"/>
            <w:tcBorders>
              <w:top w:val="single" w:sz="8" w:space="0" w:color="auto"/>
              <w:left w:val="nil"/>
              <w:bottom w:val="single" w:sz="8" w:space="0" w:color="auto"/>
              <w:right w:val="nil"/>
            </w:tcBorders>
          </w:tcPr>
          <w:p w14:paraId="0441423F" w14:textId="77777777" w:rsidR="00A230D2" w:rsidRPr="00251A7B" w:rsidRDefault="00A230D2" w:rsidP="005C2414">
            <w:pPr>
              <w:pStyle w:val="Table"/>
              <w:tabs>
                <w:tab w:val="center" w:pos="4320"/>
                <w:tab w:val="right" w:pos="8640"/>
              </w:tabs>
              <w:spacing w:line="240" w:lineRule="auto"/>
              <w:rPr>
                <w:rFonts w:ascii="Times New Roman" w:hAnsi="Times New Roman"/>
                <w:sz w:val="18"/>
                <w:szCs w:val="18"/>
              </w:rPr>
            </w:pPr>
            <w:r w:rsidRPr="00251A7B">
              <w:rPr>
                <w:rFonts w:ascii="Times New Roman" w:hAnsi="Times New Roman"/>
                <w:sz w:val="18"/>
                <w:szCs w:val="18"/>
              </w:rPr>
              <w:t>Prepare and submit report</w:t>
            </w:r>
          </w:p>
        </w:tc>
        <w:tc>
          <w:tcPr>
            <w:tcW w:w="2970" w:type="dxa"/>
            <w:tcBorders>
              <w:top w:val="single" w:sz="8" w:space="0" w:color="auto"/>
              <w:left w:val="nil"/>
              <w:bottom w:val="single" w:sz="8" w:space="0" w:color="auto"/>
              <w:right w:val="nil"/>
            </w:tcBorders>
          </w:tcPr>
          <w:p w14:paraId="5697209C" w14:textId="77777777" w:rsidR="00A230D2" w:rsidRPr="00251A7B" w:rsidRDefault="00A230D2" w:rsidP="005C2414">
            <w:pPr>
              <w:pStyle w:val="Table"/>
              <w:tabs>
                <w:tab w:val="center" w:pos="4320"/>
                <w:tab w:val="right" w:pos="8640"/>
              </w:tabs>
              <w:spacing w:line="240" w:lineRule="auto"/>
              <w:jc w:val="center"/>
              <w:rPr>
                <w:rFonts w:ascii="Times New Roman" w:hAnsi="Times New Roman"/>
                <w:sz w:val="18"/>
                <w:szCs w:val="18"/>
              </w:rPr>
            </w:pPr>
            <w:r w:rsidRPr="00251A7B">
              <w:rPr>
                <w:rFonts w:ascii="Times New Roman" w:hAnsi="Times New Roman"/>
                <w:sz w:val="18"/>
                <w:szCs w:val="18"/>
              </w:rPr>
              <w:t>300 days after OMB approval</w:t>
            </w:r>
          </w:p>
        </w:tc>
        <w:tc>
          <w:tcPr>
            <w:tcW w:w="3060" w:type="dxa"/>
            <w:tcBorders>
              <w:top w:val="single" w:sz="8" w:space="0" w:color="auto"/>
              <w:left w:val="nil"/>
              <w:bottom w:val="single" w:sz="8" w:space="0" w:color="auto"/>
              <w:right w:val="nil"/>
            </w:tcBorders>
          </w:tcPr>
          <w:p w14:paraId="7ECAE393" w14:textId="77777777" w:rsidR="00A230D2" w:rsidRPr="00251A7B" w:rsidRDefault="00A230D2" w:rsidP="005C2414">
            <w:pPr>
              <w:pStyle w:val="Table"/>
              <w:tabs>
                <w:tab w:val="center" w:pos="4320"/>
                <w:tab w:val="right" w:pos="8640"/>
              </w:tabs>
              <w:spacing w:line="240" w:lineRule="auto"/>
              <w:jc w:val="center"/>
              <w:rPr>
                <w:rFonts w:ascii="Times New Roman" w:hAnsi="Times New Roman"/>
                <w:sz w:val="18"/>
                <w:szCs w:val="18"/>
              </w:rPr>
            </w:pPr>
            <w:r w:rsidRPr="00251A7B">
              <w:rPr>
                <w:rFonts w:ascii="Times New Roman" w:hAnsi="Times New Roman"/>
                <w:sz w:val="18"/>
                <w:szCs w:val="18"/>
              </w:rPr>
              <w:t>450 days after OMB approval</w:t>
            </w:r>
          </w:p>
        </w:tc>
      </w:tr>
    </w:tbl>
    <w:p w14:paraId="5C71E193" w14:textId="77777777" w:rsidR="00A230D2" w:rsidRPr="00251A7B" w:rsidRDefault="00A230D2" w:rsidP="00A230D2">
      <w:pPr>
        <w:rPr>
          <w:rFonts w:ascii="Times New Roman" w:hAnsi="Times New Roman" w:cs="Times New Roman"/>
          <w:b/>
          <w:bCs/>
          <w:sz w:val="18"/>
          <w:szCs w:val="18"/>
        </w:rPr>
      </w:pPr>
    </w:p>
    <w:p w14:paraId="17E7A091" w14:textId="77777777" w:rsidR="00A230D2" w:rsidRPr="00251A7B" w:rsidRDefault="00A230D2" w:rsidP="00A230D2">
      <w:pPr>
        <w:rPr>
          <w:rFonts w:ascii="Times New Roman" w:hAnsi="Times New Roman" w:cs="Times New Roman"/>
          <w:b/>
          <w:bCs/>
          <w:sz w:val="18"/>
          <w:szCs w:val="18"/>
        </w:rPr>
      </w:pPr>
    </w:p>
    <w:tbl>
      <w:tblPr>
        <w:tblW w:w="8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35"/>
        <w:gridCol w:w="2970"/>
        <w:gridCol w:w="3060"/>
      </w:tblGrid>
      <w:tr w:rsidR="00A230D2" w:rsidRPr="006C6EAA" w14:paraId="3B4C642A" w14:textId="77777777" w:rsidTr="005C2414">
        <w:tc>
          <w:tcPr>
            <w:tcW w:w="8665" w:type="dxa"/>
            <w:gridSpan w:val="3"/>
            <w:tcBorders>
              <w:top w:val="single" w:sz="18" w:space="0" w:color="auto"/>
              <w:left w:val="nil"/>
              <w:bottom w:val="single" w:sz="8" w:space="0" w:color="auto"/>
              <w:right w:val="nil"/>
            </w:tcBorders>
            <w:vAlign w:val="bottom"/>
          </w:tcPr>
          <w:p w14:paraId="2C079E30" w14:textId="77777777" w:rsidR="00A230D2" w:rsidRPr="00251A7B" w:rsidRDefault="00A230D2" w:rsidP="005C2414">
            <w:pPr>
              <w:pStyle w:val="Table"/>
              <w:spacing w:line="240" w:lineRule="auto"/>
              <w:rPr>
                <w:rFonts w:ascii="Times New Roman" w:hAnsi="Times New Roman"/>
                <w:b/>
                <w:sz w:val="22"/>
                <w:szCs w:val="22"/>
              </w:rPr>
            </w:pPr>
            <w:r w:rsidRPr="00251A7B">
              <w:rPr>
                <w:rFonts w:ascii="Times New Roman" w:hAnsi="Times New Roman"/>
                <w:b/>
                <w:sz w:val="22"/>
                <w:szCs w:val="22"/>
              </w:rPr>
              <w:t>Exhibit A.16.2 Timeline for Case Study</w:t>
            </w:r>
          </w:p>
        </w:tc>
      </w:tr>
      <w:tr w:rsidR="00A230D2" w:rsidRPr="006C6EAA" w14:paraId="37C2E0D5" w14:textId="77777777" w:rsidTr="005C2414">
        <w:tc>
          <w:tcPr>
            <w:tcW w:w="2635" w:type="dxa"/>
            <w:tcBorders>
              <w:top w:val="single" w:sz="18" w:space="0" w:color="auto"/>
              <w:left w:val="nil"/>
              <w:bottom w:val="single" w:sz="8" w:space="0" w:color="auto"/>
              <w:right w:val="nil"/>
            </w:tcBorders>
            <w:vAlign w:val="bottom"/>
          </w:tcPr>
          <w:p w14:paraId="7CAB7918" w14:textId="77777777" w:rsidR="00A230D2" w:rsidRPr="00251A7B" w:rsidRDefault="00A230D2" w:rsidP="005C2414">
            <w:pPr>
              <w:pStyle w:val="Table"/>
              <w:spacing w:line="240" w:lineRule="auto"/>
              <w:jc w:val="center"/>
              <w:rPr>
                <w:rFonts w:ascii="Times New Roman" w:hAnsi="Times New Roman"/>
                <w:b/>
                <w:sz w:val="18"/>
                <w:szCs w:val="18"/>
              </w:rPr>
            </w:pPr>
            <w:r w:rsidRPr="00251A7B">
              <w:rPr>
                <w:rFonts w:ascii="Times New Roman" w:hAnsi="Times New Roman"/>
                <w:b/>
                <w:sz w:val="18"/>
                <w:szCs w:val="18"/>
              </w:rPr>
              <w:t>Task</w:t>
            </w:r>
          </w:p>
        </w:tc>
        <w:tc>
          <w:tcPr>
            <w:tcW w:w="2970" w:type="dxa"/>
            <w:tcBorders>
              <w:top w:val="single" w:sz="18" w:space="0" w:color="auto"/>
              <w:left w:val="nil"/>
              <w:bottom w:val="single" w:sz="8" w:space="0" w:color="auto"/>
              <w:right w:val="nil"/>
            </w:tcBorders>
            <w:vAlign w:val="bottom"/>
          </w:tcPr>
          <w:p w14:paraId="595185C1" w14:textId="77777777" w:rsidR="00A230D2" w:rsidRPr="00251A7B" w:rsidRDefault="00A230D2" w:rsidP="005C2414">
            <w:pPr>
              <w:pStyle w:val="Table"/>
              <w:spacing w:line="240" w:lineRule="auto"/>
              <w:jc w:val="center"/>
              <w:rPr>
                <w:rFonts w:ascii="Times New Roman" w:hAnsi="Times New Roman"/>
                <w:b/>
                <w:sz w:val="18"/>
                <w:szCs w:val="18"/>
              </w:rPr>
            </w:pPr>
            <w:r w:rsidRPr="00251A7B">
              <w:rPr>
                <w:rFonts w:ascii="Times New Roman" w:hAnsi="Times New Roman"/>
                <w:b/>
                <w:sz w:val="18"/>
                <w:szCs w:val="18"/>
              </w:rPr>
              <w:t>Planned Start Date</w:t>
            </w:r>
          </w:p>
        </w:tc>
        <w:tc>
          <w:tcPr>
            <w:tcW w:w="3060" w:type="dxa"/>
            <w:tcBorders>
              <w:top w:val="single" w:sz="18" w:space="0" w:color="auto"/>
              <w:left w:val="nil"/>
              <w:bottom w:val="single" w:sz="8" w:space="0" w:color="auto"/>
              <w:right w:val="nil"/>
            </w:tcBorders>
            <w:vAlign w:val="bottom"/>
          </w:tcPr>
          <w:p w14:paraId="278516A8" w14:textId="77777777" w:rsidR="00A230D2" w:rsidRPr="00251A7B" w:rsidRDefault="00A230D2" w:rsidP="005C2414">
            <w:pPr>
              <w:pStyle w:val="Table"/>
              <w:spacing w:line="240" w:lineRule="auto"/>
              <w:jc w:val="center"/>
              <w:rPr>
                <w:rFonts w:ascii="Times New Roman" w:hAnsi="Times New Roman"/>
                <w:b/>
                <w:sz w:val="18"/>
                <w:szCs w:val="18"/>
              </w:rPr>
            </w:pPr>
            <w:r w:rsidRPr="00251A7B">
              <w:rPr>
                <w:rFonts w:ascii="Times New Roman" w:hAnsi="Times New Roman"/>
                <w:b/>
                <w:sz w:val="18"/>
                <w:szCs w:val="18"/>
              </w:rPr>
              <w:t>Planned End Date</w:t>
            </w:r>
          </w:p>
        </w:tc>
      </w:tr>
      <w:tr w:rsidR="00A230D2" w:rsidRPr="006C6EAA" w14:paraId="1CAC5946" w14:textId="77777777" w:rsidTr="005C2414">
        <w:tc>
          <w:tcPr>
            <w:tcW w:w="2635" w:type="dxa"/>
            <w:tcBorders>
              <w:top w:val="single" w:sz="8" w:space="0" w:color="auto"/>
              <w:left w:val="nil"/>
              <w:bottom w:val="single" w:sz="8" w:space="0" w:color="auto"/>
              <w:right w:val="nil"/>
            </w:tcBorders>
          </w:tcPr>
          <w:p w14:paraId="4A380EE4" w14:textId="77777777" w:rsidR="00A230D2" w:rsidRPr="00251A7B" w:rsidRDefault="00A230D2" w:rsidP="005C2414">
            <w:pPr>
              <w:pStyle w:val="Table"/>
              <w:tabs>
                <w:tab w:val="center" w:pos="4320"/>
                <w:tab w:val="right" w:pos="8640"/>
              </w:tabs>
              <w:spacing w:line="240" w:lineRule="auto"/>
              <w:rPr>
                <w:rFonts w:ascii="Times New Roman" w:hAnsi="Times New Roman"/>
                <w:sz w:val="18"/>
                <w:szCs w:val="18"/>
              </w:rPr>
            </w:pPr>
            <w:r w:rsidRPr="00251A7B">
              <w:rPr>
                <w:rFonts w:ascii="Times New Roman" w:hAnsi="Times New Roman"/>
                <w:sz w:val="18"/>
                <w:szCs w:val="18"/>
              </w:rPr>
              <w:t>Sample selection</w:t>
            </w:r>
          </w:p>
        </w:tc>
        <w:tc>
          <w:tcPr>
            <w:tcW w:w="2970" w:type="dxa"/>
            <w:tcBorders>
              <w:top w:val="single" w:sz="8" w:space="0" w:color="auto"/>
              <w:left w:val="nil"/>
              <w:bottom w:val="single" w:sz="8" w:space="0" w:color="auto"/>
              <w:right w:val="nil"/>
            </w:tcBorders>
          </w:tcPr>
          <w:p w14:paraId="63A00D8E" w14:textId="77777777" w:rsidR="00A230D2" w:rsidRPr="00251A7B" w:rsidRDefault="00A230D2" w:rsidP="005C2414">
            <w:pPr>
              <w:pStyle w:val="Table"/>
              <w:tabs>
                <w:tab w:val="center" w:pos="4320"/>
                <w:tab w:val="right" w:pos="8640"/>
              </w:tabs>
              <w:spacing w:line="240" w:lineRule="auto"/>
              <w:jc w:val="center"/>
              <w:rPr>
                <w:rFonts w:ascii="Times New Roman" w:hAnsi="Times New Roman"/>
                <w:sz w:val="18"/>
                <w:szCs w:val="18"/>
              </w:rPr>
            </w:pPr>
            <w:r w:rsidRPr="00251A7B">
              <w:rPr>
                <w:rFonts w:ascii="Times New Roman" w:hAnsi="Times New Roman"/>
                <w:sz w:val="18"/>
                <w:szCs w:val="18"/>
              </w:rPr>
              <w:t>60 days after OMB approval</w:t>
            </w:r>
          </w:p>
        </w:tc>
        <w:tc>
          <w:tcPr>
            <w:tcW w:w="3060" w:type="dxa"/>
            <w:tcBorders>
              <w:top w:val="single" w:sz="8" w:space="0" w:color="auto"/>
              <w:left w:val="nil"/>
              <w:bottom w:val="single" w:sz="8" w:space="0" w:color="auto"/>
              <w:right w:val="nil"/>
            </w:tcBorders>
          </w:tcPr>
          <w:p w14:paraId="0E34DA6E" w14:textId="77777777" w:rsidR="00A230D2" w:rsidRPr="00251A7B" w:rsidRDefault="00A230D2" w:rsidP="005C2414">
            <w:pPr>
              <w:pStyle w:val="Table"/>
              <w:tabs>
                <w:tab w:val="center" w:pos="4320"/>
                <w:tab w:val="right" w:pos="8640"/>
              </w:tabs>
              <w:spacing w:line="240" w:lineRule="auto"/>
              <w:jc w:val="center"/>
              <w:rPr>
                <w:rFonts w:ascii="Times New Roman" w:hAnsi="Times New Roman"/>
                <w:sz w:val="18"/>
                <w:szCs w:val="18"/>
              </w:rPr>
            </w:pPr>
            <w:r w:rsidRPr="00251A7B">
              <w:rPr>
                <w:rFonts w:ascii="Times New Roman" w:hAnsi="Times New Roman"/>
                <w:sz w:val="18"/>
                <w:szCs w:val="18"/>
              </w:rPr>
              <w:t>220 days after OMB approval</w:t>
            </w:r>
          </w:p>
        </w:tc>
      </w:tr>
      <w:tr w:rsidR="00A230D2" w:rsidRPr="006C6EAA" w14:paraId="77C837E9" w14:textId="77777777" w:rsidTr="005C2414">
        <w:tc>
          <w:tcPr>
            <w:tcW w:w="2635" w:type="dxa"/>
            <w:tcBorders>
              <w:top w:val="single" w:sz="8" w:space="0" w:color="auto"/>
              <w:left w:val="nil"/>
              <w:bottom w:val="single" w:sz="8" w:space="0" w:color="auto"/>
              <w:right w:val="nil"/>
            </w:tcBorders>
          </w:tcPr>
          <w:p w14:paraId="1AE98575" w14:textId="77777777" w:rsidR="00A230D2" w:rsidRPr="00251A7B" w:rsidRDefault="00A230D2" w:rsidP="005C2414">
            <w:pPr>
              <w:pStyle w:val="Table"/>
              <w:tabs>
                <w:tab w:val="center" w:pos="4320"/>
                <w:tab w:val="right" w:pos="8640"/>
              </w:tabs>
              <w:spacing w:line="240" w:lineRule="auto"/>
              <w:rPr>
                <w:rFonts w:ascii="Times New Roman" w:hAnsi="Times New Roman"/>
                <w:sz w:val="18"/>
                <w:szCs w:val="18"/>
              </w:rPr>
            </w:pPr>
            <w:r w:rsidRPr="00251A7B">
              <w:rPr>
                <w:rFonts w:ascii="Times New Roman" w:hAnsi="Times New Roman"/>
                <w:sz w:val="18"/>
                <w:szCs w:val="18"/>
              </w:rPr>
              <w:t>Data collection activities</w:t>
            </w:r>
          </w:p>
        </w:tc>
        <w:tc>
          <w:tcPr>
            <w:tcW w:w="2970" w:type="dxa"/>
            <w:tcBorders>
              <w:top w:val="single" w:sz="8" w:space="0" w:color="auto"/>
              <w:left w:val="nil"/>
              <w:bottom w:val="single" w:sz="8" w:space="0" w:color="auto"/>
              <w:right w:val="nil"/>
            </w:tcBorders>
          </w:tcPr>
          <w:p w14:paraId="0BB1A7BC" w14:textId="77777777" w:rsidR="00A230D2" w:rsidRPr="00251A7B" w:rsidRDefault="00A230D2" w:rsidP="005C2414">
            <w:pPr>
              <w:pStyle w:val="Table"/>
              <w:tabs>
                <w:tab w:val="center" w:pos="4320"/>
                <w:tab w:val="right" w:pos="8640"/>
              </w:tabs>
              <w:spacing w:line="240" w:lineRule="auto"/>
              <w:jc w:val="center"/>
              <w:rPr>
                <w:rFonts w:ascii="Times New Roman" w:hAnsi="Times New Roman"/>
                <w:sz w:val="18"/>
                <w:szCs w:val="18"/>
              </w:rPr>
            </w:pPr>
            <w:r w:rsidRPr="00251A7B">
              <w:rPr>
                <w:rFonts w:ascii="Times New Roman" w:hAnsi="Times New Roman"/>
                <w:sz w:val="18"/>
                <w:szCs w:val="18"/>
              </w:rPr>
              <w:t>90 days after OMB approval</w:t>
            </w:r>
          </w:p>
        </w:tc>
        <w:tc>
          <w:tcPr>
            <w:tcW w:w="3060" w:type="dxa"/>
            <w:tcBorders>
              <w:top w:val="single" w:sz="8" w:space="0" w:color="auto"/>
              <w:left w:val="nil"/>
              <w:bottom w:val="single" w:sz="8" w:space="0" w:color="auto"/>
              <w:right w:val="nil"/>
            </w:tcBorders>
          </w:tcPr>
          <w:p w14:paraId="397C7CB0" w14:textId="77777777" w:rsidR="00A230D2" w:rsidRPr="00251A7B" w:rsidRDefault="00A230D2" w:rsidP="005C2414">
            <w:pPr>
              <w:pStyle w:val="Table"/>
              <w:tabs>
                <w:tab w:val="center" w:pos="4320"/>
                <w:tab w:val="right" w:pos="8640"/>
              </w:tabs>
              <w:spacing w:line="240" w:lineRule="auto"/>
              <w:jc w:val="center"/>
              <w:rPr>
                <w:rFonts w:ascii="Times New Roman" w:hAnsi="Times New Roman"/>
                <w:sz w:val="18"/>
                <w:szCs w:val="18"/>
              </w:rPr>
            </w:pPr>
            <w:r w:rsidRPr="00251A7B">
              <w:rPr>
                <w:rFonts w:ascii="Times New Roman" w:hAnsi="Times New Roman"/>
                <w:sz w:val="18"/>
                <w:szCs w:val="18"/>
              </w:rPr>
              <w:t>360 days after OMB approval</w:t>
            </w:r>
          </w:p>
        </w:tc>
      </w:tr>
      <w:tr w:rsidR="00A230D2" w:rsidRPr="006C6EAA" w14:paraId="67531DC9" w14:textId="77777777" w:rsidTr="005C2414">
        <w:tc>
          <w:tcPr>
            <w:tcW w:w="2635" w:type="dxa"/>
            <w:tcBorders>
              <w:top w:val="single" w:sz="8" w:space="0" w:color="auto"/>
              <w:left w:val="nil"/>
              <w:bottom w:val="single" w:sz="8" w:space="0" w:color="auto"/>
              <w:right w:val="nil"/>
            </w:tcBorders>
          </w:tcPr>
          <w:p w14:paraId="5715ECE4" w14:textId="77777777" w:rsidR="00A230D2" w:rsidRPr="00251A7B" w:rsidRDefault="00A230D2" w:rsidP="005C2414">
            <w:pPr>
              <w:pStyle w:val="Table"/>
              <w:tabs>
                <w:tab w:val="center" w:pos="4320"/>
                <w:tab w:val="right" w:pos="8640"/>
              </w:tabs>
              <w:spacing w:line="240" w:lineRule="auto"/>
              <w:rPr>
                <w:rFonts w:ascii="Times New Roman" w:hAnsi="Times New Roman"/>
                <w:sz w:val="18"/>
                <w:szCs w:val="18"/>
              </w:rPr>
            </w:pPr>
            <w:r w:rsidRPr="00251A7B">
              <w:rPr>
                <w:rFonts w:ascii="Times New Roman" w:hAnsi="Times New Roman"/>
                <w:sz w:val="18"/>
                <w:szCs w:val="18"/>
              </w:rPr>
              <w:t>Data analysis</w:t>
            </w:r>
          </w:p>
        </w:tc>
        <w:tc>
          <w:tcPr>
            <w:tcW w:w="2970" w:type="dxa"/>
            <w:tcBorders>
              <w:top w:val="single" w:sz="8" w:space="0" w:color="auto"/>
              <w:left w:val="nil"/>
              <w:bottom w:val="single" w:sz="8" w:space="0" w:color="auto"/>
              <w:right w:val="nil"/>
            </w:tcBorders>
          </w:tcPr>
          <w:p w14:paraId="7F2DBB6B" w14:textId="77777777" w:rsidR="00A230D2" w:rsidRPr="00251A7B" w:rsidRDefault="00A230D2" w:rsidP="005C2414">
            <w:pPr>
              <w:pStyle w:val="Table"/>
              <w:spacing w:line="240" w:lineRule="auto"/>
              <w:jc w:val="center"/>
              <w:rPr>
                <w:rFonts w:ascii="Times New Roman" w:hAnsi="Times New Roman"/>
                <w:sz w:val="18"/>
                <w:szCs w:val="18"/>
                <w:highlight w:val="yellow"/>
              </w:rPr>
            </w:pPr>
            <w:r w:rsidRPr="00251A7B">
              <w:rPr>
                <w:rFonts w:ascii="Times New Roman" w:hAnsi="Times New Roman"/>
                <w:sz w:val="18"/>
                <w:szCs w:val="18"/>
              </w:rPr>
              <w:t>90 days after OMB approval</w:t>
            </w:r>
          </w:p>
        </w:tc>
        <w:tc>
          <w:tcPr>
            <w:tcW w:w="3060" w:type="dxa"/>
            <w:tcBorders>
              <w:top w:val="single" w:sz="8" w:space="0" w:color="auto"/>
              <w:left w:val="nil"/>
              <w:bottom w:val="single" w:sz="8" w:space="0" w:color="auto"/>
              <w:right w:val="nil"/>
            </w:tcBorders>
          </w:tcPr>
          <w:p w14:paraId="187BFAD9" w14:textId="77777777" w:rsidR="00A230D2" w:rsidRPr="00251A7B" w:rsidRDefault="00A230D2" w:rsidP="005C2414">
            <w:pPr>
              <w:pStyle w:val="Table"/>
              <w:spacing w:line="240" w:lineRule="auto"/>
              <w:jc w:val="center"/>
              <w:rPr>
                <w:rFonts w:ascii="Times New Roman" w:hAnsi="Times New Roman"/>
                <w:sz w:val="18"/>
                <w:szCs w:val="18"/>
                <w:highlight w:val="yellow"/>
              </w:rPr>
            </w:pPr>
            <w:r w:rsidRPr="00251A7B">
              <w:rPr>
                <w:rFonts w:ascii="Times New Roman" w:hAnsi="Times New Roman"/>
                <w:sz w:val="18"/>
                <w:szCs w:val="18"/>
              </w:rPr>
              <w:t>420 days after OMB approval</w:t>
            </w:r>
          </w:p>
        </w:tc>
      </w:tr>
      <w:tr w:rsidR="00A230D2" w:rsidRPr="006C6EAA" w14:paraId="79031E00" w14:textId="77777777" w:rsidTr="005C2414">
        <w:tc>
          <w:tcPr>
            <w:tcW w:w="2635" w:type="dxa"/>
            <w:tcBorders>
              <w:top w:val="single" w:sz="8" w:space="0" w:color="auto"/>
              <w:left w:val="nil"/>
              <w:bottom w:val="single" w:sz="8" w:space="0" w:color="auto"/>
              <w:right w:val="nil"/>
            </w:tcBorders>
          </w:tcPr>
          <w:p w14:paraId="7AAAA8BE" w14:textId="77777777" w:rsidR="00A230D2" w:rsidRPr="00251A7B" w:rsidRDefault="00A230D2" w:rsidP="005C2414">
            <w:pPr>
              <w:pStyle w:val="Table"/>
              <w:tabs>
                <w:tab w:val="center" w:pos="4320"/>
                <w:tab w:val="right" w:pos="8640"/>
              </w:tabs>
              <w:spacing w:line="240" w:lineRule="auto"/>
              <w:rPr>
                <w:rFonts w:ascii="Times New Roman" w:hAnsi="Times New Roman"/>
                <w:sz w:val="18"/>
                <w:szCs w:val="18"/>
              </w:rPr>
            </w:pPr>
            <w:r w:rsidRPr="00251A7B">
              <w:rPr>
                <w:rFonts w:ascii="Times New Roman" w:hAnsi="Times New Roman"/>
                <w:sz w:val="18"/>
                <w:szCs w:val="18"/>
              </w:rPr>
              <w:t>Prepare and submit report</w:t>
            </w:r>
          </w:p>
        </w:tc>
        <w:tc>
          <w:tcPr>
            <w:tcW w:w="2970" w:type="dxa"/>
            <w:tcBorders>
              <w:top w:val="single" w:sz="8" w:space="0" w:color="auto"/>
              <w:left w:val="nil"/>
              <w:bottom w:val="single" w:sz="8" w:space="0" w:color="auto"/>
              <w:right w:val="nil"/>
            </w:tcBorders>
          </w:tcPr>
          <w:p w14:paraId="0018837A" w14:textId="77777777" w:rsidR="00A230D2" w:rsidRPr="00251A7B" w:rsidRDefault="00A230D2" w:rsidP="005C2414">
            <w:pPr>
              <w:pStyle w:val="Table"/>
              <w:spacing w:line="240" w:lineRule="auto"/>
              <w:jc w:val="center"/>
              <w:rPr>
                <w:rFonts w:ascii="Times New Roman" w:hAnsi="Times New Roman"/>
                <w:sz w:val="18"/>
                <w:szCs w:val="18"/>
                <w:highlight w:val="yellow"/>
              </w:rPr>
            </w:pPr>
            <w:r w:rsidRPr="00251A7B">
              <w:rPr>
                <w:rFonts w:ascii="Times New Roman" w:hAnsi="Times New Roman"/>
                <w:sz w:val="18"/>
                <w:szCs w:val="18"/>
              </w:rPr>
              <w:t>300 days after OMB approval</w:t>
            </w:r>
          </w:p>
        </w:tc>
        <w:tc>
          <w:tcPr>
            <w:tcW w:w="3060" w:type="dxa"/>
            <w:tcBorders>
              <w:top w:val="single" w:sz="8" w:space="0" w:color="auto"/>
              <w:left w:val="nil"/>
              <w:bottom w:val="single" w:sz="8" w:space="0" w:color="auto"/>
              <w:right w:val="nil"/>
            </w:tcBorders>
          </w:tcPr>
          <w:p w14:paraId="47789BF0" w14:textId="77777777" w:rsidR="00A230D2" w:rsidRPr="00251A7B" w:rsidRDefault="00A230D2" w:rsidP="005C2414">
            <w:pPr>
              <w:pStyle w:val="Table"/>
              <w:spacing w:line="240" w:lineRule="auto"/>
              <w:jc w:val="center"/>
              <w:rPr>
                <w:rFonts w:ascii="Times New Roman" w:hAnsi="Times New Roman"/>
                <w:sz w:val="18"/>
                <w:szCs w:val="18"/>
                <w:highlight w:val="yellow"/>
              </w:rPr>
            </w:pPr>
            <w:r w:rsidRPr="00251A7B">
              <w:rPr>
                <w:rFonts w:ascii="Times New Roman" w:hAnsi="Times New Roman"/>
                <w:sz w:val="18"/>
                <w:szCs w:val="18"/>
              </w:rPr>
              <w:t>450 days after OMB approval</w:t>
            </w:r>
          </w:p>
        </w:tc>
      </w:tr>
    </w:tbl>
    <w:p w14:paraId="07A2EF59" w14:textId="77777777" w:rsidR="00A230D2" w:rsidRPr="00251A7B" w:rsidRDefault="00A230D2" w:rsidP="00A230D2">
      <w:pPr>
        <w:pStyle w:val="BodyText"/>
        <w:spacing w:line="240" w:lineRule="auto"/>
        <w:rPr>
          <w:szCs w:val="22"/>
        </w:rPr>
      </w:pPr>
    </w:p>
    <w:p w14:paraId="10C4DADD" w14:textId="77777777" w:rsidR="00A230D2" w:rsidRPr="00251A7B" w:rsidRDefault="00A230D2" w:rsidP="00A230D2">
      <w:pPr>
        <w:rPr>
          <w:rFonts w:ascii="Times New Roman" w:hAnsi="Times New Roman" w:cs="Times New Roman"/>
        </w:rPr>
      </w:pPr>
      <w:r w:rsidRPr="00251A7B">
        <w:rPr>
          <w:rFonts w:ascii="Times New Roman" w:hAnsi="Times New Roman" w:cs="Times New Roman"/>
        </w:rPr>
        <w:t xml:space="preserve">A final report and at least one research brief will be prepared and delivered five weeks before the project end date (September 2019). The report will have an executive summary that will present key findings as well as answers to the study research questions. The full report will describe the study purpose and research questions, detail the approach and data collection methodology, present the results of the analysis of both the survey data and the case study, and discuss implications of the findings for the CMS Office of Minority Health. </w:t>
      </w:r>
    </w:p>
    <w:p w14:paraId="6B0D063B" w14:textId="77777777" w:rsidR="00A230D2" w:rsidRPr="00251A7B" w:rsidRDefault="00A230D2" w:rsidP="00A230D2">
      <w:pPr>
        <w:rPr>
          <w:rFonts w:ascii="Times New Roman" w:hAnsi="Times New Roman" w:cs="Times New Roman"/>
        </w:rPr>
      </w:pPr>
    </w:p>
    <w:p w14:paraId="6DB4FD3E" w14:textId="77777777" w:rsidR="00A230D2" w:rsidRPr="006C6EAA" w:rsidRDefault="00A230D2" w:rsidP="00A230D2">
      <w:pPr>
        <w:rPr>
          <w:rFonts w:ascii="Arial" w:hAnsi="Arial" w:cs="Arial"/>
          <w:b/>
          <w:sz w:val="28"/>
          <w:szCs w:val="28"/>
        </w:rPr>
      </w:pPr>
      <w:r w:rsidRPr="006C6EAA">
        <w:rPr>
          <w:rFonts w:ascii="Arial" w:hAnsi="Arial" w:cs="Arial"/>
          <w:b/>
          <w:sz w:val="28"/>
          <w:szCs w:val="28"/>
        </w:rPr>
        <w:t xml:space="preserve">A.17. Display of OMB Expiration Date </w:t>
      </w:r>
    </w:p>
    <w:p w14:paraId="53641E72" w14:textId="77777777" w:rsidR="00A230D2" w:rsidRPr="00251A7B" w:rsidRDefault="00A230D2" w:rsidP="00A230D2">
      <w:pPr>
        <w:rPr>
          <w:rFonts w:ascii="Times New Roman" w:hAnsi="Times New Roman" w:cs="Times New Roman"/>
        </w:rPr>
      </w:pPr>
    </w:p>
    <w:p w14:paraId="42F0DD0C" w14:textId="77777777" w:rsidR="00A230D2" w:rsidRPr="00251A7B" w:rsidRDefault="00A230D2" w:rsidP="00A230D2">
      <w:pPr>
        <w:rPr>
          <w:rFonts w:ascii="Times New Roman" w:hAnsi="Times New Roman" w:cs="Times New Roman"/>
          <w:bCs/>
        </w:rPr>
      </w:pPr>
      <w:r w:rsidRPr="00251A7B">
        <w:rPr>
          <w:rFonts w:ascii="Times New Roman" w:hAnsi="Times New Roman" w:cs="Times New Roman"/>
          <w:bCs/>
        </w:rPr>
        <w:lastRenderedPageBreak/>
        <w:t>All instruments involved in this data collection will display the number and expiration date of OMB approval. The OMB number and expiration date will be displayed on the first Web page of the online survey of organizations and the online survey of consumers. The OMB number and expiration date will be read at the start of each semi-structured interview and focus group.</w:t>
      </w:r>
    </w:p>
    <w:p w14:paraId="2D5CE2D6" w14:textId="77777777" w:rsidR="00A230D2" w:rsidRPr="00251A7B" w:rsidRDefault="00A230D2" w:rsidP="00A230D2">
      <w:pPr>
        <w:rPr>
          <w:rFonts w:ascii="Times New Roman" w:hAnsi="Times New Roman" w:cs="Times New Roman"/>
        </w:rPr>
      </w:pPr>
    </w:p>
    <w:p w14:paraId="5F76FE89" w14:textId="77777777" w:rsidR="00A230D2" w:rsidRPr="006C6EAA" w:rsidRDefault="00A230D2" w:rsidP="00A230D2">
      <w:pPr>
        <w:rPr>
          <w:rFonts w:ascii="Arial" w:hAnsi="Arial" w:cs="Arial"/>
          <w:b/>
          <w:sz w:val="28"/>
          <w:szCs w:val="28"/>
        </w:rPr>
      </w:pPr>
      <w:r w:rsidRPr="006C6EAA">
        <w:rPr>
          <w:rFonts w:ascii="Arial" w:hAnsi="Arial" w:cs="Arial"/>
          <w:b/>
          <w:sz w:val="28"/>
          <w:szCs w:val="28"/>
        </w:rPr>
        <w:t>A.18. Exceptions to Certification for Paperwork Reduction Act Submissions</w:t>
      </w:r>
    </w:p>
    <w:p w14:paraId="730FC2F4" w14:textId="77777777" w:rsidR="00A230D2" w:rsidRPr="00251A7B" w:rsidRDefault="00A230D2" w:rsidP="00A230D2">
      <w:pPr>
        <w:rPr>
          <w:rFonts w:ascii="Times New Roman" w:hAnsi="Times New Roman" w:cs="Times New Roman"/>
        </w:rPr>
      </w:pPr>
    </w:p>
    <w:p w14:paraId="3EB70E24" w14:textId="77777777" w:rsidR="00A230D2" w:rsidRPr="00251A7B" w:rsidRDefault="00A230D2" w:rsidP="00A230D2">
      <w:pPr>
        <w:rPr>
          <w:rFonts w:ascii="Times New Roman" w:hAnsi="Times New Roman" w:cs="Times New Roman"/>
        </w:rPr>
      </w:pPr>
      <w:r w:rsidRPr="00251A7B">
        <w:rPr>
          <w:rFonts w:ascii="Times New Roman" w:hAnsi="Times New Roman" w:cs="Times New Roman"/>
        </w:rPr>
        <w:t>No exceptions are necessary for this data collection.</w:t>
      </w:r>
    </w:p>
    <w:p w14:paraId="706E15A9" w14:textId="77777777" w:rsidR="008F2CF8" w:rsidRDefault="008F2CF8" w:rsidP="00A230D2">
      <w:pPr>
        <w:rPr>
          <w:rFonts w:ascii="Times New Roman" w:hAnsi="Times New Roman" w:cs="Times New Roman"/>
          <w:b/>
          <w:sz w:val="28"/>
          <w:szCs w:val="28"/>
        </w:rPr>
      </w:pPr>
      <w:r>
        <w:rPr>
          <w:rFonts w:ascii="Times New Roman" w:hAnsi="Times New Roman" w:cs="Times New Roman"/>
          <w:b/>
          <w:sz w:val="28"/>
          <w:szCs w:val="28"/>
        </w:rPr>
        <w:br w:type="page"/>
      </w:r>
    </w:p>
    <w:p w14:paraId="79D29B86" w14:textId="4186EE3B" w:rsidR="00A230D2" w:rsidRPr="00251A7B" w:rsidRDefault="00A230D2" w:rsidP="00A230D2">
      <w:pPr>
        <w:rPr>
          <w:rFonts w:ascii="Times New Roman" w:hAnsi="Times New Roman" w:cs="Times New Roman"/>
          <w:b/>
          <w:sz w:val="28"/>
          <w:szCs w:val="28"/>
        </w:rPr>
      </w:pPr>
      <w:r w:rsidRPr="00251A7B">
        <w:rPr>
          <w:rFonts w:ascii="Times New Roman" w:hAnsi="Times New Roman" w:cs="Times New Roman"/>
          <w:b/>
          <w:sz w:val="28"/>
          <w:szCs w:val="28"/>
        </w:rPr>
        <w:lastRenderedPageBreak/>
        <w:t>List of Appendices Under Separate Cover</w:t>
      </w:r>
    </w:p>
    <w:p w14:paraId="1FA564A2" w14:textId="77777777" w:rsidR="00A230D2" w:rsidRPr="00251A7B" w:rsidRDefault="00A230D2" w:rsidP="00A230D2">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6858"/>
      </w:tblGrid>
      <w:tr w:rsidR="00A230D2" w:rsidRPr="00251A7B" w14:paraId="24F84AEF" w14:textId="77777777" w:rsidTr="005C2414">
        <w:tc>
          <w:tcPr>
            <w:tcW w:w="1998" w:type="dxa"/>
          </w:tcPr>
          <w:p w14:paraId="2712658F" w14:textId="77777777" w:rsidR="00A230D2" w:rsidRPr="00251A7B" w:rsidRDefault="00A230D2" w:rsidP="005C2414">
            <w:pPr>
              <w:spacing w:before="120" w:after="120"/>
              <w:rPr>
                <w:rFonts w:ascii="Times New Roman" w:hAnsi="Times New Roman" w:cs="Times New Roman"/>
              </w:rPr>
            </w:pPr>
            <w:r w:rsidRPr="00251A7B">
              <w:rPr>
                <w:rFonts w:ascii="Times New Roman" w:hAnsi="Times New Roman" w:cs="Times New Roman"/>
              </w:rPr>
              <w:t>Appendix A</w:t>
            </w:r>
          </w:p>
        </w:tc>
        <w:tc>
          <w:tcPr>
            <w:tcW w:w="6858" w:type="dxa"/>
          </w:tcPr>
          <w:p w14:paraId="07CED61A" w14:textId="77777777" w:rsidR="00A230D2" w:rsidRPr="00251A7B" w:rsidRDefault="00A230D2" w:rsidP="005C2414">
            <w:pPr>
              <w:spacing w:before="120" w:after="120"/>
              <w:rPr>
                <w:rFonts w:ascii="Times New Roman" w:hAnsi="Times New Roman" w:cs="Times New Roman"/>
              </w:rPr>
            </w:pPr>
            <w:r w:rsidRPr="00251A7B">
              <w:rPr>
                <w:rFonts w:ascii="Times New Roman" w:hAnsi="Times New Roman" w:cs="Times New Roman"/>
              </w:rPr>
              <w:t>Organization survey and consent form</w:t>
            </w:r>
          </w:p>
        </w:tc>
      </w:tr>
      <w:tr w:rsidR="00A230D2" w:rsidRPr="00251A7B" w14:paraId="37C12DC5" w14:textId="77777777" w:rsidTr="005C2414">
        <w:tc>
          <w:tcPr>
            <w:tcW w:w="1998" w:type="dxa"/>
          </w:tcPr>
          <w:p w14:paraId="645F8219" w14:textId="77777777" w:rsidR="00A230D2" w:rsidRPr="00251A7B" w:rsidRDefault="00A230D2" w:rsidP="005C2414">
            <w:pPr>
              <w:spacing w:before="120" w:after="120"/>
              <w:rPr>
                <w:rFonts w:ascii="Times New Roman" w:hAnsi="Times New Roman" w:cs="Times New Roman"/>
              </w:rPr>
            </w:pPr>
            <w:r w:rsidRPr="00251A7B">
              <w:rPr>
                <w:rFonts w:ascii="Times New Roman" w:hAnsi="Times New Roman" w:cs="Times New Roman"/>
              </w:rPr>
              <w:t>Appendix B</w:t>
            </w:r>
          </w:p>
        </w:tc>
        <w:tc>
          <w:tcPr>
            <w:tcW w:w="6858" w:type="dxa"/>
          </w:tcPr>
          <w:p w14:paraId="3F0ED9AA" w14:textId="77777777" w:rsidR="00A230D2" w:rsidRPr="00251A7B" w:rsidRDefault="00A230D2" w:rsidP="005C2414">
            <w:pPr>
              <w:spacing w:before="120" w:after="120"/>
              <w:rPr>
                <w:rFonts w:ascii="Times New Roman" w:hAnsi="Times New Roman" w:cs="Times New Roman"/>
              </w:rPr>
            </w:pPr>
            <w:r w:rsidRPr="00251A7B">
              <w:rPr>
                <w:rFonts w:ascii="Times New Roman" w:hAnsi="Times New Roman" w:cs="Times New Roman"/>
              </w:rPr>
              <w:t>Consumer survey and consent form</w:t>
            </w:r>
          </w:p>
        </w:tc>
      </w:tr>
      <w:tr w:rsidR="00A230D2" w:rsidRPr="00251A7B" w14:paraId="5A572C94" w14:textId="77777777" w:rsidTr="005C2414">
        <w:tc>
          <w:tcPr>
            <w:tcW w:w="1998" w:type="dxa"/>
          </w:tcPr>
          <w:p w14:paraId="09059E56" w14:textId="77777777" w:rsidR="00A230D2" w:rsidRPr="00251A7B" w:rsidRDefault="00A230D2" w:rsidP="005C2414">
            <w:pPr>
              <w:spacing w:before="120" w:after="120"/>
              <w:rPr>
                <w:rFonts w:ascii="Times New Roman" w:hAnsi="Times New Roman" w:cs="Times New Roman"/>
              </w:rPr>
            </w:pPr>
            <w:r w:rsidRPr="00251A7B">
              <w:rPr>
                <w:rFonts w:ascii="Times New Roman" w:hAnsi="Times New Roman" w:cs="Times New Roman"/>
              </w:rPr>
              <w:t>Appendix C</w:t>
            </w:r>
          </w:p>
        </w:tc>
        <w:tc>
          <w:tcPr>
            <w:tcW w:w="6858" w:type="dxa"/>
          </w:tcPr>
          <w:p w14:paraId="3797EC76" w14:textId="77777777" w:rsidR="00A230D2" w:rsidRPr="00251A7B" w:rsidRDefault="00A230D2" w:rsidP="005C2414">
            <w:pPr>
              <w:spacing w:before="120" w:after="120"/>
              <w:rPr>
                <w:rFonts w:ascii="Times New Roman" w:hAnsi="Times New Roman" w:cs="Times New Roman"/>
              </w:rPr>
            </w:pPr>
            <w:r w:rsidRPr="00251A7B">
              <w:rPr>
                <w:rFonts w:ascii="Times New Roman" w:hAnsi="Times New Roman" w:cs="Times New Roman"/>
              </w:rPr>
              <w:t xml:space="preserve">Case study: Semi-structured interview guide and consent form </w:t>
            </w:r>
          </w:p>
        </w:tc>
      </w:tr>
      <w:tr w:rsidR="00A230D2" w:rsidRPr="00251A7B" w14:paraId="3EC119D8" w14:textId="77777777" w:rsidTr="005C2414">
        <w:tc>
          <w:tcPr>
            <w:tcW w:w="1998" w:type="dxa"/>
          </w:tcPr>
          <w:p w14:paraId="5D560F11" w14:textId="77777777" w:rsidR="00A230D2" w:rsidRPr="00251A7B" w:rsidRDefault="00A230D2" w:rsidP="005C2414">
            <w:pPr>
              <w:spacing w:before="120" w:after="120"/>
              <w:rPr>
                <w:rFonts w:ascii="Times New Roman" w:hAnsi="Times New Roman" w:cs="Times New Roman"/>
              </w:rPr>
            </w:pPr>
            <w:r w:rsidRPr="00251A7B">
              <w:rPr>
                <w:rFonts w:ascii="Times New Roman" w:hAnsi="Times New Roman" w:cs="Times New Roman"/>
              </w:rPr>
              <w:t>Appendix D</w:t>
            </w:r>
          </w:p>
        </w:tc>
        <w:tc>
          <w:tcPr>
            <w:tcW w:w="6858" w:type="dxa"/>
          </w:tcPr>
          <w:p w14:paraId="498CEF31" w14:textId="77777777" w:rsidR="00A230D2" w:rsidRPr="00251A7B" w:rsidRDefault="00A230D2" w:rsidP="005C2414">
            <w:pPr>
              <w:spacing w:before="120" w:after="120"/>
              <w:rPr>
                <w:rFonts w:ascii="Times New Roman" w:hAnsi="Times New Roman" w:cs="Times New Roman"/>
              </w:rPr>
            </w:pPr>
            <w:r w:rsidRPr="00251A7B">
              <w:rPr>
                <w:rFonts w:ascii="Times New Roman" w:hAnsi="Times New Roman" w:cs="Times New Roman"/>
              </w:rPr>
              <w:t>Case study: Focus group protocol and consent form</w:t>
            </w:r>
          </w:p>
        </w:tc>
      </w:tr>
      <w:tr w:rsidR="00A230D2" w:rsidRPr="00251A7B" w14:paraId="041B1C31" w14:textId="77777777" w:rsidTr="005C2414">
        <w:tc>
          <w:tcPr>
            <w:tcW w:w="1998" w:type="dxa"/>
          </w:tcPr>
          <w:p w14:paraId="110954A7" w14:textId="77777777" w:rsidR="00A230D2" w:rsidRPr="00251A7B" w:rsidRDefault="00A230D2" w:rsidP="005C2414">
            <w:pPr>
              <w:spacing w:before="120" w:after="120"/>
              <w:rPr>
                <w:rFonts w:ascii="Times New Roman" w:hAnsi="Times New Roman" w:cs="Times New Roman"/>
              </w:rPr>
            </w:pPr>
            <w:r w:rsidRPr="00251A7B">
              <w:rPr>
                <w:rFonts w:ascii="Times New Roman" w:hAnsi="Times New Roman" w:cs="Times New Roman"/>
              </w:rPr>
              <w:t>Appendix E</w:t>
            </w:r>
          </w:p>
        </w:tc>
        <w:tc>
          <w:tcPr>
            <w:tcW w:w="6858" w:type="dxa"/>
          </w:tcPr>
          <w:p w14:paraId="2E0154B3" w14:textId="77777777" w:rsidR="00A230D2" w:rsidRPr="00251A7B" w:rsidRDefault="00A230D2" w:rsidP="005C2414">
            <w:pPr>
              <w:spacing w:before="120" w:after="120"/>
              <w:rPr>
                <w:rFonts w:ascii="Times New Roman" w:hAnsi="Times New Roman" w:cs="Times New Roman"/>
              </w:rPr>
            </w:pPr>
            <w:r w:rsidRPr="00251A7B">
              <w:rPr>
                <w:rFonts w:ascii="Times New Roman" w:hAnsi="Times New Roman" w:cs="Times New Roman"/>
              </w:rPr>
              <w:t>Additional study components of relevance to the C2C evaluation that do not require OMB review</w:t>
            </w:r>
          </w:p>
        </w:tc>
      </w:tr>
      <w:tr w:rsidR="00A230D2" w:rsidRPr="00251A7B" w14:paraId="499627F9" w14:textId="77777777" w:rsidTr="005C2414">
        <w:tc>
          <w:tcPr>
            <w:tcW w:w="1998" w:type="dxa"/>
          </w:tcPr>
          <w:p w14:paraId="1F152A04" w14:textId="2F2EE685" w:rsidR="00A230D2" w:rsidRPr="00251A7B" w:rsidRDefault="008F2CF8" w:rsidP="005C2414">
            <w:pPr>
              <w:spacing w:before="120" w:after="120"/>
              <w:rPr>
                <w:rFonts w:ascii="Times New Roman" w:hAnsi="Times New Roman" w:cs="Times New Roman"/>
              </w:rPr>
            </w:pPr>
            <w:r w:rsidRPr="00251A7B">
              <w:rPr>
                <w:rFonts w:ascii="Times New Roman" w:hAnsi="Times New Roman" w:cs="Times New Roman"/>
              </w:rPr>
              <w:t xml:space="preserve">Appendix </w:t>
            </w:r>
            <w:r>
              <w:rPr>
                <w:rFonts w:ascii="Times New Roman" w:hAnsi="Times New Roman" w:cs="Times New Roman"/>
              </w:rPr>
              <w:t>F</w:t>
            </w:r>
          </w:p>
        </w:tc>
        <w:tc>
          <w:tcPr>
            <w:tcW w:w="6858" w:type="dxa"/>
          </w:tcPr>
          <w:p w14:paraId="09F9A75C" w14:textId="2661C57B" w:rsidR="00A230D2" w:rsidRPr="00251A7B" w:rsidRDefault="008F2CF8" w:rsidP="005C2414">
            <w:pPr>
              <w:spacing w:before="120" w:after="120"/>
              <w:rPr>
                <w:rFonts w:ascii="Times New Roman" w:hAnsi="Times New Roman" w:cs="Times New Roman"/>
              </w:rPr>
            </w:pPr>
            <w:r w:rsidRPr="00251A7B">
              <w:rPr>
                <w:rFonts w:ascii="Times New Roman" w:hAnsi="Times New Roman" w:cs="Times New Roman"/>
              </w:rPr>
              <w:t>Recruitment scripts for online surveys, semi-structured interviews and focus groups</w:t>
            </w:r>
          </w:p>
        </w:tc>
      </w:tr>
      <w:tr w:rsidR="00A230D2" w:rsidRPr="00251A7B" w14:paraId="4326034C" w14:textId="77777777" w:rsidTr="005C2414">
        <w:tc>
          <w:tcPr>
            <w:tcW w:w="1998" w:type="dxa"/>
          </w:tcPr>
          <w:p w14:paraId="20885419" w14:textId="3A894F94" w:rsidR="00A230D2" w:rsidRPr="00251A7B" w:rsidRDefault="008F2CF8" w:rsidP="008F2CF8">
            <w:pPr>
              <w:spacing w:before="120" w:after="120"/>
              <w:rPr>
                <w:rFonts w:ascii="Times New Roman" w:hAnsi="Times New Roman" w:cs="Times New Roman"/>
              </w:rPr>
            </w:pPr>
            <w:r w:rsidRPr="00251A7B">
              <w:rPr>
                <w:rFonts w:ascii="Times New Roman" w:hAnsi="Times New Roman" w:cs="Times New Roman"/>
              </w:rPr>
              <w:t xml:space="preserve">Appendix </w:t>
            </w:r>
            <w:r>
              <w:rPr>
                <w:rFonts w:ascii="Times New Roman" w:hAnsi="Times New Roman" w:cs="Times New Roman"/>
              </w:rPr>
              <w:t>G</w:t>
            </w:r>
          </w:p>
        </w:tc>
        <w:tc>
          <w:tcPr>
            <w:tcW w:w="6858" w:type="dxa"/>
          </w:tcPr>
          <w:p w14:paraId="290F185A" w14:textId="69DA381E" w:rsidR="00A230D2" w:rsidRPr="00251A7B" w:rsidRDefault="008F2CF8" w:rsidP="005C2414">
            <w:pPr>
              <w:spacing w:before="120" w:after="120"/>
              <w:rPr>
                <w:rFonts w:ascii="Times New Roman" w:hAnsi="Times New Roman" w:cs="Times New Roman"/>
              </w:rPr>
            </w:pPr>
            <w:r w:rsidRPr="00251A7B">
              <w:rPr>
                <w:rFonts w:ascii="Times New Roman" w:hAnsi="Times New Roman" w:cs="Times New Roman"/>
              </w:rPr>
              <w:t>Letter of support from CMS to be included with recruitment scripts for organizations</w:t>
            </w:r>
          </w:p>
        </w:tc>
      </w:tr>
    </w:tbl>
    <w:p w14:paraId="4DA11A32" w14:textId="77777777" w:rsidR="0025553E" w:rsidRDefault="0025553E"/>
    <w:sectPr w:rsidR="0025553E" w:rsidSect="00A429EE">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EFE3C" w14:textId="77777777" w:rsidR="00D64974" w:rsidRDefault="00D64974" w:rsidP="00A230D2">
      <w:r>
        <w:separator/>
      </w:r>
    </w:p>
  </w:endnote>
  <w:endnote w:type="continuationSeparator" w:id="0">
    <w:p w14:paraId="436CA7C2" w14:textId="77777777" w:rsidR="00D64974" w:rsidRDefault="00D64974" w:rsidP="00A23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E1B7D" w14:textId="77777777" w:rsidR="00D64974" w:rsidRDefault="00D64974" w:rsidP="00A230D2">
      <w:r>
        <w:separator/>
      </w:r>
    </w:p>
  </w:footnote>
  <w:footnote w:type="continuationSeparator" w:id="0">
    <w:p w14:paraId="00C30CE0" w14:textId="77777777" w:rsidR="00D64974" w:rsidRDefault="00D64974" w:rsidP="00A230D2">
      <w:r>
        <w:continuationSeparator/>
      </w:r>
    </w:p>
  </w:footnote>
  <w:footnote w:id="1">
    <w:p w14:paraId="01E30A05" w14:textId="77777777" w:rsidR="00D64974" w:rsidRDefault="00D64974" w:rsidP="00A230D2">
      <w:pPr>
        <w:pStyle w:val="FootnoteText"/>
      </w:pPr>
      <w:r>
        <w:rPr>
          <w:rStyle w:val="FootnoteReference"/>
        </w:rPr>
        <w:footnoteRef/>
      </w:r>
      <w:r>
        <w:t xml:space="preserve"> </w:t>
      </w:r>
      <w:r w:rsidRPr="00691F06">
        <w:rPr>
          <w:rFonts w:ascii="Times New Roman" w:hAnsi="Times New Roman" w:cs="Times New Roman"/>
          <w:sz w:val="18"/>
          <w:szCs w:val="18"/>
        </w:rPr>
        <w:t xml:space="preserve">Rogers, Everett M., </w:t>
      </w:r>
      <w:r w:rsidRPr="00691F06">
        <w:rPr>
          <w:rFonts w:ascii="Times New Roman" w:hAnsi="Times New Roman" w:cs="Times New Roman"/>
          <w:i/>
          <w:iCs/>
          <w:sz w:val="18"/>
          <w:szCs w:val="18"/>
        </w:rPr>
        <w:t xml:space="preserve">Diffusion of Innovations, </w:t>
      </w:r>
      <w:r w:rsidRPr="00691F06">
        <w:rPr>
          <w:rFonts w:ascii="Times New Roman" w:hAnsi="Times New Roman" w:cs="Times New Roman"/>
          <w:sz w:val="18"/>
          <w:szCs w:val="18"/>
        </w:rPr>
        <w:t>5th ed., New York: Free Press, 2003.</w:t>
      </w:r>
    </w:p>
  </w:footnote>
  <w:footnote w:id="2">
    <w:p w14:paraId="7E0406C1" w14:textId="77777777" w:rsidR="00D64974" w:rsidRPr="00FD23DF" w:rsidRDefault="00D64974" w:rsidP="00A230D2">
      <w:pPr>
        <w:pStyle w:val="FootnoteText"/>
        <w:rPr>
          <w:rFonts w:ascii="Times New Roman" w:hAnsi="Times New Roman" w:cs="Times New Roman"/>
          <w:sz w:val="18"/>
          <w:szCs w:val="18"/>
        </w:rPr>
      </w:pPr>
      <w:r w:rsidRPr="00FD23DF">
        <w:rPr>
          <w:rStyle w:val="FootnoteReference"/>
          <w:rFonts w:ascii="Times New Roman" w:hAnsi="Times New Roman" w:cs="Times New Roman"/>
          <w:sz w:val="18"/>
          <w:szCs w:val="18"/>
        </w:rPr>
        <w:footnoteRef/>
      </w:r>
      <w:r w:rsidRPr="00FD23DF">
        <w:rPr>
          <w:rFonts w:ascii="Times New Roman" w:hAnsi="Times New Roman" w:cs="Times New Roman"/>
          <w:sz w:val="18"/>
          <w:szCs w:val="18"/>
        </w:rPr>
        <w:t xml:space="preserve"> Singer and Ye (2013), The Use and Effects of Incentives in Surveys, </w:t>
      </w:r>
      <w:r w:rsidRPr="00FD23DF">
        <w:rPr>
          <w:rFonts w:ascii="Times New Roman" w:hAnsi="Times New Roman" w:cs="Times New Roman"/>
          <w:i/>
          <w:sz w:val="18"/>
          <w:szCs w:val="18"/>
        </w:rPr>
        <w:t>Annals of the American Academy of Political and Social Science</w:t>
      </w:r>
      <w:r w:rsidRPr="00FD23DF">
        <w:rPr>
          <w:rFonts w:ascii="Times New Roman" w:hAnsi="Times New Roman" w:cs="Times New Roman"/>
          <w:sz w:val="18"/>
          <w:szCs w:val="18"/>
        </w:rPr>
        <w:t>, 645(1): 112-141.</w:t>
      </w:r>
    </w:p>
  </w:footnote>
  <w:footnote w:id="3">
    <w:p w14:paraId="7B840902" w14:textId="77777777" w:rsidR="00D64974" w:rsidRPr="00EC64F4" w:rsidRDefault="00D64974" w:rsidP="00A230D2">
      <w:pPr>
        <w:pStyle w:val="FootnoteText"/>
        <w:rPr>
          <w:rFonts w:ascii="Times New Roman" w:hAnsi="Times New Roman" w:cs="Times New Roman"/>
          <w:sz w:val="18"/>
          <w:szCs w:val="18"/>
        </w:rPr>
      </w:pPr>
      <w:r w:rsidRPr="00FD23DF">
        <w:rPr>
          <w:rStyle w:val="FootnoteReference"/>
          <w:rFonts w:ascii="Times New Roman" w:hAnsi="Times New Roman" w:cs="Times New Roman"/>
          <w:sz w:val="18"/>
          <w:szCs w:val="18"/>
        </w:rPr>
        <w:footnoteRef/>
      </w:r>
      <w:r w:rsidRPr="00FD23DF">
        <w:rPr>
          <w:rFonts w:ascii="Times New Roman" w:hAnsi="Times New Roman" w:cs="Times New Roman"/>
          <w:sz w:val="18"/>
          <w:szCs w:val="18"/>
        </w:rPr>
        <w:t xml:space="preserve"> Young et al. (2015), Unconditional and conditional incentives differentially improved general practitioners' participation in an online survey: randomized controlled trial, </w:t>
      </w:r>
      <w:r w:rsidRPr="00FD23DF">
        <w:rPr>
          <w:rFonts w:ascii="Times New Roman" w:hAnsi="Times New Roman" w:cs="Times New Roman"/>
          <w:i/>
          <w:sz w:val="18"/>
          <w:szCs w:val="18"/>
        </w:rPr>
        <w:t>Journal of Clinical Epidemiology</w:t>
      </w:r>
      <w:r w:rsidRPr="00FD23DF">
        <w:rPr>
          <w:rFonts w:ascii="Times New Roman" w:hAnsi="Times New Roman" w:cs="Times New Roman"/>
          <w:sz w:val="18"/>
          <w:szCs w:val="18"/>
        </w:rPr>
        <w:t>, 68(6): 693-697.</w:t>
      </w:r>
    </w:p>
  </w:footnote>
  <w:footnote w:id="4">
    <w:p w14:paraId="135A7C0E" w14:textId="77777777" w:rsidR="00D64974" w:rsidRPr="00EC64F4" w:rsidRDefault="00D64974" w:rsidP="00A230D2">
      <w:pPr>
        <w:pStyle w:val="FootnoteText"/>
        <w:rPr>
          <w:rFonts w:ascii="Times New Roman" w:hAnsi="Times New Roman" w:cs="Times New Roman"/>
          <w:sz w:val="18"/>
          <w:szCs w:val="18"/>
        </w:rPr>
      </w:pPr>
      <w:r w:rsidRPr="00EC64F4">
        <w:rPr>
          <w:rStyle w:val="FootnoteReference"/>
          <w:sz w:val="18"/>
          <w:szCs w:val="18"/>
        </w:rPr>
        <w:footnoteRef/>
      </w:r>
      <w:r w:rsidRPr="00EC64F4">
        <w:rPr>
          <w:sz w:val="18"/>
          <w:szCs w:val="18"/>
        </w:rPr>
        <w:t xml:space="preserve"> </w:t>
      </w:r>
      <w:r w:rsidRPr="00EC64F4">
        <w:rPr>
          <w:rFonts w:ascii="Times New Roman" w:hAnsi="Times New Roman" w:cs="Times New Roman"/>
          <w:sz w:val="18"/>
          <w:szCs w:val="18"/>
        </w:rPr>
        <w:t xml:space="preserve">Bureau of Labor Statistics. </w:t>
      </w:r>
      <w:r w:rsidRPr="00EC64F4">
        <w:rPr>
          <w:rFonts w:ascii="Times New Roman" w:hAnsi="Times New Roman" w:cs="Times New Roman"/>
          <w:i/>
          <w:sz w:val="18"/>
          <w:szCs w:val="18"/>
        </w:rPr>
        <w:t xml:space="preserve">Usual Weekly Earnings of Wage and Salary Workers Fourth Quarter 2014. </w:t>
      </w:r>
      <w:r w:rsidRPr="00EC64F4">
        <w:rPr>
          <w:rFonts w:ascii="Times New Roman" w:hAnsi="Times New Roman" w:cs="Times New Roman"/>
          <w:sz w:val="18"/>
          <w:szCs w:val="18"/>
        </w:rPr>
        <w:t>(Table 5: Quartiles and selected deciles of usual weekly earnings full-time wage and salary workers by selected characteristics, 4</w:t>
      </w:r>
      <w:r w:rsidRPr="00EC64F4">
        <w:rPr>
          <w:rFonts w:ascii="Times New Roman" w:hAnsi="Times New Roman" w:cs="Times New Roman"/>
          <w:sz w:val="18"/>
          <w:szCs w:val="18"/>
          <w:vertAlign w:val="superscript"/>
        </w:rPr>
        <w:t>th</w:t>
      </w:r>
      <w:r w:rsidRPr="00EC64F4">
        <w:rPr>
          <w:rFonts w:ascii="Times New Roman" w:hAnsi="Times New Roman" w:cs="Times New Roman"/>
          <w:sz w:val="18"/>
          <w:szCs w:val="18"/>
        </w:rPr>
        <w:t xml:space="preserve"> quarter 2014 averages, not seasonally adjusted).</w:t>
      </w:r>
      <w:r w:rsidRPr="00EC64F4">
        <w:rPr>
          <w:sz w:val="18"/>
          <w:szCs w:val="18"/>
        </w:rPr>
        <w:t xml:space="preserve"> </w:t>
      </w:r>
      <w:r w:rsidRPr="00EC64F4">
        <w:rPr>
          <w:rFonts w:ascii="Times New Roman" w:hAnsi="Times New Roman" w:cs="Times New Roman"/>
          <w:sz w:val="18"/>
          <w:szCs w:val="18"/>
        </w:rPr>
        <w:t xml:space="preserve">http://www.bls.gov/news.release/archives/wkyeng_01212015.htm </w:t>
      </w:r>
    </w:p>
  </w:footnote>
  <w:footnote w:id="5">
    <w:p w14:paraId="1155CEF9" w14:textId="77777777" w:rsidR="00D64974" w:rsidRPr="000B4664" w:rsidRDefault="00D64974" w:rsidP="00A230D2">
      <w:pPr>
        <w:pStyle w:val="FootnoteText"/>
        <w:rPr>
          <w:rFonts w:ascii="Times New Roman" w:hAnsi="Times New Roman" w:cs="Times New Roman"/>
          <w:sz w:val="18"/>
          <w:szCs w:val="18"/>
        </w:rPr>
      </w:pPr>
      <w:r w:rsidRPr="000B4664">
        <w:rPr>
          <w:rStyle w:val="FootnoteReference"/>
          <w:rFonts w:ascii="Times New Roman" w:hAnsi="Times New Roman" w:cs="Times New Roman"/>
          <w:sz w:val="18"/>
          <w:szCs w:val="18"/>
        </w:rPr>
        <w:footnoteRef/>
      </w:r>
      <w:r w:rsidRPr="000B4664">
        <w:rPr>
          <w:rFonts w:ascii="Times New Roman" w:hAnsi="Times New Roman" w:cs="Times New Roman"/>
          <w:sz w:val="18"/>
          <w:szCs w:val="18"/>
        </w:rPr>
        <w:t xml:space="preserve"> Bernard H. </w:t>
      </w:r>
      <w:r w:rsidRPr="000B4664">
        <w:rPr>
          <w:rFonts w:ascii="Times New Roman" w:hAnsi="Times New Roman" w:cs="Times New Roman"/>
          <w:i/>
          <w:sz w:val="18"/>
          <w:szCs w:val="18"/>
        </w:rPr>
        <w:t xml:space="preserve">Social research methods: Qualitative and quantitative approaches. </w:t>
      </w:r>
      <w:r w:rsidRPr="000B4664">
        <w:rPr>
          <w:rFonts w:ascii="Times New Roman" w:hAnsi="Times New Roman" w:cs="Times New Roman"/>
          <w:sz w:val="18"/>
          <w:szCs w:val="18"/>
        </w:rPr>
        <w:t>Thousand Oaks, CA: Sage; 2000.</w:t>
      </w:r>
    </w:p>
  </w:footnote>
  <w:footnote w:id="6">
    <w:p w14:paraId="23F1EE8A" w14:textId="77777777" w:rsidR="00D64974" w:rsidRPr="000B4664" w:rsidRDefault="00D64974" w:rsidP="00A230D2">
      <w:pPr>
        <w:pStyle w:val="FootnoteText"/>
        <w:rPr>
          <w:rFonts w:ascii="Times New Roman" w:hAnsi="Times New Roman" w:cs="Times New Roman"/>
          <w:sz w:val="18"/>
          <w:szCs w:val="18"/>
        </w:rPr>
      </w:pPr>
      <w:r w:rsidRPr="000B4664">
        <w:rPr>
          <w:rStyle w:val="FootnoteReference"/>
          <w:rFonts w:ascii="Times New Roman" w:hAnsi="Times New Roman" w:cs="Times New Roman"/>
          <w:sz w:val="18"/>
          <w:szCs w:val="18"/>
        </w:rPr>
        <w:footnoteRef/>
      </w:r>
      <w:r w:rsidRPr="000B4664">
        <w:rPr>
          <w:rFonts w:ascii="Times New Roman" w:hAnsi="Times New Roman" w:cs="Times New Roman"/>
          <w:sz w:val="18"/>
          <w:szCs w:val="18"/>
        </w:rPr>
        <w:t xml:space="preserve"> Strauss A, Corbin J. </w:t>
      </w:r>
      <w:r w:rsidRPr="000B4664">
        <w:rPr>
          <w:rFonts w:ascii="Times New Roman" w:hAnsi="Times New Roman" w:cs="Times New Roman"/>
          <w:i/>
          <w:sz w:val="18"/>
          <w:szCs w:val="18"/>
        </w:rPr>
        <w:t xml:space="preserve">Basics of qualitative research: Grounded theory procedures and techniques. </w:t>
      </w:r>
      <w:r w:rsidRPr="000B4664">
        <w:rPr>
          <w:rFonts w:ascii="Times New Roman" w:hAnsi="Times New Roman" w:cs="Times New Roman"/>
          <w:sz w:val="18"/>
          <w:szCs w:val="18"/>
        </w:rPr>
        <w:t>Newbury Park, CA: Sage; 1990.</w:t>
      </w:r>
    </w:p>
  </w:footnote>
  <w:footnote w:id="7">
    <w:p w14:paraId="1358F3EF" w14:textId="77777777" w:rsidR="00D64974" w:rsidRPr="00E42DD6" w:rsidRDefault="00D64974" w:rsidP="00A230D2">
      <w:pPr>
        <w:pStyle w:val="FootnoteText"/>
        <w:rPr>
          <w:rFonts w:ascii="Times New Roman" w:hAnsi="Times New Roman" w:cs="Times New Roman"/>
          <w:sz w:val="22"/>
          <w:szCs w:val="22"/>
        </w:rPr>
      </w:pPr>
      <w:r w:rsidRPr="000B4664">
        <w:rPr>
          <w:rStyle w:val="FootnoteReference"/>
          <w:rFonts w:ascii="Times New Roman" w:hAnsi="Times New Roman" w:cs="Times New Roman"/>
          <w:sz w:val="18"/>
          <w:szCs w:val="18"/>
        </w:rPr>
        <w:footnoteRef/>
      </w:r>
      <w:r w:rsidRPr="000B4664">
        <w:rPr>
          <w:rFonts w:ascii="Times New Roman" w:hAnsi="Times New Roman" w:cs="Times New Roman"/>
          <w:sz w:val="18"/>
          <w:szCs w:val="18"/>
        </w:rPr>
        <w:t xml:space="preserve"> Glaser B, Strauss A. </w:t>
      </w:r>
      <w:r w:rsidRPr="000B4664">
        <w:rPr>
          <w:rFonts w:ascii="Times New Roman" w:hAnsi="Times New Roman" w:cs="Times New Roman"/>
          <w:i/>
          <w:sz w:val="18"/>
          <w:szCs w:val="18"/>
        </w:rPr>
        <w:t>The Discovery of Grounded Theory: Strategies for Qualitative Research</w:t>
      </w:r>
      <w:r w:rsidRPr="000B4664">
        <w:rPr>
          <w:rFonts w:ascii="Times New Roman" w:hAnsi="Times New Roman" w:cs="Times New Roman"/>
          <w:sz w:val="18"/>
          <w:szCs w:val="18"/>
        </w:rPr>
        <w:t>. New York: Aldine; 1967.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05C22"/>
    <w:multiLevelType w:val="hybridMultilevel"/>
    <w:tmpl w:val="8ED2A532"/>
    <w:lvl w:ilvl="0" w:tplc="BCF22A3A">
      <w:start w:val="1"/>
      <w:numFmt w:val="decimal"/>
      <w:pStyle w:val="ListNumb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675AB9"/>
    <w:multiLevelType w:val="hybridMultilevel"/>
    <w:tmpl w:val="365A9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337512"/>
    <w:multiLevelType w:val="hybridMultilevel"/>
    <w:tmpl w:val="1EBC8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0D2"/>
    <w:rsid w:val="00096E50"/>
    <w:rsid w:val="0025553E"/>
    <w:rsid w:val="00260524"/>
    <w:rsid w:val="00343B11"/>
    <w:rsid w:val="003E2CFA"/>
    <w:rsid w:val="005C2414"/>
    <w:rsid w:val="00632B4F"/>
    <w:rsid w:val="008F2CF8"/>
    <w:rsid w:val="00A230D2"/>
    <w:rsid w:val="00A429EE"/>
    <w:rsid w:val="00AB3462"/>
    <w:rsid w:val="00BC4FAA"/>
    <w:rsid w:val="00C90444"/>
    <w:rsid w:val="00D649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9DBE4C"/>
  <w14:defaultImageDpi w14:val="300"/>
  <w15:docId w15:val="{482B77F0-E0A6-4A7A-957F-5F4B539EE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EastAsia" w:hAnsiTheme="maj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0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3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rsid w:val="00A230D2"/>
    <w:pPr>
      <w:tabs>
        <w:tab w:val="left" w:pos="720"/>
        <w:tab w:val="left" w:pos="1080"/>
        <w:tab w:val="left" w:pos="1440"/>
        <w:tab w:val="left" w:pos="1800"/>
      </w:tabs>
      <w:spacing w:line="264" w:lineRule="auto"/>
    </w:pPr>
    <w:rPr>
      <w:rFonts w:ascii="Arial" w:eastAsia="Times New Roman" w:hAnsi="Arial" w:cs="Times New Roman"/>
      <w:sz w:val="20"/>
      <w:szCs w:val="20"/>
    </w:rPr>
  </w:style>
  <w:style w:type="paragraph" w:styleId="ListParagraph">
    <w:name w:val="List Paragraph"/>
    <w:basedOn w:val="Normal"/>
    <w:link w:val="ListParagraphChar"/>
    <w:uiPriority w:val="34"/>
    <w:qFormat/>
    <w:rsid w:val="00A230D2"/>
    <w:pPr>
      <w:ind w:left="720"/>
      <w:contextualSpacing/>
    </w:pPr>
  </w:style>
  <w:style w:type="paragraph" w:styleId="FootnoteText">
    <w:name w:val="footnote text"/>
    <w:aliases w:val="F1"/>
    <w:basedOn w:val="Normal"/>
    <w:link w:val="FootnoteTextChar"/>
    <w:uiPriority w:val="99"/>
    <w:unhideWhenUsed/>
    <w:rsid w:val="00A230D2"/>
    <w:rPr>
      <w:sz w:val="24"/>
      <w:szCs w:val="24"/>
    </w:rPr>
  </w:style>
  <w:style w:type="character" w:customStyle="1" w:styleId="FootnoteTextChar">
    <w:name w:val="Footnote Text Char"/>
    <w:aliases w:val="F1 Char"/>
    <w:basedOn w:val="DefaultParagraphFont"/>
    <w:link w:val="FootnoteText"/>
    <w:uiPriority w:val="99"/>
    <w:rsid w:val="00A230D2"/>
    <w:rPr>
      <w:sz w:val="24"/>
      <w:szCs w:val="24"/>
    </w:rPr>
  </w:style>
  <w:style w:type="character" w:styleId="FootnoteReference">
    <w:name w:val="footnote reference"/>
    <w:basedOn w:val="DefaultParagraphFont"/>
    <w:uiPriority w:val="99"/>
    <w:unhideWhenUsed/>
    <w:rsid w:val="00A230D2"/>
    <w:rPr>
      <w:vertAlign w:val="superscript"/>
    </w:rPr>
  </w:style>
  <w:style w:type="character" w:styleId="CommentReference">
    <w:name w:val="annotation reference"/>
    <w:basedOn w:val="DefaultParagraphFont"/>
    <w:uiPriority w:val="99"/>
    <w:unhideWhenUsed/>
    <w:rsid w:val="00A230D2"/>
    <w:rPr>
      <w:sz w:val="18"/>
      <w:szCs w:val="18"/>
    </w:rPr>
  </w:style>
  <w:style w:type="paragraph" w:styleId="BodyText">
    <w:name w:val="Body Text"/>
    <w:basedOn w:val="Normal"/>
    <w:link w:val="BodyTextChar"/>
    <w:rsid w:val="00A230D2"/>
    <w:pPr>
      <w:tabs>
        <w:tab w:val="left" w:pos="720"/>
        <w:tab w:val="left" w:pos="1080"/>
        <w:tab w:val="left" w:pos="1440"/>
        <w:tab w:val="left" w:pos="1800"/>
      </w:tabs>
      <w:spacing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A230D2"/>
    <w:rPr>
      <w:rFonts w:ascii="Times New Roman" w:eastAsia="Times New Roman" w:hAnsi="Times New Roman" w:cs="Times New Roman"/>
      <w:szCs w:val="20"/>
    </w:rPr>
  </w:style>
  <w:style w:type="paragraph" w:styleId="ListNumber">
    <w:name w:val="List Number"/>
    <w:basedOn w:val="Normal"/>
    <w:qFormat/>
    <w:rsid w:val="00A230D2"/>
    <w:pPr>
      <w:numPr>
        <w:numId w:val="2"/>
      </w:numPr>
      <w:spacing w:before="120" w:after="120"/>
      <w:contextualSpacing/>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A230D2"/>
  </w:style>
  <w:style w:type="paragraph" w:styleId="BalloonText">
    <w:name w:val="Balloon Text"/>
    <w:basedOn w:val="Normal"/>
    <w:link w:val="BalloonTextChar"/>
    <w:uiPriority w:val="99"/>
    <w:semiHidden/>
    <w:unhideWhenUsed/>
    <w:rsid w:val="003E2CFA"/>
    <w:rPr>
      <w:rFonts w:ascii="Tahoma" w:hAnsi="Tahoma" w:cs="Tahoma"/>
      <w:sz w:val="16"/>
      <w:szCs w:val="16"/>
    </w:rPr>
  </w:style>
  <w:style w:type="character" w:customStyle="1" w:styleId="BalloonTextChar">
    <w:name w:val="Balloon Text Char"/>
    <w:basedOn w:val="DefaultParagraphFont"/>
    <w:link w:val="BalloonText"/>
    <w:uiPriority w:val="99"/>
    <w:semiHidden/>
    <w:rsid w:val="003E2CFA"/>
    <w:rPr>
      <w:rFonts w:ascii="Tahoma" w:hAnsi="Tahoma" w:cs="Tahoma"/>
      <w:sz w:val="16"/>
      <w:szCs w:val="16"/>
    </w:rPr>
  </w:style>
  <w:style w:type="paragraph" w:styleId="CommentText">
    <w:name w:val="annotation text"/>
    <w:basedOn w:val="Normal"/>
    <w:link w:val="CommentTextChar"/>
    <w:uiPriority w:val="99"/>
    <w:semiHidden/>
    <w:unhideWhenUsed/>
    <w:rsid w:val="003E2CFA"/>
    <w:rPr>
      <w:sz w:val="20"/>
      <w:szCs w:val="20"/>
    </w:rPr>
  </w:style>
  <w:style w:type="character" w:customStyle="1" w:styleId="CommentTextChar">
    <w:name w:val="Comment Text Char"/>
    <w:basedOn w:val="DefaultParagraphFont"/>
    <w:link w:val="CommentText"/>
    <w:uiPriority w:val="99"/>
    <w:semiHidden/>
    <w:rsid w:val="003E2CFA"/>
    <w:rPr>
      <w:sz w:val="20"/>
      <w:szCs w:val="20"/>
    </w:rPr>
  </w:style>
  <w:style w:type="paragraph" w:styleId="CommentSubject">
    <w:name w:val="annotation subject"/>
    <w:basedOn w:val="CommentText"/>
    <w:next w:val="CommentText"/>
    <w:link w:val="CommentSubjectChar"/>
    <w:uiPriority w:val="99"/>
    <w:semiHidden/>
    <w:unhideWhenUsed/>
    <w:rsid w:val="003E2CFA"/>
    <w:rPr>
      <w:b/>
      <w:bCs/>
    </w:rPr>
  </w:style>
  <w:style w:type="character" w:customStyle="1" w:styleId="CommentSubjectChar">
    <w:name w:val="Comment Subject Char"/>
    <w:basedOn w:val="CommentTextChar"/>
    <w:link w:val="CommentSubject"/>
    <w:uiPriority w:val="99"/>
    <w:semiHidden/>
    <w:rsid w:val="003E2C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93427-00E7-4B5F-9752-4240CF95E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5991</Words>
  <Characters>34153</Characters>
  <Application>Microsoft Office Word</Application>
  <DocSecurity>4</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40064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Hoch</dc:creator>
  <cp:lastModifiedBy>WILLIAM PARHAM</cp:lastModifiedBy>
  <cp:revision>2</cp:revision>
  <dcterms:created xsi:type="dcterms:W3CDTF">2017-04-12T14:43:00Z</dcterms:created>
  <dcterms:modified xsi:type="dcterms:W3CDTF">2017-04-12T14:43:00Z</dcterms:modified>
</cp:coreProperties>
</file>