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11CED" w14:textId="77777777" w:rsidR="00A56934" w:rsidRPr="00A56934" w:rsidRDefault="00A56934" w:rsidP="00A56934">
      <w:pPr>
        <w:jc w:val="center"/>
        <w:rPr>
          <w:b/>
          <w:sz w:val="24"/>
        </w:rPr>
      </w:pPr>
      <w:bookmarkStart w:id="0" w:name="_GoBack"/>
      <w:bookmarkEnd w:id="0"/>
      <w:r w:rsidRPr="00A56934">
        <w:rPr>
          <w:b/>
          <w:sz w:val="24"/>
        </w:rPr>
        <w:t>Assessing Safety and Health Hazards of Workers in Oil and Gas Extraction: A Survey</w:t>
      </w:r>
    </w:p>
    <w:p w14:paraId="735F85BD" w14:textId="77777777" w:rsidR="00A56934" w:rsidRDefault="00A56934" w:rsidP="00A56934">
      <w:pPr>
        <w:jc w:val="center"/>
        <w:rPr>
          <w:b/>
          <w:sz w:val="24"/>
        </w:rPr>
      </w:pPr>
      <w:r>
        <w:rPr>
          <w:b/>
          <w:sz w:val="24"/>
        </w:rPr>
        <w:t>Supporting Statement Section</w:t>
      </w:r>
      <w:r w:rsidRPr="00A56934">
        <w:rPr>
          <w:b/>
          <w:sz w:val="24"/>
        </w:rPr>
        <w:t xml:space="preserve"> A</w:t>
      </w:r>
    </w:p>
    <w:p w14:paraId="329A951A" w14:textId="77777777" w:rsidR="00A56934" w:rsidRPr="00A56934" w:rsidRDefault="00A56934" w:rsidP="00A56934">
      <w:pPr>
        <w:jc w:val="center"/>
        <w:rPr>
          <w:b/>
          <w:sz w:val="24"/>
        </w:rPr>
      </w:pPr>
      <w:r>
        <w:rPr>
          <w:b/>
          <w:sz w:val="24"/>
        </w:rPr>
        <w:t>New</w:t>
      </w:r>
    </w:p>
    <w:p w14:paraId="6F56E095" w14:textId="77777777" w:rsidR="00A56934" w:rsidRDefault="00A56934" w:rsidP="00A56934">
      <w:pPr>
        <w:jc w:val="center"/>
        <w:rPr>
          <w:b/>
        </w:rPr>
      </w:pPr>
    </w:p>
    <w:p w14:paraId="72F2A1AC" w14:textId="77777777" w:rsidR="00A56934" w:rsidRDefault="00A56934" w:rsidP="00A56934">
      <w:pPr>
        <w:jc w:val="center"/>
        <w:rPr>
          <w:b/>
        </w:rPr>
      </w:pPr>
      <w:r>
        <w:rPr>
          <w:b/>
        </w:rPr>
        <w:t>Request for Office of Management and Budget (OMB) Review and Approval for a Federally Sponsored Data Collection</w:t>
      </w:r>
    </w:p>
    <w:p w14:paraId="613132E7" w14:textId="77777777" w:rsidR="00A56934" w:rsidRDefault="00A56934" w:rsidP="00A56934">
      <w:pPr>
        <w:jc w:val="center"/>
        <w:rPr>
          <w:b/>
        </w:rPr>
      </w:pPr>
    </w:p>
    <w:p w14:paraId="377AA5A7" w14:textId="77777777" w:rsidR="00A56934" w:rsidRDefault="00A56934" w:rsidP="00A56934">
      <w:pPr>
        <w:jc w:val="center"/>
        <w:rPr>
          <w:b/>
        </w:rPr>
      </w:pPr>
      <w:r>
        <w:rPr>
          <w:b/>
        </w:rPr>
        <w:t>Project Officer:</w:t>
      </w:r>
    </w:p>
    <w:p w14:paraId="7731DA6C" w14:textId="77777777" w:rsidR="00A56934" w:rsidRDefault="00A56934" w:rsidP="00A56934">
      <w:pPr>
        <w:spacing w:after="0" w:line="360" w:lineRule="auto"/>
        <w:jc w:val="center"/>
        <w:rPr>
          <w:b/>
        </w:rPr>
      </w:pPr>
      <w:r>
        <w:rPr>
          <w:b/>
        </w:rPr>
        <w:t>Kyla Retzer, MPH</w:t>
      </w:r>
    </w:p>
    <w:p w14:paraId="708FE784" w14:textId="5BB1B8B3" w:rsidR="00375FDF" w:rsidRDefault="00375FDF" w:rsidP="00A56934">
      <w:pPr>
        <w:spacing w:after="0" w:line="360" w:lineRule="auto"/>
        <w:jc w:val="center"/>
        <w:rPr>
          <w:b/>
        </w:rPr>
      </w:pPr>
      <w:r>
        <w:rPr>
          <w:b/>
        </w:rPr>
        <w:t>Centers for Disease Control and Prevention (CDC)</w:t>
      </w:r>
    </w:p>
    <w:p w14:paraId="4E954A82" w14:textId="77777777" w:rsidR="00A56934" w:rsidRDefault="00A56934" w:rsidP="00A56934">
      <w:pPr>
        <w:spacing w:after="0" w:line="360" w:lineRule="auto"/>
        <w:jc w:val="center"/>
        <w:rPr>
          <w:b/>
        </w:rPr>
      </w:pPr>
      <w:r>
        <w:rPr>
          <w:b/>
        </w:rPr>
        <w:t>National Institute for Occupational Safety and Health (NIOSH)</w:t>
      </w:r>
    </w:p>
    <w:p w14:paraId="50583F02" w14:textId="2C70C652" w:rsidR="00A56934" w:rsidRDefault="00A56934" w:rsidP="00A56934">
      <w:pPr>
        <w:spacing w:after="0" w:line="360" w:lineRule="auto"/>
        <w:jc w:val="center"/>
        <w:rPr>
          <w:b/>
        </w:rPr>
      </w:pPr>
      <w:r>
        <w:rPr>
          <w:b/>
        </w:rPr>
        <w:t xml:space="preserve">Western States </w:t>
      </w:r>
      <w:r w:rsidR="00DC74E8">
        <w:rPr>
          <w:b/>
        </w:rPr>
        <w:t>Division</w:t>
      </w:r>
    </w:p>
    <w:p w14:paraId="64760B23" w14:textId="77777777" w:rsidR="00A56934" w:rsidRDefault="00A56934" w:rsidP="00A56934">
      <w:pPr>
        <w:spacing w:after="0" w:line="360" w:lineRule="auto"/>
        <w:jc w:val="center"/>
        <w:rPr>
          <w:rFonts w:eastAsiaTheme="minorEastAsia"/>
          <w:noProof/>
        </w:rPr>
      </w:pPr>
      <w:r>
        <w:rPr>
          <w:rFonts w:eastAsiaTheme="minorEastAsia"/>
          <w:noProof/>
        </w:rPr>
        <w:t>P.O. Box 25226</w:t>
      </w:r>
    </w:p>
    <w:p w14:paraId="1F962EA2" w14:textId="77777777" w:rsidR="00A56934" w:rsidRDefault="00A56934" w:rsidP="00A56934">
      <w:pPr>
        <w:spacing w:after="0" w:line="360" w:lineRule="auto"/>
        <w:jc w:val="center"/>
        <w:rPr>
          <w:rFonts w:eastAsiaTheme="minorEastAsia"/>
          <w:noProof/>
        </w:rPr>
      </w:pPr>
      <w:r>
        <w:rPr>
          <w:rFonts w:eastAsiaTheme="minorEastAsia"/>
          <w:noProof/>
        </w:rPr>
        <w:t>Denver, CO 80225-0226</w:t>
      </w:r>
    </w:p>
    <w:p w14:paraId="5F87CC6C" w14:textId="77777777" w:rsidR="00A56934" w:rsidRDefault="00A56934" w:rsidP="00A56934">
      <w:pPr>
        <w:spacing w:after="0" w:line="360" w:lineRule="auto"/>
        <w:jc w:val="center"/>
        <w:rPr>
          <w:rFonts w:eastAsiaTheme="minorEastAsia"/>
          <w:noProof/>
        </w:rPr>
      </w:pPr>
      <w:r>
        <w:rPr>
          <w:rFonts w:eastAsiaTheme="minorEastAsia"/>
          <w:noProof/>
        </w:rPr>
        <w:t>Phone: 303-236-5934</w:t>
      </w:r>
    </w:p>
    <w:p w14:paraId="77BA47B0" w14:textId="77777777" w:rsidR="00A56934" w:rsidRDefault="00A56934" w:rsidP="00A56934">
      <w:pPr>
        <w:spacing w:after="0" w:line="360" w:lineRule="auto"/>
        <w:jc w:val="center"/>
        <w:rPr>
          <w:rFonts w:eastAsiaTheme="minorEastAsia"/>
          <w:noProof/>
        </w:rPr>
      </w:pPr>
      <w:r>
        <w:rPr>
          <w:rFonts w:eastAsiaTheme="minorEastAsia"/>
          <w:noProof/>
        </w:rPr>
        <w:t>Cell: 907-229-2743</w:t>
      </w:r>
    </w:p>
    <w:p w14:paraId="405D1FD3" w14:textId="77777777" w:rsidR="00A56934" w:rsidRDefault="00A56934" w:rsidP="00A56934">
      <w:pPr>
        <w:spacing w:after="0" w:line="360" w:lineRule="auto"/>
        <w:jc w:val="center"/>
        <w:rPr>
          <w:b/>
        </w:rPr>
      </w:pPr>
      <w:r>
        <w:rPr>
          <w:b/>
        </w:rPr>
        <w:t xml:space="preserve">E-mail: </w:t>
      </w:r>
      <w:hyperlink r:id="rId9" w:history="1">
        <w:r w:rsidRPr="00AF4282">
          <w:rPr>
            <w:rStyle w:val="Hyperlink"/>
            <w:b/>
          </w:rPr>
          <w:t>kretzer@cdc.gov</w:t>
        </w:r>
      </w:hyperlink>
    </w:p>
    <w:p w14:paraId="399C81DD" w14:textId="77777777" w:rsidR="008429FD" w:rsidRDefault="008429FD">
      <w:pPr>
        <w:rPr>
          <w:b/>
        </w:rPr>
      </w:pPr>
    </w:p>
    <w:p w14:paraId="2D38BF68" w14:textId="262BAC85" w:rsidR="008429FD" w:rsidRDefault="001A2800" w:rsidP="008429FD">
      <w:pPr>
        <w:jc w:val="center"/>
        <w:rPr>
          <w:b/>
        </w:rPr>
      </w:pPr>
      <w:r>
        <w:rPr>
          <w:b/>
        </w:rPr>
        <w:t>July 20</w:t>
      </w:r>
      <w:r w:rsidR="00014399">
        <w:rPr>
          <w:b/>
        </w:rPr>
        <w:t>, 2017</w:t>
      </w:r>
    </w:p>
    <w:p w14:paraId="1070B5CA" w14:textId="77777777" w:rsidR="000A2A2D" w:rsidRDefault="000A2A2D" w:rsidP="008429FD">
      <w:pPr>
        <w:jc w:val="center"/>
        <w:rPr>
          <w:b/>
        </w:rPr>
      </w:pPr>
    </w:p>
    <w:p w14:paraId="1098BC92" w14:textId="77777777" w:rsidR="008429FD" w:rsidRDefault="008429FD">
      <w:pPr>
        <w:rPr>
          <w:b/>
        </w:rPr>
      </w:pPr>
      <w:r>
        <w:rPr>
          <w:b/>
        </w:rPr>
        <w:br w:type="page"/>
      </w:r>
    </w:p>
    <w:sdt>
      <w:sdtPr>
        <w:rPr>
          <w:rFonts w:asciiTheme="minorHAnsi" w:eastAsiaTheme="minorHAnsi" w:hAnsiTheme="minorHAnsi" w:cstheme="minorBidi"/>
          <w:b w:val="0"/>
          <w:bCs w:val="0"/>
          <w:color w:val="auto"/>
          <w:sz w:val="22"/>
          <w:szCs w:val="22"/>
          <w:lang w:eastAsia="en-US"/>
        </w:rPr>
        <w:id w:val="751396889"/>
        <w:docPartObj>
          <w:docPartGallery w:val="Table of Contents"/>
          <w:docPartUnique/>
        </w:docPartObj>
      </w:sdtPr>
      <w:sdtEndPr>
        <w:rPr>
          <w:noProof/>
        </w:rPr>
      </w:sdtEndPr>
      <w:sdtContent>
        <w:p w14:paraId="4E86F2F2" w14:textId="77777777" w:rsidR="008429FD" w:rsidRDefault="008429FD">
          <w:pPr>
            <w:pStyle w:val="TOCHeading"/>
          </w:pPr>
          <w:r>
            <w:t>Table of Contents</w:t>
          </w:r>
        </w:p>
        <w:p w14:paraId="2AF87DC3" w14:textId="10397C09" w:rsidR="00D60FC0" w:rsidRDefault="008429FD">
          <w:pPr>
            <w:pStyle w:val="TOC1"/>
            <w:rPr>
              <w:rFonts w:eastAsiaTheme="minorEastAsia"/>
              <w:noProof/>
            </w:rPr>
          </w:pPr>
          <w:r>
            <w:fldChar w:fldCharType="begin"/>
          </w:r>
          <w:r>
            <w:instrText xml:space="preserve"> TOC \o "1-3" \h \z \u </w:instrText>
          </w:r>
          <w:r>
            <w:fldChar w:fldCharType="separate"/>
          </w:r>
          <w:hyperlink w:anchor="_Toc461446289" w:history="1">
            <w:r w:rsidR="00D60FC0" w:rsidRPr="00427855">
              <w:rPr>
                <w:rStyle w:val="Hyperlink"/>
                <w:noProof/>
              </w:rPr>
              <w:t>A.1. Circumstances Making the Collection of Information Necessary</w:t>
            </w:r>
            <w:r w:rsidR="00D60FC0">
              <w:rPr>
                <w:noProof/>
                <w:webHidden/>
              </w:rPr>
              <w:tab/>
            </w:r>
            <w:r w:rsidR="00D60FC0">
              <w:rPr>
                <w:noProof/>
                <w:webHidden/>
              </w:rPr>
              <w:fldChar w:fldCharType="begin"/>
            </w:r>
            <w:r w:rsidR="00D60FC0">
              <w:rPr>
                <w:noProof/>
                <w:webHidden/>
              </w:rPr>
              <w:instrText xml:space="preserve"> PAGEREF _Toc461446289 \h </w:instrText>
            </w:r>
            <w:r w:rsidR="00D60FC0">
              <w:rPr>
                <w:noProof/>
                <w:webHidden/>
              </w:rPr>
            </w:r>
            <w:r w:rsidR="00D60FC0">
              <w:rPr>
                <w:noProof/>
                <w:webHidden/>
              </w:rPr>
              <w:fldChar w:fldCharType="separate"/>
            </w:r>
            <w:r w:rsidR="005049D2">
              <w:rPr>
                <w:noProof/>
                <w:webHidden/>
              </w:rPr>
              <w:t>4</w:t>
            </w:r>
            <w:r w:rsidR="00D60FC0">
              <w:rPr>
                <w:noProof/>
                <w:webHidden/>
              </w:rPr>
              <w:fldChar w:fldCharType="end"/>
            </w:r>
          </w:hyperlink>
        </w:p>
        <w:p w14:paraId="19FD6FC5" w14:textId="1EF3CF6B" w:rsidR="00D60FC0" w:rsidRDefault="00457FB8">
          <w:pPr>
            <w:pStyle w:val="TOC1"/>
            <w:rPr>
              <w:rFonts w:eastAsiaTheme="minorEastAsia"/>
              <w:noProof/>
            </w:rPr>
          </w:pPr>
          <w:hyperlink w:anchor="_Toc461446290" w:history="1">
            <w:r w:rsidR="00D60FC0" w:rsidRPr="00427855">
              <w:rPr>
                <w:rStyle w:val="Hyperlink"/>
                <w:noProof/>
              </w:rPr>
              <w:t>A.2. Purpose and Use of Information Collection.</w:t>
            </w:r>
            <w:r w:rsidR="00D60FC0">
              <w:rPr>
                <w:noProof/>
                <w:webHidden/>
              </w:rPr>
              <w:tab/>
            </w:r>
            <w:r w:rsidR="00D60FC0">
              <w:rPr>
                <w:noProof/>
                <w:webHidden/>
              </w:rPr>
              <w:fldChar w:fldCharType="begin"/>
            </w:r>
            <w:r w:rsidR="00D60FC0">
              <w:rPr>
                <w:noProof/>
                <w:webHidden/>
              </w:rPr>
              <w:instrText xml:space="preserve"> PAGEREF _Toc461446290 \h </w:instrText>
            </w:r>
            <w:r w:rsidR="00D60FC0">
              <w:rPr>
                <w:noProof/>
                <w:webHidden/>
              </w:rPr>
            </w:r>
            <w:r w:rsidR="00D60FC0">
              <w:rPr>
                <w:noProof/>
                <w:webHidden/>
              </w:rPr>
              <w:fldChar w:fldCharType="separate"/>
            </w:r>
            <w:r w:rsidR="005049D2">
              <w:rPr>
                <w:noProof/>
                <w:webHidden/>
              </w:rPr>
              <w:t>5</w:t>
            </w:r>
            <w:r w:rsidR="00D60FC0">
              <w:rPr>
                <w:noProof/>
                <w:webHidden/>
              </w:rPr>
              <w:fldChar w:fldCharType="end"/>
            </w:r>
          </w:hyperlink>
        </w:p>
        <w:p w14:paraId="2AB58872" w14:textId="78C3E334" w:rsidR="00D60FC0" w:rsidRDefault="00457FB8">
          <w:pPr>
            <w:pStyle w:val="TOC1"/>
            <w:rPr>
              <w:rFonts w:eastAsiaTheme="minorEastAsia"/>
              <w:noProof/>
            </w:rPr>
          </w:pPr>
          <w:hyperlink w:anchor="_Toc461446291" w:history="1">
            <w:r w:rsidR="00D60FC0" w:rsidRPr="00427855">
              <w:rPr>
                <w:rStyle w:val="Hyperlink"/>
                <w:noProof/>
              </w:rPr>
              <w:t>A.3. Use of improved information technology and burden reduction.</w:t>
            </w:r>
            <w:r w:rsidR="00D60FC0">
              <w:rPr>
                <w:noProof/>
                <w:webHidden/>
              </w:rPr>
              <w:tab/>
            </w:r>
            <w:r w:rsidR="00D60FC0">
              <w:rPr>
                <w:noProof/>
                <w:webHidden/>
              </w:rPr>
              <w:fldChar w:fldCharType="begin"/>
            </w:r>
            <w:r w:rsidR="00D60FC0">
              <w:rPr>
                <w:noProof/>
                <w:webHidden/>
              </w:rPr>
              <w:instrText xml:space="preserve"> PAGEREF _Toc461446291 \h </w:instrText>
            </w:r>
            <w:r w:rsidR="00D60FC0">
              <w:rPr>
                <w:noProof/>
                <w:webHidden/>
              </w:rPr>
            </w:r>
            <w:r w:rsidR="00D60FC0">
              <w:rPr>
                <w:noProof/>
                <w:webHidden/>
              </w:rPr>
              <w:fldChar w:fldCharType="separate"/>
            </w:r>
            <w:r w:rsidR="005049D2">
              <w:rPr>
                <w:noProof/>
                <w:webHidden/>
              </w:rPr>
              <w:t>6</w:t>
            </w:r>
            <w:r w:rsidR="00D60FC0">
              <w:rPr>
                <w:noProof/>
                <w:webHidden/>
              </w:rPr>
              <w:fldChar w:fldCharType="end"/>
            </w:r>
          </w:hyperlink>
        </w:p>
        <w:p w14:paraId="114059E1" w14:textId="566C15B9" w:rsidR="00D60FC0" w:rsidRDefault="00457FB8">
          <w:pPr>
            <w:pStyle w:val="TOC1"/>
            <w:rPr>
              <w:rFonts w:eastAsiaTheme="minorEastAsia"/>
              <w:noProof/>
            </w:rPr>
          </w:pPr>
          <w:hyperlink w:anchor="_Toc461446292" w:history="1">
            <w:r w:rsidR="00D60FC0" w:rsidRPr="00427855">
              <w:rPr>
                <w:rStyle w:val="Hyperlink"/>
                <w:noProof/>
              </w:rPr>
              <w:t>A.4. Effort to Identify Duplication and Use of Similar Information</w:t>
            </w:r>
            <w:r w:rsidR="00D60FC0">
              <w:rPr>
                <w:noProof/>
                <w:webHidden/>
              </w:rPr>
              <w:tab/>
            </w:r>
            <w:r w:rsidR="00D60FC0">
              <w:rPr>
                <w:noProof/>
                <w:webHidden/>
              </w:rPr>
              <w:fldChar w:fldCharType="begin"/>
            </w:r>
            <w:r w:rsidR="00D60FC0">
              <w:rPr>
                <w:noProof/>
                <w:webHidden/>
              </w:rPr>
              <w:instrText xml:space="preserve"> PAGEREF _Toc461446292 \h </w:instrText>
            </w:r>
            <w:r w:rsidR="00D60FC0">
              <w:rPr>
                <w:noProof/>
                <w:webHidden/>
              </w:rPr>
            </w:r>
            <w:r w:rsidR="00D60FC0">
              <w:rPr>
                <w:noProof/>
                <w:webHidden/>
              </w:rPr>
              <w:fldChar w:fldCharType="separate"/>
            </w:r>
            <w:r w:rsidR="005049D2">
              <w:rPr>
                <w:noProof/>
                <w:webHidden/>
              </w:rPr>
              <w:t>7</w:t>
            </w:r>
            <w:r w:rsidR="00D60FC0">
              <w:rPr>
                <w:noProof/>
                <w:webHidden/>
              </w:rPr>
              <w:fldChar w:fldCharType="end"/>
            </w:r>
          </w:hyperlink>
        </w:p>
        <w:p w14:paraId="6CC4C5C2" w14:textId="4F8B6713" w:rsidR="00D60FC0" w:rsidRDefault="00457FB8">
          <w:pPr>
            <w:pStyle w:val="TOC1"/>
            <w:rPr>
              <w:rFonts w:eastAsiaTheme="minorEastAsia"/>
              <w:noProof/>
            </w:rPr>
          </w:pPr>
          <w:hyperlink w:anchor="_Toc461446293" w:history="1">
            <w:r w:rsidR="00D60FC0" w:rsidRPr="00427855">
              <w:rPr>
                <w:rStyle w:val="Hyperlink"/>
                <w:noProof/>
              </w:rPr>
              <w:t>A.5. Impact on Small Businesses or Other Small Entities.</w:t>
            </w:r>
            <w:r w:rsidR="00D60FC0">
              <w:rPr>
                <w:noProof/>
                <w:webHidden/>
              </w:rPr>
              <w:tab/>
            </w:r>
            <w:r w:rsidR="00D60FC0">
              <w:rPr>
                <w:noProof/>
                <w:webHidden/>
              </w:rPr>
              <w:fldChar w:fldCharType="begin"/>
            </w:r>
            <w:r w:rsidR="00D60FC0">
              <w:rPr>
                <w:noProof/>
                <w:webHidden/>
              </w:rPr>
              <w:instrText xml:space="preserve"> PAGEREF _Toc461446293 \h </w:instrText>
            </w:r>
            <w:r w:rsidR="00D60FC0">
              <w:rPr>
                <w:noProof/>
                <w:webHidden/>
              </w:rPr>
            </w:r>
            <w:r w:rsidR="00D60FC0">
              <w:rPr>
                <w:noProof/>
                <w:webHidden/>
              </w:rPr>
              <w:fldChar w:fldCharType="separate"/>
            </w:r>
            <w:r w:rsidR="005049D2">
              <w:rPr>
                <w:noProof/>
                <w:webHidden/>
              </w:rPr>
              <w:t>7</w:t>
            </w:r>
            <w:r w:rsidR="00D60FC0">
              <w:rPr>
                <w:noProof/>
                <w:webHidden/>
              </w:rPr>
              <w:fldChar w:fldCharType="end"/>
            </w:r>
          </w:hyperlink>
        </w:p>
        <w:p w14:paraId="53E38615" w14:textId="7DCD67EC" w:rsidR="00D60FC0" w:rsidRDefault="00457FB8">
          <w:pPr>
            <w:pStyle w:val="TOC1"/>
            <w:rPr>
              <w:rFonts w:eastAsiaTheme="minorEastAsia"/>
              <w:noProof/>
            </w:rPr>
          </w:pPr>
          <w:hyperlink w:anchor="_Toc461446294" w:history="1">
            <w:r w:rsidR="00D60FC0" w:rsidRPr="00427855">
              <w:rPr>
                <w:rStyle w:val="Hyperlink"/>
                <w:noProof/>
              </w:rPr>
              <w:t>A.6. Consequences of Collecting Information Less Frequently.</w:t>
            </w:r>
            <w:r w:rsidR="00D60FC0">
              <w:rPr>
                <w:noProof/>
                <w:webHidden/>
              </w:rPr>
              <w:tab/>
            </w:r>
            <w:r w:rsidR="00D60FC0">
              <w:rPr>
                <w:noProof/>
                <w:webHidden/>
              </w:rPr>
              <w:fldChar w:fldCharType="begin"/>
            </w:r>
            <w:r w:rsidR="00D60FC0">
              <w:rPr>
                <w:noProof/>
                <w:webHidden/>
              </w:rPr>
              <w:instrText xml:space="preserve"> PAGEREF _Toc461446294 \h </w:instrText>
            </w:r>
            <w:r w:rsidR="00D60FC0">
              <w:rPr>
                <w:noProof/>
                <w:webHidden/>
              </w:rPr>
            </w:r>
            <w:r w:rsidR="00D60FC0">
              <w:rPr>
                <w:noProof/>
                <w:webHidden/>
              </w:rPr>
              <w:fldChar w:fldCharType="separate"/>
            </w:r>
            <w:r w:rsidR="005049D2">
              <w:rPr>
                <w:noProof/>
                <w:webHidden/>
              </w:rPr>
              <w:t>8</w:t>
            </w:r>
            <w:r w:rsidR="00D60FC0">
              <w:rPr>
                <w:noProof/>
                <w:webHidden/>
              </w:rPr>
              <w:fldChar w:fldCharType="end"/>
            </w:r>
          </w:hyperlink>
        </w:p>
        <w:p w14:paraId="5A9BAEF7" w14:textId="6F1AC2C3" w:rsidR="00D60FC0" w:rsidRDefault="00457FB8">
          <w:pPr>
            <w:pStyle w:val="TOC1"/>
            <w:rPr>
              <w:rFonts w:eastAsiaTheme="minorEastAsia"/>
              <w:noProof/>
            </w:rPr>
          </w:pPr>
          <w:hyperlink w:anchor="_Toc461446295" w:history="1">
            <w:r w:rsidR="00D60FC0" w:rsidRPr="00427855">
              <w:rPr>
                <w:rStyle w:val="Hyperlink"/>
                <w:noProof/>
              </w:rPr>
              <w:t>A.7. Special Circumstances Relating to the Guidelines of 5 CFR 1320.5</w:t>
            </w:r>
            <w:r w:rsidR="00D60FC0">
              <w:rPr>
                <w:noProof/>
                <w:webHidden/>
              </w:rPr>
              <w:tab/>
            </w:r>
            <w:r w:rsidR="00D60FC0">
              <w:rPr>
                <w:noProof/>
                <w:webHidden/>
              </w:rPr>
              <w:fldChar w:fldCharType="begin"/>
            </w:r>
            <w:r w:rsidR="00D60FC0">
              <w:rPr>
                <w:noProof/>
                <w:webHidden/>
              </w:rPr>
              <w:instrText xml:space="preserve"> PAGEREF _Toc461446295 \h </w:instrText>
            </w:r>
            <w:r w:rsidR="00D60FC0">
              <w:rPr>
                <w:noProof/>
                <w:webHidden/>
              </w:rPr>
            </w:r>
            <w:r w:rsidR="00D60FC0">
              <w:rPr>
                <w:noProof/>
                <w:webHidden/>
              </w:rPr>
              <w:fldChar w:fldCharType="separate"/>
            </w:r>
            <w:r w:rsidR="005049D2">
              <w:rPr>
                <w:noProof/>
                <w:webHidden/>
              </w:rPr>
              <w:t>8</w:t>
            </w:r>
            <w:r w:rsidR="00D60FC0">
              <w:rPr>
                <w:noProof/>
                <w:webHidden/>
              </w:rPr>
              <w:fldChar w:fldCharType="end"/>
            </w:r>
          </w:hyperlink>
        </w:p>
        <w:p w14:paraId="219423AE" w14:textId="74F2CE89" w:rsidR="00D60FC0" w:rsidRDefault="00457FB8">
          <w:pPr>
            <w:pStyle w:val="TOC1"/>
            <w:rPr>
              <w:rFonts w:eastAsiaTheme="minorEastAsia"/>
              <w:noProof/>
            </w:rPr>
          </w:pPr>
          <w:hyperlink w:anchor="_Toc461446296" w:history="1">
            <w:r w:rsidR="00D60FC0" w:rsidRPr="00427855">
              <w:rPr>
                <w:rStyle w:val="Hyperlink"/>
                <w:noProof/>
              </w:rPr>
              <w:t>A.8. Comments in Response to the Federal Register Notice and Efforts to Consult Outside the Agency</w:t>
            </w:r>
            <w:r w:rsidR="00D60FC0">
              <w:rPr>
                <w:noProof/>
                <w:webHidden/>
              </w:rPr>
              <w:tab/>
            </w:r>
            <w:r w:rsidR="00D60FC0">
              <w:rPr>
                <w:noProof/>
                <w:webHidden/>
              </w:rPr>
              <w:fldChar w:fldCharType="begin"/>
            </w:r>
            <w:r w:rsidR="00D60FC0">
              <w:rPr>
                <w:noProof/>
                <w:webHidden/>
              </w:rPr>
              <w:instrText xml:space="preserve"> PAGEREF _Toc461446296 \h </w:instrText>
            </w:r>
            <w:r w:rsidR="00D60FC0">
              <w:rPr>
                <w:noProof/>
                <w:webHidden/>
              </w:rPr>
            </w:r>
            <w:r w:rsidR="00D60FC0">
              <w:rPr>
                <w:noProof/>
                <w:webHidden/>
              </w:rPr>
              <w:fldChar w:fldCharType="separate"/>
            </w:r>
            <w:r w:rsidR="005049D2">
              <w:rPr>
                <w:noProof/>
                <w:webHidden/>
              </w:rPr>
              <w:t>8</w:t>
            </w:r>
            <w:r w:rsidR="00D60FC0">
              <w:rPr>
                <w:noProof/>
                <w:webHidden/>
              </w:rPr>
              <w:fldChar w:fldCharType="end"/>
            </w:r>
          </w:hyperlink>
        </w:p>
        <w:p w14:paraId="4B299DE8" w14:textId="37186BB9" w:rsidR="00D60FC0" w:rsidRDefault="00457FB8">
          <w:pPr>
            <w:pStyle w:val="TOC1"/>
            <w:rPr>
              <w:rFonts w:eastAsiaTheme="minorEastAsia"/>
              <w:noProof/>
            </w:rPr>
          </w:pPr>
          <w:hyperlink w:anchor="_Toc461446297" w:history="1">
            <w:r w:rsidR="00D60FC0" w:rsidRPr="00427855">
              <w:rPr>
                <w:rStyle w:val="Hyperlink"/>
                <w:noProof/>
              </w:rPr>
              <w:t>A.9. Explanation of Any Payment or Gift to Respondents</w:t>
            </w:r>
            <w:r w:rsidR="00D60FC0">
              <w:rPr>
                <w:noProof/>
                <w:webHidden/>
              </w:rPr>
              <w:tab/>
            </w:r>
            <w:r w:rsidR="00D60FC0">
              <w:rPr>
                <w:noProof/>
                <w:webHidden/>
              </w:rPr>
              <w:fldChar w:fldCharType="begin"/>
            </w:r>
            <w:r w:rsidR="00D60FC0">
              <w:rPr>
                <w:noProof/>
                <w:webHidden/>
              </w:rPr>
              <w:instrText xml:space="preserve"> PAGEREF _Toc461446297 \h </w:instrText>
            </w:r>
            <w:r w:rsidR="00D60FC0">
              <w:rPr>
                <w:noProof/>
                <w:webHidden/>
              </w:rPr>
            </w:r>
            <w:r w:rsidR="00D60FC0">
              <w:rPr>
                <w:noProof/>
                <w:webHidden/>
              </w:rPr>
              <w:fldChar w:fldCharType="separate"/>
            </w:r>
            <w:r w:rsidR="005049D2">
              <w:rPr>
                <w:noProof/>
                <w:webHidden/>
              </w:rPr>
              <w:t>9</w:t>
            </w:r>
            <w:r w:rsidR="00D60FC0">
              <w:rPr>
                <w:noProof/>
                <w:webHidden/>
              </w:rPr>
              <w:fldChar w:fldCharType="end"/>
            </w:r>
          </w:hyperlink>
        </w:p>
        <w:p w14:paraId="169BA301" w14:textId="1A7BC28C" w:rsidR="00D60FC0" w:rsidRDefault="00457FB8">
          <w:pPr>
            <w:pStyle w:val="TOC1"/>
            <w:rPr>
              <w:rFonts w:eastAsiaTheme="minorEastAsia"/>
              <w:noProof/>
            </w:rPr>
          </w:pPr>
          <w:hyperlink w:anchor="_Toc461446298" w:history="1">
            <w:r w:rsidR="00D60FC0" w:rsidRPr="00427855">
              <w:rPr>
                <w:rStyle w:val="Hyperlink"/>
                <w:noProof/>
              </w:rPr>
              <w:t>A.10. Protection of the Privacy &amp; Confidentiality of Information Provided by Respondents</w:t>
            </w:r>
            <w:r w:rsidR="00D60FC0">
              <w:rPr>
                <w:noProof/>
                <w:webHidden/>
              </w:rPr>
              <w:tab/>
            </w:r>
            <w:r w:rsidR="00D60FC0">
              <w:rPr>
                <w:noProof/>
                <w:webHidden/>
              </w:rPr>
              <w:fldChar w:fldCharType="begin"/>
            </w:r>
            <w:r w:rsidR="00D60FC0">
              <w:rPr>
                <w:noProof/>
                <w:webHidden/>
              </w:rPr>
              <w:instrText xml:space="preserve"> PAGEREF _Toc461446298 \h </w:instrText>
            </w:r>
            <w:r w:rsidR="00D60FC0">
              <w:rPr>
                <w:noProof/>
                <w:webHidden/>
              </w:rPr>
            </w:r>
            <w:r w:rsidR="00D60FC0">
              <w:rPr>
                <w:noProof/>
                <w:webHidden/>
              </w:rPr>
              <w:fldChar w:fldCharType="separate"/>
            </w:r>
            <w:r w:rsidR="005049D2">
              <w:rPr>
                <w:noProof/>
                <w:webHidden/>
              </w:rPr>
              <w:t>9</w:t>
            </w:r>
            <w:r w:rsidR="00D60FC0">
              <w:rPr>
                <w:noProof/>
                <w:webHidden/>
              </w:rPr>
              <w:fldChar w:fldCharType="end"/>
            </w:r>
          </w:hyperlink>
        </w:p>
        <w:p w14:paraId="6BC9090B" w14:textId="5D9D9C44" w:rsidR="00D60FC0" w:rsidRDefault="00457FB8">
          <w:pPr>
            <w:pStyle w:val="TOC1"/>
            <w:rPr>
              <w:rFonts w:eastAsiaTheme="minorEastAsia"/>
              <w:noProof/>
            </w:rPr>
          </w:pPr>
          <w:hyperlink w:anchor="_Toc461446299" w:history="1">
            <w:r w:rsidR="00D60FC0" w:rsidRPr="00427855">
              <w:rPr>
                <w:rStyle w:val="Hyperlink"/>
                <w:noProof/>
              </w:rPr>
              <w:t>A.11. Institutional Review Board (IRB) and Justification for Sensitive Questions</w:t>
            </w:r>
            <w:r w:rsidR="00D60FC0">
              <w:rPr>
                <w:noProof/>
                <w:webHidden/>
              </w:rPr>
              <w:tab/>
            </w:r>
            <w:r w:rsidR="00D60FC0">
              <w:rPr>
                <w:noProof/>
                <w:webHidden/>
              </w:rPr>
              <w:fldChar w:fldCharType="begin"/>
            </w:r>
            <w:r w:rsidR="00D60FC0">
              <w:rPr>
                <w:noProof/>
                <w:webHidden/>
              </w:rPr>
              <w:instrText xml:space="preserve"> PAGEREF _Toc461446299 \h </w:instrText>
            </w:r>
            <w:r w:rsidR="00D60FC0">
              <w:rPr>
                <w:noProof/>
                <w:webHidden/>
              </w:rPr>
            </w:r>
            <w:r w:rsidR="00D60FC0">
              <w:rPr>
                <w:noProof/>
                <w:webHidden/>
              </w:rPr>
              <w:fldChar w:fldCharType="separate"/>
            </w:r>
            <w:r w:rsidR="005049D2">
              <w:rPr>
                <w:noProof/>
                <w:webHidden/>
              </w:rPr>
              <w:t>11</w:t>
            </w:r>
            <w:r w:rsidR="00D60FC0">
              <w:rPr>
                <w:noProof/>
                <w:webHidden/>
              </w:rPr>
              <w:fldChar w:fldCharType="end"/>
            </w:r>
          </w:hyperlink>
        </w:p>
        <w:p w14:paraId="1A6CE73B" w14:textId="217FC64C" w:rsidR="00D60FC0" w:rsidRDefault="00457FB8">
          <w:pPr>
            <w:pStyle w:val="TOC1"/>
            <w:rPr>
              <w:rFonts w:eastAsiaTheme="minorEastAsia"/>
              <w:noProof/>
            </w:rPr>
          </w:pPr>
          <w:hyperlink w:anchor="_Toc461446300" w:history="1">
            <w:r w:rsidR="00D60FC0" w:rsidRPr="00427855">
              <w:rPr>
                <w:rStyle w:val="Hyperlink"/>
                <w:noProof/>
              </w:rPr>
              <w:t>A.12. Provide estimates of the hour burden of the collection of information.</w:t>
            </w:r>
            <w:r w:rsidR="00D60FC0">
              <w:rPr>
                <w:noProof/>
                <w:webHidden/>
              </w:rPr>
              <w:tab/>
            </w:r>
            <w:r w:rsidR="00D60FC0">
              <w:rPr>
                <w:noProof/>
                <w:webHidden/>
              </w:rPr>
              <w:fldChar w:fldCharType="begin"/>
            </w:r>
            <w:r w:rsidR="00D60FC0">
              <w:rPr>
                <w:noProof/>
                <w:webHidden/>
              </w:rPr>
              <w:instrText xml:space="preserve"> PAGEREF _Toc461446300 \h </w:instrText>
            </w:r>
            <w:r w:rsidR="00D60FC0">
              <w:rPr>
                <w:noProof/>
                <w:webHidden/>
              </w:rPr>
            </w:r>
            <w:r w:rsidR="00D60FC0">
              <w:rPr>
                <w:noProof/>
                <w:webHidden/>
              </w:rPr>
              <w:fldChar w:fldCharType="separate"/>
            </w:r>
            <w:r w:rsidR="005049D2">
              <w:rPr>
                <w:noProof/>
                <w:webHidden/>
              </w:rPr>
              <w:t>11</w:t>
            </w:r>
            <w:r w:rsidR="00D60FC0">
              <w:rPr>
                <w:noProof/>
                <w:webHidden/>
              </w:rPr>
              <w:fldChar w:fldCharType="end"/>
            </w:r>
          </w:hyperlink>
        </w:p>
        <w:p w14:paraId="247CB274" w14:textId="63BADA28" w:rsidR="00D60FC0" w:rsidRDefault="00457FB8">
          <w:pPr>
            <w:pStyle w:val="TOC1"/>
            <w:rPr>
              <w:rFonts w:eastAsiaTheme="minorEastAsia"/>
              <w:noProof/>
            </w:rPr>
          </w:pPr>
          <w:hyperlink w:anchor="_Toc461446302" w:history="1">
            <w:r w:rsidR="00D60FC0" w:rsidRPr="00427855">
              <w:rPr>
                <w:rStyle w:val="Hyperlink"/>
                <w:noProof/>
              </w:rPr>
              <w:t>A.13. Estimates of Other Total Annual Cost Burden to Respondents or Record Keepers</w:t>
            </w:r>
            <w:r w:rsidR="00D60FC0">
              <w:rPr>
                <w:noProof/>
                <w:webHidden/>
              </w:rPr>
              <w:tab/>
            </w:r>
            <w:r w:rsidR="00D60FC0">
              <w:rPr>
                <w:noProof/>
                <w:webHidden/>
              </w:rPr>
              <w:fldChar w:fldCharType="begin"/>
            </w:r>
            <w:r w:rsidR="00D60FC0">
              <w:rPr>
                <w:noProof/>
                <w:webHidden/>
              </w:rPr>
              <w:instrText xml:space="preserve"> PAGEREF _Toc461446302 \h </w:instrText>
            </w:r>
            <w:r w:rsidR="00D60FC0">
              <w:rPr>
                <w:noProof/>
                <w:webHidden/>
              </w:rPr>
            </w:r>
            <w:r w:rsidR="00D60FC0">
              <w:rPr>
                <w:noProof/>
                <w:webHidden/>
              </w:rPr>
              <w:fldChar w:fldCharType="separate"/>
            </w:r>
            <w:r w:rsidR="005049D2">
              <w:rPr>
                <w:noProof/>
                <w:webHidden/>
              </w:rPr>
              <w:t>13</w:t>
            </w:r>
            <w:r w:rsidR="00D60FC0">
              <w:rPr>
                <w:noProof/>
                <w:webHidden/>
              </w:rPr>
              <w:fldChar w:fldCharType="end"/>
            </w:r>
          </w:hyperlink>
        </w:p>
        <w:p w14:paraId="5ED6E4A1" w14:textId="24C46383" w:rsidR="00D60FC0" w:rsidRDefault="00457FB8">
          <w:pPr>
            <w:pStyle w:val="TOC1"/>
            <w:rPr>
              <w:rFonts w:eastAsiaTheme="minorEastAsia"/>
              <w:noProof/>
            </w:rPr>
          </w:pPr>
          <w:hyperlink w:anchor="_Toc461446303" w:history="1">
            <w:r w:rsidR="00D60FC0" w:rsidRPr="00427855">
              <w:rPr>
                <w:rStyle w:val="Hyperlink"/>
                <w:noProof/>
              </w:rPr>
              <w:t>A.14. Annualized Cost to the Government</w:t>
            </w:r>
            <w:r w:rsidR="00D60FC0">
              <w:rPr>
                <w:noProof/>
                <w:webHidden/>
              </w:rPr>
              <w:tab/>
            </w:r>
            <w:r w:rsidR="00D60FC0">
              <w:rPr>
                <w:noProof/>
                <w:webHidden/>
              </w:rPr>
              <w:fldChar w:fldCharType="begin"/>
            </w:r>
            <w:r w:rsidR="00D60FC0">
              <w:rPr>
                <w:noProof/>
                <w:webHidden/>
              </w:rPr>
              <w:instrText xml:space="preserve"> PAGEREF _Toc461446303 \h </w:instrText>
            </w:r>
            <w:r w:rsidR="00D60FC0">
              <w:rPr>
                <w:noProof/>
                <w:webHidden/>
              </w:rPr>
            </w:r>
            <w:r w:rsidR="00D60FC0">
              <w:rPr>
                <w:noProof/>
                <w:webHidden/>
              </w:rPr>
              <w:fldChar w:fldCharType="separate"/>
            </w:r>
            <w:r w:rsidR="005049D2">
              <w:rPr>
                <w:noProof/>
                <w:webHidden/>
              </w:rPr>
              <w:t>13</w:t>
            </w:r>
            <w:r w:rsidR="00D60FC0">
              <w:rPr>
                <w:noProof/>
                <w:webHidden/>
              </w:rPr>
              <w:fldChar w:fldCharType="end"/>
            </w:r>
          </w:hyperlink>
        </w:p>
        <w:p w14:paraId="2B1C1235" w14:textId="7D5B5B53" w:rsidR="00D60FC0" w:rsidRDefault="00457FB8">
          <w:pPr>
            <w:pStyle w:val="TOC1"/>
            <w:rPr>
              <w:rFonts w:eastAsiaTheme="minorEastAsia"/>
              <w:noProof/>
            </w:rPr>
          </w:pPr>
          <w:hyperlink w:anchor="_Toc461446319" w:history="1">
            <w:r w:rsidR="00D60FC0" w:rsidRPr="00427855">
              <w:rPr>
                <w:rStyle w:val="Hyperlink"/>
                <w:noProof/>
              </w:rPr>
              <w:t>A.15. Explanation for Program Changes or Adjustments</w:t>
            </w:r>
            <w:r w:rsidR="00D60FC0">
              <w:rPr>
                <w:noProof/>
                <w:webHidden/>
              </w:rPr>
              <w:tab/>
            </w:r>
            <w:r w:rsidR="00D60FC0">
              <w:rPr>
                <w:noProof/>
                <w:webHidden/>
              </w:rPr>
              <w:fldChar w:fldCharType="begin"/>
            </w:r>
            <w:r w:rsidR="00D60FC0">
              <w:rPr>
                <w:noProof/>
                <w:webHidden/>
              </w:rPr>
              <w:instrText xml:space="preserve"> PAGEREF _Toc461446319 \h </w:instrText>
            </w:r>
            <w:r w:rsidR="00D60FC0">
              <w:rPr>
                <w:noProof/>
                <w:webHidden/>
              </w:rPr>
            </w:r>
            <w:r w:rsidR="00D60FC0">
              <w:rPr>
                <w:noProof/>
                <w:webHidden/>
              </w:rPr>
              <w:fldChar w:fldCharType="separate"/>
            </w:r>
            <w:r w:rsidR="005049D2">
              <w:rPr>
                <w:noProof/>
                <w:webHidden/>
              </w:rPr>
              <w:t>14</w:t>
            </w:r>
            <w:r w:rsidR="00D60FC0">
              <w:rPr>
                <w:noProof/>
                <w:webHidden/>
              </w:rPr>
              <w:fldChar w:fldCharType="end"/>
            </w:r>
          </w:hyperlink>
        </w:p>
        <w:p w14:paraId="6EF340B6" w14:textId="7BCAEFDB" w:rsidR="00D60FC0" w:rsidRDefault="00457FB8">
          <w:pPr>
            <w:pStyle w:val="TOC1"/>
            <w:rPr>
              <w:rFonts w:eastAsiaTheme="minorEastAsia"/>
              <w:noProof/>
            </w:rPr>
          </w:pPr>
          <w:hyperlink w:anchor="_Toc461446320" w:history="1">
            <w:r w:rsidR="00D60FC0" w:rsidRPr="00427855">
              <w:rPr>
                <w:rStyle w:val="Hyperlink"/>
                <w:noProof/>
              </w:rPr>
              <w:t>A.16. Plans for Tabulation and Publication and Project Time Schedule</w:t>
            </w:r>
            <w:r w:rsidR="00D60FC0">
              <w:rPr>
                <w:noProof/>
                <w:webHidden/>
              </w:rPr>
              <w:tab/>
            </w:r>
            <w:r w:rsidR="00D60FC0">
              <w:rPr>
                <w:noProof/>
                <w:webHidden/>
              </w:rPr>
              <w:fldChar w:fldCharType="begin"/>
            </w:r>
            <w:r w:rsidR="00D60FC0">
              <w:rPr>
                <w:noProof/>
                <w:webHidden/>
              </w:rPr>
              <w:instrText xml:space="preserve"> PAGEREF _Toc461446320 \h </w:instrText>
            </w:r>
            <w:r w:rsidR="00D60FC0">
              <w:rPr>
                <w:noProof/>
                <w:webHidden/>
              </w:rPr>
            </w:r>
            <w:r w:rsidR="00D60FC0">
              <w:rPr>
                <w:noProof/>
                <w:webHidden/>
              </w:rPr>
              <w:fldChar w:fldCharType="separate"/>
            </w:r>
            <w:r w:rsidR="005049D2">
              <w:rPr>
                <w:noProof/>
                <w:webHidden/>
              </w:rPr>
              <w:t>14</w:t>
            </w:r>
            <w:r w:rsidR="00D60FC0">
              <w:rPr>
                <w:noProof/>
                <w:webHidden/>
              </w:rPr>
              <w:fldChar w:fldCharType="end"/>
            </w:r>
          </w:hyperlink>
        </w:p>
        <w:p w14:paraId="05066E92" w14:textId="1E7AF48E" w:rsidR="00D60FC0" w:rsidRDefault="00457FB8">
          <w:pPr>
            <w:pStyle w:val="TOC1"/>
            <w:rPr>
              <w:rFonts w:eastAsiaTheme="minorEastAsia"/>
              <w:noProof/>
            </w:rPr>
          </w:pPr>
          <w:hyperlink w:anchor="_Toc461446321" w:history="1">
            <w:r w:rsidR="00D60FC0" w:rsidRPr="00427855">
              <w:rPr>
                <w:rStyle w:val="Hyperlink"/>
                <w:noProof/>
              </w:rPr>
              <w:t>A.17. Reason(s) Display of OMB Expiration Date is Inappropriate</w:t>
            </w:r>
            <w:r w:rsidR="00D60FC0">
              <w:rPr>
                <w:noProof/>
                <w:webHidden/>
              </w:rPr>
              <w:tab/>
            </w:r>
            <w:r w:rsidR="00D60FC0">
              <w:rPr>
                <w:noProof/>
                <w:webHidden/>
              </w:rPr>
              <w:fldChar w:fldCharType="begin"/>
            </w:r>
            <w:r w:rsidR="00D60FC0">
              <w:rPr>
                <w:noProof/>
                <w:webHidden/>
              </w:rPr>
              <w:instrText xml:space="preserve"> PAGEREF _Toc461446321 \h </w:instrText>
            </w:r>
            <w:r w:rsidR="00D60FC0">
              <w:rPr>
                <w:noProof/>
                <w:webHidden/>
              </w:rPr>
            </w:r>
            <w:r w:rsidR="00D60FC0">
              <w:rPr>
                <w:noProof/>
                <w:webHidden/>
              </w:rPr>
              <w:fldChar w:fldCharType="separate"/>
            </w:r>
            <w:r w:rsidR="005049D2">
              <w:rPr>
                <w:noProof/>
                <w:webHidden/>
              </w:rPr>
              <w:t>14</w:t>
            </w:r>
            <w:r w:rsidR="00D60FC0">
              <w:rPr>
                <w:noProof/>
                <w:webHidden/>
              </w:rPr>
              <w:fldChar w:fldCharType="end"/>
            </w:r>
          </w:hyperlink>
        </w:p>
        <w:p w14:paraId="62CC929B" w14:textId="4675EB06" w:rsidR="00D60FC0" w:rsidRDefault="00457FB8">
          <w:pPr>
            <w:pStyle w:val="TOC1"/>
            <w:rPr>
              <w:rFonts w:eastAsiaTheme="minorEastAsia"/>
              <w:noProof/>
            </w:rPr>
          </w:pPr>
          <w:hyperlink w:anchor="_Toc461446322" w:history="1">
            <w:r w:rsidR="00D60FC0" w:rsidRPr="00427855">
              <w:rPr>
                <w:rStyle w:val="Hyperlink"/>
                <w:noProof/>
              </w:rPr>
              <w:t>A.18. Exceptions to Certification for Paperwork Reduction Act Submissions</w:t>
            </w:r>
            <w:r w:rsidR="00D60FC0">
              <w:rPr>
                <w:noProof/>
                <w:webHidden/>
              </w:rPr>
              <w:tab/>
            </w:r>
            <w:r w:rsidR="00D60FC0">
              <w:rPr>
                <w:noProof/>
                <w:webHidden/>
              </w:rPr>
              <w:fldChar w:fldCharType="begin"/>
            </w:r>
            <w:r w:rsidR="00D60FC0">
              <w:rPr>
                <w:noProof/>
                <w:webHidden/>
              </w:rPr>
              <w:instrText xml:space="preserve"> PAGEREF _Toc461446322 \h </w:instrText>
            </w:r>
            <w:r w:rsidR="00D60FC0">
              <w:rPr>
                <w:noProof/>
                <w:webHidden/>
              </w:rPr>
            </w:r>
            <w:r w:rsidR="00D60FC0">
              <w:rPr>
                <w:noProof/>
                <w:webHidden/>
              </w:rPr>
              <w:fldChar w:fldCharType="separate"/>
            </w:r>
            <w:r w:rsidR="005049D2">
              <w:rPr>
                <w:noProof/>
                <w:webHidden/>
              </w:rPr>
              <w:t>14</w:t>
            </w:r>
            <w:r w:rsidR="00D60FC0">
              <w:rPr>
                <w:noProof/>
                <w:webHidden/>
              </w:rPr>
              <w:fldChar w:fldCharType="end"/>
            </w:r>
          </w:hyperlink>
        </w:p>
        <w:p w14:paraId="5D212DA8" w14:textId="2D22B133" w:rsidR="00D60FC0" w:rsidRDefault="00457FB8">
          <w:pPr>
            <w:pStyle w:val="TOC1"/>
            <w:rPr>
              <w:rFonts w:eastAsiaTheme="minorEastAsia"/>
              <w:noProof/>
            </w:rPr>
          </w:pPr>
          <w:hyperlink w:anchor="_Toc461446323" w:history="1">
            <w:r w:rsidR="00D60FC0" w:rsidRPr="00427855">
              <w:rPr>
                <w:rStyle w:val="Hyperlink"/>
                <w:noProof/>
              </w:rPr>
              <w:t>References</w:t>
            </w:r>
            <w:r w:rsidR="00D60FC0">
              <w:rPr>
                <w:noProof/>
                <w:webHidden/>
              </w:rPr>
              <w:tab/>
            </w:r>
            <w:r w:rsidR="00D60FC0">
              <w:rPr>
                <w:noProof/>
                <w:webHidden/>
              </w:rPr>
              <w:fldChar w:fldCharType="begin"/>
            </w:r>
            <w:r w:rsidR="00D60FC0">
              <w:rPr>
                <w:noProof/>
                <w:webHidden/>
              </w:rPr>
              <w:instrText xml:space="preserve"> PAGEREF _Toc461446323 \h </w:instrText>
            </w:r>
            <w:r w:rsidR="00D60FC0">
              <w:rPr>
                <w:noProof/>
                <w:webHidden/>
              </w:rPr>
            </w:r>
            <w:r w:rsidR="00D60FC0">
              <w:rPr>
                <w:noProof/>
                <w:webHidden/>
              </w:rPr>
              <w:fldChar w:fldCharType="separate"/>
            </w:r>
            <w:r w:rsidR="005049D2">
              <w:rPr>
                <w:noProof/>
                <w:webHidden/>
              </w:rPr>
              <w:t>15</w:t>
            </w:r>
            <w:r w:rsidR="00D60FC0">
              <w:rPr>
                <w:noProof/>
                <w:webHidden/>
              </w:rPr>
              <w:fldChar w:fldCharType="end"/>
            </w:r>
          </w:hyperlink>
        </w:p>
        <w:p w14:paraId="2A2319D0" w14:textId="4979347C" w:rsidR="008429FD" w:rsidRDefault="008429FD">
          <w:r>
            <w:rPr>
              <w:b/>
              <w:bCs/>
              <w:noProof/>
            </w:rPr>
            <w:fldChar w:fldCharType="end"/>
          </w:r>
        </w:p>
      </w:sdtContent>
    </w:sdt>
    <w:p w14:paraId="1AEDECEF" w14:textId="77777777" w:rsidR="00A3702A" w:rsidRPr="00A3702A" w:rsidRDefault="00A3702A" w:rsidP="00A3702A">
      <w:pPr>
        <w:rPr>
          <w:b/>
        </w:rPr>
      </w:pPr>
      <w:r w:rsidRPr="00A3702A">
        <w:rPr>
          <w:b/>
        </w:rPr>
        <w:t>Attachment A. OSHA Act of 1970, Section 20 (a) (1)</w:t>
      </w:r>
    </w:p>
    <w:p w14:paraId="34A754AE" w14:textId="77777777" w:rsidR="00A3702A" w:rsidRPr="00A3702A" w:rsidRDefault="00A3702A" w:rsidP="00A3702A">
      <w:pPr>
        <w:rPr>
          <w:b/>
        </w:rPr>
      </w:pPr>
      <w:r w:rsidRPr="00A3702A">
        <w:rPr>
          <w:b/>
        </w:rPr>
        <w:t>Attachment B. Federal Register Notice, 60 day</w:t>
      </w:r>
    </w:p>
    <w:p w14:paraId="12687879" w14:textId="77777777" w:rsidR="00A3702A" w:rsidRPr="00A3702A" w:rsidRDefault="00A3702A" w:rsidP="00A3702A">
      <w:pPr>
        <w:rPr>
          <w:b/>
        </w:rPr>
      </w:pPr>
      <w:r w:rsidRPr="00A3702A">
        <w:rPr>
          <w:b/>
        </w:rPr>
        <w:t xml:space="preserve">Attachment C. Survey </w:t>
      </w:r>
    </w:p>
    <w:p w14:paraId="4CE26497" w14:textId="77777777" w:rsidR="00A3702A" w:rsidRPr="00A3702A" w:rsidRDefault="00A3702A" w:rsidP="00A3702A">
      <w:pPr>
        <w:rPr>
          <w:b/>
        </w:rPr>
      </w:pPr>
      <w:r w:rsidRPr="00A3702A">
        <w:rPr>
          <w:b/>
        </w:rPr>
        <w:t xml:space="preserve">Attachment D. Non-Respondent Questionnaire </w:t>
      </w:r>
    </w:p>
    <w:p w14:paraId="2439DC42" w14:textId="77777777" w:rsidR="00A3702A" w:rsidRPr="00A3702A" w:rsidRDefault="00A3702A" w:rsidP="00A3702A">
      <w:pPr>
        <w:rPr>
          <w:b/>
        </w:rPr>
      </w:pPr>
      <w:r w:rsidRPr="00A3702A">
        <w:rPr>
          <w:b/>
        </w:rPr>
        <w:t xml:space="preserve">Attachment E. Human Subjects Research Board Approval </w:t>
      </w:r>
    </w:p>
    <w:p w14:paraId="5AC39CED" w14:textId="77777777" w:rsidR="00A3702A" w:rsidRPr="00A3702A" w:rsidRDefault="00A3702A" w:rsidP="00A3702A">
      <w:pPr>
        <w:rPr>
          <w:b/>
        </w:rPr>
      </w:pPr>
      <w:r w:rsidRPr="00A3702A">
        <w:rPr>
          <w:b/>
        </w:rPr>
        <w:t>Attachment F. Consent Form</w:t>
      </w:r>
    </w:p>
    <w:p w14:paraId="1D681ED8" w14:textId="77777777" w:rsidR="00A3702A" w:rsidRPr="00A3702A" w:rsidRDefault="00A3702A" w:rsidP="00A3702A">
      <w:pPr>
        <w:rPr>
          <w:b/>
        </w:rPr>
      </w:pPr>
      <w:r w:rsidRPr="00A3702A">
        <w:rPr>
          <w:b/>
        </w:rPr>
        <w:t>Attachment G. Flyer</w:t>
      </w:r>
    </w:p>
    <w:p w14:paraId="3E7409C7" w14:textId="77777777" w:rsidR="00A3702A" w:rsidRPr="00A3702A" w:rsidRDefault="00A3702A" w:rsidP="00A3702A">
      <w:pPr>
        <w:rPr>
          <w:b/>
        </w:rPr>
      </w:pPr>
      <w:r w:rsidRPr="00A3702A">
        <w:rPr>
          <w:b/>
        </w:rPr>
        <w:t>Attachment H. Letter to Workers</w:t>
      </w:r>
    </w:p>
    <w:p w14:paraId="04A7F1CF" w14:textId="77777777" w:rsidR="00A3702A" w:rsidRPr="00A3702A" w:rsidRDefault="00A3702A" w:rsidP="00A3702A">
      <w:pPr>
        <w:rPr>
          <w:b/>
        </w:rPr>
      </w:pPr>
      <w:r w:rsidRPr="00A3702A">
        <w:rPr>
          <w:b/>
        </w:rPr>
        <w:t>Attachment I. Worker Response Tracking Form</w:t>
      </w:r>
    </w:p>
    <w:p w14:paraId="39F455DC" w14:textId="6DFD5672" w:rsidR="00A3702A" w:rsidRPr="00A3702A" w:rsidRDefault="00A3702A" w:rsidP="00A3702A">
      <w:pPr>
        <w:rPr>
          <w:b/>
        </w:rPr>
      </w:pPr>
      <w:r w:rsidRPr="00A3702A">
        <w:rPr>
          <w:b/>
        </w:rPr>
        <w:t xml:space="preserve">Attachment J. </w:t>
      </w:r>
      <w:r w:rsidR="0066689A">
        <w:rPr>
          <w:b/>
        </w:rPr>
        <w:t>Interview Questions</w:t>
      </w:r>
    </w:p>
    <w:p w14:paraId="6D8EB395" w14:textId="77777777" w:rsidR="00A3702A" w:rsidRPr="00A3702A" w:rsidRDefault="00A3702A" w:rsidP="00A3702A">
      <w:pPr>
        <w:rPr>
          <w:b/>
        </w:rPr>
      </w:pPr>
      <w:r w:rsidRPr="00A3702A">
        <w:rPr>
          <w:b/>
        </w:rPr>
        <w:lastRenderedPageBreak/>
        <w:t xml:space="preserve">Attachment K. Screening Form </w:t>
      </w:r>
    </w:p>
    <w:p w14:paraId="168C5318" w14:textId="2AEA374C" w:rsidR="00A3702A" w:rsidRPr="00A3702A" w:rsidRDefault="00A3702A" w:rsidP="00A3702A">
      <w:pPr>
        <w:rPr>
          <w:b/>
        </w:rPr>
      </w:pPr>
      <w:r w:rsidRPr="00A3702A">
        <w:rPr>
          <w:b/>
        </w:rPr>
        <w:t>Attachment L. Interviewer Questions</w:t>
      </w:r>
      <w:r w:rsidR="0066689A">
        <w:rPr>
          <w:b/>
        </w:rPr>
        <w:t xml:space="preserve"> (Spanish)</w:t>
      </w:r>
    </w:p>
    <w:p w14:paraId="205C6BDB" w14:textId="77777777" w:rsidR="00A3702A" w:rsidRPr="00A3702A" w:rsidRDefault="00A3702A" w:rsidP="00A3702A">
      <w:pPr>
        <w:rPr>
          <w:b/>
        </w:rPr>
      </w:pPr>
      <w:r w:rsidRPr="00A3702A">
        <w:rPr>
          <w:b/>
        </w:rPr>
        <w:t>Attachment M. Worker Handout</w:t>
      </w:r>
    </w:p>
    <w:p w14:paraId="14A26383" w14:textId="77777777" w:rsidR="00A3702A" w:rsidRPr="00A3702A" w:rsidRDefault="00A3702A" w:rsidP="00A3702A">
      <w:pPr>
        <w:rPr>
          <w:b/>
        </w:rPr>
      </w:pPr>
      <w:r w:rsidRPr="00A3702A">
        <w:rPr>
          <w:b/>
        </w:rPr>
        <w:t>Attachment N. Consent Form (Spanish)</w:t>
      </w:r>
    </w:p>
    <w:p w14:paraId="34D05FD9" w14:textId="77777777" w:rsidR="00A3702A" w:rsidRPr="00A3702A" w:rsidRDefault="00A3702A" w:rsidP="00A3702A">
      <w:pPr>
        <w:rPr>
          <w:b/>
        </w:rPr>
      </w:pPr>
      <w:r w:rsidRPr="00A3702A">
        <w:rPr>
          <w:b/>
        </w:rPr>
        <w:t>Attachment O. Non-Respondent Questionnaire (Spanish)</w:t>
      </w:r>
    </w:p>
    <w:p w14:paraId="2A980E9C" w14:textId="6A2C4F72" w:rsidR="00C17F30" w:rsidRPr="00A3702A" w:rsidRDefault="00A3702A" w:rsidP="00C17F30">
      <w:pPr>
        <w:rPr>
          <w:b/>
        </w:rPr>
      </w:pPr>
      <w:r>
        <w:rPr>
          <w:b/>
        </w:rPr>
        <w:t>Attachment P. Survey (Spanish)</w:t>
      </w:r>
      <w:r w:rsidR="00562E20">
        <w:rPr>
          <w:noProof/>
        </w:rPr>
        <mc:AlternateContent>
          <mc:Choice Requires="wps">
            <w:drawing>
              <wp:anchor distT="0" distB="0" distL="114300" distR="114300" simplePos="0" relativeHeight="251659264" behindDoc="0" locked="0" layoutInCell="1" allowOverlap="1" wp14:anchorId="6704510B" wp14:editId="5B0A6B8D">
                <wp:simplePos x="0" y="0"/>
                <wp:positionH relativeFrom="margin">
                  <wp:align>right</wp:align>
                </wp:positionH>
                <wp:positionV relativeFrom="paragraph">
                  <wp:posOffset>1000495</wp:posOffset>
                </wp:positionV>
                <wp:extent cx="6162675" cy="3733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733800"/>
                        </a:xfrm>
                        <a:prstGeom prst="rect">
                          <a:avLst/>
                        </a:prstGeom>
                        <a:solidFill>
                          <a:srgbClr val="FFFFFF"/>
                        </a:solidFill>
                        <a:ln w="9525">
                          <a:solidFill>
                            <a:srgbClr val="000000"/>
                          </a:solidFill>
                          <a:miter lim="800000"/>
                          <a:headEnd/>
                          <a:tailEnd/>
                        </a:ln>
                      </wps:spPr>
                      <wps:txbx>
                        <w:txbxContent>
                          <w:p w14:paraId="42A309C3" w14:textId="3CD67530" w:rsidR="00EF465A" w:rsidRDefault="00EF465A" w:rsidP="00A3702A">
                            <w:pPr>
                              <w:pStyle w:val="ListParagraph"/>
                              <w:numPr>
                                <w:ilvl w:val="0"/>
                                <w:numId w:val="3"/>
                              </w:numPr>
                            </w:pPr>
                            <w:r w:rsidRPr="000E4895">
                              <w:rPr>
                                <w:b/>
                              </w:rPr>
                              <w:t>Goals of the study:</w:t>
                            </w:r>
                            <w:r>
                              <w:t xml:space="preserve"> The first goal is to conduct preliminary research of on-duty and off-duty factors that may affect risk for motor vehicle crashes, injuries and illness among oil and gas extraction workers. Second, to identify the perceived safety and health needs and concerns (</w:t>
                            </w:r>
                            <w:r w:rsidR="00C37D09">
                              <w:t>e.g.</w:t>
                            </w:r>
                            <w:r>
                              <w:t xml:space="preserve"> chemical exposures, respiratory symptoms) of oil and gas extraction workers, a largely non-unionized workforce. Third, to assist in generating hypotheses for future research on health and safety topics in this workforce. </w:t>
                            </w:r>
                          </w:p>
                          <w:p w14:paraId="03BA48EC" w14:textId="77777777" w:rsidR="00EF465A" w:rsidRDefault="00EF465A" w:rsidP="00A3702A">
                            <w:pPr>
                              <w:pStyle w:val="ListParagraph"/>
                              <w:ind w:left="360"/>
                            </w:pPr>
                          </w:p>
                          <w:p w14:paraId="1C8C395D" w14:textId="44AA8200" w:rsidR="00EF465A" w:rsidRDefault="00EF465A" w:rsidP="00A3702A">
                            <w:pPr>
                              <w:pStyle w:val="ListParagraph"/>
                              <w:numPr>
                                <w:ilvl w:val="0"/>
                                <w:numId w:val="3"/>
                              </w:numPr>
                            </w:pPr>
                            <w:r w:rsidRPr="000E4895">
                              <w:rPr>
                                <w:b/>
                              </w:rPr>
                              <w:t>Intended use of the resulting data:</w:t>
                            </w:r>
                            <w:r>
                              <w:t xml:space="preserve">  To guide future research priorities and to raise awareness about the safety and health concerns of workers in the oil and gas extraction industry.</w:t>
                            </w:r>
                          </w:p>
                          <w:p w14:paraId="4A815E08" w14:textId="77777777" w:rsidR="00EF465A" w:rsidRDefault="00EF465A" w:rsidP="00A3702A">
                            <w:pPr>
                              <w:pStyle w:val="ListParagraph"/>
                              <w:ind w:left="360"/>
                            </w:pPr>
                          </w:p>
                          <w:p w14:paraId="60012A0D" w14:textId="77777777" w:rsidR="00EF465A" w:rsidRDefault="00EF465A" w:rsidP="00A3702A">
                            <w:pPr>
                              <w:pStyle w:val="ListParagraph"/>
                              <w:numPr>
                                <w:ilvl w:val="0"/>
                                <w:numId w:val="3"/>
                              </w:numPr>
                            </w:pPr>
                            <w:r w:rsidRPr="000E4895">
                              <w:rPr>
                                <w:b/>
                              </w:rPr>
                              <w:t>Methods to be used to collect:</w:t>
                            </w:r>
                            <w:r>
                              <w:t xml:space="preserve"> In-person convenience sample of workers on a voluntary basis.</w:t>
                            </w:r>
                          </w:p>
                          <w:p w14:paraId="27B72A10" w14:textId="77777777" w:rsidR="00EF465A" w:rsidRDefault="00EF465A" w:rsidP="00A3702A">
                            <w:pPr>
                              <w:pStyle w:val="ListParagraph"/>
                              <w:ind w:left="360"/>
                            </w:pPr>
                          </w:p>
                          <w:p w14:paraId="38D56C86" w14:textId="77777777" w:rsidR="00EF465A" w:rsidRDefault="00EF465A" w:rsidP="00A3702A">
                            <w:pPr>
                              <w:pStyle w:val="ListParagraph"/>
                              <w:numPr>
                                <w:ilvl w:val="0"/>
                                <w:numId w:val="3"/>
                              </w:numPr>
                            </w:pPr>
                            <w:r w:rsidRPr="000E4895">
                              <w:rPr>
                                <w:b/>
                              </w:rPr>
                              <w:t>The subpopulation to be studied:</w:t>
                            </w:r>
                            <w:r>
                              <w:t xml:space="preserve">  Land-based oil and gas extraction workers in the U.S.</w:t>
                            </w:r>
                          </w:p>
                          <w:p w14:paraId="6EB119CF" w14:textId="77777777" w:rsidR="00EF465A" w:rsidRDefault="00EF465A" w:rsidP="00A3702A">
                            <w:pPr>
                              <w:pStyle w:val="ListParagraph"/>
                              <w:ind w:left="360"/>
                            </w:pPr>
                          </w:p>
                          <w:p w14:paraId="1B37FED5" w14:textId="77777777" w:rsidR="00EF465A" w:rsidRPr="00E6298B" w:rsidRDefault="00EF465A" w:rsidP="00A3702A">
                            <w:pPr>
                              <w:pStyle w:val="ListParagraph"/>
                              <w:numPr>
                                <w:ilvl w:val="0"/>
                                <w:numId w:val="3"/>
                              </w:numPr>
                              <w:rPr>
                                <w:szCs w:val="24"/>
                              </w:rPr>
                            </w:pPr>
                            <w:r w:rsidRPr="000E4895">
                              <w:rPr>
                                <w:b/>
                              </w:rPr>
                              <w:t xml:space="preserve">How data will be analyzed: </w:t>
                            </w:r>
                            <w:r w:rsidRPr="00E6298B">
                              <w:rPr>
                                <w:szCs w:val="24"/>
                              </w:rPr>
                              <w:t>Descriptive analyses (prevalence and trends); multivariate logistic regression and other statistical methods to an</w:t>
                            </w:r>
                            <w:r>
                              <w:rPr>
                                <w:szCs w:val="24"/>
                              </w:rPr>
                              <w:t xml:space="preserve">alyze associations between work and non-work </w:t>
                            </w:r>
                            <w:r w:rsidRPr="00E6298B">
                              <w:rPr>
                                <w:szCs w:val="24"/>
                              </w:rPr>
                              <w:t xml:space="preserve">related risk factors and </w:t>
                            </w:r>
                            <w:r>
                              <w:rPr>
                                <w:szCs w:val="24"/>
                              </w:rPr>
                              <w:t>injuries/illness.</w:t>
                            </w:r>
                          </w:p>
                          <w:p w14:paraId="358BAF60" w14:textId="77777777" w:rsidR="00EF465A" w:rsidRDefault="00EF465A" w:rsidP="00406F16"/>
                          <w:p w14:paraId="4AD3D0C3" w14:textId="77777777" w:rsidR="00EF465A" w:rsidRDefault="00EF465A" w:rsidP="00562E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4.05pt;margin-top:78.8pt;width:485.25pt;height:29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">
                <v:textbox>
                  <w:txbxContent>
                    <w:p w14:paraId="42A309C3" w14:textId="3CD67530" w:rsidR="00EF465A" w:rsidRDefault="00EF465A" w:rsidP="00A3702A">
                      <w:pPr>
                        <w:pStyle w:val="ListParagraph"/>
                        <w:numPr>
                          <w:ilvl w:val="0"/>
                          <w:numId w:val="3"/>
                        </w:numPr>
                      </w:pPr>
                      <w:r w:rsidRPr="000E4895">
                        <w:rPr>
                          <w:b/>
                        </w:rPr>
                        <w:t>Goals of the study:</w:t>
                      </w:r>
                      <w:r>
                        <w:t xml:space="preserve"> The first goal is to conduct preliminary research of on-duty and off-duty factors that may affect risk for motor vehicle crashes, injuries and illness among oil and gas extraction workers. Second, to identify the perceived safety and health needs and concerns (</w:t>
                      </w:r>
                      <w:r w:rsidR="00C37D09">
                        <w:t>e.g.</w:t>
                      </w:r>
                      <w:r>
                        <w:t xml:space="preserve"> chemical exposures, respiratory symptoms) of oil and gas extraction workers, a largely non-unionized workforce. Third, to assist in generating hypotheses for future research on health and safety topics in this workforce. </w:t>
                      </w:r>
                    </w:p>
                    <w:p w14:paraId="03BA48EC" w14:textId="77777777" w:rsidR="00EF465A" w:rsidRDefault="00EF465A" w:rsidP="00A3702A">
                      <w:pPr>
                        <w:pStyle w:val="ListParagraph"/>
                        <w:ind w:left="360"/>
                      </w:pPr>
                    </w:p>
                    <w:p w14:paraId="1C8C395D" w14:textId="44AA8200" w:rsidR="00EF465A" w:rsidRDefault="00EF465A" w:rsidP="00A3702A">
                      <w:pPr>
                        <w:pStyle w:val="ListParagraph"/>
                        <w:numPr>
                          <w:ilvl w:val="0"/>
                          <w:numId w:val="3"/>
                        </w:numPr>
                      </w:pPr>
                      <w:r w:rsidRPr="000E4895">
                        <w:rPr>
                          <w:b/>
                        </w:rPr>
                        <w:t>Intended use of the resulting data:</w:t>
                      </w:r>
                      <w:r>
                        <w:t xml:space="preserve">  To guide future research priorities and to raise awareness about the safety and health concerns of workers in the oil and gas extraction industry.</w:t>
                      </w:r>
                    </w:p>
                    <w:p w14:paraId="4A815E08" w14:textId="77777777" w:rsidR="00EF465A" w:rsidRDefault="00EF465A" w:rsidP="00A3702A">
                      <w:pPr>
                        <w:pStyle w:val="ListParagraph"/>
                        <w:ind w:left="360"/>
                      </w:pPr>
                    </w:p>
                    <w:p w14:paraId="60012A0D" w14:textId="77777777" w:rsidR="00EF465A" w:rsidRDefault="00EF465A" w:rsidP="00A3702A">
                      <w:pPr>
                        <w:pStyle w:val="ListParagraph"/>
                        <w:numPr>
                          <w:ilvl w:val="0"/>
                          <w:numId w:val="3"/>
                        </w:numPr>
                      </w:pPr>
                      <w:r w:rsidRPr="000E4895">
                        <w:rPr>
                          <w:b/>
                        </w:rPr>
                        <w:t>Methods to be used to collect:</w:t>
                      </w:r>
                      <w:r>
                        <w:t xml:space="preserve"> In-person convenience sample of workers on a voluntary basis.</w:t>
                      </w:r>
                    </w:p>
                    <w:p w14:paraId="27B72A10" w14:textId="77777777" w:rsidR="00EF465A" w:rsidRDefault="00EF465A" w:rsidP="00A3702A">
                      <w:pPr>
                        <w:pStyle w:val="ListParagraph"/>
                        <w:ind w:left="360"/>
                      </w:pPr>
                    </w:p>
                    <w:p w14:paraId="38D56C86" w14:textId="77777777" w:rsidR="00EF465A" w:rsidRDefault="00EF465A" w:rsidP="00A3702A">
                      <w:pPr>
                        <w:pStyle w:val="ListParagraph"/>
                        <w:numPr>
                          <w:ilvl w:val="0"/>
                          <w:numId w:val="3"/>
                        </w:numPr>
                      </w:pPr>
                      <w:r w:rsidRPr="000E4895">
                        <w:rPr>
                          <w:b/>
                        </w:rPr>
                        <w:t>The subpopulation to be studied:</w:t>
                      </w:r>
                      <w:r>
                        <w:t xml:space="preserve">  Land-based oil and gas extraction workers in the U.S.</w:t>
                      </w:r>
                    </w:p>
                    <w:p w14:paraId="6EB119CF" w14:textId="77777777" w:rsidR="00EF465A" w:rsidRDefault="00EF465A" w:rsidP="00A3702A">
                      <w:pPr>
                        <w:pStyle w:val="ListParagraph"/>
                        <w:ind w:left="360"/>
                      </w:pPr>
                    </w:p>
                    <w:p w14:paraId="1B37FED5" w14:textId="77777777" w:rsidR="00EF465A" w:rsidRPr="00E6298B" w:rsidRDefault="00EF465A" w:rsidP="00A3702A">
                      <w:pPr>
                        <w:pStyle w:val="ListParagraph"/>
                        <w:numPr>
                          <w:ilvl w:val="0"/>
                          <w:numId w:val="3"/>
                        </w:numPr>
                        <w:rPr>
                          <w:szCs w:val="24"/>
                        </w:rPr>
                      </w:pPr>
                      <w:r w:rsidRPr="000E4895">
                        <w:rPr>
                          <w:b/>
                        </w:rPr>
                        <w:t xml:space="preserve">How data will be analyzed: </w:t>
                      </w:r>
                      <w:r w:rsidRPr="00E6298B">
                        <w:rPr>
                          <w:szCs w:val="24"/>
                        </w:rPr>
                        <w:t>Descriptive analyses (prevalence and trends); multivariate logistic regression and other statistical methods to an</w:t>
                      </w:r>
                      <w:r>
                        <w:rPr>
                          <w:szCs w:val="24"/>
                        </w:rPr>
                        <w:t xml:space="preserve">alyze associations between work and non-work </w:t>
                      </w:r>
                      <w:r w:rsidRPr="00E6298B">
                        <w:rPr>
                          <w:szCs w:val="24"/>
                        </w:rPr>
                        <w:t xml:space="preserve">related risk factors and </w:t>
                      </w:r>
                      <w:r>
                        <w:rPr>
                          <w:szCs w:val="24"/>
                        </w:rPr>
                        <w:t>injuries/illness.</w:t>
                      </w:r>
                    </w:p>
                    <w:p w14:paraId="358BAF60" w14:textId="77777777" w:rsidR="00EF465A" w:rsidRDefault="00EF465A" w:rsidP="00406F16"/>
                    <w:p w14:paraId="4AD3D0C3" w14:textId="77777777" w:rsidR="00EF465A" w:rsidRDefault="00EF465A" w:rsidP="00562E20"/>
                  </w:txbxContent>
                </v:textbox>
                <w10:wrap anchorx="margin"/>
              </v:shape>
            </w:pict>
          </mc:Fallback>
        </mc:AlternateContent>
      </w:r>
      <w:r w:rsidR="008429FD">
        <w:rPr>
          <w:b/>
        </w:rPr>
        <w:br w:type="page"/>
      </w:r>
      <w:r w:rsidR="00C17F30" w:rsidRPr="00E910D2">
        <w:rPr>
          <w:b/>
          <w:sz w:val="28"/>
        </w:rPr>
        <w:t>A. Justification</w:t>
      </w:r>
    </w:p>
    <w:p w14:paraId="26753EFB" w14:textId="77777777" w:rsidR="00C17F30" w:rsidRDefault="006F1B6B" w:rsidP="00E910D2">
      <w:pPr>
        <w:pStyle w:val="Heading1"/>
      </w:pPr>
      <w:bookmarkStart w:id="1" w:name="_Toc420492153"/>
      <w:bookmarkStart w:id="2" w:name="_Toc461446289"/>
      <w:r>
        <w:t>A.</w:t>
      </w:r>
      <w:r w:rsidR="00C17F30" w:rsidRPr="00030223">
        <w:t xml:space="preserve">1. </w:t>
      </w:r>
      <w:r w:rsidR="000E4895">
        <w:t>Circumstances Making the Collection of Information Necessary</w:t>
      </w:r>
      <w:bookmarkEnd w:id="1"/>
      <w:bookmarkEnd w:id="2"/>
    </w:p>
    <w:p w14:paraId="7AFDE185" w14:textId="73CE9F2C" w:rsidR="00A56934" w:rsidRDefault="00A56934" w:rsidP="00030223">
      <w:r>
        <w:t xml:space="preserve">This is a new information collection request (ICR) from the National Institute for Occupational Safety and Health (NIOSH), Centers for Disease Control and Prevention (CDC). </w:t>
      </w:r>
      <w:r w:rsidR="000E4895">
        <w:t xml:space="preserve">The request is for </w:t>
      </w:r>
      <w:r w:rsidR="00FB0829">
        <w:t xml:space="preserve">two </w:t>
      </w:r>
      <w:r w:rsidR="000E4895">
        <w:t xml:space="preserve">years to complete data collection. </w:t>
      </w:r>
      <w:r>
        <w:t xml:space="preserve">This data collection is authorized by Section 20(a)(1) of the Occupational Safety and Health Act (29 U.S.C. 669) </w:t>
      </w:r>
      <w:r w:rsidRPr="000C4EA4">
        <w:t>(Attachment A).</w:t>
      </w:r>
      <w:r>
        <w:t xml:space="preserve"> </w:t>
      </w:r>
    </w:p>
    <w:p w14:paraId="78C1B050" w14:textId="2CB373D1" w:rsidR="004A3C06" w:rsidRDefault="004A3C06" w:rsidP="00030223">
      <w:r>
        <w:t xml:space="preserve">The mission of NIOSH is to promote safety and health at work for all people through research and prevention. The Occupational Safety and Health Act of 1970, Public Law 9-596 (Section 20) [a][1] authorizes NIOSH to conduct research to advance the health and safety of workers.  </w:t>
      </w:r>
    </w:p>
    <w:p w14:paraId="70483F65" w14:textId="394FB327" w:rsidR="00774E9C" w:rsidRDefault="00030223" w:rsidP="00774E9C">
      <w:r>
        <w:t>This research effort is to conduct a survey</w:t>
      </w:r>
      <w:r w:rsidR="004E3031">
        <w:t xml:space="preserve"> </w:t>
      </w:r>
      <w:r w:rsidR="004E3031" w:rsidRPr="00243607">
        <w:t>(Attachment C</w:t>
      </w:r>
      <w:r w:rsidR="00050FC6">
        <w:t>)</w:t>
      </w:r>
      <w:r>
        <w:t xml:space="preserve"> of U.S. land</w:t>
      </w:r>
      <w:r w:rsidR="005B5E1F">
        <w:t>-</w:t>
      </w:r>
      <w:r>
        <w:t xml:space="preserve">based oil and gas extraction workers </w:t>
      </w:r>
      <w:r w:rsidR="008F01D6">
        <w:t>to</w:t>
      </w:r>
      <w:r>
        <w:t xml:space="preserve"> </w:t>
      </w:r>
      <w:r w:rsidR="00E47540">
        <w:t>collect</w:t>
      </w:r>
      <w:r>
        <w:t xml:space="preserve"> occupational safety and health </w:t>
      </w:r>
      <w:r w:rsidR="00E47540">
        <w:t>information</w:t>
      </w:r>
      <w:r w:rsidR="005B5E1F">
        <w:t>,</w:t>
      </w:r>
      <w:r>
        <w:t xml:space="preserve"> which </w:t>
      </w:r>
      <w:r w:rsidR="00C22FD2">
        <w:t xml:space="preserve">are </w:t>
      </w:r>
      <w:r>
        <w:t xml:space="preserve">not available elsewhere. </w:t>
      </w:r>
      <w:r w:rsidR="00774E9C">
        <w:t xml:space="preserve">The only known survey that has collected </w:t>
      </w:r>
      <w:r w:rsidR="008F01D6">
        <w:t xml:space="preserve">safety and health </w:t>
      </w:r>
      <w:r w:rsidR="00774E9C">
        <w:t>information on oil and gas workers is the National Health Interview Survey (NHIS), which contains an occupational safety and health</w:t>
      </w:r>
      <w:r w:rsidR="00054CFE">
        <w:t xml:space="preserve"> (OSH)</w:t>
      </w:r>
      <w:r w:rsidR="00774E9C">
        <w:t xml:space="preserve"> module. NIOSH analyzed this dataset by industry subsector. </w:t>
      </w:r>
      <w:r w:rsidR="007E793C">
        <w:t xml:space="preserve">Unfortunately, for the majority of OSH module questions, estimates are not available for oil and gas workers because of the small sample of those workers surveyed in the NHIS. </w:t>
      </w:r>
      <w:r w:rsidR="00774E9C">
        <w:t>The result</w:t>
      </w:r>
      <w:r w:rsidR="00C22FD2">
        <w:t>s</w:t>
      </w:r>
      <w:r w:rsidR="00774E9C">
        <w:t xml:space="preserve"> </w:t>
      </w:r>
      <w:r w:rsidR="00054CFE">
        <w:t>from the OSH</w:t>
      </w:r>
      <w:r w:rsidR="00774E9C">
        <w:t xml:space="preserve"> </w:t>
      </w:r>
      <w:r w:rsidR="00054CFE">
        <w:t xml:space="preserve">module regarding </w:t>
      </w:r>
      <w:r w:rsidR="00774E9C">
        <w:t xml:space="preserve">oil and gas extraction </w:t>
      </w:r>
      <w:r w:rsidR="00054CFE">
        <w:t xml:space="preserve">workers </w:t>
      </w:r>
      <w:r w:rsidR="00774E9C">
        <w:t xml:space="preserve">are </w:t>
      </w:r>
      <w:r w:rsidR="00C22FD2">
        <w:t xml:space="preserve">available </w:t>
      </w:r>
      <w:r w:rsidR="00774E9C">
        <w:t xml:space="preserve">at </w:t>
      </w:r>
      <w:hyperlink r:id="rId10" w:history="1">
        <w:r w:rsidR="00774E9C" w:rsidRPr="005E62C6">
          <w:rPr>
            <w:rStyle w:val="Hyperlink"/>
          </w:rPr>
          <w:t>http://www.cdc.gov/niosh/topics/nhis/mining.html</w:t>
        </w:r>
      </w:hyperlink>
      <w:r w:rsidR="00774E9C">
        <w:rPr>
          <w:rStyle w:val="Hyperlink"/>
        </w:rPr>
        <w:t>.</w:t>
      </w:r>
      <w:r w:rsidR="00774E9C">
        <w:t xml:space="preserve"> </w:t>
      </w:r>
    </w:p>
    <w:p w14:paraId="3995D6C9" w14:textId="4B126A01" w:rsidR="00030223" w:rsidRDefault="00030223" w:rsidP="00030223">
      <w:r w:rsidRPr="00A83C67">
        <w:t>This will be t</w:t>
      </w:r>
      <w:r w:rsidR="000E4895">
        <w:t>he first time that an</w:t>
      </w:r>
      <w:r w:rsidRPr="00A83C67">
        <w:t xml:space="preserve"> epidemiological survey</w:t>
      </w:r>
      <w:r w:rsidR="000E4895">
        <w:t xml:space="preserve"> on safety and health topics</w:t>
      </w:r>
      <w:r w:rsidRPr="00A83C67">
        <w:t xml:space="preserve"> will be administered to </w:t>
      </w:r>
      <w:r>
        <w:t>this subgroup</w:t>
      </w:r>
      <w:r w:rsidRPr="00A83C67">
        <w:t xml:space="preserve"> </w:t>
      </w:r>
      <w:r>
        <w:t xml:space="preserve">of </w:t>
      </w:r>
      <w:r w:rsidRPr="00A83C67">
        <w:t xml:space="preserve">workers. </w:t>
      </w:r>
      <w:r>
        <w:t xml:space="preserve">This information will: </w:t>
      </w:r>
      <w:r w:rsidR="00E47540">
        <w:t xml:space="preserve">1) provide a preliminary exploration of potential </w:t>
      </w:r>
      <w:r w:rsidR="00E47540" w:rsidRPr="00E47540">
        <w:t>on-duty and off-duty factors that may affect risk for motor vehicle crashes, injuries and illness among oil and gas extraction workers</w:t>
      </w:r>
      <w:r w:rsidR="0064767F">
        <w:t>,</w:t>
      </w:r>
      <w:r w:rsidR="00E47540" w:rsidRPr="00E47540">
        <w:t xml:space="preserve"> </w:t>
      </w:r>
      <w:r w:rsidR="00E47540">
        <w:t xml:space="preserve">2) provide a snapshot of </w:t>
      </w:r>
      <w:r w:rsidR="00E47540" w:rsidRPr="00E47540">
        <w:t>perceived safety and health needs and concerns (</w:t>
      </w:r>
      <w:r w:rsidR="0064767F">
        <w:t>e.g</w:t>
      </w:r>
      <w:r w:rsidR="00E47540" w:rsidRPr="00E47540">
        <w:t>.</w:t>
      </w:r>
      <w:r w:rsidR="0064767F">
        <w:t>,</w:t>
      </w:r>
      <w:r w:rsidR="00E47540" w:rsidRPr="00E47540">
        <w:t xml:space="preserve"> chemical exposures, respiratory symptoms) of oil and gas extraction workers, a largely non-unionized workforce</w:t>
      </w:r>
      <w:r w:rsidR="0064767F">
        <w:t>,</w:t>
      </w:r>
      <w:r w:rsidR="00E47540" w:rsidRPr="00E47540">
        <w:t xml:space="preserve"> </w:t>
      </w:r>
      <w:r w:rsidR="00E47540">
        <w:t>3)</w:t>
      </w:r>
      <w:r w:rsidR="00E47540" w:rsidRPr="00E47540">
        <w:t xml:space="preserve"> assist in generating hypotheses for future research</w:t>
      </w:r>
      <w:r w:rsidR="00E47540">
        <w:t xml:space="preserve"> on health and safety topics in this workforce</w:t>
      </w:r>
      <w:r w:rsidR="0064767F">
        <w:t>,</w:t>
      </w:r>
      <w:r w:rsidR="00E47540">
        <w:t xml:space="preserve"> and 4) </w:t>
      </w:r>
      <w:r w:rsidR="00E47540" w:rsidRPr="00E47540">
        <w:t xml:space="preserve"> </w:t>
      </w:r>
      <w:r>
        <w:t>provide information to the oil and gas extraction industry and the research community</w:t>
      </w:r>
      <w:r w:rsidR="00E47540">
        <w:t xml:space="preserve"> about</w:t>
      </w:r>
      <w:r w:rsidR="0033057C">
        <w:t xml:space="preserve"> worker concerns</w:t>
      </w:r>
      <w:r w:rsidR="00E47540">
        <w:t xml:space="preserve"> and preliminary</w:t>
      </w:r>
      <w:r>
        <w:t xml:space="preserve"> research</w:t>
      </w:r>
      <w:r w:rsidR="00E47540">
        <w:t xml:space="preserve"> priorities</w:t>
      </w:r>
      <w:r>
        <w:t xml:space="preserve">. </w:t>
      </w:r>
    </w:p>
    <w:p w14:paraId="5BF1D3EF" w14:textId="7EA19D4B" w:rsidR="004664D4" w:rsidRDefault="00030223" w:rsidP="004664D4">
      <w:r w:rsidRPr="00C85D7C">
        <w:t>The oil and gas extraction industry includes operations involved in the drilling and extraction of crude oil and natural gas, comprising the largest p</w:t>
      </w:r>
      <w:r w:rsidR="00F64A65">
        <w:t>art of the U.S. mining industry</w:t>
      </w:r>
      <w:r w:rsidRPr="00C85D7C">
        <w:t xml:space="preserve">. </w:t>
      </w:r>
      <w:r w:rsidRPr="00C51647">
        <w:t>During 2003–201</w:t>
      </w:r>
      <w:r w:rsidR="00054CFE">
        <w:t>3</w:t>
      </w:r>
      <w:r w:rsidRPr="00C51647">
        <w:t xml:space="preserve">, </w:t>
      </w:r>
      <w:r>
        <w:t>1,</w:t>
      </w:r>
      <w:r w:rsidR="00054CFE">
        <w:t>189</w:t>
      </w:r>
      <w:r>
        <w:t xml:space="preserve"> </w:t>
      </w:r>
      <w:r w:rsidRPr="00C51647">
        <w:t>oil and gas extraction</w:t>
      </w:r>
      <w:r>
        <w:t xml:space="preserve"> workers were killed on</w:t>
      </w:r>
      <w:r w:rsidR="0001368F">
        <w:t xml:space="preserve"> </w:t>
      </w:r>
      <w:r>
        <w:t>the</w:t>
      </w:r>
      <w:r w:rsidR="0001368F">
        <w:t xml:space="preserve"> </w:t>
      </w:r>
      <w:r>
        <w:t xml:space="preserve">job, resulting in </w:t>
      </w:r>
      <w:r w:rsidRPr="00C51647">
        <w:t>a</w:t>
      </w:r>
      <w:r>
        <w:t>n annual</w:t>
      </w:r>
      <w:r w:rsidRPr="00C51647">
        <w:t xml:space="preserve"> fatality rate seven times higher</w:t>
      </w:r>
      <w:r>
        <w:t xml:space="preserve"> than for all U.S. workers (25.</w:t>
      </w:r>
      <w:r w:rsidR="00054CFE">
        <w:t>1</w:t>
      </w:r>
      <w:r w:rsidRPr="00C51647">
        <w:t xml:space="preserve"> versus 3.</w:t>
      </w:r>
      <w:r w:rsidR="00054CFE">
        <w:t>7</w:t>
      </w:r>
      <w:r w:rsidRPr="00C51647">
        <w:t xml:space="preserve"> deaths per 100,000 workers)</w:t>
      </w:r>
      <w:r w:rsidR="009C768A" w:rsidRPr="009C768A">
        <w:rPr>
          <w:vertAlign w:val="superscript"/>
        </w:rPr>
        <w:t>1</w:t>
      </w:r>
      <w:r w:rsidRPr="00C51647">
        <w:t>.</w:t>
      </w:r>
      <w:r>
        <w:t xml:space="preserve"> </w:t>
      </w:r>
      <w:r w:rsidR="004664D4" w:rsidRPr="00C85D7C">
        <w:t>Long work hours, manual labor, heavy machinery, and the mobility of people and equipment may contribute to elevated occupational fatality rates for this industry</w:t>
      </w:r>
      <w:r w:rsidR="000E0926">
        <w:rPr>
          <w:vertAlign w:val="superscript"/>
        </w:rPr>
        <w:t>2</w:t>
      </w:r>
      <w:r w:rsidR="004664D4" w:rsidRPr="00C85D7C">
        <w:t xml:space="preserve">. </w:t>
      </w:r>
    </w:p>
    <w:p w14:paraId="675C6AFD" w14:textId="68D65672" w:rsidR="00030223" w:rsidRPr="00C85D7C" w:rsidRDefault="00F0107A" w:rsidP="00030223">
      <w:pPr>
        <w:pStyle w:val="List2"/>
        <w:spacing w:after="200" w:line="276" w:lineRule="auto"/>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Levels of oil and gas extraction activity is very cyclical, leading to frequent hiring surges when activity increases</w:t>
      </w:r>
      <w:r w:rsidR="00D85CA2">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in response to higher oil and gas prices. This cyclical trend results in an ongoing introduction of new and inexperienced workers into this high hazard industry and </w:t>
      </w:r>
      <w:r w:rsidR="00030223" w:rsidRPr="00C85D7C">
        <w:rPr>
          <w:rFonts w:asciiTheme="minorHAnsi" w:eastAsiaTheme="minorHAnsi" w:hAnsiTheme="minorHAnsi" w:cstheme="minorBidi"/>
          <w:sz w:val="22"/>
          <w:szCs w:val="22"/>
        </w:rPr>
        <w:t xml:space="preserve">heightens the need for research that will improve the safety and health of </w:t>
      </w:r>
      <w:r>
        <w:rPr>
          <w:rFonts w:asciiTheme="minorHAnsi" w:eastAsiaTheme="minorHAnsi" w:hAnsiTheme="minorHAnsi" w:cstheme="minorBidi"/>
          <w:sz w:val="22"/>
          <w:szCs w:val="22"/>
        </w:rPr>
        <w:t xml:space="preserve">its </w:t>
      </w:r>
      <w:r w:rsidR="00030223" w:rsidRPr="00C85D7C">
        <w:rPr>
          <w:rFonts w:asciiTheme="minorHAnsi" w:eastAsiaTheme="minorHAnsi" w:hAnsiTheme="minorHAnsi" w:cstheme="minorBidi"/>
          <w:sz w:val="22"/>
          <w:szCs w:val="22"/>
        </w:rPr>
        <w:t xml:space="preserve">workers. </w:t>
      </w:r>
    </w:p>
    <w:p w14:paraId="5F814CB7" w14:textId="1C798ECB" w:rsidR="00FB4800" w:rsidRPr="00F81BA5" w:rsidRDefault="00030223" w:rsidP="00FB4800">
      <w:r>
        <w:t xml:space="preserve">This study will provide important information on the </w:t>
      </w:r>
      <w:r w:rsidR="000C0520">
        <w:t>health</w:t>
      </w:r>
      <w:r>
        <w:t xml:space="preserve"> and safety of oil and gas extraction workers that is not available elsewhere. </w:t>
      </w:r>
      <w:r w:rsidR="00FB4800" w:rsidRPr="00F81BA5">
        <w:t xml:space="preserve">The proposed data collection will </w:t>
      </w:r>
      <w:r w:rsidR="00E47540">
        <w:t xml:space="preserve">provide an initial step towards </w:t>
      </w:r>
      <w:r w:rsidR="00FB4800" w:rsidRPr="00F81BA5">
        <w:t>achiev</w:t>
      </w:r>
      <w:r w:rsidR="00E47540">
        <w:t>ing</w:t>
      </w:r>
      <w:r w:rsidR="00FB4800" w:rsidRPr="00F81BA5">
        <w:t xml:space="preserve"> several prioritized strategic goals identified by the </w:t>
      </w:r>
      <w:r w:rsidR="00774E9C">
        <w:t xml:space="preserve">National Occupational Research Agenda (NORA) </w:t>
      </w:r>
      <w:r w:rsidR="00FB4800">
        <w:t xml:space="preserve">Oil and Gas </w:t>
      </w:r>
      <w:r w:rsidR="00FB4800" w:rsidRPr="00F81BA5">
        <w:t xml:space="preserve">Sector Council. </w:t>
      </w:r>
      <w:r w:rsidR="00774E9C">
        <w:t xml:space="preserve">NORA is a partnership program to stimulate innovative research and improved workplace practices. Unveiled in 1996, NORA has become a research framework for NIOSH and the nation. Diverse parties (industry, academia, government, insurance, etc.) collaborate to identify the most critical issues in workplace safety and health. NORA is divided into industry sector councils. </w:t>
      </w:r>
      <w:r w:rsidR="00FB4800" w:rsidRPr="00F81BA5">
        <w:t xml:space="preserve">The goals </w:t>
      </w:r>
      <w:r w:rsidR="00774E9C">
        <w:t xml:space="preserve">of the NORA Oil and Gas Sector Council </w:t>
      </w:r>
      <w:r w:rsidR="00FB4800" w:rsidRPr="00F81BA5">
        <w:t>addressed by this survey include:</w:t>
      </w:r>
    </w:p>
    <w:p w14:paraId="5B36D42E" w14:textId="77777777" w:rsidR="00E44546" w:rsidRDefault="00E44546" w:rsidP="00E44546">
      <w:pPr>
        <w:ind w:left="720"/>
      </w:pPr>
      <w:r>
        <w:t xml:space="preserve">Research Goal 1.2.1: Identify risk factors for occupational fatalities associated with fatigue among oil and gas extraction workers. </w:t>
      </w:r>
    </w:p>
    <w:p w14:paraId="7E68FC64" w14:textId="77777777" w:rsidR="00030223" w:rsidRDefault="000C0520" w:rsidP="004A73D7">
      <w:pPr>
        <w:ind w:left="720"/>
      </w:pPr>
      <w:r>
        <w:t xml:space="preserve">Strategic Goal 2: By 2020, reduce the occupational motor vehicle fatality rate in the oil and gas extraction industry by 50 percent. </w:t>
      </w:r>
    </w:p>
    <w:p w14:paraId="3B76818B" w14:textId="77777777" w:rsidR="00774E9C" w:rsidRPr="00D21953" w:rsidRDefault="00774E9C" w:rsidP="00774E9C">
      <w:pPr>
        <w:pStyle w:val="CommentText"/>
        <w:ind w:left="720"/>
        <w:rPr>
          <w:sz w:val="22"/>
        </w:rPr>
      </w:pPr>
      <w:r w:rsidRPr="00D21953">
        <w:rPr>
          <w:sz w:val="22"/>
        </w:rPr>
        <w:t>Strategic Goal 4: By 2020, reduce the rate of non-fatal occupational injuries in the oil and gas extraction industry by 50 percent.</w:t>
      </w:r>
    </w:p>
    <w:p w14:paraId="2D5BF298" w14:textId="60D44689" w:rsidR="00774E9C" w:rsidRDefault="00774E9C" w:rsidP="00774E9C">
      <w:pPr>
        <w:ind w:left="720"/>
      </w:pPr>
      <w:r w:rsidRPr="00120D57">
        <w:t>Strategic Goal 5: By 2020, identify hazards, characterize risk, and prevent chemical exposures, which could lead to occupational illness in workers in the oil and gas extraction industry.</w:t>
      </w:r>
    </w:p>
    <w:p w14:paraId="622ABB5B" w14:textId="77777777" w:rsidR="00C17F30" w:rsidRPr="004664D4" w:rsidRDefault="006F1B6B" w:rsidP="00E910D2">
      <w:pPr>
        <w:pStyle w:val="Heading1"/>
      </w:pPr>
      <w:bookmarkStart w:id="3" w:name="_Toc420492154"/>
      <w:bookmarkStart w:id="4" w:name="_Toc461446290"/>
      <w:r>
        <w:t>A.</w:t>
      </w:r>
      <w:r w:rsidR="00C17F30" w:rsidRPr="004664D4">
        <w:t xml:space="preserve">2. </w:t>
      </w:r>
      <w:r w:rsidR="004A73D7">
        <w:t>Purpose and Use of Information Collection</w:t>
      </w:r>
      <w:r w:rsidR="00C17F30" w:rsidRPr="004664D4">
        <w:t>.</w:t>
      </w:r>
      <w:bookmarkEnd w:id="3"/>
      <w:bookmarkEnd w:id="4"/>
    </w:p>
    <w:p w14:paraId="72EAF171" w14:textId="2D93BF5A" w:rsidR="003C6070" w:rsidRDefault="00671007" w:rsidP="004453AD">
      <w:pPr>
        <w:spacing w:after="0"/>
      </w:pPr>
      <w:r>
        <w:t xml:space="preserve">The purpose of this effort is to collect </w:t>
      </w:r>
      <w:r w:rsidR="00375FDF">
        <w:t xml:space="preserve">data </w:t>
      </w:r>
      <w:r>
        <w:t xml:space="preserve">that will guide health and safety research </w:t>
      </w:r>
      <w:r w:rsidR="0033057C">
        <w:t xml:space="preserve">and outreach </w:t>
      </w:r>
      <w:r>
        <w:t xml:space="preserve">in this </w:t>
      </w:r>
      <w:r w:rsidR="004A73D7">
        <w:t>high-risk workforce</w:t>
      </w:r>
      <w:r>
        <w:t xml:space="preserve">. </w:t>
      </w:r>
      <w:r w:rsidR="0083190E">
        <w:t xml:space="preserve">In particular, this information will: </w:t>
      </w:r>
      <w:r w:rsidR="00E47540" w:rsidRPr="00E47540">
        <w:t>1) provide a preliminary exploration of potential on-duty and off-duty factors that may affect risk for motor vehicle crashes, injuries and illness among oil and gas extraction workers</w:t>
      </w:r>
      <w:r w:rsidR="00445676">
        <w:t>,</w:t>
      </w:r>
      <w:r w:rsidR="00E47540" w:rsidRPr="00E47540">
        <w:t xml:space="preserve"> 2) provide a snapshot of perceived safety and health needs and concerns (</w:t>
      </w:r>
      <w:r w:rsidR="00445676">
        <w:t>e.g</w:t>
      </w:r>
      <w:r w:rsidR="00E47540" w:rsidRPr="00E47540">
        <w:t>.</w:t>
      </w:r>
      <w:r w:rsidR="00445676">
        <w:t>,</w:t>
      </w:r>
      <w:r w:rsidR="00E47540" w:rsidRPr="00E47540">
        <w:t xml:space="preserve"> chemical exposures, respiratory symptoms) of oil and gas extraction workers, a largely non-unionized workforce</w:t>
      </w:r>
      <w:r w:rsidR="00445676">
        <w:t>,</w:t>
      </w:r>
      <w:r w:rsidR="00E47540" w:rsidRPr="00E47540">
        <w:t xml:space="preserve"> 3) assist in generating hypotheses for future research on health and safety topics in this workforce</w:t>
      </w:r>
      <w:r w:rsidR="00445676">
        <w:t>,</w:t>
      </w:r>
      <w:r w:rsidR="00E47540" w:rsidRPr="00E47540">
        <w:t xml:space="preserve"> and 4) provide information to the oil and gas extraction industry and the research </w:t>
      </w:r>
      <w:r w:rsidR="0033057C">
        <w:t>community about worker concerns</w:t>
      </w:r>
      <w:r w:rsidR="00E47540" w:rsidRPr="00E47540">
        <w:t xml:space="preserve"> and preliminary  research priorities. </w:t>
      </w:r>
    </w:p>
    <w:p w14:paraId="6028A593" w14:textId="77777777" w:rsidR="003C6070" w:rsidRDefault="003C6070" w:rsidP="004453AD">
      <w:pPr>
        <w:spacing w:after="0"/>
      </w:pPr>
    </w:p>
    <w:p w14:paraId="0238D988" w14:textId="032FFA57" w:rsidR="00524CB9" w:rsidRDefault="00D84915" w:rsidP="004453AD">
      <w:pPr>
        <w:spacing w:after="0"/>
      </w:pPr>
      <w:r w:rsidRPr="00EA30BD">
        <w:t>This survey will be administered in person using electronic tablets</w:t>
      </w:r>
      <w:r w:rsidR="00E47540">
        <w:t xml:space="preserve"> or paper copy</w:t>
      </w:r>
      <w:r w:rsidRPr="00EA30BD">
        <w:t xml:space="preserve"> </w:t>
      </w:r>
      <w:r>
        <w:t>to a convenience sample of 500</w:t>
      </w:r>
      <w:r w:rsidRPr="006F1B6B">
        <w:t xml:space="preserve"> workers over approximately 1</w:t>
      </w:r>
      <w:r>
        <w:t>–1.5</w:t>
      </w:r>
      <w:r w:rsidRPr="006F1B6B">
        <w:t xml:space="preserve"> year</w:t>
      </w:r>
      <w:r>
        <w:t>s</w:t>
      </w:r>
      <w:r w:rsidRPr="006F1B6B">
        <w:t xml:space="preserve"> at various oil and gas worksites, </w:t>
      </w:r>
      <w:r w:rsidR="00C37D09">
        <w:t xml:space="preserve">contractor meeting sites, </w:t>
      </w:r>
      <w:r w:rsidRPr="006F1B6B">
        <w:t xml:space="preserve">temporary lodging facilities, </w:t>
      </w:r>
      <w:r>
        <w:t xml:space="preserve">equipment and trucking yards, </w:t>
      </w:r>
      <w:r w:rsidRPr="006F1B6B">
        <w:t>and training sites where agreement to participate by the company and worker has been obtained.</w:t>
      </w:r>
    </w:p>
    <w:p w14:paraId="26A56129" w14:textId="77777777" w:rsidR="00D84915" w:rsidRDefault="00D84915" w:rsidP="004453AD">
      <w:pPr>
        <w:spacing w:after="0"/>
      </w:pPr>
    </w:p>
    <w:p w14:paraId="2CC19118" w14:textId="64601D25" w:rsidR="004453AD" w:rsidRDefault="004453AD" w:rsidP="004453AD">
      <w:pPr>
        <w:spacing w:after="0"/>
      </w:pPr>
      <w:r>
        <w:t>NIOSH is committed to the c</w:t>
      </w:r>
      <w:r w:rsidR="00AB09EC">
        <w:t>oncept of Research to P</w:t>
      </w:r>
      <w:r>
        <w:t xml:space="preserve">ractice (r2p), meaning that we strive to ensure that NIOSH-generated knowledge is used to </w:t>
      </w:r>
      <w:r w:rsidR="00AB09EC">
        <w:t xml:space="preserve">create practical interventions to </w:t>
      </w:r>
      <w:r>
        <w:t>reduce i</w:t>
      </w:r>
      <w:r w:rsidR="00AB09EC">
        <w:t>llness and injury among workers. We engage</w:t>
      </w:r>
      <w:r>
        <w:t xml:space="preserve"> stakeholders </w:t>
      </w:r>
      <w:r w:rsidR="00AB09EC">
        <w:t xml:space="preserve">(e.g., </w:t>
      </w:r>
      <w:r>
        <w:t xml:space="preserve">other government agencies, industry partners, </w:t>
      </w:r>
      <w:r w:rsidR="00AB09EC">
        <w:t>subject matter experts, the workers themselves)</w:t>
      </w:r>
      <w:r w:rsidR="006A6088">
        <w:t xml:space="preserve"> throughout the process. This </w:t>
      </w:r>
      <w:r w:rsidR="00AB09EC">
        <w:t>ensure</w:t>
      </w:r>
      <w:r w:rsidR="006A6088">
        <w:t>s</w:t>
      </w:r>
      <w:r w:rsidR="00AB09EC">
        <w:t xml:space="preserve"> that we focus on issues that are of importance to the</w:t>
      </w:r>
      <w:r w:rsidR="006A6088">
        <w:t xml:space="preserve"> workers of the specific</w:t>
      </w:r>
      <w:r w:rsidR="00AB09EC">
        <w:t xml:space="preserve"> industry and</w:t>
      </w:r>
      <w:r w:rsidR="006A6088">
        <w:t xml:space="preserve"> </w:t>
      </w:r>
      <w:r w:rsidR="00AB09EC">
        <w:t>can be translated into</w:t>
      </w:r>
      <w:r w:rsidR="006A6088">
        <w:t xml:space="preserve"> interventions and </w:t>
      </w:r>
      <w:r w:rsidR="00AB09EC">
        <w:t xml:space="preserve">activities with practical utility </w:t>
      </w:r>
      <w:r w:rsidR="006A6088">
        <w:t xml:space="preserve">within that industry. </w:t>
      </w:r>
    </w:p>
    <w:p w14:paraId="18E80902" w14:textId="77777777" w:rsidR="004453AD" w:rsidRDefault="004453AD" w:rsidP="004453AD">
      <w:pPr>
        <w:spacing w:after="0"/>
      </w:pPr>
    </w:p>
    <w:p w14:paraId="1C627D82" w14:textId="7DECDE83" w:rsidR="00EA2B5F" w:rsidRDefault="00EA2B5F" w:rsidP="004453AD">
      <w:pPr>
        <w:spacing w:after="0"/>
      </w:pPr>
      <w:r>
        <w:t xml:space="preserve">The information </w:t>
      </w:r>
      <w:r w:rsidR="00E44546">
        <w:t xml:space="preserve">resulting </w:t>
      </w:r>
      <w:r>
        <w:t>fr</w:t>
      </w:r>
      <w:r w:rsidR="00671007">
        <w:t>om th</w:t>
      </w:r>
      <w:r w:rsidR="006A6088">
        <w:t>is</w:t>
      </w:r>
      <w:r w:rsidR="00671007">
        <w:t xml:space="preserve"> survey will be used as fo</w:t>
      </w:r>
      <w:r>
        <w:t>llows:</w:t>
      </w:r>
    </w:p>
    <w:p w14:paraId="4BFAE777" w14:textId="77777777" w:rsidR="000A4358" w:rsidRDefault="000A4358" w:rsidP="000A4358">
      <w:pPr>
        <w:pStyle w:val="ListParagraph"/>
        <w:numPr>
          <w:ilvl w:val="0"/>
          <w:numId w:val="6"/>
        </w:numPr>
      </w:pPr>
      <w:r>
        <w:t xml:space="preserve">Results of the survey will be published in peer-reviewed journals to contribute to the body of scientific knowledge surrounding oil and gas extraction workers.  </w:t>
      </w:r>
    </w:p>
    <w:p w14:paraId="738EA0F6" w14:textId="4998BDB4" w:rsidR="000A4358" w:rsidRDefault="000A4358" w:rsidP="000A4358">
      <w:pPr>
        <w:pStyle w:val="ListParagraph"/>
        <w:numPr>
          <w:ilvl w:val="0"/>
          <w:numId w:val="6"/>
        </w:numPr>
      </w:pPr>
      <w:r>
        <w:t xml:space="preserve">The survey </w:t>
      </w:r>
      <w:r w:rsidR="00044BA8">
        <w:t>results will</w:t>
      </w:r>
      <w:r>
        <w:t xml:space="preserve"> aid in identification and prioritization of future research activities and resources. </w:t>
      </w:r>
    </w:p>
    <w:p w14:paraId="1A6E707B" w14:textId="72EAD37C" w:rsidR="00C72C64" w:rsidRDefault="004664D4" w:rsidP="0083190E">
      <w:pPr>
        <w:pStyle w:val="ListParagraph"/>
        <w:numPr>
          <w:ilvl w:val="0"/>
          <w:numId w:val="6"/>
        </w:numPr>
      </w:pPr>
      <w:r>
        <w:t xml:space="preserve">NIOSH will provide </w:t>
      </w:r>
      <w:r w:rsidR="00EA2B5F">
        <w:t xml:space="preserve">results of survey and relevant recommendations </w:t>
      </w:r>
      <w:r w:rsidR="00EC1584">
        <w:t>to</w:t>
      </w:r>
      <w:r w:rsidR="00EA2B5F">
        <w:t xml:space="preserve"> the </w:t>
      </w:r>
      <w:r w:rsidR="001B0181">
        <w:t>National Occupational Research Agenda (</w:t>
      </w:r>
      <w:r w:rsidR="00EA2B5F">
        <w:t>NORA</w:t>
      </w:r>
      <w:r w:rsidR="001B0181">
        <w:t>)</w:t>
      </w:r>
      <w:r w:rsidR="00EA2B5F">
        <w:t xml:space="preserve"> Oil and Gas Sector Council,</w:t>
      </w:r>
      <w:r w:rsidR="00587C65">
        <w:t xml:space="preserve"> a council tasked with stimulating innovative research and interventions to reduce the occurrence of injury and illness at work for the oil and gas </w:t>
      </w:r>
      <w:r w:rsidR="002F3691">
        <w:t>s</w:t>
      </w:r>
      <w:r w:rsidR="00587C65">
        <w:t>ector. Results and recommendations will also be provided to</w:t>
      </w:r>
      <w:r w:rsidR="00EA2B5F">
        <w:t xml:space="preserve"> </w:t>
      </w:r>
      <w:r w:rsidR="00EC1584">
        <w:t xml:space="preserve">trade associations within the oil and gas industry (Association of Energy Service Companies </w:t>
      </w:r>
      <w:r w:rsidR="00DC344F">
        <w:t>[</w:t>
      </w:r>
      <w:r w:rsidR="00EC1584">
        <w:t>AESC</w:t>
      </w:r>
      <w:r w:rsidR="00DC344F">
        <w:t xml:space="preserve">], </w:t>
      </w:r>
      <w:r w:rsidR="00EC1584">
        <w:t xml:space="preserve">American Petroleum Institute </w:t>
      </w:r>
      <w:r w:rsidR="00DC344F">
        <w:t>[</w:t>
      </w:r>
      <w:r w:rsidR="00EC1584">
        <w:t>API</w:t>
      </w:r>
      <w:r w:rsidR="00DC344F">
        <w:t>]</w:t>
      </w:r>
      <w:r w:rsidR="00EC1584">
        <w:t xml:space="preserve">, International Association of Drilling Contractors </w:t>
      </w:r>
      <w:r w:rsidR="00DC344F">
        <w:t>[</w:t>
      </w:r>
      <w:r w:rsidR="00EC1584">
        <w:t>IADC</w:t>
      </w:r>
      <w:r w:rsidR="00DC344F">
        <w:t>]</w:t>
      </w:r>
      <w:r w:rsidR="00EC1584">
        <w:t>)</w:t>
      </w:r>
      <w:r w:rsidR="00EA2B5F">
        <w:t xml:space="preserve">, </w:t>
      </w:r>
      <w:r w:rsidR="00E44546">
        <w:t xml:space="preserve">and </w:t>
      </w:r>
      <w:r w:rsidR="00EA2B5F">
        <w:t>regional safety and health networks</w:t>
      </w:r>
      <w:r w:rsidR="00EC1584">
        <w:t xml:space="preserve"> called “STEPS” networks. The results and recommendations will highlight areas of concern regarding health and safety for workers. </w:t>
      </w:r>
    </w:p>
    <w:p w14:paraId="020146C5" w14:textId="1F98538C" w:rsidR="00EC1584" w:rsidRDefault="00EE27DC" w:rsidP="0083190E">
      <w:pPr>
        <w:pStyle w:val="ListParagraph"/>
        <w:numPr>
          <w:ilvl w:val="0"/>
          <w:numId w:val="6"/>
        </w:numPr>
      </w:pPr>
      <w:r>
        <w:t>Evidence-based k</w:t>
      </w:r>
      <w:r w:rsidR="00EC1584">
        <w:t>ey safety and health messages will be developed and disseminated to oil and gas extraction workers, based on concerns identified in the survey</w:t>
      </w:r>
      <w:r w:rsidR="000A4358">
        <w:t xml:space="preserve"> and scientific evidence of intervention effectiveness or standard OSH practices</w:t>
      </w:r>
      <w:r w:rsidR="004664D4">
        <w:t>.</w:t>
      </w:r>
    </w:p>
    <w:p w14:paraId="2DA4AEF8" w14:textId="1820A921" w:rsidR="00E44546" w:rsidRDefault="00E44546" w:rsidP="00E44546">
      <w:pPr>
        <w:pStyle w:val="ListParagraph"/>
        <w:numPr>
          <w:ilvl w:val="0"/>
          <w:numId w:val="6"/>
        </w:numPr>
      </w:pPr>
      <w:r>
        <w:t>Once disseminated, oil and gas company Health, Safety, and Environmental teams can use the key health messages we provide to develop targeted trainings and information dissemination.</w:t>
      </w:r>
    </w:p>
    <w:p w14:paraId="2ED59D3A" w14:textId="77777777" w:rsidR="00C72C64" w:rsidRDefault="00EC1584" w:rsidP="00C17F30">
      <w:r>
        <w:t xml:space="preserve">This study </w:t>
      </w:r>
      <w:r w:rsidR="004664D4">
        <w:t xml:space="preserve">will </w:t>
      </w:r>
      <w:r w:rsidR="00671007">
        <w:t xml:space="preserve">also </w:t>
      </w:r>
      <w:r w:rsidR="004664D4">
        <w:t>stimulate a heightened awareness of the safety and health issues encountered by this worker population</w:t>
      </w:r>
      <w:r w:rsidR="00BB044E">
        <w:t xml:space="preserve"> and lead to improved decision making by all stakeholders involved in this industry</w:t>
      </w:r>
      <w:r w:rsidR="004664D4">
        <w:t xml:space="preserve">. </w:t>
      </w:r>
    </w:p>
    <w:p w14:paraId="7B7DA32F" w14:textId="39CF6AB6" w:rsidR="004664D4" w:rsidRDefault="00AB09EC" w:rsidP="00C17F30">
      <w:r>
        <w:t xml:space="preserve">If this survey were not administered, we would continue </w:t>
      </w:r>
      <w:r w:rsidR="00E05B39">
        <w:t xml:space="preserve">to </w:t>
      </w:r>
      <w:r w:rsidR="00C72C64">
        <w:t xml:space="preserve">rely on </w:t>
      </w:r>
      <w:r w:rsidR="00E05B39">
        <w:t xml:space="preserve">information from surveys of </w:t>
      </w:r>
      <w:r w:rsidR="00C72C64">
        <w:t>workers</w:t>
      </w:r>
      <w:r w:rsidR="00E05B39">
        <w:t xml:space="preserve"> from other industries</w:t>
      </w:r>
      <w:r w:rsidR="00C72C64">
        <w:t xml:space="preserve"> </w:t>
      </w:r>
      <w:r>
        <w:t>to extrapol</w:t>
      </w:r>
      <w:r w:rsidR="008F607C">
        <w:t>ate the health concerns for the</w:t>
      </w:r>
      <w:r>
        <w:t xml:space="preserve"> large population of</w:t>
      </w:r>
      <w:r w:rsidR="008F607C">
        <w:t xml:space="preserve"> oil and gas</w:t>
      </w:r>
      <w:r>
        <w:t xml:space="preserve"> workers</w:t>
      </w:r>
      <w:r w:rsidR="00C72C64">
        <w:t>.</w:t>
      </w:r>
      <w:r w:rsidR="008F607C">
        <w:t xml:space="preserve"> By assuming </w:t>
      </w:r>
      <w:r w:rsidR="00C72C64">
        <w:t>that oil and gas workers are like other worker populations</w:t>
      </w:r>
      <w:r w:rsidR="008F607C">
        <w:t xml:space="preserve">, we risk not identifying important industry-specific </w:t>
      </w:r>
      <w:r>
        <w:t>health</w:t>
      </w:r>
      <w:r w:rsidR="008F607C">
        <w:t xml:space="preserve"> issues</w:t>
      </w:r>
      <w:r>
        <w:t xml:space="preserve"> and inj</w:t>
      </w:r>
      <w:r w:rsidR="008F607C">
        <w:t xml:space="preserve">ury hazards, which could lead to </w:t>
      </w:r>
      <w:r w:rsidR="0003728E">
        <w:t xml:space="preserve">wasted resources on unnecessary research projects and </w:t>
      </w:r>
      <w:r w:rsidR="00EF465A">
        <w:t>lack of overall impact in the safety and health of workers</w:t>
      </w:r>
      <w:r w:rsidR="008F607C">
        <w:t xml:space="preserve">. </w:t>
      </w:r>
      <w:r w:rsidR="00B74789">
        <w:t xml:space="preserve">It is feasible that we will find some health concerns among this population </w:t>
      </w:r>
      <w:r w:rsidR="004A441C">
        <w:t xml:space="preserve">which </w:t>
      </w:r>
      <w:r w:rsidR="00B74789">
        <w:t xml:space="preserve">mirror those in </w:t>
      </w:r>
      <w:r w:rsidR="00C72C64">
        <w:t xml:space="preserve">other </w:t>
      </w:r>
      <w:r w:rsidR="00E05B39">
        <w:t xml:space="preserve">industries </w:t>
      </w:r>
      <w:r w:rsidR="00C72C64">
        <w:t>with established</w:t>
      </w:r>
      <w:r w:rsidR="00E05B39">
        <w:t xml:space="preserve"> health and safety </w:t>
      </w:r>
      <w:r w:rsidR="00B74789">
        <w:t xml:space="preserve"> messaging; in this case, </w:t>
      </w:r>
      <w:r w:rsidR="00C72C64">
        <w:t xml:space="preserve">we can save resources by adapting those resources to oil and gas </w:t>
      </w:r>
      <w:r w:rsidR="00B74789">
        <w:t xml:space="preserve">worker </w:t>
      </w:r>
      <w:r w:rsidR="00C72C64">
        <w:t>needs.</w:t>
      </w:r>
    </w:p>
    <w:p w14:paraId="4589DAF9" w14:textId="42E619BF" w:rsidR="004453AD" w:rsidRDefault="004453AD" w:rsidP="00C17F30">
      <w:r>
        <w:t xml:space="preserve">While this survey is planned as a one-time data collection, it is possible that there will be additional uses for the data that have not yet been </w:t>
      </w:r>
      <w:r w:rsidR="00C72C64">
        <w:t>determined</w:t>
      </w:r>
      <w:r>
        <w:t xml:space="preserve"> by the investigators (for example, using this </w:t>
      </w:r>
      <w:r w:rsidR="00B74789">
        <w:t>cohort</w:t>
      </w:r>
      <w:r>
        <w:t xml:space="preserve"> as a comparison group for future surveys</w:t>
      </w:r>
      <w:r w:rsidR="00C72C64">
        <w:t>)</w:t>
      </w:r>
      <w:r>
        <w:t xml:space="preserve">. However, any additional use of the data for </w:t>
      </w:r>
      <w:r w:rsidR="00B74789">
        <w:t xml:space="preserve">such </w:t>
      </w:r>
      <w:r>
        <w:t>purposes would not change any burden estimates or create additional privacy issues for participants</w:t>
      </w:r>
      <w:r w:rsidR="001518F2">
        <w:t xml:space="preserve"> of this study</w:t>
      </w:r>
      <w:r>
        <w:t>.</w:t>
      </w:r>
    </w:p>
    <w:p w14:paraId="5637A8D6" w14:textId="699D8ECB" w:rsidR="00990AB8" w:rsidRDefault="00990AB8" w:rsidP="00C17F30">
      <w:r>
        <w:t>NIOSH has fully funded this program and is a part of the NIOSH</w:t>
      </w:r>
      <w:r w:rsidR="00D01B17">
        <w:t xml:space="preserve"> budget through Fiscal Year 2018</w:t>
      </w:r>
      <w:r>
        <w:t xml:space="preserve">. </w:t>
      </w:r>
    </w:p>
    <w:p w14:paraId="1DEA42F2" w14:textId="77777777" w:rsidR="00C17F30" w:rsidRPr="00BB044E" w:rsidRDefault="006F1B6B" w:rsidP="00E910D2">
      <w:pPr>
        <w:pStyle w:val="Heading1"/>
      </w:pPr>
      <w:bookmarkStart w:id="5" w:name="_Toc420492155"/>
      <w:bookmarkStart w:id="6" w:name="_Toc461446291"/>
      <w:r>
        <w:t>A.</w:t>
      </w:r>
      <w:r w:rsidR="00C17F30" w:rsidRPr="00BB044E">
        <w:t xml:space="preserve">3. </w:t>
      </w:r>
      <w:r w:rsidR="004A73D7">
        <w:t>Use of improved information technology and burden reduction</w:t>
      </w:r>
      <w:r w:rsidR="00C17F30" w:rsidRPr="00BB044E">
        <w:t>.</w:t>
      </w:r>
      <w:bookmarkEnd w:id="5"/>
      <w:bookmarkEnd w:id="6"/>
    </w:p>
    <w:p w14:paraId="3F16F270" w14:textId="60E8614A" w:rsidR="00FB4800" w:rsidRDefault="00FB7012" w:rsidP="00C17F30">
      <w:r>
        <w:t>It is estimated that 90%</w:t>
      </w:r>
      <w:r w:rsidR="006E640A">
        <w:t xml:space="preserve"> </w:t>
      </w:r>
      <w:r w:rsidR="004A73D7">
        <w:t xml:space="preserve">of </w:t>
      </w:r>
      <w:r>
        <w:t>participants</w:t>
      </w:r>
      <w:r w:rsidR="004A73D7">
        <w:t xml:space="preserve"> will </w:t>
      </w:r>
      <w:r w:rsidR="009C6446">
        <w:t>self-</w:t>
      </w:r>
      <w:r>
        <w:t xml:space="preserve">administer </w:t>
      </w:r>
      <w:r w:rsidR="004A73D7">
        <w:t>the survey electronically using tablets</w:t>
      </w:r>
      <w:r w:rsidR="006E640A">
        <w:t xml:space="preserve"> that have a touch screen</w:t>
      </w:r>
      <w:r w:rsidR="004A73D7">
        <w:t xml:space="preserve">. All multiple choice and short answer questions will be </w:t>
      </w:r>
      <w:r w:rsidR="00BD32DF">
        <w:t xml:space="preserve">provided </w:t>
      </w:r>
      <w:r w:rsidR="006E640A">
        <w:t>in this manner</w:t>
      </w:r>
      <w:r w:rsidR="004A73D7">
        <w:t>. The remainder of the questions</w:t>
      </w:r>
      <w:r w:rsidR="00BD32DF">
        <w:t>,</w:t>
      </w:r>
      <w:r w:rsidR="004A73D7">
        <w:t xml:space="preserve"> which </w:t>
      </w:r>
      <w:r w:rsidR="006E640A">
        <w:t>are qualitative and may have long answers</w:t>
      </w:r>
      <w:r w:rsidR="00BD32DF">
        <w:t>,</w:t>
      </w:r>
      <w:r w:rsidR="004A73D7">
        <w:t xml:space="preserve"> will be administered by an interviewer </w:t>
      </w:r>
      <w:r w:rsidR="00BD32DF">
        <w:t>who</w:t>
      </w:r>
      <w:r w:rsidR="004A73D7">
        <w:t xml:space="preserve"> will enter </w:t>
      </w:r>
      <w:r w:rsidR="00BD32DF">
        <w:t xml:space="preserve">the responses </w:t>
      </w:r>
      <w:r w:rsidR="006E640A">
        <w:t>directly</w:t>
      </w:r>
      <w:r w:rsidR="004A73D7">
        <w:t xml:space="preserve"> into an electronic tablet</w:t>
      </w:r>
      <w:r w:rsidR="00D7152E">
        <w:t xml:space="preserve"> or laptop computer</w:t>
      </w:r>
      <w:r w:rsidR="004A73D7">
        <w:t xml:space="preserve">. </w:t>
      </w:r>
      <w:r w:rsidR="006E640A">
        <w:t>T</w:t>
      </w:r>
      <w:r w:rsidR="00FB4800">
        <w:t>he interviewer-administered format</w:t>
      </w:r>
      <w:r w:rsidR="006E640A">
        <w:t xml:space="preserve"> for the long answer questions increases the likelihood that the respondent will give a complete answer</w:t>
      </w:r>
      <w:r w:rsidR="00BD32DF">
        <w:t xml:space="preserve"> because</w:t>
      </w:r>
      <w:r w:rsidR="00D7152E">
        <w:t xml:space="preserve"> they will not have to type it themselves (which can be cumbersome on a tablet). </w:t>
      </w:r>
      <w:r w:rsidR="006E640A">
        <w:t xml:space="preserve">During recruitment, researchers will also offer the worker the option to have the entire survey administered by an interviewer. By doing so, this </w:t>
      </w:r>
      <w:r w:rsidR="00BD32DF">
        <w:t xml:space="preserve">decreases the likelihood </w:t>
      </w:r>
      <w:r w:rsidR="00FB4800">
        <w:t xml:space="preserve">that low-literacy individuals </w:t>
      </w:r>
      <w:r w:rsidR="00BD32DF">
        <w:t>will not</w:t>
      </w:r>
      <w:r w:rsidR="006E640A">
        <w:t xml:space="preserve"> participat</w:t>
      </w:r>
      <w:r w:rsidR="00BD32DF">
        <w:t>e</w:t>
      </w:r>
      <w:r w:rsidR="006E640A">
        <w:t xml:space="preserve"> in the survey.</w:t>
      </w:r>
      <w:r w:rsidR="00FD2C8A">
        <w:t xml:space="preserve"> Workers will also be offered the option to complete the questionnaire in a hard co</w:t>
      </w:r>
      <w:r w:rsidR="00D7152E">
        <w:t>py format to accommodate workers who are not comfortable with the tablet technology.</w:t>
      </w:r>
    </w:p>
    <w:p w14:paraId="6E5F9930" w14:textId="185E2E2B" w:rsidR="006E640A" w:rsidRDefault="006E640A" w:rsidP="00C17F30">
      <w:r>
        <w:t xml:space="preserve">The electronic format will allow for skip </w:t>
      </w:r>
      <w:r w:rsidRPr="00523488">
        <w:t>patterns so that respondents only read questions that are applicable to them.</w:t>
      </w:r>
      <w:r w:rsidR="00E61620" w:rsidRPr="00523488">
        <w:t xml:space="preserve"> Automatic recording of responses will reduce the need for data entry and cleaning</w:t>
      </w:r>
      <w:r w:rsidR="00FD2C8A" w:rsidRPr="00523488">
        <w:t xml:space="preserve">. </w:t>
      </w:r>
      <w:r w:rsidRPr="00523488">
        <w:t xml:space="preserve">The questionnaire has been pilot tested and will </w:t>
      </w:r>
      <w:r w:rsidR="00E61620" w:rsidRPr="00523488">
        <w:t>take approximately 30 minutes</w:t>
      </w:r>
      <w:r w:rsidR="00BD32DF" w:rsidRPr="00523488">
        <w:t xml:space="preserve"> for the multiple choice/short answer questions</w:t>
      </w:r>
      <w:r w:rsidR="00E61620" w:rsidRPr="00523488">
        <w:t xml:space="preserve"> and 10 additional minutes for the interviewer administered questions. </w:t>
      </w:r>
      <w:r w:rsidR="00506C61">
        <w:t>T</w:t>
      </w:r>
      <w:r w:rsidR="002F3691">
        <w:t>he</w:t>
      </w:r>
      <w:r w:rsidR="00523488" w:rsidRPr="00523488">
        <w:t xml:space="preserve"> </w:t>
      </w:r>
      <w:r w:rsidR="002F3691">
        <w:t xml:space="preserve">screening form, consent form, non-respondent questionnaire and </w:t>
      </w:r>
      <w:r w:rsidR="00523488" w:rsidRPr="00523488">
        <w:t>questionnaire will be available in English</w:t>
      </w:r>
      <w:r w:rsidR="00506C61">
        <w:t xml:space="preserve"> and Spanish</w:t>
      </w:r>
      <w:r w:rsidR="00523488" w:rsidRPr="00523488">
        <w:t>.</w:t>
      </w:r>
      <w:r w:rsidR="00CA68B5">
        <w:t xml:space="preserve"> </w:t>
      </w:r>
      <w:r w:rsidR="003F6524">
        <w:t>Every effort will be made to have a fluent Spanish speaker/translator on the research team for each trip</w:t>
      </w:r>
      <w:r w:rsidR="00004603">
        <w:t xml:space="preserve"> to answer questions and conduct interviewer administered questions</w:t>
      </w:r>
      <w:r w:rsidR="003F6524">
        <w:t>. In the event a Span</w:t>
      </w:r>
      <w:r w:rsidR="00004603">
        <w:t xml:space="preserve">ish speaker is unavailable for the research team, </w:t>
      </w:r>
      <w:r w:rsidR="003F6524">
        <w:t>translator</w:t>
      </w:r>
      <w:r w:rsidR="00004603">
        <w:t>s</w:t>
      </w:r>
      <w:r w:rsidR="003F6524">
        <w:t xml:space="preserve"> will be arranged </w:t>
      </w:r>
      <w:r w:rsidR="00004603">
        <w:t>to be available</w:t>
      </w:r>
      <w:r w:rsidR="003F6524">
        <w:t xml:space="preserve"> on-call </w:t>
      </w:r>
      <w:r w:rsidR="00004603">
        <w:t>over the phone when needed</w:t>
      </w:r>
      <w:r w:rsidR="003F6524">
        <w:t xml:space="preserve">. </w:t>
      </w:r>
    </w:p>
    <w:p w14:paraId="6484B2DB" w14:textId="77777777" w:rsidR="00C17F30" w:rsidRPr="00F313E9" w:rsidRDefault="006F1B6B" w:rsidP="00E910D2">
      <w:pPr>
        <w:pStyle w:val="Heading1"/>
      </w:pPr>
      <w:bookmarkStart w:id="7" w:name="_Toc420492156"/>
      <w:bookmarkStart w:id="8" w:name="_Toc461446292"/>
      <w:r w:rsidRPr="006F1B6B">
        <w:t>A.</w:t>
      </w:r>
      <w:r w:rsidR="00C17F30" w:rsidRPr="006F1B6B">
        <w:t>4</w:t>
      </w:r>
      <w:r w:rsidR="00C17F30" w:rsidRPr="00F313E9">
        <w:t xml:space="preserve">. </w:t>
      </w:r>
      <w:r w:rsidR="00FD2C8A">
        <w:t>Effort to Identify Duplication and Use of Similar Information</w:t>
      </w:r>
      <w:bookmarkEnd w:id="7"/>
      <w:bookmarkEnd w:id="8"/>
    </w:p>
    <w:p w14:paraId="28D3AC7B" w14:textId="20A1AA1E" w:rsidR="0083190E" w:rsidRDefault="00C74177" w:rsidP="00C17F30">
      <w:r>
        <w:t xml:space="preserve">The only known survey that has collected </w:t>
      </w:r>
      <w:r w:rsidR="009C6446">
        <w:t xml:space="preserve">worker safety and health </w:t>
      </w:r>
      <w:r>
        <w:t>information is the National Health Interview Survey (NHIS), which contains an occupational safety and health</w:t>
      </w:r>
      <w:r w:rsidR="00523488">
        <w:t xml:space="preserve"> (OSH)</w:t>
      </w:r>
      <w:r>
        <w:t xml:space="preserve"> module. NIOSH analyzed this </w:t>
      </w:r>
      <w:r w:rsidR="00BD32DF">
        <w:t xml:space="preserve">module’s </w:t>
      </w:r>
      <w:r>
        <w:t xml:space="preserve">data by industry subsector. </w:t>
      </w:r>
      <w:r w:rsidR="00C44C48">
        <w:t xml:space="preserve">For the majority of OSH questions, estimates were not able to be given due to the small sample of oil and gas workers surveyed in the NHIS. </w:t>
      </w:r>
      <w:r>
        <w:t>The result</w:t>
      </w:r>
      <w:r w:rsidR="00BD32DF">
        <w:t>s</w:t>
      </w:r>
      <w:r>
        <w:t xml:space="preserve"> for oil and gas extraction </w:t>
      </w:r>
      <w:r w:rsidR="00DC1A5F">
        <w:t>can be found</w:t>
      </w:r>
      <w:r>
        <w:t xml:space="preserve"> at </w:t>
      </w:r>
      <w:hyperlink r:id="rId11" w:history="1">
        <w:r w:rsidRPr="005E62C6">
          <w:rPr>
            <w:rStyle w:val="Hyperlink"/>
          </w:rPr>
          <w:t>http://www.cdc.gov/niosh/topics/nhis/mining.html</w:t>
        </w:r>
      </w:hyperlink>
      <w:r w:rsidR="0083190E">
        <w:rPr>
          <w:rStyle w:val="Hyperlink"/>
        </w:rPr>
        <w:t>.</w:t>
      </w:r>
      <w:r>
        <w:t xml:space="preserve"> </w:t>
      </w:r>
    </w:p>
    <w:p w14:paraId="78B4F129" w14:textId="2FBD1657" w:rsidR="007F7E91" w:rsidRDefault="0083190E" w:rsidP="00C17F30">
      <w:r>
        <w:t xml:space="preserve">The NIOSH Oil and Gas Program has conducted </w:t>
      </w:r>
      <w:r w:rsidR="009C6446">
        <w:t>several comprehensive</w:t>
      </w:r>
      <w:r>
        <w:t xml:space="preserve"> searches </w:t>
      </w:r>
      <w:r w:rsidR="001552F6">
        <w:t>to identify available literature</w:t>
      </w:r>
      <w:r>
        <w:t xml:space="preserve"> regarding occupational safety and health research related to </w:t>
      </w:r>
      <w:r w:rsidR="00705ADC">
        <w:t>U.S. land-</w:t>
      </w:r>
      <w:r w:rsidR="001552F6">
        <w:t xml:space="preserve">based </w:t>
      </w:r>
      <w:r>
        <w:t xml:space="preserve">oil and gas </w:t>
      </w:r>
      <w:r w:rsidR="001552F6">
        <w:t xml:space="preserve">extraction </w:t>
      </w:r>
      <w:r>
        <w:t xml:space="preserve">workers. </w:t>
      </w:r>
      <w:r w:rsidR="00D2026F">
        <w:t>While limited, available research has been focused on fatalities</w:t>
      </w:r>
      <w:r w:rsidR="001552F6" w:rsidRPr="001552F6">
        <w:rPr>
          <w:vertAlign w:val="superscript"/>
        </w:rPr>
        <w:t>1-5</w:t>
      </w:r>
      <w:r w:rsidR="00D2026F" w:rsidRPr="001552F6">
        <w:rPr>
          <w:vertAlign w:val="superscript"/>
        </w:rPr>
        <w:t xml:space="preserve"> </w:t>
      </w:r>
      <w:r w:rsidR="00D2026F">
        <w:t xml:space="preserve">and specific chemical exposures, including respirable silica and </w:t>
      </w:r>
      <w:r w:rsidR="001552F6">
        <w:t>volatile organic compounds</w:t>
      </w:r>
      <w:r w:rsidR="001552F6" w:rsidRPr="001552F6">
        <w:rPr>
          <w:vertAlign w:val="superscript"/>
        </w:rPr>
        <w:t>6-8</w:t>
      </w:r>
      <w:r w:rsidR="00D2026F">
        <w:t>.</w:t>
      </w:r>
      <w:r w:rsidR="001552F6">
        <w:t xml:space="preserve"> After many discussions with industry partners and attendance at many industry safety and health conferences, </w:t>
      </w:r>
      <w:r w:rsidR="00035961">
        <w:t>we are unaware of any data collection being conducted that</w:t>
      </w:r>
      <w:r w:rsidR="007F7E91" w:rsidRPr="00F81BA5">
        <w:t xml:space="preserve"> would allow </w:t>
      </w:r>
      <w:r w:rsidR="00035961">
        <w:t xml:space="preserve">for </w:t>
      </w:r>
      <w:r w:rsidR="007F7E91" w:rsidRPr="00F81BA5">
        <w:t xml:space="preserve">examination of the associations among health conditions, injuries, sleep quality and quantity, health behavior, and working conditions among </w:t>
      </w:r>
      <w:r w:rsidR="00035961">
        <w:t xml:space="preserve">U.S. land-based </w:t>
      </w:r>
      <w:r w:rsidR="007F7E91">
        <w:t>oil and gas extraction workers</w:t>
      </w:r>
      <w:r w:rsidR="007F7E91" w:rsidRPr="00F81BA5">
        <w:t>.</w:t>
      </w:r>
    </w:p>
    <w:p w14:paraId="5094AD73" w14:textId="316C5E9F" w:rsidR="007F7E91" w:rsidRDefault="007F7E91" w:rsidP="00C17F30">
      <w:r>
        <w:t xml:space="preserve">A recent study of long haul truck drivers was conducted by NIOSH </w:t>
      </w:r>
      <w:r w:rsidR="009C6446">
        <w:t xml:space="preserve">that </w:t>
      </w:r>
      <w:r>
        <w:t>collected similar information on health conditions, health behavior, injuries and sleep as is</w:t>
      </w:r>
      <w:r w:rsidR="009F0FF9">
        <w:t xml:space="preserve"> proposed in this study</w:t>
      </w:r>
      <w:r w:rsidR="009F0FF9" w:rsidRPr="009F0FF9">
        <w:rPr>
          <w:vertAlign w:val="superscript"/>
        </w:rPr>
        <w:t>9</w:t>
      </w:r>
      <w:r>
        <w:t xml:space="preserve">. While this is a different worker population, it </w:t>
      </w:r>
      <w:r w:rsidR="00705ADC">
        <w:t xml:space="preserve">might </w:t>
      </w:r>
      <w:r>
        <w:t xml:space="preserve">be a useful comparison group for estimates found in this study.  </w:t>
      </w:r>
    </w:p>
    <w:p w14:paraId="72CF02D8" w14:textId="3F47DABC" w:rsidR="007F7E91" w:rsidRPr="00F81BA5" w:rsidRDefault="007F7E91" w:rsidP="007F7E91">
      <w:r>
        <w:t>T</w:t>
      </w:r>
      <w:r w:rsidRPr="00F81BA5">
        <w:t>he Survey of Occupational Injuries and Illnesses (SOII)</w:t>
      </w:r>
      <w:r w:rsidR="00222C48" w:rsidRPr="00222C48">
        <w:rPr>
          <w:rStyle w:val="FootnoteReference"/>
        </w:rPr>
        <w:footnoteReference w:customMarkFollows="1" w:id="2"/>
        <w:sym w:font="Symbol" w:char="F02A"/>
      </w:r>
      <w:r w:rsidRPr="00F81BA5">
        <w:t xml:space="preserve"> generates national estimates of non-fatal occupational injuries and illness by industry and occupation, but it has a number of limitations. First, only diseases that are recognized as ‘occupational diseases’ </w:t>
      </w:r>
      <w:r w:rsidR="00D43D6F">
        <w:t>—</w:t>
      </w:r>
      <w:r w:rsidRPr="00F81BA5">
        <w:t xml:space="preserve"> for instance, skin irritation or rashes </w:t>
      </w:r>
      <w:r w:rsidR="00D43D6F">
        <w:t>—</w:t>
      </w:r>
      <w:r w:rsidRPr="00F81BA5">
        <w:t xml:space="preserve"> are included in SOII. </w:t>
      </w:r>
      <w:r w:rsidR="00A11B7B">
        <w:t>Our</w:t>
      </w:r>
      <w:r w:rsidRPr="00F81BA5">
        <w:t xml:space="preserve"> proposed survey will collect data on a variety of health conditions without regard to the perceived origin of the condition. Second, the magnitude of nonfatal occupational injuries and illnesses among </w:t>
      </w:r>
      <w:r>
        <w:t>oil and gas extraction workers</w:t>
      </w:r>
      <w:r w:rsidRPr="00F81BA5">
        <w:t xml:space="preserve"> may be underestimated, since self-employed workers are excluded</w:t>
      </w:r>
      <w:r w:rsidR="000731BB">
        <w:t xml:space="preserve"> from SOII</w:t>
      </w:r>
      <w:r w:rsidRPr="00F81BA5">
        <w:t>. Finally, the most detailed SOII data cover only injuries and illnesses that require days away from work</w:t>
      </w:r>
      <w:r w:rsidR="00BD32DF">
        <w:t>,</w:t>
      </w:r>
      <w:r w:rsidR="00256BE8">
        <w:t xml:space="preserve"> thus excluding injuries that might result in a change of duties or other limitations</w:t>
      </w:r>
      <w:r w:rsidR="000731BB">
        <w:t xml:space="preserve"> to working</w:t>
      </w:r>
      <w:r w:rsidRPr="00F81BA5">
        <w:t>.</w:t>
      </w:r>
    </w:p>
    <w:p w14:paraId="0AAD1228" w14:textId="53C6224E" w:rsidR="007F7E91" w:rsidRDefault="00646D0F" w:rsidP="00C17F30">
      <w:r>
        <w:t xml:space="preserve">Studies of </w:t>
      </w:r>
      <w:r w:rsidR="00F3780E">
        <w:t xml:space="preserve">oil and gas </w:t>
      </w:r>
      <w:r>
        <w:t xml:space="preserve">workers in offshore settings </w:t>
      </w:r>
      <w:r w:rsidR="00305402">
        <w:t xml:space="preserve">internationally </w:t>
      </w:r>
      <w:r>
        <w:t xml:space="preserve">have been conducted, focusing primarily on </w:t>
      </w:r>
      <w:r w:rsidR="004211CB">
        <w:t xml:space="preserve">stress, psychosocial factors, and </w:t>
      </w:r>
      <w:r>
        <w:t>safety culture</w:t>
      </w:r>
      <w:r w:rsidR="00982236" w:rsidRPr="00982236">
        <w:rPr>
          <w:vertAlign w:val="superscript"/>
        </w:rPr>
        <w:t>10-12</w:t>
      </w:r>
      <w:r w:rsidR="00982236">
        <w:t>.</w:t>
      </w:r>
      <w:r w:rsidR="004211CB">
        <w:t xml:space="preserve"> However, no similar questionnaires have been conducted with U.S. land-based oil and gas extraction workers. Many </w:t>
      </w:r>
      <w:r w:rsidR="00305402">
        <w:t>of these</w:t>
      </w:r>
      <w:r w:rsidR="004211CB">
        <w:t xml:space="preserve"> workers are now working in remote areas and often staying in temporary lodging facilities away from their homes. The psycho-social impacts for these workers may be similar to what is found for offshore oil and gas workers. </w:t>
      </w:r>
    </w:p>
    <w:p w14:paraId="2C9E3B69" w14:textId="77777777" w:rsidR="00C17F30" w:rsidRPr="00B30F09" w:rsidRDefault="006F1B6B" w:rsidP="00E910D2">
      <w:pPr>
        <w:pStyle w:val="Heading1"/>
      </w:pPr>
      <w:bookmarkStart w:id="9" w:name="_Toc420492157"/>
      <w:bookmarkStart w:id="10" w:name="_Toc461446293"/>
      <w:r>
        <w:t>A.</w:t>
      </w:r>
      <w:r w:rsidR="00C17F30" w:rsidRPr="00B30F09">
        <w:t xml:space="preserve">5. </w:t>
      </w:r>
      <w:r w:rsidR="00FD2C8A">
        <w:t>Impact on Small Businesses or Other Small Entities</w:t>
      </w:r>
      <w:r w:rsidR="00C17F30" w:rsidRPr="00B30F09">
        <w:t>.</w:t>
      </w:r>
      <w:bookmarkEnd w:id="9"/>
      <w:bookmarkEnd w:id="10"/>
    </w:p>
    <w:p w14:paraId="4D59EB6F" w14:textId="094A614E" w:rsidR="00B30F09" w:rsidRDefault="004211CB" w:rsidP="00C17F30">
      <w:r>
        <w:t>A proportion of this industry is comprised of workers employed by small businesses. However, p</w:t>
      </w:r>
      <w:r w:rsidR="00646D0F">
        <w:t>articipat</w:t>
      </w:r>
      <w:r>
        <w:t xml:space="preserve">ion in the survey is voluntary and will </w:t>
      </w:r>
      <w:r w:rsidR="00A20E6F">
        <w:t>only be conducted when the worker and supervisor agrees that there is time for the worker to complete the survey without interfering with or delaying the work operation</w:t>
      </w:r>
      <w:r>
        <w:t xml:space="preserve">. The number of questions have been kept to a minimum and include only what </w:t>
      </w:r>
      <w:r w:rsidR="00305402">
        <w:t xml:space="preserve">are </w:t>
      </w:r>
      <w:r>
        <w:t xml:space="preserve">considered essential topics. </w:t>
      </w:r>
    </w:p>
    <w:p w14:paraId="0DA9D552" w14:textId="77777777" w:rsidR="00C17F30" w:rsidRPr="00646D0F" w:rsidRDefault="006F1B6B" w:rsidP="00E910D2">
      <w:pPr>
        <w:pStyle w:val="Heading1"/>
      </w:pPr>
      <w:bookmarkStart w:id="11" w:name="_Toc420492158"/>
      <w:bookmarkStart w:id="12" w:name="_Toc461446294"/>
      <w:r>
        <w:t>A.</w:t>
      </w:r>
      <w:r w:rsidR="00C17F30" w:rsidRPr="00646D0F">
        <w:t xml:space="preserve">6. </w:t>
      </w:r>
      <w:r w:rsidR="00317E6C">
        <w:t>Consequences of Collecting Information Less Frequently</w:t>
      </w:r>
      <w:r w:rsidR="00C17F30" w:rsidRPr="00646D0F">
        <w:t>.</w:t>
      </w:r>
      <w:bookmarkEnd w:id="11"/>
      <w:bookmarkEnd w:id="12"/>
    </w:p>
    <w:p w14:paraId="47697604" w14:textId="0EE53D59" w:rsidR="004240EE" w:rsidRPr="00F81BA5" w:rsidRDefault="004240EE" w:rsidP="004240EE">
      <w:r>
        <w:t>This request is for a one-time data collection. If this data collection does not take place, industry leaders and federal programs</w:t>
      </w:r>
      <w:r w:rsidRPr="00F81BA5">
        <w:t xml:space="preserve"> will not be abl</w:t>
      </w:r>
      <w:r>
        <w:t xml:space="preserve">e to make evidence-based </w:t>
      </w:r>
      <w:r w:rsidRPr="00F81BA5">
        <w:t xml:space="preserve">decisions regarding the safety and health </w:t>
      </w:r>
      <w:r w:rsidR="002700A2">
        <w:t>concerns</w:t>
      </w:r>
      <w:r w:rsidR="00C44C48">
        <w:t xml:space="preserve"> </w:t>
      </w:r>
      <w:r w:rsidRPr="00F81BA5">
        <w:t xml:space="preserve">of </w:t>
      </w:r>
      <w:r>
        <w:t>oil and gas extraction workers</w:t>
      </w:r>
      <w:r w:rsidRPr="00F81BA5">
        <w:t xml:space="preserve">. </w:t>
      </w:r>
      <w:r w:rsidR="004F687F">
        <w:t xml:space="preserve">Additionally, this data collection will inform NIOSH’s research agenda by aiding in prioritization of research activities and resources. </w:t>
      </w:r>
      <w:r w:rsidRPr="00F81BA5">
        <w:t xml:space="preserve">There are no legal </w:t>
      </w:r>
      <w:r w:rsidR="004F687F">
        <w:t xml:space="preserve">or technical </w:t>
      </w:r>
      <w:r w:rsidRPr="00F81BA5">
        <w:t>obstacles to reduce the burden</w:t>
      </w:r>
      <w:r w:rsidR="004F687F">
        <w:t xml:space="preserve"> as this is a one-time data collection.</w:t>
      </w:r>
    </w:p>
    <w:p w14:paraId="33E15F61" w14:textId="24FE7B2F" w:rsidR="00C17F30" w:rsidRPr="003B5EC6" w:rsidRDefault="006F1B6B" w:rsidP="00E910D2">
      <w:pPr>
        <w:pStyle w:val="Heading1"/>
      </w:pPr>
      <w:bookmarkStart w:id="13" w:name="_Toc420492159"/>
      <w:bookmarkStart w:id="14" w:name="_Toc461446295"/>
      <w:r>
        <w:t>A.</w:t>
      </w:r>
      <w:r w:rsidR="00C17F30" w:rsidRPr="003B5EC6">
        <w:t xml:space="preserve">7. </w:t>
      </w:r>
      <w:r w:rsidR="00317E6C">
        <w:t>Special Circumstances Relating to the Guidelines of 5 C</w:t>
      </w:r>
      <w:r w:rsidR="00A20E6F">
        <w:t>F</w:t>
      </w:r>
      <w:r w:rsidR="00317E6C">
        <w:t>R 1320.5</w:t>
      </w:r>
      <w:bookmarkEnd w:id="13"/>
      <w:bookmarkEnd w:id="14"/>
    </w:p>
    <w:p w14:paraId="6814E39A" w14:textId="77777777" w:rsidR="00C17F30" w:rsidRDefault="00317E6C" w:rsidP="00317E6C">
      <w:r>
        <w:t xml:space="preserve">This request fully complies with the regulation 5 CFR 1320.5 </w:t>
      </w:r>
    </w:p>
    <w:p w14:paraId="046C8336" w14:textId="77777777" w:rsidR="00317E6C" w:rsidRPr="00317E6C" w:rsidRDefault="006F1B6B" w:rsidP="00E910D2">
      <w:pPr>
        <w:pStyle w:val="Heading1"/>
      </w:pPr>
      <w:bookmarkStart w:id="15" w:name="_Toc420492160"/>
      <w:bookmarkStart w:id="16" w:name="_Toc461446296"/>
      <w:r>
        <w:t>A.</w:t>
      </w:r>
      <w:r w:rsidR="00C17F30" w:rsidRPr="00317E6C">
        <w:t xml:space="preserve">8. </w:t>
      </w:r>
      <w:r w:rsidR="00317E6C" w:rsidRPr="00317E6C">
        <w:t>Comments in Response to the Federal Register Notice and Efforts to Consult Outside the Agency</w:t>
      </w:r>
      <w:bookmarkEnd w:id="15"/>
      <w:bookmarkEnd w:id="16"/>
    </w:p>
    <w:p w14:paraId="51F2502F" w14:textId="4A9C7CF0" w:rsidR="00317E6C" w:rsidRDefault="006F1B6B" w:rsidP="003C346B">
      <w:pPr>
        <w:ind w:left="720"/>
      </w:pPr>
      <w:r>
        <w:rPr>
          <w:b/>
        </w:rPr>
        <w:t>A</w:t>
      </w:r>
      <w:r w:rsidRPr="000C4EA4">
        <w:t>.</w:t>
      </w:r>
      <w:r w:rsidR="00317E6C">
        <w:t xml:space="preserve"> </w:t>
      </w:r>
      <w:r w:rsidR="00E5146D">
        <w:t xml:space="preserve">A </w:t>
      </w:r>
      <w:r w:rsidR="00317E6C">
        <w:t xml:space="preserve">60-day Federal Register Notice was published in the </w:t>
      </w:r>
      <w:r w:rsidR="00317E6C" w:rsidRPr="00317E6C">
        <w:rPr>
          <w:i/>
        </w:rPr>
        <w:t>Federal Register</w:t>
      </w:r>
      <w:r w:rsidR="00317E6C">
        <w:t xml:space="preserve"> on </w:t>
      </w:r>
      <w:r w:rsidR="00FB7012">
        <w:t>08/10</w:t>
      </w:r>
      <w:r w:rsidR="00317E6C">
        <w:t>, vol</w:t>
      </w:r>
      <w:r w:rsidR="008812EF">
        <w:t xml:space="preserve">. </w:t>
      </w:r>
      <w:r w:rsidR="00BC2D3A">
        <w:t>81</w:t>
      </w:r>
      <w:r w:rsidR="00256BE8">
        <w:t xml:space="preserve">, No. </w:t>
      </w:r>
      <w:r w:rsidR="00BC2D3A">
        <w:t>154</w:t>
      </w:r>
      <w:r w:rsidR="00256BE8">
        <w:t>, pp.</w:t>
      </w:r>
      <w:r w:rsidR="008812EF">
        <w:t xml:space="preserve"> </w:t>
      </w:r>
      <w:r w:rsidR="00FB7012">
        <w:t>52870-52872</w:t>
      </w:r>
      <w:r w:rsidR="00256BE8">
        <w:t xml:space="preserve"> (</w:t>
      </w:r>
      <w:r w:rsidR="00256BE8" w:rsidRPr="004F7E12">
        <w:t xml:space="preserve">see </w:t>
      </w:r>
      <w:r w:rsidR="004E3031">
        <w:t>Attachment B</w:t>
      </w:r>
      <w:r w:rsidR="00256BE8">
        <w:t>)</w:t>
      </w:r>
      <w:r w:rsidR="006C3284">
        <w:t xml:space="preserve">. There were </w:t>
      </w:r>
      <w:r w:rsidR="00FB7012">
        <w:t>no</w:t>
      </w:r>
      <w:r w:rsidR="006C3284">
        <w:t xml:space="preserve"> comments posted. </w:t>
      </w:r>
      <w:r w:rsidR="00317E6C">
        <w:t xml:space="preserve"> </w:t>
      </w:r>
    </w:p>
    <w:p w14:paraId="57FB034C" w14:textId="2C563B91" w:rsidR="00317E6C" w:rsidRDefault="00E5146D" w:rsidP="003C346B">
      <w:pPr>
        <w:ind w:left="720"/>
      </w:pPr>
      <w:r>
        <w:rPr>
          <w:b/>
        </w:rPr>
        <w:t xml:space="preserve">B. </w:t>
      </w:r>
      <w:r w:rsidR="004F6FF8">
        <w:t>T</w:t>
      </w:r>
      <w:r>
        <w:t>he following individuals outside the agency were consulted on this ICR</w:t>
      </w:r>
      <w:r w:rsidR="005B5925">
        <w:t xml:space="preserve"> during 2015</w:t>
      </w:r>
      <w:r>
        <w:t xml:space="preserve">. </w:t>
      </w:r>
    </w:p>
    <w:p w14:paraId="53BA6DD9" w14:textId="77777777" w:rsidR="00E5146D" w:rsidRDefault="00E5146D" w:rsidP="003C346B">
      <w:pPr>
        <w:ind w:left="720"/>
      </w:pPr>
      <w:r>
        <w:t xml:space="preserve">Kenny Jordan, Executive Director, AESC (Association of Energy Service Companies), </w:t>
      </w:r>
      <w:hyperlink r:id="rId12" w:history="1">
        <w:r w:rsidRPr="006B4DC0">
          <w:rPr>
            <w:rStyle w:val="Hyperlink"/>
          </w:rPr>
          <w:t>kjordan@aesc.net</w:t>
        </w:r>
      </w:hyperlink>
      <w:r>
        <w:t>, 713-781-0758</w:t>
      </w:r>
    </w:p>
    <w:p w14:paraId="3215059C" w14:textId="77777777" w:rsidR="00E5146D" w:rsidRDefault="00E5146D" w:rsidP="003C346B">
      <w:pPr>
        <w:ind w:left="720"/>
      </w:pPr>
      <w:r>
        <w:t>Meredith Towle,</w:t>
      </w:r>
      <w:r w:rsidR="00F0412D">
        <w:t xml:space="preserve"> MPH,</w:t>
      </w:r>
      <w:r>
        <w:t xml:space="preserve"> Occupational Epidemiologist, State of Wyoming, </w:t>
      </w:r>
      <w:hyperlink r:id="rId13" w:history="1">
        <w:r w:rsidRPr="006B4DC0">
          <w:rPr>
            <w:rStyle w:val="Hyperlink"/>
          </w:rPr>
          <w:t>Meredith.towle@wyo.gov</w:t>
        </w:r>
      </w:hyperlink>
      <w:r w:rsidRPr="003C346B">
        <w:t>,</w:t>
      </w:r>
      <w:r>
        <w:t xml:space="preserve"> </w:t>
      </w:r>
      <w:r w:rsidRPr="00E5146D">
        <w:t>(307) 777-7671</w:t>
      </w:r>
    </w:p>
    <w:p w14:paraId="6B84FB19" w14:textId="77777777" w:rsidR="003C346B" w:rsidRDefault="00E5146D" w:rsidP="003C346B">
      <w:pPr>
        <w:ind w:left="720"/>
      </w:pPr>
      <w:r>
        <w:t>Rebecca L. Reindel, MS, MPH, AFL-CIO Safety and Health</w:t>
      </w:r>
      <w:r w:rsidR="003C346B">
        <w:t xml:space="preserve">, </w:t>
      </w:r>
      <w:hyperlink r:id="rId14" w:history="1">
        <w:r w:rsidR="003C346B" w:rsidRPr="003C346B">
          <w:rPr>
            <w:rStyle w:val="Hyperlink"/>
          </w:rPr>
          <w:t>rreindel@aflcio.org</w:t>
        </w:r>
      </w:hyperlink>
      <w:r w:rsidR="003C346B">
        <w:rPr>
          <w:rStyle w:val="Hyperlink"/>
        </w:rPr>
        <w:t xml:space="preserve">, </w:t>
      </w:r>
      <w:r w:rsidR="003C346B" w:rsidRPr="00E5146D">
        <w:t>(</w:t>
      </w:r>
      <w:r w:rsidR="003C346B">
        <w:t>202</w:t>
      </w:r>
      <w:r w:rsidR="003C346B" w:rsidRPr="00E5146D">
        <w:t xml:space="preserve">) </w:t>
      </w:r>
      <w:r w:rsidR="003C346B">
        <w:t>637-5003</w:t>
      </w:r>
    </w:p>
    <w:p w14:paraId="67A1EE95" w14:textId="77777777" w:rsidR="003C346B" w:rsidRDefault="003C346B" w:rsidP="003C346B">
      <w:pPr>
        <w:ind w:left="720"/>
      </w:pPr>
      <w:r>
        <w:t xml:space="preserve">Jim Melius and Walter Jones, Laborers Health and Safety Fund, </w:t>
      </w:r>
      <w:hyperlink r:id="rId15" w:history="1">
        <w:r w:rsidRPr="006B4DC0">
          <w:rPr>
            <w:rStyle w:val="Hyperlink"/>
          </w:rPr>
          <w:t>jonesw@lhsfna.org</w:t>
        </w:r>
      </w:hyperlink>
      <w:r>
        <w:t xml:space="preserve"> and </w:t>
      </w:r>
      <w:hyperlink r:id="rId16" w:history="1">
        <w:r w:rsidR="000F2C64" w:rsidRPr="006B4DC0">
          <w:rPr>
            <w:rStyle w:val="Hyperlink"/>
          </w:rPr>
          <w:t>melius@nysliuna.org</w:t>
        </w:r>
      </w:hyperlink>
      <w:r w:rsidR="000F2C64">
        <w:t xml:space="preserve">, </w:t>
      </w:r>
      <w:r>
        <w:t>202-628-5465</w:t>
      </w:r>
    </w:p>
    <w:p w14:paraId="4A4AB7C0" w14:textId="77777777" w:rsidR="003C346B" w:rsidRDefault="003C346B" w:rsidP="003C346B">
      <w:pPr>
        <w:ind w:left="720"/>
        <w:rPr>
          <w:color w:val="1F497D"/>
        </w:rPr>
      </w:pPr>
      <w:r>
        <w:t xml:space="preserve">Tiffany Rice, MS CSP, Assistant Professor, Oil and Gas, West Virginia University, Safety and Health Extension, </w:t>
      </w:r>
      <w:hyperlink r:id="rId17" w:history="1">
        <w:r w:rsidRPr="006B4DC0">
          <w:rPr>
            <w:rStyle w:val="Hyperlink"/>
          </w:rPr>
          <w:t>tiffany.rice@mail.wvu.edu</w:t>
        </w:r>
      </w:hyperlink>
      <w:r>
        <w:t>, 304-293-2852</w:t>
      </w:r>
    </w:p>
    <w:p w14:paraId="2F7810A0" w14:textId="77777777" w:rsidR="003C346B" w:rsidRDefault="003C346B" w:rsidP="003C346B">
      <w:pPr>
        <w:ind w:left="720"/>
      </w:pPr>
      <w:r>
        <w:t xml:space="preserve">Warren Hubler, Vice President, Health and Safety, Helmerich &amp; Payne, Inc., </w:t>
      </w:r>
      <w:hyperlink r:id="rId18" w:history="1">
        <w:r w:rsidRPr="006B4DC0">
          <w:rPr>
            <w:rStyle w:val="Hyperlink"/>
          </w:rPr>
          <w:t>warren.hubler@hpidc.com</w:t>
        </w:r>
      </w:hyperlink>
      <w:r>
        <w:t>, (918) 742-5531</w:t>
      </w:r>
    </w:p>
    <w:p w14:paraId="2C2295BB" w14:textId="77777777" w:rsidR="00E5146D" w:rsidRDefault="003C346B" w:rsidP="003C346B">
      <w:pPr>
        <w:ind w:left="720"/>
      </w:pPr>
      <w:r>
        <w:t xml:space="preserve">Rick Ingram, Health and Safety Advisor, BP Lower 48 Onshore, (Member NACOSH), </w:t>
      </w:r>
      <w:hyperlink r:id="rId19" w:history="1">
        <w:r w:rsidRPr="006B4DC0">
          <w:rPr>
            <w:rStyle w:val="Hyperlink"/>
          </w:rPr>
          <w:t>rickey.ingram@bp.com</w:t>
        </w:r>
      </w:hyperlink>
      <w:r>
        <w:t xml:space="preserve">, (281)366-5854 </w:t>
      </w:r>
    </w:p>
    <w:p w14:paraId="45D6E4F9" w14:textId="77777777" w:rsidR="000F2C64" w:rsidRPr="00E5146D" w:rsidRDefault="000F2C64" w:rsidP="003C346B">
      <w:pPr>
        <w:ind w:left="720"/>
      </w:pPr>
      <w:r>
        <w:t xml:space="preserve">Michael Kosnett, MD, MPH, Medical Toxicologist and Associate Clinical Professor, University of Colorado Denver, </w:t>
      </w:r>
      <w:hyperlink r:id="rId20" w:history="1">
        <w:r w:rsidRPr="006B4DC0">
          <w:rPr>
            <w:rStyle w:val="Hyperlink"/>
          </w:rPr>
          <w:t>michael.kosnett@ucdenver.edu</w:t>
        </w:r>
      </w:hyperlink>
      <w:r>
        <w:t>, (303)571-5778</w:t>
      </w:r>
    </w:p>
    <w:p w14:paraId="601B0D94" w14:textId="77777777" w:rsidR="00C17F30" w:rsidRPr="006F1B6B" w:rsidRDefault="006F1B6B" w:rsidP="00E910D2">
      <w:pPr>
        <w:pStyle w:val="Heading1"/>
      </w:pPr>
      <w:bookmarkStart w:id="17" w:name="_Toc420492161"/>
      <w:bookmarkStart w:id="18" w:name="_Toc461446297"/>
      <w:r>
        <w:t>A.</w:t>
      </w:r>
      <w:r w:rsidR="00C17F30" w:rsidRPr="006F1B6B">
        <w:t xml:space="preserve">9. </w:t>
      </w:r>
      <w:r w:rsidRPr="006F1B6B">
        <w:t>Explanation of Any Payment or Gift to Respondents</w:t>
      </w:r>
      <w:bookmarkEnd w:id="17"/>
      <w:bookmarkEnd w:id="18"/>
    </w:p>
    <w:p w14:paraId="460D30D8" w14:textId="7B9D3245" w:rsidR="00487885" w:rsidRDefault="00517150" w:rsidP="00C17F30">
      <w:r>
        <w:t xml:space="preserve">It is important to maximize response rates during information collection. There </w:t>
      </w:r>
      <w:r w:rsidR="00305402">
        <w:t xml:space="preserve">have </w:t>
      </w:r>
      <w:r>
        <w:t xml:space="preserve">not been any other similar information collection efforts in the land-based oil and gas extraction workforce, so it is difficult to determine </w:t>
      </w:r>
      <w:r w:rsidR="007F3293">
        <w:t>worker</w:t>
      </w:r>
      <w:r w:rsidR="00A82041">
        <w:t>s’</w:t>
      </w:r>
      <w:r w:rsidR="007F3293">
        <w:t xml:space="preserve"> willingness</w:t>
      </w:r>
      <w:r>
        <w:t xml:space="preserve"> to participate. </w:t>
      </w:r>
      <w:r w:rsidR="007F3293">
        <w:t>Additionally, the</w:t>
      </w:r>
      <w:r>
        <w:t xml:space="preserve"> typical oil and gas extraction worker is on duty for long shifts (at least 12 hours) and may have long commutes to remote well sites</w:t>
      </w:r>
      <w:r w:rsidR="007F3293">
        <w:t xml:space="preserve">; as such, requesting that workers </w:t>
      </w:r>
      <w:r>
        <w:t xml:space="preserve">complete the questionnaire while off-duty at temporary lodging sites will </w:t>
      </w:r>
      <w:r w:rsidR="00F45FAA">
        <w:t xml:space="preserve">also </w:t>
      </w:r>
      <w:r>
        <w:t xml:space="preserve">be challenging, as free time can be very limited. </w:t>
      </w:r>
      <w:r w:rsidR="00586142">
        <w:t xml:space="preserve">Based on the experience of </w:t>
      </w:r>
      <w:r w:rsidR="00305402">
        <w:t xml:space="preserve">NIOSH </w:t>
      </w:r>
      <w:r w:rsidR="00586142">
        <w:t xml:space="preserve">survey teams </w:t>
      </w:r>
      <w:r w:rsidR="00482C7F">
        <w:t>with similar populations</w:t>
      </w:r>
      <w:r w:rsidR="00586142">
        <w:t xml:space="preserve"> (such as the Coal Workers’ Health Surveillance Program), we believe small tokens of appreciation </w:t>
      </w:r>
      <w:r w:rsidR="00482C7F">
        <w:t>are</w:t>
      </w:r>
      <w:r w:rsidR="00586142">
        <w:t xml:space="preserve"> important for building awareness of a program and increasing participation in </w:t>
      </w:r>
      <w:r w:rsidR="00597D50">
        <w:t xml:space="preserve">survey </w:t>
      </w:r>
      <w:r w:rsidR="00586142">
        <w:t xml:space="preserve">activities. </w:t>
      </w:r>
      <w:r w:rsidR="00BA513C">
        <w:t xml:space="preserve">Therefore, we feel that offering </w:t>
      </w:r>
      <w:r w:rsidR="007F3293">
        <w:t>appreciative tokens</w:t>
      </w:r>
      <w:r w:rsidR="00BA513C">
        <w:t xml:space="preserve"> to </w:t>
      </w:r>
      <w:r w:rsidR="00482C7F">
        <w:t xml:space="preserve">the </w:t>
      </w:r>
      <w:r w:rsidR="00BA513C">
        <w:t xml:space="preserve">oil and gas </w:t>
      </w:r>
      <w:r w:rsidR="00305402">
        <w:t xml:space="preserve">extraction </w:t>
      </w:r>
      <w:r w:rsidR="00BA513C">
        <w:t xml:space="preserve">workers will serve to increase response rates </w:t>
      </w:r>
      <w:r w:rsidR="00586142">
        <w:t>from individual workers</w:t>
      </w:r>
      <w:r w:rsidR="00482C7F">
        <w:t xml:space="preserve">. Additionally, these tokens will </w:t>
      </w:r>
      <w:r w:rsidR="00BA513C">
        <w:t>serve as advertising for participating in the survey</w:t>
      </w:r>
      <w:r w:rsidR="00F45FAA">
        <w:t xml:space="preserve">, further increasing our </w:t>
      </w:r>
      <w:r w:rsidR="00B547E0">
        <w:t xml:space="preserve">overall </w:t>
      </w:r>
      <w:r w:rsidR="00F45FAA">
        <w:t>response rate</w:t>
      </w:r>
      <w:r w:rsidR="00BA513C">
        <w:t xml:space="preserve">. </w:t>
      </w:r>
    </w:p>
    <w:p w14:paraId="6B2FBD45" w14:textId="4A562E61" w:rsidR="006B23C9" w:rsidRDefault="00BA513C" w:rsidP="00C17F30">
      <w:r>
        <w:t>We plan to off</w:t>
      </w:r>
      <w:r w:rsidR="00F45FAA">
        <w:t>er</w:t>
      </w:r>
      <w:r>
        <w:t xml:space="preserve"> all oil and gas </w:t>
      </w:r>
      <w:r w:rsidR="00305402">
        <w:t xml:space="preserve">extraction </w:t>
      </w:r>
      <w:r>
        <w:t xml:space="preserve">workers that we contact </w:t>
      </w:r>
      <w:r w:rsidR="00F45FAA">
        <w:t xml:space="preserve">about the </w:t>
      </w:r>
      <w:r>
        <w:t>survey</w:t>
      </w:r>
      <w:r w:rsidR="00F45FAA">
        <w:t xml:space="preserve"> (whether in person or via </w:t>
      </w:r>
      <w:r w:rsidR="00305402">
        <w:t xml:space="preserve">a </w:t>
      </w:r>
      <w:r w:rsidR="00F45FAA">
        <w:t>letter on their door at the man camps)</w:t>
      </w:r>
      <w:r>
        <w:t xml:space="preserve"> a NIOSH hard hat sticker. These</w:t>
      </w:r>
      <w:r w:rsidR="00F45FAA">
        <w:t xml:space="preserve"> stickers</w:t>
      </w:r>
      <w:r>
        <w:t xml:space="preserve"> are very popular among oil and gas </w:t>
      </w:r>
      <w:r w:rsidR="00305402">
        <w:t xml:space="preserve">extraction </w:t>
      </w:r>
      <w:r>
        <w:t xml:space="preserve">workers and will likely attract </w:t>
      </w:r>
      <w:r w:rsidR="00487885">
        <w:t xml:space="preserve">additional </w:t>
      </w:r>
      <w:r>
        <w:t>participants. We will offer an additional t</w:t>
      </w:r>
      <w:r w:rsidR="00487885">
        <w:t xml:space="preserve">oken of appreciation </w:t>
      </w:r>
      <w:r>
        <w:t xml:space="preserve">to </w:t>
      </w:r>
      <w:r w:rsidR="00F45FAA">
        <w:t xml:space="preserve">those </w:t>
      </w:r>
      <w:r w:rsidR="00487885">
        <w:t xml:space="preserve">workers </w:t>
      </w:r>
      <w:r>
        <w:t>who complete the survey.</w:t>
      </w:r>
      <w:r w:rsidR="002700A2">
        <w:t xml:space="preserve"> If the workers are on-duty</w:t>
      </w:r>
      <w:r w:rsidR="004A441C">
        <w:t xml:space="preserve"> (i.e.</w:t>
      </w:r>
      <w:r w:rsidR="00445676">
        <w:t>,</w:t>
      </w:r>
      <w:r w:rsidR="004A441C">
        <w:t xml:space="preserve"> being paid by their employer)</w:t>
      </w:r>
      <w:r w:rsidR="002700A2">
        <w:t xml:space="preserve"> at the time of survey completion, they will be offered a $10 gift card. If they are off-duty, they will be offered a $30 gift card.</w:t>
      </w:r>
      <w:r w:rsidR="006B23C9">
        <w:t xml:space="preserve"> </w:t>
      </w:r>
      <w:r w:rsidR="00C41158">
        <w:t xml:space="preserve">Though we edited the survey to </w:t>
      </w:r>
      <w:r w:rsidR="00F3780E">
        <w:t xml:space="preserve">include </w:t>
      </w:r>
      <w:r w:rsidR="00C41158">
        <w:t xml:space="preserve">only essential questions to meet our goal, it is </w:t>
      </w:r>
      <w:r w:rsidR="006B23C9">
        <w:t>relatively lengthy</w:t>
      </w:r>
      <w:r w:rsidR="00C41158">
        <w:t xml:space="preserve">; thus, </w:t>
      </w:r>
      <w:r w:rsidR="006B23C9">
        <w:t xml:space="preserve">we feel that this </w:t>
      </w:r>
      <w:r w:rsidR="00C41158">
        <w:t xml:space="preserve">additional </w:t>
      </w:r>
      <w:r w:rsidR="006B23C9">
        <w:t xml:space="preserve">token of appreciation </w:t>
      </w:r>
      <w:r w:rsidR="00130355">
        <w:t>will enc</w:t>
      </w:r>
      <w:r w:rsidR="006B23C9">
        <w:t>ourage participants to complete the survey</w:t>
      </w:r>
      <w:r w:rsidR="00487885">
        <w:t xml:space="preserve"> in total</w:t>
      </w:r>
      <w:r w:rsidR="00130355">
        <w:t xml:space="preserve"> (i.e., it will help ensure that data quality at the end of the survey is similar to that of the beginning of the survey).</w:t>
      </w:r>
    </w:p>
    <w:p w14:paraId="24A016A7" w14:textId="63C7F126" w:rsidR="00BA513C" w:rsidRDefault="00BA513C" w:rsidP="00C17F30">
      <w:r>
        <w:t>For those workers who refuse</w:t>
      </w:r>
      <w:r w:rsidR="00F3780E">
        <w:t xml:space="preserve"> the full survey</w:t>
      </w:r>
      <w:r w:rsidR="00487885">
        <w:t>,</w:t>
      </w:r>
      <w:r w:rsidR="00F45FAA">
        <w:t xml:space="preserve"> </w:t>
      </w:r>
      <w:r>
        <w:t>but are willing to complete the brief non-respondent questionnaire</w:t>
      </w:r>
      <w:r w:rsidR="00603244">
        <w:t xml:space="preserve"> (</w:t>
      </w:r>
      <w:r w:rsidR="00603244" w:rsidRPr="00DD033F">
        <w:t xml:space="preserve">Attachment </w:t>
      </w:r>
      <w:r w:rsidR="00050FC6" w:rsidRPr="00DD033F">
        <w:t>D</w:t>
      </w:r>
      <w:r w:rsidR="00603244">
        <w:t>)</w:t>
      </w:r>
      <w:r>
        <w:t xml:space="preserve">, we will offer </w:t>
      </w:r>
      <w:r w:rsidR="008E2F57">
        <w:t>additional hard hat stickers</w:t>
      </w:r>
      <w:r>
        <w:t xml:space="preserve">. </w:t>
      </w:r>
      <w:r w:rsidR="00F45FAA">
        <w:t>This will maximize participation in the non-respondent survey, allowing us to compare those who did not respond to those who did (increasing our ability to generalize our findings).</w:t>
      </w:r>
    </w:p>
    <w:p w14:paraId="08E4E0E7" w14:textId="655F802C" w:rsidR="00F70C27" w:rsidRDefault="00BA513C" w:rsidP="00C17F30">
      <w:r>
        <w:t xml:space="preserve">Note that if we are </w:t>
      </w:r>
      <w:r w:rsidR="00F45FAA">
        <w:t>on</w:t>
      </w:r>
      <w:r>
        <w:t xml:space="preserve"> a work site and the company does not want us to distribute these tokens of appreciation to their workers while </w:t>
      </w:r>
      <w:r w:rsidR="00FA7E27">
        <w:t xml:space="preserve">they are </w:t>
      </w:r>
      <w:r>
        <w:t xml:space="preserve">on-duty, we will </w:t>
      </w:r>
      <w:r w:rsidR="00F45FAA">
        <w:t xml:space="preserve">respect the company’s decision and not </w:t>
      </w:r>
      <w:r w:rsidR="006F4B59">
        <w:t>distribute</w:t>
      </w:r>
      <w:r w:rsidR="00F45FAA">
        <w:t xml:space="preserve"> tokens of appreciation. </w:t>
      </w:r>
    </w:p>
    <w:p w14:paraId="4F94B43E" w14:textId="541E1041" w:rsidR="00C17F30" w:rsidRPr="006F1B6B" w:rsidRDefault="006F1B6B" w:rsidP="008429FD">
      <w:pPr>
        <w:pStyle w:val="Heading1"/>
      </w:pPr>
      <w:bookmarkStart w:id="19" w:name="_Toc420492162"/>
      <w:bookmarkStart w:id="20" w:name="_Toc461446298"/>
      <w:r>
        <w:t>A.</w:t>
      </w:r>
      <w:r w:rsidR="00C17F30" w:rsidRPr="006F1B6B">
        <w:t xml:space="preserve">10. </w:t>
      </w:r>
      <w:bookmarkEnd w:id="19"/>
      <w:r w:rsidR="005B5925">
        <w:t>Protection</w:t>
      </w:r>
      <w:r w:rsidRPr="006F1B6B">
        <w:t xml:space="preserve"> of </w:t>
      </w:r>
      <w:r w:rsidR="005B5925">
        <w:t xml:space="preserve">the Privacy &amp; </w:t>
      </w:r>
      <w:r w:rsidRPr="006F1B6B">
        <w:t xml:space="preserve">Confidentiality </w:t>
      </w:r>
      <w:r w:rsidR="005B5925">
        <w:t xml:space="preserve">of Information </w:t>
      </w:r>
      <w:r w:rsidRPr="006F1B6B">
        <w:t xml:space="preserve">Provided </w:t>
      </w:r>
      <w:r w:rsidR="005B5925">
        <w:t>by</w:t>
      </w:r>
      <w:r w:rsidRPr="006F1B6B">
        <w:t xml:space="preserve"> Respondents</w:t>
      </w:r>
      <w:bookmarkEnd w:id="20"/>
    </w:p>
    <w:p w14:paraId="16D37C74" w14:textId="5E1F1A86" w:rsidR="006F1B6B" w:rsidRDefault="00517150" w:rsidP="009E6327">
      <w:r>
        <w:t>This subm</w:t>
      </w:r>
      <w:r w:rsidR="00876D36">
        <w:t>ission has been reviewed by</w:t>
      </w:r>
      <w:r w:rsidR="00E67CB1">
        <w:t xml:space="preserve"> the </w:t>
      </w:r>
      <w:r w:rsidR="006E4635">
        <w:t xml:space="preserve">CDC </w:t>
      </w:r>
      <w:r w:rsidR="004A441C">
        <w:t xml:space="preserve">Privacy Officer </w:t>
      </w:r>
      <w:r>
        <w:t xml:space="preserve">who determined that the Privacy Act </w:t>
      </w:r>
      <w:r w:rsidR="004E15FB" w:rsidRPr="007C4350">
        <w:t>does not</w:t>
      </w:r>
      <w:r w:rsidRPr="007C4350">
        <w:t xml:space="preserve"> </w:t>
      </w:r>
      <w:r>
        <w:t>apply.</w:t>
      </w:r>
      <w:r w:rsidR="004E15FB">
        <w:t xml:space="preserve"> </w:t>
      </w:r>
      <w:r w:rsidR="002F47BB">
        <w:t>The privacy act does not apply because the survey responses (</w:t>
      </w:r>
      <w:r w:rsidR="00C37D09">
        <w:t xml:space="preserve">i.e. </w:t>
      </w:r>
      <w:r w:rsidR="002F47BB">
        <w:t xml:space="preserve">records) will not be retrieved using a personal identifier. </w:t>
      </w:r>
      <w:r w:rsidR="0033057C">
        <w:t xml:space="preserve">Further noted is that no personal identifying information (PII) will be recorded (e.g. </w:t>
      </w:r>
      <w:r w:rsidR="002F47BB">
        <w:t>names, social security numbers, or any other unique identifier</w:t>
      </w:r>
      <w:r w:rsidR="0033057C">
        <w:t>)</w:t>
      </w:r>
      <w:r w:rsidR="002F47BB">
        <w:t xml:space="preserve"> as a part of the data collection. </w:t>
      </w:r>
    </w:p>
    <w:p w14:paraId="4A5A1E05" w14:textId="3740C935" w:rsidR="003E5F59" w:rsidRDefault="002F47BB" w:rsidP="00310CF8">
      <w:pPr>
        <w:rPr>
          <w:szCs w:val="24"/>
        </w:rPr>
      </w:pPr>
      <w:r>
        <w:rPr>
          <w:szCs w:val="24"/>
        </w:rPr>
        <w:t>If needed</w:t>
      </w:r>
      <w:r w:rsidR="00E52922" w:rsidRPr="00E52922">
        <w:rPr>
          <w:szCs w:val="24"/>
        </w:rPr>
        <w:t xml:space="preserve"> at recruiting sites, researchers </w:t>
      </w:r>
      <w:r>
        <w:rPr>
          <w:szCs w:val="24"/>
        </w:rPr>
        <w:t>may</w:t>
      </w:r>
      <w:r w:rsidRPr="00E52922">
        <w:rPr>
          <w:szCs w:val="24"/>
        </w:rPr>
        <w:t xml:space="preserve"> </w:t>
      </w:r>
      <w:r w:rsidR="00E52922" w:rsidRPr="00E52922">
        <w:rPr>
          <w:szCs w:val="24"/>
        </w:rPr>
        <w:t>obtain a list of names, e-mail addresses, and</w:t>
      </w:r>
      <w:r w:rsidR="004A441C">
        <w:rPr>
          <w:szCs w:val="24"/>
        </w:rPr>
        <w:t>/or</w:t>
      </w:r>
      <w:r w:rsidR="00E52922" w:rsidRPr="00E52922">
        <w:rPr>
          <w:szCs w:val="24"/>
        </w:rPr>
        <w:t xml:space="preserve"> phone numbers for workers at the worksite. This list will be used </w:t>
      </w:r>
      <w:r>
        <w:rPr>
          <w:szCs w:val="24"/>
        </w:rPr>
        <w:t xml:space="preserve">only </w:t>
      </w:r>
      <w:r w:rsidR="00E52922" w:rsidRPr="00E52922">
        <w:rPr>
          <w:szCs w:val="24"/>
        </w:rPr>
        <w:t>for scheduling and to track the proportion of workers who complete the questionnaire and non-response questionnaires</w:t>
      </w:r>
      <w:r w:rsidR="00F90F4C">
        <w:rPr>
          <w:szCs w:val="24"/>
        </w:rPr>
        <w:t xml:space="preserve"> (Attachment </w:t>
      </w:r>
      <w:r w:rsidR="00354EFF">
        <w:rPr>
          <w:szCs w:val="24"/>
        </w:rPr>
        <w:t>H</w:t>
      </w:r>
      <w:r w:rsidR="00F90F4C">
        <w:rPr>
          <w:szCs w:val="24"/>
        </w:rPr>
        <w:t>)</w:t>
      </w:r>
      <w:r w:rsidR="00E52922" w:rsidRPr="00E52922">
        <w:rPr>
          <w:szCs w:val="24"/>
        </w:rPr>
        <w:t xml:space="preserve">. </w:t>
      </w:r>
      <w:r w:rsidR="00CC100E">
        <w:rPr>
          <w:szCs w:val="24"/>
        </w:rPr>
        <w:t xml:space="preserve">This list </w:t>
      </w:r>
      <w:r>
        <w:rPr>
          <w:szCs w:val="24"/>
        </w:rPr>
        <w:t xml:space="preserve">of personal identifiers </w:t>
      </w:r>
      <w:r w:rsidR="00E52922" w:rsidRPr="00E52922">
        <w:rPr>
          <w:szCs w:val="24"/>
        </w:rPr>
        <w:t xml:space="preserve">will </w:t>
      </w:r>
      <w:r w:rsidR="0033057C">
        <w:rPr>
          <w:szCs w:val="24"/>
        </w:rPr>
        <w:t xml:space="preserve">not be a part of data collection and will </w:t>
      </w:r>
      <w:r w:rsidR="00E52922" w:rsidRPr="00E52922">
        <w:rPr>
          <w:szCs w:val="24"/>
        </w:rPr>
        <w:t>be managed</w:t>
      </w:r>
      <w:r>
        <w:rPr>
          <w:szCs w:val="24"/>
        </w:rPr>
        <w:t xml:space="preserve"> by the agency </w:t>
      </w:r>
      <w:r w:rsidR="00E52922" w:rsidRPr="00E52922">
        <w:rPr>
          <w:szCs w:val="24"/>
        </w:rPr>
        <w:t>in a</w:t>
      </w:r>
      <w:r>
        <w:rPr>
          <w:szCs w:val="24"/>
        </w:rPr>
        <w:t xml:space="preserve"> responsible and</w:t>
      </w:r>
      <w:r w:rsidR="00E52922" w:rsidRPr="00E52922">
        <w:rPr>
          <w:szCs w:val="24"/>
        </w:rPr>
        <w:t xml:space="preserve"> secure manner.   Once the site visit is completed</w:t>
      </w:r>
      <w:r w:rsidR="0033057C">
        <w:rPr>
          <w:szCs w:val="24"/>
        </w:rPr>
        <w:t xml:space="preserve"> and response rates calculated</w:t>
      </w:r>
      <w:r w:rsidR="00E52922" w:rsidRPr="00E52922">
        <w:rPr>
          <w:szCs w:val="24"/>
        </w:rPr>
        <w:t>, th</w:t>
      </w:r>
      <w:r w:rsidR="004A441C">
        <w:rPr>
          <w:szCs w:val="24"/>
        </w:rPr>
        <w:t>is</w:t>
      </w:r>
      <w:r w:rsidR="00E52922" w:rsidRPr="00E52922">
        <w:rPr>
          <w:szCs w:val="24"/>
        </w:rPr>
        <w:t xml:space="preserve"> list containing personal identifiers will be deleted from the researcher computers or shredded, if maintained as a hard copy. </w:t>
      </w:r>
      <w:r w:rsidR="00FB7DD8">
        <w:rPr>
          <w:szCs w:val="24"/>
        </w:rPr>
        <w:t>Data</w:t>
      </w:r>
      <w:r w:rsidR="003E5F59">
        <w:rPr>
          <w:szCs w:val="24"/>
        </w:rPr>
        <w:t xml:space="preserve"> will not be disclosed, unless otherwise compelled by law. </w:t>
      </w:r>
    </w:p>
    <w:p w14:paraId="7A338AE1" w14:textId="35D59C70" w:rsidR="00CE73D0" w:rsidRDefault="001509EA" w:rsidP="00CE73D0">
      <w:pPr>
        <w:tabs>
          <w:tab w:val="left" w:pos="1710"/>
        </w:tabs>
      </w:pPr>
      <w:r>
        <w:t>Verbal</w:t>
      </w:r>
      <w:r w:rsidR="00CE73D0">
        <w:t xml:space="preserve"> consent will be obtained from participating </w:t>
      </w:r>
      <w:r w:rsidR="006F59D8">
        <w:t>oil and gas</w:t>
      </w:r>
      <w:r w:rsidR="00687286">
        <w:t xml:space="preserve"> extraction</w:t>
      </w:r>
      <w:r w:rsidR="006F59D8">
        <w:t xml:space="preserve"> workers (</w:t>
      </w:r>
      <w:r w:rsidR="004F7E12" w:rsidRPr="00DF4934">
        <w:t>Attachment</w:t>
      </w:r>
      <w:r w:rsidR="006F59D8" w:rsidRPr="00DF4934">
        <w:t xml:space="preserve"> </w:t>
      </w:r>
      <w:r w:rsidR="00F77BBD" w:rsidRPr="00DF4934">
        <w:t>F</w:t>
      </w:r>
      <w:r w:rsidR="00CE73D0">
        <w:t xml:space="preserve">) </w:t>
      </w:r>
      <w:r w:rsidR="00CE73D0" w:rsidRPr="00DF4934">
        <w:t>in which NIOSH</w:t>
      </w:r>
      <w:r w:rsidR="00CE73D0">
        <w:t xml:space="preserve"> will explain risks of participation, describe inten</w:t>
      </w:r>
      <w:r w:rsidR="009755BC">
        <w:t xml:space="preserve">ded uses of the information, </w:t>
      </w:r>
      <w:r w:rsidR="00CE73D0">
        <w:t xml:space="preserve">explain that participation is </w:t>
      </w:r>
      <w:r w:rsidR="009755BC">
        <w:t>voluntary, and that they may discontinue the questionnaire at any time</w:t>
      </w:r>
      <w:r w:rsidR="00CE73D0">
        <w:t xml:space="preserve">. The questionnaire will collect potentially sensitive information about health status, injury, and </w:t>
      </w:r>
      <w:r w:rsidR="006F59D8">
        <w:t>safety and health concerns</w:t>
      </w:r>
      <w:r w:rsidR="00CE73D0">
        <w:t>. Benefits to participants include i</w:t>
      </w:r>
      <w:r w:rsidR="006F59D8">
        <w:t xml:space="preserve">ncreased knowledge of safety and health issues of workers in this industry </w:t>
      </w:r>
      <w:r w:rsidR="00CE73D0">
        <w:t>and targeted prevention programs based on the information NIOSH gains from this survey.</w:t>
      </w:r>
      <w:r w:rsidR="00FB7DD8">
        <w:t xml:space="preserve"> The questionnaire will be completed in an area where privacy to the worker is assured. </w:t>
      </w:r>
    </w:p>
    <w:p w14:paraId="597FDF17" w14:textId="1B429215" w:rsidR="00F32D4C" w:rsidRDefault="00CE73D0" w:rsidP="00F32D4C">
      <w:r>
        <w:t xml:space="preserve">Only aggregated data from this survey will be published. </w:t>
      </w:r>
      <w:r w:rsidR="009B1A92">
        <w:t>Oil and gas o</w:t>
      </w:r>
      <w:r>
        <w:t>perators</w:t>
      </w:r>
      <w:r w:rsidR="009B1A92">
        <w:t xml:space="preserve"> and other participating oil and gas contractors</w:t>
      </w:r>
      <w:r>
        <w:t xml:space="preserve"> will not receive data on individual </w:t>
      </w:r>
      <w:r w:rsidR="009B1A92">
        <w:t>workers</w:t>
      </w:r>
      <w:r w:rsidR="00B258FE">
        <w:t xml:space="preserve"> and reports will not contain company identifiers</w:t>
      </w:r>
      <w:r>
        <w:t xml:space="preserve">. </w:t>
      </w:r>
      <w:r w:rsidR="00F32D4C">
        <w:t xml:space="preserve">Any possibility of indirectly identifiable information will be considered carefully when stratifying results by age, gender, occupation, etc.  </w:t>
      </w:r>
    </w:p>
    <w:p w14:paraId="14B8AC02" w14:textId="77777777" w:rsidR="004A441C" w:rsidRDefault="008F0319" w:rsidP="0070444D">
      <w:r>
        <w:t xml:space="preserve">Information will be stored on the third party web application, Qualtrics, whose log-in information is accessible only to researchers on this project. Information will also be </w:t>
      </w:r>
      <w:r w:rsidR="00CF5A33" w:rsidRPr="00CF5A33">
        <w:t xml:space="preserve">transferred to encrypted </w:t>
      </w:r>
      <w:r w:rsidR="003A35C5">
        <w:t>NIOSH</w:t>
      </w:r>
      <w:r w:rsidR="00CF5A33" w:rsidRPr="00CF5A33">
        <w:t xml:space="preserve">-owned computer systems, which require a 2-step authentication for access. In the field, authorized NIOSH staff will be in continuous possession of any </w:t>
      </w:r>
      <w:r w:rsidR="00CF5A33">
        <w:t xml:space="preserve">tablets </w:t>
      </w:r>
      <w:r w:rsidR="00F77BBD">
        <w:t>when not being used by research participants. C</w:t>
      </w:r>
      <w:r w:rsidR="00CF5A33">
        <w:t>omputers</w:t>
      </w:r>
      <w:r w:rsidR="00CF5A33" w:rsidRPr="00CF5A33">
        <w:t xml:space="preserve"> containing survey response data related to this project</w:t>
      </w:r>
      <w:r w:rsidR="00F77BBD">
        <w:t xml:space="preserve"> will </w:t>
      </w:r>
      <w:r w:rsidR="00153232">
        <w:t>be kept secure by NIOSH staff at all times</w:t>
      </w:r>
      <w:r w:rsidR="00CF5A33" w:rsidRPr="00CF5A33">
        <w:t>. Long-term data storage will be on secure NIOSH servers. Access to the data will be limited to authorized NIOSH project staff</w:t>
      </w:r>
      <w:r w:rsidR="0070444D">
        <w:t xml:space="preserve"> for the purpose of performing research on prevalence of injuries/illness and their associated risk factors, to use as a basis for designing or evaluating interventions and to identify subgroups of workers at increased risk for further study. </w:t>
      </w:r>
    </w:p>
    <w:p w14:paraId="7AED2F6D" w14:textId="6BC14C50" w:rsidR="0070444D" w:rsidRDefault="0070444D" w:rsidP="0070444D">
      <w:r>
        <w:t xml:space="preserve">This dataset will not contain </w:t>
      </w:r>
      <w:r w:rsidR="0033057C">
        <w:t>PII</w:t>
      </w:r>
      <w:r>
        <w:t>.</w:t>
      </w:r>
    </w:p>
    <w:p w14:paraId="6B338A0F" w14:textId="687051A9" w:rsidR="00F32D4C" w:rsidRPr="00F32D4C" w:rsidRDefault="00F32D4C" w:rsidP="00CF5A33">
      <w:pPr>
        <w:rPr>
          <w:b/>
        </w:rPr>
      </w:pPr>
      <w:r w:rsidRPr="00F32D4C">
        <w:rPr>
          <w:b/>
        </w:rPr>
        <w:t xml:space="preserve">A.10.1. Privacy Impact </w:t>
      </w:r>
      <w:r w:rsidR="0070444D">
        <w:rPr>
          <w:b/>
        </w:rPr>
        <w:t xml:space="preserve">Assessment </w:t>
      </w:r>
      <w:r w:rsidRPr="00F32D4C">
        <w:rPr>
          <w:b/>
        </w:rPr>
        <w:t>Information</w:t>
      </w:r>
    </w:p>
    <w:p w14:paraId="50FC8FF7" w14:textId="2B57A5F0" w:rsidR="00F32D4C" w:rsidRPr="00CF5A33" w:rsidRDefault="00F32D4C" w:rsidP="00CF5A33">
      <w:r>
        <w:t>No</w:t>
      </w:r>
      <w:r w:rsidR="009755BC">
        <w:t xml:space="preserve"> </w:t>
      </w:r>
      <w:r w:rsidR="002F47BB">
        <w:t xml:space="preserve">privacy impact assessment was needed because </w:t>
      </w:r>
      <w:r w:rsidR="0033057C">
        <w:t>data collection does not involve records containing information in identifiable form, in accordance with the E-Government Act of 2002, Section 208.</w:t>
      </w:r>
    </w:p>
    <w:p w14:paraId="4FEE2ABD" w14:textId="77777777" w:rsidR="00C17F30" w:rsidRDefault="00CF5A33" w:rsidP="008429FD">
      <w:pPr>
        <w:pStyle w:val="Heading1"/>
      </w:pPr>
      <w:bookmarkStart w:id="21" w:name="_Toc420492163"/>
      <w:bookmarkStart w:id="22" w:name="_Toc461446299"/>
      <w:r w:rsidRPr="00CF5A33">
        <w:t>A.11</w:t>
      </w:r>
      <w:r w:rsidR="00E90F80">
        <w:t>.</w:t>
      </w:r>
      <w:r w:rsidRPr="00CF5A33">
        <w:t xml:space="preserve"> </w:t>
      </w:r>
      <w:bookmarkEnd w:id="21"/>
      <w:r w:rsidR="005B5925">
        <w:t xml:space="preserve">Institutional Review Board (IRB) and </w:t>
      </w:r>
      <w:r w:rsidRPr="00CF5A33">
        <w:t>Justification for Sensitive Questions</w:t>
      </w:r>
      <w:bookmarkEnd w:id="22"/>
    </w:p>
    <w:p w14:paraId="510EFACE" w14:textId="77777777" w:rsidR="00F77BBD" w:rsidRDefault="00F77BBD" w:rsidP="006A1995"/>
    <w:p w14:paraId="46B88CB3" w14:textId="580D2FC4" w:rsidR="00F77BBD" w:rsidRDefault="00F77BBD" w:rsidP="006A1995">
      <w:r>
        <w:t>IRB Approval</w:t>
      </w:r>
    </w:p>
    <w:p w14:paraId="10062D86" w14:textId="7A2C6B10" w:rsidR="00F77BBD" w:rsidRDefault="00310CF8" w:rsidP="00F77BBD">
      <w:r>
        <w:rPr>
          <w:szCs w:val="24"/>
        </w:rPr>
        <w:t xml:space="preserve">The proposed data collection </w:t>
      </w:r>
      <w:r w:rsidR="008E2F57" w:rsidRPr="008E2F57">
        <w:rPr>
          <w:szCs w:val="24"/>
        </w:rPr>
        <w:t>was reviewed and approved by the NIOSH Human Subjects Research Board</w:t>
      </w:r>
      <w:r w:rsidR="008E2F57">
        <w:rPr>
          <w:szCs w:val="24"/>
        </w:rPr>
        <w:t xml:space="preserve"> (15-WSD-</w:t>
      </w:r>
      <w:r w:rsidR="008E2F57" w:rsidRPr="004F7E12">
        <w:rPr>
          <w:szCs w:val="24"/>
        </w:rPr>
        <w:t>01XP</w:t>
      </w:r>
      <w:r w:rsidR="006F432A" w:rsidRPr="004F7E12">
        <w:rPr>
          <w:szCs w:val="24"/>
        </w:rPr>
        <w:t>)</w:t>
      </w:r>
      <w:r w:rsidRPr="004F7E12">
        <w:rPr>
          <w:szCs w:val="24"/>
        </w:rPr>
        <w:t>(</w:t>
      </w:r>
      <w:r w:rsidR="004F7E12" w:rsidRPr="006836BA">
        <w:t xml:space="preserve">Attachment </w:t>
      </w:r>
      <w:r w:rsidR="00050FC6" w:rsidRPr="006836BA">
        <w:t>E</w:t>
      </w:r>
      <w:r w:rsidRPr="004F7E12">
        <w:rPr>
          <w:szCs w:val="24"/>
        </w:rPr>
        <w:t>)</w:t>
      </w:r>
      <w:r w:rsidR="004F7E12" w:rsidRPr="004F7E12">
        <w:rPr>
          <w:szCs w:val="24"/>
        </w:rPr>
        <w:t xml:space="preserve">. </w:t>
      </w:r>
      <w:r w:rsidRPr="004F7E12">
        <w:rPr>
          <w:szCs w:val="24"/>
        </w:rPr>
        <w:t xml:space="preserve"> </w:t>
      </w:r>
    </w:p>
    <w:p w14:paraId="25C28E75" w14:textId="0CEE53FD" w:rsidR="00F77BBD" w:rsidRDefault="00F77BBD" w:rsidP="006A1995">
      <w:r>
        <w:t>Sensitive Questions</w:t>
      </w:r>
    </w:p>
    <w:p w14:paraId="7EEA7EFB" w14:textId="1BF6D3BC" w:rsidR="006A1995" w:rsidRDefault="006A1995" w:rsidP="006A1995">
      <w:r>
        <w:t>The proposed questionnaire contains questions that may be sensitive in nature, including questions regarding chronic diseases (h</w:t>
      </w:r>
      <w:r w:rsidR="00456A41">
        <w:t>eart disease, diabetes, cancer),</w:t>
      </w:r>
      <w:r>
        <w:t xml:space="preserve"> </w:t>
      </w:r>
      <w:r w:rsidR="00456A41">
        <w:t>health and personal habits,</w:t>
      </w:r>
      <w:r>
        <w:t xml:space="preserve"> </w:t>
      </w:r>
      <w:r w:rsidR="00801EFE">
        <w:t>driving habits</w:t>
      </w:r>
      <w:r w:rsidR="00456A41">
        <w:t>,</w:t>
      </w:r>
      <w:r w:rsidR="00801EFE">
        <w:t xml:space="preserve"> </w:t>
      </w:r>
      <w:r w:rsidR="00456A41">
        <w:t>awareness of hazards,</w:t>
      </w:r>
      <w:r>
        <w:t xml:space="preserve"> hi</w:t>
      </w:r>
      <w:r w:rsidR="00456A41">
        <w:t>story of injuries on the job,</w:t>
      </w:r>
      <w:r>
        <w:t xml:space="preserve"> health and safety concerns</w:t>
      </w:r>
      <w:r w:rsidR="00DE45C5">
        <w:t>, and</w:t>
      </w:r>
      <w:r w:rsidR="00DE45C5" w:rsidRPr="00DE45C5">
        <w:t xml:space="preserve"> </w:t>
      </w:r>
      <w:r w:rsidR="00DE45C5">
        <w:t>opinions regarding the emphasis that their employer places on the health and safety of workers</w:t>
      </w:r>
      <w:r>
        <w:t>.</w:t>
      </w:r>
    </w:p>
    <w:p w14:paraId="457CCF78" w14:textId="4CD3DEC0" w:rsidR="006A1995" w:rsidRDefault="00237060" w:rsidP="006A1995">
      <w:r>
        <w:t>Because some questions are sensitive in nature</w:t>
      </w:r>
      <w:r w:rsidR="006A1995">
        <w:t xml:space="preserve">, data will be treated in a secure manner and will not be disclosed, unless otherwise compelled by law. Responses will be aggregated </w:t>
      </w:r>
      <w:r>
        <w:t>to a level that ensures responses will not be identifiable</w:t>
      </w:r>
      <w:r w:rsidR="009C1A38">
        <w:t>.</w:t>
      </w:r>
    </w:p>
    <w:p w14:paraId="60301073" w14:textId="426A25FD" w:rsidR="006A1995" w:rsidRPr="006A1995" w:rsidRDefault="006A1995" w:rsidP="006A1995">
      <w:r>
        <w:t xml:space="preserve">The potentially sensitive questions are needed to </w:t>
      </w:r>
      <w:r w:rsidR="00237060">
        <w:t xml:space="preserve">determine </w:t>
      </w:r>
      <w:r w:rsidR="00E24955">
        <w:t>key safety and health hazards and concerns</w:t>
      </w:r>
      <w:r w:rsidR="00237060">
        <w:t xml:space="preserve"> </w:t>
      </w:r>
      <w:r w:rsidR="00E24955">
        <w:t xml:space="preserve">for these workers </w:t>
      </w:r>
      <w:r w:rsidR="00237060">
        <w:t xml:space="preserve">so that appropriate </w:t>
      </w:r>
      <w:r>
        <w:t>recommend</w:t>
      </w:r>
      <w:r w:rsidR="00237060">
        <w:t>ations can be made regarding</w:t>
      </w:r>
      <w:r>
        <w:t xml:space="preserve"> </w:t>
      </w:r>
      <w:r w:rsidR="00237060">
        <w:t>the best policies,</w:t>
      </w:r>
      <w:r>
        <w:t xml:space="preserve"> interventions, or work practices to prevent or mitigate </w:t>
      </w:r>
      <w:r w:rsidR="00237060">
        <w:t>these hazards</w:t>
      </w:r>
      <w:r>
        <w:t xml:space="preserve">. To effectively improve the </w:t>
      </w:r>
      <w:r w:rsidR="00237060">
        <w:t>safety and health of oil and gas extraction workers</w:t>
      </w:r>
      <w:r>
        <w:t xml:space="preserve">, NIOSH also needs an understanding of the risk factors for </w:t>
      </w:r>
      <w:r w:rsidR="00237060">
        <w:t>injuries and illness for this workforce</w:t>
      </w:r>
      <w:r>
        <w:t xml:space="preserve">. Therefore, it is important to collect data regarding </w:t>
      </w:r>
      <w:r w:rsidR="00237060">
        <w:t>health and personal habits</w:t>
      </w:r>
      <w:r>
        <w:t xml:space="preserve">, </w:t>
      </w:r>
      <w:r w:rsidR="00237060">
        <w:t>driving and other on-the-job safety habits</w:t>
      </w:r>
      <w:r w:rsidR="00E24955">
        <w:t xml:space="preserve">, and </w:t>
      </w:r>
      <w:r w:rsidR="00237060">
        <w:t>e</w:t>
      </w:r>
      <w:r w:rsidR="00E24955">
        <w:t>lements of the work environment (</w:t>
      </w:r>
      <w:r w:rsidR="00237060">
        <w:t>includ</w:t>
      </w:r>
      <w:r w:rsidR="00E24955">
        <w:t xml:space="preserve">ing </w:t>
      </w:r>
      <w:r w:rsidR="00237060">
        <w:t>safety climate and safety policies</w:t>
      </w:r>
      <w:r w:rsidR="00E24955">
        <w:t>)</w:t>
      </w:r>
      <w:r>
        <w:t>. An understanding of the prevalence of these risk</w:t>
      </w:r>
      <w:r w:rsidR="00E24955">
        <w:t>/protective</w:t>
      </w:r>
      <w:r>
        <w:t xml:space="preserve"> factors, and associations between these factors and </w:t>
      </w:r>
      <w:r w:rsidR="00237060">
        <w:t>a history of injury or illness</w:t>
      </w:r>
      <w:r>
        <w:t xml:space="preserve">, will </w:t>
      </w:r>
      <w:r w:rsidR="00E24955">
        <w:t xml:space="preserve">also </w:t>
      </w:r>
      <w:r>
        <w:t xml:space="preserve">allow NIOSH to develop recommendations to improve the </w:t>
      </w:r>
      <w:r w:rsidR="00E24955">
        <w:t xml:space="preserve">safety and </w:t>
      </w:r>
      <w:r>
        <w:t xml:space="preserve">health of </w:t>
      </w:r>
      <w:r w:rsidR="00237060">
        <w:t>oil and gas extraction workers</w:t>
      </w:r>
      <w:r>
        <w:t xml:space="preserve">. This knowledge will </w:t>
      </w:r>
      <w:r w:rsidR="00E24955">
        <w:t xml:space="preserve">also </w:t>
      </w:r>
      <w:r>
        <w:t xml:space="preserve">be used to assist </w:t>
      </w:r>
      <w:r w:rsidR="00237060">
        <w:t>oil and gas</w:t>
      </w:r>
      <w:r>
        <w:t xml:space="preserve"> operators in making changes to improve the </w:t>
      </w:r>
      <w:r w:rsidR="00237060">
        <w:t xml:space="preserve">safety and </w:t>
      </w:r>
      <w:r>
        <w:t xml:space="preserve">health of their </w:t>
      </w:r>
      <w:r w:rsidR="00E24955">
        <w:t>workers</w:t>
      </w:r>
      <w:r>
        <w:t xml:space="preserve"> and to guide future research on specific </w:t>
      </w:r>
      <w:r w:rsidR="00237060">
        <w:t>hazards among oil and gas extraction workers</w:t>
      </w:r>
      <w:r>
        <w:t>.</w:t>
      </w:r>
    </w:p>
    <w:p w14:paraId="2EF3EE29" w14:textId="77777777" w:rsidR="00CE26A8" w:rsidRPr="00926518" w:rsidRDefault="00E90F80" w:rsidP="008429FD">
      <w:pPr>
        <w:pStyle w:val="Heading1"/>
      </w:pPr>
      <w:bookmarkStart w:id="23" w:name="_Toc420492164"/>
      <w:bookmarkStart w:id="24" w:name="_Toc461446300"/>
      <w:r>
        <w:t>A.</w:t>
      </w:r>
      <w:r w:rsidR="00C17F30" w:rsidRPr="00926518">
        <w:t>12. Provide estimates of the hour burden of the collection of informa</w:t>
      </w:r>
      <w:r w:rsidR="00CE26A8" w:rsidRPr="00926518">
        <w:t>tion.</w:t>
      </w:r>
      <w:bookmarkEnd w:id="23"/>
      <w:bookmarkEnd w:id="24"/>
      <w:r w:rsidR="00CE26A8" w:rsidRPr="00926518">
        <w:t xml:space="preserve"> </w:t>
      </w:r>
    </w:p>
    <w:p w14:paraId="5F046153" w14:textId="77777777" w:rsidR="007E354B" w:rsidRDefault="007E354B" w:rsidP="00C17F30">
      <w:r>
        <w:tab/>
        <w:t>A. Annualized Burden to Respondents</w:t>
      </w:r>
    </w:p>
    <w:p w14:paraId="4616A377" w14:textId="74FD9F41" w:rsidR="00926518" w:rsidRDefault="00926518" w:rsidP="00C17F30">
      <w:r>
        <w:t xml:space="preserve">No direct costs will accrue to respondents other than their time to complete the screening and questionnaire.  We estimate a total annual estimated response burden </w:t>
      </w:r>
      <w:r w:rsidRPr="001F0FCF">
        <w:rPr>
          <w:color w:val="000000"/>
        </w:rPr>
        <w:t xml:space="preserve">of </w:t>
      </w:r>
      <w:r w:rsidR="00C11440">
        <w:rPr>
          <w:color w:val="000000"/>
        </w:rPr>
        <w:t>154</w:t>
      </w:r>
      <w:r w:rsidRPr="001F0FCF">
        <w:rPr>
          <w:color w:val="000000"/>
        </w:rPr>
        <w:t xml:space="preserve"> hours</w:t>
      </w:r>
      <w:r>
        <w:t xml:space="preserve"> </w:t>
      </w:r>
      <w:r w:rsidR="005105DE">
        <w:t>for this information collection</w:t>
      </w:r>
      <w:r>
        <w:t xml:space="preserve">. </w:t>
      </w:r>
      <w:r w:rsidR="00892254">
        <w:t xml:space="preserve">This burden will be incurred for </w:t>
      </w:r>
      <w:r w:rsidR="00927F4A">
        <w:t>two</w:t>
      </w:r>
      <w:r w:rsidR="00892254">
        <w:t xml:space="preserve"> years. </w:t>
      </w:r>
      <w:r>
        <w:t xml:space="preserve">This estimate is based upon an </w:t>
      </w:r>
      <w:r w:rsidR="00892254">
        <w:t xml:space="preserve">annual </w:t>
      </w:r>
      <w:r>
        <w:t xml:space="preserve">estimated </w:t>
      </w:r>
      <w:r w:rsidR="00624D45">
        <w:t>313</w:t>
      </w:r>
      <w:r w:rsidR="005105DE">
        <w:t xml:space="preserve"> workers to be screened, with </w:t>
      </w:r>
      <w:r w:rsidR="00892254">
        <w:t>2</w:t>
      </w:r>
      <w:r w:rsidR="005F14C2">
        <w:t>50</w:t>
      </w:r>
      <w:r w:rsidR="005105DE">
        <w:t xml:space="preserve"> eligible workers </w:t>
      </w:r>
      <w:r w:rsidR="00624D45">
        <w:t xml:space="preserve">that agree </w:t>
      </w:r>
      <w:r w:rsidR="005105DE">
        <w:t>to do the general portion of the questionnaire</w:t>
      </w:r>
      <w:r w:rsidR="00624D45">
        <w:t xml:space="preserve"> (80% response rate)</w:t>
      </w:r>
      <w:r w:rsidR="005F14C2">
        <w:t>. We estimate that 90% of workers will complete the questionnaire using the electronic tablet (225 workers) and 10% of workers will opt to complete a</w:t>
      </w:r>
      <w:r w:rsidR="00D668EA">
        <w:t xml:space="preserve"> hard copy version (25 workers).</w:t>
      </w:r>
      <w:r w:rsidR="005F14C2">
        <w:t xml:space="preserve"> We estimate that approximately 75% of eligible workers drive as a part of their work duties and will complete the motor vehicle module; 90% of workers will use the tablet version and 10% of workers will complete a hardcopy</w:t>
      </w:r>
      <w:r w:rsidR="00D668EA">
        <w:t xml:space="preserve"> (168 workers and 19 workers respectively)</w:t>
      </w:r>
      <w:r w:rsidR="005F14C2">
        <w:t xml:space="preserve">. </w:t>
      </w:r>
      <w:r w:rsidR="00D668EA">
        <w:t>This</w:t>
      </w:r>
      <w:r>
        <w:t xml:space="preserve"> estimate accounts for the time each respondent spends readi</w:t>
      </w:r>
      <w:r w:rsidR="005105DE">
        <w:t>ng and signing the consent form and</w:t>
      </w:r>
      <w:r>
        <w:t xml:space="preserve"> completing the questionnaire.</w:t>
      </w:r>
      <w:r w:rsidR="005105DE">
        <w:t xml:space="preserve"> </w:t>
      </w:r>
      <w:r w:rsidR="00D668EA">
        <w:t>The average burden per response</w:t>
      </w:r>
      <w:r w:rsidR="005105DE">
        <w:t xml:space="preserve"> is based on estimates from </w:t>
      </w:r>
      <w:r w:rsidR="00153232">
        <w:t>the pilot test</w:t>
      </w:r>
      <w:r w:rsidR="005105DE">
        <w:t>.</w:t>
      </w:r>
      <w:r w:rsidR="00AA381D">
        <w:t xml:space="preserve"> The following table provides an estimates of the annualized burden hours</w:t>
      </w:r>
      <w:r w:rsidR="005105DE">
        <w:t xml:space="preserve">. </w:t>
      </w:r>
    </w:p>
    <w:p w14:paraId="6D89DECD" w14:textId="77777777" w:rsidR="005105DE" w:rsidRPr="00D668EA" w:rsidRDefault="005105DE" w:rsidP="00D668EA">
      <w:pPr>
        <w:spacing w:after="0"/>
        <w:rPr>
          <w:b/>
        </w:rPr>
      </w:pPr>
      <w:r w:rsidRPr="00D668EA">
        <w:rPr>
          <w:b/>
        </w:rPr>
        <w:t xml:space="preserve">Table A12.1 Estimated Annualized Time Burden to Respondents </w:t>
      </w:r>
    </w:p>
    <w:tbl>
      <w:tblPr>
        <w:tblStyle w:val="TableGrid"/>
        <w:tblW w:w="0" w:type="auto"/>
        <w:tblLook w:val="04A0" w:firstRow="1" w:lastRow="0" w:firstColumn="1" w:lastColumn="0" w:noHBand="0" w:noVBand="1"/>
      </w:tblPr>
      <w:tblGrid>
        <w:gridCol w:w="2692"/>
        <w:gridCol w:w="1983"/>
        <w:gridCol w:w="1440"/>
        <w:gridCol w:w="1304"/>
        <w:gridCol w:w="1432"/>
        <w:gridCol w:w="1219"/>
      </w:tblGrid>
      <w:tr w:rsidR="00D20231" w:rsidRPr="00CE26A8" w14:paraId="14FEA203" w14:textId="77777777" w:rsidTr="00282E09">
        <w:trPr>
          <w:trHeight w:val="864"/>
        </w:trPr>
        <w:tc>
          <w:tcPr>
            <w:tcW w:w="2692" w:type="dxa"/>
            <w:hideMark/>
          </w:tcPr>
          <w:p w14:paraId="5D353EC1" w14:textId="77777777" w:rsidR="00CE26A8" w:rsidRPr="00CE26A8" w:rsidRDefault="00D20231" w:rsidP="00CE26A8">
            <w:pPr>
              <w:rPr>
                <w:b/>
                <w:bCs/>
              </w:rPr>
            </w:pPr>
            <w:r>
              <w:rPr>
                <w:b/>
                <w:bCs/>
              </w:rPr>
              <w:t>Type of Respondent</w:t>
            </w:r>
          </w:p>
        </w:tc>
        <w:tc>
          <w:tcPr>
            <w:tcW w:w="1983" w:type="dxa"/>
            <w:hideMark/>
          </w:tcPr>
          <w:p w14:paraId="5EB55BB0" w14:textId="77777777" w:rsidR="00CE26A8" w:rsidRPr="00CE26A8" w:rsidRDefault="00CE26A8" w:rsidP="00CE26A8">
            <w:pPr>
              <w:rPr>
                <w:b/>
                <w:bCs/>
              </w:rPr>
            </w:pPr>
            <w:r w:rsidRPr="00CE26A8">
              <w:rPr>
                <w:b/>
                <w:bCs/>
              </w:rPr>
              <w:t>Form Name</w:t>
            </w:r>
          </w:p>
        </w:tc>
        <w:tc>
          <w:tcPr>
            <w:tcW w:w="1440" w:type="dxa"/>
            <w:hideMark/>
          </w:tcPr>
          <w:p w14:paraId="6E8B4627" w14:textId="77777777" w:rsidR="00CE26A8" w:rsidRPr="00CE26A8" w:rsidRDefault="00CE26A8" w:rsidP="00CE26A8">
            <w:pPr>
              <w:rPr>
                <w:b/>
                <w:bCs/>
              </w:rPr>
            </w:pPr>
            <w:r w:rsidRPr="00CE26A8">
              <w:rPr>
                <w:b/>
                <w:bCs/>
              </w:rPr>
              <w:t>Number of Respondents</w:t>
            </w:r>
          </w:p>
        </w:tc>
        <w:tc>
          <w:tcPr>
            <w:tcW w:w="1304" w:type="dxa"/>
            <w:hideMark/>
          </w:tcPr>
          <w:p w14:paraId="700F307D" w14:textId="77777777" w:rsidR="00CE26A8" w:rsidRPr="00CE26A8" w:rsidRDefault="00CE26A8" w:rsidP="00CE26A8">
            <w:pPr>
              <w:rPr>
                <w:b/>
                <w:bCs/>
              </w:rPr>
            </w:pPr>
            <w:r w:rsidRPr="00CE26A8">
              <w:rPr>
                <w:b/>
                <w:bCs/>
              </w:rPr>
              <w:t>Number of responses per respondent</w:t>
            </w:r>
          </w:p>
        </w:tc>
        <w:tc>
          <w:tcPr>
            <w:tcW w:w="1432" w:type="dxa"/>
            <w:hideMark/>
          </w:tcPr>
          <w:p w14:paraId="11C42206" w14:textId="4842358D" w:rsidR="00CE26A8" w:rsidRPr="00CE26A8" w:rsidRDefault="00CE26A8" w:rsidP="00FE33E0">
            <w:pPr>
              <w:rPr>
                <w:b/>
                <w:bCs/>
              </w:rPr>
            </w:pPr>
            <w:r w:rsidRPr="00CE26A8">
              <w:rPr>
                <w:b/>
                <w:bCs/>
              </w:rPr>
              <w:t>Average burden per response</w:t>
            </w:r>
            <w:r w:rsidR="00C11440">
              <w:rPr>
                <w:b/>
                <w:bCs/>
              </w:rPr>
              <w:t xml:space="preserve"> (in </w:t>
            </w:r>
            <w:r w:rsidR="00FE33E0">
              <w:rPr>
                <w:b/>
                <w:bCs/>
              </w:rPr>
              <w:t>minutes per hour</w:t>
            </w:r>
            <w:r w:rsidR="00C11440">
              <w:rPr>
                <w:b/>
                <w:bCs/>
              </w:rPr>
              <w:t>)</w:t>
            </w:r>
          </w:p>
        </w:tc>
        <w:tc>
          <w:tcPr>
            <w:tcW w:w="1219" w:type="dxa"/>
            <w:hideMark/>
          </w:tcPr>
          <w:p w14:paraId="2C5A0856" w14:textId="77777777" w:rsidR="00CE26A8" w:rsidRPr="00CE26A8" w:rsidRDefault="00CE26A8" w:rsidP="00CE26A8">
            <w:pPr>
              <w:rPr>
                <w:b/>
                <w:bCs/>
              </w:rPr>
            </w:pPr>
            <w:r w:rsidRPr="00CE26A8">
              <w:rPr>
                <w:b/>
                <w:bCs/>
              </w:rPr>
              <w:t>Total bu</w:t>
            </w:r>
            <w:r w:rsidR="00D20231">
              <w:rPr>
                <w:b/>
                <w:bCs/>
              </w:rPr>
              <w:t>r</w:t>
            </w:r>
            <w:r w:rsidRPr="00CE26A8">
              <w:rPr>
                <w:b/>
                <w:bCs/>
              </w:rPr>
              <w:t>den (in hours)</w:t>
            </w:r>
          </w:p>
        </w:tc>
      </w:tr>
      <w:tr w:rsidR="00926518" w:rsidRPr="00CE26A8" w14:paraId="33D17AE3" w14:textId="77777777" w:rsidTr="00282E09">
        <w:trPr>
          <w:trHeight w:val="288"/>
        </w:trPr>
        <w:tc>
          <w:tcPr>
            <w:tcW w:w="2692" w:type="dxa"/>
          </w:tcPr>
          <w:p w14:paraId="05E680ED" w14:textId="77777777" w:rsidR="00926518" w:rsidRPr="00CE26A8" w:rsidRDefault="00926518">
            <w:r>
              <w:t>Screening of workers</w:t>
            </w:r>
          </w:p>
        </w:tc>
        <w:tc>
          <w:tcPr>
            <w:tcW w:w="1983" w:type="dxa"/>
          </w:tcPr>
          <w:p w14:paraId="76ECA86F" w14:textId="77777777" w:rsidR="00926518" w:rsidRPr="00CE26A8" w:rsidRDefault="00926518">
            <w:r>
              <w:t>Module 1: Screening</w:t>
            </w:r>
          </w:p>
        </w:tc>
        <w:tc>
          <w:tcPr>
            <w:tcW w:w="1440" w:type="dxa"/>
          </w:tcPr>
          <w:p w14:paraId="7006AE32" w14:textId="16E752CA" w:rsidR="00926518" w:rsidRPr="00CE26A8" w:rsidRDefault="00892254" w:rsidP="00624D45">
            <w:r>
              <w:t>3</w:t>
            </w:r>
            <w:r w:rsidR="00624D45">
              <w:t>13</w:t>
            </w:r>
          </w:p>
        </w:tc>
        <w:tc>
          <w:tcPr>
            <w:tcW w:w="1304" w:type="dxa"/>
          </w:tcPr>
          <w:p w14:paraId="4B55A861" w14:textId="77777777" w:rsidR="00926518" w:rsidRPr="00CE26A8" w:rsidRDefault="00926518" w:rsidP="00CE26A8">
            <w:r>
              <w:t>1</w:t>
            </w:r>
          </w:p>
        </w:tc>
        <w:tc>
          <w:tcPr>
            <w:tcW w:w="1432" w:type="dxa"/>
          </w:tcPr>
          <w:p w14:paraId="30296097" w14:textId="77777777" w:rsidR="00926518" w:rsidRPr="00CE26A8" w:rsidRDefault="00926518" w:rsidP="00CE26A8">
            <w:r>
              <w:t>5/60</w:t>
            </w:r>
          </w:p>
        </w:tc>
        <w:tc>
          <w:tcPr>
            <w:tcW w:w="1219" w:type="dxa"/>
          </w:tcPr>
          <w:p w14:paraId="3E6B420B" w14:textId="36595F29" w:rsidR="00926518" w:rsidRPr="00CE26A8" w:rsidRDefault="00D3733D" w:rsidP="00624D45">
            <w:r>
              <w:t>26</w:t>
            </w:r>
          </w:p>
        </w:tc>
      </w:tr>
      <w:tr w:rsidR="00CD7C12" w:rsidRPr="00CE26A8" w14:paraId="0DA81CF4" w14:textId="77777777" w:rsidTr="00282E09">
        <w:trPr>
          <w:trHeight w:val="288"/>
        </w:trPr>
        <w:tc>
          <w:tcPr>
            <w:tcW w:w="2692" w:type="dxa"/>
          </w:tcPr>
          <w:p w14:paraId="535D50B8" w14:textId="056B8387" w:rsidR="00CD7C12" w:rsidRDefault="00CD7C12">
            <w:r>
              <w:t>Oil and Gas Extraction Workers</w:t>
            </w:r>
          </w:p>
        </w:tc>
        <w:tc>
          <w:tcPr>
            <w:tcW w:w="1983" w:type="dxa"/>
          </w:tcPr>
          <w:p w14:paraId="3DEE7677" w14:textId="413594F3" w:rsidR="00CD7C12" w:rsidRDefault="00CD7C12">
            <w:r>
              <w:t>Non Respondent Questionnaire</w:t>
            </w:r>
          </w:p>
        </w:tc>
        <w:tc>
          <w:tcPr>
            <w:tcW w:w="1440" w:type="dxa"/>
          </w:tcPr>
          <w:p w14:paraId="004381FC" w14:textId="633C21CE" w:rsidR="00CD7C12" w:rsidRDefault="00624D45" w:rsidP="00CE26A8">
            <w:r>
              <w:t>63</w:t>
            </w:r>
          </w:p>
        </w:tc>
        <w:tc>
          <w:tcPr>
            <w:tcW w:w="1304" w:type="dxa"/>
          </w:tcPr>
          <w:p w14:paraId="38DE505A" w14:textId="14E9B7B3" w:rsidR="00CD7C12" w:rsidRDefault="00624D45" w:rsidP="00CE26A8">
            <w:r>
              <w:t>1</w:t>
            </w:r>
          </w:p>
        </w:tc>
        <w:tc>
          <w:tcPr>
            <w:tcW w:w="1432" w:type="dxa"/>
          </w:tcPr>
          <w:p w14:paraId="43BD6231" w14:textId="65391C07" w:rsidR="00CD7C12" w:rsidRDefault="00624D45" w:rsidP="00CE26A8">
            <w:r>
              <w:t>5/60</w:t>
            </w:r>
          </w:p>
        </w:tc>
        <w:tc>
          <w:tcPr>
            <w:tcW w:w="1219" w:type="dxa"/>
          </w:tcPr>
          <w:p w14:paraId="536CBD54" w14:textId="07C75FD8" w:rsidR="00CD7C12" w:rsidRDefault="00D3733D" w:rsidP="00CE26A8">
            <w:r>
              <w:t>5</w:t>
            </w:r>
          </w:p>
        </w:tc>
      </w:tr>
      <w:tr w:rsidR="00926518" w:rsidRPr="00CE26A8" w14:paraId="147AD091" w14:textId="77777777" w:rsidTr="00282E09">
        <w:trPr>
          <w:trHeight w:val="864"/>
        </w:trPr>
        <w:tc>
          <w:tcPr>
            <w:tcW w:w="2692" w:type="dxa"/>
            <w:noWrap/>
            <w:hideMark/>
          </w:tcPr>
          <w:p w14:paraId="0664169B" w14:textId="77777777" w:rsidR="00CE26A8" w:rsidRPr="00CE26A8" w:rsidRDefault="00CE26A8">
            <w:r w:rsidRPr="00CE26A8">
              <w:t>Oil and Gas Extraction Workers</w:t>
            </w:r>
          </w:p>
        </w:tc>
        <w:tc>
          <w:tcPr>
            <w:tcW w:w="1983" w:type="dxa"/>
            <w:hideMark/>
          </w:tcPr>
          <w:p w14:paraId="51DECC8A" w14:textId="6B599BCD" w:rsidR="00006003" w:rsidRPr="00006003" w:rsidRDefault="00006003" w:rsidP="00926518">
            <w:pPr>
              <w:rPr>
                <w:b/>
              </w:rPr>
            </w:pPr>
            <w:r w:rsidRPr="00006003">
              <w:rPr>
                <w:b/>
              </w:rPr>
              <w:t>Tablet Version</w:t>
            </w:r>
          </w:p>
          <w:p w14:paraId="48C3FE5E" w14:textId="2653B486" w:rsidR="00926518" w:rsidRDefault="00926518" w:rsidP="00926518">
            <w:r>
              <w:t>Module 2: General</w:t>
            </w:r>
          </w:p>
          <w:p w14:paraId="22022F9F" w14:textId="77777777" w:rsidR="00282E09" w:rsidRDefault="00926518" w:rsidP="00756869">
            <w:r>
              <w:t>Module 3: Well Site Work</w:t>
            </w:r>
            <w:r w:rsidR="00756869">
              <w:t xml:space="preserve">, </w:t>
            </w:r>
            <w:r>
              <w:t xml:space="preserve">and </w:t>
            </w:r>
          </w:p>
          <w:p w14:paraId="733E5D39" w14:textId="77777777" w:rsidR="00CE26A8" w:rsidRDefault="00282E09" w:rsidP="00756869">
            <w:r>
              <w:t xml:space="preserve">Module </w:t>
            </w:r>
            <w:r w:rsidR="00926518">
              <w:t xml:space="preserve">5: </w:t>
            </w:r>
            <w:r w:rsidR="00756869">
              <w:t>Closing Questions</w:t>
            </w:r>
          </w:p>
          <w:p w14:paraId="48E9A793" w14:textId="0D110A60" w:rsidR="00CD7C12" w:rsidRPr="00CE26A8" w:rsidRDefault="00CD7C12" w:rsidP="00006003">
            <w:r>
              <w:t>(</w:t>
            </w:r>
            <w:r w:rsidR="00006003">
              <w:t>survey</w:t>
            </w:r>
            <w:r w:rsidR="00E25EFF">
              <w:t xml:space="preserve"> and qualitative interview</w:t>
            </w:r>
            <w:r>
              <w:t>)</w:t>
            </w:r>
          </w:p>
        </w:tc>
        <w:tc>
          <w:tcPr>
            <w:tcW w:w="1440" w:type="dxa"/>
            <w:noWrap/>
            <w:hideMark/>
          </w:tcPr>
          <w:p w14:paraId="46CE90D0" w14:textId="38365AE7" w:rsidR="00593B2D" w:rsidRPr="00CE26A8" w:rsidRDefault="00D3733D" w:rsidP="00624D45">
            <w:r>
              <w:t>225</w:t>
            </w:r>
          </w:p>
        </w:tc>
        <w:tc>
          <w:tcPr>
            <w:tcW w:w="1304" w:type="dxa"/>
            <w:noWrap/>
            <w:hideMark/>
          </w:tcPr>
          <w:p w14:paraId="7D96504E" w14:textId="77777777" w:rsidR="00CE26A8" w:rsidRPr="00CE26A8" w:rsidRDefault="00CE26A8" w:rsidP="00CE26A8">
            <w:r w:rsidRPr="00CE26A8">
              <w:t>1</w:t>
            </w:r>
          </w:p>
        </w:tc>
        <w:tc>
          <w:tcPr>
            <w:tcW w:w="1432" w:type="dxa"/>
            <w:noWrap/>
            <w:hideMark/>
          </w:tcPr>
          <w:p w14:paraId="0A93AAE3" w14:textId="7F0C498E" w:rsidR="00CE26A8" w:rsidRPr="00CE26A8" w:rsidRDefault="00083106" w:rsidP="00CE26A8">
            <w:r>
              <w:t>25</w:t>
            </w:r>
            <w:r w:rsidR="00CE26A8" w:rsidRPr="00CE26A8">
              <w:t>/60</w:t>
            </w:r>
          </w:p>
        </w:tc>
        <w:tc>
          <w:tcPr>
            <w:tcW w:w="1219" w:type="dxa"/>
            <w:noWrap/>
            <w:hideMark/>
          </w:tcPr>
          <w:p w14:paraId="5E0F8554" w14:textId="16F13B26" w:rsidR="00CE26A8" w:rsidRPr="00CE26A8" w:rsidRDefault="00C1237D" w:rsidP="00624D45">
            <w:r>
              <w:t>94</w:t>
            </w:r>
          </w:p>
        </w:tc>
      </w:tr>
      <w:tr w:rsidR="00CD7C12" w:rsidRPr="00CE26A8" w14:paraId="347B24C5" w14:textId="77777777" w:rsidTr="00282E09">
        <w:trPr>
          <w:trHeight w:val="552"/>
        </w:trPr>
        <w:tc>
          <w:tcPr>
            <w:tcW w:w="2692" w:type="dxa"/>
          </w:tcPr>
          <w:p w14:paraId="3C6B0EF1" w14:textId="2A706BA1" w:rsidR="00CD7C12" w:rsidRPr="00CE26A8" w:rsidRDefault="00CD7C12" w:rsidP="00CD7C12">
            <w:r w:rsidRPr="00CE26A8">
              <w:t>Oil and Gas Extraction Workers</w:t>
            </w:r>
          </w:p>
        </w:tc>
        <w:tc>
          <w:tcPr>
            <w:tcW w:w="1983" w:type="dxa"/>
          </w:tcPr>
          <w:p w14:paraId="61C7B13B" w14:textId="44E712A7" w:rsidR="00006003" w:rsidRPr="00006003" w:rsidRDefault="00006003" w:rsidP="00CD7C12">
            <w:pPr>
              <w:rPr>
                <w:b/>
              </w:rPr>
            </w:pPr>
            <w:r w:rsidRPr="00006003">
              <w:rPr>
                <w:b/>
              </w:rPr>
              <w:t>Hardcopy</w:t>
            </w:r>
          </w:p>
          <w:p w14:paraId="25B9CF0A" w14:textId="782D88BC" w:rsidR="00CD7C12" w:rsidRDefault="00CD7C12" w:rsidP="00CD7C12">
            <w:r>
              <w:t>Module 2: General</w:t>
            </w:r>
          </w:p>
          <w:p w14:paraId="64486B0D" w14:textId="77777777" w:rsidR="00CD7C12" w:rsidRDefault="00CD7C12" w:rsidP="00CD7C12">
            <w:r>
              <w:t xml:space="preserve">Module 3: Well Site Work, and </w:t>
            </w:r>
          </w:p>
          <w:p w14:paraId="493FC94F" w14:textId="77777777" w:rsidR="00CD7C12" w:rsidRDefault="00CD7C12" w:rsidP="00CD7C12">
            <w:r>
              <w:t>Module 5: Closing Questions</w:t>
            </w:r>
          </w:p>
          <w:p w14:paraId="722918C7" w14:textId="37F66219" w:rsidR="00CD7C12" w:rsidRDefault="00CD7C12" w:rsidP="00006003">
            <w:r>
              <w:t>(</w:t>
            </w:r>
            <w:r w:rsidR="00006003">
              <w:t>survey</w:t>
            </w:r>
            <w:r w:rsidR="00E25EFF">
              <w:t xml:space="preserve"> and qualitative interview</w:t>
            </w:r>
            <w:r>
              <w:t>)</w:t>
            </w:r>
          </w:p>
        </w:tc>
        <w:tc>
          <w:tcPr>
            <w:tcW w:w="1440" w:type="dxa"/>
            <w:noWrap/>
          </w:tcPr>
          <w:p w14:paraId="2DA87358" w14:textId="0390A538" w:rsidR="00593B2D" w:rsidRDefault="00D3733D" w:rsidP="00CD7C12">
            <w:r>
              <w:t>25</w:t>
            </w:r>
          </w:p>
        </w:tc>
        <w:tc>
          <w:tcPr>
            <w:tcW w:w="1304" w:type="dxa"/>
            <w:noWrap/>
          </w:tcPr>
          <w:p w14:paraId="325DC3EC" w14:textId="60A2A1C7" w:rsidR="00CD7C12" w:rsidRPr="00CE26A8" w:rsidRDefault="00624D45" w:rsidP="00CD7C12">
            <w:r>
              <w:t>1</w:t>
            </w:r>
          </w:p>
        </w:tc>
        <w:tc>
          <w:tcPr>
            <w:tcW w:w="1432" w:type="dxa"/>
            <w:noWrap/>
          </w:tcPr>
          <w:p w14:paraId="5231FD1D" w14:textId="7AC5AEC2" w:rsidR="00CD7C12" w:rsidRPr="00CE26A8" w:rsidRDefault="00083106" w:rsidP="00CD7C12">
            <w:r>
              <w:t>25</w:t>
            </w:r>
            <w:r w:rsidR="00624D45">
              <w:t>/60</w:t>
            </w:r>
          </w:p>
        </w:tc>
        <w:tc>
          <w:tcPr>
            <w:tcW w:w="1219" w:type="dxa"/>
            <w:noWrap/>
          </w:tcPr>
          <w:p w14:paraId="62C82D35" w14:textId="7A2E91C0" w:rsidR="00CD7C12" w:rsidRDefault="00D3733D" w:rsidP="00CD7C12">
            <w:r>
              <w:t>10</w:t>
            </w:r>
          </w:p>
        </w:tc>
      </w:tr>
      <w:tr w:rsidR="005F14C2" w:rsidRPr="00CE26A8" w14:paraId="55391DFB" w14:textId="77777777" w:rsidTr="00E90CC3">
        <w:trPr>
          <w:trHeight w:val="552"/>
        </w:trPr>
        <w:tc>
          <w:tcPr>
            <w:tcW w:w="2692" w:type="dxa"/>
            <w:hideMark/>
          </w:tcPr>
          <w:p w14:paraId="133B83C1" w14:textId="40870DA5" w:rsidR="005F14C2" w:rsidRPr="00CE26A8" w:rsidRDefault="005F14C2" w:rsidP="00E90CC3">
            <w:r w:rsidRPr="00CE26A8">
              <w:t>Oil and Gas Extraction Workers who drive at work</w:t>
            </w:r>
          </w:p>
        </w:tc>
        <w:tc>
          <w:tcPr>
            <w:tcW w:w="1983" w:type="dxa"/>
            <w:hideMark/>
          </w:tcPr>
          <w:p w14:paraId="6D3A462C" w14:textId="77777777" w:rsidR="005F14C2" w:rsidRPr="00006003" w:rsidRDefault="005F14C2" w:rsidP="00E90CC3">
            <w:pPr>
              <w:rPr>
                <w:b/>
              </w:rPr>
            </w:pPr>
            <w:r w:rsidRPr="00006003">
              <w:rPr>
                <w:b/>
              </w:rPr>
              <w:t>Tablet Version</w:t>
            </w:r>
          </w:p>
          <w:p w14:paraId="6FA2F5A0" w14:textId="77777777" w:rsidR="005F14C2" w:rsidRDefault="005F14C2" w:rsidP="00E90CC3">
            <w:r>
              <w:t>Module 4: Motor Vehicle</w:t>
            </w:r>
            <w:r w:rsidRPr="00CE26A8">
              <w:t xml:space="preserve"> </w:t>
            </w:r>
          </w:p>
          <w:p w14:paraId="59B5EDD7" w14:textId="77777777" w:rsidR="005F14C2" w:rsidRPr="00CE26A8" w:rsidRDefault="005F14C2" w:rsidP="00E90CC3">
            <w:r>
              <w:t>(tablet)</w:t>
            </w:r>
          </w:p>
        </w:tc>
        <w:tc>
          <w:tcPr>
            <w:tcW w:w="1440" w:type="dxa"/>
            <w:noWrap/>
            <w:hideMark/>
          </w:tcPr>
          <w:p w14:paraId="33722E8B" w14:textId="69B19CD5" w:rsidR="005F14C2" w:rsidRPr="00CE26A8" w:rsidRDefault="005F14C2" w:rsidP="005F14C2">
            <w:r>
              <w:t>168</w:t>
            </w:r>
          </w:p>
        </w:tc>
        <w:tc>
          <w:tcPr>
            <w:tcW w:w="1304" w:type="dxa"/>
            <w:noWrap/>
            <w:hideMark/>
          </w:tcPr>
          <w:p w14:paraId="3E705161" w14:textId="77777777" w:rsidR="005F14C2" w:rsidRPr="00CE26A8" w:rsidRDefault="005F14C2" w:rsidP="00E90CC3">
            <w:r w:rsidRPr="00CE26A8">
              <w:t>1</w:t>
            </w:r>
          </w:p>
        </w:tc>
        <w:tc>
          <w:tcPr>
            <w:tcW w:w="1432" w:type="dxa"/>
            <w:noWrap/>
            <w:hideMark/>
          </w:tcPr>
          <w:p w14:paraId="75EEC9A1" w14:textId="19154E1A" w:rsidR="005F14C2" w:rsidRPr="00CE26A8" w:rsidRDefault="008866A0" w:rsidP="00E90CC3">
            <w:r>
              <w:t>5/60</w:t>
            </w:r>
          </w:p>
        </w:tc>
        <w:tc>
          <w:tcPr>
            <w:tcW w:w="1219" w:type="dxa"/>
            <w:noWrap/>
            <w:hideMark/>
          </w:tcPr>
          <w:p w14:paraId="64BA2C0F" w14:textId="730640B8" w:rsidR="005F14C2" w:rsidRPr="00CE26A8" w:rsidRDefault="008866A0" w:rsidP="00E90CC3">
            <w:r>
              <w:t>14</w:t>
            </w:r>
          </w:p>
        </w:tc>
      </w:tr>
      <w:tr w:rsidR="00CD7C12" w:rsidRPr="00CE26A8" w14:paraId="1391423A" w14:textId="77777777" w:rsidTr="00282E09">
        <w:trPr>
          <w:trHeight w:val="552"/>
        </w:trPr>
        <w:tc>
          <w:tcPr>
            <w:tcW w:w="2692" w:type="dxa"/>
          </w:tcPr>
          <w:p w14:paraId="364331A8" w14:textId="20D8B929" w:rsidR="00CD7C12" w:rsidRPr="00CE26A8" w:rsidRDefault="00CD7C12" w:rsidP="00CD7C12">
            <w:r w:rsidRPr="00CE26A8">
              <w:t>Oil and Gas Extraction Workers who drive at work</w:t>
            </w:r>
          </w:p>
        </w:tc>
        <w:tc>
          <w:tcPr>
            <w:tcW w:w="1983" w:type="dxa"/>
          </w:tcPr>
          <w:p w14:paraId="5F37379A" w14:textId="645CE689" w:rsidR="00006003" w:rsidRPr="00006003" w:rsidRDefault="00006003" w:rsidP="00006003">
            <w:pPr>
              <w:rPr>
                <w:b/>
              </w:rPr>
            </w:pPr>
            <w:r w:rsidRPr="00006003">
              <w:rPr>
                <w:b/>
              </w:rPr>
              <w:t>Hardcopy</w:t>
            </w:r>
          </w:p>
          <w:p w14:paraId="4AD4B7EC" w14:textId="4AD16C5E" w:rsidR="00CD7C12" w:rsidRDefault="00CD7C12" w:rsidP="00006003">
            <w:r>
              <w:t>Module 4: Motor Vehicle</w:t>
            </w:r>
          </w:p>
        </w:tc>
        <w:tc>
          <w:tcPr>
            <w:tcW w:w="1440" w:type="dxa"/>
            <w:noWrap/>
          </w:tcPr>
          <w:p w14:paraId="5DA0B3EC" w14:textId="582D5313" w:rsidR="00CD7C12" w:rsidRDefault="00624D45" w:rsidP="005F14C2">
            <w:r>
              <w:t>1</w:t>
            </w:r>
            <w:r w:rsidR="005F14C2">
              <w:t>9</w:t>
            </w:r>
          </w:p>
        </w:tc>
        <w:tc>
          <w:tcPr>
            <w:tcW w:w="1304" w:type="dxa"/>
            <w:noWrap/>
          </w:tcPr>
          <w:p w14:paraId="792340BE" w14:textId="5A254202" w:rsidR="00CD7C12" w:rsidRPr="00CE26A8" w:rsidRDefault="00624D45" w:rsidP="00CD7C12">
            <w:r>
              <w:t>1</w:t>
            </w:r>
          </w:p>
        </w:tc>
        <w:tc>
          <w:tcPr>
            <w:tcW w:w="1432" w:type="dxa"/>
            <w:noWrap/>
          </w:tcPr>
          <w:p w14:paraId="5877BB53" w14:textId="79764D04" w:rsidR="00CD7C12" w:rsidRPr="00CE26A8" w:rsidRDefault="00083106" w:rsidP="00CD7C12">
            <w:r>
              <w:t>5</w:t>
            </w:r>
            <w:r w:rsidR="00624D45">
              <w:t>/60</w:t>
            </w:r>
          </w:p>
        </w:tc>
        <w:tc>
          <w:tcPr>
            <w:tcW w:w="1219" w:type="dxa"/>
            <w:noWrap/>
          </w:tcPr>
          <w:p w14:paraId="045A3433" w14:textId="1BD426B4" w:rsidR="00CD7C12" w:rsidRDefault="00C1237D" w:rsidP="00CD7C12">
            <w:r>
              <w:t>2</w:t>
            </w:r>
          </w:p>
        </w:tc>
      </w:tr>
      <w:tr w:rsidR="00CD7C12" w:rsidRPr="00CE26A8" w14:paraId="2C215FDA" w14:textId="77777777" w:rsidTr="00282E09">
        <w:trPr>
          <w:trHeight w:val="288"/>
        </w:trPr>
        <w:tc>
          <w:tcPr>
            <w:tcW w:w="2692" w:type="dxa"/>
            <w:noWrap/>
            <w:hideMark/>
          </w:tcPr>
          <w:p w14:paraId="71B05FB0" w14:textId="77777777" w:rsidR="00CD7C12" w:rsidRPr="00CE26A8" w:rsidRDefault="00CD7C12" w:rsidP="00CD7C12">
            <w:r w:rsidRPr="00CE26A8">
              <w:t>Total</w:t>
            </w:r>
          </w:p>
        </w:tc>
        <w:tc>
          <w:tcPr>
            <w:tcW w:w="1983" w:type="dxa"/>
            <w:noWrap/>
            <w:hideMark/>
          </w:tcPr>
          <w:p w14:paraId="1653CA7E" w14:textId="77777777" w:rsidR="00CD7C12" w:rsidRPr="00CE26A8" w:rsidRDefault="00CD7C12" w:rsidP="00CD7C12"/>
        </w:tc>
        <w:tc>
          <w:tcPr>
            <w:tcW w:w="1440" w:type="dxa"/>
            <w:noWrap/>
            <w:hideMark/>
          </w:tcPr>
          <w:p w14:paraId="278BF873" w14:textId="77777777" w:rsidR="00CD7C12" w:rsidRPr="00CE26A8" w:rsidRDefault="00CD7C12" w:rsidP="00CD7C12"/>
        </w:tc>
        <w:tc>
          <w:tcPr>
            <w:tcW w:w="1304" w:type="dxa"/>
            <w:noWrap/>
            <w:hideMark/>
          </w:tcPr>
          <w:p w14:paraId="3FC721DA" w14:textId="77777777" w:rsidR="00CD7C12" w:rsidRPr="00CE26A8" w:rsidRDefault="00CD7C12" w:rsidP="00CD7C12"/>
        </w:tc>
        <w:tc>
          <w:tcPr>
            <w:tcW w:w="1432" w:type="dxa"/>
            <w:noWrap/>
            <w:hideMark/>
          </w:tcPr>
          <w:p w14:paraId="556A8C60" w14:textId="77777777" w:rsidR="00CD7C12" w:rsidRPr="00CE26A8" w:rsidRDefault="00CD7C12" w:rsidP="00CD7C12"/>
        </w:tc>
        <w:tc>
          <w:tcPr>
            <w:tcW w:w="1219" w:type="dxa"/>
            <w:noWrap/>
            <w:hideMark/>
          </w:tcPr>
          <w:p w14:paraId="73981317" w14:textId="6022165C" w:rsidR="00CD7C12" w:rsidRPr="00CE26A8" w:rsidRDefault="00C1237D" w:rsidP="008866A0">
            <w:r>
              <w:t>1</w:t>
            </w:r>
            <w:r w:rsidR="00D3733D">
              <w:t>51</w:t>
            </w:r>
          </w:p>
        </w:tc>
      </w:tr>
    </w:tbl>
    <w:p w14:paraId="176709D6" w14:textId="77777777" w:rsidR="00CE26A8" w:rsidRDefault="00CE26A8" w:rsidP="00C17F30"/>
    <w:p w14:paraId="66F10FD6" w14:textId="77777777" w:rsidR="007E354B" w:rsidRDefault="007E354B" w:rsidP="00C17F30">
      <w:r>
        <w:tab/>
        <w:t>B. Annualized Cost to Respondents</w:t>
      </w:r>
    </w:p>
    <w:p w14:paraId="48F96E51" w14:textId="7BAFF77D" w:rsidR="007E354B" w:rsidRPr="007E354B" w:rsidRDefault="007E354B" w:rsidP="007E354B">
      <w:pPr>
        <w:pStyle w:val="Heading2"/>
        <w:rPr>
          <w:rFonts w:asciiTheme="minorHAnsi" w:eastAsiaTheme="minorHAnsi" w:hAnsiTheme="minorHAnsi" w:cstheme="minorBidi"/>
          <w:color w:val="auto"/>
          <w:sz w:val="22"/>
          <w:szCs w:val="22"/>
        </w:rPr>
      </w:pPr>
      <w:bookmarkStart w:id="25" w:name="_Toc420492165"/>
      <w:bookmarkStart w:id="26" w:name="_Toc459877792"/>
      <w:bookmarkStart w:id="27" w:name="_Toc459883011"/>
      <w:bookmarkStart w:id="28" w:name="_Toc461446301"/>
      <w:r w:rsidRPr="007E354B">
        <w:rPr>
          <w:rFonts w:asciiTheme="minorHAnsi" w:eastAsiaTheme="minorHAnsi" w:hAnsiTheme="minorHAnsi" w:cstheme="minorBidi"/>
          <w:color w:val="auto"/>
          <w:sz w:val="22"/>
          <w:szCs w:val="22"/>
        </w:rPr>
        <w:t>The estimated annualized cost to the respondent population for the questionnaire is $</w:t>
      </w:r>
      <w:r w:rsidR="003365BA">
        <w:rPr>
          <w:rFonts w:asciiTheme="minorHAnsi" w:eastAsiaTheme="minorHAnsi" w:hAnsiTheme="minorHAnsi" w:cstheme="minorBidi"/>
          <w:color w:val="auto"/>
          <w:sz w:val="22"/>
          <w:szCs w:val="22"/>
        </w:rPr>
        <w:t>4,524</w:t>
      </w:r>
      <w:r w:rsidR="00282E09">
        <w:rPr>
          <w:rFonts w:asciiTheme="minorHAnsi" w:eastAsiaTheme="minorHAnsi" w:hAnsiTheme="minorHAnsi" w:cstheme="minorBidi"/>
          <w:color w:val="auto"/>
          <w:sz w:val="22"/>
          <w:szCs w:val="22"/>
        </w:rPr>
        <w:t xml:space="preserve"> </w:t>
      </w:r>
      <w:r w:rsidRPr="007E354B">
        <w:rPr>
          <w:rFonts w:asciiTheme="minorHAnsi" w:eastAsiaTheme="minorHAnsi" w:hAnsiTheme="minorHAnsi" w:cstheme="minorBidi"/>
          <w:color w:val="auto"/>
          <w:sz w:val="22"/>
          <w:szCs w:val="22"/>
        </w:rPr>
        <w:t>based on the average costs per burden hour and the burden hours as shown below.</w:t>
      </w:r>
      <w:r w:rsidR="00892254">
        <w:rPr>
          <w:rFonts w:asciiTheme="minorHAnsi" w:eastAsiaTheme="minorHAnsi" w:hAnsiTheme="minorHAnsi" w:cstheme="minorBidi"/>
          <w:color w:val="auto"/>
          <w:sz w:val="22"/>
          <w:szCs w:val="22"/>
        </w:rPr>
        <w:t xml:space="preserve"> This burden will occur for </w:t>
      </w:r>
      <w:r w:rsidR="003B0D87">
        <w:rPr>
          <w:rFonts w:asciiTheme="minorHAnsi" w:eastAsiaTheme="minorHAnsi" w:hAnsiTheme="minorHAnsi" w:cstheme="minorBidi"/>
          <w:color w:val="auto"/>
          <w:sz w:val="22"/>
          <w:szCs w:val="22"/>
        </w:rPr>
        <w:t>two</w:t>
      </w:r>
      <w:r w:rsidR="00892254">
        <w:rPr>
          <w:rFonts w:asciiTheme="minorHAnsi" w:eastAsiaTheme="minorHAnsi" w:hAnsiTheme="minorHAnsi" w:cstheme="minorBidi"/>
          <w:color w:val="auto"/>
          <w:sz w:val="22"/>
          <w:szCs w:val="22"/>
        </w:rPr>
        <w:t xml:space="preserve"> years of information collection.</w:t>
      </w:r>
      <w:bookmarkEnd w:id="25"/>
      <w:bookmarkEnd w:id="26"/>
      <w:bookmarkEnd w:id="27"/>
      <w:bookmarkEnd w:id="28"/>
      <w:r w:rsidR="00892254">
        <w:rPr>
          <w:rFonts w:asciiTheme="minorHAnsi" w:eastAsiaTheme="minorHAnsi" w:hAnsiTheme="minorHAnsi" w:cstheme="minorBidi"/>
          <w:color w:val="auto"/>
          <w:sz w:val="22"/>
          <w:szCs w:val="22"/>
        </w:rPr>
        <w:t xml:space="preserve"> </w:t>
      </w:r>
    </w:p>
    <w:p w14:paraId="2409F0A5" w14:textId="77777777" w:rsidR="007E354B" w:rsidRDefault="007E354B" w:rsidP="007E354B">
      <w:pPr>
        <w:pStyle w:val="Heading2"/>
      </w:pPr>
    </w:p>
    <w:p w14:paraId="2C61ADE7" w14:textId="77777777" w:rsidR="007E354B" w:rsidRPr="00D668EA" w:rsidRDefault="007E354B" w:rsidP="007E354B">
      <w:pPr>
        <w:rPr>
          <w:b/>
        </w:rPr>
      </w:pPr>
      <w:r w:rsidRPr="00D668EA">
        <w:rPr>
          <w:b/>
        </w:rPr>
        <w:t xml:space="preserve">Table A12.2 Estimated Annualized Cost Burden to Respondents </w:t>
      </w:r>
    </w:p>
    <w:tbl>
      <w:tblPr>
        <w:tblStyle w:val="TableGrid"/>
        <w:tblW w:w="0" w:type="auto"/>
        <w:tblLayout w:type="fixed"/>
        <w:tblLook w:val="04A0" w:firstRow="1" w:lastRow="0" w:firstColumn="1" w:lastColumn="0" w:noHBand="0" w:noVBand="1"/>
      </w:tblPr>
      <w:tblGrid>
        <w:gridCol w:w="1795"/>
        <w:gridCol w:w="3150"/>
        <w:gridCol w:w="1530"/>
        <w:gridCol w:w="1800"/>
        <w:gridCol w:w="1795"/>
      </w:tblGrid>
      <w:tr w:rsidR="00EE1292" w14:paraId="23AE79AD" w14:textId="77777777" w:rsidTr="00D668EA">
        <w:tc>
          <w:tcPr>
            <w:tcW w:w="1795" w:type="dxa"/>
          </w:tcPr>
          <w:p w14:paraId="3A594718" w14:textId="77777777" w:rsidR="00EE1292" w:rsidRPr="00282E09" w:rsidRDefault="00EE1292" w:rsidP="00EE1292">
            <w:pPr>
              <w:rPr>
                <w:b/>
              </w:rPr>
            </w:pPr>
            <w:r w:rsidRPr="00282E09">
              <w:rPr>
                <w:b/>
              </w:rPr>
              <w:t xml:space="preserve">Type of Respondent </w:t>
            </w:r>
          </w:p>
        </w:tc>
        <w:tc>
          <w:tcPr>
            <w:tcW w:w="3150" w:type="dxa"/>
          </w:tcPr>
          <w:p w14:paraId="0E0924D6" w14:textId="77777777" w:rsidR="00EE1292" w:rsidRPr="00282E09" w:rsidRDefault="00EE1292" w:rsidP="00EE1292">
            <w:pPr>
              <w:rPr>
                <w:b/>
              </w:rPr>
            </w:pPr>
            <w:r w:rsidRPr="00282E09">
              <w:rPr>
                <w:b/>
              </w:rPr>
              <w:t>Form Name</w:t>
            </w:r>
          </w:p>
        </w:tc>
        <w:tc>
          <w:tcPr>
            <w:tcW w:w="1530" w:type="dxa"/>
          </w:tcPr>
          <w:p w14:paraId="0FD6D34D" w14:textId="77777777" w:rsidR="00EE1292" w:rsidRPr="00282E09" w:rsidRDefault="00EE1292" w:rsidP="00EE1292">
            <w:pPr>
              <w:rPr>
                <w:b/>
              </w:rPr>
            </w:pPr>
            <w:r w:rsidRPr="00282E09">
              <w:rPr>
                <w:b/>
              </w:rPr>
              <w:t xml:space="preserve">Total Burden Hours </w:t>
            </w:r>
          </w:p>
        </w:tc>
        <w:tc>
          <w:tcPr>
            <w:tcW w:w="1800" w:type="dxa"/>
          </w:tcPr>
          <w:p w14:paraId="3F74F53C" w14:textId="77777777" w:rsidR="00EE1292" w:rsidRPr="00282E09" w:rsidRDefault="00EE1292" w:rsidP="00EE1292">
            <w:pPr>
              <w:rPr>
                <w:b/>
              </w:rPr>
            </w:pPr>
            <w:r w:rsidRPr="00282E09">
              <w:rPr>
                <w:b/>
              </w:rPr>
              <w:t>Hourly Wage Rate*</w:t>
            </w:r>
          </w:p>
        </w:tc>
        <w:tc>
          <w:tcPr>
            <w:tcW w:w="1795" w:type="dxa"/>
          </w:tcPr>
          <w:p w14:paraId="04F0C47C" w14:textId="77777777" w:rsidR="00EE1292" w:rsidRPr="00282E09" w:rsidRDefault="00EE1292" w:rsidP="00EE1292">
            <w:pPr>
              <w:rPr>
                <w:b/>
              </w:rPr>
            </w:pPr>
            <w:r w:rsidRPr="00282E09">
              <w:rPr>
                <w:b/>
              </w:rPr>
              <w:t xml:space="preserve">Total Respondent Costs </w:t>
            </w:r>
          </w:p>
        </w:tc>
      </w:tr>
      <w:tr w:rsidR="00537725" w14:paraId="1E2A528C" w14:textId="77777777" w:rsidTr="00D668EA">
        <w:tc>
          <w:tcPr>
            <w:tcW w:w="1795" w:type="dxa"/>
          </w:tcPr>
          <w:p w14:paraId="3AFAEAB1" w14:textId="77777777" w:rsidR="00537725" w:rsidRPr="00FC264C" w:rsidRDefault="00537725" w:rsidP="00537725">
            <w:r w:rsidRPr="00FC264C">
              <w:t>Screening of workers</w:t>
            </w:r>
          </w:p>
        </w:tc>
        <w:tc>
          <w:tcPr>
            <w:tcW w:w="3150" w:type="dxa"/>
          </w:tcPr>
          <w:p w14:paraId="470A4B49" w14:textId="77777777" w:rsidR="00537725" w:rsidRPr="00FC264C" w:rsidRDefault="00537725" w:rsidP="00537725">
            <w:r w:rsidRPr="00FC264C">
              <w:t>Module 1: Screening</w:t>
            </w:r>
          </w:p>
        </w:tc>
        <w:tc>
          <w:tcPr>
            <w:tcW w:w="1530" w:type="dxa"/>
          </w:tcPr>
          <w:p w14:paraId="70F71831" w14:textId="7386DD6D" w:rsidR="00537725" w:rsidRPr="00CE26A8" w:rsidRDefault="00892254" w:rsidP="00051EF7">
            <w:r>
              <w:t>2</w:t>
            </w:r>
            <w:r w:rsidR="00051EF7">
              <w:t>6</w:t>
            </w:r>
          </w:p>
        </w:tc>
        <w:tc>
          <w:tcPr>
            <w:tcW w:w="1800" w:type="dxa"/>
          </w:tcPr>
          <w:p w14:paraId="5268067D" w14:textId="77777777" w:rsidR="00537725" w:rsidRPr="00FC264C" w:rsidRDefault="009B5A44" w:rsidP="00537725">
            <w:r>
              <w:t>$29.36</w:t>
            </w:r>
          </w:p>
        </w:tc>
        <w:tc>
          <w:tcPr>
            <w:tcW w:w="1795" w:type="dxa"/>
          </w:tcPr>
          <w:p w14:paraId="7BCDB875" w14:textId="0360512C" w:rsidR="00537725" w:rsidRPr="00FC264C" w:rsidRDefault="009B5A44" w:rsidP="00051EF7">
            <w:r>
              <w:t>$</w:t>
            </w:r>
            <w:r w:rsidR="00892254">
              <w:t>7</w:t>
            </w:r>
            <w:r w:rsidR="00051EF7">
              <w:t>63</w:t>
            </w:r>
          </w:p>
        </w:tc>
      </w:tr>
      <w:tr w:rsidR="00D668EA" w14:paraId="1FB5FC74" w14:textId="77777777" w:rsidTr="00D668EA">
        <w:tc>
          <w:tcPr>
            <w:tcW w:w="1795" w:type="dxa"/>
          </w:tcPr>
          <w:p w14:paraId="63647F6A" w14:textId="1C7C025A" w:rsidR="00D668EA" w:rsidRPr="00FC264C" w:rsidRDefault="00D668EA" w:rsidP="00537725">
            <w:r w:rsidRPr="00FC264C">
              <w:t>Oil and Gas Extraction Workers</w:t>
            </w:r>
          </w:p>
        </w:tc>
        <w:tc>
          <w:tcPr>
            <w:tcW w:w="3150" w:type="dxa"/>
          </w:tcPr>
          <w:p w14:paraId="2178F275" w14:textId="7C859719" w:rsidR="00D668EA" w:rsidRPr="00FC264C" w:rsidRDefault="00D668EA" w:rsidP="00537725">
            <w:r>
              <w:t>Non-respondent questionnaire</w:t>
            </w:r>
          </w:p>
        </w:tc>
        <w:tc>
          <w:tcPr>
            <w:tcW w:w="1530" w:type="dxa"/>
          </w:tcPr>
          <w:p w14:paraId="37FA2A07" w14:textId="7FE8D5F3" w:rsidR="00D668EA" w:rsidRDefault="00051EF7" w:rsidP="00537725">
            <w:r>
              <w:t>5</w:t>
            </w:r>
          </w:p>
        </w:tc>
        <w:tc>
          <w:tcPr>
            <w:tcW w:w="1800" w:type="dxa"/>
          </w:tcPr>
          <w:p w14:paraId="132B18E0" w14:textId="3653B9D1" w:rsidR="00D668EA" w:rsidRDefault="00D668EA" w:rsidP="00537725">
            <w:r>
              <w:t>$29.36</w:t>
            </w:r>
          </w:p>
        </w:tc>
        <w:tc>
          <w:tcPr>
            <w:tcW w:w="1795" w:type="dxa"/>
          </w:tcPr>
          <w:p w14:paraId="7766040A" w14:textId="266C1449" w:rsidR="00D668EA" w:rsidRDefault="00D668EA" w:rsidP="00051EF7">
            <w:r>
              <w:t>$1</w:t>
            </w:r>
            <w:r w:rsidR="00051EF7">
              <w:t>47</w:t>
            </w:r>
          </w:p>
        </w:tc>
      </w:tr>
      <w:tr w:rsidR="00537725" w14:paraId="4BC10050" w14:textId="77777777" w:rsidTr="00D668EA">
        <w:tc>
          <w:tcPr>
            <w:tcW w:w="1795" w:type="dxa"/>
          </w:tcPr>
          <w:p w14:paraId="58AD8A04" w14:textId="77777777" w:rsidR="00537725" w:rsidRPr="00FC264C" w:rsidRDefault="00537725" w:rsidP="00537725">
            <w:r w:rsidRPr="00FC264C">
              <w:t>Oil and Gas Extraction Workers</w:t>
            </w:r>
          </w:p>
        </w:tc>
        <w:tc>
          <w:tcPr>
            <w:tcW w:w="3150" w:type="dxa"/>
          </w:tcPr>
          <w:p w14:paraId="093C4B07" w14:textId="6917017D" w:rsidR="00D668EA" w:rsidRPr="00D668EA" w:rsidRDefault="00D668EA" w:rsidP="00537725">
            <w:pPr>
              <w:rPr>
                <w:b/>
              </w:rPr>
            </w:pPr>
            <w:r w:rsidRPr="00D668EA">
              <w:rPr>
                <w:b/>
              </w:rPr>
              <w:t>Tablet Version</w:t>
            </w:r>
          </w:p>
          <w:p w14:paraId="1494AE65" w14:textId="77777777" w:rsidR="00537725" w:rsidRDefault="00537725" w:rsidP="00537725">
            <w:r w:rsidRPr="00FC264C">
              <w:t>Modules 2: General</w:t>
            </w:r>
          </w:p>
          <w:p w14:paraId="26F32498" w14:textId="77777777" w:rsidR="00537725" w:rsidRDefault="00537725" w:rsidP="00537725">
            <w:r w:rsidRPr="00FC264C">
              <w:t xml:space="preserve">Module 3: Well Site Work, and </w:t>
            </w:r>
          </w:p>
          <w:p w14:paraId="58CFB522" w14:textId="77777777" w:rsidR="00537725" w:rsidRPr="00FC264C" w:rsidRDefault="00537725" w:rsidP="00537725">
            <w:r>
              <w:t xml:space="preserve">Module </w:t>
            </w:r>
            <w:r w:rsidRPr="00FC264C">
              <w:t xml:space="preserve">5: </w:t>
            </w:r>
            <w:r>
              <w:t>Closing Questions</w:t>
            </w:r>
          </w:p>
        </w:tc>
        <w:tc>
          <w:tcPr>
            <w:tcW w:w="1530" w:type="dxa"/>
          </w:tcPr>
          <w:p w14:paraId="3364B1FE" w14:textId="188B75D8" w:rsidR="00537725" w:rsidRPr="00CE26A8" w:rsidRDefault="00C1237D" w:rsidP="00D668EA">
            <w:r>
              <w:t>94</w:t>
            </w:r>
          </w:p>
        </w:tc>
        <w:tc>
          <w:tcPr>
            <w:tcW w:w="1800" w:type="dxa"/>
          </w:tcPr>
          <w:p w14:paraId="390D328B" w14:textId="77777777" w:rsidR="00537725" w:rsidRPr="00FC264C" w:rsidRDefault="009B5A44" w:rsidP="00537725">
            <w:r>
              <w:t>$29.36</w:t>
            </w:r>
          </w:p>
        </w:tc>
        <w:tc>
          <w:tcPr>
            <w:tcW w:w="1795" w:type="dxa"/>
          </w:tcPr>
          <w:p w14:paraId="4A58CD18" w14:textId="7DF72942" w:rsidR="00537725" w:rsidRPr="00FC264C" w:rsidRDefault="009B5A44" w:rsidP="00C1237D">
            <w:r>
              <w:t>$</w:t>
            </w:r>
            <w:r w:rsidR="00C1237D">
              <w:t>2760</w:t>
            </w:r>
          </w:p>
        </w:tc>
      </w:tr>
      <w:tr w:rsidR="00D668EA" w14:paraId="4D62788F" w14:textId="77777777" w:rsidTr="00D668EA">
        <w:tc>
          <w:tcPr>
            <w:tcW w:w="1795" w:type="dxa"/>
          </w:tcPr>
          <w:p w14:paraId="758BC4D4" w14:textId="55B7E28F" w:rsidR="00D668EA" w:rsidRPr="00FC264C" w:rsidRDefault="00D668EA" w:rsidP="00537725">
            <w:r>
              <w:t>Oil and Gas Extraction Workers</w:t>
            </w:r>
          </w:p>
        </w:tc>
        <w:tc>
          <w:tcPr>
            <w:tcW w:w="3150" w:type="dxa"/>
          </w:tcPr>
          <w:p w14:paraId="66544424" w14:textId="77777777" w:rsidR="00D668EA" w:rsidRPr="00D668EA" w:rsidRDefault="00D668EA" w:rsidP="00537725">
            <w:pPr>
              <w:rPr>
                <w:b/>
              </w:rPr>
            </w:pPr>
            <w:r w:rsidRPr="00D668EA">
              <w:rPr>
                <w:b/>
              </w:rPr>
              <w:t>Hard Copy Version</w:t>
            </w:r>
          </w:p>
          <w:p w14:paraId="49C703DA" w14:textId="77777777" w:rsidR="00D668EA" w:rsidRDefault="00D668EA" w:rsidP="00D668EA">
            <w:r w:rsidRPr="00FC264C">
              <w:t>Modules 2: General</w:t>
            </w:r>
          </w:p>
          <w:p w14:paraId="72EB95D0" w14:textId="77777777" w:rsidR="00D668EA" w:rsidRDefault="00D668EA" w:rsidP="00D668EA">
            <w:r w:rsidRPr="00FC264C">
              <w:t xml:space="preserve">Module 3: Well Site Work, and </w:t>
            </w:r>
          </w:p>
          <w:p w14:paraId="0E0AEE6E" w14:textId="52DF41AD" w:rsidR="00D668EA" w:rsidRDefault="00D668EA" w:rsidP="00D668EA">
            <w:r>
              <w:t xml:space="preserve">Module </w:t>
            </w:r>
            <w:r w:rsidRPr="00FC264C">
              <w:t xml:space="preserve">5: </w:t>
            </w:r>
            <w:r>
              <w:t>Closing Questions</w:t>
            </w:r>
          </w:p>
        </w:tc>
        <w:tc>
          <w:tcPr>
            <w:tcW w:w="1530" w:type="dxa"/>
          </w:tcPr>
          <w:p w14:paraId="5469BDB6" w14:textId="189412EB" w:rsidR="00D668EA" w:rsidRDefault="00051EF7" w:rsidP="00537725">
            <w:r>
              <w:t>10</w:t>
            </w:r>
          </w:p>
        </w:tc>
        <w:tc>
          <w:tcPr>
            <w:tcW w:w="1800" w:type="dxa"/>
          </w:tcPr>
          <w:p w14:paraId="779FE174" w14:textId="450C4D49" w:rsidR="00D668EA" w:rsidRDefault="00D668EA" w:rsidP="00537725">
            <w:r>
              <w:t>$29.36</w:t>
            </w:r>
          </w:p>
        </w:tc>
        <w:tc>
          <w:tcPr>
            <w:tcW w:w="1795" w:type="dxa"/>
          </w:tcPr>
          <w:p w14:paraId="4B992663" w14:textId="3B2F9648" w:rsidR="00D668EA" w:rsidRDefault="00D414E5" w:rsidP="00051EF7">
            <w:r>
              <w:t>$</w:t>
            </w:r>
            <w:r w:rsidR="00051EF7">
              <w:t>294</w:t>
            </w:r>
          </w:p>
        </w:tc>
      </w:tr>
      <w:tr w:rsidR="00537725" w14:paraId="53CD23FF" w14:textId="77777777" w:rsidTr="00D668EA">
        <w:tc>
          <w:tcPr>
            <w:tcW w:w="1795" w:type="dxa"/>
          </w:tcPr>
          <w:p w14:paraId="4635DACC" w14:textId="77777777" w:rsidR="00537725" w:rsidRPr="00FC264C" w:rsidRDefault="00537725" w:rsidP="00537725">
            <w:r w:rsidRPr="00FC264C">
              <w:t>Oil and Gas Extraction Workers who drive at work</w:t>
            </w:r>
          </w:p>
        </w:tc>
        <w:tc>
          <w:tcPr>
            <w:tcW w:w="3150" w:type="dxa"/>
          </w:tcPr>
          <w:p w14:paraId="3D4EB26E" w14:textId="0F20020D" w:rsidR="00D668EA" w:rsidRPr="00D668EA" w:rsidRDefault="00D668EA" w:rsidP="00537725">
            <w:pPr>
              <w:rPr>
                <w:b/>
              </w:rPr>
            </w:pPr>
            <w:r w:rsidRPr="00D668EA">
              <w:rPr>
                <w:b/>
              </w:rPr>
              <w:t>Tablet Version</w:t>
            </w:r>
          </w:p>
          <w:p w14:paraId="1B17A6DE" w14:textId="77777777" w:rsidR="00537725" w:rsidRPr="00FC264C" w:rsidRDefault="00537725" w:rsidP="00537725">
            <w:r w:rsidRPr="00FC264C">
              <w:t xml:space="preserve">Module 4: Motor Vehicle </w:t>
            </w:r>
          </w:p>
        </w:tc>
        <w:tc>
          <w:tcPr>
            <w:tcW w:w="1530" w:type="dxa"/>
          </w:tcPr>
          <w:p w14:paraId="7569558E" w14:textId="2D88675A" w:rsidR="00537725" w:rsidRPr="00FC264C" w:rsidRDefault="008866A0" w:rsidP="00537725">
            <w:r>
              <w:t>14</w:t>
            </w:r>
          </w:p>
        </w:tc>
        <w:tc>
          <w:tcPr>
            <w:tcW w:w="1800" w:type="dxa"/>
          </w:tcPr>
          <w:p w14:paraId="650430A7" w14:textId="77777777" w:rsidR="00537725" w:rsidRPr="00FC264C" w:rsidRDefault="009B5A44" w:rsidP="00537725">
            <w:r>
              <w:t>$29.36</w:t>
            </w:r>
          </w:p>
        </w:tc>
        <w:tc>
          <w:tcPr>
            <w:tcW w:w="1795" w:type="dxa"/>
          </w:tcPr>
          <w:p w14:paraId="6CCB7179" w14:textId="087C9AD8" w:rsidR="00537725" w:rsidRPr="00FC264C" w:rsidRDefault="009B5A44" w:rsidP="008866A0">
            <w:r>
              <w:t>$</w:t>
            </w:r>
            <w:r w:rsidR="008866A0">
              <w:t>412</w:t>
            </w:r>
          </w:p>
        </w:tc>
      </w:tr>
      <w:tr w:rsidR="00D668EA" w14:paraId="533CCE6F" w14:textId="77777777" w:rsidTr="00D668EA">
        <w:tc>
          <w:tcPr>
            <w:tcW w:w="1795" w:type="dxa"/>
          </w:tcPr>
          <w:p w14:paraId="53BBF7C5" w14:textId="6C39B456" w:rsidR="00D668EA" w:rsidRPr="00FC264C" w:rsidRDefault="00D668EA" w:rsidP="00D668EA">
            <w:r w:rsidRPr="00FB2870">
              <w:t>Oil and Gas Extraction Workers who drive at work</w:t>
            </w:r>
          </w:p>
        </w:tc>
        <w:tc>
          <w:tcPr>
            <w:tcW w:w="3150" w:type="dxa"/>
          </w:tcPr>
          <w:p w14:paraId="290DF4B5" w14:textId="77777777" w:rsidR="00D668EA" w:rsidRPr="00D668EA" w:rsidRDefault="00D668EA" w:rsidP="00D668EA">
            <w:pPr>
              <w:rPr>
                <w:b/>
              </w:rPr>
            </w:pPr>
            <w:r w:rsidRPr="00D668EA">
              <w:rPr>
                <w:b/>
              </w:rPr>
              <w:t>Hard Copy Version</w:t>
            </w:r>
          </w:p>
          <w:p w14:paraId="6D1D19CE" w14:textId="17718A0A" w:rsidR="00D668EA" w:rsidRDefault="00D668EA" w:rsidP="00D668EA">
            <w:r w:rsidRPr="00FC264C">
              <w:t>Module 4: Motor Vehicle</w:t>
            </w:r>
          </w:p>
        </w:tc>
        <w:tc>
          <w:tcPr>
            <w:tcW w:w="1530" w:type="dxa"/>
          </w:tcPr>
          <w:p w14:paraId="1073DA7E" w14:textId="33F722A5" w:rsidR="00D668EA" w:rsidRDefault="00C1237D" w:rsidP="00D668EA">
            <w:r>
              <w:t>2</w:t>
            </w:r>
          </w:p>
        </w:tc>
        <w:tc>
          <w:tcPr>
            <w:tcW w:w="1800" w:type="dxa"/>
          </w:tcPr>
          <w:p w14:paraId="4791C18E" w14:textId="03FDB281" w:rsidR="00D668EA" w:rsidRDefault="00D668EA" w:rsidP="00D668EA">
            <w:r>
              <w:t>$29.36</w:t>
            </w:r>
          </w:p>
        </w:tc>
        <w:tc>
          <w:tcPr>
            <w:tcW w:w="1795" w:type="dxa"/>
          </w:tcPr>
          <w:p w14:paraId="3DBB3DC0" w14:textId="437F88DF" w:rsidR="00D668EA" w:rsidRDefault="00D414E5" w:rsidP="008866A0">
            <w:r>
              <w:t>$</w:t>
            </w:r>
            <w:r w:rsidR="008866A0">
              <w:t>59</w:t>
            </w:r>
          </w:p>
        </w:tc>
      </w:tr>
      <w:tr w:rsidR="009B5A44" w14:paraId="2012C35A" w14:textId="77777777" w:rsidTr="00D668EA">
        <w:tc>
          <w:tcPr>
            <w:tcW w:w="1795" w:type="dxa"/>
          </w:tcPr>
          <w:p w14:paraId="7FEABCFB" w14:textId="77777777" w:rsidR="009B5A44" w:rsidRPr="009B5A44" w:rsidRDefault="009B5A44" w:rsidP="00537725">
            <w:pPr>
              <w:rPr>
                <w:b/>
              </w:rPr>
            </w:pPr>
            <w:r w:rsidRPr="009B5A44">
              <w:rPr>
                <w:b/>
              </w:rPr>
              <w:t>Total</w:t>
            </w:r>
          </w:p>
        </w:tc>
        <w:tc>
          <w:tcPr>
            <w:tcW w:w="3150" w:type="dxa"/>
          </w:tcPr>
          <w:p w14:paraId="6B60F718" w14:textId="77777777" w:rsidR="009B5A44" w:rsidRPr="00FC264C" w:rsidRDefault="009B5A44" w:rsidP="00537725"/>
        </w:tc>
        <w:tc>
          <w:tcPr>
            <w:tcW w:w="1530" w:type="dxa"/>
          </w:tcPr>
          <w:p w14:paraId="01F45520" w14:textId="0B34A550" w:rsidR="009B5A44" w:rsidRDefault="009835DF" w:rsidP="00537725">
            <w:r>
              <w:t>154</w:t>
            </w:r>
          </w:p>
        </w:tc>
        <w:tc>
          <w:tcPr>
            <w:tcW w:w="1800" w:type="dxa"/>
          </w:tcPr>
          <w:p w14:paraId="1572546A" w14:textId="77777777" w:rsidR="009B5A44" w:rsidRDefault="009B5A44" w:rsidP="00537725"/>
        </w:tc>
        <w:tc>
          <w:tcPr>
            <w:tcW w:w="1795" w:type="dxa"/>
          </w:tcPr>
          <w:p w14:paraId="5E1D2B4B" w14:textId="4FF04600" w:rsidR="009B5A44" w:rsidRPr="009B5A44" w:rsidRDefault="009B5A44" w:rsidP="00051EF7">
            <w:pPr>
              <w:rPr>
                <w:b/>
              </w:rPr>
            </w:pPr>
            <w:r w:rsidRPr="009B5A44">
              <w:rPr>
                <w:b/>
              </w:rPr>
              <w:t>$</w:t>
            </w:r>
            <w:r w:rsidR="00051EF7">
              <w:rPr>
                <w:b/>
              </w:rPr>
              <w:t>4435</w:t>
            </w:r>
          </w:p>
        </w:tc>
      </w:tr>
    </w:tbl>
    <w:p w14:paraId="0ADD04C7" w14:textId="77777777" w:rsidR="00132E41" w:rsidRDefault="00132E41" w:rsidP="00C17F30"/>
    <w:p w14:paraId="5C0CF8CB" w14:textId="56014A07" w:rsidR="00132E41" w:rsidRDefault="00132E41" w:rsidP="00C17F30">
      <w:r>
        <w:t xml:space="preserve">The wage estimate was obtained from </w:t>
      </w:r>
      <w:r w:rsidR="00AD209B">
        <w:t xml:space="preserve">the </w:t>
      </w:r>
      <w:r>
        <w:t>Department of Labor</w:t>
      </w:r>
      <w:r w:rsidR="00AD209B">
        <w:t>, Bureau of Labor Statistics, National Occupational Employment and Wage Estimates- Current Employment and Wages from Occupational Employment Statistics (OES) Survey</w:t>
      </w:r>
      <w:r>
        <w:t xml:space="preserve"> (</w:t>
      </w:r>
      <w:hyperlink r:id="rId21" w:history="1">
        <w:r w:rsidR="00AD209B" w:rsidRPr="00E32BB7">
          <w:rPr>
            <w:rStyle w:val="Hyperlink"/>
          </w:rPr>
          <w:t>http://www.bls.gov/oes</w:t>
        </w:r>
      </w:hyperlink>
      <w:r w:rsidR="00AD209B">
        <w:t xml:space="preserve"> </w:t>
      </w:r>
      <w:r>
        <w:t xml:space="preserve">) using the </w:t>
      </w:r>
      <w:r w:rsidR="00AD209B">
        <w:t xml:space="preserve">May 2014 estimates. The </w:t>
      </w:r>
      <w:r>
        <w:t xml:space="preserve">highest mean hourly wage </w:t>
      </w:r>
      <w:r w:rsidR="00AD209B">
        <w:t>for the category ‘Extraction workers’</w:t>
      </w:r>
      <w:r w:rsidR="00892254">
        <w:t>,</w:t>
      </w:r>
      <w:r w:rsidR="00AD209B">
        <w:t xml:space="preserve"> 47-5000</w:t>
      </w:r>
      <w:r w:rsidR="00892254">
        <w:t>, was used, which was for</w:t>
      </w:r>
      <w:r w:rsidR="00AD209B">
        <w:t xml:space="preserve"> </w:t>
      </w:r>
      <w:r>
        <w:t>Rotary Drill Operators, Oil and Gas.</w:t>
      </w:r>
    </w:p>
    <w:p w14:paraId="78B16DEB" w14:textId="77777777" w:rsidR="00C17F30" w:rsidRPr="00132E41" w:rsidRDefault="00132E41" w:rsidP="008429FD">
      <w:pPr>
        <w:pStyle w:val="Heading1"/>
      </w:pPr>
      <w:bookmarkStart w:id="29" w:name="_Toc420492166"/>
      <w:bookmarkStart w:id="30" w:name="_Toc461446302"/>
      <w:r w:rsidRPr="00132E41">
        <w:t>A.</w:t>
      </w:r>
      <w:r w:rsidR="00C17F30" w:rsidRPr="00132E41">
        <w:t xml:space="preserve">13. </w:t>
      </w:r>
      <w:r w:rsidRPr="00132E41">
        <w:t>Estimates of Other Total Annual Cost Burden to Respondents or Record Keepers</w:t>
      </w:r>
      <w:bookmarkEnd w:id="29"/>
      <w:bookmarkEnd w:id="30"/>
    </w:p>
    <w:p w14:paraId="49D2B8F9" w14:textId="77777777" w:rsidR="00132E41" w:rsidRDefault="00132E41" w:rsidP="00132E41">
      <w:r>
        <w:t>There are no additional cost burdens to respondents or record keepers.</w:t>
      </w:r>
    </w:p>
    <w:p w14:paraId="340EF1D0" w14:textId="77777777" w:rsidR="00C17F30" w:rsidRPr="00AD209B" w:rsidRDefault="00AD209B" w:rsidP="008429FD">
      <w:pPr>
        <w:pStyle w:val="Heading1"/>
      </w:pPr>
      <w:bookmarkStart w:id="31" w:name="_Toc420492167"/>
      <w:bookmarkStart w:id="32" w:name="_Toc461446303"/>
      <w:r w:rsidRPr="00AD209B">
        <w:t>A</w:t>
      </w:r>
      <w:r w:rsidR="00E90F80">
        <w:t>.</w:t>
      </w:r>
      <w:r w:rsidR="00C17F30" w:rsidRPr="00AD209B">
        <w:t xml:space="preserve">14. </w:t>
      </w:r>
      <w:r w:rsidRPr="00AD209B">
        <w:t>Annualized Cost to the Government</w:t>
      </w:r>
      <w:bookmarkEnd w:id="31"/>
      <w:bookmarkEnd w:id="32"/>
    </w:p>
    <w:p w14:paraId="3C5F8BBC" w14:textId="42742BF4" w:rsidR="00AD209B" w:rsidRDefault="00AD209B" w:rsidP="00C17F30">
      <w:r>
        <w:t>The annualized cost to the government is approximately $</w:t>
      </w:r>
      <w:r w:rsidR="003365BA">
        <w:t>174,584</w:t>
      </w:r>
      <w:r w:rsidR="00A368D0">
        <w:t xml:space="preserve"> for </w:t>
      </w:r>
      <w:r w:rsidR="00BE12D0">
        <w:t xml:space="preserve">each of the </w:t>
      </w:r>
      <w:r w:rsidR="00A368D0">
        <w:t>four years</w:t>
      </w:r>
      <w:r w:rsidR="00BE12D0">
        <w:t xml:space="preserve"> of the study</w:t>
      </w:r>
      <w:r w:rsidR="00691B63">
        <w:t xml:space="preserve">, </w:t>
      </w:r>
      <w:r w:rsidR="00BE12D0">
        <w:t xml:space="preserve">of which </w:t>
      </w:r>
      <w:r w:rsidR="00691B63">
        <w:t xml:space="preserve">two years involve </w:t>
      </w:r>
      <w:r w:rsidR="00EC7660">
        <w:t xml:space="preserve">data </w:t>
      </w:r>
      <w:r w:rsidR="00691B63">
        <w:t>collection</w:t>
      </w:r>
      <w:r>
        <w:t>.</w:t>
      </w:r>
      <w:r w:rsidR="00691B63">
        <w:t xml:space="preserve"> The total cost for the entire </w:t>
      </w:r>
      <w:r w:rsidR="003B0D87">
        <w:t xml:space="preserve">four </w:t>
      </w:r>
      <w:r w:rsidR="00691B63">
        <w:t>year period is $</w:t>
      </w:r>
      <w:r w:rsidR="003365BA">
        <w:t>698,336</w:t>
      </w:r>
      <w:r w:rsidR="00691B63">
        <w:t>.</w:t>
      </w:r>
      <w:r>
        <w:t xml:space="preserve"> </w:t>
      </w:r>
      <w:r w:rsidR="00691B63">
        <w:t>C</w:t>
      </w:r>
      <w:r>
        <w:t xml:space="preserve">osts include personnel charges for </w:t>
      </w:r>
      <w:r w:rsidR="003A35C5">
        <w:t xml:space="preserve">NIOSH </w:t>
      </w:r>
      <w:r>
        <w:t xml:space="preserve">personnel, including contractors, </w:t>
      </w:r>
      <w:r w:rsidR="00F62682">
        <w:t xml:space="preserve">equipment, </w:t>
      </w:r>
      <w:r>
        <w:t xml:space="preserve">supplies and printing costs, and travel-related costs. </w:t>
      </w:r>
    </w:p>
    <w:p w14:paraId="3880769A" w14:textId="77777777" w:rsidR="00AD209B" w:rsidRDefault="00AD209B" w:rsidP="00AD209B">
      <w:pPr>
        <w:spacing w:after="0" w:line="20" w:lineRule="atLeast"/>
        <w:rPr>
          <w:rFonts w:eastAsia="Calibri" w:cs="Times New Roman"/>
          <w:szCs w:val="20"/>
        </w:rPr>
      </w:pPr>
      <w:r w:rsidRPr="00AD209B">
        <w:rPr>
          <w:rFonts w:eastAsia="Calibri" w:cs="Times New Roman"/>
          <w:szCs w:val="20"/>
        </w:rPr>
        <w:t>Table A14.1. Estimated Annualized Cost to the Federal Government</w:t>
      </w:r>
    </w:p>
    <w:p w14:paraId="3352BA7A" w14:textId="77777777" w:rsidR="00AD209B" w:rsidRPr="00AD209B" w:rsidRDefault="00AD209B" w:rsidP="00AD209B">
      <w:pPr>
        <w:spacing w:after="0" w:line="20" w:lineRule="atLeast"/>
        <w:rPr>
          <w:rFonts w:eastAsia="Calibri"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1771"/>
        <w:gridCol w:w="1771"/>
      </w:tblGrid>
      <w:tr w:rsidR="00AD209B" w:rsidRPr="00106EC7" w14:paraId="11683690" w14:textId="77777777" w:rsidTr="00AD209B">
        <w:tc>
          <w:tcPr>
            <w:tcW w:w="2016" w:type="dxa"/>
          </w:tcPr>
          <w:p w14:paraId="07C8AD92" w14:textId="77777777" w:rsidR="00AD209B" w:rsidRPr="00106EC7" w:rsidRDefault="00AD209B" w:rsidP="00AD209B">
            <w:pPr>
              <w:widowControl w:val="0"/>
              <w:autoSpaceDE w:val="0"/>
              <w:autoSpaceDN w:val="0"/>
              <w:adjustRightInd w:val="0"/>
              <w:spacing w:after="0" w:line="20" w:lineRule="atLeast"/>
              <w:outlineLvl w:val="0"/>
              <w:rPr>
                <w:rFonts w:eastAsia="Calibri" w:cs="Times New Roman"/>
                <w:b/>
                <w:color w:val="000000"/>
                <w:szCs w:val="20"/>
              </w:rPr>
            </w:pPr>
          </w:p>
        </w:tc>
        <w:tc>
          <w:tcPr>
            <w:tcW w:w="1771" w:type="dxa"/>
          </w:tcPr>
          <w:p w14:paraId="38B765F3" w14:textId="77777777" w:rsidR="00AD209B" w:rsidRPr="00106EC7" w:rsidRDefault="00AD209B" w:rsidP="00AD209B">
            <w:pPr>
              <w:widowControl w:val="0"/>
              <w:autoSpaceDE w:val="0"/>
              <w:autoSpaceDN w:val="0"/>
              <w:adjustRightInd w:val="0"/>
              <w:spacing w:after="0" w:line="20" w:lineRule="atLeast"/>
              <w:outlineLvl w:val="0"/>
              <w:rPr>
                <w:rFonts w:eastAsia="Calibri" w:cs="Times New Roman"/>
                <w:b/>
                <w:color w:val="000000"/>
                <w:szCs w:val="20"/>
              </w:rPr>
            </w:pPr>
          </w:p>
        </w:tc>
        <w:tc>
          <w:tcPr>
            <w:tcW w:w="1771" w:type="dxa"/>
          </w:tcPr>
          <w:p w14:paraId="6ECEDFAF" w14:textId="77777777" w:rsidR="00AD209B" w:rsidRPr="00106EC7" w:rsidRDefault="00AD209B" w:rsidP="00AD209B">
            <w:pPr>
              <w:widowControl w:val="0"/>
              <w:autoSpaceDE w:val="0"/>
              <w:autoSpaceDN w:val="0"/>
              <w:adjustRightInd w:val="0"/>
              <w:spacing w:after="0" w:line="20" w:lineRule="atLeast"/>
              <w:outlineLvl w:val="0"/>
              <w:rPr>
                <w:rFonts w:eastAsia="Calibri" w:cs="Times New Roman"/>
                <w:b/>
                <w:color w:val="000000"/>
                <w:szCs w:val="20"/>
              </w:rPr>
            </w:pPr>
            <w:bookmarkStart w:id="33" w:name="_Toc420492168"/>
            <w:bookmarkStart w:id="34" w:name="_Toc459877795"/>
            <w:bookmarkStart w:id="35" w:name="_Toc459883014"/>
            <w:bookmarkStart w:id="36" w:name="_Toc461446304"/>
            <w:r w:rsidRPr="00106EC7">
              <w:rPr>
                <w:rFonts w:eastAsia="Calibri" w:cs="Times New Roman"/>
                <w:b/>
                <w:color w:val="000000"/>
                <w:szCs w:val="20"/>
              </w:rPr>
              <w:t>Annualized Cost</w:t>
            </w:r>
            <w:bookmarkEnd w:id="33"/>
            <w:bookmarkEnd w:id="34"/>
            <w:bookmarkEnd w:id="35"/>
            <w:bookmarkEnd w:id="36"/>
          </w:p>
        </w:tc>
      </w:tr>
      <w:tr w:rsidR="00AD209B" w:rsidRPr="00AD209B" w14:paraId="451C2A9C" w14:textId="77777777" w:rsidTr="00AD209B">
        <w:tc>
          <w:tcPr>
            <w:tcW w:w="2016" w:type="dxa"/>
          </w:tcPr>
          <w:p w14:paraId="6601DAB2" w14:textId="6FEEEADC" w:rsidR="00AD209B" w:rsidRPr="00AD209B" w:rsidRDefault="003A35C5" w:rsidP="00AD209B">
            <w:pPr>
              <w:widowControl w:val="0"/>
              <w:autoSpaceDE w:val="0"/>
              <w:autoSpaceDN w:val="0"/>
              <w:adjustRightInd w:val="0"/>
              <w:spacing w:after="0" w:line="20" w:lineRule="atLeast"/>
              <w:outlineLvl w:val="0"/>
              <w:rPr>
                <w:rFonts w:eastAsia="Calibri" w:cs="Times New Roman"/>
                <w:color w:val="000000"/>
                <w:szCs w:val="20"/>
              </w:rPr>
            </w:pPr>
            <w:bookmarkStart w:id="37" w:name="_Toc420492169"/>
            <w:bookmarkStart w:id="38" w:name="_Toc459877796"/>
            <w:bookmarkStart w:id="39" w:name="_Toc459883015"/>
            <w:bookmarkStart w:id="40" w:name="_Toc461446305"/>
            <w:r>
              <w:rPr>
                <w:rFonts w:eastAsia="Calibri" w:cs="Times New Roman"/>
                <w:color w:val="000000"/>
                <w:szCs w:val="20"/>
              </w:rPr>
              <w:t>NIOSH</w:t>
            </w:r>
            <w:r w:rsidR="00AD209B" w:rsidRPr="00AD209B">
              <w:rPr>
                <w:rFonts w:eastAsia="Calibri" w:cs="Times New Roman"/>
                <w:color w:val="000000"/>
                <w:szCs w:val="20"/>
              </w:rPr>
              <w:t xml:space="preserve"> Personnel</w:t>
            </w:r>
            <w:bookmarkEnd w:id="37"/>
            <w:bookmarkEnd w:id="38"/>
            <w:bookmarkEnd w:id="39"/>
            <w:bookmarkEnd w:id="40"/>
          </w:p>
        </w:tc>
        <w:tc>
          <w:tcPr>
            <w:tcW w:w="1771" w:type="dxa"/>
          </w:tcPr>
          <w:p w14:paraId="702FDB31" w14:textId="77777777" w:rsidR="00AD209B" w:rsidRPr="00AD209B" w:rsidRDefault="00AD209B" w:rsidP="00AD209B">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14:paraId="76F8E2A7" w14:textId="77777777" w:rsidR="00AD209B" w:rsidRPr="00AD209B" w:rsidRDefault="00AD209B" w:rsidP="00F62682">
            <w:pPr>
              <w:widowControl w:val="0"/>
              <w:autoSpaceDE w:val="0"/>
              <w:autoSpaceDN w:val="0"/>
              <w:adjustRightInd w:val="0"/>
              <w:spacing w:after="0" w:line="20" w:lineRule="atLeast"/>
              <w:outlineLvl w:val="0"/>
              <w:rPr>
                <w:rFonts w:eastAsia="Calibri" w:cs="Times New Roman"/>
                <w:color w:val="000000"/>
                <w:szCs w:val="20"/>
              </w:rPr>
            </w:pPr>
            <w:bookmarkStart w:id="41" w:name="_Toc420492170"/>
            <w:bookmarkStart w:id="42" w:name="_Toc459877797"/>
            <w:bookmarkStart w:id="43" w:name="_Toc459883016"/>
            <w:bookmarkStart w:id="44" w:name="_Toc461446306"/>
            <w:r w:rsidRPr="00AD209B">
              <w:rPr>
                <w:rFonts w:eastAsia="Calibri" w:cs="Times New Roman"/>
                <w:color w:val="000000"/>
                <w:szCs w:val="20"/>
              </w:rPr>
              <w:t>$</w:t>
            </w:r>
            <w:r w:rsidR="00F62682">
              <w:rPr>
                <w:rFonts w:eastAsia="Calibri" w:cs="Times New Roman"/>
                <w:color w:val="000000"/>
                <w:szCs w:val="20"/>
              </w:rPr>
              <w:t>127,425</w:t>
            </w:r>
            <w:bookmarkEnd w:id="41"/>
            <w:bookmarkEnd w:id="42"/>
            <w:bookmarkEnd w:id="43"/>
            <w:bookmarkEnd w:id="44"/>
          </w:p>
        </w:tc>
      </w:tr>
      <w:tr w:rsidR="00AD209B" w:rsidRPr="00AD209B" w14:paraId="31DE8BEE" w14:textId="77777777" w:rsidTr="00AD209B">
        <w:tc>
          <w:tcPr>
            <w:tcW w:w="2016" w:type="dxa"/>
          </w:tcPr>
          <w:p w14:paraId="649B8BF2" w14:textId="77777777" w:rsidR="00AD209B" w:rsidRPr="00AD209B" w:rsidRDefault="00AD209B" w:rsidP="00AD209B">
            <w:pPr>
              <w:widowControl w:val="0"/>
              <w:autoSpaceDE w:val="0"/>
              <w:autoSpaceDN w:val="0"/>
              <w:adjustRightInd w:val="0"/>
              <w:spacing w:after="0" w:line="20" w:lineRule="atLeast"/>
              <w:outlineLvl w:val="0"/>
              <w:rPr>
                <w:rFonts w:eastAsia="Calibri" w:cs="Times New Roman"/>
                <w:color w:val="000000"/>
                <w:szCs w:val="20"/>
              </w:rPr>
            </w:pPr>
            <w:bookmarkStart w:id="45" w:name="_Toc420492171"/>
            <w:bookmarkStart w:id="46" w:name="_Toc459877798"/>
            <w:bookmarkStart w:id="47" w:name="_Toc459883017"/>
            <w:bookmarkStart w:id="48" w:name="_Toc461446307"/>
            <w:r w:rsidRPr="00AD209B">
              <w:rPr>
                <w:rFonts w:eastAsia="Calibri" w:cs="Times New Roman"/>
                <w:color w:val="000000"/>
                <w:szCs w:val="20"/>
              </w:rPr>
              <w:t>Contracts/Services</w:t>
            </w:r>
            <w:bookmarkEnd w:id="45"/>
            <w:bookmarkEnd w:id="46"/>
            <w:bookmarkEnd w:id="47"/>
            <w:bookmarkEnd w:id="48"/>
          </w:p>
        </w:tc>
        <w:tc>
          <w:tcPr>
            <w:tcW w:w="1771" w:type="dxa"/>
          </w:tcPr>
          <w:p w14:paraId="3E54A49F" w14:textId="77777777" w:rsidR="00AD209B" w:rsidRPr="00AD209B" w:rsidRDefault="00AD209B" w:rsidP="00AD209B">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14:paraId="503C3C35" w14:textId="77777777" w:rsidR="00AD209B" w:rsidRPr="00AD209B" w:rsidRDefault="00AD209B" w:rsidP="00F62682">
            <w:pPr>
              <w:widowControl w:val="0"/>
              <w:autoSpaceDE w:val="0"/>
              <w:autoSpaceDN w:val="0"/>
              <w:adjustRightInd w:val="0"/>
              <w:spacing w:after="0" w:line="20" w:lineRule="atLeast"/>
              <w:outlineLvl w:val="0"/>
              <w:rPr>
                <w:rFonts w:eastAsia="Calibri" w:cs="Times New Roman"/>
                <w:color w:val="000000"/>
                <w:szCs w:val="20"/>
              </w:rPr>
            </w:pPr>
            <w:bookmarkStart w:id="49" w:name="_Toc420492172"/>
            <w:bookmarkStart w:id="50" w:name="_Toc459877799"/>
            <w:bookmarkStart w:id="51" w:name="_Toc459883018"/>
            <w:bookmarkStart w:id="52" w:name="_Toc461446308"/>
            <w:r w:rsidRPr="00AD209B">
              <w:rPr>
                <w:rFonts w:eastAsia="Calibri" w:cs="Times New Roman"/>
                <w:color w:val="000000"/>
                <w:szCs w:val="20"/>
              </w:rPr>
              <w:t>$</w:t>
            </w:r>
            <w:r w:rsidR="00F62682">
              <w:rPr>
                <w:rFonts w:eastAsia="Calibri" w:cs="Times New Roman"/>
                <w:color w:val="000000"/>
                <w:szCs w:val="20"/>
              </w:rPr>
              <w:t>20,767</w:t>
            </w:r>
            <w:bookmarkEnd w:id="49"/>
            <w:bookmarkEnd w:id="50"/>
            <w:bookmarkEnd w:id="51"/>
            <w:bookmarkEnd w:id="52"/>
          </w:p>
        </w:tc>
      </w:tr>
      <w:tr w:rsidR="00AD209B" w:rsidRPr="00AD209B" w14:paraId="393AF750" w14:textId="77777777" w:rsidTr="00AD209B">
        <w:tc>
          <w:tcPr>
            <w:tcW w:w="2016" w:type="dxa"/>
          </w:tcPr>
          <w:p w14:paraId="41AAF8A9" w14:textId="77777777" w:rsidR="00AD209B" w:rsidRPr="00AD209B" w:rsidRDefault="00AD209B" w:rsidP="00AD209B">
            <w:pPr>
              <w:widowControl w:val="0"/>
              <w:autoSpaceDE w:val="0"/>
              <w:autoSpaceDN w:val="0"/>
              <w:adjustRightInd w:val="0"/>
              <w:spacing w:after="0" w:line="20" w:lineRule="atLeast"/>
              <w:outlineLvl w:val="0"/>
              <w:rPr>
                <w:rFonts w:eastAsia="Calibri" w:cs="Times New Roman"/>
                <w:color w:val="000000"/>
                <w:szCs w:val="20"/>
              </w:rPr>
            </w:pPr>
            <w:bookmarkStart w:id="53" w:name="_Toc420492173"/>
            <w:bookmarkStart w:id="54" w:name="_Toc459877800"/>
            <w:bookmarkStart w:id="55" w:name="_Toc459883019"/>
            <w:bookmarkStart w:id="56" w:name="_Toc461446309"/>
            <w:r w:rsidRPr="00AD209B">
              <w:rPr>
                <w:rFonts w:eastAsia="Calibri" w:cs="Times New Roman"/>
                <w:color w:val="000000"/>
                <w:szCs w:val="20"/>
              </w:rPr>
              <w:t>Supplies</w:t>
            </w:r>
            <w:bookmarkEnd w:id="53"/>
            <w:bookmarkEnd w:id="54"/>
            <w:bookmarkEnd w:id="55"/>
            <w:bookmarkEnd w:id="56"/>
          </w:p>
        </w:tc>
        <w:tc>
          <w:tcPr>
            <w:tcW w:w="1771" w:type="dxa"/>
          </w:tcPr>
          <w:p w14:paraId="57124502" w14:textId="77777777" w:rsidR="00AD209B" w:rsidRPr="00AD209B" w:rsidRDefault="00AD209B" w:rsidP="00AD209B">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14:paraId="72EE40DB" w14:textId="77777777" w:rsidR="00AD209B" w:rsidRPr="00AD209B" w:rsidRDefault="00AD209B" w:rsidP="00F62682">
            <w:pPr>
              <w:widowControl w:val="0"/>
              <w:autoSpaceDE w:val="0"/>
              <w:autoSpaceDN w:val="0"/>
              <w:adjustRightInd w:val="0"/>
              <w:spacing w:after="0" w:line="20" w:lineRule="atLeast"/>
              <w:outlineLvl w:val="0"/>
              <w:rPr>
                <w:rFonts w:eastAsia="Calibri" w:cs="Times New Roman"/>
                <w:color w:val="000000"/>
                <w:szCs w:val="20"/>
              </w:rPr>
            </w:pPr>
            <w:bookmarkStart w:id="57" w:name="_Toc420492174"/>
            <w:bookmarkStart w:id="58" w:name="_Toc459877801"/>
            <w:bookmarkStart w:id="59" w:name="_Toc459883020"/>
            <w:bookmarkStart w:id="60" w:name="_Toc461446310"/>
            <w:r w:rsidRPr="00AD209B">
              <w:rPr>
                <w:rFonts w:eastAsia="Calibri" w:cs="Times New Roman"/>
                <w:color w:val="000000"/>
                <w:szCs w:val="20"/>
              </w:rPr>
              <w:t>$</w:t>
            </w:r>
            <w:r w:rsidR="00F62682">
              <w:rPr>
                <w:rFonts w:eastAsia="Calibri" w:cs="Times New Roman"/>
                <w:color w:val="000000"/>
                <w:szCs w:val="20"/>
              </w:rPr>
              <w:t>1,000</w:t>
            </w:r>
            <w:bookmarkEnd w:id="57"/>
            <w:bookmarkEnd w:id="58"/>
            <w:bookmarkEnd w:id="59"/>
            <w:bookmarkEnd w:id="60"/>
          </w:p>
        </w:tc>
      </w:tr>
      <w:tr w:rsidR="00AD209B" w:rsidRPr="00AD209B" w14:paraId="6262EB0C" w14:textId="77777777" w:rsidTr="00AD209B">
        <w:tc>
          <w:tcPr>
            <w:tcW w:w="2016" w:type="dxa"/>
          </w:tcPr>
          <w:p w14:paraId="262E8551" w14:textId="77777777" w:rsidR="00AD209B" w:rsidRPr="00AD209B" w:rsidRDefault="00AD209B" w:rsidP="00AD209B">
            <w:pPr>
              <w:widowControl w:val="0"/>
              <w:autoSpaceDE w:val="0"/>
              <w:autoSpaceDN w:val="0"/>
              <w:adjustRightInd w:val="0"/>
              <w:spacing w:after="0" w:line="20" w:lineRule="atLeast"/>
              <w:outlineLvl w:val="0"/>
              <w:rPr>
                <w:rFonts w:eastAsia="Calibri" w:cs="Times New Roman"/>
                <w:color w:val="000000"/>
                <w:szCs w:val="20"/>
              </w:rPr>
            </w:pPr>
            <w:bookmarkStart w:id="61" w:name="_Toc420492175"/>
            <w:bookmarkStart w:id="62" w:name="_Toc459877802"/>
            <w:bookmarkStart w:id="63" w:name="_Toc459883021"/>
            <w:bookmarkStart w:id="64" w:name="_Toc461446311"/>
            <w:r w:rsidRPr="00AD209B">
              <w:rPr>
                <w:rFonts w:eastAsia="Calibri" w:cs="Times New Roman"/>
                <w:color w:val="000000"/>
                <w:szCs w:val="20"/>
              </w:rPr>
              <w:t>Travel</w:t>
            </w:r>
            <w:bookmarkEnd w:id="61"/>
            <w:bookmarkEnd w:id="62"/>
            <w:bookmarkEnd w:id="63"/>
            <w:bookmarkEnd w:id="64"/>
          </w:p>
        </w:tc>
        <w:tc>
          <w:tcPr>
            <w:tcW w:w="1771" w:type="dxa"/>
          </w:tcPr>
          <w:p w14:paraId="61BD3251" w14:textId="77777777" w:rsidR="00AD209B" w:rsidRPr="00AD209B" w:rsidRDefault="00AD209B" w:rsidP="00AD209B">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14:paraId="3240289D" w14:textId="77777777" w:rsidR="00AD209B" w:rsidRPr="00AD209B" w:rsidRDefault="00AD209B" w:rsidP="00F62682">
            <w:pPr>
              <w:widowControl w:val="0"/>
              <w:autoSpaceDE w:val="0"/>
              <w:autoSpaceDN w:val="0"/>
              <w:adjustRightInd w:val="0"/>
              <w:spacing w:after="0" w:line="20" w:lineRule="atLeast"/>
              <w:outlineLvl w:val="0"/>
              <w:rPr>
                <w:rFonts w:eastAsia="Calibri" w:cs="Times New Roman"/>
                <w:color w:val="000000"/>
                <w:szCs w:val="20"/>
              </w:rPr>
            </w:pPr>
            <w:bookmarkStart w:id="65" w:name="_Toc420492176"/>
            <w:bookmarkStart w:id="66" w:name="_Toc459877803"/>
            <w:bookmarkStart w:id="67" w:name="_Toc459883022"/>
            <w:bookmarkStart w:id="68" w:name="_Toc461446312"/>
            <w:r w:rsidRPr="00AD209B">
              <w:rPr>
                <w:rFonts w:eastAsia="Calibri" w:cs="Times New Roman"/>
                <w:color w:val="000000"/>
                <w:szCs w:val="20"/>
              </w:rPr>
              <w:t>$</w:t>
            </w:r>
            <w:r w:rsidR="00F62682">
              <w:rPr>
                <w:rFonts w:eastAsia="Calibri" w:cs="Times New Roman"/>
                <w:color w:val="000000"/>
                <w:szCs w:val="20"/>
              </w:rPr>
              <w:t>14,058</w:t>
            </w:r>
            <w:bookmarkEnd w:id="65"/>
            <w:bookmarkEnd w:id="66"/>
            <w:bookmarkEnd w:id="67"/>
            <w:bookmarkEnd w:id="68"/>
          </w:p>
        </w:tc>
      </w:tr>
      <w:tr w:rsidR="00AD209B" w:rsidRPr="00AD209B" w14:paraId="0AFEF347" w14:textId="77777777" w:rsidTr="00AD209B">
        <w:tc>
          <w:tcPr>
            <w:tcW w:w="2016" w:type="dxa"/>
          </w:tcPr>
          <w:p w14:paraId="07E0074D" w14:textId="77777777" w:rsidR="00AD209B" w:rsidRPr="00AD209B" w:rsidRDefault="00F62682" w:rsidP="00AD209B">
            <w:pPr>
              <w:widowControl w:val="0"/>
              <w:autoSpaceDE w:val="0"/>
              <w:autoSpaceDN w:val="0"/>
              <w:adjustRightInd w:val="0"/>
              <w:spacing w:after="0" w:line="20" w:lineRule="atLeast"/>
              <w:outlineLvl w:val="0"/>
              <w:rPr>
                <w:rFonts w:eastAsia="Calibri" w:cs="Times New Roman"/>
                <w:color w:val="000000"/>
                <w:szCs w:val="20"/>
              </w:rPr>
            </w:pPr>
            <w:bookmarkStart w:id="69" w:name="_Toc420492177"/>
            <w:bookmarkStart w:id="70" w:name="_Toc459877804"/>
            <w:bookmarkStart w:id="71" w:name="_Toc459883023"/>
            <w:bookmarkStart w:id="72" w:name="_Toc461446313"/>
            <w:r>
              <w:rPr>
                <w:rFonts w:eastAsia="Calibri" w:cs="Times New Roman"/>
                <w:color w:val="000000"/>
                <w:szCs w:val="20"/>
              </w:rPr>
              <w:t>Equipment</w:t>
            </w:r>
            <w:bookmarkEnd w:id="69"/>
            <w:bookmarkEnd w:id="70"/>
            <w:bookmarkEnd w:id="71"/>
            <w:bookmarkEnd w:id="72"/>
          </w:p>
        </w:tc>
        <w:tc>
          <w:tcPr>
            <w:tcW w:w="1771" w:type="dxa"/>
          </w:tcPr>
          <w:p w14:paraId="3884C394" w14:textId="77777777" w:rsidR="00AD209B" w:rsidRPr="00AD209B" w:rsidRDefault="00AD209B" w:rsidP="00AD209B">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14:paraId="584FDDDB" w14:textId="77777777" w:rsidR="00AD209B" w:rsidRPr="00AD209B" w:rsidRDefault="00AD209B" w:rsidP="00F62682">
            <w:pPr>
              <w:widowControl w:val="0"/>
              <w:autoSpaceDE w:val="0"/>
              <w:autoSpaceDN w:val="0"/>
              <w:adjustRightInd w:val="0"/>
              <w:spacing w:after="0" w:line="20" w:lineRule="atLeast"/>
              <w:outlineLvl w:val="0"/>
              <w:rPr>
                <w:rFonts w:eastAsia="Calibri" w:cs="Times New Roman"/>
                <w:color w:val="000000"/>
                <w:szCs w:val="20"/>
              </w:rPr>
            </w:pPr>
            <w:bookmarkStart w:id="73" w:name="_Toc420492178"/>
            <w:bookmarkStart w:id="74" w:name="_Toc459877805"/>
            <w:bookmarkStart w:id="75" w:name="_Toc459883024"/>
            <w:bookmarkStart w:id="76" w:name="_Toc461446314"/>
            <w:r w:rsidRPr="00AD209B">
              <w:rPr>
                <w:rFonts w:eastAsia="Calibri" w:cs="Times New Roman"/>
                <w:color w:val="000000"/>
                <w:szCs w:val="20"/>
              </w:rPr>
              <w:t>$</w:t>
            </w:r>
            <w:r w:rsidR="00F62682">
              <w:rPr>
                <w:rFonts w:eastAsia="Calibri" w:cs="Times New Roman"/>
                <w:color w:val="000000"/>
                <w:szCs w:val="20"/>
              </w:rPr>
              <w:t>2,334</w:t>
            </w:r>
            <w:bookmarkEnd w:id="73"/>
            <w:bookmarkEnd w:id="74"/>
            <w:bookmarkEnd w:id="75"/>
            <w:bookmarkEnd w:id="76"/>
          </w:p>
        </w:tc>
      </w:tr>
      <w:tr w:rsidR="00F62682" w:rsidRPr="00AD209B" w14:paraId="1B28012E" w14:textId="77777777" w:rsidTr="00AD209B">
        <w:tc>
          <w:tcPr>
            <w:tcW w:w="2016" w:type="dxa"/>
          </w:tcPr>
          <w:p w14:paraId="71C7A0AA" w14:textId="77777777" w:rsidR="00F62682" w:rsidRDefault="00F62682" w:rsidP="00AD209B">
            <w:pPr>
              <w:widowControl w:val="0"/>
              <w:autoSpaceDE w:val="0"/>
              <w:autoSpaceDN w:val="0"/>
              <w:adjustRightInd w:val="0"/>
              <w:spacing w:after="0" w:line="20" w:lineRule="atLeast"/>
              <w:outlineLvl w:val="0"/>
              <w:rPr>
                <w:rFonts w:eastAsia="Calibri" w:cs="Times New Roman"/>
                <w:color w:val="000000"/>
                <w:szCs w:val="20"/>
              </w:rPr>
            </w:pPr>
            <w:bookmarkStart w:id="77" w:name="_Toc420492179"/>
            <w:bookmarkStart w:id="78" w:name="_Toc459877806"/>
            <w:bookmarkStart w:id="79" w:name="_Toc459883025"/>
            <w:bookmarkStart w:id="80" w:name="_Toc461446315"/>
            <w:r>
              <w:rPr>
                <w:rFonts w:eastAsia="Calibri" w:cs="Times New Roman"/>
                <w:color w:val="000000"/>
                <w:szCs w:val="20"/>
              </w:rPr>
              <w:t>Other (Tokens of Appreciation, Printing, Shipping)</w:t>
            </w:r>
            <w:bookmarkEnd w:id="77"/>
            <w:bookmarkEnd w:id="78"/>
            <w:bookmarkEnd w:id="79"/>
            <w:bookmarkEnd w:id="80"/>
          </w:p>
        </w:tc>
        <w:tc>
          <w:tcPr>
            <w:tcW w:w="1771" w:type="dxa"/>
          </w:tcPr>
          <w:p w14:paraId="126B8A9A" w14:textId="77777777" w:rsidR="00F62682" w:rsidRPr="00AD209B" w:rsidRDefault="00F62682" w:rsidP="00AD209B">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14:paraId="42B0FEB3" w14:textId="5C85A374" w:rsidR="00F62682" w:rsidRPr="00AD209B" w:rsidRDefault="00F62682" w:rsidP="004A441C">
            <w:pPr>
              <w:widowControl w:val="0"/>
              <w:autoSpaceDE w:val="0"/>
              <w:autoSpaceDN w:val="0"/>
              <w:adjustRightInd w:val="0"/>
              <w:spacing w:after="0" w:line="20" w:lineRule="atLeast"/>
              <w:outlineLvl w:val="0"/>
              <w:rPr>
                <w:rFonts w:eastAsia="Calibri" w:cs="Times New Roman"/>
                <w:color w:val="000000"/>
                <w:szCs w:val="20"/>
              </w:rPr>
            </w:pPr>
            <w:bookmarkStart w:id="81" w:name="_Toc420492180"/>
            <w:bookmarkStart w:id="82" w:name="_Toc459877807"/>
            <w:bookmarkStart w:id="83" w:name="_Toc459883026"/>
            <w:bookmarkStart w:id="84" w:name="_Toc461446316"/>
            <w:r>
              <w:rPr>
                <w:rFonts w:eastAsia="Calibri" w:cs="Times New Roman"/>
                <w:color w:val="000000"/>
                <w:szCs w:val="20"/>
              </w:rPr>
              <w:t>$</w:t>
            </w:r>
            <w:bookmarkEnd w:id="81"/>
            <w:bookmarkEnd w:id="82"/>
            <w:bookmarkEnd w:id="83"/>
            <w:bookmarkEnd w:id="84"/>
            <w:r w:rsidR="004A441C">
              <w:rPr>
                <w:rFonts w:eastAsia="Calibri" w:cs="Times New Roman"/>
                <w:color w:val="000000"/>
                <w:szCs w:val="20"/>
              </w:rPr>
              <w:t>7,500</w:t>
            </w:r>
          </w:p>
        </w:tc>
      </w:tr>
      <w:tr w:rsidR="00AD209B" w:rsidRPr="00AD209B" w14:paraId="6B69977E" w14:textId="77777777" w:rsidTr="00AD209B">
        <w:tc>
          <w:tcPr>
            <w:tcW w:w="2016" w:type="dxa"/>
          </w:tcPr>
          <w:p w14:paraId="68C2079E" w14:textId="77777777" w:rsidR="00AD209B" w:rsidRPr="00AD209B" w:rsidRDefault="00AD209B" w:rsidP="00AD209B">
            <w:pPr>
              <w:widowControl w:val="0"/>
              <w:autoSpaceDE w:val="0"/>
              <w:autoSpaceDN w:val="0"/>
              <w:adjustRightInd w:val="0"/>
              <w:spacing w:after="0" w:line="20" w:lineRule="atLeast"/>
              <w:outlineLvl w:val="0"/>
              <w:rPr>
                <w:rFonts w:eastAsia="Calibri" w:cs="Times New Roman"/>
                <w:color w:val="000000"/>
                <w:szCs w:val="20"/>
              </w:rPr>
            </w:pPr>
            <w:bookmarkStart w:id="85" w:name="_Toc420492181"/>
            <w:bookmarkStart w:id="86" w:name="_Toc459877808"/>
            <w:bookmarkStart w:id="87" w:name="_Toc459883027"/>
            <w:bookmarkStart w:id="88" w:name="_Toc461446317"/>
            <w:r w:rsidRPr="00AD209B">
              <w:rPr>
                <w:rFonts w:eastAsia="Calibri" w:cs="Times New Roman"/>
                <w:color w:val="000000"/>
                <w:szCs w:val="20"/>
              </w:rPr>
              <w:t>Total</w:t>
            </w:r>
            <w:bookmarkEnd w:id="85"/>
            <w:bookmarkEnd w:id="86"/>
            <w:bookmarkEnd w:id="87"/>
            <w:bookmarkEnd w:id="88"/>
          </w:p>
        </w:tc>
        <w:tc>
          <w:tcPr>
            <w:tcW w:w="1771" w:type="dxa"/>
          </w:tcPr>
          <w:p w14:paraId="76AB244B" w14:textId="77777777" w:rsidR="00AD209B" w:rsidRPr="00AD209B" w:rsidRDefault="00AD209B" w:rsidP="00AD209B">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14:paraId="1E9C40AB" w14:textId="0ACEE7DB" w:rsidR="00AD209B" w:rsidRPr="00AD209B" w:rsidRDefault="00AD209B" w:rsidP="004A441C">
            <w:pPr>
              <w:widowControl w:val="0"/>
              <w:autoSpaceDE w:val="0"/>
              <w:autoSpaceDN w:val="0"/>
              <w:adjustRightInd w:val="0"/>
              <w:spacing w:after="0" w:line="20" w:lineRule="atLeast"/>
              <w:outlineLvl w:val="0"/>
              <w:rPr>
                <w:rFonts w:eastAsia="Calibri" w:cs="Times New Roman"/>
                <w:color w:val="000000"/>
                <w:szCs w:val="20"/>
              </w:rPr>
            </w:pPr>
            <w:bookmarkStart w:id="89" w:name="_Toc420492182"/>
            <w:bookmarkStart w:id="90" w:name="_Toc459877809"/>
            <w:bookmarkStart w:id="91" w:name="_Toc459883028"/>
            <w:bookmarkStart w:id="92" w:name="_Toc461446318"/>
            <w:r w:rsidRPr="00AD209B">
              <w:rPr>
                <w:rFonts w:eastAsia="Calibri" w:cs="Times New Roman"/>
                <w:color w:val="000000"/>
                <w:szCs w:val="20"/>
              </w:rPr>
              <w:t>$</w:t>
            </w:r>
            <w:bookmarkEnd w:id="89"/>
            <w:bookmarkEnd w:id="90"/>
            <w:bookmarkEnd w:id="91"/>
            <w:bookmarkEnd w:id="92"/>
            <w:r w:rsidR="004A441C">
              <w:rPr>
                <w:rFonts w:eastAsia="Calibri" w:cs="Times New Roman"/>
                <w:color w:val="000000"/>
                <w:szCs w:val="20"/>
              </w:rPr>
              <w:t>173,084</w:t>
            </w:r>
          </w:p>
        </w:tc>
      </w:tr>
    </w:tbl>
    <w:p w14:paraId="4CE59F87" w14:textId="77777777" w:rsidR="00AD209B" w:rsidRPr="00AD209B" w:rsidRDefault="00AD209B" w:rsidP="00AD209B">
      <w:pPr>
        <w:keepNext/>
        <w:spacing w:after="0" w:line="20" w:lineRule="atLeast"/>
        <w:outlineLvl w:val="1"/>
        <w:rPr>
          <w:rFonts w:ascii="Times New Roman" w:eastAsia="Calibri" w:hAnsi="Times New Roman" w:cs="Times New Roman"/>
          <w:b/>
          <w:sz w:val="24"/>
          <w:szCs w:val="20"/>
        </w:rPr>
      </w:pPr>
    </w:p>
    <w:p w14:paraId="2025E778" w14:textId="77777777" w:rsidR="00C17F30" w:rsidRPr="00691B63" w:rsidRDefault="00E90F80" w:rsidP="008429FD">
      <w:pPr>
        <w:pStyle w:val="Heading1"/>
      </w:pPr>
      <w:bookmarkStart w:id="93" w:name="_Toc420492183"/>
      <w:bookmarkStart w:id="94" w:name="_Toc461446319"/>
      <w:r>
        <w:t>A.</w:t>
      </w:r>
      <w:r w:rsidR="00C17F30" w:rsidRPr="00691B63">
        <w:t xml:space="preserve">15. </w:t>
      </w:r>
      <w:r w:rsidR="00691B63" w:rsidRPr="00691B63">
        <w:t>Explanation for Program Changes or Adjustments</w:t>
      </w:r>
      <w:bookmarkEnd w:id="93"/>
      <w:bookmarkEnd w:id="94"/>
    </w:p>
    <w:p w14:paraId="692DAFDF" w14:textId="77777777" w:rsidR="00691B63" w:rsidRDefault="00691B63" w:rsidP="00C17F30">
      <w:r>
        <w:t>This is a new data collection</w:t>
      </w:r>
      <w:r w:rsidR="00E90F80">
        <w:t>.</w:t>
      </w:r>
    </w:p>
    <w:p w14:paraId="18C0F094" w14:textId="77777777" w:rsidR="00C17F30" w:rsidRPr="00E90F80" w:rsidRDefault="00E90F80" w:rsidP="008429FD">
      <w:pPr>
        <w:pStyle w:val="Heading1"/>
      </w:pPr>
      <w:bookmarkStart w:id="95" w:name="_Toc420492184"/>
      <w:bookmarkStart w:id="96" w:name="_Toc461446320"/>
      <w:r w:rsidRPr="00E90F80">
        <w:t>A.</w:t>
      </w:r>
      <w:r w:rsidR="00C17F30" w:rsidRPr="00E90F80">
        <w:t xml:space="preserve">16. </w:t>
      </w:r>
      <w:r w:rsidRPr="00E90F80">
        <w:t>Plans for Tabulation and Publication and Project Time Schedule</w:t>
      </w:r>
      <w:bookmarkEnd w:id="95"/>
      <w:bookmarkEnd w:id="96"/>
    </w:p>
    <w:p w14:paraId="3CDA2D31" w14:textId="78EC5D55" w:rsidR="00ED42DB" w:rsidRDefault="00ED42DB" w:rsidP="00C17F30">
      <w:r>
        <w:t>Descriptive and statistical methods will be used to analyze the data. Responses for each question will be aggregated and reported with simple proportions. Results may be stratified by occupation, company type, or another logical stratification. However, results will not be stratified where the numbers are too small and could result in unintentional identification of respondents. Multivariate logistic regression will be used to evaluate associations between injury/illness and health and personal habits, driving and other on-the-job safety habits, and elements of the work environment (including safety climate and safety policies)</w:t>
      </w:r>
      <w:r w:rsidR="008866A0">
        <w:t>.</w:t>
      </w:r>
    </w:p>
    <w:p w14:paraId="190478F6" w14:textId="77777777" w:rsidR="00E90F80" w:rsidRDefault="00ED42DB" w:rsidP="00C17F30">
      <w:r>
        <w:t xml:space="preserve">Table A.16.1. </w:t>
      </w:r>
      <w:r w:rsidR="00E90F80">
        <w:t>Project Time Schedule</w:t>
      </w:r>
    </w:p>
    <w:tbl>
      <w:tblPr>
        <w:tblStyle w:val="TableGrid"/>
        <w:tblW w:w="0" w:type="auto"/>
        <w:tblLook w:val="04A0" w:firstRow="1" w:lastRow="0" w:firstColumn="1" w:lastColumn="0" w:noHBand="0" w:noVBand="1"/>
      </w:tblPr>
      <w:tblGrid>
        <w:gridCol w:w="5035"/>
        <w:gridCol w:w="5035"/>
      </w:tblGrid>
      <w:tr w:rsidR="00E90F80" w14:paraId="4A6620F3" w14:textId="77777777" w:rsidTr="00E90F80">
        <w:tc>
          <w:tcPr>
            <w:tcW w:w="5035" w:type="dxa"/>
          </w:tcPr>
          <w:p w14:paraId="5BA125C5" w14:textId="77777777" w:rsidR="00E90F80" w:rsidRDefault="00E90F80" w:rsidP="00C17F30">
            <w:r>
              <w:t>Activity</w:t>
            </w:r>
          </w:p>
        </w:tc>
        <w:tc>
          <w:tcPr>
            <w:tcW w:w="5035" w:type="dxa"/>
          </w:tcPr>
          <w:p w14:paraId="5032DD71" w14:textId="77777777" w:rsidR="00E90F80" w:rsidRDefault="00E90F80" w:rsidP="00C17F30">
            <w:r>
              <w:t>Time Schedule</w:t>
            </w:r>
          </w:p>
        </w:tc>
      </w:tr>
      <w:tr w:rsidR="00E90F80" w14:paraId="0DFCADD0" w14:textId="77777777" w:rsidTr="00E90F80">
        <w:tc>
          <w:tcPr>
            <w:tcW w:w="5035" w:type="dxa"/>
          </w:tcPr>
          <w:p w14:paraId="4B0AEF81" w14:textId="77777777" w:rsidR="00E90F80" w:rsidRDefault="00E90F80" w:rsidP="00C17F30">
            <w:r>
              <w:t xml:space="preserve">Develop database to collect questionnaire responses </w:t>
            </w:r>
          </w:p>
        </w:tc>
        <w:tc>
          <w:tcPr>
            <w:tcW w:w="5035" w:type="dxa"/>
          </w:tcPr>
          <w:p w14:paraId="7D9310E9" w14:textId="77777777" w:rsidR="00E90F80" w:rsidRDefault="00E90F80" w:rsidP="00C17F30">
            <w:r>
              <w:t>During OMB Review</w:t>
            </w:r>
          </w:p>
        </w:tc>
      </w:tr>
      <w:tr w:rsidR="00E90F80" w14:paraId="6B595072" w14:textId="77777777" w:rsidTr="00E90F80">
        <w:tc>
          <w:tcPr>
            <w:tcW w:w="5035" w:type="dxa"/>
          </w:tcPr>
          <w:p w14:paraId="31A4BF15" w14:textId="77777777" w:rsidR="00E90F80" w:rsidRDefault="00E90F80" w:rsidP="00E90F80">
            <w:r>
              <w:t>Outreach to oil and gas companies to identify potential participants</w:t>
            </w:r>
          </w:p>
        </w:tc>
        <w:tc>
          <w:tcPr>
            <w:tcW w:w="5035" w:type="dxa"/>
          </w:tcPr>
          <w:p w14:paraId="18435D27" w14:textId="77777777" w:rsidR="00E90F80" w:rsidRDefault="00E90F80" w:rsidP="00C17F30">
            <w:r>
              <w:t>During OMB Review</w:t>
            </w:r>
          </w:p>
        </w:tc>
      </w:tr>
      <w:tr w:rsidR="00E90F80" w14:paraId="005FFF37" w14:textId="77777777" w:rsidTr="00E90F80">
        <w:tc>
          <w:tcPr>
            <w:tcW w:w="5035" w:type="dxa"/>
          </w:tcPr>
          <w:p w14:paraId="5C7016DB" w14:textId="77777777" w:rsidR="00E90F80" w:rsidRDefault="00E90F80" w:rsidP="00C17F30">
            <w:r>
              <w:t>Data Collection</w:t>
            </w:r>
          </w:p>
        </w:tc>
        <w:tc>
          <w:tcPr>
            <w:tcW w:w="5035" w:type="dxa"/>
          </w:tcPr>
          <w:p w14:paraId="5329A9B2" w14:textId="5FBC0502" w:rsidR="00E90F80" w:rsidRDefault="00E90F80" w:rsidP="00494EA3">
            <w:r>
              <w:t>1</w:t>
            </w:r>
            <w:r w:rsidR="00DF35B4">
              <w:t>–</w:t>
            </w:r>
            <w:r w:rsidR="00494EA3">
              <w:t>24</w:t>
            </w:r>
            <w:r>
              <w:t xml:space="preserve"> months after OMB Approval</w:t>
            </w:r>
          </w:p>
        </w:tc>
      </w:tr>
      <w:tr w:rsidR="00E90F80" w14:paraId="52C310D5" w14:textId="77777777" w:rsidTr="00E90F80">
        <w:tc>
          <w:tcPr>
            <w:tcW w:w="5035" w:type="dxa"/>
          </w:tcPr>
          <w:p w14:paraId="7DCE8385" w14:textId="77777777" w:rsidR="00E90F80" w:rsidRDefault="00E90F80" w:rsidP="00C17F30">
            <w:r>
              <w:t>Data Cleaning</w:t>
            </w:r>
          </w:p>
        </w:tc>
        <w:tc>
          <w:tcPr>
            <w:tcW w:w="5035" w:type="dxa"/>
          </w:tcPr>
          <w:p w14:paraId="76987B67" w14:textId="61ED7553" w:rsidR="00E90F80" w:rsidRDefault="00494EA3" w:rsidP="00ED42DB">
            <w:r>
              <w:t>12-25</w:t>
            </w:r>
            <w:r w:rsidR="00E90F80">
              <w:t xml:space="preserve"> months after OMB Approval</w:t>
            </w:r>
          </w:p>
        </w:tc>
      </w:tr>
      <w:tr w:rsidR="00E90F80" w14:paraId="2462D14A" w14:textId="77777777" w:rsidTr="00E90F80">
        <w:tc>
          <w:tcPr>
            <w:tcW w:w="5035" w:type="dxa"/>
          </w:tcPr>
          <w:p w14:paraId="2069A34F" w14:textId="77777777" w:rsidR="00E90F80" w:rsidRDefault="00E90F80" w:rsidP="00C17F30">
            <w:r>
              <w:t>Data Analysis</w:t>
            </w:r>
          </w:p>
        </w:tc>
        <w:tc>
          <w:tcPr>
            <w:tcW w:w="5035" w:type="dxa"/>
          </w:tcPr>
          <w:p w14:paraId="0FAABEB5" w14:textId="3DEEDB87" w:rsidR="00E90F80" w:rsidRDefault="00494EA3" w:rsidP="00DF35B4">
            <w:r>
              <w:t>25-27</w:t>
            </w:r>
            <w:r w:rsidR="00E90F80">
              <w:t xml:space="preserve"> months after OMB Approval</w:t>
            </w:r>
          </w:p>
        </w:tc>
      </w:tr>
      <w:tr w:rsidR="00E90F80" w14:paraId="37D95C56" w14:textId="77777777" w:rsidTr="00E90F80">
        <w:tc>
          <w:tcPr>
            <w:tcW w:w="5035" w:type="dxa"/>
          </w:tcPr>
          <w:p w14:paraId="7E03CBCF" w14:textId="77777777" w:rsidR="00E90F80" w:rsidRDefault="00E90F80" w:rsidP="00C17F30">
            <w:r>
              <w:t>Publication</w:t>
            </w:r>
          </w:p>
        </w:tc>
        <w:tc>
          <w:tcPr>
            <w:tcW w:w="5035" w:type="dxa"/>
          </w:tcPr>
          <w:p w14:paraId="72AED2C9" w14:textId="7A3B8C75" w:rsidR="00E90F80" w:rsidRDefault="00494EA3" w:rsidP="00DF35B4">
            <w:r>
              <w:t>28</w:t>
            </w:r>
            <w:r w:rsidR="00DF35B4">
              <w:t>–</w:t>
            </w:r>
            <w:r>
              <w:t>36</w:t>
            </w:r>
            <w:r w:rsidR="00ED42DB">
              <w:t xml:space="preserve"> months after OMB Approval</w:t>
            </w:r>
          </w:p>
        </w:tc>
      </w:tr>
    </w:tbl>
    <w:p w14:paraId="649C58BA" w14:textId="77777777" w:rsidR="00C17F30" w:rsidRPr="00975B3A" w:rsidRDefault="00975B3A" w:rsidP="008429FD">
      <w:pPr>
        <w:pStyle w:val="Heading1"/>
      </w:pPr>
      <w:bookmarkStart w:id="97" w:name="_Toc420492185"/>
      <w:bookmarkStart w:id="98" w:name="_Toc461446321"/>
      <w:r w:rsidRPr="00975B3A">
        <w:t>A.</w:t>
      </w:r>
      <w:r w:rsidR="00C17F30" w:rsidRPr="00975B3A">
        <w:t xml:space="preserve">17. </w:t>
      </w:r>
      <w:r w:rsidRPr="00975B3A">
        <w:t>Reason(s) Display of OMB Expiration Date is Inappropriate</w:t>
      </w:r>
      <w:bookmarkEnd w:id="97"/>
      <w:bookmarkEnd w:id="98"/>
    </w:p>
    <w:p w14:paraId="5D04C1F8" w14:textId="77777777" w:rsidR="00975B3A" w:rsidRDefault="00975B3A" w:rsidP="00C17F30">
      <w:r>
        <w:t xml:space="preserve">The display of the OMB expiration date is not inappropriate. </w:t>
      </w:r>
    </w:p>
    <w:p w14:paraId="1A921E3D" w14:textId="77777777" w:rsidR="00975B3A" w:rsidRPr="00975B3A" w:rsidRDefault="00975B3A" w:rsidP="008429FD">
      <w:pPr>
        <w:pStyle w:val="Heading1"/>
      </w:pPr>
      <w:bookmarkStart w:id="99" w:name="_Toc420492186"/>
      <w:bookmarkStart w:id="100" w:name="_Toc461446322"/>
      <w:r w:rsidRPr="00975B3A">
        <w:t>A.</w:t>
      </w:r>
      <w:r w:rsidR="00C17F30" w:rsidRPr="00975B3A">
        <w:t xml:space="preserve">18. </w:t>
      </w:r>
      <w:r w:rsidRPr="00975B3A">
        <w:t>Exceptions to Certification for Paperwork Reduction Act Submissions</w:t>
      </w:r>
      <w:bookmarkEnd w:id="99"/>
      <w:bookmarkEnd w:id="100"/>
    </w:p>
    <w:p w14:paraId="729EC726" w14:textId="77777777" w:rsidR="00975B3A" w:rsidRDefault="00DE661D" w:rsidP="00C17F30">
      <w:r>
        <w:t xml:space="preserve">There are no exceptions to the certification. </w:t>
      </w:r>
    </w:p>
    <w:p w14:paraId="04A45BDC" w14:textId="77777777" w:rsidR="00593B2D" w:rsidRDefault="00593B2D" w:rsidP="008429FD">
      <w:pPr>
        <w:pStyle w:val="Heading1"/>
      </w:pPr>
      <w:bookmarkStart w:id="101" w:name="_Toc420492187"/>
      <w:bookmarkStart w:id="102" w:name="_Toc461446323"/>
    </w:p>
    <w:p w14:paraId="504AF776" w14:textId="344928DA" w:rsidR="00DE661D" w:rsidRPr="00D2026F" w:rsidRDefault="00D2026F" w:rsidP="008429FD">
      <w:pPr>
        <w:pStyle w:val="Heading1"/>
      </w:pPr>
      <w:r w:rsidRPr="00D2026F">
        <w:t>References</w:t>
      </w:r>
      <w:bookmarkEnd w:id="101"/>
      <w:bookmarkEnd w:id="102"/>
    </w:p>
    <w:p w14:paraId="345736EE" w14:textId="77777777" w:rsidR="003D77AA" w:rsidRDefault="003D77AA" w:rsidP="003D77AA">
      <w:pPr>
        <w:pStyle w:val="ListParagraph"/>
        <w:numPr>
          <w:ilvl w:val="0"/>
          <w:numId w:val="7"/>
        </w:numPr>
      </w:pPr>
      <w:r w:rsidRPr="009C768A">
        <w:t>Mason KL, Retzer KD, Hill R, Lincoln JM. Occupational fatalities during the oil and gas boom—United States, 2003–2013. MMWR Morb Mortal Wkly Rep 2015;</w:t>
      </w:r>
      <w:r>
        <w:t xml:space="preserve"> </w:t>
      </w:r>
      <w:r w:rsidRPr="009C768A">
        <w:t>64:551–4.</w:t>
      </w:r>
    </w:p>
    <w:p w14:paraId="10E314F7" w14:textId="77777777" w:rsidR="003D77AA" w:rsidRPr="002227F1" w:rsidRDefault="003D77AA" w:rsidP="003D77AA">
      <w:pPr>
        <w:pStyle w:val="ListParagraph"/>
        <w:numPr>
          <w:ilvl w:val="0"/>
          <w:numId w:val="7"/>
        </w:numPr>
      </w:pPr>
      <w:r w:rsidRPr="002227F1">
        <w:rPr>
          <w:bCs/>
        </w:rPr>
        <w:t>CDC (Centers for Disease Control and Prevention) [2008]. Fatalities among oil and gas extraction workers-United States, 2003-2006. MMWR 57 (16): 429-431.</w:t>
      </w:r>
    </w:p>
    <w:p w14:paraId="72A80CA9" w14:textId="77777777" w:rsidR="003D77AA" w:rsidRDefault="003D77AA" w:rsidP="003D77AA">
      <w:pPr>
        <w:pStyle w:val="ListParagraph"/>
        <w:numPr>
          <w:ilvl w:val="0"/>
          <w:numId w:val="7"/>
        </w:numPr>
      </w:pPr>
      <w:r w:rsidRPr="00D2026F">
        <w:t>Retzer KD, Hill RD, Pratt SG [</w:t>
      </w:r>
      <w:r>
        <w:t>2013</w:t>
      </w:r>
      <w:r w:rsidRPr="00D2026F">
        <w:t>]. Motor vehicle fatalities in the oil &amp; gas extraction industry. Accid Anal Prev.</w:t>
      </w:r>
      <w:r>
        <w:t xml:space="preserve"> </w:t>
      </w:r>
      <w:r w:rsidRPr="002227F1">
        <w:t>51:168–174</w:t>
      </w:r>
      <w:r>
        <w:t xml:space="preserve">. </w:t>
      </w:r>
    </w:p>
    <w:p w14:paraId="33FAB3CB" w14:textId="77777777" w:rsidR="003D77AA" w:rsidRPr="00D2026F" w:rsidRDefault="003D77AA" w:rsidP="003D77AA">
      <w:pPr>
        <w:pStyle w:val="ListParagraph"/>
        <w:numPr>
          <w:ilvl w:val="0"/>
          <w:numId w:val="7"/>
        </w:numPr>
      </w:pPr>
      <w:r w:rsidRPr="00D2026F">
        <w:t xml:space="preserve">Retzer K, Hill R, Conway G [2011]. Mortality statistics for the US upstream industry: an analysis of circumstances, trends, and recommendations. Paper presented at SPE Americas E&amp;P Health, Safety, Security, and Environmental Conference, Houston, TX, March 21. </w:t>
      </w:r>
    </w:p>
    <w:p w14:paraId="33D04B16" w14:textId="77777777" w:rsidR="003D77AA" w:rsidRDefault="003D77AA" w:rsidP="003D77AA">
      <w:pPr>
        <w:pStyle w:val="ListParagraph"/>
        <w:numPr>
          <w:ilvl w:val="0"/>
          <w:numId w:val="7"/>
        </w:numPr>
      </w:pPr>
      <w:r w:rsidRPr="006C5C8F">
        <w:t>Mode N, Conway GA [2007]. Working Hard to Work Hard Safely. Paper presented at SPE E&amp;P Environmental and Safety Conference, Galveston, TX, March 5.</w:t>
      </w:r>
    </w:p>
    <w:p w14:paraId="58DD6AC0" w14:textId="207FCE5C" w:rsidR="003D77AA" w:rsidRDefault="003D77AA" w:rsidP="003D77AA">
      <w:pPr>
        <w:pStyle w:val="ListParagraph"/>
        <w:numPr>
          <w:ilvl w:val="0"/>
          <w:numId w:val="7"/>
        </w:numPr>
        <w:rPr>
          <w:bCs/>
        </w:rPr>
      </w:pPr>
      <w:r w:rsidRPr="00D2026F">
        <w:rPr>
          <w:bCs/>
        </w:rPr>
        <w:t>Esswein EJ, Breitenstein MJ, Snawder JE</w:t>
      </w:r>
      <w:r w:rsidR="00982236">
        <w:rPr>
          <w:bCs/>
        </w:rPr>
        <w:t>, Kiefer M, Sieber WK [</w:t>
      </w:r>
      <w:r>
        <w:rPr>
          <w:bCs/>
        </w:rPr>
        <w:t>2013</w:t>
      </w:r>
      <w:r w:rsidRPr="00D2026F">
        <w:rPr>
          <w:bCs/>
        </w:rPr>
        <w:t>] Occupational exposures to respirable crystalline silica during hydraulic fracturing. J Occup Environ Hyg</w:t>
      </w:r>
      <w:r>
        <w:rPr>
          <w:bCs/>
        </w:rPr>
        <w:t xml:space="preserve">, </w:t>
      </w:r>
      <w:r w:rsidRPr="00D66274">
        <w:rPr>
          <w:bCs/>
        </w:rPr>
        <w:t>10(7):347–356</w:t>
      </w:r>
      <w:r w:rsidRPr="00D2026F">
        <w:rPr>
          <w:bCs/>
        </w:rPr>
        <w:t xml:space="preserve">. </w:t>
      </w:r>
    </w:p>
    <w:p w14:paraId="415526D6" w14:textId="77777777" w:rsidR="003D77AA" w:rsidRPr="002227F1" w:rsidRDefault="003D77AA" w:rsidP="003D77AA">
      <w:pPr>
        <w:pStyle w:val="ListParagraph"/>
        <w:numPr>
          <w:ilvl w:val="0"/>
          <w:numId w:val="7"/>
        </w:numPr>
        <w:rPr>
          <w:bCs/>
        </w:rPr>
      </w:pPr>
      <w:r>
        <w:rPr>
          <w:bCs/>
        </w:rPr>
        <w:t xml:space="preserve">Esswein EJ, Snawder J, King B, Brietenstein MJ, Alexander-Scott M, and Kiefer M [2014]. </w:t>
      </w:r>
      <w:r w:rsidRPr="002227F1">
        <w:rPr>
          <w:bCs/>
        </w:rPr>
        <w:t>Evaluation of Some Potential Chemical Exposure Risks During Flowback Operations in Unconventional Oil and Gas Extraction: Preliminary Results</w:t>
      </w:r>
      <w:r>
        <w:rPr>
          <w:bCs/>
        </w:rPr>
        <w:t xml:space="preserve">. J Occup Environ Hyg, </w:t>
      </w:r>
      <w:r>
        <w:rPr>
          <w:rFonts w:ascii="Trebuchet MS" w:hAnsi="Trebuchet MS" w:cs="Trebuchet MS"/>
          <w:sz w:val="20"/>
          <w:szCs w:val="20"/>
        </w:rPr>
        <w:t>11:10, D174-D184.</w:t>
      </w:r>
    </w:p>
    <w:p w14:paraId="7ABFA679" w14:textId="77777777" w:rsidR="003D77AA" w:rsidRDefault="003D77AA" w:rsidP="003D77AA">
      <w:pPr>
        <w:pStyle w:val="ListParagraph"/>
        <w:numPr>
          <w:ilvl w:val="0"/>
          <w:numId w:val="7"/>
        </w:numPr>
      </w:pPr>
      <w:r>
        <w:t>OSHA/NIOSH [2012]. OSHA NIOSH hazard alert: worker exposure to silica during hydraulic fracturing. Cincinnati, OH: U.S. Department of Health and Human Services, Centers for Disease Control and Prevention, National Institute for Occupational Safety and Health, DHHS (NIOSH) Publication No. 2012-166.</w:t>
      </w:r>
    </w:p>
    <w:p w14:paraId="25625BC8" w14:textId="77777777" w:rsidR="003D77AA" w:rsidRDefault="003D77AA" w:rsidP="003D77AA">
      <w:pPr>
        <w:pStyle w:val="ListParagraph"/>
        <w:numPr>
          <w:ilvl w:val="0"/>
          <w:numId w:val="7"/>
        </w:numPr>
      </w:pPr>
      <w:r>
        <w:t>Sieber-WK; Robinson-CF; Birdsey-J; Chen-GX; Hitchcock-EM; Lincoln-JE; Nakata-A; Sweeney-MH [2014]. Obesity and other risk factors: the National Survey of U.S. Long-Haul Truck Driver Health and Injury. Am J Ind Med, Jun; 57(6):615-626.</w:t>
      </w:r>
    </w:p>
    <w:p w14:paraId="4384A8A5" w14:textId="449E6D1A" w:rsidR="008E069D" w:rsidRDefault="008E069D" w:rsidP="00D65232">
      <w:pPr>
        <w:pStyle w:val="ListParagraph"/>
        <w:numPr>
          <w:ilvl w:val="0"/>
          <w:numId w:val="7"/>
        </w:numPr>
      </w:pPr>
      <w:r>
        <w:t>Olsen, E</w:t>
      </w:r>
      <w:r w:rsidR="00044BA8">
        <w:t xml:space="preserve"> [2010]</w:t>
      </w:r>
      <w:r>
        <w:t>. Exploring the possibility of a common structural model measuring associations between safety climate factors and safety behavior in health care and the petroleum settings. Accident Analysis and Prevention, 42(5), 1507-1516.</w:t>
      </w:r>
    </w:p>
    <w:p w14:paraId="2A0561A8" w14:textId="3C0B2FAD" w:rsidR="00044BA8" w:rsidRDefault="00044BA8" w:rsidP="00D65232">
      <w:pPr>
        <w:pStyle w:val="ListParagraph"/>
        <w:numPr>
          <w:ilvl w:val="0"/>
          <w:numId w:val="7"/>
        </w:numPr>
      </w:pPr>
      <w:r>
        <w:t>Nielsen MB, Tvedt SD, Matthiesen SB [2013]. Prevalence and occupational predictors of psychological distress in the offshore petroleum industry: a prospective study. Int Arch Occup Environ Health, 86(8): 875-85.</w:t>
      </w:r>
    </w:p>
    <w:p w14:paraId="2A9BB662" w14:textId="005F54AF" w:rsidR="008E069D" w:rsidRPr="00D2026F" w:rsidRDefault="003B428F" w:rsidP="00D65232">
      <w:pPr>
        <w:pStyle w:val="ListParagraph"/>
        <w:numPr>
          <w:ilvl w:val="0"/>
          <w:numId w:val="7"/>
        </w:numPr>
      </w:pPr>
      <w:r>
        <w:t>Hys</w:t>
      </w:r>
      <w:r w:rsidR="00044BA8">
        <w:t>tad SW, Bartone PT, Eid J [</w:t>
      </w:r>
      <w:r>
        <w:t>2014</w:t>
      </w:r>
      <w:r w:rsidR="00044BA8">
        <w:t>].</w:t>
      </w:r>
      <w:r>
        <w:t xml:space="preserve"> </w:t>
      </w:r>
      <w:r w:rsidR="008E069D">
        <w:t xml:space="preserve">Positive organizational behavior and safety in the offshore oil industry: exploring the determinants of positive safety climate. </w:t>
      </w:r>
      <w:r>
        <w:t xml:space="preserve">J Posit Psychol, 9(1):42-53. </w:t>
      </w:r>
    </w:p>
    <w:sectPr w:rsidR="008E069D" w:rsidRPr="00D2026F" w:rsidSect="00D81FE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31FA0" w14:textId="77777777" w:rsidR="00EF465A" w:rsidRDefault="00EF465A" w:rsidP="00030223">
      <w:pPr>
        <w:spacing w:after="0" w:line="240" w:lineRule="auto"/>
      </w:pPr>
      <w:r>
        <w:separator/>
      </w:r>
    </w:p>
  </w:endnote>
  <w:endnote w:type="continuationSeparator" w:id="0">
    <w:p w14:paraId="6E924EBE" w14:textId="77777777" w:rsidR="00EF465A" w:rsidRDefault="00EF465A" w:rsidP="00030223">
      <w:pPr>
        <w:spacing w:after="0" w:line="240" w:lineRule="auto"/>
      </w:pPr>
      <w:r>
        <w:continuationSeparator/>
      </w:r>
    </w:p>
  </w:endnote>
  <w:endnote w:type="continuationNotice" w:id="1">
    <w:p w14:paraId="2843EDCD" w14:textId="77777777" w:rsidR="00EF465A" w:rsidRDefault="00EF4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C22E9" w14:textId="77777777" w:rsidR="00EF465A" w:rsidRDefault="00EF465A" w:rsidP="00030223">
      <w:pPr>
        <w:spacing w:after="0" w:line="240" w:lineRule="auto"/>
      </w:pPr>
      <w:r>
        <w:separator/>
      </w:r>
    </w:p>
  </w:footnote>
  <w:footnote w:type="continuationSeparator" w:id="0">
    <w:p w14:paraId="7807439C" w14:textId="77777777" w:rsidR="00EF465A" w:rsidRDefault="00EF465A" w:rsidP="00030223">
      <w:pPr>
        <w:spacing w:after="0" w:line="240" w:lineRule="auto"/>
      </w:pPr>
      <w:r>
        <w:continuationSeparator/>
      </w:r>
    </w:p>
  </w:footnote>
  <w:footnote w:type="continuationNotice" w:id="1">
    <w:p w14:paraId="754B78A2" w14:textId="77777777" w:rsidR="00EF465A" w:rsidRDefault="00EF465A">
      <w:pPr>
        <w:spacing w:after="0" w:line="240" w:lineRule="auto"/>
      </w:pPr>
    </w:p>
  </w:footnote>
  <w:footnote w:id="2">
    <w:p w14:paraId="16E33A20" w14:textId="7446B6C5" w:rsidR="00EF465A" w:rsidRDefault="00EF465A">
      <w:pPr>
        <w:pStyle w:val="FootnoteText"/>
      </w:pPr>
      <w:r w:rsidRPr="00222C48">
        <w:rPr>
          <w:rStyle w:val="FootnoteReference"/>
        </w:rPr>
        <w:sym w:font="Symbol" w:char="F02A"/>
      </w:r>
      <w:r>
        <w:t xml:space="preserve"> </w:t>
      </w:r>
      <w:hyperlink r:id="rId1" w:history="1">
        <w:r w:rsidRPr="00F901EC">
          <w:rPr>
            <w:rStyle w:val="Hyperlink"/>
          </w:rPr>
          <w:t>http://www.bls.gov/respondents/iif/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F4A72"/>
    <w:multiLevelType w:val="hybridMultilevel"/>
    <w:tmpl w:val="7E68D1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D7C6F"/>
    <w:multiLevelType w:val="hybridMultilevel"/>
    <w:tmpl w:val="F5D48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F3879"/>
    <w:multiLevelType w:val="hybridMultilevel"/>
    <w:tmpl w:val="64207A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42E46E21"/>
    <w:multiLevelType w:val="hybridMultilevel"/>
    <w:tmpl w:val="5D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C226E"/>
    <w:multiLevelType w:val="hybridMultilevel"/>
    <w:tmpl w:val="23A0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87F17"/>
    <w:multiLevelType w:val="hybridMultilevel"/>
    <w:tmpl w:val="B3E4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0A4B5D"/>
    <w:multiLevelType w:val="hybridMultilevel"/>
    <w:tmpl w:val="8806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6467BD"/>
    <w:multiLevelType w:val="hybridMultilevel"/>
    <w:tmpl w:val="00B68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5661FA"/>
    <w:multiLevelType w:val="hybridMultilevel"/>
    <w:tmpl w:val="EB604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3"/>
  </w:num>
  <w:num w:numId="5">
    <w:abstractNumId w:val="5"/>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0"/>
    <w:rsid w:val="00004603"/>
    <w:rsid w:val="00006003"/>
    <w:rsid w:val="0001368F"/>
    <w:rsid w:val="00014399"/>
    <w:rsid w:val="000164B9"/>
    <w:rsid w:val="00025039"/>
    <w:rsid w:val="00026738"/>
    <w:rsid w:val="00030223"/>
    <w:rsid w:val="000356D7"/>
    <w:rsid w:val="00035961"/>
    <w:rsid w:val="00036169"/>
    <w:rsid w:val="0003728E"/>
    <w:rsid w:val="00044A0B"/>
    <w:rsid w:val="00044BA8"/>
    <w:rsid w:val="00046E1D"/>
    <w:rsid w:val="00050CBB"/>
    <w:rsid w:val="00050FC6"/>
    <w:rsid w:val="00051960"/>
    <w:rsid w:val="00051EF7"/>
    <w:rsid w:val="00052D86"/>
    <w:rsid w:val="00054CFE"/>
    <w:rsid w:val="00055896"/>
    <w:rsid w:val="000675B5"/>
    <w:rsid w:val="000731BB"/>
    <w:rsid w:val="0007691B"/>
    <w:rsid w:val="00083106"/>
    <w:rsid w:val="000A2A2D"/>
    <w:rsid w:val="000A4358"/>
    <w:rsid w:val="000A508B"/>
    <w:rsid w:val="000B7F77"/>
    <w:rsid w:val="000C0520"/>
    <w:rsid w:val="000C3D12"/>
    <w:rsid w:val="000C4EA4"/>
    <w:rsid w:val="000E0926"/>
    <w:rsid w:val="000E4895"/>
    <w:rsid w:val="000F2C64"/>
    <w:rsid w:val="00106EC7"/>
    <w:rsid w:val="00107C24"/>
    <w:rsid w:val="00120D57"/>
    <w:rsid w:val="001279A9"/>
    <w:rsid w:val="001300F2"/>
    <w:rsid w:val="00130355"/>
    <w:rsid w:val="00131796"/>
    <w:rsid w:val="00132E41"/>
    <w:rsid w:val="0014665F"/>
    <w:rsid w:val="001509EA"/>
    <w:rsid w:val="001518F2"/>
    <w:rsid w:val="00153232"/>
    <w:rsid w:val="001552F6"/>
    <w:rsid w:val="001575C9"/>
    <w:rsid w:val="0016617B"/>
    <w:rsid w:val="0018520C"/>
    <w:rsid w:val="001A2800"/>
    <w:rsid w:val="001A396C"/>
    <w:rsid w:val="001A7B45"/>
    <w:rsid w:val="001B0181"/>
    <w:rsid w:val="001B6033"/>
    <w:rsid w:val="001C5D83"/>
    <w:rsid w:val="001D291A"/>
    <w:rsid w:val="001F5301"/>
    <w:rsid w:val="00215FA2"/>
    <w:rsid w:val="002227F1"/>
    <w:rsid w:val="00222C48"/>
    <w:rsid w:val="00234260"/>
    <w:rsid w:val="00237060"/>
    <w:rsid w:val="00243607"/>
    <w:rsid w:val="00252A48"/>
    <w:rsid w:val="00256BE8"/>
    <w:rsid w:val="002640FB"/>
    <w:rsid w:val="002700A2"/>
    <w:rsid w:val="002806FD"/>
    <w:rsid w:val="00282E09"/>
    <w:rsid w:val="00283DD2"/>
    <w:rsid w:val="00293F78"/>
    <w:rsid w:val="00297E72"/>
    <w:rsid w:val="002A3899"/>
    <w:rsid w:val="002A7AC0"/>
    <w:rsid w:val="002C2259"/>
    <w:rsid w:val="002F3691"/>
    <w:rsid w:val="002F47BB"/>
    <w:rsid w:val="00304097"/>
    <w:rsid w:val="00305402"/>
    <w:rsid w:val="00310CF8"/>
    <w:rsid w:val="003160A2"/>
    <w:rsid w:val="00317E6C"/>
    <w:rsid w:val="0033057C"/>
    <w:rsid w:val="003365BA"/>
    <w:rsid w:val="00354EFF"/>
    <w:rsid w:val="00356DA4"/>
    <w:rsid w:val="00374303"/>
    <w:rsid w:val="00375FDF"/>
    <w:rsid w:val="003826C2"/>
    <w:rsid w:val="00391685"/>
    <w:rsid w:val="003A35C5"/>
    <w:rsid w:val="003B0D87"/>
    <w:rsid w:val="003B428F"/>
    <w:rsid w:val="003B5EC6"/>
    <w:rsid w:val="003B79F2"/>
    <w:rsid w:val="003C29D9"/>
    <w:rsid w:val="003C346B"/>
    <w:rsid w:val="003C6070"/>
    <w:rsid w:val="003D77AA"/>
    <w:rsid w:val="003E5F59"/>
    <w:rsid w:val="003F6524"/>
    <w:rsid w:val="00406F16"/>
    <w:rsid w:val="004129B6"/>
    <w:rsid w:val="0042097E"/>
    <w:rsid w:val="004211CB"/>
    <w:rsid w:val="004240EE"/>
    <w:rsid w:val="00437FAE"/>
    <w:rsid w:val="004453AD"/>
    <w:rsid w:val="00445676"/>
    <w:rsid w:val="00456A41"/>
    <w:rsid w:val="00457FB8"/>
    <w:rsid w:val="004664D4"/>
    <w:rsid w:val="00466CC6"/>
    <w:rsid w:val="00482C7F"/>
    <w:rsid w:val="00485035"/>
    <w:rsid w:val="00487885"/>
    <w:rsid w:val="00491E5B"/>
    <w:rsid w:val="00492621"/>
    <w:rsid w:val="00494EA3"/>
    <w:rsid w:val="004A12C6"/>
    <w:rsid w:val="004A3C06"/>
    <w:rsid w:val="004A441C"/>
    <w:rsid w:val="004A54F6"/>
    <w:rsid w:val="004A73D7"/>
    <w:rsid w:val="004A7855"/>
    <w:rsid w:val="004C3EDE"/>
    <w:rsid w:val="004E15FB"/>
    <w:rsid w:val="004E3031"/>
    <w:rsid w:val="004F32F1"/>
    <w:rsid w:val="004F4F72"/>
    <w:rsid w:val="004F6174"/>
    <w:rsid w:val="004F687F"/>
    <w:rsid w:val="004F6FF8"/>
    <w:rsid w:val="004F7E12"/>
    <w:rsid w:val="005049D2"/>
    <w:rsid w:val="00506C61"/>
    <w:rsid w:val="005105DE"/>
    <w:rsid w:val="00517150"/>
    <w:rsid w:val="00523488"/>
    <w:rsid w:val="0052445E"/>
    <w:rsid w:val="00524CB9"/>
    <w:rsid w:val="00524E13"/>
    <w:rsid w:val="00532A88"/>
    <w:rsid w:val="00537725"/>
    <w:rsid w:val="005428FC"/>
    <w:rsid w:val="00562E20"/>
    <w:rsid w:val="00567E93"/>
    <w:rsid w:val="005847F0"/>
    <w:rsid w:val="00586142"/>
    <w:rsid w:val="00587C65"/>
    <w:rsid w:val="00593B2D"/>
    <w:rsid w:val="00597D50"/>
    <w:rsid w:val="005A2ED5"/>
    <w:rsid w:val="005B174F"/>
    <w:rsid w:val="005B45FE"/>
    <w:rsid w:val="005B5925"/>
    <w:rsid w:val="005B5E1F"/>
    <w:rsid w:val="005F14C2"/>
    <w:rsid w:val="00603244"/>
    <w:rsid w:val="00610180"/>
    <w:rsid w:val="00610F1E"/>
    <w:rsid w:val="00622CFD"/>
    <w:rsid w:val="00624D45"/>
    <w:rsid w:val="00632325"/>
    <w:rsid w:val="006333B7"/>
    <w:rsid w:val="006334BC"/>
    <w:rsid w:val="00646D0F"/>
    <w:rsid w:val="0064767F"/>
    <w:rsid w:val="0066689A"/>
    <w:rsid w:val="00671007"/>
    <w:rsid w:val="00675966"/>
    <w:rsid w:val="00677301"/>
    <w:rsid w:val="006836BA"/>
    <w:rsid w:val="00685701"/>
    <w:rsid w:val="00687286"/>
    <w:rsid w:val="00691B63"/>
    <w:rsid w:val="00695AE7"/>
    <w:rsid w:val="006A1995"/>
    <w:rsid w:val="006A6088"/>
    <w:rsid w:val="006A649C"/>
    <w:rsid w:val="006B0656"/>
    <w:rsid w:val="006B23C9"/>
    <w:rsid w:val="006C3284"/>
    <w:rsid w:val="006C76A1"/>
    <w:rsid w:val="006E4635"/>
    <w:rsid w:val="006E640A"/>
    <w:rsid w:val="006F1B6B"/>
    <w:rsid w:val="006F432A"/>
    <w:rsid w:val="006F4B59"/>
    <w:rsid w:val="006F59D8"/>
    <w:rsid w:val="0070444D"/>
    <w:rsid w:val="00705ADC"/>
    <w:rsid w:val="007521CC"/>
    <w:rsid w:val="00756869"/>
    <w:rsid w:val="00762A7D"/>
    <w:rsid w:val="00763D8A"/>
    <w:rsid w:val="00774E9C"/>
    <w:rsid w:val="007910C9"/>
    <w:rsid w:val="007B027C"/>
    <w:rsid w:val="007B3443"/>
    <w:rsid w:val="007C4350"/>
    <w:rsid w:val="007C45F9"/>
    <w:rsid w:val="007E2C62"/>
    <w:rsid w:val="007E354B"/>
    <w:rsid w:val="007E4328"/>
    <w:rsid w:val="007E793C"/>
    <w:rsid w:val="007F10FB"/>
    <w:rsid w:val="007F3293"/>
    <w:rsid w:val="007F7E91"/>
    <w:rsid w:val="00801EFE"/>
    <w:rsid w:val="00805697"/>
    <w:rsid w:val="00821B8C"/>
    <w:rsid w:val="0083190E"/>
    <w:rsid w:val="008429FD"/>
    <w:rsid w:val="00876D36"/>
    <w:rsid w:val="00880DF0"/>
    <w:rsid w:val="008812EF"/>
    <w:rsid w:val="008866A0"/>
    <w:rsid w:val="00892254"/>
    <w:rsid w:val="008975CD"/>
    <w:rsid w:val="008A2D43"/>
    <w:rsid w:val="008A313F"/>
    <w:rsid w:val="008B69AA"/>
    <w:rsid w:val="008C19E7"/>
    <w:rsid w:val="008E069D"/>
    <w:rsid w:val="008E2F57"/>
    <w:rsid w:val="008E427B"/>
    <w:rsid w:val="008F01D6"/>
    <w:rsid w:val="008F0319"/>
    <w:rsid w:val="008F607C"/>
    <w:rsid w:val="00907942"/>
    <w:rsid w:val="00926518"/>
    <w:rsid w:val="00927F4A"/>
    <w:rsid w:val="00943336"/>
    <w:rsid w:val="009510B3"/>
    <w:rsid w:val="009755BC"/>
    <w:rsid w:val="00975B3A"/>
    <w:rsid w:val="00982236"/>
    <w:rsid w:val="009835DF"/>
    <w:rsid w:val="009907BE"/>
    <w:rsid w:val="00990AB8"/>
    <w:rsid w:val="009B0FD9"/>
    <w:rsid w:val="009B1A92"/>
    <w:rsid w:val="009B5A44"/>
    <w:rsid w:val="009C1A38"/>
    <w:rsid w:val="009C6446"/>
    <w:rsid w:val="009C7655"/>
    <w:rsid w:val="009C768A"/>
    <w:rsid w:val="009D76E5"/>
    <w:rsid w:val="009E238D"/>
    <w:rsid w:val="009E6327"/>
    <w:rsid w:val="009F0FF9"/>
    <w:rsid w:val="00A11B7B"/>
    <w:rsid w:val="00A12121"/>
    <w:rsid w:val="00A163DA"/>
    <w:rsid w:val="00A20E6F"/>
    <w:rsid w:val="00A309B3"/>
    <w:rsid w:val="00A368D0"/>
    <w:rsid w:val="00A3702A"/>
    <w:rsid w:val="00A508F7"/>
    <w:rsid w:val="00A56934"/>
    <w:rsid w:val="00A57369"/>
    <w:rsid w:val="00A82041"/>
    <w:rsid w:val="00A9148A"/>
    <w:rsid w:val="00A93F07"/>
    <w:rsid w:val="00AA381D"/>
    <w:rsid w:val="00AB09EC"/>
    <w:rsid w:val="00AB4F79"/>
    <w:rsid w:val="00AD209B"/>
    <w:rsid w:val="00AF1DA6"/>
    <w:rsid w:val="00AF7B7F"/>
    <w:rsid w:val="00B030F8"/>
    <w:rsid w:val="00B258FE"/>
    <w:rsid w:val="00B30F09"/>
    <w:rsid w:val="00B3470E"/>
    <w:rsid w:val="00B53614"/>
    <w:rsid w:val="00B547E0"/>
    <w:rsid w:val="00B6449F"/>
    <w:rsid w:val="00B6797D"/>
    <w:rsid w:val="00B74789"/>
    <w:rsid w:val="00B8257D"/>
    <w:rsid w:val="00B90543"/>
    <w:rsid w:val="00BA12A1"/>
    <w:rsid w:val="00BA513C"/>
    <w:rsid w:val="00BA6BAE"/>
    <w:rsid w:val="00BB0304"/>
    <w:rsid w:val="00BB044E"/>
    <w:rsid w:val="00BB639F"/>
    <w:rsid w:val="00BC2D3A"/>
    <w:rsid w:val="00BD32DF"/>
    <w:rsid w:val="00BE12D0"/>
    <w:rsid w:val="00BF292B"/>
    <w:rsid w:val="00C023CE"/>
    <w:rsid w:val="00C11440"/>
    <w:rsid w:val="00C1237D"/>
    <w:rsid w:val="00C17F30"/>
    <w:rsid w:val="00C22FD2"/>
    <w:rsid w:val="00C37D09"/>
    <w:rsid w:val="00C41158"/>
    <w:rsid w:val="00C44C48"/>
    <w:rsid w:val="00C46777"/>
    <w:rsid w:val="00C677C6"/>
    <w:rsid w:val="00C70982"/>
    <w:rsid w:val="00C72C64"/>
    <w:rsid w:val="00C74177"/>
    <w:rsid w:val="00C75857"/>
    <w:rsid w:val="00C97DF2"/>
    <w:rsid w:val="00CA22A6"/>
    <w:rsid w:val="00CA2D43"/>
    <w:rsid w:val="00CA68B5"/>
    <w:rsid w:val="00CC100E"/>
    <w:rsid w:val="00CC239B"/>
    <w:rsid w:val="00CC2917"/>
    <w:rsid w:val="00CD4804"/>
    <w:rsid w:val="00CD7C12"/>
    <w:rsid w:val="00CE0421"/>
    <w:rsid w:val="00CE26A8"/>
    <w:rsid w:val="00CE73D0"/>
    <w:rsid w:val="00CF1EC4"/>
    <w:rsid w:val="00CF5A33"/>
    <w:rsid w:val="00D01B17"/>
    <w:rsid w:val="00D20231"/>
    <w:rsid w:val="00D2026F"/>
    <w:rsid w:val="00D216DD"/>
    <w:rsid w:val="00D21953"/>
    <w:rsid w:val="00D3733D"/>
    <w:rsid w:val="00D414E5"/>
    <w:rsid w:val="00D43D6F"/>
    <w:rsid w:val="00D46799"/>
    <w:rsid w:val="00D60FC0"/>
    <w:rsid w:val="00D65232"/>
    <w:rsid w:val="00D66274"/>
    <w:rsid w:val="00D668EA"/>
    <w:rsid w:val="00D7152E"/>
    <w:rsid w:val="00D745CE"/>
    <w:rsid w:val="00D81FE8"/>
    <w:rsid w:val="00D84915"/>
    <w:rsid w:val="00D85CA2"/>
    <w:rsid w:val="00DA3127"/>
    <w:rsid w:val="00DC0DCF"/>
    <w:rsid w:val="00DC1A5F"/>
    <w:rsid w:val="00DC2A59"/>
    <w:rsid w:val="00DC344F"/>
    <w:rsid w:val="00DC42A9"/>
    <w:rsid w:val="00DC74E8"/>
    <w:rsid w:val="00DD033F"/>
    <w:rsid w:val="00DD066A"/>
    <w:rsid w:val="00DD4039"/>
    <w:rsid w:val="00DE45C5"/>
    <w:rsid w:val="00DE661D"/>
    <w:rsid w:val="00DF2A75"/>
    <w:rsid w:val="00DF35B4"/>
    <w:rsid w:val="00DF4934"/>
    <w:rsid w:val="00E05B39"/>
    <w:rsid w:val="00E232AF"/>
    <w:rsid w:val="00E23B26"/>
    <w:rsid w:val="00E24955"/>
    <w:rsid w:val="00E25EFF"/>
    <w:rsid w:val="00E34CD9"/>
    <w:rsid w:val="00E409AF"/>
    <w:rsid w:val="00E44546"/>
    <w:rsid w:val="00E470DA"/>
    <w:rsid w:val="00E47540"/>
    <w:rsid w:val="00E5146D"/>
    <w:rsid w:val="00E52922"/>
    <w:rsid w:val="00E61620"/>
    <w:rsid w:val="00E62478"/>
    <w:rsid w:val="00E67CB1"/>
    <w:rsid w:val="00E81837"/>
    <w:rsid w:val="00E842EE"/>
    <w:rsid w:val="00E85852"/>
    <w:rsid w:val="00E90CC3"/>
    <w:rsid w:val="00E90F80"/>
    <w:rsid w:val="00E910D2"/>
    <w:rsid w:val="00EA2B5F"/>
    <w:rsid w:val="00EA30BD"/>
    <w:rsid w:val="00EC1584"/>
    <w:rsid w:val="00EC7660"/>
    <w:rsid w:val="00EC7A38"/>
    <w:rsid w:val="00ED42DB"/>
    <w:rsid w:val="00EE1292"/>
    <w:rsid w:val="00EE27DC"/>
    <w:rsid w:val="00EE2AFA"/>
    <w:rsid w:val="00EF465A"/>
    <w:rsid w:val="00EF7712"/>
    <w:rsid w:val="00F0107A"/>
    <w:rsid w:val="00F023C5"/>
    <w:rsid w:val="00F0412D"/>
    <w:rsid w:val="00F313E9"/>
    <w:rsid w:val="00F32D4C"/>
    <w:rsid w:val="00F3780E"/>
    <w:rsid w:val="00F45FAA"/>
    <w:rsid w:val="00F46A96"/>
    <w:rsid w:val="00F53C24"/>
    <w:rsid w:val="00F5523A"/>
    <w:rsid w:val="00F62682"/>
    <w:rsid w:val="00F64A65"/>
    <w:rsid w:val="00F70C27"/>
    <w:rsid w:val="00F77BBD"/>
    <w:rsid w:val="00F90F4C"/>
    <w:rsid w:val="00F91488"/>
    <w:rsid w:val="00FA7E27"/>
    <w:rsid w:val="00FB0829"/>
    <w:rsid w:val="00FB4800"/>
    <w:rsid w:val="00FB7012"/>
    <w:rsid w:val="00FB7090"/>
    <w:rsid w:val="00FB7DD8"/>
    <w:rsid w:val="00FC3AB7"/>
    <w:rsid w:val="00FD2C8A"/>
    <w:rsid w:val="00FE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3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35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0302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30223"/>
    <w:rPr>
      <w:rFonts w:ascii="Times New Roman" w:eastAsia="Times New Roman" w:hAnsi="Times New Roman" w:cs="Times New Roman"/>
      <w:sz w:val="20"/>
      <w:szCs w:val="20"/>
    </w:rPr>
  </w:style>
  <w:style w:type="character" w:styleId="FootnoteReference">
    <w:name w:val="footnote reference"/>
    <w:basedOn w:val="DefaultParagraphFont"/>
    <w:rsid w:val="00030223"/>
    <w:rPr>
      <w:vertAlign w:val="superscript"/>
    </w:rPr>
  </w:style>
  <w:style w:type="paragraph" w:styleId="List2">
    <w:name w:val="List 2"/>
    <w:basedOn w:val="Normal"/>
    <w:rsid w:val="00030223"/>
    <w:pPr>
      <w:spacing w:after="0" w:line="240" w:lineRule="auto"/>
      <w:ind w:left="720" w:hanging="36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74177"/>
    <w:rPr>
      <w:color w:val="0000FF" w:themeColor="hyperlink"/>
      <w:u w:val="single"/>
    </w:rPr>
  </w:style>
  <w:style w:type="character" w:customStyle="1" w:styleId="Heading1Char">
    <w:name w:val="Heading 1 Char"/>
    <w:basedOn w:val="DefaultParagraphFont"/>
    <w:link w:val="Heading1"/>
    <w:uiPriority w:val="9"/>
    <w:rsid w:val="00283DD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3DD2"/>
    <w:pPr>
      <w:outlineLvl w:val="9"/>
    </w:pPr>
    <w:rPr>
      <w:lang w:eastAsia="ja-JP"/>
    </w:rPr>
  </w:style>
  <w:style w:type="paragraph" w:styleId="TOC1">
    <w:name w:val="toc 1"/>
    <w:basedOn w:val="Normal"/>
    <w:next w:val="Normal"/>
    <w:autoRedefine/>
    <w:uiPriority w:val="39"/>
    <w:unhideWhenUsed/>
    <w:rsid w:val="000C4EA4"/>
    <w:pPr>
      <w:tabs>
        <w:tab w:val="right" w:leader="dot" w:pos="10070"/>
      </w:tabs>
      <w:spacing w:after="100"/>
    </w:pPr>
  </w:style>
  <w:style w:type="paragraph" w:styleId="TOC2">
    <w:name w:val="toc 2"/>
    <w:basedOn w:val="Normal"/>
    <w:next w:val="Normal"/>
    <w:autoRedefine/>
    <w:uiPriority w:val="39"/>
    <w:unhideWhenUsed/>
    <w:rsid w:val="00283DD2"/>
    <w:pPr>
      <w:spacing w:after="100"/>
      <w:ind w:left="220"/>
    </w:pPr>
  </w:style>
  <w:style w:type="paragraph" w:styleId="BalloonText">
    <w:name w:val="Balloon Text"/>
    <w:basedOn w:val="Normal"/>
    <w:link w:val="BalloonTextChar"/>
    <w:uiPriority w:val="99"/>
    <w:semiHidden/>
    <w:unhideWhenUsed/>
    <w:rsid w:val="00283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D2"/>
    <w:rPr>
      <w:rFonts w:ascii="Tahoma" w:hAnsi="Tahoma" w:cs="Tahoma"/>
      <w:sz w:val="16"/>
      <w:szCs w:val="16"/>
    </w:rPr>
  </w:style>
  <w:style w:type="paragraph" w:styleId="ListParagraph">
    <w:name w:val="List Paragraph"/>
    <w:basedOn w:val="Normal"/>
    <w:uiPriority w:val="34"/>
    <w:qFormat/>
    <w:rsid w:val="00EA2B5F"/>
    <w:pPr>
      <w:ind w:left="720"/>
      <w:contextualSpacing/>
    </w:pPr>
  </w:style>
  <w:style w:type="character" w:customStyle="1" w:styleId="Heading2Char">
    <w:name w:val="Heading 2 Char"/>
    <w:basedOn w:val="DefaultParagraphFont"/>
    <w:link w:val="Heading2"/>
    <w:uiPriority w:val="9"/>
    <w:rsid w:val="007E354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20D57"/>
    <w:rPr>
      <w:sz w:val="16"/>
      <w:szCs w:val="16"/>
    </w:rPr>
  </w:style>
  <w:style w:type="paragraph" w:styleId="CommentText">
    <w:name w:val="annotation text"/>
    <w:basedOn w:val="Normal"/>
    <w:link w:val="CommentTextChar"/>
    <w:uiPriority w:val="99"/>
    <w:semiHidden/>
    <w:unhideWhenUsed/>
    <w:rsid w:val="00120D57"/>
    <w:pPr>
      <w:spacing w:line="240" w:lineRule="auto"/>
    </w:pPr>
    <w:rPr>
      <w:sz w:val="20"/>
      <w:szCs w:val="20"/>
    </w:rPr>
  </w:style>
  <w:style w:type="character" w:customStyle="1" w:styleId="CommentTextChar">
    <w:name w:val="Comment Text Char"/>
    <w:basedOn w:val="DefaultParagraphFont"/>
    <w:link w:val="CommentText"/>
    <w:uiPriority w:val="99"/>
    <w:semiHidden/>
    <w:rsid w:val="00120D57"/>
    <w:rPr>
      <w:sz w:val="20"/>
      <w:szCs w:val="20"/>
    </w:rPr>
  </w:style>
  <w:style w:type="paragraph" w:styleId="CommentSubject">
    <w:name w:val="annotation subject"/>
    <w:basedOn w:val="CommentText"/>
    <w:next w:val="CommentText"/>
    <w:link w:val="CommentSubjectChar"/>
    <w:uiPriority w:val="99"/>
    <w:semiHidden/>
    <w:unhideWhenUsed/>
    <w:rsid w:val="00120D57"/>
    <w:rPr>
      <w:b/>
      <w:bCs/>
    </w:rPr>
  </w:style>
  <w:style w:type="character" w:customStyle="1" w:styleId="CommentSubjectChar">
    <w:name w:val="Comment Subject Char"/>
    <w:basedOn w:val="CommentTextChar"/>
    <w:link w:val="CommentSubject"/>
    <w:uiPriority w:val="99"/>
    <w:semiHidden/>
    <w:rsid w:val="00120D57"/>
    <w:rPr>
      <w:b/>
      <w:bCs/>
      <w:sz w:val="20"/>
      <w:szCs w:val="20"/>
    </w:rPr>
  </w:style>
  <w:style w:type="character" w:styleId="FollowedHyperlink">
    <w:name w:val="FollowedHyperlink"/>
    <w:basedOn w:val="DefaultParagraphFont"/>
    <w:uiPriority w:val="99"/>
    <w:semiHidden/>
    <w:unhideWhenUsed/>
    <w:rsid w:val="00DC344F"/>
    <w:rPr>
      <w:color w:val="800080" w:themeColor="followedHyperlink"/>
      <w:u w:val="single"/>
    </w:rPr>
  </w:style>
  <w:style w:type="paragraph" w:styleId="NormalWeb">
    <w:name w:val="Normal (Web)"/>
    <w:basedOn w:val="Normal"/>
    <w:uiPriority w:val="99"/>
    <w:semiHidden/>
    <w:unhideWhenUsed/>
    <w:rsid w:val="0052445E"/>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45E"/>
    <w:rPr>
      <w:b/>
      <w:bCs/>
    </w:rPr>
  </w:style>
  <w:style w:type="paragraph" w:customStyle="1" w:styleId="indent">
    <w:name w:val="indent"/>
    <w:basedOn w:val="Normal"/>
    <w:rsid w:val="0052445E"/>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445E"/>
    <w:rPr>
      <w:i/>
      <w:iCs/>
    </w:rPr>
  </w:style>
  <w:style w:type="paragraph" w:styleId="Revision">
    <w:name w:val="Revision"/>
    <w:hidden/>
    <w:uiPriority w:val="99"/>
    <w:semiHidden/>
    <w:rsid w:val="0052445E"/>
    <w:pPr>
      <w:spacing w:after="0" w:line="240" w:lineRule="auto"/>
    </w:pPr>
  </w:style>
  <w:style w:type="paragraph" w:styleId="Header">
    <w:name w:val="header"/>
    <w:basedOn w:val="Normal"/>
    <w:link w:val="HeaderChar"/>
    <w:uiPriority w:val="99"/>
    <w:unhideWhenUsed/>
    <w:rsid w:val="005B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74F"/>
  </w:style>
  <w:style w:type="paragraph" w:styleId="Footer">
    <w:name w:val="footer"/>
    <w:basedOn w:val="Normal"/>
    <w:link w:val="FooterChar"/>
    <w:uiPriority w:val="99"/>
    <w:unhideWhenUsed/>
    <w:rsid w:val="005B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3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35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0302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30223"/>
    <w:rPr>
      <w:rFonts w:ascii="Times New Roman" w:eastAsia="Times New Roman" w:hAnsi="Times New Roman" w:cs="Times New Roman"/>
      <w:sz w:val="20"/>
      <w:szCs w:val="20"/>
    </w:rPr>
  </w:style>
  <w:style w:type="character" w:styleId="FootnoteReference">
    <w:name w:val="footnote reference"/>
    <w:basedOn w:val="DefaultParagraphFont"/>
    <w:rsid w:val="00030223"/>
    <w:rPr>
      <w:vertAlign w:val="superscript"/>
    </w:rPr>
  </w:style>
  <w:style w:type="paragraph" w:styleId="List2">
    <w:name w:val="List 2"/>
    <w:basedOn w:val="Normal"/>
    <w:rsid w:val="00030223"/>
    <w:pPr>
      <w:spacing w:after="0" w:line="240" w:lineRule="auto"/>
      <w:ind w:left="720" w:hanging="36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74177"/>
    <w:rPr>
      <w:color w:val="0000FF" w:themeColor="hyperlink"/>
      <w:u w:val="single"/>
    </w:rPr>
  </w:style>
  <w:style w:type="character" w:customStyle="1" w:styleId="Heading1Char">
    <w:name w:val="Heading 1 Char"/>
    <w:basedOn w:val="DefaultParagraphFont"/>
    <w:link w:val="Heading1"/>
    <w:uiPriority w:val="9"/>
    <w:rsid w:val="00283DD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3DD2"/>
    <w:pPr>
      <w:outlineLvl w:val="9"/>
    </w:pPr>
    <w:rPr>
      <w:lang w:eastAsia="ja-JP"/>
    </w:rPr>
  </w:style>
  <w:style w:type="paragraph" w:styleId="TOC1">
    <w:name w:val="toc 1"/>
    <w:basedOn w:val="Normal"/>
    <w:next w:val="Normal"/>
    <w:autoRedefine/>
    <w:uiPriority w:val="39"/>
    <w:unhideWhenUsed/>
    <w:rsid w:val="000C4EA4"/>
    <w:pPr>
      <w:tabs>
        <w:tab w:val="right" w:leader="dot" w:pos="10070"/>
      </w:tabs>
      <w:spacing w:after="100"/>
    </w:pPr>
  </w:style>
  <w:style w:type="paragraph" w:styleId="TOC2">
    <w:name w:val="toc 2"/>
    <w:basedOn w:val="Normal"/>
    <w:next w:val="Normal"/>
    <w:autoRedefine/>
    <w:uiPriority w:val="39"/>
    <w:unhideWhenUsed/>
    <w:rsid w:val="00283DD2"/>
    <w:pPr>
      <w:spacing w:after="100"/>
      <w:ind w:left="220"/>
    </w:pPr>
  </w:style>
  <w:style w:type="paragraph" w:styleId="BalloonText">
    <w:name w:val="Balloon Text"/>
    <w:basedOn w:val="Normal"/>
    <w:link w:val="BalloonTextChar"/>
    <w:uiPriority w:val="99"/>
    <w:semiHidden/>
    <w:unhideWhenUsed/>
    <w:rsid w:val="00283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D2"/>
    <w:rPr>
      <w:rFonts w:ascii="Tahoma" w:hAnsi="Tahoma" w:cs="Tahoma"/>
      <w:sz w:val="16"/>
      <w:szCs w:val="16"/>
    </w:rPr>
  </w:style>
  <w:style w:type="paragraph" w:styleId="ListParagraph">
    <w:name w:val="List Paragraph"/>
    <w:basedOn w:val="Normal"/>
    <w:uiPriority w:val="34"/>
    <w:qFormat/>
    <w:rsid w:val="00EA2B5F"/>
    <w:pPr>
      <w:ind w:left="720"/>
      <w:contextualSpacing/>
    </w:pPr>
  </w:style>
  <w:style w:type="character" w:customStyle="1" w:styleId="Heading2Char">
    <w:name w:val="Heading 2 Char"/>
    <w:basedOn w:val="DefaultParagraphFont"/>
    <w:link w:val="Heading2"/>
    <w:uiPriority w:val="9"/>
    <w:rsid w:val="007E354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20D57"/>
    <w:rPr>
      <w:sz w:val="16"/>
      <w:szCs w:val="16"/>
    </w:rPr>
  </w:style>
  <w:style w:type="paragraph" w:styleId="CommentText">
    <w:name w:val="annotation text"/>
    <w:basedOn w:val="Normal"/>
    <w:link w:val="CommentTextChar"/>
    <w:uiPriority w:val="99"/>
    <w:semiHidden/>
    <w:unhideWhenUsed/>
    <w:rsid w:val="00120D57"/>
    <w:pPr>
      <w:spacing w:line="240" w:lineRule="auto"/>
    </w:pPr>
    <w:rPr>
      <w:sz w:val="20"/>
      <w:szCs w:val="20"/>
    </w:rPr>
  </w:style>
  <w:style w:type="character" w:customStyle="1" w:styleId="CommentTextChar">
    <w:name w:val="Comment Text Char"/>
    <w:basedOn w:val="DefaultParagraphFont"/>
    <w:link w:val="CommentText"/>
    <w:uiPriority w:val="99"/>
    <w:semiHidden/>
    <w:rsid w:val="00120D57"/>
    <w:rPr>
      <w:sz w:val="20"/>
      <w:szCs w:val="20"/>
    </w:rPr>
  </w:style>
  <w:style w:type="paragraph" w:styleId="CommentSubject">
    <w:name w:val="annotation subject"/>
    <w:basedOn w:val="CommentText"/>
    <w:next w:val="CommentText"/>
    <w:link w:val="CommentSubjectChar"/>
    <w:uiPriority w:val="99"/>
    <w:semiHidden/>
    <w:unhideWhenUsed/>
    <w:rsid w:val="00120D57"/>
    <w:rPr>
      <w:b/>
      <w:bCs/>
    </w:rPr>
  </w:style>
  <w:style w:type="character" w:customStyle="1" w:styleId="CommentSubjectChar">
    <w:name w:val="Comment Subject Char"/>
    <w:basedOn w:val="CommentTextChar"/>
    <w:link w:val="CommentSubject"/>
    <w:uiPriority w:val="99"/>
    <w:semiHidden/>
    <w:rsid w:val="00120D57"/>
    <w:rPr>
      <w:b/>
      <w:bCs/>
      <w:sz w:val="20"/>
      <w:szCs w:val="20"/>
    </w:rPr>
  </w:style>
  <w:style w:type="character" w:styleId="FollowedHyperlink">
    <w:name w:val="FollowedHyperlink"/>
    <w:basedOn w:val="DefaultParagraphFont"/>
    <w:uiPriority w:val="99"/>
    <w:semiHidden/>
    <w:unhideWhenUsed/>
    <w:rsid w:val="00DC344F"/>
    <w:rPr>
      <w:color w:val="800080" w:themeColor="followedHyperlink"/>
      <w:u w:val="single"/>
    </w:rPr>
  </w:style>
  <w:style w:type="paragraph" w:styleId="NormalWeb">
    <w:name w:val="Normal (Web)"/>
    <w:basedOn w:val="Normal"/>
    <w:uiPriority w:val="99"/>
    <w:semiHidden/>
    <w:unhideWhenUsed/>
    <w:rsid w:val="0052445E"/>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45E"/>
    <w:rPr>
      <w:b/>
      <w:bCs/>
    </w:rPr>
  </w:style>
  <w:style w:type="paragraph" w:customStyle="1" w:styleId="indent">
    <w:name w:val="indent"/>
    <w:basedOn w:val="Normal"/>
    <w:rsid w:val="0052445E"/>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445E"/>
    <w:rPr>
      <w:i/>
      <w:iCs/>
    </w:rPr>
  </w:style>
  <w:style w:type="paragraph" w:styleId="Revision">
    <w:name w:val="Revision"/>
    <w:hidden/>
    <w:uiPriority w:val="99"/>
    <w:semiHidden/>
    <w:rsid w:val="0052445E"/>
    <w:pPr>
      <w:spacing w:after="0" w:line="240" w:lineRule="auto"/>
    </w:pPr>
  </w:style>
  <w:style w:type="paragraph" w:styleId="Header">
    <w:name w:val="header"/>
    <w:basedOn w:val="Normal"/>
    <w:link w:val="HeaderChar"/>
    <w:uiPriority w:val="99"/>
    <w:unhideWhenUsed/>
    <w:rsid w:val="005B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74F"/>
  </w:style>
  <w:style w:type="paragraph" w:styleId="Footer">
    <w:name w:val="footer"/>
    <w:basedOn w:val="Normal"/>
    <w:link w:val="FooterChar"/>
    <w:uiPriority w:val="99"/>
    <w:unhideWhenUsed/>
    <w:rsid w:val="005B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1857">
      <w:bodyDiv w:val="1"/>
      <w:marLeft w:val="0"/>
      <w:marRight w:val="0"/>
      <w:marTop w:val="0"/>
      <w:marBottom w:val="0"/>
      <w:divBdr>
        <w:top w:val="none" w:sz="0" w:space="0" w:color="auto"/>
        <w:left w:val="none" w:sz="0" w:space="0" w:color="auto"/>
        <w:bottom w:val="none" w:sz="0" w:space="0" w:color="auto"/>
        <w:right w:val="none" w:sz="0" w:space="0" w:color="auto"/>
      </w:divBdr>
    </w:div>
    <w:div w:id="115293396">
      <w:bodyDiv w:val="1"/>
      <w:marLeft w:val="0"/>
      <w:marRight w:val="0"/>
      <w:marTop w:val="30"/>
      <w:marBottom w:val="750"/>
      <w:divBdr>
        <w:top w:val="none" w:sz="0" w:space="0" w:color="auto"/>
        <w:left w:val="none" w:sz="0" w:space="0" w:color="auto"/>
        <w:bottom w:val="none" w:sz="0" w:space="0" w:color="auto"/>
        <w:right w:val="none" w:sz="0" w:space="0" w:color="auto"/>
      </w:divBdr>
      <w:divsChild>
        <w:div w:id="966282887">
          <w:marLeft w:val="0"/>
          <w:marRight w:val="0"/>
          <w:marTop w:val="0"/>
          <w:marBottom w:val="0"/>
          <w:divBdr>
            <w:top w:val="none" w:sz="0" w:space="0" w:color="auto"/>
            <w:left w:val="none" w:sz="0" w:space="0" w:color="auto"/>
            <w:bottom w:val="none" w:sz="0" w:space="0" w:color="auto"/>
            <w:right w:val="none" w:sz="0" w:space="0" w:color="auto"/>
          </w:divBdr>
        </w:div>
      </w:divsChild>
    </w:div>
    <w:div w:id="227157512">
      <w:bodyDiv w:val="1"/>
      <w:marLeft w:val="0"/>
      <w:marRight w:val="0"/>
      <w:marTop w:val="0"/>
      <w:marBottom w:val="0"/>
      <w:divBdr>
        <w:top w:val="none" w:sz="0" w:space="0" w:color="auto"/>
        <w:left w:val="none" w:sz="0" w:space="0" w:color="auto"/>
        <w:bottom w:val="none" w:sz="0" w:space="0" w:color="auto"/>
        <w:right w:val="none" w:sz="0" w:space="0" w:color="auto"/>
      </w:divBdr>
    </w:div>
    <w:div w:id="579293794">
      <w:bodyDiv w:val="1"/>
      <w:marLeft w:val="0"/>
      <w:marRight w:val="0"/>
      <w:marTop w:val="0"/>
      <w:marBottom w:val="0"/>
      <w:divBdr>
        <w:top w:val="none" w:sz="0" w:space="0" w:color="auto"/>
        <w:left w:val="none" w:sz="0" w:space="0" w:color="auto"/>
        <w:bottom w:val="none" w:sz="0" w:space="0" w:color="auto"/>
        <w:right w:val="none" w:sz="0" w:space="0" w:color="auto"/>
      </w:divBdr>
    </w:div>
    <w:div w:id="679431731">
      <w:bodyDiv w:val="1"/>
      <w:marLeft w:val="0"/>
      <w:marRight w:val="0"/>
      <w:marTop w:val="0"/>
      <w:marBottom w:val="0"/>
      <w:divBdr>
        <w:top w:val="none" w:sz="0" w:space="0" w:color="auto"/>
        <w:left w:val="none" w:sz="0" w:space="0" w:color="auto"/>
        <w:bottom w:val="none" w:sz="0" w:space="0" w:color="auto"/>
        <w:right w:val="none" w:sz="0" w:space="0" w:color="auto"/>
      </w:divBdr>
      <w:divsChild>
        <w:div w:id="2038919517">
          <w:marLeft w:val="0"/>
          <w:marRight w:val="0"/>
          <w:marTop w:val="0"/>
          <w:marBottom w:val="0"/>
          <w:divBdr>
            <w:top w:val="none" w:sz="0" w:space="0" w:color="auto"/>
            <w:left w:val="none" w:sz="0" w:space="0" w:color="auto"/>
            <w:bottom w:val="none" w:sz="0" w:space="0" w:color="auto"/>
            <w:right w:val="none" w:sz="0" w:space="0" w:color="auto"/>
          </w:divBdr>
          <w:divsChild>
            <w:div w:id="592979780">
              <w:marLeft w:val="0"/>
              <w:marRight w:val="120"/>
              <w:marTop w:val="0"/>
              <w:marBottom w:val="0"/>
              <w:divBdr>
                <w:top w:val="none" w:sz="0" w:space="0" w:color="auto"/>
                <w:left w:val="none" w:sz="0" w:space="0" w:color="auto"/>
                <w:bottom w:val="none" w:sz="0" w:space="0" w:color="auto"/>
                <w:right w:val="none" w:sz="0" w:space="0" w:color="auto"/>
              </w:divBdr>
              <w:divsChild>
                <w:div w:id="989407753">
                  <w:marLeft w:val="0"/>
                  <w:marRight w:val="0"/>
                  <w:marTop w:val="0"/>
                  <w:marBottom w:val="0"/>
                  <w:divBdr>
                    <w:top w:val="none" w:sz="0" w:space="0" w:color="auto"/>
                    <w:left w:val="none" w:sz="0" w:space="0" w:color="auto"/>
                    <w:bottom w:val="none" w:sz="0" w:space="0" w:color="auto"/>
                    <w:right w:val="none" w:sz="0" w:space="0" w:color="auto"/>
                  </w:divBdr>
                  <w:divsChild>
                    <w:div w:id="1451827137">
                      <w:marLeft w:val="0"/>
                      <w:marRight w:val="0"/>
                      <w:marTop w:val="0"/>
                      <w:marBottom w:val="0"/>
                      <w:divBdr>
                        <w:top w:val="none" w:sz="0" w:space="0" w:color="auto"/>
                        <w:left w:val="none" w:sz="0" w:space="0" w:color="auto"/>
                        <w:bottom w:val="none" w:sz="0" w:space="0" w:color="auto"/>
                        <w:right w:val="none" w:sz="0" w:space="0" w:color="auto"/>
                      </w:divBdr>
                      <w:divsChild>
                        <w:div w:id="809634382">
                          <w:marLeft w:val="0"/>
                          <w:marRight w:val="0"/>
                          <w:marTop w:val="0"/>
                          <w:marBottom w:val="0"/>
                          <w:divBdr>
                            <w:top w:val="none" w:sz="0" w:space="0" w:color="auto"/>
                            <w:left w:val="none" w:sz="0" w:space="0" w:color="auto"/>
                            <w:bottom w:val="none" w:sz="0" w:space="0" w:color="auto"/>
                            <w:right w:val="none" w:sz="0" w:space="0" w:color="auto"/>
                          </w:divBdr>
                          <w:divsChild>
                            <w:div w:id="693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8163">
      <w:bodyDiv w:val="1"/>
      <w:marLeft w:val="0"/>
      <w:marRight w:val="0"/>
      <w:marTop w:val="0"/>
      <w:marBottom w:val="0"/>
      <w:divBdr>
        <w:top w:val="none" w:sz="0" w:space="0" w:color="auto"/>
        <w:left w:val="none" w:sz="0" w:space="0" w:color="auto"/>
        <w:bottom w:val="none" w:sz="0" w:space="0" w:color="auto"/>
        <w:right w:val="none" w:sz="0" w:space="0" w:color="auto"/>
      </w:divBdr>
    </w:div>
    <w:div w:id="1994333206">
      <w:bodyDiv w:val="1"/>
      <w:marLeft w:val="0"/>
      <w:marRight w:val="0"/>
      <w:marTop w:val="0"/>
      <w:marBottom w:val="0"/>
      <w:divBdr>
        <w:top w:val="none" w:sz="0" w:space="0" w:color="auto"/>
        <w:left w:val="none" w:sz="0" w:space="0" w:color="auto"/>
        <w:bottom w:val="none" w:sz="0" w:space="0" w:color="auto"/>
        <w:right w:val="none" w:sz="0" w:space="0" w:color="auto"/>
      </w:divBdr>
    </w:div>
    <w:div w:id="20498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redith.towle@wyo.gov" TargetMode="External"/><Relationship Id="rId18" Type="http://schemas.openxmlformats.org/officeDocument/2006/relationships/hyperlink" Target="mailto:warren.hubler@hpidc.com" TargetMode="External"/><Relationship Id="rId3" Type="http://schemas.openxmlformats.org/officeDocument/2006/relationships/styles" Target="styles.xml"/><Relationship Id="rId21" Type="http://schemas.openxmlformats.org/officeDocument/2006/relationships/hyperlink" Target="http://www.bls.gov/oes" TargetMode="External"/><Relationship Id="rId7" Type="http://schemas.openxmlformats.org/officeDocument/2006/relationships/footnotes" Target="footnotes.xml"/><Relationship Id="rId12" Type="http://schemas.openxmlformats.org/officeDocument/2006/relationships/hyperlink" Target="mailto:kjordan@aesc.net" TargetMode="External"/><Relationship Id="rId17" Type="http://schemas.openxmlformats.org/officeDocument/2006/relationships/hyperlink" Target="mailto:tiffany.rice@mail.wvu.edu" TargetMode="External"/><Relationship Id="rId2" Type="http://schemas.openxmlformats.org/officeDocument/2006/relationships/numbering" Target="numbering.xml"/><Relationship Id="rId16" Type="http://schemas.openxmlformats.org/officeDocument/2006/relationships/hyperlink" Target="mailto:melius@nysliuna.org" TargetMode="External"/><Relationship Id="rId20" Type="http://schemas.openxmlformats.org/officeDocument/2006/relationships/hyperlink" Target="mailto:michael.kosnett@ucdenver.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topics/nhis/mining.html" TargetMode="External"/><Relationship Id="rId5" Type="http://schemas.openxmlformats.org/officeDocument/2006/relationships/settings" Target="settings.xml"/><Relationship Id="rId15" Type="http://schemas.openxmlformats.org/officeDocument/2006/relationships/hyperlink" Target="mailto:jonesw@lhsfna.org" TargetMode="External"/><Relationship Id="rId23" Type="http://schemas.openxmlformats.org/officeDocument/2006/relationships/theme" Target="theme/theme1.xml"/><Relationship Id="rId10" Type="http://schemas.openxmlformats.org/officeDocument/2006/relationships/hyperlink" Target="http://www.cdc.gov/niosh/topics/nhis/mining.html" TargetMode="External"/><Relationship Id="rId19" Type="http://schemas.openxmlformats.org/officeDocument/2006/relationships/hyperlink" Target="mailto:rickey.ingram@bp.com" TargetMode="External"/><Relationship Id="rId4" Type="http://schemas.microsoft.com/office/2007/relationships/stylesWithEffects" Target="stylesWithEffects.xml"/><Relationship Id="rId9" Type="http://schemas.openxmlformats.org/officeDocument/2006/relationships/hyperlink" Target="mailto:kretzer@cdc.gov" TargetMode="External"/><Relationship Id="rId14" Type="http://schemas.openxmlformats.org/officeDocument/2006/relationships/hyperlink" Target="mailto:rreindel@aflcio.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respondents/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C092-72DC-4AD7-9A45-9833B27D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5620</Words>
  <Characters>32040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2017-07-18T15:03:00Z</cp:lastPrinted>
  <dcterms:created xsi:type="dcterms:W3CDTF">2017-07-21T19:23:00Z</dcterms:created>
  <dcterms:modified xsi:type="dcterms:W3CDTF">2017-07-21T19:23:00Z</dcterms:modified>
</cp:coreProperties>
</file>