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6E" w:rsidRDefault="0052676E" w:rsidP="0052676E">
      <w:pPr>
        <w:pStyle w:val="Heading2"/>
        <w:jc w:val="center"/>
      </w:pPr>
      <w:bookmarkStart w:id="0" w:name="_Toc436660983"/>
      <w:r>
        <w:t>Appendix B. Informed Consent</w:t>
      </w:r>
      <w:bookmarkEnd w:id="0"/>
    </w:p>
    <w:p w:rsidR="0052676E" w:rsidRPr="00F71448" w:rsidRDefault="0052676E" w:rsidP="0052676E"/>
    <w:p w:rsidR="0052676E" w:rsidRDefault="0052676E" w:rsidP="0052676E">
      <w:pPr>
        <w:spacing w:line="240" w:lineRule="auto"/>
      </w:pPr>
      <w:r>
        <w:rPr>
          <w:noProof/>
        </w:rPr>
        <w:drawing>
          <wp:inline distT="0" distB="0" distL="0" distR="0" wp14:anchorId="0BBB668B" wp14:editId="2F5995F9">
            <wp:extent cx="923544" cy="530352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DB4322" wp14:editId="68AB2260">
            <wp:extent cx="5394960" cy="52120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52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416" w:type="dxa"/>
        <w:tblCellSpacing w:w="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708"/>
        <w:gridCol w:w="2700"/>
        <w:gridCol w:w="7008"/>
      </w:tblGrid>
      <w:tr w:rsidR="00FE0972" w:rsidTr="00F21F16">
        <w:trPr>
          <w:cantSplit/>
          <w:tblHeader/>
          <w:tblCellSpacing w:w="7" w:type="dxa"/>
        </w:trPr>
        <w:tc>
          <w:tcPr>
            <w:tcW w:w="10388" w:type="dxa"/>
            <w:gridSpan w:val="3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rial" w:eastAsia="Times New Roman" w:hAnsi="Arial" w:cs="Arial"/>
                <w:b/>
                <w:bCs/>
                <w:color w:val="17365D" w:themeColor="text2" w:themeShade="BF"/>
              </w:rPr>
            </w:pP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Consent to be in a Research Study</w:t>
            </w:r>
          </w:p>
          <w:p w:rsidR="00FE0972" w:rsidRPr="00D36D3E" w:rsidRDefault="00FE0972" w:rsidP="00F21F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D36D3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Assessing Safety and Health Hazards for Oil and Gas Extraction Workers</w:t>
            </w:r>
          </w:p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</w:rPr>
            </w:pPr>
            <w:r w:rsidRPr="00D36D3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Informed Consent</w:t>
            </w:r>
          </w:p>
        </w:tc>
      </w:tr>
      <w:tr w:rsidR="00FE0972" w:rsidRPr="00174B75" w:rsidTr="00F21F16">
        <w:trPr>
          <w:cantSplit/>
          <w:tblCellSpacing w:w="7" w:type="dxa"/>
        </w:trPr>
        <w:tc>
          <w:tcPr>
            <w:tcW w:w="687" w:type="dxa"/>
          </w:tcPr>
          <w:p w:rsidR="00FE0972" w:rsidRPr="00084B8B" w:rsidRDefault="00FE0972" w:rsidP="00FE0972">
            <w:pPr>
              <w:pStyle w:val="ListParagraph"/>
              <w:numPr>
                <w:ilvl w:val="0"/>
                <w:numId w:val="1"/>
              </w:numPr>
              <w:tabs>
                <w:tab w:val="left" w:pos="156"/>
              </w:tabs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Who is conducting the study?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NIOSH is a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federal agency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that studies worker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s</w:t>
            </w:r>
            <w:bookmarkStart w:id="1" w:name="_GoBack"/>
            <w:bookmarkEnd w:id="1"/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afety and health. We are part of the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Centers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for Disease Control and Prevention (CDC).</w:t>
            </w:r>
            <w:r w:rsidRPr="00FB6F49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  </w:t>
            </w:r>
          </w:p>
        </w:tc>
      </w:tr>
      <w:tr w:rsidR="00FE0972" w:rsidRPr="00174B75" w:rsidTr="00F21F16">
        <w:trPr>
          <w:cantSplit/>
          <w:trHeight w:val="802"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What is the purpose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?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The purpose of this research is to learn more about the hazards faced by oil and gas extraction workers.</w:t>
            </w:r>
          </w:p>
        </w:tc>
      </w:tr>
      <w:tr w:rsidR="00FE0972" w:rsidRPr="00174B75" w:rsidTr="00F21F16">
        <w:trPr>
          <w:cantSplit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color w:val="17365D" w:themeColor="text2" w:themeShade="BF"/>
                <w:sz w:val="28"/>
                <w:szCs w:val="28"/>
              </w:rPr>
              <w:t>What will I do</w:t>
            </w:r>
            <w:r w:rsidRPr="00E42734">
              <w:rPr>
                <w:rFonts w:ascii="Arial" w:hAnsi="Arial" w:cs="Arial"/>
                <w:b/>
                <w:bCs/>
                <w:iCs/>
                <w:color w:val="17365D" w:themeColor="text2" w:themeShade="BF"/>
                <w:sz w:val="28"/>
                <w:szCs w:val="28"/>
              </w:rPr>
              <w:t xml:space="preserve">? 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107EE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You will complete a survey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using the method of your choice: an electronic tablet, </w:t>
            </w:r>
            <w:r w:rsidRPr="00107EE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paper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and pen,</w:t>
            </w:r>
            <w:r w:rsidRPr="00107EE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worker </w:t>
            </w:r>
            <w:r w:rsidRPr="00107EE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interview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 We will ask</w:t>
            </w:r>
            <w:r w:rsidRPr="00107EE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about your work, your health, your work-related injuries and motor vehicle crashes. At the end, researchers will ask all workers two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final </w:t>
            </w:r>
            <w:r w:rsidRPr="00107EE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questions.</w:t>
            </w:r>
          </w:p>
        </w:tc>
      </w:tr>
      <w:tr w:rsidR="00FE0972" w:rsidRPr="00174B75" w:rsidTr="00F21F16">
        <w:trPr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Whe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n, where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for 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how long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 will I be needed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?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You will complete the survey here on location and the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whole process </w:t>
            </w: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will last about 40 minutes.</w:t>
            </w:r>
          </w:p>
        </w:tc>
      </w:tr>
      <w:tr w:rsidR="00FE0972" w:rsidRPr="00174B75" w:rsidTr="00F21F16">
        <w:trPr>
          <w:trHeight w:val="892"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Are there any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 risks?</w:t>
            </w:r>
          </w:p>
        </w:tc>
        <w:tc>
          <w:tcPr>
            <w:tcW w:w="6987" w:type="dxa"/>
          </w:tcPr>
          <w:p w:rsidR="00FE0972" w:rsidRPr="00D36D3E" w:rsidRDefault="00FE0972" w:rsidP="00F21F1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There is very little risk to you if you take part in this survey. However, if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you tell us that you are in</w:t>
            </w: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imminent danger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at your worksite (i.e. that you are at risk of serious physical harm or death), </w:t>
            </w: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we will need to repor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 this to your employer</w:t>
            </w:r>
            <w:r w:rsidRPr="00D36D3E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If we actually observe an imminent danger, we will need to report this to your employer and OSHA.</w:t>
            </w:r>
          </w:p>
        </w:tc>
      </w:tr>
      <w:tr w:rsidR="00FE0972" w:rsidRPr="00174B75" w:rsidTr="00F21F16">
        <w:trPr>
          <w:trHeight w:val="1261"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Is my 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participation voluntary?</w:t>
            </w:r>
          </w:p>
        </w:tc>
        <w:tc>
          <w:tcPr>
            <w:tcW w:w="6987" w:type="dxa"/>
          </w:tcPr>
          <w:p w:rsidR="00FE0972" w:rsidRPr="00942CC8" w:rsidRDefault="00FE0972" w:rsidP="00F21F16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he study is voluntary. You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may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choose to be in the study or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not.  You may choose to answer any or all questions.  You may drop out any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time for any reason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without consequences to you.  </w:t>
            </w:r>
          </w:p>
        </w:tc>
      </w:tr>
      <w:tr w:rsidR="00FE0972" w:rsidRPr="00174B75" w:rsidTr="00F21F16">
        <w:trPr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What if I’m 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injured or </w:t>
            </w:r>
            <w:r w:rsidRPr="00E42734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harmed?  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B1776">
              <w:rPr>
                <w:rFonts w:ascii="Arial" w:hAnsi="Arial" w:cs="Arial"/>
                <w:color w:val="1F497D" w:themeColor="text2"/>
                <w:sz w:val="20"/>
                <w:szCs w:val="20"/>
              </w:rPr>
              <w:t>On-site emergency treatment will be provided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.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911 will be called if needed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 Medical care or compensation will not be provided.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If harmed through negligence of a NI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OSH employee, you might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obtain compensation under Federal Law.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If a NIOSH contractor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is negligent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 you can file a claim with that contractor.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</w:tr>
      <w:tr w:rsidR="00FE0972" w:rsidRPr="00174B75" w:rsidTr="00F21F16">
        <w:trPr>
          <w:trHeight w:val="1162"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Will I be reimbursed or paid?</w:t>
            </w:r>
          </w:p>
        </w:tc>
        <w:tc>
          <w:tcPr>
            <w:tcW w:w="6987" w:type="dxa"/>
          </w:tcPr>
          <w:p w:rsidR="00FE0972" w:rsidRPr="00DD5E8A" w:rsidRDefault="00FE0972" w:rsidP="00F21F16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FE54F3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You will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receive a $30 token of appreciation for completing the survey</w:t>
            </w:r>
            <w:r w:rsidRPr="00FE54F3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.</w:t>
            </w:r>
            <w:r w:rsidRPr="00DD5E8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FE0972" w:rsidRPr="00FB6F49" w:rsidRDefault="00FE0972" w:rsidP="00F21F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FE0972" w:rsidRPr="00174B75" w:rsidTr="00F21F16">
        <w:trPr>
          <w:cantSplit/>
          <w:trHeight w:val="1027"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CA27FC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Are there other benefits?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rPr>
                <w:rFonts w:ascii="Arial" w:eastAsia="Times New Roman" w:hAnsi="Arial" w:cs="Arial"/>
                <w:color w:val="17365D" w:themeColor="text2" w:themeShade="BF"/>
                <w:sz w:val="20"/>
                <w:szCs w:val="20"/>
              </w:rPr>
            </w:pPr>
            <w:r w:rsidRPr="0008463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We may have information that is new to you about your safety and health at work.  Also, your honest answers may increase knowledge about the health and safety issues facing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all </w:t>
            </w:r>
            <w:r w:rsidRPr="0008463F">
              <w:rPr>
                <w:rFonts w:ascii="Arial" w:hAnsi="Arial" w:cs="Arial"/>
                <w:color w:val="1F497D" w:themeColor="text2"/>
                <w:sz w:val="20"/>
                <w:szCs w:val="20"/>
              </w:rPr>
              <w:t>oil and gas extraction workers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.</w:t>
            </w:r>
          </w:p>
        </w:tc>
      </w:tr>
      <w:tr w:rsidR="00FE0972" w:rsidRPr="00174B75" w:rsidTr="00F21F16">
        <w:trPr>
          <w:cantSplit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9F2FA9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9F2FA9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Will my personal information be kept private?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1F6627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NIOSH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is authorized to collect your </w:t>
            </w:r>
            <w:r w:rsidRPr="001F6627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personal information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and will protect it to the extent allowed by law. This survey is anonymous. </w:t>
            </w:r>
            <w:r w:rsidRPr="00762425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Your personal information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may be used for tracking but </w:t>
            </w:r>
            <w:r w:rsidRPr="00762425">
              <w:rPr>
                <w:rFonts w:ascii="Arial" w:hAnsi="Arial" w:cs="Arial"/>
                <w:color w:val="1F497D" w:themeColor="text2"/>
                <w:sz w:val="20"/>
                <w:szCs w:val="20"/>
              </w:rPr>
              <w:t>will be destroyed once the survey is complete at your location.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FE0972" w:rsidRPr="00174B75" w:rsidTr="00F21F16">
        <w:trPr>
          <w:trHeight w:val="964"/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6C6F3F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Will I 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or anyone else </w:t>
            </w:r>
            <w:r w:rsidRPr="006C6F3F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>receive study results?</w:t>
            </w:r>
          </w:p>
        </w:tc>
        <w:tc>
          <w:tcPr>
            <w:tcW w:w="6987" w:type="dxa"/>
          </w:tcPr>
          <w:p w:rsidR="00FE0972" w:rsidRPr="000B5827" w:rsidRDefault="00FE0972" w:rsidP="00F21F1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The s</w:t>
            </w:r>
            <w:r w:rsidRPr="00A95ABA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ummary results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for all workers at your site </w:t>
            </w:r>
            <w:r w:rsidRPr="00A95ABA">
              <w:rPr>
                <w:rFonts w:ascii="Arial" w:hAnsi="Arial" w:cs="Arial"/>
                <w:color w:val="1F497D" w:themeColor="text2"/>
                <w:sz w:val="20"/>
                <w:szCs w:val="20"/>
              </w:rPr>
              <w:t>will be provided to your employer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(if you are not taking this survey at a public place)</w:t>
            </w:r>
            <w:r w:rsidRPr="00A95ABA">
              <w:rPr>
                <w:rFonts w:ascii="Arial" w:hAnsi="Arial" w:cs="Arial"/>
                <w:color w:val="1F497D" w:themeColor="text2"/>
                <w:sz w:val="20"/>
                <w:szCs w:val="20"/>
              </w:rPr>
              <w:t>. You may also request the summary results.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FE0972" w:rsidRPr="00174B75" w:rsidTr="00F21F16">
        <w:trPr>
          <w:tblCellSpacing w:w="7" w:type="dxa"/>
        </w:trPr>
        <w:tc>
          <w:tcPr>
            <w:tcW w:w="687" w:type="dxa"/>
          </w:tcPr>
          <w:p w:rsidR="00FE0972" w:rsidRPr="00E42734" w:rsidRDefault="00FE0972" w:rsidP="00FE097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contextualSpacing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686" w:type="dxa"/>
          </w:tcPr>
          <w:p w:rsidR="00FE0972" w:rsidRPr="00E42734" w:rsidRDefault="00FE0972" w:rsidP="00F21F16">
            <w:pPr>
              <w:autoSpaceDE w:val="0"/>
              <w:autoSpaceDN w:val="0"/>
              <w:adjustRightInd w:val="0"/>
              <w:spacing w:before="100" w:after="10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710EF8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Who 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can I talk to </w:t>
            </w:r>
            <w:r w:rsidRPr="00710EF8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if I have 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more </w:t>
            </w:r>
            <w:r w:rsidRPr="00710EF8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questions?  </w:t>
            </w:r>
          </w:p>
        </w:tc>
        <w:tc>
          <w:tcPr>
            <w:tcW w:w="6987" w:type="dxa"/>
          </w:tcPr>
          <w:p w:rsidR="00FE0972" w:rsidRPr="00FB6F49" w:rsidRDefault="00FE0972" w:rsidP="00F21F16">
            <w:pPr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</w:pP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For questions about the research study, contact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the principal investigator, </w:t>
            </w:r>
            <w:r w:rsidRPr="00D01448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Kyla Retzer 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at </w:t>
            </w:r>
            <w:r w:rsidRPr="00D01448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kretzer@cdc.gov 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or </w:t>
            </w:r>
            <w:r w:rsidRPr="00D01448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303-236-5934.</w:t>
            </w:r>
          </w:p>
          <w:p w:rsidR="00FE0972" w:rsidRDefault="00FE0972" w:rsidP="00F21F1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:rsidR="00FE0972" w:rsidRPr="00FB6F49" w:rsidRDefault="00FE0972" w:rsidP="00F21F16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For questions about you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r rights, your privacy, or harm to you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, contact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the Chair of the NIOSH Institutional Review Board (IRB) in the Human Research Protection Program, Angela Morley at</w:t>
            </w:r>
            <w:r w:rsidRPr="00FB6F49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hyperlink r:id="rId10" w:history="1">
              <w:r w:rsidRPr="00F46D83">
                <w:rPr>
                  <w:rStyle w:val="Hyperlink"/>
                  <w:rFonts w:ascii="Arial" w:hAnsi="Arial" w:cs="Arial"/>
                  <w:sz w:val="20"/>
                  <w:szCs w:val="20"/>
                </w:rPr>
                <w:t>amorley@cdc.gov</w:t>
              </w:r>
            </w:hyperlink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or phone 513-533-8591.</w:t>
            </w:r>
          </w:p>
        </w:tc>
      </w:tr>
    </w:tbl>
    <w:p w:rsidR="00FE0972" w:rsidRPr="00F61BAA" w:rsidRDefault="00FE0972" w:rsidP="00FE0972"/>
    <w:sectPr w:rsidR="00FE0972" w:rsidRPr="00F61BAA" w:rsidSect="006C6578">
      <w:headerReference w:type="default" r:id="rId1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76E" w:rsidRDefault="0052676E" w:rsidP="008B5D54">
      <w:pPr>
        <w:spacing w:after="0" w:line="240" w:lineRule="auto"/>
      </w:pPr>
      <w:r>
        <w:separator/>
      </w:r>
    </w:p>
  </w:endnote>
  <w:endnote w:type="continuationSeparator" w:id="0">
    <w:p w:rsidR="0052676E" w:rsidRDefault="0052676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76E" w:rsidRDefault="0052676E" w:rsidP="008B5D54">
      <w:pPr>
        <w:spacing w:after="0" w:line="240" w:lineRule="auto"/>
      </w:pPr>
      <w:r>
        <w:separator/>
      </w:r>
    </w:p>
  </w:footnote>
  <w:footnote w:type="continuationSeparator" w:id="0">
    <w:p w:rsidR="0052676E" w:rsidRDefault="0052676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FF1209">
    <w:pPr>
      <w:pStyle w:val="Header"/>
    </w:pPr>
    <w:r>
      <w:t>Attachment 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904F4"/>
    <w:multiLevelType w:val="hybridMultilevel"/>
    <w:tmpl w:val="92380DE8"/>
    <w:lvl w:ilvl="0" w:tplc="8C44B970">
      <w:start w:val="1"/>
      <w:numFmt w:val="decimal"/>
      <w:lvlText w:val="%1"/>
      <w:lvlJc w:val="center"/>
      <w:pPr>
        <w:ind w:left="612" w:hanging="324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C3BC0"/>
    <w:multiLevelType w:val="hybridMultilevel"/>
    <w:tmpl w:val="0380B3F6"/>
    <w:lvl w:ilvl="0" w:tplc="04090003">
      <w:start w:val="1"/>
      <w:numFmt w:val="bullet"/>
      <w:pStyle w:val="Leve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A7203F"/>
    <w:multiLevelType w:val="hybridMultilevel"/>
    <w:tmpl w:val="6440694E"/>
    <w:lvl w:ilvl="0" w:tplc="885CB010">
      <w:start w:val="1"/>
      <w:numFmt w:val="bullet"/>
      <w:pStyle w:val="ListBullet"/>
      <w:lvlText w:val=""/>
      <w:lvlJc w:val="left"/>
      <w:pPr>
        <w:tabs>
          <w:tab w:val="num" w:pos="144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6E"/>
    <w:rsid w:val="004D0CD2"/>
    <w:rsid w:val="0052676E"/>
    <w:rsid w:val="006C6578"/>
    <w:rsid w:val="008B5D54"/>
    <w:rsid w:val="009A7E44"/>
    <w:rsid w:val="00B55735"/>
    <w:rsid w:val="00B608AC"/>
    <w:rsid w:val="00DC57CC"/>
    <w:rsid w:val="00FE0972"/>
    <w:rsid w:val="00F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8BFC335-DD7E-49FA-AA51-4BCCB3FF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76E"/>
  </w:style>
  <w:style w:type="paragraph" w:styleId="Heading1">
    <w:name w:val="heading 1"/>
    <w:basedOn w:val="Normal"/>
    <w:next w:val="Normal"/>
    <w:link w:val="Heading1Char"/>
    <w:uiPriority w:val="9"/>
    <w:qFormat/>
    <w:rsid w:val="00FE0972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E097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526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2676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2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E0972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FE0972"/>
    <w:rPr>
      <w:rFonts w:ascii="Calibri" w:eastAsia="Times New Roman" w:hAnsi="Calibri" w:cs="Times New Roman"/>
      <w:sz w:val="24"/>
      <w:szCs w:val="24"/>
    </w:rPr>
  </w:style>
  <w:style w:type="paragraph" w:customStyle="1" w:styleId="Level1">
    <w:name w:val="Level 1"/>
    <w:basedOn w:val="Normal"/>
    <w:rsid w:val="00FE0972"/>
    <w:pPr>
      <w:widowControl w:val="0"/>
      <w:numPr>
        <w:numId w:val="2"/>
      </w:numPr>
      <w:tabs>
        <w:tab w:val="clear" w:pos="1080"/>
        <w:tab w:val="num" w:pos="360"/>
      </w:tabs>
      <w:autoSpaceDE w:val="0"/>
      <w:autoSpaceDN w:val="0"/>
      <w:adjustRightInd w:val="0"/>
      <w:spacing w:after="0" w:line="240" w:lineRule="auto"/>
      <w:ind w:left="600" w:hanging="600"/>
      <w:outlineLvl w:val="0"/>
    </w:pPr>
    <w:rPr>
      <w:rFonts w:ascii="Courier" w:eastAsia="Batang" w:hAnsi="Courier" w:cs="Times New Roman"/>
      <w:sz w:val="24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FE0972"/>
    <w:rPr>
      <w:rFonts w:ascii="Times New Roman" w:eastAsia="Times New Roman" w:hAnsi="Times New Roman" w:cs="Times New Roman"/>
      <w:b/>
      <w:bCs/>
      <w:kern w:val="32"/>
      <w:sz w:val="24"/>
      <w:szCs w:val="24"/>
      <w:lang w:eastAsia="ja-JP"/>
    </w:rPr>
  </w:style>
  <w:style w:type="paragraph" w:styleId="ListBullet">
    <w:name w:val="List Bullet"/>
    <w:basedOn w:val="Normal"/>
    <w:rsid w:val="00FE0972"/>
    <w:pPr>
      <w:numPr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morley@cdc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29814-0E77-4B9F-9D98-5996B5FD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Retzer, Kyla D. (CDC/NIOSH/WSD)</dc:creator>
  <cp:keywords/>
  <dc:description/>
  <cp:lastModifiedBy>Sims, Thelma (CDC/OD/OADS)</cp:lastModifiedBy>
  <cp:revision>2</cp:revision>
  <cp:lastPrinted>2017-03-16T19:45:00Z</cp:lastPrinted>
  <dcterms:created xsi:type="dcterms:W3CDTF">2017-03-16T19:46:00Z</dcterms:created>
  <dcterms:modified xsi:type="dcterms:W3CDTF">2017-03-16T19:46:00Z</dcterms:modified>
</cp:coreProperties>
</file>