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F177A3">
      <w:pPr>
        <w:rPr>
          <w:rFonts w:ascii="Verdana" w:hAnsi="Verdana"/>
          <w:b/>
        </w:rPr>
      </w:pPr>
      <w:r w:rsidRPr="00980042">
        <w:rPr>
          <w:rFonts w:ascii="Verdana" w:hAnsi="Verdana"/>
          <w:b/>
        </w:rPr>
        <w:t xml:space="preserve">Rationale for </w:t>
      </w:r>
      <w:r w:rsidR="00386CEE">
        <w:rPr>
          <w:rFonts w:ascii="Verdana" w:hAnsi="Verdana"/>
          <w:b/>
        </w:rPr>
        <w:t>Items Added to or Removed f</w:t>
      </w:r>
      <w:r w:rsidR="00175D02" w:rsidRPr="00980042">
        <w:rPr>
          <w:rFonts w:ascii="Verdana" w:hAnsi="Verdana"/>
          <w:b/>
        </w:rPr>
        <w:t>rom</w:t>
      </w:r>
      <w:r w:rsidR="00386CEE">
        <w:rPr>
          <w:rFonts w:ascii="Verdana" w:hAnsi="Verdana"/>
          <w:b/>
        </w:rPr>
        <w:t xml:space="preserve"> the Second</w:t>
      </w:r>
      <w:r w:rsidR="00715E96" w:rsidRPr="00980042">
        <w:rPr>
          <w:rFonts w:ascii="Verdana" w:hAnsi="Verdana"/>
          <w:b/>
        </w:rPr>
        <w:t xml:space="preserve"> </w:t>
      </w:r>
      <w:r w:rsidRPr="00980042">
        <w:rPr>
          <w:rFonts w:ascii="Verdana" w:hAnsi="Verdana"/>
          <w:b/>
        </w:rPr>
        <w:t>Follow-up Instrument</w:t>
      </w:r>
      <w:r w:rsidR="007C0C76" w:rsidRPr="00980042">
        <w:rPr>
          <w:rFonts w:ascii="Verdana" w:hAnsi="Verdana"/>
          <w:b/>
        </w:rPr>
        <w:t xml:space="preserve"> </w:t>
      </w:r>
      <w:r w:rsidR="00EF3FB5">
        <w:rPr>
          <w:rFonts w:ascii="Verdana" w:hAnsi="Verdana"/>
          <w:b/>
        </w:rPr>
        <w:t xml:space="preserve">for Male Rural Smokeless, </w:t>
      </w:r>
      <w:r w:rsidR="004C518C">
        <w:rPr>
          <w:rFonts w:ascii="Verdana" w:hAnsi="Verdana"/>
          <w:b/>
        </w:rPr>
        <w:t>April 5</w:t>
      </w:r>
      <w:r w:rsidR="00386CEE">
        <w:rPr>
          <w:rFonts w:ascii="Verdana" w:hAnsi="Verdana"/>
          <w:b/>
        </w:rPr>
        <w:t>, 2017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075"/>
        <w:gridCol w:w="2363"/>
        <w:gridCol w:w="972"/>
        <w:gridCol w:w="927"/>
        <w:gridCol w:w="795"/>
        <w:gridCol w:w="3246"/>
        <w:gridCol w:w="1710"/>
      </w:tblGrid>
      <w:tr w:rsidR="00311F87" w:rsidRPr="002647CF" w:rsidTr="00836019">
        <w:trPr>
          <w:tblHeader/>
        </w:trPr>
        <w:tc>
          <w:tcPr>
            <w:tcW w:w="1075" w:type="dxa"/>
            <w:vAlign w:val="center"/>
          </w:tcPr>
          <w:p w:rsidR="00311F87" w:rsidRPr="002647CF" w:rsidRDefault="00311F87" w:rsidP="003D2FEA">
            <w:pPr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Item Number</w:t>
            </w:r>
          </w:p>
        </w:tc>
        <w:tc>
          <w:tcPr>
            <w:tcW w:w="2363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  <w:vAlign w:val="center"/>
          </w:tcPr>
          <w:p w:rsidR="00311F87" w:rsidRPr="002647CF" w:rsidRDefault="00311F87" w:rsidP="003D2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47CF">
              <w:rPr>
                <w:rFonts w:cs="Times New Roman"/>
                <w:b/>
                <w:sz w:val="20"/>
                <w:szCs w:val="20"/>
              </w:rPr>
              <w:t>Prior Approval Given by OMB</w:t>
            </w:r>
            <w:bookmarkStart w:id="0" w:name="_GoBack"/>
            <w:bookmarkEnd w:id="0"/>
          </w:p>
        </w:tc>
      </w:tr>
      <w:tr w:rsidR="003D2FEA" w:rsidRPr="002647CF" w:rsidTr="00836019">
        <w:tc>
          <w:tcPr>
            <w:tcW w:w="1075" w:type="dxa"/>
          </w:tcPr>
          <w:p w:rsidR="003D2FEA" w:rsidRPr="002647CF" w:rsidRDefault="003D2FEA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3D2FEA" w:rsidRPr="002647CF" w:rsidRDefault="005F6D60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Revise</w:t>
            </w:r>
            <w:r w:rsidR="00E12269" w:rsidRPr="002647CF">
              <w:rPr>
                <w:rFonts w:cs="Times New Roman"/>
                <w:sz w:val="20"/>
                <w:szCs w:val="20"/>
              </w:rPr>
              <w:t xml:space="preserve"> </w:t>
            </w:r>
            <w:r w:rsidR="003D2FEA" w:rsidRPr="002647CF">
              <w:rPr>
                <w:rFonts w:cs="Times New Roman"/>
                <w:sz w:val="20"/>
                <w:szCs w:val="20"/>
              </w:rPr>
              <w:t>Programming/ administrative text throughout</w:t>
            </w:r>
            <w:r w:rsidRPr="002647CF">
              <w:rPr>
                <w:rFonts w:cs="Times New Roman"/>
                <w:sz w:val="20"/>
                <w:szCs w:val="20"/>
              </w:rPr>
              <w:t xml:space="preserve"> and update survey template</w:t>
            </w:r>
          </w:p>
        </w:tc>
        <w:tc>
          <w:tcPr>
            <w:tcW w:w="972" w:type="dxa"/>
            <w:vAlign w:val="center"/>
          </w:tcPr>
          <w:p w:rsidR="003D2FEA" w:rsidRPr="002647CF" w:rsidRDefault="003D2FEA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3D2FEA" w:rsidRPr="002647CF" w:rsidRDefault="003D2FEA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D2FEA" w:rsidRPr="002647CF" w:rsidRDefault="003D2FEA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D2FEA" w:rsidRPr="002647CF" w:rsidRDefault="003D2FEA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The programming text that RTI uses to instruct programmers and administrative text used to instruct participants on login and closing was added to the survey to give context to reviewers</w:t>
            </w:r>
            <w:r w:rsidR="00C057F5" w:rsidRPr="002647CF">
              <w:rPr>
                <w:rFonts w:cs="Times New Roman"/>
                <w:sz w:val="20"/>
                <w:szCs w:val="20"/>
              </w:rPr>
              <w:t xml:space="preserve"> and illustrate survey flow</w:t>
            </w:r>
            <w:r w:rsidR="005F6D60" w:rsidRPr="002647CF">
              <w:rPr>
                <w:rFonts w:cs="Times New Roman"/>
                <w:sz w:val="20"/>
                <w:szCs w:val="20"/>
              </w:rPr>
              <w:t>. The survey template was updated to match other studies being conducted by FDA CTP</w:t>
            </w:r>
          </w:p>
        </w:tc>
        <w:tc>
          <w:tcPr>
            <w:tcW w:w="1710" w:type="dxa"/>
          </w:tcPr>
          <w:p w:rsidR="003D2FEA" w:rsidRPr="002647CF" w:rsidRDefault="005F6D60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Programming text approved 9/13/2016</w:t>
            </w:r>
          </w:p>
        </w:tc>
      </w:tr>
      <w:tr w:rsidR="005F6D60" w:rsidRPr="002647CF" w:rsidTr="00836019">
        <w:tc>
          <w:tcPr>
            <w:tcW w:w="1075" w:type="dxa"/>
          </w:tcPr>
          <w:p w:rsidR="005F6D60" w:rsidRPr="002647CF" w:rsidRDefault="005F6D60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5F6D60" w:rsidRPr="002647CF" w:rsidRDefault="005F6D60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Update pre-checks and skip patterns</w:t>
            </w:r>
          </w:p>
        </w:tc>
        <w:tc>
          <w:tcPr>
            <w:tcW w:w="972" w:type="dxa"/>
            <w:vAlign w:val="center"/>
          </w:tcPr>
          <w:p w:rsidR="005F6D60" w:rsidRPr="002647CF" w:rsidRDefault="005F6D60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F6D60" w:rsidRPr="002647CF" w:rsidRDefault="005F6D60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F6D60" w:rsidRPr="002647CF" w:rsidRDefault="005F6D6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F6D60" w:rsidRPr="002647CF" w:rsidRDefault="005F6D60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 xml:space="preserve">Pre-checks and skip patterns were updated to facilitate the new survey </w:t>
            </w:r>
          </w:p>
        </w:tc>
        <w:tc>
          <w:tcPr>
            <w:tcW w:w="1710" w:type="dxa"/>
          </w:tcPr>
          <w:p w:rsidR="005F6D60" w:rsidRPr="002647CF" w:rsidRDefault="005F6D60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skip patterns approved 9/13/2016</w:t>
            </w:r>
          </w:p>
        </w:tc>
      </w:tr>
      <w:tr w:rsidR="00B6729C" w:rsidRPr="002647CF" w:rsidTr="00836019">
        <w:tc>
          <w:tcPr>
            <w:tcW w:w="1075" w:type="dxa"/>
          </w:tcPr>
          <w:p w:rsidR="00B6729C" w:rsidRPr="002647CF" w:rsidRDefault="00B6729C" w:rsidP="005A37FC">
            <w:pPr>
              <w:rPr>
                <w:rFonts w:cs="Times New Roman"/>
                <w:sz w:val="14"/>
                <w:szCs w:val="14"/>
              </w:rPr>
            </w:pPr>
            <w:r w:rsidRPr="002647CF">
              <w:rPr>
                <w:rFonts w:cs="Times New Roman"/>
                <w:sz w:val="14"/>
                <w:szCs w:val="14"/>
              </w:rPr>
              <w:t>WID18, WIDFP18, WCONSENT, CID18, CIDFP18</w:t>
            </w:r>
          </w:p>
        </w:tc>
        <w:tc>
          <w:tcPr>
            <w:tcW w:w="2363" w:type="dxa"/>
          </w:tcPr>
          <w:p w:rsidR="00B6729C" w:rsidRPr="002647CF" w:rsidRDefault="00B6729C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Add items to address 18+ population separately</w:t>
            </w:r>
          </w:p>
        </w:tc>
        <w:tc>
          <w:tcPr>
            <w:tcW w:w="972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6729C" w:rsidRPr="002647CF" w:rsidRDefault="00B6729C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We added additional variables for logging into the survey and informed consent so that participants who are 18 years old or older can participate independent of a parent</w:t>
            </w:r>
          </w:p>
        </w:tc>
        <w:tc>
          <w:tcPr>
            <w:tcW w:w="1710" w:type="dxa"/>
          </w:tcPr>
          <w:p w:rsidR="00B6729C" w:rsidRPr="002647CF" w:rsidRDefault="00B6729C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534631" w:rsidRPr="002647CF" w:rsidTr="00836019">
        <w:tc>
          <w:tcPr>
            <w:tcW w:w="1075" w:type="dxa"/>
          </w:tcPr>
          <w:p w:rsidR="00534631" w:rsidRPr="002647CF" w:rsidRDefault="00C057F5" w:rsidP="005A37FC">
            <w:pPr>
              <w:rPr>
                <w:rFonts w:cs="Times New Roman"/>
                <w:sz w:val="14"/>
                <w:szCs w:val="14"/>
              </w:rPr>
            </w:pPr>
            <w:r w:rsidRPr="002647CF">
              <w:rPr>
                <w:rFonts w:cs="Times New Roman"/>
                <w:sz w:val="14"/>
                <w:szCs w:val="14"/>
              </w:rPr>
              <w:t>WASSENT</w:t>
            </w:r>
          </w:p>
        </w:tc>
        <w:tc>
          <w:tcPr>
            <w:tcW w:w="2363" w:type="dxa"/>
          </w:tcPr>
          <w:p w:rsidR="00534631" w:rsidRPr="002647CF" w:rsidRDefault="00534631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Assent for Youth</w:t>
            </w:r>
          </w:p>
        </w:tc>
        <w:tc>
          <w:tcPr>
            <w:tcW w:w="972" w:type="dxa"/>
            <w:vAlign w:val="center"/>
          </w:tcPr>
          <w:p w:rsidR="00534631" w:rsidRPr="002647CF" w:rsidRDefault="00534631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34631" w:rsidRPr="002647CF" w:rsidRDefault="00534631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34631" w:rsidRPr="002647CF" w:rsidRDefault="00C057F5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34631" w:rsidRPr="002647CF" w:rsidRDefault="00C057F5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Edited assent text to match attachments; changes detailed in the summary of changes document</w:t>
            </w:r>
          </w:p>
        </w:tc>
        <w:tc>
          <w:tcPr>
            <w:tcW w:w="1710" w:type="dxa"/>
          </w:tcPr>
          <w:p w:rsidR="00534631" w:rsidRPr="002647CF" w:rsidRDefault="00534631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 separate assent document was approved by OMB on 11/17/15</w:t>
            </w:r>
          </w:p>
        </w:tc>
      </w:tr>
      <w:tr w:rsidR="00B6729C" w:rsidRPr="002647CF" w:rsidTr="00836019">
        <w:tc>
          <w:tcPr>
            <w:tcW w:w="1075" w:type="dxa"/>
          </w:tcPr>
          <w:p w:rsidR="00B6729C" w:rsidRPr="002647CF" w:rsidRDefault="00B6729C" w:rsidP="005A37FC">
            <w:pPr>
              <w:rPr>
                <w:rFonts w:cs="Times New Roman"/>
                <w:sz w:val="14"/>
                <w:szCs w:val="14"/>
              </w:rPr>
            </w:pPr>
            <w:r w:rsidRPr="002647CF">
              <w:rPr>
                <w:rFonts w:cs="Times New Roman"/>
                <w:sz w:val="14"/>
                <w:szCs w:val="14"/>
              </w:rPr>
              <w:t>DOB</w:t>
            </w:r>
            <w:r w:rsidR="00331B93" w:rsidRPr="002647CF">
              <w:rPr>
                <w:rFonts w:cs="Times New Roman"/>
                <w:sz w:val="14"/>
                <w:szCs w:val="14"/>
              </w:rPr>
              <w:t>, DOB2</w:t>
            </w:r>
          </w:p>
        </w:tc>
        <w:tc>
          <w:tcPr>
            <w:tcW w:w="2363" w:type="dxa"/>
          </w:tcPr>
          <w:p w:rsidR="00B6729C" w:rsidRPr="002647CF" w:rsidRDefault="00B6729C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Date of birth item</w:t>
            </w:r>
          </w:p>
        </w:tc>
        <w:tc>
          <w:tcPr>
            <w:tcW w:w="972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6729C" w:rsidRPr="002647CF" w:rsidRDefault="00B6729C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29C" w:rsidRPr="002647CF" w:rsidRDefault="00331B93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Edited DOB series</w:t>
            </w:r>
            <w:r w:rsidR="00B6729C" w:rsidRPr="002647CF">
              <w:rPr>
                <w:rFonts w:cs="Times New Roman"/>
                <w:sz w:val="20"/>
                <w:szCs w:val="20"/>
              </w:rPr>
              <w:t xml:space="preserve"> to require </w:t>
            </w:r>
            <w:r w:rsidRPr="002647CF">
              <w:rPr>
                <w:rFonts w:cs="Times New Roman"/>
                <w:sz w:val="20"/>
                <w:szCs w:val="20"/>
              </w:rPr>
              <w:t>participants</w:t>
            </w:r>
            <w:r w:rsidR="00B6729C" w:rsidRPr="002647CF">
              <w:rPr>
                <w:rFonts w:cs="Times New Roman"/>
                <w:sz w:val="20"/>
                <w:szCs w:val="20"/>
              </w:rPr>
              <w:t xml:space="preserve"> to enter their DOB twice; the instrument checks to make sure the two match, which reduces data entry errors</w:t>
            </w:r>
          </w:p>
        </w:tc>
        <w:tc>
          <w:tcPr>
            <w:tcW w:w="1710" w:type="dxa"/>
          </w:tcPr>
          <w:p w:rsidR="00B6729C" w:rsidRPr="002647CF" w:rsidRDefault="00331B93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534631" w:rsidRPr="002647CF" w:rsidTr="00836019">
        <w:tc>
          <w:tcPr>
            <w:tcW w:w="1075" w:type="dxa"/>
          </w:tcPr>
          <w:p w:rsidR="00534631" w:rsidRPr="002647CF" w:rsidRDefault="00253FE3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C4_3</w:t>
            </w:r>
          </w:p>
        </w:tc>
        <w:tc>
          <w:tcPr>
            <w:tcW w:w="2363" w:type="dxa"/>
          </w:tcPr>
          <w:p w:rsidR="00534631" w:rsidRPr="002647CF" w:rsidRDefault="00253FE3" w:rsidP="0028164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e-cigs susceptibility</w:t>
            </w:r>
          </w:p>
        </w:tc>
        <w:tc>
          <w:tcPr>
            <w:tcW w:w="972" w:type="dxa"/>
            <w:vAlign w:val="center"/>
          </w:tcPr>
          <w:p w:rsidR="00534631" w:rsidRPr="002647CF" w:rsidRDefault="00534631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34631" w:rsidRPr="002647CF" w:rsidRDefault="00534631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34631" w:rsidRPr="002647CF" w:rsidRDefault="00280227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34631" w:rsidRPr="002647CF" w:rsidRDefault="00253FE3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text for clarity</w:t>
            </w:r>
          </w:p>
        </w:tc>
        <w:tc>
          <w:tcPr>
            <w:tcW w:w="1710" w:type="dxa"/>
          </w:tcPr>
          <w:p w:rsidR="00534631" w:rsidRPr="002647CF" w:rsidRDefault="00280227" w:rsidP="005A37FC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341835" w:rsidRPr="002647CF" w:rsidTr="00836019">
        <w:tc>
          <w:tcPr>
            <w:tcW w:w="1075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E6_5</w:t>
            </w:r>
          </w:p>
        </w:tc>
        <w:tc>
          <w:tcPr>
            <w:tcW w:w="2363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Attention check item</w:t>
            </w:r>
          </w:p>
        </w:tc>
        <w:tc>
          <w:tcPr>
            <w:tcW w:w="972" w:type="dxa"/>
            <w:vAlign w:val="center"/>
          </w:tcPr>
          <w:p w:rsidR="00341835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341835" w:rsidRPr="002647CF" w:rsidRDefault="00341835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41835" w:rsidRPr="002647CF" w:rsidRDefault="00341835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Add item to check to see if respondents are paying attention and to assess data quality</w:t>
            </w:r>
          </w:p>
        </w:tc>
        <w:tc>
          <w:tcPr>
            <w:tcW w:w="1710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341835" w:rsidRPr="002647CF" w:rsidTr="00836019">
        <w:tc>
          <w:tcPr>
            <w:tcW w:w="1075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F1, F2 Series</w:t>
            </w:r>
          </w:p>
        </w:tc>
        <w:tc>
          <w:tcPr>
            <w:tcW w:w="2363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Media use</w:t>
            </w:r>
          </w:p>
        </w:tc>
        <w:tc>
          <w:tcPr>
            <w:tcW w:w="972" w:type="dxa"/>
            <w:vAlign w:val="center"/>
          </w:tcPr>
          <w:p w:rsidR="00341835" w:rsidRPr="002647CF" w:rsidRDefault="00341835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41835" w:rsidRPr="002647CF" w:rsidRDefault="00341835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41835" w:rsidRPr="002647CF" w:rsidRDefault="00280227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response option “About once a day” to use lower case words</w:t>
            </w:r>
          </w:p>
        </w:tc>
        <w:tc>
          <w:tcPr>
            <w:tcW w:w="1710" w:type="dxa"/>
          </w:tcPr>
          <w:p w:rsidR="00341835" w:rsidRPr="002647CF" w:rsidRDefault="00280227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253FE3" w:rsidRPr="002647CF" w:rsidTr="00836019">
        <w:tc>
          <w:tcPr>
            <w:tcW w:w="1075" w:type="dxa"/>
          </w:tcPr>
          <w:p w:rsidR="00253FE3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F4 series</w:t>
            </w:r>
          </w:p>
        </w:tc>
        <w:tc>
          <w:tcPr>
            <w:tcW w:w="2363" w:type="dxa"/>
          </w:tcPr>
          <w:p w:rsidR="00253FE3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Media awareness</w:t>
            </w:r>
          </w:p>
        </w:tc>
        <w:tc>
          <w:tcPr>
            <w:tcW w:w="972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53FE3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Update date fills for new time frame</w:t>
            </w:r>
          </w:p>
        </w:tc>
        <w:tc>
          <w:tcPr>
            <w:tcW w:w="1710" w:type="dxa"/>
          </w:tcPr>
          <w:p w:rsidR="00253FE3" w:rsidRPr="002647CF" w:rsidRDefault="00253FE3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253FE3" w:rsidRPr="002647CF" w:rsidTr="00836019">
        <w:tc>
          <w:tcPr>
            <w:tcW w:w="1075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F4 series</w:t>
            </w:r>
          </w:p>
        </w:tc>
        <w:tc>
          <w:tcPr>
            <w:tcW w:w="2363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Media awareness</w:t>
            </w:r>
          </w:p>
        </w:tc>
        <w:tc>
          <w:tcPr>
            <w:tcW w:w="972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53FE3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response option “Not sure” to use lower case</w:t>
            </w:r>
          </w:p>
        </w:tc>
        <w:tc>
          <w:tcPr>
            <w:tcW w:w="1710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253FE3" w:rsidRPr="002647CF" w:rsidTr="00836019">
        <w:tc>
          <w:tcPr>
            <w:tcW w:w="1075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F4_7</w:t>
            </w:r>
          </w:p>
        </w:tc>
        <w:tc>
          <w:tcPr>
            <w:tcW w:w="2363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Attention check item</w:t>
            </w:r>
          </w:p>
        </w:tc>
        <w:tc>
          <w:tcPr>
            <w:tcW w:w="972" w:type="dxa"/>
            <w:vAlign w:val="center"/>
          </w:tcPr>
          <w:p w:rsidR="00253FE3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53FE3" w:rsidRPr="002647CF" w:rsidRDefault="00253FE3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Add item to check to see if respondents are paying attention and to assess data quality</w:t>
            </w:r>
          </w:p>
        </w:tc>
        <w:tc>
          <w:tcPr>
            <w:tcW w:w="1710" w:type="dxa"/>
          </w:tcPr>
          <w:p w:rsidR="00253FE3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F6_5</w:t>
            </w:r>
          </w:p>
        </w:tc>
        <w:tc>
          <w:tcPr>
            <w:tcW w:w="2363" w:type="dxa"/>
          </w:tcPr>
          <w:p w:rsidR="00B5069F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Campaign awareness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response option “Video games” to align with other response options in F6_5</w:t>
            </w:r>
          </w:p>
        </w:tc>
        <w:tc>
          <w:tcPr>
            <w:tcW w:w="1710" w:type="dxa"/>
          </w:tcPr>
          <w:p w:rsidR="00B5069F" w:rsidRPr="002647CF" w:rsidRDefault="00B5069F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1E7EF0" w:rsidRPr="002647CF" w:rsidRDefault="001E7EF0" w:rsidP="00341835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F8, F19, F10, F11, F12, F13</w:t>
            </w:r>
          </w:p>
          <w:p w:rsidR="00B5069F" w:rsidRPr="002647CF" w:rsidRDefault="005E30C8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18"/>
                <w:szCs w:val="18"/>
              </w:rPr>
              <w:t>series</w:t>
            </w:r>
          </w:p>
        </w:tc>
        <w:tc>
          <w:tcPr>
            <w:tcW w:w="2363" w:type="dxa"/>
          </w:tcPr>
          <w:p w:rsidR="00B5069F" w:rsidRPr="002647CF" w:rsidRDefault="005E30C8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Specific ad</w:t>
            </w:r>
            <w:r w:rsidR="00AC2717" w:rsidRPr="002647CF">
              <w:rPr>
                <w:rFonts w:cs="Times New Roman"/>
                <w:sz w:val="20"/>
                <w:szCs w:val="20"/>
              </w:rPr>
              <w:t xml:space="preserve"> awareness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AC2717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AC2717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 xml:space="preserve">Update </w:t>
            </w:r>
            <w:r w:rsidR="001E7EF0" w:rsidRPr="002647CF">
              <w:rPr>
                <w:rFonts w:cs="Times New Roman"/>
                <w:sz w:val="20"/>
                <w:szCs w:val="20"/>
              </w:rPr>
              <w:t xml:space="preserve">to include media used </w:t>
            </w:r>
            <w:r w:rsidRPr="002647CF">
              <w:rPr>
                <w:rFonts w:cs="Times New Roman"/>
                <w:sz w:val="20"/>
                <w:szCs w:val="20"/>
              </w:rPr>
              <w:t>for follow up 2</w:t>
            </w:r>
          </w:p>
        </w:tc>
        <w:tc>
          <w:tcPr>
            <w:tcW w:w="1710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F25 series</w:t>
            </w:r>
          </w:p>
        </w:tc>
        <w:tc>
          <w:tcPr>
            <w:tcW w:w="2363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Specific radio ad awareness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Update to include media used for follow up 2</w:t>
            </w:r>
          </w:p>
        </w:tc>
        <w:tc>
          <w:tcPr>
            <w:tcW w:w="1710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lastRenderedPageBreak/>
              <w:t>F27</w:t>
            </w:r>
          </w:p>
        </w:tc>
        <w:tc>
          <w:tcPr>
            <w:tcW w:w="2363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Banner ad awareness</w:t>
            </w:r>
          </w:p>
        </w:tc>
        <w:tc>
          <w:tcPr>
            <w:tcW w:w="972" w:type="dxa"/>
            <w:vAlign w:val="center"/>
          </w:tcPr>
          <w:p w:rsidR="00B5069F" w:rsidRPr="002647C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Add question for new banner ads that are being used during follow up 2</w:t>
            </w:r>
          </w:p>
        </w:tc>
        <w:tc>
          <w:tcPr>
            <w:tcW w:w="1710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F18a</w:t>
            </w:r>
          </w:p>
        </w:tc>
        <w:tc>
          <w:tcPr>
            <w:tcW w:w="2363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Website awareness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Update date fill for new time frame</w:t>
            </w:r>
          </w:p>
        </w:tc>
        <w:tc>
          <w:tcPr>
            <w:tcW w:w="1710" w:type="dxa"/>
          </w:tcPr>
          <w:p w:rsidR="00B5069F" w:rsidRPr="002647CF" w:rsidRDefault="001E7EF0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F427F4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G6-G8</w:t>
            </w:r>
            <w:r w:rsidR="00836019" w:rsidRPr="002647CF">
              <w:rPr>
                <w:rFonts w:cs="Times New Roman"/>
                <w:sz w:val="20"/>
                <w:szCs w:val="20"/>
              </w:rPr>
              <w:t>, G12-G17</w:t>
            </w:r>
          </w:p>
        </w:tc>
        <w:tc>
          <w:tcPr>
            <w:tcW w:w="2363" w:type="dxa"/>
          </w:tcPr>
          <w:p w:rsidR="00B5069F" w:rsidRPr="002647CF" w:rsidRDefault="00F427F4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F427F4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F427F4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response options “Strongly disagree” and “Strongly agree”</w:t>
            </w:r>
            <w:r w:rsidR="00836019" w:rsidRPr="002647CF">
              <w:rPr>
                <w:rFonts w:cs="Times New Roman"/>
                <w:sz w:val="20"/>
                <w:szCs w:val="20"/>
              </w:rPr>
              <w:t xml:space="preserve"> using lower case</w:t>
            </w:r>
          </w:p>
        </w:tc>
        <w:tc>
          <w:tcPr>
            <w:tcW w:w="1710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836019" w:rsidP="00341835">
            <w:pPr>
              <w:rPr>
                <w:rFonts w:cs="Times New Roman"/>
                <w:sz w:val="14"/>
                <w:szCs w:val="14"/>
              </w:rPr>
            </w:pPr>
            <w:r w:rsidRPr="002647CF">
              <w:rPr>
                <w:rFonts w:cs="Times New Roman"/>
                <w:sz w:val="14"/>
                <w:szCs w:val="14"/>
              </w:rPr>
              <w:t>RECONREF</w:t>
            </w:r>
          </w:p>
        </w:tc>
        <w:tc>
          <w:tcPr>
            <w:tcW w:w="2363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836019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for clarity</w:t>
            </w:r>
          </w:p>
        </w:tc>
        <w:tc>
          <w:tcPr>
            <w:tcW w:w="1710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2647CF" w:rsidTr="00836019">
        <w:tc>
          <w:tcPr>
            <w:tcW w:w="1075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H3b, H3c</w:t>
            </w:r>
          </w:p>
        </w:tc>
        <w:tc>
          <w:tcPr>
            <w:tcW w:w="2363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B5069F" w:rsidRPr="002647CF" w:rsidRDefault="00836019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Pr="002647C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New items to confirm contact information for future rounds of the survey</w:t>
            </w:r>
          </w:p>
        </w:tc>
        <w:tc>
          <w:tcPr>
            <w:tcW w:w="1710" w:type="dxa"/>
          </w:tcPr>
          <w:p w:rsidR="00B5069F" w:rsidRPr="002647CF" w:rsidRDefault="00836019" w:rsidP="00341835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836019" w:rsidRPr="002647CF" w:rsidTr="00836019">
        <w:tc>
          <w:tcPr>
            <w:tcW w:w="1075" w:type="dxa"/>
          </w:tcPr>
          <w:p w:rsidR="00836019" w:rsidRPr="002647CF" w:rsidRDefault="00836019" w:rsidP="00836019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INCENT02</w:t>
            </w:r>
          </w:p>
        </w:tc>
        <w:tc>
          <w:tcPr>
            <w:tcW w:w="2363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Edit to provide participants with instructions not to complete the web version after in-person survey is complete</w:t>
            </w:r>
          </w:p>
        </w:tc>
        <w:tc>
          <w:tcPr>
            <w:tcW w:w="1710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836019" w:rsidRPr="002647CF" w:rsidTr="00836019">
        <w:tc>
          <w:tcPr>
            <w:tcW w:w="1075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FIDBF1, FIDBF2</w:t>
            </w:r>
          </w:p>
        </w:tc>
        <w:tc>
          <w:tcPr>
            <w:tcW w:w="2363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New items for the field interviewer to describe assistance given to the participants</w:t>
            </w:r>
          </w:p>
        </w:tc>
        <w:tc>
          <w:tcPr>
            <w:tcW w:w="1710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836019" w:rsidRPr="002647CF" w:rsidTr="00836019">
        <w:tc>
          <w:tcPr>
            <w:tcW w:w="1075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VERIFY</w:t>
            </w:r>
          </w:p>
        </w:tc>
        <w:tc>
          <w:tcPr>
            <w:tcW w:w="2363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New item to verify the number of surveys completed by the participant</w:t>
            </w:r>
          </w:p>
        </w:tc>
        <w:tc>
          <w:tcPr>
            <w:tcW w:w="1710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836019" w:rsidRPr="002647CF" w:rsidTr="00836019">
        <w:tc>
          <w:tcPr>
            <w:tcW w:w="1075" w:type="dxa"/>
          </w:tcPr>
          <w:p w:rsidR="00836019" w:rsidRPr="002647CF" w:rsidRDefault="00836019" w:rsidP="00836019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COMMNT</w:t>
            </w:r>
          </w:p>
        </w:tc>
        <w:tc>
          <w:tcPr>
            <w:tcW w:w="2363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 xml:space="preserve">New item to obtain feedback from participants on how the survey went </w:t>
            </w:r>
          </w:p>
        </w:tc>
        <w:tc>
          <w:tcPr>
            <w:tcW w:w="1710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836019" w:rsidRPr="002647CF" w:rsidTr="00836019">
        <w:tc>
          <w:tcPr>
            <w:tcW w:w="1075" w:type="dxa"/>
          </w:tcPr>
          <w:p w:rsidR="00836019" w:rsidRPr="002647CF" w:rsidRDefault="00836019" w:rsidP="00836019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WEBTH</w:t>
            </w:r>
          </w:p>
        </w:tc>
        <w:tc>
          <w:tcPr>
            <w:tcW w:w="2363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36019" w:rsidRPr="002647CF" w:rsidRDefault="00836019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Update response options to include phone number for the participant’s parent to facilitate contact for the next round</w:t>
            </w:r>
          </w:p>
        </w:tc>
        <w:tc>
          <w:tcPr>
            <w:tcW w:w="1710" w:type="dxa"/>
          </w:tcPr>
          <w:p w:rsidR="00836019" w:rsidRPr="002647CF" w:rsidRDefault="00836019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0C2DEB" w:rsidRPr="002647CF" w:rsidTr="00836019">
        <w:tc>
          <w:tcPr>
            <w:tcW w:w="1075" w:type="dxa"/>
          </w:tcPr>
          <w:p w:rsidR="000C2DEB" w:rsidRPr="002647CF" w:rsidRDefault="000C2DEB" w:rsidP="00836019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WTHANK</w:t>
            </w:r>
          </w:p>
        </w:tc>
        <w:tc>
          <w:tcPr>
            <w:tcW w:w="2363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New item to thank participants for completing the survey</w:t>
            </w:r>
          </w:p>
        </w:tc>
        <w:tc>
          <w:tcPr>
            <w:tcW w:w="1710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0C2DEB" w:rsidRPr="002647CF" w:rsidTr="00836019">
        <w:tc>
          <w:tcPr>
            <w:tcW w:w="1075" w:type="dxa"/>
          </w:tcPr>
          <w:p w:rsidR="000C2DEB" w:rsidRPr="002647CF" w:rsidRDefault="000C2DEB" w:rsidP="00836019">
            <w:pPr>
              <w:rPr>
                <w:rFonts w:cs="Times New Roman"/>
                <w:sz w:val="18"/>
                <w:szCs w:val="18"/>
              </w:rPr>
            </w:pPr>
            <w:r w:rsidRPr="002647CF">
              <w:rPr>
                <w:rFonts w:cs="Times New Roman"/>
                <w:sz w:val="18"/>
                <w:szCs w:val="18"/>
              </w:rPr>
              <w:t>MIEND</w:t>
            </w:r>
          </w:p>
        </w:tc>
        <w:tc>
          <w:tcPr>
            <w:tcW w:w="2363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Closing items</w:t>
            </w:r>
          </w:p>
        </w:tc>
        <w:tc>
          <w:tcPr>
            <w:tcW w:w="972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C2DEB" w:rsidRPr="002647CF" w:rsidRDefault="000C2DEB" w:rsidP="008360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New item to provide instructions to close the browser window</w:t>
            </w:r>
          </w:p>
        </w:tc>
        <w:tc>
          <w:tcPr>
            <w:tcW w:w="1710" w:type="dxa"/>
          </w:tcPr>
          <w:p w:rsidR="000C2DEB" w:rsidRPr="002647CF" w:rsidRDefault="000C2DEB" w:rsidP="00836019">
            <w:pPr>
              <w:rPr>
                <w:rFonts w:cs="Times New Roman"/>
                <w:sz w:val="20"/>
                <w:szCs w:val="20"/>
              </w:rPr>
            </w:pPr>
            <w:r w:rsidRPr="002647CF">
              <w:rPr>
                <w:rFonts w:cs="Times New Roman"/>
                <w:sz w:val="20"/>
                <w:szCs w:val="20"/>
              </w:rPr>
              <w:t>N/A</w:t>
            </w:r>
          </w:p>
        </w:tc>
      </w:tr>
    </w:tbl>
    <w:p w:rsidR="00F177A3" w:rsidRDefault="00F177A3"/>
    <w:sectPr w:rsidR="00F177A3" w:rsidSect="00AE11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ED" w:rsidRDefault="00E541ED" w:rsidP="00E541ED">
      <w:r>
        <w:separator/>
      </w:r>
    </w:p>
  </w:endnote>
  <w:endnote w:type="continuationSeparator" w:id="0">
    <w:p w:rsidR="00E541ED" w:rsidRDefault="00E541ED" w:rsidP="00E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4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41ED" w:rsidRDefault="00E541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C7E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C7E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541ED" w:rsidRDefault="00E5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ED" w:rsidRDefault="00E541ED" w:rsidP="00E541ED">
      <w:r>
        <w:separator/>
      </w:r>
    </w:p>
  </w:footnote>
  <w:footnote w:type="continuationSeparator" w:id="0">
    <w:p w:rsidR="00E541ED" w:rsidRDefault="00E541ED" w:rsidP="00E5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83DC1"/>
    <w:rsid w:val="000B23EE"/>
    <w:rsid w:val="000C2DEB"/>
    <w:rsid w:val="000D2EDF"/>
    <w:rsid w:val="00116014"/>
    <w:rsid w:val="0012146D"/>
    <w:rsid w:val="00142B8F"/>
    <w:rsid w:val="00147BA4"/>
    <w:rsid w:val="00175D02"/>
    <w:rsid w:val="001A1302"/>
    <w:rsid w:val="001E7EF0"/>
    <w:rsid w:val="001F2D15"/>
    <w:rsid w:val="002001F4"/>
    <w:rsid w:val="00221EDA"/>
    <w:rsid w:val="00253FE3"/>
    <w:rsid w:val="002647CF"/>
    <w:rsid w:val="00280227"/>
    <w:rsid w:val="00281645"/>
    <w:rsid w:val="002F3D82"/>
    <w:rsid w:val="00311F87"/>
    <w:rsid w:val="00331B93"/>
    <w:rsid w:val="00341835"/>
    <w:rsid w:val="00365A37"/>
    <w:rsid w:val="00367269"/>
    <w:rsid w:val="00386CEE"/>
    <w:rsid w:val="003A3A22"/>
    <w:rsid w:val="003D2FEA"/>
    <w:rsid w:val="004239CC"/>
    <w:rsid w:val="004313C7"/>
    <w:rsid w:val="00483570"/>
    <w:rsid w:val="004C1D2C"/>
    <w:rsid w:val="004C518C"/>
    <w:rsid w:val="004D1076"/>
    <w:rsid w:val="004D7C5B"/>
    <w:rsid w:val="00534631"/>
    <w:rsid w:val="00541990"/>
    <w:rsid w:val="005540E4"/>
    <w:rsid w:val="00570A61"/>
    <w:rsid w:val="005A37FC"/>
    <w:rsid w:val="005B49E2"/>
    <w:rsid w:val="005C30E8"/>
    <w:rsid w:val="005E30C8"/>
    <w:rsid w:val="005E71C6"/>
    <w:rsid w:val="005F6D60"/>
    <w:rsid w:val="00612C63"/>
    <w:rsid w:val="00641979"/>
    <w:rsid w:val="00646E22"/>
    <w:rsid w:val="006F29B9"/>
    <w:rsid w:val="007119C3"/>
    <w:rsid w:val="00711BDC"/>
    <w:rsid w:val="00715E96"/>
    <w:rsid w:val="0072733F"/>
    <w:rsid w:val="00793ADE"/>
    <w:rsid w:val="007C0C76"/>
    <w:rsid w:val="007D1903"/>
    <w:rsid w:val="007F59F2"/>
    <w:rsid w:val="008119A3"/>
    <w:rsid w:val="00836019"/>
    <w:rsid w:val="00887681"/>
    <w:rsid w:val="0089056A"/>
    <w:rsid w:val="008E6470"/>
    <w:rsid w:val="00901F37"/>
    <w:rsid w:val="009164A9"/>
    <w:rsid w:val="0092189A"/>
    <w:rsid w:val="00971393"/>
    <w:rsid w:val="00980042"/>
    <w:rsid w:val="009A232C"/>
    <w:rsid w:val="00A177D4"/>
    <w:rsid w:val="00AA2B7F"/>
    <w:rsid w:val="00AC2717"/>
    <w:rsid w:val="00AD5F1E"/>
    <w:rsid w:val="00AE1126"/>
    <w:rsid w:val="00B5069F"/>
    <w:rsid w:val="00B6729C"/>
    <w:rsid w:val="00B677D5"/>
    <w:rsid w:val="00B91D6E"/>
    <w:rsid w:val="00BD4433"/>
    <w:rsid w:val="00BD7519"/>
    <w:rsid w:val="00C057F5"/>
    <w:rsid w:val="00C92B86"/>
    <w:rsid w:val="00CB6838"/>
    <w:rsid w:val="00D27842"/>
    <w:rsid w:val="00DA5FF3"/>
    <w:rsid w:val="00DB33B5"/>
    <w:rsid w:val="00DC3F3A"/>
    <w:rsid w:val="00DC7EBC"/>
    <w:rsid w:val="00DD026B"/>
    <w:rsid w:val="00DE0B7F"/>
    <w:rsid w:val="00E12269"/>
    <w:rsid w:val="00E4669E"/>
    <w:rsid w:val="00E541ED"/>
    <w:rsid w:val="00E766B2"/>
    <w:rsid w:val="00E841EA"/>
    <w:rsid w:val="00E9207B"/>
    <w:rsid w:val="00EB1B8C"/>
    <w:rsid w:val="00EF3FB5"/>
    <w:rsid w:val="00F177A3"/>
    <w:rsid w:val="00F427F4"/>
    <w:rsid w:val="00F723FF"/>
    <w:rsid w:val="00F91A1C"/>
    <w:rsid w:val="00FD3515"/>
    <w:rsid w:val="00FD5DE2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Gittleson, Daniel</cp:lastModifiedBy>
  <cp:revision>12</cp:revision>
  <dcterms:created xsi:type="dcterms:W3CDTF">2017-03-14T17:13:00Z</dcterms:created>
  <dcterms:modified xsi:type="dcterms:W3CDTF">2017-04-19T19:30:00Z</dcterms:modified>
</cp:coreProperties>
</file>