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405AD" w14:textId="4EFF6DC6" w:rsidR="00A67DE5" w:rsidRPr="000234EA" w:rsidRDefault="00A67DE5" w:rsidP="00A67DE5">
      <w:pPr>
        <w:pStyle w:val="Heading1"/>
        <w:jc w:val="center"/>
        <w:rPr>
          <w:u w:val="single"/>
        </w:rPr>
      </w:pPr>
      <w:bookmarkStart w:id="0" w:name="_Toc318450632"/>
      <w:bookmarkStart w:id="1" w:name="_GoBack"/>
      <w:bookmarkEnd w:id="1"/>
      <w:r w:rsidRPr="000234EA">
        <w:rPr>
          <w:u w:val="single"/>
        </w:rPr>
        <w:t>SUPPORTING STATEMENT</w:t>
      </w:r>
      <w:bookmarkEnd w:id="0"/>
      <w:r w:rsidR="00A639F5" w:rsidRPr="000234EA">
        <w:rPr>
          <w:u w:val="single"/>
        </w:rPr>
        <w:t xml:space="preserve"> – PART A</w:t>
      </w:r>
    </w:p>
    <w:p w14:paraId="06558B34" w14:textId="77777777" w:rsidR="00A639F5" w:rsidRPr="000234EA" w:rsidRDefault="00A639F5" w:rsidP="004B7BC7">
      <w:pPr>
        <w:jc w:val="center"/>
      </w:pPr>
    </w:p>
    <w:p w14:paraId="1A65486A" w14:textId="2513DEC2" w:rsidR="00A639F5" w:rsidRPr="000234EA" w:rsidRDefault="00A639F5" w:rsidP="004B7BC7">
      <w:pPr>
        <w:jc w:val="center"/>
        <w:rPr>
          <w:u w:val="single"/>
        </w:rPr>
      </w:pPr>
      <w:r w:rsidRPr="000234EA">
        <w:rPr>
          <w:u w:val="single"/>
        </w:rPr>
        <w:t>Core Competencies for Amputation Rehabilitation – 0702-AAIX</w:t>
      </w:r>
    </w:p>
    <w:p w14:paraId="61A694D6" w14:textId="77777777" w:rsidR="00A67DE5" w:rsidRPr="000234EA" w:rsidRDefault="00A67DE5" w:rsidP="00A67DE5"/>
    <w:p w14:paraId="35BF673A" w14:textId="2A0FC001" w:rsidR="00A67DE5" w:rsidRPr="000234EA" w:rsidRDefault="005C192F" w:rsidP="00912DB1">
      <w:pPr>
        <w:pStyle w:val="Heading1"/>
        <w:rPr>
          <w:u w:val="single"/>
        </w:rPr>
      </w:pPr>
      <w:bookmarkStart w:id="2" w:name="_Toc318450634"/>
      <w:r w:rsidRPr="000234EA">
        <w:t xml:space="preserve">A. </w:t>
      </w:r>
      <w:r w:rsidR="00757B70" w:rsidRPr="000234EA">
        <w:rPr>
          <w:u w:val="single"/>
        </w:rPr>
        <w:t xml:space="preserve">JUSTIFICATION </w:t>
      </w:r>
      <w:bookmarkEnd w:id="2"/>
    </w:p>
    <w:p w14:paraId="0AE7E13C" w14:textId="77777777" w:rsidR="00A67DE5" w:rsidRPr="000234EA" w:rsidRDefault="00A67DE5" w:rsidP="00A67DE5">
      <w:pPr>
        <w:tabs>
          <w:tab w:val="left" w:pos="540"/>
        </w:tabs>
      </w:pPr>
    </w:p>
    <w:p w14:paraId="7CB86102" w14:textId="3FB28D30" w:rsidR="00A67DE5" w:rsidRPr="000234EA" w:rsidRDefault="00590534" w:rsidP="0019253B">
      <w:pPr>
        <w:pStyle w:val="Heading2"/>
        <w:ind w:left="0" w:firstLine="0"/>
        <w:rPr>
          <w:rFonts w:ascii="Times New Roman" w:hAnsi="Times New Roman"/>
          <w:szCs w:val="24"/>
          <w:u w:val="single"/>
        </w:rPr>
      </w:pPr>
      <w:bookmarkStart w:id="3" w:name="_Toc318450635"/>
      <w:r w:rsidRPr="000234EA">
        <w:rPr>
          <w:rFonts w:ascii="Times New Roman" w:hAnsi="Times New Roman"/>
          <w:szCs w:val="24"/>
        </w:rPr>
        <w:t xml:space="preserve">1.  </w:t>
      </w:r>
      <w:r w:rsidR="006177B0" w:rsidRPr="000234EA">
        <w:rPr>
          <w:rFonts w:ascii="Times New Roman" w:hAnsi="Times New Roman"/>
          <w:szCs w:val="24"/>
          <w:u w:val="single"/>
        </w:rPr>
        <w:t xml:space="preserve">Need for the </w:t>
      </w:r>
      <w:r w:rsidR="00A67DE5" w:rsidRPr="000234EA">
        <w:rPr>
          <w:rFonts w:ascii="Times New Roman" w:hAnsi="Times New Roman"/>
          <w:szCs w:val="24"/>
          <w:u w:val="single"/>
        </w:rPr>
        <w:t>Information Collection</w:t>
      </w:r>
      <w:bookmarkEnd w:id="3"/>
    </w:p>
    <w:p w14:paraId="44DB465B" w14:textId="77777777" w:rsidR="0026549F" w:rsidRPr="00D30B87" w:rsidRDefault="0026549F" w:rsidP="0026549F"/>
    <w:p w14:paraId="7579C7D2" w14:textId="593EFACE" w:rsidR="00F66A97" w:rsidRPr="00D30B87" w:rsidRDefault="00F66A97" w:rsidP="0019253B">
      <w:pPr>
        <w:spacing w:after="200" w:line="23" w:lineRule="atLeast"/>
      </w:pPr>
      <w:r w:rsidRPr="00D30B87">
        <w:t>The Department of Defense (DoD) requests a one-year clearance from the Office of Management and Budget (OMB) under the Paperwork Reduction Act of 1995 to conduct interviews for a USAMC study titled “</w:t>
      </w:r>
      <w:r w:rsidRPr="00D30B87">
        <w:rPr>
          <w:u w:val="single"/>
        </w:rPr>
        <w:t>Core Competencies for Amputation</w:t>
      </w:r>
      <w:r w:rsidRPr="00D30B87">
        <w:t xml:space="preserve"> </w:t>
      </w:r>
      <w:r w:rsidRPr="00D30B87">
        <w:rPr>
          <w:u w:val="single"/>
        </w:rPr>
        <w:t>Rehabilitation</w:t>
      </w:r>
      <w:r w:rsidRPr="00D30B87">
        <w:t xml:space="preserve">”. </w:t>
      </w:r>
    </w:p>
    <w:p w14:paraId="474D1B2B" w14:textId="1B717B34" w:rsidR="0019253B" w:rsidRPr="00D30B87" w:rsidRDefault="00F66A97" w:rsidP="0019253B">
      <w:pPr>
        <w:spacing w:after="200" w:line="23" w:lineRule="atLeast"/>
        <w:rPr>
          <w:color w:val="FF0000"/>
        </w:rPr>
      </w:pPr>
      <w:r w:rsidRPr="00D30B87">
        <w:t xml:space="preserve">Under DoD Contract Number </w:t>
      </w:r>
      <w:r w:rsidRPr="00D30B87">
        <w:rPr>
          <w:rFonts w:eastAsia="Futura Book"/>
        </w:rPr>
        <w:t>W74V8H-06-C-0001</w:t>
      </w:r>
      <w:r w:rsidRPr="00D30B87">
        <w:t>, the RAND project team will conduct interviews and focus groups with military healthcare providers and interviews with amputees to understand the core competencies and associated behaviors needed to rehabilitate amputees who su</w:t>
      </w:r>
      <w:r w:rsidR="003348DF">
        <w:t>ffered war-related amputations.</w:t>
      </w:r>
      <w:r w:rsidR="009B441B">
        <w:t xml:space="preserve"> Interviews will be conducted in a private room at the site where the provider works.  Privacy is important to ensure confidentiality and allow the participant to speak freely about the topic. </w:t>
      </w:r>
      <w:r w:rsidRPr="00D30B87">
        <w:t xml:space="preserve">This clearance request covers DoD contractors and civilian rehabilitation center healthcare providers. </w:t>
      </w:r>
    </w:p>
    <w:p w14:paraId="486E7BFE" w14:textId="59173079" w:rsidR="00A67DE5" w:rsidRPr="00D30B87" w:rsidRDefault="00E971A3" w:rsidP="0019253B">
      <w:r w:rsidRPr="000234EA">
        <w:t xml:space="preserve">Our study supports Recommendation 2 from the Defense Health Board’s report </w:t>
      </w:r>
      <w:r w:rsidRPr="000234EA">
        <w:rPr>
          <w:i/>
        </w:rPr>
        <w:t>Sustainment and Advancement of Amputee Care</w:t>
      </w:r>
      <w:r w:rsidRPr="000234EA">
        <w:t xml:space="preserve">, specifically the need to define and update core competencies for healthcare providers.  Our project also helps our sponsor achieve their goal of </w:t>
      </w:r>
      <w:r w:rsidRPr="000234EA">
        <w:rPr>
          <w:rFonts w:eastAsiaTheme="minorEastAsia" w:cs="Arial"/>
        </w:rPr>
        <w:t>developing a plan and strategy for caring for service members who experienced traumatic injuries</w:t>
      </w:r>
      <w:r w:rsidRPr="00E971A3">
        <w:rPr>
          <w:rFonts w:eastAsiaTheme="minorEastAsia" w:cs="Arial"/>
        </w:rPr>
        <w:t>, which they were mandated to do under the Congressionally approved NDAA for 2009 (section 723, part c(1) is specific to our sponsor EACE and this plan).  </w:t>
      </w:r>
      <w:r w:rsidR="0026549F" w:rsidRPr="00E971A3">
        <w:t xml:space="preserve">This data collection is necessary to identify and analyze all facets </w:t>
      </w:r>
      <w:r w:rsidR="001231D0" w:rsidRPr="00E971A3">
        <w:t xml:space="preserve">of </w:t>
      </w:r>
      <w:r w:rsidR="006F0ED6" w:rsidRPr="00E971A3">
        <w:t xml:space="preserve">rehabilitative </w:t>
      </w:r>
      <w:r w:rsidR="00757B70" w:rsidRPr="00E971A3">
        <w:t>services</w:t>
      </w:r>
      <w:r w:rsidR="0026549F" w:rsidRPr="00E971A3">
        <w:t xml:space="preserve"> for</w:t>
      </w:r>
      <w:r w:rsidR="0026549F" w:rsidRPr="00D30B87">
        <w:t xml:space="preserve"> amputees and their support </w:t>
      </w:r>
      <w:r w:rsidR="001231D0" w:rsidRPr="00D30B87">
        <w:t xml:space="preserve">networks (from time after </w:t>
      </w:r>
      <w:r w:rsidR="006F0ED6" w:rsidRPr="00D30B87">
        <w:t xml:space="preserve">definitive </w:t>
      </w:r>
      <w:r w:rsidR="001231D0" w:rsidRPr="00D30B87">
        <w:t xml:space="preserve">amputation surgery through </w:t>
      </w:r>
      <w:r w:rsidR="006F0ED6" w:rsidRPr="00D30B87">
        <w:t xml:space="preserve">outpatient care and treatment(s)). </w:t>
      </w:r>
      <w:r w:rsidR="0026549F" w:rsidRPr="00D30B87">
        <w:t xml:space="preserve">As current CONOPS tempos decrease, corresponding care for the wounded </w:t>
      </w:r>
      <w:r w:rsidR="0094744E" w:rsidRPr="00D30B87">
        <w:t xml:space="preserve">and disabled </w:t>
      </w:r>
      <w:r w:rsidR="0026549F" w:rsidRPr="00D30B87">
        <w:t xml:space="preserve">must evolve from </w:t>
      </w:r>
      <w:r w:rsidR="001231D0" w:rsidRPr="00D30B87">
        <w:t>emergent actions</w:t>
      </w:r>
      <w:r w:rsidR="0026549F" w:rsidRPr="00D30B87">
        <w:t xml:space="preserve"> </w:t>
      </w:r>
      <w:r w:rsidR="001231D0" w:rsidRPr="00D30B87">
        <w:t>to long-t</w:t>
      </w:r>
      <w:r w:rsidR="0026549F" w:rsidRPr="00D30B87">
        <w:t xml:space="preserve">erm treatment of patients. Currently DoD has developed extensive skill sets coupled </w:t>
      </w:r>
      <w:r w:rsidR="0094744E" w:rsidRPr="00D30B87">
        <w:t xml:space="preserve">through </w:t>
      </w:r>
      <w:r w:rsidR="0026549F" w:rsidRPr="00D30B87">
        <w:t xml:space="preserve">technological, scientific, and health systems breakthroughs that have resulted in high-quality, interdisciplinary rehabilitative care procedures.  So as not to lose this perishable skill set the goal </w:t>
      </w:r>
      <w:r w:rsidR="00E229CE" w:rsidRPr="00D30B87">
        <w:t>for</w:t>
      </w:r>
      <w:r w:rsidR="0026549F" w:rsidRPr="00D30B87">
        <w:t xml:space="preserve"> this study will be to</w:t>
      </w:r>
      <w:r w:rsidR="009229ED" w:rsidRPr="00D30B87">
        <w:t xml:space="preserve"> d</w:t>
      </w:r>
      <w:r w:rsidR="0026549F" w:rsidRPr="00D30B87">
        <w:t xml:space="preserve">ocument the core competencies of health practitioners </w:t>
      </w:r>
      <w:r w:rsidR="009C68B7" w:rsidRPr="00D30B87">
        <w:t>who provide rehabilitation to amputees.</w:t>
      </w:r>
    </w:p>
    <w:p w14:paraId="3AAE467B" w14:textId="77777777" w:rsidR="00A67DE5" w:rsidRPr="00D30B87" w:rsidRDefault="00A67DE5" w:rsidP="00A67DE5"/>
    <w:p w14:paraId="4AD2C00A" w14:textId="4A0563B0" w:rsidR="00A67DE5" w:rsidRPr="00D30B87" w:rsidRDefault="00A67DE5" w:rsidP="0019253B">
      <w:pPr>
        <w:pStyle w:val="Heading2"/>
        <w:ind w:left="0" w:firstLine="0"/>
        <w:rPr>
          <w:rFonts w:ascii="Times New Roman" w:hAnsi="Times New Roman"/>
          <w:szCs w:val="24"/>
          <w:u w:val="single"/>
        </w:rPr>
      </w:pPr>
      <w:bookmarkStart w:id="4" w:name="_Toc318450636"/>
      <w:r w:rsidRPr="00D30B87">
        <w:rPr>
          <w:rFonts w:ascii="Times New Roman" w:hAnsi="Times New Roman"/>
          <w:szCs w:val="24"/>
        </w:rPr>
        <w:t>2.</w:t>
      </w:r>
      <w:r w:rsidR="00F66A97" w:rsidRPr="00D30B87">
        <w:rPr>
          <w:rFonts w:ascii="Times New Roman" w:hAnsi="Times New Roman"/>
          <w:szCs w:val="24"/>
        </w:rPr>
        <w:t xml:space="preserve">  </w:t>
      </w:r>
      <w:r w:rsidRPr="00D30B87">
        <w:rPr>
          <w:rFonts w:ascii="Times New Roman" w:hAnsi="Times New Roman"/>
          <w:szCs w:val="24"/>
          <w:u w:val="single"/>
        </w:rPr>
        <w:t xml:space="preserve">Use of </w:t>
      </w:r>
      <w:r w:rsidR="006177B0" w:rsidRPr="00D30B87">
        <w:rPr>
          <w:rFonts w:ascii="Times New Roman" w:hAnsi="Times New Roman"/>
          <w:szCs w:val="24"/>
          <w:u w:val="single"/>
        </w:rPr>
        <w:t xml:space="preserve">the </w:t>
      </w:r>
      <w:r w:rsidRPr="00D30B87">
        <w:rPr>
          <w:rFonts w:ascii="Times New Roman" w:hAnsi="Times New Roman"/>
          <w:szCs w:val="24"/>
          <w:u w:val="single"/>
        </w:rPr>
        <w:t>Information</w:t>
      </w:r>
      <w:bookmarkEnd w:id="4"/>
    </w:p>
    <w:p w14:paraId="121E13EE" w14:textId="77777777" w:rsidR="00A67DE5" w:rsidRPr="00D30B87" w:rsidRDefault="00A67DE5" w:rsidP="000E38BB">
      <w:pPr>
        <w:keepNext/>
        <w:tabs>
          <w:tab w:val="left" w:pos="540"/>
        </w:tabs>
        <w:ind w:left="1195" w:hanging="1195"/>
        <w:outlineLvl w:val="1"/>
      </w:pPr>
    </w:p>
    <w:p w14:paraId="041BE7CD" w14:textId="77777777" w:rsidR="009B441B" w:rsidRDefault="00572A99" w:rsidP="0019253B">
      <w:pPr>
        <w:pStyle w:val="Default"/>
      </w:pPr>
      <w:r w:rsidRPr="00D30B87">
        <w:rPr>
          <w:rFonts w:ascii="Times New Roman" w:hAnsi="Times New Roman" w:cs="Times New Roman"/>
        </w:rPr>
        <w:t xml:space="preserve">Our study supports Recommendation 2 from the Defense Health Board’s report </w:t>
      </w:r>
      <w:r w:rsidRPr="00D30B87">
        <w:rPr>
          <w:rFonts w:ascii="Times New Roman" w:hAnsi="Times New Roman" w:cs="Times New Roman"/>
          <w:i/>
        </w:rPr>
        <w:t xml:space="preserve">Sustainment and Advancement of </w:t>
      </w:r>
      <w:r w:rsidRPr="00D30B87">
        <w:rPr>
          <w:rFonts w:ascii="Times New Roman" w:hAnsi="Times New Roman" w:cs="Times New Roman"/>
          <w:i/>
          <w:color w:val="auto"/>
        </w:rPr>
        <w:t>Amputee Care</w:t>
      </w:r>
      <w:r w:rsidR="00D34AF8" w:rsidRPr="00D30B87">
        <w:rPr>
          <w:rFonts w:ascii="Times New Roman" w:hAnsi="Times New Roman" w:cs="Times New Roman"/>
          <w:color w:val="auto"/>
        </w:rPr>
        <w:t xml:space="preserve">, </w:t>
      </w:r>
      <w:r w:rsidR="008F3B08" w:rsidRPr="00D30B87">
        <w:rPr>
          <w:rFonts w:ascii="Times New Roman" w:hAnsi="Times New Roman" w:cs="Times New Roman"/>
          <w:color w:val="auto"/>
        </w:rPr>
        <w:t>s</w:t>
      </w:r>
      <w:r w:rsidR="002405E3" w:rsidRPr="00D30B87">
        <w:rPr>
          <w:rFonts w:ascii="Times New Roman" w:hAnsi="Times New Roman" w:cs="Times New Roman"/>
          <w:color w:val="auto"/>
        </w:rPr>
        <w:t xml:space="preserve">pecifically the need to define and update core competencies for healthcare </w:t>
      </w:r>
      <w:r w:rsidR="00E229CE" w:rsidRPr="00D30B87">
        <w:rPr>
          <w:rFonts w:ascii="Times New Roman" w:hAnsi="Times New Roman" w:cs="Times New Roman"/>
          <w:color w:val="auto"/>
        </w:rPr>
        <w:t>providers</w:t>
      </w:r>
      <w:r w:rsidR="001A33F6" w:rsidRPr="00D30B87">
        <w:rPr>
          <w:rFonts w:ascii="Times New Roman" w:hAnsi="Times New Roman" w:cs="Times New Roman"/>
          <w:color w:val="auto"/>
        </w:rPr>
        <w:t>.</w:t>
      </w:r>
      <w:r w:rsidR="00D34AF8" w:rsidRPr="00D30B87">
        <w:rPr>
          <w:rFonts w:ascii="Times New Roman" w:hAnsi="Times New Roman" w:cs="Times New Roman"/>
          <w:color w:val="auto"/>
        </w:rPr>
        <w:t xml:space="preserve">  </w:t>
      </w:r>
      <w:r w:rsidR="00AF7FCF" w:rsidRPr="00D30B87">
        <w:rPr>
          <w:rFonts w:ascii="Times New Roman" w:hAnsi="Times New Roman" w:cs="Times New Roman"/>
          <w:color w:val="auto"/>
        </w:rPr>
        <w:t>To a</w:t>
      </w:r>
      <w:r w:rsidR="002405E3" w:rsidRPr="00D30B87">
        <w:rPr>
          <w:rFonts w:ascii="Times New Roman" w:hAnsi="Times New Roman" w:cs="Times New Roman"/>
          <w:color w:val="auto"/>
        </w:rPr>
        <w:t>ddress</w:t>
      </w:r>
      <w:r w:rsidR="00AF7FCF" w:rsidRPr="00D30B87">
        <w:rPr>
          <w:rFonts w:ascii="Times New Roman" w:hAnsi="Times New Roman" w:cs="Times New Roman"/>
          <w:color w:val="auto"/>
        </w:rPr>
        <w:t xml:space="preserve"> </w:t>
      </w:r>
      <w:r w:rsidR="002405E3" w:rsidRPr="00D30B87">
        <w:rPr>
          <w:rFonts w:ascii="Times New Roman" w:hAnsi="Times New Roman" w:cs="Times New Roman"/>
          <w:color w:val="auto"/>
        </w:rPr>
        <w:t xml:space="preserve">this recommendation interviewing those who provide </w:t>
      </w:r>
      <w:r w:rsidR="006D61C6" w:rsidRPr="00D30B87">
        <w:rPr>
          <w:rFonts w:ascii="Times New Roman" w:hAnsi="Times New Roman" w:cs="Times New Roman"/>
          <w:color w:val="auto"/>
        </w:rPr>
        <w:t xml:space="preserve">(healthcare providers), receive (amputees), and observe (family members of amputees) </w:t>
      </w:r>
      <w:r w:rsidR="002405E3" w:rsidRPr="00D30B87">
        <w:rPr>
          <w:rFonts w:ascii="Times New Roman" w:hAnsi="Times New Roman" w:cs="Times New Roman"/>
          <w:color w:val="auto"/>
        </w:rPr>
        <w:t xml:space="preserve">amputation rehabilitation </w:t>
      </w:r>
      <w:r w:rsidR="00AF7FCF" w:rsidRPr="00D30B87">
        <w:rPr>
          <w:rFonts w:ascii="Times New Roman" w:hAnsi="Times New Roman" w:cs="Times New Roman"/>
          <w:color w:val="auto"/>
        </w:rPr>
        <w:t>is necessary to</w:t>
      </w:r>
      <w:r w:rsidR="002405E3" w:rsidRPr="00D30B87">
        <w:rPr>
          <w:rFonts w:ascii="Times New Roman" w:hAnsi="Times New Roman" w:cs="Times New Roman"/>
          <w:color w:val="auto"/>
        </w:rPr>
        <w:t xml:space="preserve"> understand </w:t>
      </w:r>
      <w:r w:rsidR="00AF7FCF" w:rsidRPr="00D30B87">
        <w:rPr>
          <w:rFonts w:ascii="Times New Roman" w:hAnsi="Times New Roman" w:cs="Times New Roman"/>
          <w:color w:val="auto"/>
        </w:rPr>
        <w:t>facets of amputee care.</w:t>
      </w:r>
      <w:r w:rsidR="002405E3" w:rsidRPr="00D30B87">
        <w:rPr>
          <w:rFonts w:ascii="Times New Roman" w:hAnsi="Times New Roman" w:cs="Times New Roman"/>
        </w:rPr>
        <w:t xml:space="preserve">  </w:t>
      </w:r>
      <w:r w:rsidR="006177B0" w:rsidRPr="00D30B87">
        <w:rPr>
          <w:rFonts w:ascii="Times New Roman" w:hAnsi="Times New Roman" w:cs="Times New Roman"/>
        </w:rPr>
        <w:t xml:space="preserve">Interviewees </w:t>
      </w:r>
      <w:r w:rsidR="0023269B" w:rsidRPr="00D30B87">
        <w:rPr>
          <w:rFonts w:ascii="Times New Roman" w:hAnsi="Times New Roman" w:cs="Times New Roman"/>
        </w:rPr>
        <w:t xml:space="preserve">for our study </w:t>
      </w:r>
      <w:r w:rsidR="006177B0" w:rsidRPr="00D30B87">
        <w:rPr>
          <w:rFonts w:ascii="Times New Roman" w:hAnsi="Times New Roman" w:cs="Times New Roman"/>
        </w:rPr>
        <w:t xml:space="preserve">will be healthcare providers and </w:t>
      </w:r>
      <w:r w:rsidR="006177B0" w:rsidRPr="00D30B87">
        <w:rPr>
          <w:rFonts w:ascii="Times New Roman" w:hAnsi="Times New Roman" w:cs="Times New Roman"/>
        </w:rPr>
        <w:lastRenderedPageBreak/>
        <w:t xml:space="preserve">patients/family members.  Healthcare providers consist of </w:t>
      </w:r>
      <w:r w:rsidR="000A1B1F" w:rsidRPr="00D30B87">
        <w:rPr>
          <w:rFonts w:ascii="Times New Roman" w:hAnsi="Times New Roman" w:cs="Times New Roman"/>
        </w:rPr>
        <w:t>uniformed military</w:t>
      </w:r>
      <w:r w:rsidR="006177B0" w:rsidRPr="00D30B87">
        <w:rPr>
          <w:rFonts w:ascii="Times New Roman" w:hAnsi="Times New Roman" w:cs="Times New Roman"/>
        </w:rPr>
        <w:t xml:space="preserve"> providers, DoD civilian providers, DoD contractor prov</w:t>
      </w:r>
      <w:r w:rsidR="009B0981" w:rsidRPr="00D30B87">
        <w:rPr>
          <w:rFonts w:ascii="Times New Roman" w:hAnsi="Times New Roman" w:cs="Times New Roman"/>
        </w:rPr>
        <w:t>iders,</w:t>
      </w:r>
      <w:r w:rsidR="006177B0" w:rsidRPr="00D30B87">
        <w:rPr>
          <w:rFonts w:ascii="Times New Roman" w:hAnsi="Times New Roman" w:cs="Times New Roman"/>
        </w:rPr>
        <w:t xml:space="preserve"> and civilian rehabilitation center providers.  We plan to conduct individual interviews and focus groups with healthcare providers.  Patients/family members consist of currently serving amputees, veteran amputees, and family members of amputees.  We also plan to conduct interviews with amputees and/or family members of amputees.  Understanding all of these perspectives is necessary to identify the core competencies providers need to have when providing amputation rehabilitation.</w:t>
      </w:r>
      <w:r w:rsidR="000A1B1F" w:rsidRPr="00D30B87">
        <w:rPr>
          <w:rFonts w:ascii="Times New Roman" w:hAnsi="Times New Roman" w:cs="Times New Roman"/>
        </w:rPr>
        <w:t xml:space="preserve">  For this OMB review, we are seeking approval to interview and include in focus groups DoD contractors and civilian rehabilitation providers.</w:t>
      </w:r>
      <w:r w:rsidR="006177B0" w:rsidRPr="00D30B87">
        <w:rPr>
          <w:rFonts w:ascii="Times New Roman" w:hAnsi="Times New Roman" w:cs="Times New Roman"/>
        </w:rPr>
        <w:t xml:space="preserve">  We plan to conduct all interviews and focus groups in </w:t>
      </w:r>
      <w:r w:rsidR="00025999">
        <w:rPr>
          <w:rFonts w:ascii="Times New Roman" w:hAnsi="Times New Roman" w:cs="Times New Roman"/>
        </w:rPr>
        <w:t>by</w:t>
      </w:r>
      <w:r w:rsidR="000A1B1F" w:rsidRPr="00D30B87">
        <w:rPr>
          <w:rFonts w:ascii="Times New Roman" w:hAnsi="Times New Roman" w:cs="Times New Roman"/>
        </w:rPr>
        <w:t xml:space="preserve"> 2017</w:t>
      </w:r>
      <w:r w:rsidR="006177B0" w:rsidRPr="00D30B87">
        <w:rPr>
          <w:rFonts w:ascii="Times New Roman" w:hAnsi="Times New Roman" w:cs="Times New Roman"/>
        </w:rPr>
        <w:t xml:space="preserve"> either in person or via phone.  </w:t>
      </w:r>
      <w:r w:rsidR="009B441B" w:rsidRPr="009B441B">
        <w:t xml:space="preserve"> </w:t>
      </w:r>
    </w:p>
    <w:p w14:paraId="169D4D5A" w14:textId="77777777" w:rsidR="009B441B" w:rsidRDefault="009B441B" w:rsidP="0019253B">
      <w:pPr>
        <w:pStyle w:val="Default"/>
      </w:pPr>
    </w:p>
    <w:p w14:paraId="2BAD2D12" w14:textId="3BAE068C" w:rsidR="009B441B" w:rsidRDefault="009B441B" w:rsidP="0019253B">
      <w:pPr>
        <w:pStyle w:val="Default"/>
        <w:rPr>
          <w:rFonts w:ascii="Times New Roman" w:hAnsi="Times New Roman" w:cs="Times New Roman"/>
        </w:rPr>
      </w:pPr>
      <w:r w:rsidRPr="009B441B">
        <w:rPr>
          <w:rFonts w:ascii="Times New Roman" w:hAnsi="Times New Roman" w:cs="Times New Roman"/>
        </w:rPr>
        <w:t>We will conduct interviews over the phone only if we are unable to schedule an in-person interview when we visit a specific site due to provider unavailability (i.e., schedule conflict).  We prefer to conduct individual interviews so that each participant is the focus of the discussion.  We</w:t>
      </w:r>
      <w:r>
        <w:rPr>
          <w:rFonts w:ascii="Times New Roman" w:hAnsi="Times New Roman" w:cs="Times New Roman"/>
        </w:rPr>
        <w:t xml:space="preserve"> will conduct focus groups if </w:t>
      </w:r>
      <w:r w:rsidRPr="009B441B">
        <w:rPr>
          <w:rFonts w:ascii="Times New Roman" w:hAnsi="Times New Roman" w:cs="Times New Roman"/>
        </w:rPr>
        <w:t>there is a small team of providers available to be interviewed in a group setting who can tell us about their interactions and coordination of the patient’s care because we would value tha</w:t>
      </w:r>
      <w:r>
        <w:rPr>
          <w:rFonts w:ascii="Times New Roman" w:hAnsi="Times New Roman" w:cs="Times New Roman"/>
        </w:rPr>
        <w:t xml:space="preserve">t group dynamic. We will also conduct focus groups if </w:t>
      </w:r>
      <w:r w:rsidRPr="009B441B">
        <w:rPr>
          <w:rFonts w:ascii="Times New Roman" w:hAnsi="Times New Roman" w:cs="Times New Roman"/>
        </w:rPr>
        <w:t>we have several providers who are all only available to meet at a specific time and we do not have the capability to conduct individual interviews with each provider due to staffing constraints on our RAND interview team.</w:t>
      </w:r>
      <w:r>
        <w:rPr>
          <w:rFonts w:ascii="Times New Roman" w:hAnsi="Times New Roman" w:cs="Times New Roman"/>
        </w:rPr>
        <w:t xml:space="preserve"> </w:t>
      </w:r>
    </w:p>
    <w:p w14:paraId="7250DEBC" w14:textId="77777777" w:rsidR="009B441B" w:rsidRDefault="009B441B" w:rsidP="0019253B">
      <w:pPr>
        <w:pStyle w:val="Default"/>
        <w:rPr>
          <w:rFonts w:ascii="Times New Roman" w:hAnsi="Times New Roman" w:cs="Times New Roman"/>
        </w:rPr>
      </w:pPr>
    </w:p>
    <w:p w14:paraId="463145F8" w14:textId="2DA6C7EF" w:rsidR="00A67DE5" w:rsidRPr="00D30B87" w:rsidRDefault="006177B0" w:rsidP="0019253B">
      <w:pPr>
        <w:pStyle w:val="Default"/>
        <w:rPr>
          <w:rFonts w:ascii="Times New Roman" w:hAnsi="Times New Roman" w:cs="Times New Roman"/>
        </w:rPr>
      </w:pPr>
      <w:r w:rsidRPr="00D30B87">
        <w:rPr>
          <w:rFonts w:ascii="Times New Roman" w:hAnsi="Times New Roman" w:cs="Times New Roman"/>
        </w:rPr>
        <w:t>We have a recruitment letter</w:t>
      </w:r>
      <w:r w:rsidR="009865BE" w:rsidRPr="00D30B87">
        <w:rPr>
          <w:rFonts w:ascii="Times New Roman" w:hAnsi="Times New Roman" w:cs="Times New Roman"/>
        </w:rPr>
        <w:t xml:space="preserve">, informed consent, </w:t>
      </w:r>
      <w:r w:rsidRPr="00D30B87">
        <w:rPr>
          <w:rFonts w:ascii="Times New Roman" w:hAnsi="Times New Roman" w:cs="Times New Roman"/>
        </w:rPr>
        <w:t>and an interview guide that contains the questions we p</w:t>
      </w:r>
      <w:r w:rsidR="008B3308" w:rsidRPr="00D30B87">
        <w:rPr>
          <w:rFonts w:ascii="Times New Roman" w:hAnsi="Times New Roman" w:cs="Times New Roman"/>
        </w:rPr>
        <w:t>lan to ask during the interview</w:t>
      </w:r>
      <w:r w:rsidR="009B441B">
        <w:rPr>
          <w:rFonts w:ascii="Times New Roman" w:hAnsi="Times New Roman" w:cs="Times New Roman"/>
        </w:rPr>
        <w:t xml:space="preserve"> included with the package submission</w:t>
      </w:r>
      <w:r w:rsidRPr="00D30B87">
        <w:rPr>
          <w:rFonts w:ascii="Times New Roman" w:hAnsi="Times New Roman" w:cs="Times New Roman"/>
        </w:rPr>
        <w:t>.</w:t>
      </w:r>
    </w:p>
    <w:p w14:paraId="59E3511D" w14:textId="77777777" w:rsidR="00C12508" w:rsidRPr="00D30B87" w:rsidRDefault="00C12508" w:rsidP="00C12508">
      <w:pPr>
        <w:pStyle w:val="Default"/>
        <w:rPr>
          <w:rFonts w:ascii="Times New Roman" w:hAnsi="Times New Roman" w:cs="Times New Roman"/>
        </w:rPr>
      </w:pPr>
    </w:p>
    <w:p w14:paraId="6B5613F5" w14:textId="4190C430" w:rsidR="00A67DE5" w:rsidRPr="00D30B87" w:rsidRDefault="00A67DE5" w:rsidP="0019253B">
      <w:pPr>
        <w:pStyle w:val="Heading2"/>
        <w:ind w:left="0" w:firstLine="0"/>
        <w:rPr>
          <w:rFonts w:ascii="Times New Roman" w:hAnsi="Times New Roman"/>
          <w:szCs w:val="24"/>
          <w:u w:val="single"/>
        </w:rPr>
      </w:pPr>
      <w:bookmarkStart w:id="5" w:name="_Toc318450637"/>
      <w:r w:rsidRPr="00D30B87">
        <w:rPr>
          <w:rFonts w:ascii="Times New Roman" w:hAnsi="Times New Roman"/>
          <w:szCs w:val="24"/>
        </w:rPr>
        <w:t>3.</w:t>
      </w:r>
      <w:r w:rsidR="00757B70" w:rsidRPr="00D30B87">
        <w:rPr>
          <w:rFonts w:ascii="Times New Roman" w:hAnsi="Times New Roman"/>
          <w:szCs w:val="24"/>
        </w:rPr>
        <w:t xml:space="preserve">  </w:t>
      </w:r>
      <w:bookmarkEnd w:id="5"/>
      <w:r w:rsidR="006177B0" w:rsidRPr="00D30B87">
        <w:rPr>
          <w:rFonts w:ascii="Times New Roman" w:hAnsi="Times New Roman"/>
          <w:szCs w:val="24"/>
          <w:u w:val="single"/>
        </w:rPr>
        <w:t>Use of Information Technology</w:t>
      </w:r>
    </w:p>
    <w:p w14:paraId="6048882D" w14:textId="77777777" w:rsidR="00A67DE5" w:rsidRPr="00D30B87" w:rsidRDefault="00A67DE5" w:rsidP="00A67DE5">
      <w:pPr>
        <w:tabs>
          <w:tab w:val="left" w:pos="540"/>
        </w:tabs>
      </w:pPr>
    </w:p>
    <w:p w14:paraId="599D0F05" w14:textId="044FDCB6" w:rsidR="00A67DE5" w:rsidRPr="00D30B87" w:rsidRDefault="003012FF" w:rsidP="001A33F6">
      <w:pPr>
        <w:pStyle w:val="Default"/>
        <w:rPr>
          <w:rFonts w:ascii="Times New Roman" w:hAnsi="Times New Roman" w:cs="Times New Roman"/>
        </w:rPr>
      </w:pPr>
      <w:r w:rsidRPr="00D30B87">
        <w:rPr>
          <w:rFonts w:ascii="Times New Roman" w:hAnsi="Times New Roman" w:cs="Times New Roman"/>
        </w:rPr>
        <w:t>None of the interview</w:t>
      </w:r>
      <w:r w:rsidR="00984856" w:rsidRPr="00D30B87">
        <w:rPr>
          <w:rFonts w:ascii="Times New Roman" w:hAnsi="Times New Roman" w:cs="Times New Roman"/>
        </w:rPr>
        <w:t>s will be collected electronically.  All interviews will be conducted face-to-face or via phone.</w:t>
      </w:r>
    </w:p>
    <w:p w14:paraId="79562980" w14:textId="77777777" w:rsidR="00A67DE5" w:rsidRPr="00D30B87" w:rsidRDefault="00A67DE5" w:rsidP="00A67DE5">
      <w:pPr>
        <w:tabs>
          <w:tab w:val="left" w:pos="540"/>
        </w:tabs>
      </w:pPr>
    </w:p>
    <w:p w14:paraId="798308E9" w14:textId="01B2E03A" w:rsidR="00A67DE5" w:rsidRPr="00D30B87" w:rsidRDefault="006177B0" w:rsidP="00A67DE5">
      <w:pPr>
        <w:pStyle w:val="Heading2"/>
        <w:rPr>
          <w:rFonts w:ascii="Times New Roman" w:hAnsi="Times New Roman"/>
          <w:szCs w:val="24"/>
        </w:rPr>
      </w:pPr>
      <w:bookmarkStart w:id="6" w:name="_Toc318450638"/>
      <w:r w:rsidRPr="00D30B87">
        <w:rPr>
          <w:rFonts w:ascii="Times New Roman" w:hAnsi="Times New Roman"/>
          <w:szCs w:val="24"/>
        </w:rPr>
        <w:t>4.</w:t>
      </w:r>
      <w:r w:rsidR="00757B70" w:rsidRPr="00D30B87">
        <w:rPr>
          <w:rFonts w:ascii="Times New Roman" w:hAnsi="Times New Roman"/>
          <w:szCs w:val="24"/>
        </w:rPr>
        <w:t xml:space="preserve"> </w:t>
      </w:r>
      <w:r w:rsidRPr="00D30B87">
        <w:rPr>
          <w:rFonts w:ascii="Times New Roman" w:hAnsi="Times New Roman"/>
          <w:szCs w:val="24"/>
          <w:u w:val="single"/>
        </w:rPr>
        <w:t>Non-d</w:t>
      </w:r>
      <w:r w:rsidR="00A67DE5" w:rsidRPr="00D30B87">
        <w:rPr>
          <w:rFonts w:ascii="Times New Roman" w:hAnsi="Times New Roman"/>
          <w:szCs w:val="24"/>
          <w:u w:val="single"/>
        </w:rPr>
        <w:t>uplication</w:t>
      </w:r>
      <w:bookmarkEnd w:id="6"/>
    </w:p>
    <w:p w14:paraId="32F9C4C3" w14:textId="77777777" w:rsidR="00A67DE5" w:rsidRPr="00D30B87" w:rsidRDefault="00A67DE5" w:rsidP="00A67DE5">
      <w:pPr>
        <w:tabs>
          <w:tab w:val="left" w:pos="540"/>
        </w:tabs>
      </w:pPr>
    </w:p>
    <w:p w14:paraId="44C70BC9" w14:textId="0D025BD3" w:rsidR="0094744E" w:rsidRPr="00D30B87" w:rsidRDefault="000A1B1F" w:rsidP="0094744E">
      <w:pPr>
        <w:tabs>
          <w:tab w:val="left" w:pos="540"/>
        </w:tabs>
      </w:pPr>
      <w:r w:rsidRPr="00D30B87">
        <w:t xml:space="preserve">The information obtained through this collection is unique and is not already available for use or adaptation from another cleared source. </w:t>
      </w:r>
      <w:r w:rsidR="00BE69E6" w:rsidRPr="00D30B87">
        <w:t>General c</w:t>
      </w:r>
      <w:r w:rsidR="00984856" w:rsidRPr="00D30B87">
        <w:t xml:space="preserve">ompetencies </w:t>
      </w:r>
      <w:r w:rsidR="001A33F6" w:rsidRPr="00D30B87">
        <w:t>for healthcare providers</w:t>
      </w:r>
      <w:r w:rsidR="00DE103A" w:rsidRPr="00D30B87">
        <w:t xml:space="preserve"> are available</w:t>
      </w:r>
      <w:r w:rsidR="00C43987" w:rsidRPr="00D30B87">
        <w:t xml:space="preserve"> via professional organizations, graduate programs, and peer-reviewed literature.  </w:t>
      </w:r>
      <w:r w:rsidR="00DE103A" w:rsidRPr="00D30B87">
        <w:t>While general information exist</w:t>
      </w:r>
      <w:r w:rsidR="001A33F6" w:rsidRPr="00D30B87">
        <w:t>s</w:t>
      </w:r>
      <w:r w:rsidR="00DE103A" w:rsidRPr="00D30B87">
        <w:t xml:space="preserve">, information specific to </w:t>
      </w:r>
      <w:r w:rsidR="001A33F6" w:rsidRPr="00D30B87">
        <w:t xml:space="preserve">competencies for amputation rehabilitation </w:t>
      </w:r>
      <w:r w:rsidRPr="00D30B87">
        <w:t xml:space="preserve">does not. Our interviews are </w:t>
      </w:r>
      <w:r w:rsidR="00DE103A" w:rsidRPr="00D30B87">
        <w:t xml:space="preserve">designed to gather the necessary data that DoD needs to understand the critical competencies and behaviors that DoD healthcare providers are required to possess to successfully </w:t>
      </w:r>
      <w:r w:rsidR="001A33F6" w:rsidRPr="00D30B87">
        <w:t>rehabilitate</w:t>
      </w:r>
      <w:r w:rsidR="00DE103A" w:rsidRPr="00D30B87">
        <w:t xml:space="preserve"> military amputees. </w:t>
      </w:r>
      <w:r w:rsidR="0094744E" w:rsidRPr="00D30B87">
        <w:t>In talking with experts in this field, we have not found that the work we plan to do has been previously completed by others.</w:t>
      </w:r>
    </w:p>
    <w:p w14:paraId="08A5E927" w14:textId="7BEE7F49" w:rsidR="00DE103A" w:rsidRPr="00D30B87" w:rsidRDefault="00DE103A" w:rsidP="00DE103A">
      <w:pPr>
        <w:pStyle w:val="HTMLPreformatted"/>
        <w:rPr>
          <w:rFonts w:ascii="Times New Roman" w:hAnsi="Times New Roman" w:cs="Times New Roman"/>
          <w:sz w:val="24"/>
          <w:szCs w:val="24"/>
        </w:rPr>
      </w:pPr>
    </w:p>
    <w:p w14:paraId="527A9B0C" w14:textId="77777777" w:rsidR="00DE103A" w:rsidRPr="00D30B87" w:rsidRDefault="00DE103A" w:rsidP="00DE103A">
      <w:pPr>
        <w:pStyle w:val="HTMLPreformatted"/>
        <w:rPr>
          <w:rFonts w:ascii="Times New Roman" w:hAnsi="Times New Roman" w:cs="Times New Roman"/>
          <w:sz w:val="24"/>
          <w:szCs w:val="24"/>
        </w:rPr>
      </w:pPr>
    </w:p>
    <w:p w14:paraId="7D6F154D" w14:textId="260F23D3" w:rsidR="00A67DE5" w:rsidRPr="00D30B87" w:rsidRDefault="006177B0" w:rsidP="00A67DE5">
      <w:pPr>
        <w:pStyle w:val="Heading2"/>
        <w:rPr>
          <w:rFonts w:ascii="Times New Roman" w:hAnsi="Times New Roman"/>
          <w:szCs w:val="24"/>
        </w:rPr>
      </w:pPr>
      <w:bookmarkStart w:id="7" w:name="_Toc318450639"/>
      <w:r w:rsidRPr="00D30B87">
        <w:rPr>
          <w:rFonts w:ascii="Times New Roman" w:hAnsi="Times New Roman"/>
          <w:szCs w:val="24"/>
        </w:rPr>
        <w:t>5.</w:t>
      </w:r>
      <w:r w:rsidR="00757B70" w:rsidRPr="00D30B87">
        <w:rPr>
          <w:rFonts w:ascii="Times New Roman" w:hAnsi="Times New Roman"/>
          <w:szCs w:val="24"/>
        </w:rPr>
        <w:t xml:space="preserve">  </w:t>
      </w:r>
      <w:r w:rsidRPr="00D30B87">
        <w:rPr>
          <w:rFonts w:ascii="Times New Roman" w:hAnsi="Times New Roman"/>
          <w:szCs w:val="24"/>
          <w:u w:val="single"/>
        </w:rPr>
        <w:t>Burden</w:t>
      </w:r>
      <w:r w:rsidR="00A67DE5" w:rsidRPr="00D30B87">
        <w:rPr>
          <w:rFonts w:ascii="Times New Roman" w:hAnsi="Times New Roman"/>
          <w:szCs w:val="24"/>
          <w:u w:val="single"/>
        </w:rPr>
        <w:t xml:space="preserve"> on Small Businesses</w:t>
      </w:r>
      <w:bookmarkEnd w:id="7"/>
    </w:p>
    <w:p w14:paraId="299132D2" w14:textId="77777777" w:rsidR="00A67DE5" w:rsidRPr="00D30B87" w:rsidRDefault="00A67DE5" w:rsidP="00A67DE5">
      <w:pPr>
        <w:tabs>
          <w:tab w:val="left" w:pos="540"/>
        </w:tabs>
      </w:pPr>
    </w:p>
    <w:p w14:paraId="3A89503B" w14:textId="13F336BB" w:rsidR="00EB3BF6" w:rsidRPr="00D30B87" w:rsidRDefault="000A1B1F" w:rsidP="00EB3BF6">
      <w:pPr>
        <w:tabs>
          <w:tab w:val="left" w:pos="540"/>
        </w:tabs>
      </w:pPr>
      <w:r w:rsidRPr="00D30B87">
        <w:t>This information collection does not impose a significant economic impact on a substantial number of small businesses or entities.</w:t>
      </w:r>
      <w:r w:rsidRPr="00D30B87">
        <w:rPr>
          <w:i/>
        </w:rPr>
        <w:t xml:space="preserve"> </w:t>
      </w:r>
      <w:r w:rsidR="00BE69E6" w:rsidRPr="00D30B87">
        <w:t>Interviewees are healt</w:t>
      </w:r>
      <w:r w:rsidR="009B0981" w:rsidRPr="00D30B87">
        <w:t xml:space="preserve">hcare providers in the DoD </w:t>
      </w:r>
      <w:r w:rsidR="00BE69E6" w:rsidRPr="00D30B87">
        <w:t>and civilian sectors as well as ampu</w:t>
      </w:r>
      <w:r w:rsidR="00DE103A" w:rsidRPr="00D30B87">
        <w:t>tees who experienced contingency</w:t>
      </w:r>
      <w:r w:rsidR="00BE69E6" w:rsidRPr="00D30B87">
        <w:t xml:space="preserve"> amputations and their family members</w:t>
      </w:r>
      <w:r w:rsidR="00EB3BF6" w:rsidRPr="00D30B87">
        <w:t>.</w:t>
      </w:r>
      <w:r w:rsidR="004373EC" w:rsidRPr="00D30B87">
        <w:t xml:space="preserve">  </w:t>
      </w:r>
    </w:p>
    <w:p w14:paraId="53B9C947" w14:textId="77777777" w:rsidR="00A67DE5" w:rsidRPr="00D30B87" w:rsidRDefault="00A67DE5" w:rsidP="00A67DE5">
      <w:pPr>
        <w:tabs>
          <w:tab w:val="left" w:pos="540"/>
        </w:tabs>
        <w:rPr>
          <w:color w:val="FF0000"/>
        </w:rPr>
      </w:pPr>
    </w:p>
    <w:p w14:paraId="196B797F" w14:textId="3E5277A5" w:rsidR="00A67DE5" w:rsidRPr="00D30B87" w:rsidRDefault="00A67DE5" w:rsidP="00A67DE5">
      <w:pPr>
        <w:pStyle w:val="Heading2"/>
        <w:rPr>
          <w:rFonts w:ascii="Times New Roman" w:hAnsi="Times New Roman"/>
          <w:szCs w:val="24"/>
          <w:u w:val="single"/>
        </w:rPr>
      </w:pPr>
      <w:bookmarkStart w:id="8" w:name="_Toc318450640"/>
      <w:r w:rsidRPr="00D30B87">
        <w:rPr>
          <w:rFonts w:ascii="Times New Roman" w:hAnsi="Times New Roman"/>
          <w:szCs w:val="24"/>
        </w:rPr>
        <w:t>6.</w:t>
      </w:r>
      <w:r w:rsidR="00757B70" w:rsidRPr="00D30B87">
        <w:rPr>
          <w:rFonts w:ascii="Times New Roman" w:hAnsi="Times New Roman"/>
          <w:szCs w:val="24"/>
        </w:rPr>
        <w:t xml:space="preserve">  </w:t>
      </w:r>
      <w:r w:rsidRPr="00D30B87">
        <w:rPr>
          <w:rFonts w:ascii="Times New Roman" w:hAnsi="Times New Roman"/>
          <w:szCs w:val="24"/>
          <w:u w:val="single"/>
        </w:rPr>
        <w:t>Less Frequent Collection</w:t>
      </w:r>
      <w:bookmarkEnd w:id="8"/>
    </w:p>
    <w:p w14:paraId="4B20ADC4" w14:textId="77777777" w:rsidR="00A67DE5" w:rsidRPr="00D30B87" w:rsidRDefault="00A67DE5" w:rsidP="00A67DE5">
      <w:pPr>
        <w:tabs>
          <w:tab w:val="left" w:pos="540"/>
        </w:tabs>
      </w:pPr>
    </w:p>
    <w:p w14:paraId="30939B3C" w14:textId="06D2F6C2" w:rsidR="00107082" w:rsidRPr="00D30B87" w:rsidRDefault="006177B0" w:rsidP="00107082">
      <w:pPr>
        <w:tabs>
          <w:tab w:val="left" w:pos="540"/>
        </w:tabs>
      </w:pPr>
      <w:r w:rsidRPr="00D30B87">
        <w:t>T</w:t>
      </w:r>
      <w:r w:rsidR="00DE103A" w:rsidRPr="00D30B87">
        <w:t xml:space="preserve">his </w:t>
      </w:r>
      <w:r w:rsidRPr="00D30B87">
        <w:t xml:space="preserve">section is not applicable because this </w:t>
      </w:r>
      <w:r w:rsidR="00107082" w:rsidRPr="00D30B87">
        <w:t xml:space="preserve">clearance </w:t>
      </w:r>
      <w:r w:rsidR="00DE103A" w:rsidRPr="00D30B87">
        <w:t xml:space="preserve">request is for </w:t>
      </w:r>
      <w:r w:rsidR="009B0981" w:rsidRPr="00D30B87">
        <w:t xml:space="preserve">a </w:t>
      </w:r>
      <w:r w:rsidR="00DE103A" w:rsidRPr="00D30B87">
        <w:t>single</w:t>
      </w:r>
      <w:r w:rsidR="00107082" w:rsidRPr="00D30B87">
        <w:t xml:space="preserve"> data collection</w:t>
      </w:r>
      <w:r w:rsidR="00DE103A" w:rsidRPr="00D30B87">
        <w:t xml:space="preserve"> cycle</w:t>
      </w:r>
      <w:r w:rsidR="00107082" w:rsidRPr="00D30B87">
        <w:t xml:space="preserve">. </w:t>
      </w:r>
    </w:p>
    <w:p w14:paraId="6C92694C" w14:textId="77777777" w:rsidR="00A67DE5" w:rsidRPr="00D30B87" w:rsidRDefault="00A67DE5" w:rsidP="00A67DE5">
      <w:pPr>
        <w:tabs>
          <w:tab w:val="left" w:pos="540"/>
        </w:tabs>
      </w:pPr>
    </w:p>
    <w:p w14:paraId="47DE6EF6" w14:textId="26D2EE18" w:rsidR="00A67DE5" w:rsidRPr="00D30B87" w:rsidRDefault="00A67DE5" w:rsidP="00A67DE5">
      <w:pPr>
        <w:pStyle w:val="Heading2"/>
        <w:rPr>
          <w:rFonts w:ascii="Times New Roman" w:hAnsi="Times New Roman"/>
          <w:szCs w:val="24"/>
        </w:rPr>
      </w:pPr>
      <w:bookmarkStart w:id="9" w:name="_Toc318450641"/>
      <w:r w:rsidRPr="00D30B87">
        <w:rPr>
          <w:rFonts w:ascii="Times New Roman" w:hAnsi="Times New Roman"/>
          <w:szCs w:val="24"/>
        </w:rPr>
        <w:t>7.</w:t>
      </w:r>
      <w:r w:rsidR="00757B70" w:rsidRPr="00D30B87">
        <w:rPr>
          <w:rFonts w:ascii="Times New Roman" w:hAnsi="Times New Roman"/>
          <w:szCs w:val="24"/>
        </w:rPr>
        <w:t xml:space="preserve"> </w:t>
      </w:r>
      <w:bookmarkEnd w:id="9"/>
      <w:r w:rsidR="006177B0" w:rsidRPr="00D30B87">
        <w:rPr>
          <w:rFonts w:ascii="Times New Roman" w:hAnsi="Times New Roman"/>
          <w:szCs w:val="24"/>
          <w:u w:val="single"/>
        </w:rPr>
        <w:t>Paperwork Reduction Act Guidelines</w:t>
      </w:r>
    </w:p>
    <w:p w14:paraId="3B53B201" w14:textId="77777777" w:rsidR="00A67DE5" w:rsidRPr="00D30B87" w:rsidRDefault="00A67DE5" w:rsidP="00A67DE5">
      <w:pPr>
        <w:tabs>
          <w:tab w:val="left" w:pos="540"/>
        </w:tabs>
      </w:pPr>
    </w:p>
    <w:p w14:paraId="068D257E" w14:textId="504B7A59" w:rsidR="00A67DE5" w:rsidRPr="00D30B87" w:rsidRDefault="000A1B1F" w:rsidP="00A67DE5">
      <w:pPr>
        <w:tabs>
          <w:tab w:val="left" w:pos="540"/>
        </w:tabs>
        <w:rPr>
          <w:rFonts w:eastAsiaTheme="minorHAnsi"/>
        </w:rPr>
      </w:pPr>
      <w:r w:rsidRPr="00D30B87">
        <w:rPr>
          <w:rFonts w:eastAsiaTheme="minorHAnsi"/>
        </w:rPr>
        <w:t>This collection of information does not require collection to be conducted in a manner inconsistent with the guidelines delineated in 5 CFR 1320.5(d)(2).</w:t>
      </w:r>
    </w:p>
    <w:p w14:paraId="7AA17C66" w14:textId="77777777" w:rsidR="000A1B1F" w:rsidRPr="00D30B87" w:rsidRDefault="000A1B1F" w:rsidP="00A67DE5">
      <w:pPr>
        <w:tabs>
          <w:tab w:val="left" w:pos="540"/>
        </w:tabs>
      </w:pPr>
    </w:p>
    <w:p w14:paraId="6FE4129C" w14:textId="277491F8" w:rsidR="00A67DE5" w:rsidRPr="00D30B87" w:rsidRDefault="00A67DE5" w:rsidP="00A67DE5">
      <w:pPr>
        <w:pStyle w:val="Heading2"/>
        <w:rPr>
          <w:rFonts w:ascii="Times New Roman" w:hAnsi="Times New Roman"/>
          <w:szCs w:val="24"/>
          <w:u w:val="single"/>
        </w:rPr>
      </w:pPr>
      <w:bookmarkStart w:id="10" w:name="_Toc318450642"/>
      <w:r w:rsidRPr="00D30B87">
        <w:rPr>
          <w:rFonts w:ascii="Times New Roman" w:hAnsi="Times New Roman"/>
          <w:szCs w:val="24"/>
        </w:rPr>
        <w:t>8.</w:t>
      </w:r>
      <w:r w:rsidR="00757B70" w:rsidRPr="00D30B87">
        <w:rPr>
          <w:rFonts w:ascii="Times New Roman" w:hAnsi="Times New Roman"/>
          <w:szCs w:val="24"/>
        </w:rPr>
        <w:t xml:space="preserve"> </w:t>
      </w:r>
      <w:bookmarkEnd w:id="10"/>
      <w:r w:rsidR="006177B0" w:rsidRPr="00D30B87">
        <w:rPr>
          <w:rFonts w:ascii="Times New Roman" w:hAnsi="Times New Roman"/>
          <w:szCs w:val="24"/>
          <w:u w:val="single"/>
        </w:rPr>
        <w:t>Consultation and Public Comments</w:t>
      </w:r>
    </w:p>
    <w:p w14:paraId="325DEA23" w14:textId="77777777" w:rsidR="00EA061E" w:rsidRDefault="005924F4" w:rsidP="009B0981">
      <w:pPr>
        <w:pStyle w:val="NormalWeb"/>
        <w:spacing w:line="288" w:lineRule="atLeast"/>
        <w:rPr>
          <w:rFonts w:eastAsiaTheme="minorHAnsi"/>
        </w:rPr>
      </w:pPr>
      <w:r w:rsidRPr="00D30B87">
        <w:rPr>
          <w:rFonts w:eastAsiaTheme="minorHAnsi"/>
        </w:rPr>
        <w:t xml:space="preserve">A 60-Day Federal Register Notice for the collection published on Thursday, February, 25, 2016.  The 60-Day FRN citation is 81 FRN 9458. No comments were received during the 60-Day Comment Period.  </w:t>
      </w:r>
    </w:p>
    <w:p w14:paraId="18870277" w14:textId="403F29B9" w:rsidR="00EA061E" w:rsidRDefault="00EA061E" w:rsidP="009B0981">
      <w:pPr>
        <w:pStyle w:val="NormalWeb"/>
        <w:spacing w:line="288" w:lineRule="atLeast"/>
        <w:rPr>
          <w:rFonts w:eastAsiaTheme="minorHAnsi"/>
        </w:rPr>
      </w:pPr>
      <w:r w:rsidRPr="00EA061E">
        <w:rPr>
          <w:rFonts w:eastAsiaTheme="minorHAnsi"/>
        </w:rPr>
        <w:t xml:space="preserve">A </w:t>
      </w:r>
      <w:r>
        <w:rPr>
          <w:rFonts w:eastAsiaTheme="minorHAnsi"/>
        </w:rPr>
        <w:t>3</w:t>
      </w:r>
      <w:r w:rsidRPr="00EA061E">
        <w:rPr>
          <w:rFonts w:eastAsiaTheme="minorHAnsi"/>
        </w:rPr>
        <w:t xml:space="preserve">0-Day Federal Register Notice for the collection published on </w:t>
      </w:r>
      <w:r>
        <w:rPr>
          <w:rFonts w:eastAsiaTheme="minorHAnsi"/>
        </w:rPr>
        <w:t>Thursday, April 20, 2017</w:t>
      </w:r>
      <w:r w:rsidRPr="00EA061E">
        <w:rPr>
          <w:rFonts w:eastAsiaTheme="minorHAnsi"/>
        </w:rPr>
        <w:t xml:space="preserve">.  The </w:t>
      </w:r>
      <w:r>
        <w:rPr>
          <w:rFonts w:eastAsiaTheme="minorHAnsi"/>
        </w:rPr>
        <w:t>3</w:t>
      </w:r>
      <w:r w:rsidRPr="00EA061E">
        <w:rPr>
          <w:rFonts w:eastAsiaTheme="minorHAnsi"/>
        </w:rPr>
        <w:t xml:space="preserve">0-Day FRN citation is </w:t>
      </w:r>
      <w:r w:rsidR="00CC02F2">
        <w:rPr>
          <w:rFonts w:eastAsiaTheme="minorHAnsi"/>
        </w:rPr>
        <w:t>82</w:t>
      </w:r>
      <w:r w:rsidRPr="00CC02F2">
        <w:rPr>
          <w:rFonts w:eastAsiaTheme="minorHAnsi"/>
        </w:rPr>
        <w:t xml:space="preserve"> FRN </w:t>
      </w:r>
      <w:r w:rsidR="00CC02F2">
        <w:rPr>
          <w:rFonts w:eastAsiaTheme="minorHAnsi"/>
        </w:rPr>
        <w:t>18615</w:t>
      </w:r>
      <w:r w:rsidRPr="00CC02F2">
        <w:rPr>
          <w:rFonts w:eastAsiaTheme="minorHAnsi"/>
        </w:rPr>
        <w:t>.</w:t>
      </w:r>
    </w:p>
    <w:p w14:paraId="059CF529" w14:textId="57EC1FA6" w:rsidR="00A67DE5" w:rsidRPr="00D30B87" w:rsidRDefault="005924F4" w:rsidP="009B0981">
      <w:pPr>
        <w:pStyle w:val="NormalWeb"/>
        <w:spacing w:line="288" w:lineRule="atLeast"/>
        <w:rPr>
          <w:rFonts w:eastAsiaTheme="minorHAnsi"/>
        </w:rPr>
      </w:pPr>
      <w:r w:rsidRPr="00D30B87">
        <w:rPr>
          <w:rFonts w:eastAsiaTheme="minorHAnsi"/>
        </w:rPr>
        <w:t>No additional consultation apart from soliciting public comments through the 60-Day Federal Register Noticed was conducted for this submission.</w:t>
      </w:r>
    </w:p>
    <w:p w14:paraId="53F262B9" w14:textId="1EF96E2D" w:rsidR="00A67DE5" w:rsidRPr="00D30B87" w:rsidRDefault="00A67DE5" w:rsidP="00A67DE5">
      <w:pPr>
        <w:pStyle w:val="Heading2"/>
        <w:rPr>
          <w:rFonts w:ascii="Times New Roman" w:hAnsi="Times New Roman"/>
          <w:szCs w:val="24"/>
          <w:u w:val="single"/>
        </w:rPr>
      </w:pPr>
      <w:bookmarkStart w:id="11" w:name="_Toc318450643"/>
      <w:r w:rsidRPr="00D30B87">
        <w:rPr>
          <w:rFonts w:ascii="Times New Roman" w:hAnsi="Times New Roman"/>
          <w:szCs w:val="24"/>
        </w:rPr>
        <w:t>9.</w:t>
      </w:r>
      <w:r w:rsidR="00757B70" w:rsidRPr="00D30B87">
        <w:rPr>
          <w:rFonts w:ascii="Times New Roman" w:hAnsi="Times New Roman"/>
          <w:szCs w:val="24"/>
        </w:rPr>
        <w:t xml:space="preserve"> </w:t>
      </w:r>
      <w:r w:rsidRPr="00D30B87">
        <w:rPr>
          <w:rFonts w:ascii="Times New Roman" w:hAnsi="Times New Roman"/>
          <w:szCs w:val="24"/>
          <w:u w:val="single"/>
        </w:rPr>
        <w:t>Gifts</w:t>
      </w:r>
      <w:bookmarkEnd w:id="11"/>
      <w:r w:rsidR="006177B0" w:rsidRPr="00D30B87">
        <w:rPr>
          <w:rFonts w:ascii="Times New Roman" w:hAnsi="Times New Roman"/>
          <w:szCs w:val="24"/>
          <w:u w:val="single"/>
        </w:rPr>
        <w:t xml:space="preserve"> or Payments</w:t>
      </w:r>
    </w:p>
    <w:p w14:paraId="14C22E19" w14:textId="77777777" w:rsidR="00A67DE5" w:rsidRPr="00E971A3" w:rsidRDefault="00A67DE5" w:rsidP="00A67DE5">
      <w:pPr>
        <w:tabs>
          <w:tab w:val="left" w:pos="540"/>
        </w:tabs>
      </w:pPr>
    </w:p>
    <w:p w14:paraId="1BDA1476" w14:textId="4D9C8442" w:rsidR="002C6538" w:rsidRPr="003348DF" w:rsidRDefault="002C6538" w:rsidP="002C6538">
      <w:r w:rsidRPr="003348DF">
        <w:rPr>
          <w:rFonts w:ascii="-webkit-standard" w:hAnsi="-webkit-standard"/>
          <w:color w:val="000000"/>
        </w:rPr>
        <w:t>No gifts, payments, or incentives are provided as a result of this collection.</w:t>
      </w:r>
      <w:r w:rsidR="003348DF" w:rsidRPr="003348DF">
        <w:t xml:space="preserve"> </w:t>
      </w:r>
      <w:r w:rsidR="003348DF" w:rsidRPr="003348DF">
        <w:rPr>
          <w:rFonts w:ascii="-webkit-standard" w:hAnsi="-webkit-standard"/>
          <w:color w:val="000000"/>
        </w:rPr>
        <w:t>Civilian rehabilitation providers will not need to travel to be interviewed or participate in a focus group.  We will travel to sites and try to conduct all interviews and focu</w:t>
      </w:r>
      <w:r w:rsidR="003348DF">
        <w:rPr>
          <w:rFonts w:ascii="-webkit-standard" w:hAnsi="-webkit-standard"/>
          <w:color w:val="000000"/>
        </w:rPr>
        <w:t>s groups in person, though as</w:t>
      </w:r>
      <w:r w:rsidR="003348DF" w:rsidRPr="003348DF">
        <w:rPr>
          <w:rFonts w:ascii="-webkit-standard" w:hAnsi="-webkit-standard"/>
          <w:color w:val="000000"/>
        </w:rPr>
        <w:t xml:space="preserve"> noted above</w:t>
      </w:r>
      <w:r w:rsidR="003348DF">
        <w:rPr>
          <w:rFonts w:ascii="-webkit-standard" w:hAnsi="-webkit-standard"/>
          <w:color w:val="000000"/>
        </w:rPr>
        <w:t>,</w:t>
      </w:r>
      <w:r w:rsidR="003348DF" w:rsidRPr="003348DF">
        <w:rPr>
          <w:rFonts w:ascii="-webkit-standard" w:hAnsi="-webkit-standard"/>
          <w:color w:val="000000"/>
        </w:rPr>
        <w:t xml:space="preserve"> if there are scheduling conflicts, we will resort to conducting phone interviews.</w:t>
      </w:r>
    </w:p>
    <w:p w14:paraId="18EDB3DB" w14:textId="184FC404" w:rsidR="00BE69E6" w:rsidRPr="00D30B87" w:rsidRDefault="002C6538" w:rsidP="002C6538">
      <w:pPr>
        <w:tabs>
          <w:tab w:val="left" w:pos="540"/>
        </w:tabs>
        <w:rPr>
          <w:b/>
          <w:color w:val="FF0000"/>
        </w:rPr>
      </w:pPr>
      <w:r>
        <w:rPr>
          <w:rStyle w:val="CommentReference"/>
        </w:rPr>
        <w:t xml:space="preserve"> </w:t>
      </w:r>
    </w:p>
    <w:p w14:paraId="57499088" w14:textId="5DED5CE0" w:rsidR="00A67DE5" w:rsidRPr="00D30B87" w:rsidRDefault="00A67DE5" w:rsidP="00A67DE5">
      <w:pPr>
        <w:pStyle w:val="Heading2"/>
        <w:rPr>
          <w:rFonts w:ascii="Times New Roman" w:hAnsi="Times New Roman"/>
          <w:szCs w:val="24"/>
          <w:u w:val="single"/>
        </w:rPr>
      </w:pPr>
      <w:bookmarkStart w:id="12" w:name="_Toc318450644"/>
      <w:r w:rsidRPr="00D30B87">
        <w:rPr>
          <w:rFonts w:ascii="Times New Roman" w:hAnsi="Times New Roman"/>
          <w:szCs w:val="24"/>
        </w:rPr>
        <w:t>10.</w:t>
      </w:r>
      <w:r w:rsidR="00757B70" w:rsidRPr="00D30B87">
        <w:rPr>
          <w:rFonts w:ascii="Times New Roman" w:hAnsi="Times New Roman"/>
          <w:szCs w:val="24"/>
        </w:rPr>
        <w:t xml:space="preserve"> </w:t>
      </w:r>
      <w:r w:rsidRPr="00D30B87">
        <w:rPr>
          <w:rFonts w:ascii="Times New Roman" w:hAnsi="Times New Roman"/>
          <w:szCs w:val="24"/>
          <w:u w:val="single"/>
        </w:rPr>
        <w:t>Confidentiality</w:t>
      </w:r>
      <w:bookmarkEnd w:id="12"/>
    </w:p>
    <w:p w14:paraId="3C3A8BB2" w14:textId="77777777" w:rsidR="00A67DE5" w:rsidRPr="00D30B87" w:rsidRDefault="00A67DE5" w:rsidP="00A67DE5">
      <w:pPr>
        <w:tabs>
          <w:tab w:val="left" w:pos="540"/>
        </w:tabs>
      </w:pPr>
    </w:p>
    <w:p w14:paraId="2D0E00C9" w14:textId="5EF649C5" w:rsidR="00A67DE5" w:rsidRPr="00D30B87" w:rsidRDefault="003B031F" w:rsidP="00A67DE5">
      <w:pPr>
        <w:tabs>
          <w:tab w:val="left" w:pos="540"/>
        </w:tabs>
      </w:pPr>
      <w:r w:rsidRPr="00D30B87">
        <w:t>A Privacy Act Statement is not required for this collection because we are not requesting individuals to furnish personal information for a system of records.  A System of Record Notice (SORN) is not required for this collection because records are not retrievable by PII.</w:t>
      </w:r>
      <w:r w:rsidR="005F1460" w:rsidRPr="00D30B87">
        <w:t xml:space="preserve">  </w:t>
      </w:r>
      <w:r w:rsidR="00573388">
        <w:t xml:space="preserve">A PIA is not required because PII is not being collected </w:t>
      </w:r>
      <w:r w:rsidR="00D452C4">
        <w:t>n</w:t>
      </w:r>
      <w:r w:rsidR="00573388">
        <w:t xml:space="preserve">or stored electronically. </w:t>
      </w:r>
      <w:r w:rsidR="00A67DE5" w:rsidRPr="00D30B87">
        <w:t>Individuals contacted as part of this data collection will be assured of the confidentiality of their replies under 42 U.S.C. 1306, 20 CFR 401 and 422, 5 U.S.C. 552 (Freedom of Information Act), 5 U.S.C. 552a (Privacy Act of 1974), and OMB Circular A-130.</w:t>
      </w:r>
      <w:r w:rsidR="000234EA">
        <w:t xml:space="preserve">  We will destroy all recordings and notes within six months from the end of the contract, which will be December 2018. </w:t>
      </w:r>
      <w:r w:rsidR="00D452C4">
        <w:t xml:space="preserve">  </w:t>
      </w:r>
      <w:r w:rsidR="00573388">
        <w:t xml:space="preserve"> </w:t>
      </w:r>
    </w:p>
    <w:p w14:paraId="0D40DFB0" w14:textId="77777777" w:rsidR="00A67DE5" w:rsidRPr="00D30B87" w:rsidRDefault="00A67DE5" w:rsidP="00A67DE5">
      <w:pPr>
        <w:tabs>
          <w:tab w:val="left" w:pos="540"/>
        </w:tabs>
      </w:pPr>
    </w:p>
    <w:p w14:paraId="714B6258" w14:textId="3C4FEB7D" w:rsidR="00A67DE5" w:rsidRPr="00D30B87" w:rsidRDefault="00B05FB8" w:rsidP="00A67DE5">
      <w:pPr>
        <w:pStyle w:val="Heading2"/>
        <w:rPr>
          <w:rFonts w:ascii="Times New Roman" w:hAnsi="Times New Roman"/>
          <w:szCs w:val="24"/>
          <w:u w:val="single"/>
        </w:rPr>
      </w:pPr>
      <w:bookmarkStart w:id="13" w:name="_Toc318450645"/>
      <w:r w:rsidRPr="00D30B87">
        <w:rPr>
          <w:rFonts w:ascii="Times New Roman" w:hAnsi="Times New Roman"/>
          <w:szCs w:val="24"/>
        </w:rPr>
        <w:t xml:space="preserve">11.  </w:t>
      </w:r>
      <w:r w:rsidR="00A67DE5" w:rsidRPr="00D30B87">
        <w:rPr>
          <w:rFonts w:ascii="Times New Roman" w:hAnsi="Times New Roman"/>
          <w:szCs w:val="24"/>
          <w:u w:val="single"/>
        </w:rPr>
        <w:t>Sensitive Questions</w:t>
      </w:r>
      <w:bookmarkEnd w:id="13"/>
    </w:p>
    <w:p w14:paraId="7408B3C4" w14:textId="77777777" w:rsidR="00A67DE5" w:rsidRPr="00D30B87" w:rsidRDefault="00A67DE5" w:rsidP="00A67DE5">
      <w:pPr>
        <w:tabs>
          <w:tab w:val="left" w:pos="540"/>
        </w:tabs>
      </w:pPr>
    </w:p>
    <w:p w14:paraId="0CE55254" w14:textId="20008DC3" w:rsidR="00A67DE5" w:rsidRPr="00D30B87" w:rsidRDefault="005F1460" w:rsidP="00A67DE5">
      <w:pPr>
        <w:tabs>
          <w:tab w:val="left" w:pos="540"/>
        </w:tabs>
      </w:pPr>
      <w:r w:rsidRPr="00D30B87">
        <w:t>No questions considered sensitive are being asked in this collection.</w:t>
      </w:r>
    </w:p>
    <w:p w14:paraId="54941830" w14:textId="77777777" w:rsidR="00A67DE5" w:rsidRPr="00D30B87" w:rsidRDefault="00A67DE5" w:rsidP="00A67DE5">
      <w:pPr>
        <w:tabs>
          <w:tab w:val="left" w:pos="540"/>
        </w:tabs>
      </w:pPr>
    </w:p>
    <w:p w14:paraId="5070C1B4" w14:textId="35FE044B" w:rsidR="00A67DE5" w:rsidRPr="00D30B87" w:rsidRDefault="00A67DE5" w:rsidP="00A67DE5">
      <w:pPr>
        <w:pStyle w:val="Heading2"/>
        <w:rPr>
          <w:rFonts w:ascii="Times New Roman" w:hAnsi="Times New Roman"/>
          <w:szCs w:val="24"/>
        </w:rPr>
      </w:pPr>
      <w:bookmarkStart w:id="14" w:name="_Toc318450646"/>
      <w:r w:rsidRPr="00D30B87">
        <w:rPr>
          <w:rFonts w:ascii="Times New Roman" w:hAnsi="Times New Roman"/>
          <w:szCs w:val="24"/>
        </w:rPr>
        <w:t>12.</w:t>
      </w:r>
      <w:r w:rsidR="00B05FB8" w:rsidRPr="00D30B87">
        <w:rPr>
          <w:rFonts w:ascii="Times New Roman" w:hAnsi="Times New Roman"/>
          <w:szCs w:val="24"/>
        </w:rPr>
        <w:t xml:space="preserve">  </w:t>
      </w:r>
      <w:bookmarkEnd w:id="14"/>
      <w:r w:rsidR="006177B0" w:rsidRPr="00D30B87">
        <w:rPr>
          <w:rFonts w:ascii="Times New Roman" w:hAnsi="Times New Roman"/>
          <w:szCs w:val="24"/>
          <w:u w:val="single"/>
        </w:rPr>
        <w:t>Respondent Burden, and its Labor Costs</w:t>
      </w:r>
    </w:p>
    <w:p w14:paraId="10C3EF2F" w14:textId="77777777" w:rsidR="00A67DE5" w:rsidRPr="00D30B87" w:rsidRDefault="00A67DE5" w:rsidP="00A67DE5">
      <w:pPr>
        <w:tabs>
          <w:tab w:val="left" w:pos="540"/>
        </w:tabs>
      </w:pPr>
    </w:p>
    <w:p w14:paraId="0288FC49" w14:textId="68596767" w:rsidR="006620B6" w:rsidRPr="00D30B87" w:rsidRDefault="006177B0" w:rsidP="006620B6">
      <w:pPr>
        <w:keepLines/>
      </w:pPr>
      <w:r w:rsidRPr="00D30B87">
        <w:t xml:space="preserve">a. </w:t>
      </w:r>
      <w:r w:rsidR="006620B6" w:rsidRPr="00D30B87">
        <w:t xml:space="preserve">Exhibit 1 shows the estimated annualized burden for the respondents' time to participate in this data collection.  </w:t>
      </w:r>
      <w:r w:rsidR="00DE103A" w:rsidRPr="00D30B87">
        <w:t>The target of 400</w:t>
      </w:r>
      <w:r w:rsidR="00B95AD5" w:rsidRPr="00D30B87">
        <w:t xml:space="preserve"> individuals </w:t>
      </w:r>
      <w:r w:rsidR="00DE103A" w:rsidRPr="00D30B87">
        <w:t xml:space="preserve">will be </w:t>
      </w:r>
      <w:r w:rsidR="00B95AD5" w:rsidRPr="00D30B87">
        <w:t>interview</w:t>
      </w:r>
      <w:r w:rsidR="00DE103A" w:rsidRPr="00D30B87">
        <w:t>ed</w:t>
      </w:r>
      <w:r w:rsidR="00B95AD5" w:rsidRPr="00D30B87">
        <w:t xml:space="preserve"> and </w:t>
      </w:r>
      <w:r w:rsidR="00226A5E" w:rsidRPr="00D30B87">
        <w:t xml:space="preserve">involved in </w:t>
      </w:r>
      <w:r w:rsidR="00B95AD5" w:rsidRPr="00D30B87">
        <w:t xml:space="preserve">focus groups </w:t>
      </w:r>
      <w:r w:rsidR="00226A5E" w:rsidRPr="00D30B87">
        <w:t>for this study.</w:t>
      </w:r>
      <w:r w:rsidR="00B95AD5" w:rsidRPr="00D30B87">
        <w:t xml:space="preserve">  </w:t>
      </w:r>
      <w:r w:rsidR="00696DA9" w:rsidRPr="00D30B87">
        <w:t xml:space="preserve">The </w:t>
      </w:r>
      <w:r w:rsidR="00B95AD5" w:rsidRPr="00D30B87">
        <w:t xml:space="preserve">interview </w:t>
      </w:r>
      <w:r w:rsidR="00226A5E" w:rsidRPr="00D30B87">
        <w:t xml:space="preserve">and focus groups </w:t>
      </w:r>
      <w:r w:rsidR="0094744E" w:rsidRPr="00D30B87">
        <w:t>contain</w:t>
      </w:r>
      <w:r w:rsidR="00696DA9" w:rsidRPr="00D30B87">
        <w:t xml:space="preserve"> </w:t>
      </w:r>
      <w:r w:rsidR="00917BD9" w:rsidRPr="00D30B87">
        <w:t>approximately 20</w:t>
      </w:r>
      <w:r w:rsidR="00696DA9" w:rsidRPr="00D30B87">
        <w:t xml:space="preserve"> </w:t>
      </w:r>
      <w:r w:rsidR="00226A5E" w:rsidRPr="00D30B87">
        <w:t>questions a</w:t>
      </w:r>
      <w:r w:rsidR="003B031F" w:rsidRPr="00D30B87">
        <w:t>nd are</w:t>
      </w:r>
      <w:r w:rsidR="00696DA9" w:rsidRPr="00D30B87">
        <w:t xml:space="preserve"> estimated to </w:t>
      </w:r>
      <w:r w:rsidR="00B95AD5" w:rsidRPr="00D30B87">
        <w:t>take</w:t>
      </w:r>
      <w:r w:rsidR="00226A5E" w:rsidRPr="00D30B87">
        <w:t xml:space="preserve"> </w:t>
      </w:r>
      <w:r w:rsidR="00DE01C2" w:rsidRPr="00D30B87">
        <w:t>1 hour</w:t>
      </w:r>
      <w:r w:rsidR="00696DA9" w:rsidRPr="00D30B87">
        <w:t xml:space="preserve"> </w:t>
      </w:r>
      <w:r w:rsidR="00226A5E" w:rsidRPr="00D30B87">
        <w:t>to administer.</w:t>
      </w:r>
      <w:r w:rsidR="00B95AD5" w:rsidRPr="00D30B87">
        <w:t xml:space="preserve"> </w:t>
      </w:r>
      <w:r w:rsidR="002A392C" w:rsidRPr="00D30B87">
        <w:t xml:space="preserve"> </w:t>
      </w:r>
      <w:r w:rsidR="0094744E" w:rsidRPr="00D30B87">
        <w:t>This estimate is</w:t>
      </w:r>
      <w:r w:rsidR="00696DA9" w:rsidRPr="00D30B87">
        <w:t xml:space="preserve"> based</w:t>
      </w:r>
      <w:r w:rsidR="006620B6" w:rsidRPr="00D30B87">
        <w:t xml:space="preserve"> </w:t>
      </w:r>
      <w:r w:rsidR="00696DA9" w:rsidRPr="00D30B87">
        <w:t>on</w:t>
      </w:r>
      <w:r w:rsidR="006620B6" w:rsidRPr="00D30B87">
        <w:t xml:space="preserve"> </w:t>
      </w:r>
      <w:r w:rsidR="00B95AD5" w:rsidRPr="00D30B87">
        <w:t xml:space="preserve">previous </w:t>
      </w:r>
      <w:r w:rsidR="006620B6" w:rsidRPr="00D30B87">
        <w:t xml:space="preserve">experience </w:t>
      </w:r>
      <w:r w:rsidR="00226A5E" w:rsidRPr="00D30B87">
        <w:t>the study administrators</w:t>
      </w:r>
      <w:r w:rsidR="00670E5C" w:rsidRPr="00D30B87">
        <w:t xml:space="preserve"> have conducted with</w:t>
      </w:r>
      <w:r w:rsidR="00B95AD5" w:rsidRPr="00D30B87">
        <w:t xml:space="preserve"> </w:t>
      </w:r>
      <w:r w:rsidR="00670E5C" w:rsidRPr="00D30B87">
        <w:t>similar information gathering projects</w:t>
      </w:r>
      <w:r w:rsidR="006620B6" w:rsidRPr="00D30B87">
        <w:t>.</w:t>
      </w:r>
      <w:r w:rsidR="006620B6" w:rsidRPr="00D30B87">
        <w:rPr>
          <w:bCs/>
        </w:rPr>
        <w:t xml:space="preserve"> As indicated below, the </w:t>
      </w:r>
      <w:r w:rsidR="00C90E08" w:rsidRPr="00D30B87">
        <w:rPr>
          <w:bCs/>
        </w:rPr>
        <w:t xml:space="preserve">annual </w:t>
      </w:r>
      <w:r w:rsidR="006620B6" w:rsidRPr="00D30B87">
        <w:rPr>
          <w:bCs/>
        </w:rPr>
        <w:t xml:space="preserve">total burden hours are estimated to be </w:t>
      </w:r>
      <w:r w:rsidR="00B95AD5" w:rsidRPr="00D30B87">
        <w:rPr>
          <w:bCs/>
        </w:rPr>
        <w:t>400</w:t>
      </w:r>
      <w:r w:rsidR="00097010" w:rsidRPr="00D30B87">
        <w:rPr>
          <w:bCs/>
        </w:rPr>
        <w:t xml:space="preserve"> </w:t>
      </w:r>
      <w:r w:rsidR="006620B6" w:rsidRPr="00D30B87">
        <w:rPr>
          <w:bCs/>
        </w:rPr>
        <w:t>hours.</w:t>
      </w:r>
    </w:p>
    <w:p w14:paraId="0332EFBC" w14:textId="77777777" w:rsidR="00A67DE5" w:rsidRPr="00D30B87" w:rsidRDefault="00A67DE5" w:rsidP="00A67DE5">
      <w:pPr>
        <w:rPr>
          <w:color w:val="FF0000"/>
        </w:rPr>
      </w:pPr>
    </w:p>
    <w:p w14:paraId="5423A1EA" w14:textId="6D4A5F0D" w:rsidR="00A67DE5" w:rsidRPr="00D30B87" w:rsidRDefault="00A67DE5" w:rsidP="00A67DE5">
      <w:pPr>
        <w:keepNext/>
        <w:rPr>
          <w:color w:val="000000" w:themeColor="text1"/>
        </w:rPr>
      </w:pPr>
      <w:r w:rsidRPr="00D30B87">
        <w:rPr>
          <w:b/>
          <w:bCs/>
          <w:color w:val="000000" w:themeColor="text1"/>
        </w:rPr>
        <w:t xml:space="preserve">Exhibit 1.  </w:t>
      </w:r>
      <w:r w:rsidR="004637B9" w:rsidRPr="00D30B87">
        <w:rPr>
          <w:b/>
          <w:bCs/>
          <w:color w:val="000000" w:themeColor="text1"/>
        </w:rPr>
        <w:t>Estimation of Respondent Burden</w:t>
      </w:r>
    </w:p>
    <w:tbl>
      <w:tblPr>
        <w:tblW w:w="0" w:type="auto"/>
        <w:tblCellMar>
          <w:left w:w="0" w:type="dxa"/>
          <w:right w:w="0" w:type="dxa"/>
        </w:tblCellMar>
        <w:tblLook w:val="0000" w:firstRow="0" w:lastRow="0" w:firstColumn="0" w:lastColumn="0" w:noHBand="0" w:noVBand="0"/>
      </w:tblPr>
      <w:tblGrid>
        <w:gridCol w:w="2101"/>
        <w:gridCol w:w="1542"/>
        <w:gridCol w:w="1492"/>
        <w:gridCol w:w="1253"/>
        <w:gridCol w:w="991"/>
        <w:gridCol w:w="1477"/>
      </w:tblGrid>
      <w:tr w:rsidR="006177B0" w:rsidRPr="00D30B87" w14:paraId="56601150" w14:textId="77777777" w:rsidTr="00E67C03">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60764B3" w14:textId="4B1E177A" w:rsidR="006177B0" w:rsidRPr="00D30B87" w:rsidRDefault="006177B0" w:rsidP="00B95AD5">
            <w:pPr>
              <w:keepNext/>
              <w:rPr>
                <w:color w:val="000000" w:themeColor="text1"/>
              </w:rPr>
            </w:pP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AF1DF1" w14:textId="77777777" w:rsidR="006177B0" w:rsidRPr="00D30B87" w:rsidRDefault="006177B0" w:rsidP="00E67C03">
            <w:pPr>
              <w:keepNext/>
              <w:jc w:val="center"/>
              <w:rPr>
                <w:color w:val="000000" w:themeColor="text1"/>
              </w:rPr>
            </w:pPr>
            <w:r w:rsidRPr="00D30B87">
              <w:rPr>
                <w:color w:val="000000" w:themeColor="text1"/>
              </w:rPr>
              <w:t>Number of Respondents</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1C6438" w14:textId="77777777" w:rsidR="006177B0" w:rsidRPr="00D30B87" w:rsidRDefault="006177B0" w:rsidP="00E67C03">
            <w:pPr>
              <w:keepNext/>
              <w:jc w:val="center"/>
              <w:rPr>
                <w:color w:val="000000" w:themeColor="text1"/>
              </w:rPr>
            </w:pPr>
            <w:r w:rsidRPr="00D30B87">
              <w:rPr>
                <w:color w:val="000000" w:themeColor="text1"/>
              </w:rPr>
              <w:t>Number of responses per respondent</w:t>
            </w:r>
          </w:p>
        </w:tc>
        <w:tc>
          <w:tcPr>
            <w:tcW w:w="0" w:type="auto"/>
            <w:tcBorders>
              <w:top w:val="single" w:sz="8" w:space="0" w:color="auto"/>
              <w:left w:val="nil"/>
              <w:bottom w:val="single" w:sz="8" w:space="0" w:color="auto"/>
              <w:right w:val="single" w:sz="8" w:space="0" w:color="auto"/>
            </w:tcBorders>
            <w:vAlign w:val="center"/>
          </w:tcPr>
          <w:p w14:paraId="653D7EA0" w14:textId="5C6BC55B" w:rsidR="006177B0" w:rsidRPr="00D30B87" w:rsidRDefault="006177B0" w:rsidP="00E67C03">
            <w:pPr>
              <w:keepNext/>
              <w:jc w:val="center"/>
              <w:rPr>
                <w:color w:val="000000" w:themeColor="text1"/>
              </w:rPr>
            </w:pPr>
            <w:r w:rsidRPr="00D30B87">
              <w:rPr>
                <w:color w:val="000000" w:themeColor="text1"/>
              </w:rPr>
              <w:t>Number of Total Annual Responses</w:t>
            </w:r>
          </w:p>
        </w:tc>
        <w:tc>
          <w:tcPr>
            <w:tcW w:w="0" w:type="auto"/>
            <w:tcBorders>
              <w:top w:val="single" w:sz="8" w:space="0" w:color="auto"/>
              <w:left w:val="single" w:sz="8" w:space="0" w:color="auto"/>
              <w:bottom w:val="single" w:sz="8" w:space="0" w:color="auto"/>
              <w:right w:val="single" w:sz="8" w:space="0" w:color="auto"/>
            </w:tcBorders>
            <w:vAlign w:val="center"/>
          </w:tcPr>
          <w:p w14:paraId="15CE22C6" w14:textId="7F3BD50D" w:rsidR="006177B0" w:rsidRPr="00D30B87" w:rsidRDefault="006177B0" w:rsidP="00E67C03">
            <w:pPr>
              <w:keepNext/>
              <w:jc w:val="center"/>
              <w:rPr>
                <w:color w:val="000000" w:themeColor="text1"/>
              </w:rPr>
            </w:pPr>
            <w:r w:rsidRPr="00D30B87">
              <w:rPr>
                <w:color w:val="000000" w:themeColor="text1"/>
              </w:rPr>
              <w:t>Response Time</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32FA881" w14:textId="6252D186" w:rsidR="006177B0" w:rsidRPr="00D30B87" w:rsidRDefault="006177B0" w:rsidP="00E67C03">
            <w:pPr>
              <w:keepNext/>
              <w:jc w:val="center"/>
              <w:rPr>
                <w:color w:val="000000" w:themeColor="text1"/>
              </w:rPr>
            </w:pPr>
            <w:r w:rsidRPr="00D30B87">
              <w:rPr>
                <w:color w:val="000000" w:themeColor="text1"/>
              </w:rPr>
              <w:t>Respondent Burden Hours</w:t>
            </w:r>
          </w:p>
        </w:tc>
      </w:tr>
      <w:tr w:rsidR="0090696C" w:rsidRPr="00D30B87" w14:paraId="75A1DB57" w14:textId="77777777" w:rsidTr="00E67C03">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319347B" w14:textId="328023BF" w:rsidR="0090696C" w:rsidRPr="00D30B87" w:rsidRDefault="00F83895" w:rsidP="00E67C03">
            <w:pPr>
              <w:keepNext/>
              <w:rPr>
                <w:color w:val="000000"/>
              </w:rPr>
            </w:pPr>
            <w:r w:rsidRPr="00F83895">
              <w:rPr>
                <w:color w:val="000000"/>
              </w:rPr>
              <w:t xml:space="preserve">EACE Interview protocol for DoD contractor providers </w:t>
            </w:r>
            <w:r>
              <w:rPr>
                <w:color w:val="000000"/>
              </w:rPr>
              <w:t>(interview)</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FF148B" w14:textId="5D687DC2" w:rsidR="0090696C" w:rsidRPr="00D30B87" w:rsidRDefault="0090696C" w:rsidP="00E67C03">
            <w:pPr>
              <w:keepNext/>
              <w:jc w:val="center"/>
              <w:rPr>
                <w:color w:val="000000" w:themeColor="text1"/>
              </w:rPr>
            </w:pPr>
            <w:r>
              <w:rPr>
                <w:color w:val="000000" w:themeColor="text1"/>
              </w:rPr>
              <w:t>200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C40BBC" w14:textId="0CAD5DB6" w:rsidR="0090696C" w:rsidRPr="00D30B87" w:rsidRDefault="0090696C" w:rsidP="00E67C03">
            <w:pPr>
              <w:keepNext/>
              <w:jc w:val="center"/>
              <w:rPr>
                <w:color w:val="000000" w:themeColor="text1"/>
              </w:rPr>
            </w:pPr>
            <w:r>
              <w:rPr>
                <w:color w:val="000000" w:themeColor="text1"/>
              </w:rPr>
              <w:t>1</w:t>
            </w:r>
          </w:p>
        </w:tc>
        <w:tc>
          <w:tcPr>
            <w:tcW w:w="0" w:type="auto"/>
            <w:tcBorders>
              <w:top w:val="nil"/>
              <w:left w:val="nil"/>
              <w:bottom w:val="single" w:sz="8" w:space="0" w:color="auto"/>
              <w:right w:val="single" w:sz="8" w:space="0" w:color="auto"/>
            </w:tcBorders>
            <w:vAlign w:val="center"/>
          </w:tcPr>
          <w:p w14:paraId="38032A27" w14:textId="71F0C79C" w:rsidR="0090696C" w:rsidRDefault="0090696C" w:rsidP="00E67C03">
            <w:pPr>
              <w:keepNext/>
              <w:jc w:val="center"/>
              <w:rPr>
                <w:color w:val="000000" w:themeColor="text1"/>
              </w:rPr>
            </w:pPr>
            <w:r>
              <w:rPr>
                <w:color w:val="000000" w:themeColor="text1"/>
              </w:rPr>
              <w:t>200</w:t>
            </w:r>
          </w:p>
        </w:tc>
        <w:tc>
          <w:tcPr>
            <w:tcW w:w="0" w:type="auto"/>
            <w:tcBorders>
              <w:top w:val="single" w:sz="8" w:space="0" w:color="auto"/>
              <w:left w:val="single" w:sz="8" w:space="0" w:color="auto"/>
              <w:bottom w:val="single" w:sz="8" w:space="0" w:color="auto"/>
              <w:right w:val="single" w:sz="8" w:space="0" w:color="auto"/>
            </w:tcBorders>
            <w:vAlign w:val="center"/>
          </w:tcPr>
          <w:p w14:paraId="6C74E192" w14:textId="3D26AA3A" w:rsidR="0090696C" w:rsidRPr="00D30B87" w:rsidRDefault="0090696C" w:rsidP="00E67C03">
            <w:pPr>
              <w:keepNext/>
              <w:jc w:val="center"/>
              <w:rPr>
                <w:color w:val="000000" w:themeColor="text1"/>
              </w:rPr>
            </w:pPr>
            <w:r>
              <w:rPr>
                <w:color w:val="000000" w:themeColor="text1"/>
              </w:rPr>
              <w:t>1 hour</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AFEA236" w14:textId="322F5AE9" w:rsidR="0090696C" w:rsidRPr="00D30B87" w:rsidRDefault="0090696C" w:rsidP="00E67C03">
            <w:pPr>
              <w:keepNext/>
              <w:jc w:val="center"/>
              <w:rPr>
                <w:color w:val="000000" w:themeColor="text1"/>
              </w:rPr>
            </w:pPr>
            <w:r>
              <w:rPr>
                <w:color w:val="000000" w:themeColor="text1"/>
              </w:rPr>
              <w:t>200</w:t>
            </w:r>
            <w:r w:rsidR="00767B35">
              <w:rPr>
                <w:color w:val="000000" w:themeColor="text1"/>
              </w:rPr>
              <w:t xml:space="preserve"> hours</w:t>
            </w:r>
          </w:p>
        </w:tc>
      </w:tr>
      <w:tr w:rsidR="006177B0" w:rsidRPr="00D30B87" w14:paraId="2C9E5908" w14:textId="77777777" w:rsidTr="00E67C03">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E850999" w14:textId="6E0811BD" w:rsidR="006177B0" w:rsidRPr="00D30B87" w:rsidRDefault="00F83895" w:rsidP="00E67C03">
            <w:pPr>
              <w:keepNext/>
              <w:rPr>
                <w:color w:val="000000" w:themeColor="text1"/>
              </w:rPr>
            </w:pPr>
            <w:r w:rsidRPr="00F83895">
              <w:rPr>
                <w:color w:val="000000"/>
              </w:rPr>
              <w:t>EACE Interview protocol for civilian rehabilitation providers</w:t>
            </w:r>
            <w:r>
              <w:rPr>
                <w:color w:val="000000"/>
              </w:rPr>
              <w:t xml:space="preserve"> (</w:t>
            </w:r>
            <w:r w:rsidR="006177B0" w:rsidRPr="00D30B87">
              <w:rPr>
                <w:color w:val="000000"/>
              </w:rPr>
              <w:t>Focus Group Guide)</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CE13C4" w14:textId="469D8149" w:rsidR="006177B0" w:rsidRPr="00D30B87" w:rsidRDefault="0090696C" w:rsidP="00E67C03">
            <w:pPr>
              <w:keepNext/>
              <w:jc w:val="center"/>
              <w:rPr>
                <w:color w:val="000000" w:themeColor="text1"/>
              </w:rPr>
            </w:pPr>
            <w:r>
              <w:rPr>
                <w:color w:val="000000" w:themeColor="text1"/>
              </w:rPr>
              <w:t>2</w:t>
            </w:r>
            <w:r w:rsidR="006177B0" w:rsidRPr="00D30B87">
              <w:rPr>
                <w:color w:val="000000" w:themeColor="text1"/>
              </w:rPr>
              <w:t>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CD9103B" w14:textId="77777777" w:rsidR="006177B0" w:rsidRPr="00D30B87" w:rsidRDefault="006177B0" w:rsidP="00E67C03">
            <w:pPr>
              <w:keepNext/>
              <w:jc w:val="center"/>
              <w:rPr>
                <w:color w:val="000000" w:themeColor="text1"/>
              </w:rPr>
            </w:pPr>
            <w:r w:rsidRPr="00D30B87">
              <w:rPr>
                <w:color w:val="000000" w:themeColor="text1"/>
              </w:rPr>
              <w:t>1</w:t>
            </w:r>
          </w:p>
        </w:tc>
        <w:tc>
          <w:tcPr>
            <w:tcW w:w="0" w:type="auto"/>
            <w:tcBorders>
              <w:top w:val="nil"/>
              <w:left w:val="nil"/>
              <w:bottom w:val="single" w:sz="8" w:space="0" w:color="auto"/>
              <w:right w:val="single" w:sz="8" w:space="0" w:color="auto"/>
            </w:tcBorders>
            <w:vAlign w:val="center"/>
          </w:tcPr>
          <w:p w14:paraId="3E5092F5" w14:textId="2375B0A7" w:rsidR="006177B0" w:rsidRPr="00D30B87" w:rsidRDefault="0090696C" w:rsidP="00E67C03">
            <w:pPr>
              <w:keepNext/>
              <w:jc w:val="center"/>
              <w:rPr>
                <w:color w:val="000000" w:themeColor="text1"/>
              </w:rPr>
            </w:pPr>
            <w:r>
              <w:rPr>
                <w:color w:val="000000" w:themeColor="text1"/>
              </w:rPr>
              <w:t>2</w:t>
            </w:r>
            <w:r w:rsidR="000D4545">
              <w:rPr>
                <w:color w:val="000000" w:themeColor="text1"/>
              </w:rPr>
              <w:t>00</w:t>
            </w:r>
          </w:p>
        </w:tc>
        <w:tc>
          <w:tcPr>
            <w:tcW w:w="0" w:type="auto"/>
            <w:tcBorders>
              <w:top w:val="single" w:sz="8" w:space="0" w:color="auto"/>
              <w:left w:val="single" w:sz="8" w:space="0" w:color="auto"/>
              <w:bottom w:val="single" w:sz="8" w:space="0" w:color="auto"/>
              <w:right w:val="single" w:sz="8" w:space="0" w:color="auto"/>
            </w:tcBorders>
            <w:vAlign w:val="center"/>
          </w:tcPr>
          <w:p w14:paraId="6F120203" w14:textId="3C578E52" w:rsidR="006177B0" w:rsidRPr="00D30B87" w:rsidRDefault="006177B0" w:rsidP="00E67C03">
            <w:pPr>
              <w:keepNext/>
              <w:jc w:val="center"/>
              <w:rPr>
                <w:color w:val="000000" w:themeColor="text1"/>
              </w:rPr>
            </w:pPr>
            <w:r w:rsidRPr="00D30B87">
              <w:rPr>
                <w:color w:val="000000" w:themeColor="text1"/>
              </w:rPr>
              <w:t>1 hour</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4228D95" w14:textId="13261C42" w:rsidR="006177B0" w:rsidRPr="00D30B87" w:rsidRDefault="00767B35" w:rsidP="00E67C03">
            <w:pPr>
              <w:keepNext/>
              <w:jc w:val="center"/>
              <w:rPr>
                <w:color w:val="000000" w:themeColor="text1"/>
              </w:rPr>
            </w:pPr>
            <w:r>
              <w:rPr>
                <w:color w:val="000000" w:themeColor="text1"/>
              </w:rPr>
              <w:t>2</w:t>
            </w:r>
            <w:r w:rsidR="006177B0" w:rsidRPr="00D30B87">
              <w:rPr>
                <w:color w:val="000000" w:themeColor="text1"/>
              </w:rPr>
              <w:t>00 hours</w:t>
            </w:r>
          </w:p>
        </w:tc>
      </w:tr>
      <w:tr w:rsidR="006177B0" w:rsidRPr="00D30B87" w14:paraId="6CB8F9BC" w14:textId="77777777" w:rsidTr="00E67C03">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1CA61D2" w14:textId="77777777" w:rsidR="006177B0" w:rsidRPr="00D30B87" w:rsidRDefault="006177B0" w:rsidP="000E38BB">
            <w:pPr>
              <w:keepNext/>
              <w:jc w:val="right"/>
              <w:rPr>
                <w:color w:val="000000" w:themeColor="text1"/>
              </w:rPr>
            </w:pPr>
            <w:r w:rsidRPr="00D30B87">
              <w:rPr>
                <w:b/>
                <w:bCs/>
                <w:color w:val="000000" w:themeColor="text1"/>
              </w:rPr>
              <w:t>Total</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178DEE" w14:textId="2ED257AC" w:rsidR="006177B0" w:rsidRPr="00D30B87" w:rsidRDefault="006177B0" w:rsidP="00E67C03">
            <w:pPr>
              <w:keepNext/>
              <w:jc w:val="center"/>
              <w:rPr>
                <w:color w:val="000000" w:themeColor="text1"/>
              </w:rPr>
            </w:pPr>
            <w:r w:rsidRPr="00D30B87">
              <w:rPr>
                <w:color w:val="000000" w:themeColor="text1"/>
              </w:rPr>
              <w:t>400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ACB8BC" w14:textId="1EFB03B1" w:rsidR="006177B0" w:rsidRPr="00D30B87" w:rsidRDefault="006177B0" w:rsidP="00E67C03">
            <w:pPr>
              <w:keepNext/>
              <w:jc w:val="center"/>
              <w:rPr>
                <w:color w:val="000000" w:themeColor="text1"/>
              </w:rPr>
            </w:pPr>
            <w:r w:rsidRPr="00D30B87">
              <w:rPr>
                <w:color w:val="000000" w:themeColor="text1"/>
              </w:rPr>
              <w:t>1</w:t>
            </w:r>
          </w:p>
        </w:tc>
        <w:tc>
          <w:tcPr>
            <w:tcW w:w="0" w:type="auto"/>
            <w:tcBorders>
              <w:top w:val="nil"/>
              <w:left w:val="nil"/>
              <w:bottom w:val="single" w:sz="8" w:space="0" w:color="auto"/>
              <w:right w:val="single" w:sz="8" w:space="0" w:color="auto"/>
            </w:tcBorders>
            <w:vAlign w:val="center"/>
          </w:tcPr>
          <w:p w14:paraId="1337AC89" w14:textId="72A54837" w:rsidR="006177B0" w:rsidRPr="00D30B87" w:rsidRDefault="000D4545" w:rsidP="00E67C03">
            <w:pPr>
              <w:keepNext/>
              <w:jc w:val="center"/>
              <w:rPr>
                <w:color w:val="000000" w:themeColor="text1"/>
              </w:rPr>
            </w:pPr>
            <w:r>
              <w:rPr>
                <w:color w:val="000000" w:themeColor="text1"/>
              </w:rPr>
              <w:t>400</w:t>
            </w:r>
          </w:p>
        </w:tc>
        <w:tc>
          <w:tcPr>
            <w:tcW w:w="0" w:type="auto"/>
            <w:tcBorders>
              <w:top w:val="single" w:sz="8" w:space="0" w:color="auto"/>
              <w:left w:val="single" w:sz="8" w:space="0" w:color="auto"/>
              <w:bottom w:val="single" w:sz="8" w:space="0" w:color="auto"/>
              <w:right w:val="single" w:sz="8" w:space="0" w:color="auto"/>
            </w:tcBorders>
            <w:vAlign w:val="center"/>
          </w:tcPr>
          <w:p w14:paraId="6A68A20F" w14:textId="21BD2D50" w:rsidR="006177B0" w:rsidRPr="00D30B87" w:rsidRDefault="006177B0" w:rsidP="00E67C03">
            <w:pPr>
              <w:keepNext/>
              <w:jc w:val="center"/>
              <w:rPr>
                <w:color w:val="000000" w:themeColor="text1"/>
              </w:rPr>
            </w:pPr>
            <w:r w:rsidRPr="00D30B87">
              <w:rPr>
                <w:color w:val="000000" w:themeColor="text1"/>
              </w:rPr>
              <w:t>1 hour</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9E2CC00" w14:textId="72FE4028" w:rsidR="006177B0" w:rsidRPr="00D30B87" w:rsidRDefault="006177B0" w:rsidP="00E67C03">
            <w:pPr>
              <w:keepNext/>
              <w:jc w:val="center"/>
              <w:rPr>
                <w:color w:val="000000" w:themeColor="text1"/>
              </w:rPr>
            </w:pPr>
            <w:r w:rsidRPr="00D30B87">
              <w:rPr>
                <w:color w:val="000000" w:themeColor="text1"/>
              </w:rPr>
              <w:t>400 hours</w:t>
            </w:r>
          </w:p>
        </w:tc>
      </w:tr>
    </w:tbl>
    <w:p w14:paraId="0F51840E" w14:textId="77777777" w:rsidR="00A67DE5" w:rsidRPr="00D30B87" w:rsidRDefault="00A67DE5" w:rsidP="00A67DE5">
      <w:pPr>
        <w:rPr>
          <w:color w:val="000000" w:themeColor="text1"/>
        </w:rPr>
      </w:pPr>
    </w:p>
    <w:p w14:paraId="4543D026" w14:textId="0875DE26" w:rsidR="00A67DE5" w:rsidRPr="00D30B87" w:rsidRDefault="006177B0" w:rsidP="00A67DE5">
      <w:pPr>
        <w:rPr>
          <w:color w:val="000000" w:themeColor="text1"/>
        </w:rPr>
      </w:pPr>
      <w:r w:rsidRPr="00D30B87">
        <w:rPr>
          <w:bCs/>
          <w:color w:val="000000" w:themeColor="text1"/>
        </w:rPr>
        <w:t xml:space="preserve">b. </w:t>
      </w:r>
      <w:r w:rsidR="00A67DE5" w:rsidRPr="00D30B87">
        <w:rPr>
          <w:bCs/>
          <w:color w:val="000000" w:themeColor="text1"/>
        </w:rPr>
        <w:t xml:space="preserve">Exhibit 2 shows the survey participants’ cost burden associated with their time to complete a survey. The </w:t>
      </w:r>
      <w:r w:rsidR="00C90E08" w:rsidRPr="00D30B87">
        <w:rPr>
          <w:bCs/>
          <w:color w:val="000000" w:themeColor="text1"/>
        </w:rPr>
        <w:t>annual total</w:t>
      </w:r>
      <w:r w:rsidR="00A67DE5" w:rsidRPr="00D30B87">
        <w:rPr>
          <w:bCs/>
          <w:color w:val="000000" w:themeColor="text1"/>
        </w:rPr>
        <w:t xml:space="preserve"> cost burden is estimated to be $</w:t>
      </w:r>
      <w:r w:rsidR="00EB71F2" w:rsidRPr="00D30B87">
        <w:rPr>
          <w:bCs/>
          <w:color w:val="000000" w:themeColor="text1"/>
        </w:rPr>
        <w:t>47,600</w:t>
      </w:r>
      <w:r w:rsidR="00A67DE5" w:rsidRPr="00D30B87">
        <w:rPr>
          <w:bCs/>
          <w:color w:val="000000" w:themeColor="text1"/>
        </w:rPr>
        <w:t>.</w:t>
      </w:r>
    </w:p>
    <w:p w14:paraId="55950B15" w14:textId="77777777" w:rsidR="00A67DE5" w:rsidRPr="00D30B87" w:rsidRDefault="00A67DE5" w:rsidP="00A67DE5">
      <w:pPr>
        <w:rPr>
          <w:b/>
          <w:bCs/>
          <w:color w:val="000000" w:themeColor="text1"/>
        </w:rPr>
      </w:pPr>
    </w:p>
    <w:p w14:paraId="51D71732" w14:textId="7010DAB2" w:rsidR="00A67DE5" w:rsidRPr="00D30B87" w:rsidRDefault="00A67DE5" w:rsidP="00A67DE5">
      <w:pPr>
        <w:keepNext/>
        <w:rPr>
          <w:b/>
          <w:color w:val="000000" w:themeColor="text1"/>
        </w:rPr>
      </w:pPr>
      <w:r w:rsidRPr="00D30B87">
        <w:rPr>
          <w:b/>
          <w:color w:val="000000" w:themeColor="text1"/>
        </w:rPr>
        <w:t xml:space="preserve">Exhibit 2.  </w:t>
      </w:r>
      <w:r w:rsidR="004637B9" w:rsidRPr="00D30B87">
        <w:rPr>
          <w:b/>
          <w:color w:val="000000" w:themeColor="text1"/>
        </w:rPr>
        <w:t>Labor Cost of Respondent Burden</w:t>
      </w:r>
    </w:p>
    <w:tbl>
      <w:tblPr>
        <w:tblStyle w:val="GridTableLight"/>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12"/>
        <w:gridCol w:w="1544"/>
        <w:gridCol w:w="1311"/>
        <w:gridCol w:w="1486"/>
        <w:gridCol w:w="1298"/>
        <w:gridCol w:w="1105"/>
      </w:tblGrid>
      <w:tr w:rsidR="004637B9" w:rsidRPr="00D30B87" w14:paraId="55AB14EF" w14:textId="77777777" w:rsidTr="00E67C03">
        <w:tc>
          <w:tcPr>
            <w:tcW w:w="0" w:type="auto"/>
          </w:tcPr>
          <w:p w14:paraId="43A1A897" w14:textId="65F4FDEE" w:rsidR="004637B9" w:rsidRPr="00D30B87" w:rsidRDefault="004637B9" w:rsidP="000E38BB">
            <w:pPr>
              <w:keepNext/>
              <w:rPr>
                <w:color w:val="000000" w:themeColor="text1"/>
              </w:rPr>
            </w:pPr>
          </w:p>
        </w:tc>
        <w:tc>
          <w:tcPr>
            <w:tcW w:w="0" w:type="auto"/>
            <w:vAlign w:val="center"/>
          </w:tcPr>
          <w:p w14:paraId="2BCD7103" w14:textId="77777777" w:rsidR="004637B9" w:rsidRPr="00D30B87" w:rsidRDefault="004637B9" w:rsidP="00E67C03">
            <w:pPr>
              <w:keepNext/>
              <w:jc w:val="center"/>
              <w:rPr>
                <w:color w:val="000000" w:themeColor="text1"/>
              </w:rPr>
            </w:pPr>
            <w:r w:rsidRPr="00D30B87">
              <w:rPr>
                <w:color w:val="000000" w:themeColor="text1"/>
              </w:rPr>
              <w:t>Number of Respondents</w:t>
            </w:r>
          </w:p>
        </w:tc>
        <w:tc>
          <w:tcPr>
            <w:tcW w:w="0" w:type="auto"/>
            <w:vAlign w:val="center"/>
          </w:tcPr>
          <w:p w14:paraId="70D7DD1A" w14:textId="235E7B6C" w:rsidR="004637B9" w:rsidRPr="00D30B87" w:rsidRDefault="004637B9" w:rsidP="00E67C03">
            <w:pPr>
              <w:keepNext/>
              <w:jc w:val="center"/>
              <w:rPr>
                <w:color w:val="000000" w:themeColor="text1"/>
              </w:rPr>
            </w:pPr>
            <w:r w:rsidRPr="00D30B87">
              <w:rPr>
                <w:color w:val="000000" w:themeColor="text1"/>
              </w:rPr>
              <w:t>Response Time per Response</w:t>
            </w:r>
          </w:p>
        </w:tc>
        <w:tc>
          <w:tcPr>
            <w:tcW w:w="0" w:type="auto"/>
            <w:vAlign w:val="center"/>
          </w:tcPr>
          <w:p w14:paraId="037556DC" w14:textId="4B82BD34" w:rsidR="004637B9" w:rsidRPr="00D30B87" w:rsidRDefault="004637B9" w:rsidP="00E67C03">
            <w:pPr>
              <w:keepNext/>
              <w:jc w:val="center"/>
              <w:rPr>
                <w:color w:val="000000" w:themeColor="text1"/>
              </w:rPr>
            </w:pPr>
            <w:r w:rsidRPr="00D30B87">
              <w:rPr>
                <w:color w:val="000000" w:themeColor="text1"/>
              </w:rPr>
              <w:t>Respondent Hourly Wage*</w:t>
            </w:r>
          </w:p>
        </w:tc>
        <w:tc>
          <w:tcPr>
            <w:tcW w:w="0" w:type="auto"/>
            <w:vAlign w:val="center"/>
          </w:tcPr>
          <w:p w14:paraId="4791F66F" w14:textId="6DD9ED64" w:rsidR="004637B9" w:rsidRPr="00D30B87" w:rsidRDefault="004637B9" w:rsidP="00E67C03">
            <w:pPr>
              <w:keepNext/>
              <w:jc w:val="center"/>
              <w:rPr>
                <w:color w:val="000000" w:themeColor="text1"/>
              </w:rPr>
            </w:pPr>
            <w:r w:rsidRPr="00D30B87">
              <w:rPr>
                <w:color w:val="000000" w:themeColor="text1"/>
              </w:rPr>
              <w:t>Labor Burden per Response</w:t>
            </w:r>
          </w:p>
        </w:tc>
        <w:tc>
          <w:tcPr>
            <w:tcW w:w="0" w:type="auto"/>
            <w:vAlign w:val="center"/>
          </w:tcPr>
          <w:p w14:paraId="45A7E939" w14:textId="4BD0634C" w:rsidR="004637B9" w:rsidRPr="00D30B87" w:rsidRDefault="004637B9" w:rsidP="00E67C03">
            <w:pPr>
              <w:keepNext/>
              <w:jc w:val="center"/>
              <w:rPr>
                <w:color w:val="000000" w:themeColor="text1"/>
              </w:rPr>
            </w:pPr>
            <w:r w:rsidRPr="00D30B87">
              <w:rPr>
                <w:color w:val="000000" w:themeColor="text1"/>
              </w:rPr>
              <w:t>Total  Labor Burden</w:t>
            </w:r>
          </w:p>
        </w:tc>
      </w:tr>
      <w:tr w:rsidR="00F83895" w:rsidRPr="00D30B87" w14:paraId="242B1AD8" w14:textId="77777777" w:rsidTr="00E67C03">
        <w:tc>
          <w:tcPr>
            <w:tcW w:w="0" w:type="auto"/>
            <w:vAlign w:val="center"/>
          </w:tcPr>
          <w:p w14:paraId="1D47BDB8" w14:textId="18257A8F" w:rsidR="00F83895" w:rsidRPr="00D30B87" w:rsidRDefault="00F83895" w:rsidP="00F83895">
            <w:pPr>
              <w:keepNext/>
              <w:rPr>
                <w:color w:val="000000"/>
              </w:rPr>
            </w:pPr>
            <w:r w:rsidRPr="00F83895">
              <w:rPr>
                <w:color w:val="000000"/>
              </w:rPr>
              <w:t xml:space="preserve">EACE Interview protocol for DoD contractor providers </w:t>
            </w:r>
            <w:r>
              <w:rPr>
                <w:color w:val="000000"/>
              </w:rPr>
              <w:t>(interview)</w:t>
            </w:r>
          </w:p>
        </w:tc>
        <w:tc>
          <w:tcPr>
            <w:tcW w:w="0" w:type="auto"/>
            <w:vAlign w:val="center"/>
          </w:tcPr>
          <w:p w14:paraId="64460DD0" w14:textId="24B18632" w:rsidR="00F83895" w:rsidRPr="00D30B87" w:rsidRDefault="00F83895" w:rsidP="00E67C03">
            <w:pPr>
              <w:keepNext/>
              <w:jc w:val="center"/>
              <w:rPr>
                <w:color w:val="000000" w:themeColor="text1"/>
              </w:rPr>
            </w:pPr>
            <w:r>
              <w:rPr>
                <w:color w:val="000000" w:themeColor="text1"/>
              </w:rPr>
              <w:t>200</w:t>
            </w:r>
          </w:p>
        </w:tc>
        <w:tc>
          <w:tcPr>
            <w:tcW w:w="0" w:type="auto"/>
            <w:vAlign w:val="center"/>
          </w:tcPr>
          <w:p w14:paraId="6E8CD9D3" w14:textId="4975E8B5" w:rsidR="00F83895" w:rsidRPr="00D30B87" w:rsidRDefault="00F83895" w:rsidP="00E67C03">
            <w:pPr>
              <w:keepNext/>
              <w:jc w:val="center"/>
              <w:rPr>
                <w:color w:val="000000" w:themeColor="text1"/>
              </w:rPr>
            </w:pPr>
            <w:r>
              <w:rPr>
                <w:color w:val="000000" w:themeColor="text1"/>
              </w:rPr>
              <w:t>1 hour</w:t>
            </w:r>
          </w:p>
        </w:tc>
        <w:tc>
          <w:tcPr>
            <w:tcW w:w="0" w:type="auto"/>
            <w:vAlign w:val="center"/>
          </w:tcPr>
          <w:p w14:paraId="2C8D57C2" w14:textId="5F6E671E" w:rsidR="00F83895" w:rsidRPr="00D30B87" w:rsidRDefault="00F83895" w:rsidP="00E67C03">
            <w:pPr>
              <w:keepNext/>
              <w:jc w:val="center"/>
              <w:rPr>
                <w:bCs/>
                <w:color w:val="000000" w:themeColor="text1"/>
              </w:rPr>
            </w:pPr>
            <w:r>
              <w:rPr>
                <w:bCs/>
                <w:color w:val="000000" w:themeColor="text1"/>
              </w:rPr>
              <w:t>$119</w:t>
            </w:r>
            <w:r w:rsidR="00767B35">
              <w:rPr>
                <w:bCs/>
                <w:color w:val="000000" w:themeColor="text1"/>
              </w:rPr>
              <w:t>.00</w:t>
            </w:r>
          </w:p>
        </w:tc>
        <w:tc>
          <w:tcPr>
            <w:tcW w:w="0" w:type="auto"/>
            <w:vAlign w:val="center"/>
          </w:tcPr>
          <w:p w14:paraId="456C7ABA" w14:textId="4E3424D4" w:rsidR="00F83895" w:rsidRDefault="00F83895" w:rsidP="00E67C03">
            <w:pPr>
              <w:keepNext/>
              <w:jc w:val="center"/>
              <w:rPr>
                <w:bCs/>
                <w:color w:val="000000" w:themeColor="text1"/>
              </w:rPr>
            </w:pPr>
            <w:r>
              <w:rPr>
                <w:bCs/>
                <w:color w:val="000000" w:themeColor="text1"/>
              </w:rPr>
              <w:t>$119</w:t>
            </w:r>
            <w:r w:rsidR="00767B35">
              <w:rPr>
                <w:bCs/>
                <w:color w:val="000000" w:themeColor="text1"/>
              </w:rPr>
              <w:t>.00</w:t>
            </w:r>
          </w:p>
        </w:tc>
        <w:tc>
          <w:tcPr>
            <w:tcW w:w="0" w:type="auto"/>
            <w:vAlign w:val="center"/>
          </w:tcPr>
          <w:p w14:paraId="6DAD15D2" w14:textId="7832D052" w:rsidR="00F83895" w:rsidRPr="00D30B87" w:rsidRDefault="00E67C03" w:rsidP="00E67C03">
            <w:pPr>
              <w:keepNext/>
              <w:jc w:val="center"/>
              <w:rPr>
                <w:color w:val="000000" w:themeColor="text1"/>
              </w:rPr>
            </w:pPr>
            <w:r>
              <w:rPr>
                <w:color w:val="000000" w:themeColor="text1"/>
              </w:rPr>
              <w:t>$</w:t>
            </w:r>
            <w:r w:rsidR="00F83895">
              <w:rPr>
                <w:color w:val="000000" w:themeColor="text1"/>
              </w:rPr>
              <w:t>23,800</w:t>
            </w:r>
          </w:p>
        </w:tc>
      </w:tr>
      <w:tr w:rsidR="00F83895" w:rsidRPr="00D30B87" w14:paraId="1B56CE66" w14:textId="77777777" w:rsidTr="00E67C03">
        <w:tc>
          <w:tcPr>
            <w:tcW w:w="0" w:type="auto"/>
            <w:vAlign w:val="center"/>
          </w:tcPr>
          <w:p w14:paraId="1F4EFDE0" w14:textId="145EC16A" w:rsidR="00F83895" w:rsidRPr="00D30B87" w:rsidRDefault="00F83895" w:rsidP="00F83895">
            <w:pPr>
              <w:keepNext/>
              <w:rPr>
                <w:color w:val="000000" w:themeColor="text1"/>
              </w:rPr>
            </w:pPr>
            <w:r w:rsidRPr="00F83895">
              <w:rPr>
                <w:color w:val="000000"/>
              </w:rPr>
              <w:t>EACE Interview protocol for civilian rehabilitation providers</w:t>
            </w:r>
            <w:r>
              <w:rPr>
                <w:color w:val="000000"/>
              </w:rPr>
              <w:t xml:space="preserve"> (</w:t>
            </w:r>
            <w:r w:rsidRPr="00D30B87">
              <w:rPr>
                <w:color w:val="000000"/>
              </w:rPr>
              <w:t>Focus Group Guide)</w:t>
            </w:r>
          </w:p>
        </w:tc>
        <w:tc>
          <w:tcPr>
            <w:tcW w:w="0" w:type="auto"/>
            <w:vAlign w:val="center"/>
          </w:tcPr>
          <w:p w14:paraId="346E472D" w14:textId="7506B60E" w:rsidR="00F83895" w:rsidRPr="00D30B87" w:rsidRDefault="00F83895" w:rsidP="00E67C03">
            <w:pPr>
              <w:keepNext/>
              <w:jc w:val="center"/>
              <w:rPr>
                <w:color w:val="000000" w:themeColor="text1"/>
              </w:rPr>
            </w:pPr>
            <w:r>
              <w:rPr>
                <w:color w:val="000000" w:themeColor="text1"/>
              </w:rPr>
              <w:t>2</w:t>
            </w:r>
            <w:r w:rsidRPr="00D30B87">
              <w:rPr>
                <w:color w:val="000000" w:themeColor="text1"/>
              </w:rPr>
              <w:t>00</w:t>
            </w:r>
          </w:p>
        </w:tc>
        <w:tc>
          <w:tcPr>
            <w:tcW w:w="0" w:type="auto"/>
            <w:vAlign w:val="center"/>
          </w:tcPr>
          <w:p w14:paraId="4C84ECB5" w14:textId="7AB1B3CD" w:rsidR="00F83895" w:rsidRPr="00D30B87" w:rsidRDefault="00F83895" w:rsidP="00E67C03">
            <w:pPr>
              <w:keepNext/>
              <w:jc w:val="center"/>
              <w:rPr>
                <w:color w:val="000000" w:themeColor="text1"/>
              </w:rPr>
            </w:pPr>
            <w:r w:rsidRPr="00D30B87">
              <w:rPr>
                <w:color w:val="000000" w:themeColor="text1"/>
              </w:rPr>
              <w:t>1 hour</w:t>
            </w:r>
          </w:p>
        </w:tc>
        <w:tc>
          <w:tcPr>
            <w:tcW w:w="0" w:type="auto"/>
            <w:vAlign w:val="center"/>
          </w:tcPr>
          <w:p w14:paraId="05AD6A29" w14:textId="64019B74" w:rsidR="00F83895" w:rsidRPr="00D30B87" w:rsidRDefault="00F83895" w:rsidP="00E67C03">
            <w:pPr>
              <w:keepNext/>
              <w:jc w:val="center"/>
              <w:rPr>
                <w:color w:val="000000" w:themeColor="text1"/>
              </w:rPr>
            </w:pPr>
            <w:r w:rsidRPr="00D30B87">
              <w:rPr>
                <w:bCs/>
                <w:color w:val="000000" w:themeColor="text1"/>
              </w:rPr>
              <w:t>$119.00</w:t>
            </w:r>
          </w:p>
        </w:tc>
        <w:tc>
          <w:tcPr>
            <w:tcW w:w="0" w:type="auto"/>
            <w:vAlign w:val="center"/>
          </w:tcPr>
          <w:p w14:paraId="68CE4E14" w14:textId="60301E82" w:rsidR="00F83895" w:rsidRPr="00D30B87" w:rsidRDefault="00F83895" w:rsidP="00E67C03">
            <w:pPr>
              <w:keepNext/>
              <w:jc w:val="center"/>
              <w:rPr>
                <w:color w:val="000000" w:themeColor="text1"/>
              </w:rPr>
            </w:pPr>
            <w:r>
              <w:rPr>
                <w:bCs/>
                <w:color w:val="000000" w:themeColor="text1"/>
              </w:rPr>
              <w:t>$119.00</w:t>
            </w:r>
          </w:p>
        </w:tc>
        <w:tc>
          <w:tcPr>
            <w:tcW w:w="0" w:type="auto"/>
            <w:vAlign w:val="center"/>
          </w:tcPr>
          <w:p w14:paraId="4D965564" w14:textId="5D103992" w:rsidR="00F83895" w:rsidRPr="00D30B87" w:rsidRDefault="00F83895" w:rsidP="00E67C03">
            <w:pPr>
              <w:keepNext/>
              <w:jc w:val="center"/>
              <w:rPr>
                <w:color w:val="000000" w:themeColor="text1"/>
              </w:rPr>
            </w:pPr>
            <w:r w:rsidRPr="00D30B87">
              <w:rPr>
                <w:color w:val="000000" w:themeColor="text1"/>
              </w:rPr>
              <w:t>$</w:t>
            </w:r>
            <w:r>
              <w:rPr>
                <w:color w:val="000000" w:themeColor="text1"/>
              </w:rPr>
              <w:t>23,8</w:t>
            </w:r>
            <w:r w:rsidR="00767B35">
              <w:rPr>
                <w:color w:val="000000" w:themeColor="text1"/>
              </w:rPr>
              <w:t>00</w:t>
            </w:r>
          </w:p>
        </w:tc>
      </w:tr>
      <w:tr w:rsidR="00F83895" w:rsidRPr="00D30B87" w14:paraId="47E1DB87" w14:textId="77777777" w:rsidTr="00E67C03">
        <w:tc>
          <w:tcPr>
            <w:tcW w:w="0" w:type="auto"/>
          </w:tcPr>
          <w:p w14:paraId="6C38D633" w14:textId="77777777" w:rsidR="00F83895" w:rsidRPr="00D30B87" w:rsidRDefault="00F83895" w:rsidP="00F83895">
            <w:pPr>
              <w:keepNext/>
              <w:jc w:val="right"/>
              <w:rPr>
                <w:color w:val="000000" w:themeColor="text1"/>
              </w:rPr>
            </w:pPr>
            <w:r w:rsidRPr="00D30B87">
              <w:rPr>
                <w:b/>
                <w:bCs/>
                <w:color w:val="000000" w:themeColor="text1"/>
              </w:rPr>
              <w:t>Total</w:t>
            </w:r>
          </w:p>
        </w:tc>
        <w:tc>
          <w:tcPr>
            <w:tcW w:w="0" w:type="auto"/>
            <w:vAlign w:val="center"/>
          </w:tcPr>
          <w:p w14:paraId="5B7E56BD" w14:textId="4A67BF85" w:rsidR="00F83895" w:rsidRPr="00D30B87" w:rsidRDefault="00F83895" w:rsidP="00E67C03">
            <w:pPr>
              <w:keepNext/>
              <w:jc w:val="center"/>
              <w:rPr>
                <w:color w:val="000000" w:themeColor="text1"/>
              </w:rPr>
            </w:pPr>
            <w:r w:rsidRPr="00D30B87">
              <w:rPr>
                <w:color w:val="000000" w:themeColor="text1"/>
              </w:rPr>
              <w:t>400</w:t>
            </w:r>
          </w:p>
        </w:tc>
        <w:tc>
          <w:tcPr>
            <w:tcW w:w="0" w:type="auto"/>
            <w:vAlign w:val="center"/>
          </w:tcPr>
          <w:p w14:paraId="326EF76F" w14:textId="43EEC17B" w:rsidR="00F83895" w:rsidRPr="00D30B87" w:rsidRDefault="00F83895" w:rsidP="00E67C03">
            <w:pPr>
              <w:keepNext/>
              <w:jc w:val="center"/>
              <w:rPr>
                <w:color w:val="000000" w:themeColor="text1"/>
              </w:rPr>
            </w:pPr>
            <w:r w:rsidRPr="00D30B87">
              <w:rPr>
                <w:color w:val="000000" w:themeColor="text1"/>
              </w:rPr>
              <w:t>1 hour</w:t>
            </w:r>
          </w:p>
        </w:tc>
        <w:tc>
          <w:tcPr>
            <w:tcW w:w="0" w:type="auto"/>
            <w:vAlign w:val="center"/>
          </w:tcPr>
          <w:p w14:paraId="18D28660" w14:textId="4C90261F" w:rsidR="00F83895" w:rsidRPr="00D30B87" w:rsidRDefault="00F83895" w:rsidP="00E67C03">
            <w:pPr>
              <w:keepNext/>
              <w:jc w:val="center"/>
              <w:rPr>
                <w:color w:val="000000" w:themeColor="text1"/>
              </w:rPr>
            </w:pPr>
            <w:r w:rsidRPr="00D30B87">
              <w:rPr>
                <w:bCs/>
                <w:color w:val="000000" w:themeColor="text1"/>
              </w:rPr>
              <w:t>$119.00</w:t>
            </w:r>
          </w:p>
        </w:tc>
        <w:tc>
          <w:tcPr>
            <w:tcW w:w="0" w:type="auto"/>
            <w:vAlign w:val="center"/>
          </w:tcPr>
          <w:p w14:paraId="5F79D210" w14:textId="7152E743" w:rsidR="00F83895" w:rsidRPr="00D30B87" w:rsidRDefault="00F83895" w:rsidP="00E67C03">
            <w:pPr>
              <w:keepNext/>
              <w:jc w:val="center"/>
              <w:rPr>
                <w:color w:val="000000" w:themeColor="text1"/>
              </w:rPr>
            </w:pPr>
            <w:r>
              <w:rPr>
                <w:bCs/>
                <w:color w:val="000000" w:themeColor="text1"/>
              </w:rPr>
              <w:t>$119.00</w:t>
            </w:r>
          </w:p>
        </w:tc>
        <w:tc>
          <w:tcPr>
            <w:tcW w:w="0" w:type="auto"/>
            <w:vAlign w:val="center"/>
          </w:tcPr>
          <w:p w14:paraId="5F7C8AB3" w14:textId="61042CAD" w:rsidR="00F83895" w:rsidRPr="00D30B87" w:rsidRDefault="00E67C03" w:rsidP="00E67C03">
            <w:pPr>
              <w:keepNext/>
              <w:jc w:val="center"/>
              <w:rPr>
                <w:color w:val="000000" w:themeColor="text1"/>
              </w:rPr>
            </w:pPr>
            <w:r>
              <w:rPr>
                <w:color w:val="000000" w:themeColor="text1"/>
              </w:rPr>
              <w:t>$</w:t>
            </w:r>
            <w:r w:rsidR="00F83895" w:rsidRPr="00D30B87">
              <w:rPr>
                <w:color w:val="000000" w:themeColor="text1"/>
              </w:rPr>
              <w:t>47,600</w:t>
            </w:r>
          </w:p>
        </w:tc>
      </w:tr>
    </w:tbl>
    <w:p w14:paraId="3EAFB677" w14:textId="020F20F3" w:rsidR="00A67DE5" w:rsidRPr="00D30B87" w:rsidRDefault="00A67DE5" w:rsidP="00A67DE5">
      <w:pPr>
        <w:rPr>
          <w:color w:val="000000" w:themeColor="text1"/>
        </w:rPr>
      </w:pPr>
      <w:r w:rsidRPr="00D30B87">
        <w:rPr>
          <w:color w:val="000000" w:themeColor="text1"/>
        </w:rPr>
        <w:t>*</w:t>
      </w:r>
      <w:r w:rsidR="008B3308" w:rsidRPr="00D30B87">
        <w:rPr>
          <w:color w:val="000000" w:themeColor="text1"/>
        </w:rPr>
        <w:t xml:space="preserve"> </w:t>
      </w:r>
      <w:r w:rsidR="008B3308" w:rsidRPr="00D30B87">
        <w:t xml:space="preserve">The Respondent hourly wage was determined by using information </w:t>
      </w:r>
      <w:r w:rsidR="004637B9" w:rsidRPr="00D30B87">
        <w:rPr>
          <w:color w:val="000000" w:themeColor="text1"/>
        </w:rPr>
        <w:t>from “Occupational Employment and Wages, May 2015” (</w:t>
      </w:r>
      <w:hyperlink r:id="rId13" w:history="1">
        <w:r w:rsidR="004637B9" w:rsidRPr="00D30B87">
          <w:rPr>
            <w:rStyle w:val="Hyperlink"/>
          </w:rPr>
          <w:t>http://www.bls.gov/oes/current/oes291067.htm</w:t>
        </w:r>
      </w:hyperlink>
      <w:r w:rsidR="004637B9" w:rsidRPr="00D30B87">
        <w:rPr>
          <w:color w:val="000000" w:themeColor="text1"/>
        </w:rPr>
        <w:t xml:space="preserve">). </w:t>
      </w:r>
    </w:p>
    <w:p w14:paraId="3D8EA834" w14:textId="77777777" w:rsidR="00A67DE5" w:rsidRPr="00D30B87" w:rsidRDefault="00A67DE5" w:rsidP="00A67DE5">
      <w:pPr>
        <w:rPr>
          <w:color w:val="000000" w:themeColor="text1"/>
        </w:rPr>
      </w:pPr>
    </w:p>
    <w:p w14:paraId="24D7B161" w14:textId="38C122D3" w:rsidR="00A67DE5" w:rsidRPr="00D30B87" w:rsidRDefault="00A67DE5" w:rsidP="00A67DE5">
      <w:pPr>
        <w:pStyle w:val="Heading2"/>
        <w:rPr>
          <w:rFonts w:ascii="Times New Roman" w:hAnsi="Times New Roman"/>
          <w:color w:val="000000" w:themeColor="text1"/>
          <w:szCs w:val="24"/>
          <w:u w:val="single"/>
        </w:rPr>
      </w:pPr>
      <w:bookmarkStart w:id="15" w:name="_Toc318450647"/>
      <w:r w:rsidRPr="00D30B87">
        <w:rPr>
          <w:rFonts w:ascii="Times New Roman" w:hAnsi="Times New Roman"/>
          <w:color w:val="000000" w:themeColor="text1"/>
          <w:szCs w:val="24"/>
        </w:rPr>
        <w:t>13.</w:t>
      </w:r>
      <w:bookmarkEnd w:id="15"/>
      <w:r w:rsidR="00DE01C2" w:rsidRPr="00D30B87">
        <w:rPr>
          <w:rFonts w:ascii="Times New Roman" w:hAnsi="Times New Roman"/>
          <w:color w:val="000000" w:themeColor="text1"/>
          <w:szCs w:val="24"/>
        </w:rPr>
        <w:t xml:space="preserve">  </w:t>
      </w:r>
      <w:r w:rsidR="004637B9" w:rsidRPr="00D30B87">
        <w:rPr>
          <w:rFonts w:ascii="Times New Roman" w:hAnsi="Times New Roman"/>
          <w:color w:val="000000" w:themeColor="text1"/>
          <w:szCs w:val="24"/>
          <w:u w:val="single"/>
        </w:rPr>
        <w:t>Respondent Costs Other Than Burden Hour Costs</w:t>
      </w:r>
    </w:p>
    <w:p w14:paraId="01BC8B97" w14:textId="77777777" w:rsidR="00A67DE5" w:rsidRPr="00D30B87" w:rsidRDefault="00A67DE5" w:rsidP="00A67DE5">
      <w:pPr>
        <w:tabs>
          <w:tab w:val="left" w:pos="540"/>
        </w:tabs>
        <w:rPr>
          <w:color w:val="000000" w:themeColor="text1"/>
        </w:rPr>
      </w:pPr>
    </w:p>
    <w:p w14:paraId="3943DFEB" w14:textId="744466FD" w:rsidR="00A67DE5" w:rsidRPr="00D30B87" w:rsidRDefault="008B3308" w:rsidP="00A67DE5">
      <w:pPr>
        <w:tabs>
          <w:tab w:val="left" w:pos="540"/>
        </w:tabs>
        <w:rPr>
          <w:color w:val="000000" w:themeColor="text1"/>
        </w:rPr>
      </w:pPr>
      <w:r w:rsidRPr="00D30B87">
        <w:t>There are no annualized costs to respondents other than the labor burden costs addressed in Section 12 of this document to complete this collection.</w:t>
      </w:r>
    </w:p>
    <w:p w14:paraId="12BBD040" w14:textId="77777777" w:rsidR="00A67DE5" w:rsidRPr="00D30B87" w:rsidRDefault="00A67DE5" w:rsidP="00A67DE5">
      <w:pPr>
        <w:tabs>
          <w:tab w:val="left" w:pos="540"/>
        </w:tabs>
        <w:rPr>
          <w:b/>
          <w:color w:val="000000" w:themeColor="text1"/>
        </w:rPr>
      </w:pPr>
    </w:p>
    <w:p w14:paraId="4A30DE9F" w14:textId="45CFCD60" w:rsidR="00A67DE5" w:rsidRPr="00D30B87" w:rsidRDefault="00DE01C2" w:rsidP="00A67DE5">
      <w:pPr>
        <w:pStyle w:val="Heading2"/>
        <w:rPr>
          <w:rFonts w:ascii="Times New Roman" w:hAnsi="Times New Roman"/>
          <w:color w:val="000000" w:themeColor="text1"/>
          <w:szCs w:val="24"/>
        </w:rPr>
      </w:pPr>
      <w:bookmarkStart w:id="16" w:name="_Toc318450648"/>
      <w:r w:rsidRPr="00D30B87">
        <w:rPr>
          <w:rFonts w:ascii="Times New Roman" w:hAnsi="Times New Roman"/>
          <w:color w:val="000000" w:themeColor="text1"/>
          <w:szCs w:val="24"/>
        </w:rPr>
        <w:t>14</w:t>
      </w:r>
      <w:r w:rsidRPr="00D30B87">
        <w:rPr>
          <w:rFonts w:ascii="Times New Roman" w:hAnsi="Times New Roman"/>
          <w:color w:val="000000" w:themeColor="text1"/>
          <w:szCs w:val="24"/>
          <w:u w:val="single"/>
        </w:rPr>
        <w:t xml:space="preserve">.  </w:t>
      </w:r>
      <w:r w:rsidR="00A67DE5" w:rsidRPr="00D30B87">
        <w:rPr>
          <w:rFonts w:ascii="Times New Roman" w:hAnsi="Times New Roman"/>
          <w:color w:val="000000" w:themeColor="text1"/>
          <w:szCs w:val="24"/>
          <w:u w:val="single"/>
        </w:rPr>
        <w:t>Cost to the Federal Government</w:t>
      </w:r>
      <w:bookmarkEnd w:id="16"/>
    </w:p>
    <w:p w14:paraId="4FD95C84" w14:textId="77777777" w:rsidR="00A67DE5" w:rsidRPr="00D30B87" w:rsidRDefault="00A67DE5" w:rsidP="00A67DE5">
      <w:pPr>
        <w:tabs>
          <w:tab w:val="left" w:pos="540"/>
        </w:tabs>
        <w:rPr>
          <w:color w:val="000000" w:themeColor="text1"/>
        </w:rPr>
      </w:pPr>
    </w:p>
    <w:p w14:paraId="572375BC" w14:textId="77777777" w:rsidR="00A67DE5" w:rsidRPr="00D30B87" w:rsidRDefault="00A67DE5" w:rsidP="00A67DE5">
      <w:pPr>
        <w:tabs>
          <w:tab w:val="left" w:pos="5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2189"/>
        <w:gridCol w:w="2364"/>
        <w:gridCol w:w="1075"/>
      </w:tblGrid>
      <w:tr w:rsidR="00936498" w14:paraId="7E180A65" w14:textId="77777777" w:rsidTr="00E67C03">
        <w:tc>
          <w:tcPr>
            <w:tcW w:w="0" w:type="auto"/>
            <w:gridSpan w:val="4"/>
            <w:shd w:val="clear" w:color="auto" w:fill="auto"/>
          </w:tcPr>
          <w:p w14:paraId="6ADEBD7B" w14:textId="77777777" w:rsidR="00936498" w:rsidRDefault="00936498" w:rsidP="008F2D60">
            <w:pPr>
              <w:pStyle w:val="NormalWeb"/>
              <w:spacing w:line="288" w:lineRule="atLeast"/>
              <w:jc w:val="center"/>
            </w:pPr>
            <w:bookmarkStart w:id="17" w:name="_Toc318450649"/>
            <w:r>
              <w:t>Labor Cost to the Federal Government</w:t>
            </w:r>
          </w:p>
        </w:tc>
      </w:tr>
      <w:tr w:rsidR="00936498" w14:paraId="3ACB4C76" w14:textId="77777777" w:rsidTr="00E67C03">
        <w:tc>
          <w:tcPr>
            <w:tcW w:w="0" w:type="auto"/>
            <w:shd w:val="clear" w:color="auto" w:fill="auto"/>
            <w:vAlign w:val="center"/>
          </w:tcPr>
          <w:p w14:paraId="7B53C87D" w14:textId="77777777" w:rsidR="00936498" w:rsidRDefault="00936498" w:rsidP="00767B35">
            <w:pPr>
              <w:pStyle w:val="NormalWeb"/>
              <w:spacing w:line="288" w:lineRule="atLeast"/>
              <w:jc w:val="center"/>
            </w:pPr>
          </w:p>
        </w:tc>
        <w:tc>
          <w:tcPr>
            <w:tcW w:w="0" w:type="auto"/>
            <w:shd w:val="clear" w:color="auto" w:fill="auto"/>
            <w:vAlign w:val="center"/>
          </w:tcPr>
          <w:p w14:paraId="583F50BB" w14:textId="220C9AE4" w:rsidR="00936498" w:rsidRDefault="00F83895" w:rsidP="00767B35">
            <w:pPr>
              <w:pStyle w:val="NormalWeb"/>
              <w:spacing w:line="288" w:lineRule="atLeast"/>
              <w:jc w:val="center"/>
            </w:pPr>
            <w:r w:rsidRPr="00F83895">
              <w:rPr>
                <w:color w:val="000000"/>
              </w:rPr>
              <w:t xml:space="preserve">EACE Interview protocol for DoD contractor providers </w:t>
            </w:r>
            <w:r>
              <w:rPr>
                <w:color w:val="000000"/>
              </w:rPr>
              <w:t>(interview)</w:t>
            </w:r>
          </w:p>
        </w:tc>
        <w:tc>
          <w:tcPr>
            <w:tcW w:w="2364" w:type="dxa"/>
            <w:shd w:val="clear" w:color="auto" w:fill="auto"/>
            <w:vAlign w:val="center"/>
          </w:tcPr>
          <w:p w14:paraId="1008F060" w14:textId="25F3EF71" w:rsidR="00936498" w:rsidRDefault="00F83895" w:rsidP="00767B35">
            <w:pPr>
              <w:pStyle w:val="NormalWeb"/>
              <w:spacing w:line="288" w:lineRule="atLeast"/>
              <w:jc w:val="center"/>
            </w:pPr>
            <w:r w:rsidRPr="00F83895">
              <w:rPr>
                <w:color w:val="000000"/>
              </w:rPr>
              <w:t>EACE Interview protocol for civilian rehabilitation providers</w:t>
            </w:r>
            <w:r>
              <w:rPr>
                <w:color w:val="000000"/>
              </w:rPr>
              <w:t xml:space="preserve"> (</w:t>
            </w:r>
            <w:r w:rsidRPr="00D30B87">
              <w:rPr>
                <w:color w:val="000000"/>
              </w:rPr>
              <w:t>Focus Group Guide)</w:t>
            </w:r>
          </w:p>
        </w:tc>
        <w:tc>
          <w:tcPr>
            <w:tcW w:w="1075" w:type="dxa"/>
            <w:shd w:val="clear" w:color="auto" w:fill="auto"/>
            <w:vAlign w:val="center"/>
          </w:tcPr>
          <w:p w14:paraId="41FA4F91" w14:textId="77777777" w:rsidR="00936498" w:rsidRDefault="00936498" w:rsidP="00767B35">
            <w:pPr>
              <w:pStyle w:val="NormalWeb"/>
              <w:spacing w:line="288" w:lineRule="atLeast"/>
              <w:jc w:val="center"/>
            </w:pPr>
            <w:r>
              <w:t>Total</w:t>
            </w:r>
          </w:p>
        </w:tc>
      </w:tr>
      <w:tr w:rsidR="00936498" w14:paraId="5E2D19C6" w14:textId="77777777" w:rsidTr="00E67C03">
        <w:tc>
          <w:tcPr>
            <w:tcW w:w="0" w:type="auto"/>
            <w:shd w:val="clear" w:color="auto" w:fill="auto"/>
            <w:vAlign w:val="center"/>
          </w:tcPr>
          <w:p w14:paraId="24411C17" w14:textId="77777777" w:rsidR="00936498" w:rsidRDefault="00936498" w:rsidP="00767B35">
            <w:pPr>
              <w:pStyle w:val="NormalWeb"/>
              <w:spacing w:line="288" w:lineRule="atLeast"/>
              <w:jc w:val="center"/>
            </w:pPr>
            <w:r>
              <w:t>Number of Responses</w:t>
            </w:r>
          </w:p>
        </w:tc>
        <w:tc>
          <w:tcPr>
            <w:tcW w:w="0" w:type="auto"/>
            <w:shd w:val="clear" w:color="auto" w:fill="auto"/>
            <w:vAlign w:val="center"/>
          </w:tcPr>
          <w:p w14:paraId="70DF744C" w14:textId="752562A1" w:rsidR="00936498" w:rsidRDefault="00F83895" w:rsidP="00767B35">
            <w:pPr>
              <w:pStyle w:val="NormalWeb"/>
              <w:spacing w:line="288" w:lineRule="atLeast"/>
              <w:jc w:val="center"/>
            </w:pPr>
            <w:r>
              <w:t>2</w:t>
            </w:r>
            <w:r w:rsidR="00E71EAC">
              <w:t>00</w:t>
            </w:r>
          </w:p>
        </w:tc>
        <w:tc>
          <w:tcPr>
            <w:tcW w:w="2364" w:type="dxa"/>
            <w:shd w:val="clear" w:color="auto" w:fill="auto"/>
            <w:vAlign w:val="center"/>
          </w:tcPr>
          <w:p w14:paraId="477D6E90" w14:textId="3645C2C9" w:rsidR="00936498" w:rsidRDefault="00F83895" w:rsidP="00767B35">
            <w:pPr>
              <w:pStyle w:val="NormalWeb"/>
              <w:spacing w:line="288" w:lineRule="atLeast"/>
              <w:jc w:val="center"/>
            </w:pPr>
            <w:r>
              <w:t>2</w:t>
            </w:r>
            <w:r w:rsidR="00E71EAC">
              <w:t>00</w:t>
            </w:r>
          </w:p>
        </w:tc>
        <w:tc>
          <w:tcPr>
            <w:tcW w:w="1075" w:type="dxa"/>
            <w:shd w:val="clear" w:color="auto" w:fill="auto"/>
            <w:vAlign w:val="center"/>
          </w:tcPr>
          <w:p w14:paraId="320753F8" w14:textId="67485811" w:rsidR="00936498" w:rsidRDefault="00E71EAC" w:rsidP="00767B35">
            <w:pPr>
              <w:pStyle w:val="NormalWeb"/>
              <w:spacing w:line="288" w:lineRule="atLeast"/>
              <w:jc w:val="center"/>
            </w:pPr>
            <w:r>
              <w:t>400</w:t>
            </w:r>
          </w:p>
        </w:tc>
      </w:tr>
      <w:tr w:rsidR="00936498" w14:paraId="561ED6FD" w14:textId="77777777" w:rsidTr="00E67C03">
        <w:tc>
          <w:tcPr>
            <w:tcW w:w="0" w:type="auto"/>
            <w:shd w:val="clear" w:color="auto" w:fill="auto"/>
            <w:vAlign w:val="center"/>
          </w:tcPr>
          <w:p w14:paraId="0342A21E" w14:textId="77777777" w:rsidR="00936498" w:rsidRDefault="00936498" w:rsidP="00767B35">
            <w:pPr>
              <w:pStyle w:val="NormalWeb"/>
              <w:spacing w:line="288" w:lineRule="atLeast"/>
              <w:jc w:val="center"/>
            </w:pPr>
            <w:r>
              <w:t>Processing Time Per Response (in hours)</w:t>
            </w:r>
          </w:p>
        </w:tc>
        <w:tc>
          <w:tcPr>
            <w:tcW w:w="0" w:type="auto"/>
            <w:shd w:val="clear" w:color="auto" w:fill="auto"/>
            <w:vAlign w:val="center"/>
          </w:tcPr>
          <w:p w14:paraId="2E51FC91" w14:textId="4B624DD3" w:rsidR="00936498" w:rsidRDefault="00145555" w:rsidP="00767B35">
            <w:pPr>
              <w:pStyle w:val="NormalWeb"/>
              <w:spacing w:line="288" w:lineRule="atLeast"/>
              <w:jc w:val="center"/>
            </w:pPr>
            <w:r>
              <w:t>3</w:t>
            </w:r>
          </w:p>
        </w:tc>
        <w:tc>
          <w:tcPr>
            <w:tcW w:w="2364" w:type="dxa"/>
            <w:shd w:val="clear" w:color="auto" w:fill="auto"/>
            <w:vAlign w:val="center"/>
          </w:tcPr>
          <w:p w14:paraId="1A530BD7" w14:textId="4A1900B4" w:rsidR="00936498" w:rsidRDefault="00145555" w:rsidP="00767B35">
            <w:pPr>
              <w:pStyle w:val="NormalWeb"/>
              <w:spacing w:line="288" w:lineRule="atLeast"/>
              <w:jc w:val="center"/>
            </w:pPr>
            <w:r>
              <w:t>3</w:t>
            </w:r>
          </w:p>
        </w:tc>
        <w:tc>
          <w:tcPr>
            <w:tcW w:w="1075" w:type="dxa"/>
            <w:shd w:val="clear" w:color="auto" w:fill="auto"/>
            <w:vAlign w:val="center"/>
          </w:tcPr>
          <w:p w14:paraId="7EF9F452" w14:textId="05AB42A9" w:rsidR="00936498" w:rsidRDefault="00145555" w:rsidP="00767B35">
            <w:pPr>
              <w:pStyle w:val="NormalWeb"/>
              <w:spacing w:line="288" w:lineRule="atLeast"/>
              <w:jc w:val="center"/>
            </w:pPr>
            <w:r>
              <w:t>3</w:t>
            </w:r>
          </w:p>
        </w:tc>
      </w:tr>
      <w:tr w:rsidR="00936498" w14:paraId="195368A9" w14:textId="77777777" w:rsidTr="00E67C03">
        <w:tc>
          <w:tcPr>
            <w:tcW w:w="0" w:type="auto"/>
            <w:shd w:val="clear" w:color="auto" w:fill="auto"/>
            <w:vAlign w:val="center"/>
          </w:tcPr>
          <w:p w14:paraId="782A82A5" w14:textId="77777777" w:rsidR="00936498" w:rsidRDefault="00936498" w:rsidP="00767B35">
            <w:pPr>
              <w:pStyle w:val="NormalWeb"/>
              <w:spacing w:line="288" w:lineRule="atLeast"/>
              <w:jc w:val="center"/>
            </w:pPr>
            <w:r>
              <w:t>Hourly Wage of Worker(s) Processing Responses</w:t>
            </w:r>
          </w:p>
        </w:tc>
        <w:tc>
          <w:tcPr>
            <w:tcW w:w="0" w:type="auto"/>
            <w:shd w:val="clear" w:color="auto" w:fill="auto"/>
            <w:vAlign w:val="center"/>
          </w:tcPr>
          <w:p w14:paraId="11E2F2E0" w14:textId="455365D9" w:rsidR="00936498" w:rsidRDefault="000234EA" w:rsidP="00767B35">
            <w:pPr>
              <w:pStyle w:val="NormalWeb"/>
              <w:spacing w:line="288" w:lineRule="atLeast"/>
              <w:jc w:val="center"/>
            </w:pPr>
            <w:r>
              <w:t>$</w:t>
            </w:r>
            <w:r w:rsidR="00145555">
              <w:t>50</w:t>
            </w:r>
          </w:p>
        </w:tc>
        <w:tc>
          <w:tcPr>
            <w:tcW w:w="2364" w:type="dxa"/>
            <w:shd w:val="clear" w:color="auto" w:fill="auto"/>
            <w:vAlign w:val="center"/>
          </w:tcPr>
          <w:p w14:paraId="4A8C2376" w14:textId="0D27A78C" w:rsidR="00936498" w:rsidRDefault="000234EA" w:rsidP="00767B35">
            <w:pPr>
              <w:pStyle w:val="NormalWeb"/>
              <w:spacing w:line="288" w:lineRule="atLeast"/>
              <w:jc w:val="center"/>
            </w:pPr>
            <w:r>
              <w:t>$</w:t>
            </w:r>
            <w:r w:rsidR="00145555">
              <w:t>50</w:t>
            </w:r>
          </w:p>
        </w:tc>
        <w:tc>
          <w:tcPr>
            <w:tcW w:w="1075" w:type="dxa"/>
            <w:shd w:val="clear" w:color="auto" w:fill="auto"/>
            <w:vAlign w:val="center"/>
          </w:tcPr>
          <w:p w14:paraId="7D394685" w14:textId="506ED412" w:rsidR="00936498" w:rsidRDefault="000234EA" w:rsidP="00767B35">
            <w:pPr>
              <w:pStyle w:val="NormalWeb"/>
              <w:spacing w:line="288" w:lineRule="atLeast"/>
              <w:jc w:val="center"/>
            </w:pPr>
            <w:r>
              <w:t>$</w:t>
            </w:r>
            <w:r w:rsidR="00145555">
              <w:t>50</w:t>
            </w:r>
          </w:p>
        </w:tc>
      </w:tr>
      <w:tr w:rsidR="00936498" w14:paraId="06377680" w14:textId="77777777" w:rsidTr="00E67C03">
        <w:tc>
          <w:tcPr>
            <w:tcW w:w="0" w:type="auto"/>
            <w:shd w:val="clear" w:color="auto" w:fill="auto"/>
            <w:vAlign w:val="center"/>
          </w:tcPr>
          <w:p w14:paraId="2FE2D71D" w14:textId="77777777" w:rsidR="00936498" w:rsidRDefault="00936498" w:rsidP="00767B35">
            <w:pPr>
              <w:pStyle w:val="NormalWeb"/>
              <w:spacing w:line="288" w:lineRule="atLeast"/>
              <w:jc w:val="center"/>
            </w:pPr>
            <w:r>
              <w:t>Cost to Process Each Response (Processing Time Per Response multiplied by Hourly Wage of Worker(s) Processing Responses)</w:t>
            </w:r>
          </w:p>
        </w:tc>
        <w:tc>
          <w:tcPr>
            <w:tcW w:w="0" w:type="auto"/>
            <w:shd w:val="clear" w:color="auto" w:fill="auto"/>
            <w:vAlign w:val="center"/>
          </w:tcPr>
          <w:p w14:paraId="2C634476" w14:textId="2B771451" w:rsidR="00936498" w:rsidRDefault="000234EA" w:rsidP="00767B35">
            <w:pPr>
              <w:pStyle w:val="NormalWeb"/>
              <w:spacing w:line="288" w:lineRule="atLeast"/>
              <w:jc w:val="center"/>
            </w:pPr>
            <w:r>
              <w:t>$</w:t>
            </w:r>
            <w:r w:rsidR="00145555">
              <w:t>150</w:t>
            </w:r>
          </w:p>
        </w:tc>
        <w:tc>
          <w:tcPr>
            <w:tcW w:w="2364" w:type="dxa"/>
            <w:shd w:val="clear" w:color="auto" w:fill="auto"/>
            <w:vAlign w:val="center"/>
          </w:tcPr>
          <w:p w14:paraId="77461CEF" w14:textId="67A702EA" w:rsidR="00936498" w:rsidRDefault="000234EA" w:rsidP="00767B35">
            <w:pPr>
              <w:pStyle w:val="NormalWeb"/>
              <w:spacing w:line="288" w:lineRule="atLeast"/>
              <w:jc w:val="center"/>
            </w:pPr>
            <w:r>
              <w:t>$</w:t>
            </w:r>
            <w:r w:rsidR="00145555">
              <w:t>150</w:t>
            </w:r>
          </w:p>
        </w:tc>
        <w:tc>
          <w:tcPr>
            <w:tcW w:w="1075" w:type="dxa"/>
            <w:shd w:val="clear" w:color="auto" w:fill="auto"/>
            <w:vAlign w:val="center"/>
          </w:tcPr>
          <w:p w14:paraId="57D0F442" w14:textId="46CAA129" w:rsidR="00936498" w:rsidRDefault="000234EA" w:rsidP="00767B35">
            <w:pPr>
              <w:pStyle w:val="NormalWeb"/>
              <w:spacing w:line="288" w:lineRule="atLeast"/>
              <w:jc w:val="center"/>
            </w:pPr>
            <w:r>
              <w:t>$</w:t>
            </w:r>
            <w:r w:rsidR="00145555">
              <w:t>150</w:t>
            </w:r>
          </w:p>
        </w:tc>
      </w:tr>
      <w:tr w:rsidR="00936498" w14:paraId="65C521AB" w14:textId="77777777" w:rsidTr="00E67C03">
        <w:tc>
          <w:tcPr>
            <w:tcW w:w="0" w:type="auto"/>
            <w:shd w:val="clear" w:color="auto" w:fill="auto"/>
            <w:vAlign w:val="center"/>
          </w:tcPr>
          <w:p w14:paraId="18C9BCE8" w14:textId="77777777" w:rsidR="00936498" w:rsidRDefault="00936498" w:rsidP="00767B35">
            <w:pPr>
              <w:pStyle w:val="NormalWeb"/>
              <w:spacing w:line="288" w:lineRule="atLeast"/>
              <w:jc w:val="center"/>
            </w:pPr>
            <w:r>
              <w:t>Total Cost to Process Responses (Cost to Process Each Response multiplied by Number of Responses</w:t>
            </w:r>
          </w:p>
        </w:tc>
        <w:tc>
          <w:tcPr>
            <w:tcW w:w="0" w:type="auto"/>
            <w:shd w:val="clear" w:color="auto" w:fill="auto"/>
            <w:vAlign w:val="center"/>
          </w:tcPr>
          <w:p w14:paraId="0E60D0CC" w14:textId="12534324" w:rsidR="00936498" w:rsidRDefault="000234EA" w:rsidP="00767B35">
            <w:pPr>
              <w:pStyle w:val="NormalWeb"/>
              <w:spacing w:line="288" w:lineRule="atLeast"/>
              <w:jc w:val="center"/>
            </w:pPr>
            <w:r>
              <w:t>$</w:t>
            </w:r>
            <w:r w:rsidR="00767B35">
              <w:t>30</w:t>
            </w:r>
            <w:r w:rsidR="00145555">
              <w:t>,000</w:t>
            </w:r>
          </w:p>
        </w:tc>
        <w:tc>
          <w:tcPr>
            <w:tcW w:w="2364" w:type="dxa"/>
            <w:shd w:val="clear" w:color="auto" w:fill="auto"/>
            <w:vAlign w:val="center"/>
          </w:tcPr>
          <w:p w14:paraId="3336E4A6" w14:textId="12732D8C" w:rsidR="00936498" w:rsidRDefault="000234EA" w:rsidP="00767B35">
            <w:pPr>
              <w:pStyle w:val="NormalWeb"/>
              <w:spacing w:line="288" w:lineRule="atLeast"/>
              <w:jc w:val="center"/>
            </w:pPr>
            <w:r>
              <w:t>$</w:t>
            </w:r>
            <w:r w:rsidR="00767B35">
              <w:t>30</w:t>
            </w:r>
            <w:r w:rsidR="00145555">
              <w:t>,000</w:t>
            </w:r>
          </w:p>
        </w:tc>
        <w:tc>
          <w:tcPr>
            <w:tcW w:w="1075" w:type="dxa"/>
            <w:shd w:val="clear" w:color="auto" w:fill="auto"/>
            <w:vAlign w:val="center"/>
          </w:tcPr>
          <w:p w14:paraId="5BEE732B" w14:textId="66958DF0" w:rsidR="00936498" w:rsidRDefault="000234EA" w:rsidP="00767B35">
            <w:pPr>
              <w:pStyle w:val="NormalWeb"/>
              <w:spacing w:line="288" w:lineRule="atLeast"/>
              <w:jc w:val="center"/>
            </w:pPr>
            <w:r>
              <w:t>$</w:t>
            </w:r>
            <w:r w:rsidR="00145555">
              <w:t>60,000</w:t>
            </w:r>
          </w:p>
        </w:tc>
      </w:tr>
    </w:tbl>
    <w:p w14:paraId="56A99049" w14:textId="77777777" w:rsidR="00936498" w:rsidRDefault="00936498" w:rsidP="00936498">
      <w:pPr>
        <w:pStyle w:val="NormalWeb"/>
        <w:spacing w:line="288" w:lineRule="atLeast"/>
      </w:pPr>
      <w:bookmarkStart w:id="18" w:name="cp4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260"/>
        <w:gridCol w:w="1253"/>
        <w:gridCol w:w="1313"/>
        <w:gridCol w:w="1310"/>
        <w:gridCol w:w="1196"/>
        <w:gridCol w:w="1184"/>
      </w:tblGrid>
      <w:tr w:rsidR="00936498" w14:paraId="26386111" w14:textId="77777777" w:rsidTr="008F2D60">
        <w:tc>
          <w:tcPr>
            <w:tcW w:w="9576" w:type="dxa"/>
            <w:gridSpan w:val="7"/>
            <w:shd w:val="clear" w:color="auto" w:fill="auto"/>
          </w:tcPr>
          <w:p w14:paraId="42112154" w14:textId="77777777" w:rsidR="00936498" w:rsidRDefault="00936498" w:rsidP="008F2D60">
            <w:pPr>
              <w:pStyle w:val="NormalWeb"/>
              <w:spacing w:line="288" w:lineRule="atLeast"/>
              <w:jc w:val="center"/>
            </w:pPr>
            <w:r>
              <w:t>Operational and Maintenance Costs</w:t>
            </w:r>
          </w:p>
        </w:tc>
      </w:tr>
      <w:tr w:rsidR="00936498" w14:paraId="05386C04" w14:textId="77777777" w:rsidTr="00767B35">
        <w:tc>
          <w:tcPr>
            <w:tcW w:w="1368" w:type="dxa"/>
            <w:shd w:val="clear" w:color="auto" w:fill="auto"/>
            <w:vAlign w:val="center"/>
          </w:tcPr>
          <w:p w14:paraId="5BF0A2F0" w14:textId="77777777" w:rsidR="00936498" w:rsidRDefault="00936498" w:rsidP="00767B35">
            <w:pPr>
              <w:pStyle w:val="NormalWeb"/>
              <w:spacing w:line="288" w:lineRule="atLeast"/>
              <w:jc w:val="center"/>
            </w:pPr>
            <w:r>
              <w:t>Equipment</w:t>
            </w:r>
          </w:p>
        </w:tc>
        <w:tc>
          <w:tcPr>
            <w:tcW w:w="1368" w:type="dxa"/>
            <w:shd w:val="clear" w:color="auto" w:fill="auto"/>
            <w:vAlign w:val="center"/>
          </w:tcPr>
          <w:p w14:paraId="39A7C241" w14:textId="77777777" w:rsidR="00936498" w:rsidRDefault="00936498" w:rsidP="00767B35">
            <w:pPr>
              <w:pStyle w:val="NormalWeb"/>
              <w:spacing w:line="288" w:lineRule="atLeast"/>
              <w:jc w:val="center"/>
            </w:pPr>
            <w:r>
              <w:t>Printing</w:t>
            </w:r>
          </w:p>
        </w:tc>
        <w:tc>
          <w:tcPr>
            <w:tcW w:w="1368" w:type="dxa"/>
            <w:shd w:val="clear" w:color="auto" w:fill="auto"/>
            <w:vAlign w:val="center"/>
          </w:tcPr>
          <w:p w14:paraId="73D4151F" w14:textId="77777777" w:rsidR="00936498" w:rsidRDefault="00936498" w:rsidP="00767B35">
            <w:pPr>
              <w:pStyle w:val="NormalWeb"/>
              <w:spacing w:line="288" w:lineRule="atLeast"/>
              <w:jc w:val="center"/>
            </w:pPr>
            <w:r>
              <w:t>Postage</w:t>
            </w:r>
          </w:p>
        </w:tc>
        <w:tc>
          <w:tcPr>
            <w:tcW w:w="1368" w:type="dxa"/>
            <w:shd w:val="clear" w:color="auto" w:fill="auto"/>
            <w:vAlign w:val="center"/>
          </w:tcPr>
          <w:p w14:paraId="2A3B3A7A" w14:textId="77777777" w:rsidR="00936498" w:rsidRDefault="00936498" w:rsidP="00767B35">
            <w:pPr>
              <w:pStyle w:val="NormalWeb"/>
              <w:spacing w:line="288" w:lineRule="atLeast"/>
              <w:jc w:val="center"/>
            </w:pPr>
            <w:r>
              <w:t>Software Purchases</w:t>
            </w:r>
          </w:p>
        </w:tc>
        <w:tc>
          <w:tcPr>
            <w:tcW w:w="1368" w:type="dxa"/>
            <w:shd w:val="clear" w:color="auto" w:fill="auto"/>
            <w:vAlign w:val="center"/>
          </w:tcPr>
          <w:p w14:paraId="3D3F29AB" w14:textId="77777777" w:rsidR="00936498" w:rsidRDefault="00936498" w:rsidP="00767B35">
            <w:pPr>
              <w:pStyle w:val="NormalWeb"/>
              <w:spacing w:line="288" w:lineRule="atLeast"/>
              <w:jc w:val="center"/>
            </w:pPr>
            <w:r>
              <w:t>Licensing Costs</w:t>
            </w:r>
          </w:p>
        </w:tc>
        <w:tc>
          <w:tcPr>
            <w:tcW w:w="1368" w:type="dxa"/>
            <w:shd w:val="clear" w:color="auto" w:fill="auto"/>
            <w:vAlign w:val="center"/>
          </w:tcPr>
          <w:p w14:paraId="3B2E6CAC" w14:textId="77777777" w:rsidR="00936498" w:rsidRDefault="00936498" w:rsidP="00767B35">
            <w:pPr>
              <w:pStyle w:val="NormalWeb"/>
              <w:spacing w:line="288" w:lineRule="atLeast"/>
              <w:jc w:val="center"/>
            </w:pPr>
            <w:r>
              <w:t>Other</w:t>
            </w:r>
          </w:p>
        </w:tc>
        <w:tc>
          <w:tcPr>
            <w:tcW w:w="1368" w:type="dxa"/>
            <w:shd w:val="clear" w:color="auto" w:fill="auto"/>
            <w:vAlign w:val="center"/>
          </w:tcPr>
          <w:p w14:paraId="7F0BDD5E" w14:textId="77777777" w:rsidR="00936498" w:rsidRDefault="00936498" w:rsidP="00767B35">
            <w:pPr>
              <w:pStyle w:val="NormalWeb"/>
              <w:spacing w:line="288" w:lineRule="atLeast"/>
              <w:jc w:val="center"/>
            </w:pPr>
            <w:r>
              <w:t>Total</w:t>
            </w:r>
          </w:p>
        </w:tc>
      </w:tr>
      <w:tr w:rsidR="00936498" w14:paraId="56D6C9E6" w14:textId="77777777" w:rsidTr="00767B35">
        <w:trPr>
          <w:trHeight w:val="674"/>
        </w:trPr>
        <w:tc>
          <w:tcPr>
            <w:tcW w:w="1368" w:type="dxa"/>
            <w:shd w:val="clear" w:color="auto" w:fill="auto"/>
            <w:vAlign w:val="center"/>
          </w:tcPr>
          <w:p w14:paraId="60949B82" w14:textId="65C3FB83" w:rsidR="00936498" w:rsidRDefault="00891AFE" w:rsidP="00767B35">
            <w:pPr>
              <w:pStyle w:val="NormalWeb"/>
              <w:spacing w:line="288" w:lineRule="atLeast"/>
              <w:jc w:val="center"/>
            </w:pPr>
            <w:r>
              <w:t>$</w:t>
            </w:r>
            <w:r w:rsidR="00145555">
              <w:t>150</w:t>
            </w:r>
          </w:p>
        </w:tc>
        <w:tc>
          <w:tcPr>
            <w:tcW w:w="1368" w:type="dxa"/>
            <w:shd w:val="clear" w:color="auto" w:fill="auto"/>
            <w:vAlign w:val="center"/>
          </w:tcPr>
          <w:p w14:paraId="401EC40F" w14:textId="7AFE5687" w:rsidR="00936498" w:rsidRDefault="00891AFE" w:rsidP="00767B35">
            <w:pPr>
              <w:pStyle w:val="NormalWeb"/>
              <w:spacing w:line="288" w:lineRule="atLeast"/>
              <w:jc w:val="center"/>
            </w:pPr>
            <w:r>
              <w:t>$</w:t>
            </w:r>
            <w:r w:rsidR="00145555">
              <w:t>50</w:t>
            </w:r>
          </w:p>
        </w:tc>
        <w:tc>
          <w:tcPr>
            <w:tcW w:w="1368" w:type="dxa"/>
            <w:shd w:val="clear" w:color="auto" w:fill="auto"/>
            <w:vAlign w:val="center"/>
          </w:tcPr>
          <w:p w14:paraId="77545A9F" w14:textId="1B424F66" w:rsidR="00936498" w:rsidRDefault="00891AFE" w:rsidP="00767B35">
            <w:pPr>
              <w:pStyle w:val="NormalWeb"/>
              <w:spacing w:line="288" w:lineRule="atLeast"/>
              <w:jc w:val="center"/>
            </w:pPr>
            <w:r>
              <w:t>$0</w:t>
            </w:r>
          </w:p>
        </w:tc>
        <w:tc>
          <w:tcPr>
            <w:tcW w:w="1368" w:type="dxa"/>
            <w:shd w:val="clear" w:color="auto" w:fill="auto"/>
            <w:vAlign w:val="center"/>
          </w:tcPr>
          <w:p w14:paraId="7A258A88" w14:textId="0A4A7700" w:rsidR="00936498" w:rsidRDefault="00891AFE" w:rsidP="00767B35">
            <w:pPr>
              <w:pStyle w:val="NormalWeb"/>
              <w:spacing w:line="288" w:lineRule="atLeast"/>
              <w:jc w:val="center"/>
            </w:pPr>
            <w:r>
              <w:t>$</w:t>
            </w:r>
            <w:r w:rsidR="00145555">
              <w:t>100</w:t>
            </w:r>
          </w:p>
        </w:tc>
        <w:tc>
          <w:tcPr>
            <w:tcW w:w="1368" w:type="dxa"/>
            <w:shd w:val="clear" w:color="auto" w:fill="auto"/>
            <w:vAlign w:val="center"/>
          </w:tcPr>
          <w:p w14:paraId="0D407E84" w14:textId="59A4500B" w:rsidR="00936498" w:rsidRDefault="00891AFE" w:rsidP="00767B35">
            <w:pPr>
              <w:pStyle w:val="NormalWeb"/>
              <w:spacing w:line="288" w:lineRule="atLeast"/>
              <w:jc w:val="center"/>
            </w:pPr>
            <w:r>
              <w:t>$</w:t>
            </w:r>
            <w:r w:rsidR="00145555">
              <w:t>0</w:t>
            </w:r>
          </w:p>
        </w:tc>
        <w:tc>
          <w:tcPr>
            <w:tcW w:w="1368" w:type="dxa"/>
            <w:shd w:val="clear" w:color="auto" w:fill="auto"/>
            <w:vAlign w:val="center"/>
          </w:tcPr>
          <w:p w14:paraId="7E425236" w14:textId="249F0690" w:rsidR="00936498" w:rsidRDefault="00891AFE" w:rsidP="00767B35">
            <w:pPr>
              <w:pStyle w:val="NormalWeb"/>
              <w:spacing w:line="288" w:lineRule="atLeast"/>
              <w:jc w:val="center"/>
            </w:pPr>
            <w:r>
              <w:t>$0</w:t>
            </w:r>
          </w:p>
        </w:tc>
        <w:tc>
          <w:tcPr>
            <w:tcW w:w="1368" w:type="dxa"/>
            <w:shd w:val="clear" w:color="auto" w:fill="auto"/>
            <w:vAlign w:val="center"/>
          </w:tcPr>
          <w:p w14:paraId="5158CDAA" w14:textId="1F437C25" w:rsidR="00936498" w:rsidRDefault="00891AFE" w:rsidP="00767B35">
            <w:pPr>
              <w:pStyle w:val="NormalWeb"/>
              <w:spacing w:line="288" w:lineRule="atLeast"/>
              <w:jc w:val="center"/>
            </w:pPr>
            <w:r>
              <w:t>$</w:t>
            </w:r>
            <w:r w:rsidR="00145555">
              <w:t>30</w:t>
            </w:r>
            <w:r>
              <w:t>0</w:t>
            </w:r>
          </w:p>
        </w:tc>
      </w:tr>
    </w:tbl>
    <w:p w14:paraId="3AC841F1" w14:textId="77777777" w:rsidR="00936498" w:rsidRDefault="00936498" w:rsidP="00936498">
      <w:pPr>
        <w:pStyle w:val="NormalWeb"/>
        <w:spacing w:line="288"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2968"/>
        <w:gridCol w:w="2915"/>
      </w:tblGrid>
      <w:tr w:rsidR="00936498" w14:paraId="3B049D53" w14:textId="77777777" w:rsidTr="008F2D60">
        <w:tc>
          <w:tcPr>
            <w:tcW w:w="9576" w:type="dxa"/>
            <w:gridSpan w:val="3"/>
            <w:shd w:val="clear" w:color="auto" w:fill="auto"/>
          </w:tcPr>
          <w:p w14:paraId="2F967B4A" w14:textId="77777777" w:rsidR="00936498" w:rsidRDefault="00936498" w:rsidP="008F2D60">
            <w:pPr>
              <w:pStyle w:val="NormalWeb"/>
              <w:spacing w:line="288" w:lineRule="atLeast"/>
              <w:jc w:val="center"/>
            </w:pPr>
            <w:r>
              <w:t>Total Cost to the Federal Government</w:t>
            </w:r>
          </w:p>
        </w:tc>
      </w:tr>
      <w:tr w:rsidR="00936498" w14:paraId="02E337EE" w14:textId="77777777" w:rsidTr="00767B35">
        <w:tc>
          <w:tcPr>
            <w:tcW w:w="3192" w:type="dxa"/>
            <w:shd w:val="clear" w:color="auto" w:fill="auto"/>
            <w:vAlign w:val="center"/>
          </w:tcPr>
          <w:p w14:paraId="3B145205" w14:textId="77777777" w:rsidR="00936498" w:rsidRDefault="00936498" w:rsidP="00767B35">
            <w:pPr>
              <w:pStyle w:val="NormalWeb"/>
              <w:spacing w:line="288" w:lineRule="atLeast"/>
              <w:jc w:val="center"/>
            </w:pPr>
            <w:r>
              <w:t>Operational and Maintenance Costs</w:t>
            </w:r>
          </w:p>
        </w:tc>
        <w:tc>
          <w:tcPr>
            <w:tcW w:w="3192" w:type="dxa"/>
            <w:shd w:val="clear" w:color="auto" w:fill="auto"/>
            <w:vAlign w:val="center"/>
          </w:tcPr>
          <w:p w14:paraId="159B4DA1" w14:textId="77777777" w:rsidR="00936498" w:rsidRDefault="00936498" w:rsidP="00767B35">
            <w:pPr>
              <w:pStyle w:val="NormalWeb"/>
              <w:spacing w:line="288" w:lineRule="atLeast"/>
              <w:jc w:val="center"/>
            </w:pPr>
            <w:r>
              <w:t>Labor Cost to the Federal Government</w:t>
            </w:r>
          </w:p>
        </w:tc>
        <w:tc>
          <w:tcPr>
            <w:tcW w:w="3192" w:type="dxa"/>
            <w:shd w:val="clear" w:color="auto" w:fill="auto"/>
            <w:vAlign w:val="center"/>
          </w:tcPr>
          <w:p w14:paraId="01FDDBBB" w14:textId="77777777" w:rsidR="00936498" w:rsidRDefault="00936498" w:rsidP="00767B35">
            <w:pPr>
              <w:pStyle w:val="NormalWeb"/>
              <w:spacing w:line="288" w:lineRule="atLeast"/>
              <w:jc w:val="center"/>
            </w:pPr>
            <w:r>
              <w:t>Total Cost (O&amp;M Costs + Labor Cost)</w:t>
            </w:r>
          </w:p>
        </w:tc>
      </w:tr>
      <w:tr w:rsidR="00936498" w14:paraId="0CF7A216" w14:textId="77777777" w:rsidTr="00767B35">
        <w:tc>
          <w:tcPr>
            <w:tcW w:w="3192" w:type="dxa"/>
            <w:shd w:val="clear" w:color="auto" w:fill="auto"/>
            <w:vAlign w:val="center"/>
          </w:tcPr>
          <w:p w14:paraId="61E55245" w14:textId="1C981AAF" w:rsidR="00936498" w:rsidRDefault="00891AFE" w:rsidP="00767B35">
            <w:pPr>
              <w:pStyle w:val="NormalWeb"/>
              <w:spacing w:line="288" w:lineRule="atLeast"/>
              <w:jc w:val="center"/>
            </w:pPr>
            <w:r>
              <w:t>$</w:t>
            </w:r>
            <w:r w:rsidR="00287EEE">
              <w:t>300</w:t>
            </w:r>
          </w:p>
        </w:tc>
        <w:tc>
          <w:tcPr>
            <w:tcW w:w="3192" w:type="dxa"/>
            <w:shd w:val="clear" w:color="auto" w:fill="auto"/>
            <w:vAlign w:val="center"/>
          </w:tcPr>
          <w:p w14:paraId="3592035E" w14:textId="0C6C6273" w:rsidR="00936498" w:rsidRDefault="000234EA" w:rsidP="00767B35">
            <w:pPr>
              <w:pStyle w:val="NormalWeb"/>
              <w:spacing w:line="288" w:lineRule="atLeast"/>
              <w:jc w:val="center"/>
            </w:pPr>
            <w:r>
              <w:t>$</w:t>
            </w:r>
            <w:r w:rsidR="00287EEE">
              <w:t>60,000</w:t>
            </w:r>
          </w:p>
        </w:tc>
        <w:tc>
          <w:tcPr>
            <w:tcW w:w="3192" w:type="dxa"/>
            <w:shd w:val="clear" w:color="auto" w:fill="auto"/>
            <w:vAlign w:val="center"/>
          </w:tcPr>
          <w:p w14:paraId="3D980B55" w14:textId="47D54BF4" w:rsidR="00936498" w:rsidRDefault="000234EA" w:rsidP="00767B35">
            <w:pPr>
              <w:pStyle w:val="NormalWeb"/>
              <w:spacing w:line="288" w:lineRule="atLeast"/>
              <w:jc w:val="center"/>
            </w:pPr>
            <w:r>
              <w:t>$</w:t>
            </w:r>
            <w:r w:rsidR="00287EEE">
              <w:t>60,300</w:t>
            </w:r>
          </w:p>
        </w:tc>
      </w:tr>
      <w:bookmarkEnd w:id="18"/>
    </w:tbl>
    <w:p w14:paraId="5CCF9BEB" w14:textId="77777777" w:rsidR="00287EEE" w:rsidRDefault="00287EEE" w:rsidP="00A67DE5">
      <w:pPr>
        <w:pStyle w:val="Heading2"/>
        <w:rPr>
          <w:rFonts w:ascii="Times New Roman" w:hAnsi="Times New Roman"/>
          <w:szCs w:val="24"/>
        </w:rPr>
      </w:pPr>
    </w:p>
    <w:p w14:paraId="0668A257" w14:textId="12A39367" w:rsidR="00A67DE5" w:rsidRPr="00D30B87" w:rsidRDefault="00A67DE5" w:rsidP="00A67DE5">
      <w:pPr>
        <w:pStyle w:val="Heading2"/>
        <w:rPr>
          <w:rFonts w:ascii="Times New Roman" w:hAnsi="Times New Roman"/>
          <w:szCs w:val="24"/>
        </w:rPr>
      </w:pPr>
      <w:r w:rsidRPr="00D30B87">
        <w:rPr>
          <w:rFonts w:ascii="Times New Roman" w:hAnsi="Times New Roman"/>
          <w:szCs w:val="24"/>
        </w:rPr>
        <w:t>15.</w:t>
      </w:r>
      <w:bookmarkEnd w:id="17"/>
      <w:r w:rsidR="00DE01C2" w:rsidRPr="00D30B87">
        <w:rPr>
          <w:rFonts w:ascii="Times New Roman" w:hAnsi="Times New Roman"/>
          <w:szCs w:val="24"/>
        </w:rPr>
        <w:t xml:space="preserve">  </w:t>
      </w:r>
      <w:r w:rsidR="00EB71F2" w:rsidRPr="00D30B87">
        <w:rPr>
          <w:rFonts w:ascii="Times New Roman" w:hAnsi="Times New Roman"/>
          <w:szCs w:val="24"/>
          <w:u w:val="single"/>
        </w:rPr>
        <w:t>Reasons for Change in Burden</w:t>
      </w:r>
    </w:p>
    <w:p w14:paraId="77288C70" w14:textId="77777777" w:rsidR="00A67DE5" w:rsidRPr="00D30B87" w:rsidRDefault="00A67DE5" w:rsidP="00A67DE5"/>
    <w:p w14:paraId="72CB9A63" w14:textId="52713666" w:rsidR="00CE5AAB" w:rsidRPr="00D30B87" w:rsidRDefault="002E6B67" w:rsidP="00A67DE5">
      <w:pPr>
        <w:tabs>
          <w:tab w:val="left" w:pos="540"/>
        </w:tabs>
      </w:pPr>
      <w:r w:rsidRPr="00D30B87">
        <w:t>This is a new collection with a new associated burden.</w:t>
      </w:r>
      <w:r w:rsidR="00C356E2">
        <w:t xml:space="preserve"> </w:t>
      </w:r>
    </w:p>
    <w:p w14:paraId="0DFB1A39" w14:textId="77777777" w:rsidR="00A67DE5" w:rsidRPr="00D30B87" w:rsidRDefault="00A67DE5" w:rsidP="00A67DE5">
      <w:pPr>
        <w:tabs>
          <w:tab w:val="left" w:pos="540"/>
        </w:tabs>
      </w:pPr>
    </w:p>
    <w:p w14:paraId="7529A371" w14:textId="0003C7DC" w:rsidR="00A67DE5" w:rsidRPr="00D30B87" w:rsidRDefault="00DE01C2" w:rsidP="00A67DE5">
      <w:pPr>
        <w:pStyle w:val="Heading2"/>
        <w:rPr>
          <w:rFonts w:ascii="Times New Roman" w:hAnsi="Times New Roman"/>
          <w:szCs w:val="24"/>
        </w:rPr>
      </w:pPr>
      <w:bookmarkStart w:id="19" w:name="_Toc318450650"/>
      <w:r w:rsidRPr="00D30B87">
        <w:rPr>
          <w:rFonts w:ascii="Times New Roman" w:hAnsi="Times New Roman"/>
          <w:szCs w:val="24"/>
        </w:rPr>
        <w:t xml:space="preserve">16.  </w:t>
      </w:r>
      <w:r w:rsidR="00A67DE5" w:rsidRPr="00D30B87">
        <w:rPr>
          <w:rFonts w:ascii="Times New Roman" w:hAnsi="Times New Roman"/>
          <w:szCs w:val="24"/>
          <w:u w:val="single"/>
        </w:rPr>
        <w:t>Publication of Results</w:t>
      </w:r>
      <w:bookmarkEnd w:id="19"/>
    </w:p>
    <w:p w14:paraId="597022BB" w14:textId="77777777" w:rsidR="00A67DE5" w:rsidRPr="00D30B87" w:rsidRDefault="00A67DE5" w:rsidP="00A67DE5">
      <w:pPr>
        <w:tabs>
          <w:tab w:val="left" w:pos="540"/>
        </w:tabs>
      </w:pPr>
    </w:p>
    <w:p w14:paraId="6E0B5CCF" w14:textId="77777777" w:rsidR="009B441B" w:rsidRDefault="00203504" w:rsidP="003E6DAC">
      <w:r w:rsidRPr="00D30B87">
        <w:t xml:space="preserve">  </w:t>
      </w:r>
      <w:r w:rsidR="00226A5E" w:rsidRPr="00D30B87">
        <w:t xml:space="preserve">The results </w:t>
      </w:r>
      <w:r w:rsidR="003E6DAC" w:rsidRPr="00D30B87">
        <w:t xml:space="preserve">will </w:t>
      </w:r>
      <w:r w:rsidR="00226A5E" w:rsidRPr="00D30B87">
        <w:t xml:space="preserve">be </w:t>
      </w:r>
      <w:r w:rsidR="003E6DAC" w:rsidRPr="00D30B87">
        <w:t>publish</w:t>
      </w:r>
      <w:r w:rsidR="001A33F6" w:rsidRPr="00D30B87">
        <w:t>ed</w:t>
      </w:r>
      <w:r w:rsidR="003E6DAC" w:rsidRPr="00D30B87">
        <w:t xml:space="preserve"> in the form of a RAND report.  </w:t>
      </w:r>
      <w:r w:rsidR="00C2195A" w:rsidRPr="00D30B87">
        <w:t>The project</w:t>
      </w:r>
      <w:r w:rsidR="003E6DAC" w:rsidRPr="00D30B87">
        <w:t xml:space="preserve"> was initiated in September 2015</w:t>
      </w:r>
      <w:r w:rsidR="00C2195A" w:rsidRPr="00D30B87">
        <w:t xml:space="preserve">. If the </w:t>
      </w:r>
      <w:r w:rsidR="003E6DAC" w:rsidRPr="00D30B87">
        <w:t xml:space="preserve">interviews and focus groups are </w:t>
      </w:r>
      <w:r w:rsidR="00226A5E" w:rsidRPr="00D30B87">
        <w:t xml:space="preserve">administered no-later-than June – August, </w:t>
      </w:r>
      <w:r w:rsidR="002E6B67" w:rsidRPr="00D30B87">
        <w:t>2017</w:t>
      </w:r>
      <w:r w:rsidR="00C2195A" w:rsidRPr="00D30B87">
        <w:t>,</w:t>
      </w:r>
      <w:r w:rsidR="00226A5E" w:rsidRPr="00D30B87">
        <w:t xml:space="preserve"> this</w:t>
      </w:r>
      <w:r w:rsidR="00C2195A" w:rsidRPr="00D30B87">
        <w:t xml:space="preserve"> report</w:t>
      </w:r>
      <w:r w:rsidR="00226A5E" w:rsidRPr="00D30B87">
        <w:t xml:space="preserve"> will</w:t>
      </w:r>
      <w:r w:rsidR="003E6DAC" w:rsidRPr="00D30B87">
        <w:t xml:space="preserve"> be complete</w:t>
      </w:r>
      <w:r w:rsidR="00226A5E" w:rsidRPr="00D30B87">
        <w:t>d by</w:t>
      </w:r>
      <w:r w:rsidR="002E6B67" w:rsidRPr="00D30B87">
        <w:t xml:space="preserve"> September 2018</w:t>
      </w:r>
      <w:r w:rsidR="00C2195A" w:rsidRPr="00D30B87">
        <w:t>.</w:t>
      </w:r>
      <w:r w:rsidR="002B76EE" w:rsidRPr="00D30B87">
        <w:t xml:space="preserve"> </w:t>
      </w:r>
      <w:r w:rsidR="009B441B" w:rsidRPr="009B441B">
        <w:t xml:space="preserve"> </w:t>
      </w:r>
    </w:p>
    <w:p w14:paraId="6EEEE256" w14:textId="77777777" w:rsidR="009B441B" w:rsidRDefault="009B441B" w:rsidP="003E6DAC"/>
    <w:p w14:paraId="4BAE59B1" w14:textId="26BE72E0" w:rsidR="00C2195A" w:rsidRPr="00D30B87" w:rsidRDefault="009B441B" w:rsidP="003E6DAC">
      <w:r>
        <w:t xml:space="preserve">The report will be publicly available and will contain recommendations based on our findings. </w:t>
      </w:r>
      <w:r w:rsidRPr="009B441B">
        <w:t>We will qualitatively analyze the information from interviews and focus groups.  This analysis will consist of creating a codebook that differentiates knowledge, skills, abilities, other attributes (collectively referred to as KSAOs) and phases of care when each KSAO is needed.  We will examine codes within provider type to look for naturally occurring clusters of KSAOs that can comprise a competency and then we will look for similarities/differences across provider types to identify core competencies for all providers.  We have a qualitative analysis lead on our team who has developed this plan and has executed similar qualitative analysis plans in prior projects. We will only report competencies for providers if we have interviewed at least 5 individuals from a specific provider type and we will only present results in the aggregate to ensure confidentiality (i.e., results will be presented by provider type, not by individual interviewee).</w:t>
      </w:r>
    </w:p>
    <w:p w14:paraId="5868E88D" w14:textId="77777777" w:rsidR="00C2195A" w:rsidRPr="00D30B87" w:rsidRDefault="00C2195A" w:rsidP="00A67DE5">
      <w:pPr>
        <w:tabs>
          <w:tab w:val="left" w:pos="540"/>
        </w:tabs>
      </w:pPr>
    </w:p>
    <w:p w14:paraId="23D0D10B" w14:textId="47C52B98" w:rsidR="00A67DE5" w:rsidRPr="00D30B87" w:rsidRDefault="00A67DE5" w:rsidP="00A67DE5">
      <w:pPr>
        <w:pStyle w:val="Heading2"/>
        <w:rPr>
          <w:rFonts w:ascii="Times New Roman" w:hAnsi="Times New Roman"/>
          <w:szCs w:val="24"/>
          <w:u w:val="single"/>
        </w:rPr>
      </w:pPr>
      <w:bookmarkStart w:id="20" w:name="_Toc318450651"/>
      <w:r w:rsidRPr="00D30B87">
        <w:rPr>
          <w:rFonts w:ascii="Times New Roman" w:hAnsi="Times New Roman"/>
          <w:szCs w:val="24"/>
        </w:rPr>
        <w:t>17.</w:t>
      </w:r>
      <w:r w:rsidR="00DE01C2" w:rsidRPr="00D30B87">
        <w:rPr>
          <w:rFonts w:ascii="Times New Roman" w:hAnsi="Times New Roman"/>
          <w:szCs w:val="24"/>
        </w:rPr>
        <w:t xml:space="preserve">  </w:t>
      </w:r>
      <w:r w:rsidR="00EB71F2" w:rsidRPr="00D30B87">
        <w:rPr>
          <w:rFonts w:ascii="Times New Roman" w:hAnsi="Times New Roman"/>
          <w:szCs w:val="24"/>
          <w:u w:val="single"/>
        </w:rPr>
        <w:t>Non-</w:t>
      </w:r>
      <w:r w:rsidRPr="00D30B87">
        <w:rPr>
          <w:rFonts w:ascii="Times New Roman" w:hAnsi="Times New Roman"/>
          <w:szCs w:val="24"/>
          <w:u w:val="single"/>
        </w:rPr>
        <w:t>Display of OMB Expiration Date</w:t>
      </w:r>
      <w:bookmarkEnd w:id="20"/>
    </w:p>
    <w:p w14:paraId="1CF0566F" w14:textId="77777777" w:rsidR="00A67DE5" w:rsidRPr="00D30B87" w:rsidRDefault="00A67DE5" w:rsidP="00A67DE5">
      <w:pPr>
        <w:tabs>
          <w:tab w:val="left" w:pos="540"/>
        </w:tabs>
      </w:pPr>
    </w:p>
    <w:p w14:paraId="24605197" w14:textId="6C2D894D" w:rsidR="00A67DE5" w:rsidRPr="00D30B87" w:rsidRDefault="002E6B67" w:rsidP="00A67DE5">
      <w:pPr>
        <w:tabs>
          <w:tab w:val="left" w:pos="540"/>
        </w:tabs>
      </w:pPr>
      <w:r w:rsidRPr="00D30B87">
        <w:t>We are not seeking approval to omit the display of the expiration date of the OMB approval on the collection instrument.</w:t>
      </w:r>
    </w:p>
    <w:p w14:paraId="463520FE" w14:textId="77777777" w:rsidR="00203504" w:rsidRPr="00D30B87" w:rsidRDefault="00203504" w:rsidP="002E6B67">
      <w:pPr>
        <w:pStyle w:val="Heading2"/>
        <w:ind w:left="0" w:firstLine="0"/>
        <w:rPr>
          <w:rFonts w:ascii="Times New Roman" w:hAnsi="Times New Roman"/>
          <w:szCs w:val="24"/>
        </w:rPr>
      </w:pPr>
      <w:bookmarkStart w:id="21" w:name="_Toc318450652"/>
    </w:p>
    <w:p w14:paraId="7F3F91D4" w14:textId="77777777" w:rsidR="00203504" w:rsidRPr="00D30B87" w:rsidRDefault="00203504" w:rsidP="00A67DE5">
      <w:pPr>
        <w:pStyle w:val="Heading2"/>
        <w:rPr>
          <w:rFonts w:ascii="Times New Roman" w:hAnsi="Times New Roman"/>
          <w:szCs w:val="24"/>
        </w:rPr>
      </w:pPr>
    </w:p>
    <w:p w14:paraId="544BB814" w14:textId="5FFB493A" w:rsidR="00A67DE5" w:rsidRPr="00D30B87" w:rsidRDefault="00203504" w:rsidP="00A67DE5">
      <w:pPr>
        <w:pStyle w:val="Heading2"/>
        <w:rPr>
          <w:rFonts w:ascii="Times New Roman" w:hAnsi="Times New Roman"/>
          <w:szCs w:val="24"/>
          <w:u w:val="single"/>
        </w:rPr>
      </w:pPr>
      <w:r w:rsidRPr="00D30B87">
        <w:rPr>
          <w:rFonts w:ascii="Times New Roman" w:hAnsi="Times New Roman"/>
          <w:szCs w:val="24"/>
        </w:rPr>
        <w:t xml:space="preserve">18.  </w:t>
      </w:r>
      <w:r w:rsidR="00A67DE5" w:rsidRPr="00D30B87">
        <w:rPr>
          <w:rFonts w:ascii="Times New Roman" w:hAnsi="Times New Roman"/>
          <w:szCs w:val="24"/>
          <w:u w:val="single"/>
        </w:rPr>
        <w:t xml:space="preserve">Exceptions to </w:t>
      </w:r>
      <w:r w:rsidR="00EB71F2" w:rsidRPr="00D30B87">
        <w:rPr>
          <w:rFonts w:ascii="Times New Roman" w:hAnsi="Times New Roman"/>
          <w:szCs w:val="24"/>
          <w:u w:val="single"/>
        </w:rPr>
        <w:t>“</w:t>
      </w:r>
      <w:r w:rsidR="00A67DE5" w:rsidRPr="00D30B87">
        <w:rPr>
          <w:rFonts w:ascii="Times New Roman" w:hAnsi="Times New Roman"/>
          <w:szCs w:val="24"/>
          <w:u w:val="single"/>
        </w:rPr>
        <w:t xml:space="preserve">Certification </w:t>
      </w:r>
      <w:r w:rsidR="00EB71F2" w:rsidRPr="00D30B87">
        <w:rPr>
          <w:rFonts w:ascii="Times New Roman" w:hAnsi="Times New Roman"/>
          <w:szCs w:val="24"/>
          <w:u w:val="single"/>
        </w:rPr>
        <w:t>for Paperwork Reduction Submissions”</w:t>
      </w:r>
      <w:bookmarkEnd w:id="21"/>
    </w:p>
    <w:p w14:paraId="77E1BA18" w14:textId="77777777" w:rsidR="00A67DE5" w:rsidRPr="00D30B87" w:rsidRDefault="00A67DE5" w:rsidP="00A67DE5">
      <w:pPr>
        <w:tabs>
          <w:tab w:val="left" w:pos="540"/>
        </w:tabs>
        <w:rPr>
          <w:u w:val="single"/>
        </w:rPr>
      </w:pPr>
    </w:p>
    <w:p w14:paraId="70F02D1A" w14:textId="2E83FC87" w:rsidR="00A67DE5" w:rsidRPr="00D30B87" w:rsidRDefault="002E6B67" w:rsidP="002E6B67">
      <w:pPr>
        <w:tabs>
          <w:tab w:val="left" w:pos="540"/>
        </w:tabs>
      </w:pPr>
      <w:r w:rsidRPr="00D30B87">
        <w:t>We are not requesting any exemptions to the provisions stated in 5 CFR 1320.9.</w:t>
      </w:r>
    </w:p>
    <w:sectPr w:rsidR="00A67DE5" w:rsidRPr="00D30B87" w:rsidSect="002E35AD">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BB5A2" w14:textId="77777777" w:rsidR="00D300FC" w:rsidRDefault="00D300FC">
      <w:r>
        <w:separator/>
      </w:r>
    </w:p>
  </w:endnote>
  <w:endnote w:type="continuationSeparator" w:id="0">
    <w:p w14:paraId="76DBB581" w14:textId="77777777" w:rsidR="00D300FC" w:rsidRDefault="00D3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Futura-Book">
    <w:panose1 w:val="00000000000000000000"/>
    <w:charset w:val="00"/>
    <w:family w:val="swiss"/>
    <w:notTrueType/>
    <w:pitch w:val="default"/>
    <w:sig w:usb0="00000003" w:usb1="00000000" w:usb2="00000000" w:usb3="00000000" w:csb0="00000001" w:csb1="00000000"/>
  </w:font>
  <w:font w:name="Futura Std Book">
    <w:charset w:val="00"/>
    <w:family w:val="auto"/>
    <w:pitch w:val="variable"/>
    <w:sig w:usb0="800000AF" w:usb1="4000204A" w:usb2="00000000" w:usb3="00000000" w:csb0="00000001" w:csb1="00000000"/>
  </w:font>
  <w:font w:name="Lucida Grande">
    <w:altName w:val="Arial"/>
    <w:charset w:val="00"/>
    <w:family w:val="auto"/>
    <w:pitch w:val="variable"/>
    <w:sig w:usb0="E1000AEF" w:usb1="5000A1FF" w:usb2="00000000" w:usb3="00000000" w:csb0="000001BF" w:csb1="00000000"/>
  </w:font>
  <w:font w:name="Futura Condensed">
    <w:charset w:val="00"/>
    <w:family w:val="auto"/>
    <w:pitch w:val="variable"/>
    <w:sig w:usb0="80000067" w:usb1="00000000" w:usb2="00000000" w:usb3="00000000" w:csb0="000001FB" w:csb1="00000000"/>
  </w:font>
  <w:font w:name="Futura Book">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ebkit-standar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889A6" w14:textId="77777777" w:rsidR="00145555" w:rsidRDefault="00145555">
    <w:pPr>
      <w:pStyle w:val="Footer"/>
      <w:jc w:val="center"/>
    </w:pPr>
    <w:r>
      <w:fldChar w:fldCharType="begin"/>
    </w:r>
    <w:r>
      <w:instrText xml:space="preserve"> PAGE   \* MERGEFORMAT </w:instrText>
    </w:r>
    <w:r>
      <w:fldChar w:fldCharType="separate"/>
    </w:r>
    <w:r>
      <w:rPr>
        <w:noProof/>
      </w:rPr>
      <w:t>iii</w:t>
    </w:r>
    <w:r>
      <w:rPr>
        <w:noProof/>
      </w:rPr>
      <w:fldChar w:fldCharType="end"/>
    </w:r>
  </w:p>
  <w:p w14:paraId="31E58C55" w14:textId="77777777" w:rsidR="00145555" w:rsidRDefault="001455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F5A30" w14:textId="77777777" w:rsidR="00D300FC" w:rsidRDefault="00D300FC">
      <w:r>
        <w:separator/>
      </w:r>
    </w:p>
  </w:footnote>
  <w:footnote w:type="continuationSeparator" w:id="0">
    <w:p w14:paraId="3ED304D1" w14:textId="77777777" w:rsidR="00D300FC" w:rsidRDefault="00D30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C4048"/>
    <w:multiLevelType w:val="hybridMultilevel"/>
    <w:tmpl w:val="530075FC"/>
    <w:lvl w:ilvl="0" w:tplc="C70244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A6403C"/>
    <w:multiLevelType w:val="hybridMultilevel"/>
    <w:tmpl w:val="206E9F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312647"/>
    <w:multiLevelType w:val="hybridMultilevel"/>
    <w:tmpl w:val="651E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E5"/>
    <w:rsid w:val="000038A1"/>
    <w:rsid w:val="00003FA0"/>
    <w:rsid w:val="00013CCC"/>
    <w:rsid w:val="000234EA"/>
    <w:rsid w:val="00025999"/>
    <w:rsid w:val="00027FB6"/>
    <w:rsid w:val="00042B55"/>
    <w:rsid w:val="00053C3C"/>
    <w:rsid w:val="00074458"/>
    <w:rsid w:val="00097010"/>
    <w:rsid w:val="000A0A4B"/>
    <w:rsid w:val="000A1B1F"/>
    <w:rsid w:val="000A1E31"/>
    <w:rsid w:val="000A2627"/>
    <w:rsid w:val="000A7A60"/>
    <w:rsid w:val="000B229C"/>
    <w:rsid w:val="000B5214"/>
    <w:rsid w:val="000B7AD0"/>
    <w:rsid w:val="000C6EE6"/>
    <w:rsid w:val="000D4545"/>
    <w:rsid w:val="000E38BB"/>
    <w:rsid w:val="000F5522"/>
    <w:rsid w:val="00106398"/>
    <w:rsid w:val="00107082"/>
    <w:rsid w:val="00114F55"/>
    <w:rsid w:val="001231D0"/>
    <w:rsid w:val="00145555"/>
    <w:rsid w:val="00156552"/>
    <w:rsid w:val="0017351B"/>
    <w:rsid w:val="00176A29"/>
    <w:rsid w:val="001870E9"/>
    <w:rsid w:val="00191149"/>
    <w:rsid w:val="00191F3A"/>
    <w:rsid w:val="0019253B"/>
    <w:rsid w:val="001A33F6"/>
    <w:rsid w:val="001C47FB"/>
    <w:rsid w:val="001C72B4"/>
    <w:rsid w:val="001E21E3"/>
    <w:rsid w:val="001E48AE"/>
    <w:rsid w:val="001F5F78"/>
    <w:rsid w:val="00203504"/>
    <w:rsid w:val="00217F87"/>
    <w:rsid w:val="00226A5E"/>
    <w:rsid w:val="0023269B"/>
    <w:rsid w:val="002405E3"/>
    <w:rsid w:val="00245229"/>
    <w:rsid w:val="0026549F"/>
    <w:rsid w:val="00287EEE"/>
    <w:rsid w:val="002910AE"/>
    <w:rsid w:val="00291359"/>
    <w:rsid w:val="002A221C"/>
    <w:rsid w:val="002A392C"/>
    <w:rsid w:val="002B1082"/>
    <w:rsid w:val="002B5839"/>
    <w:rsid w:val="002B676C"/>
    <w:rsid w:val="002B7233"/>
    <w:rsid w:val="002B76EE"/>
    <w:rsid w:val="002C6538"/>
    <w:rsid w:val="002C6791"/>
    <w:rsid w:val="002D2371"/>
    <w:rsid w:val="002E2B87"/>
    <w:rsid w:val="002E35AD"/>
    <w:rsid w:val="002E6B67"/>
    <w:rsid w:val="002F109C"/>
    <w:rsid w:val="002F53C9"/>
    <w:rsid w:val="002F7727"/>
    <w:rsid w:val="003012FF"/>
    <w:rsid w:val="00312A04"/>
    <w:rsid w:val="00314A85"/>
    <w:rsid w:val="003249BE"/>
    <w:rsid w:val="003348DF"/>
    <w:rsid w:val="00336810"/>
    <w:rsid w:val="00390DA2"/>
    <w:rsid w:val="0039485B"/>
    <w:rsid w:val="003B031F"/>
    <w:rsid w:val="003E6DAC"/>
    <w:rsid w:val="003F6735"/>
    <w:rsid w:val="00401364"/>
    <w:rsid w:val="0040424B"/>
    <w:rsid w:val="004118D6"/>
    <w:rsid w:val="00421689"/>
    <w:rsid w:val="004373EC"/>
    <w:rsid w:val="00453248"/>
    <w:rsid w:val="0045649B"/>
    <w:rsid w:val="004637B9"/>
    <w:rsid w:val="0046659C"/>
    <w:rsid w:val="004733B9"/>
    <w:rsid w:val="00481689"/>
    <w:rsid w:val="00484F47"/>
    <w:rsid w:val="00491A36"/>
    <w:rsid w:val="0049546F"/>
    <w:rsid w:val="00497BD6"/>
    <w:rsid w:val="004B7BC7"/>
    <w:rsid w:val="004E42CE"/>
    <w:rsid w:val="004E7D70"/>
    <w:rsid w:val="00502B53"/>
    <w:rsid w:val="005062E5"/>
    <w:rsid w:val="00510B52"/>
    <w:rsid w:val="00533A11"/>
    <w:rsid w:val="00553146"/>
    <w:rsid w:val="005534A0"/>
    <w:rsid w:val="00572A99"/>
    <w:rsid w:val="00573388"/>
    <w:rsid w:val="00582236"/>
    <w:rsid w:val="00585877"/>
    <w:rsid w:val="00590534"/>
    <w:rsid w:val="005924F4"/>
    <w:rsid w:val="005A1BA9"/>
    <w:rsid w:val="005C192F"/>
    <w:rsid w:val="005C5945"/>
    <w:rsid w:val="005C6FAA"/>
    <w:rsid w:val="005D3156"/>
    <w:rsid w:val="005E20CB"/>
    <w:rsid w:val="005F1460"/>
    <w:rsid w:val="005F4237"/>
    <w:rsid w:val="00605147"/>
    <w:rsid w:val="00611B13"/>
    <w:rsid w:val="006125E3"/>
    <w:rsid w:val="006177B0"/>
    <w:rsid w:val="00621849"/>
    <w:rsid w:val="00631720"/>
    <w:rsid w:val="00652568"/>
    <w:rsid w:val="00661698"/>
    <w:rsid w:val="006620B6"/>
    <w:rsid w:val="00670E5C"/>
    <w:rsid w:val="00670F8B"/>
    <w:rsid w:val="006807B2"/>
    <w:rsid w:val="00696DA9"/>
    <w:rsid w:val="006A5DA4"/>
    <w:rsid w:val="006C4517"/>
    <w:rsid w:val="006C5FC8"/>
    <w:rsid w:val="006D0B2A"/>
    <w:rsid w:val="006D5D30"/>
    <w:rsid w:val="006D61C6"/>
    <w:rsid w:val="006D77E8"/>
    <w:rsid w:val="006E1902"/>
    <w:rsid w:val="006E1F59"/>
    <w:rsid w:val="006E7164"/>
    <w:rsid w:val="006F0ED6"/>
    <w:rsid w:val="006F4286"/>
    <w:rsid w:val="006F68D2"/>
    <w:rsid w:val="007431F3"/>
    <w:rsid w:val="00755331"/>
    <w:rsid w:val="00757B70"/>
    <w:rsid w:val="0076093D"/>
    <w:rsid w:val="0076495D"/>
    <w:rsid w:val="00767B35"/>
    <w:rsid w:val="007705AD"/>
    <w:rsid w:val="00774130"/>
    <w:rsid w:val="00780235"/>
    <w:rsid w:val="00787C63"/>
    <w:rsid w:val="00791050"/>
    <w:rsid w:val="007A647A"/>
    <w:rsid w:val="007A72ED"/>
    <w:rsid w:val="007D6015"/>
    <w:rsid w:val="007E00DC"/>
    <w:rsid w:val="007E489E"/>
    <w:rsid w:val="007E7725"/>
    <w:rsid w:val="007F3B10"/>
    <w:rsid w:val="007F7376"/>
    <w:rsid w:val="00805A53"/>
    <w:rsid w:val="00827626"/>
    <w:rsid w:val="0083414D"/>
    <w:rsid w:val="00841AD7"/>
    <w:rsid w:val="00841DF4"/>
    <w:rsid w:val="008448C2"/>
    <w:rsid w:val="008456D6"/>
    <w:rsid w:val="00846CF7"/>
    <w:rsid w:val="0085024A"/>
    <w:rsid w:val="00850491"/>
    <w:rsid w:val="008533AF"/>
    <w:rsid w:val="0087003F"/>
    <w:rsid w:val="00891AFE"/>
    <w:rsid w:val="0089725F"/>
    <w:rsid w:val="008A55B7"/>
    <w:rsid w:val="008B3308"/>
    <w:rsid w:val="008D3F22"/>
    <w:rsid w:val="008F2D60"/>
    <w:rsid w:val="008F3B08"/>
    <w:rsid w:val="008F492F"/>
    <w:rsid w:val="0090696C"/>
    <w:rsid w:val="00912C4C"/>
    <w:rsid w:val="00912DB1"/>
    <w:rsid w:val="00917BD9"/>
    <w:rsid w:val="009229ED"/>
    <w:rsid w:val="00936498"/>
    <w:rsid w:val="0094744E"/>
    <w:rsid w:val="0096008A"/>
    <w:rsid w:val="00967552"/>
    <w:rsid w:val="00984856"/>
    <w:rsid w:val="009865BE"/>
    <w:rsid w:val="009A29CB"/>
    <w:rsid w:val="009B0981"/>
    <w:rsid w:val="009B3A4C"/>
    <w:rsid w:val="009B441B"/>
    <w:rsid w:val="009B710C"/>
    <w:rsid w:val="009C68B7"/>
    <w:rsid w:val="009D2903"/>
    <w:rsid w:val="009D2C9F"/>
    <w:rsid w:val="009D595A"/>
    <w:rsid w:val="009F2843"/>
    <w:rsid w:val="009F5DC0"/>
    <w:rsid w:val="009F706F"/>
    <w:rsid w:val="00A00A74"/>
    <w:rsid w:val="00A30CDC"/>
    <w:rsid w:val="00A40E81"/>
    <w:rsid w:val="00A43B1E"/>
    <w:rsid w:val="00A461F0"/>
    <w:rsid w:val="00A639F5"/>
    <w:rsid w:val="00A67DE5"/>
    <w:rsid w:val="00A76445"/>
    <w:rsid w:val="00A92B2D"/>
    <w:rsid w:val="00AA2EA4"/>
    <w:rsid w:val="00AC101B"/>
    <w:rsid w:val="00AC4901"/>
    <w:rsid w:val="00AC5338"/>
    <w:rsid w:val="00AE7D67"/>
    <w:rsid w:val="00AF7FCF"/>
    <w:rsid w:val="00B05D85"/>
    <w:rsid w:val="00B05FB8"/>
    <w:rsid w:val="00B13589"/>
    <w:rsid w:val="00B209F0"/>
    <w:rsid w:val="00B25ECB"/>
    <w:rsid w:val="00B3672D"/>
    <w:rsid w:val="00B530D6"/>
    <w:rsid w:val="00B53736"/>
    <w:rsid w:val="00B5581D"/>
    <w:rsid w:val="00B579A6"/>
    <w:rsid w:val="00B8369C"/>
    <w:rsid w:val="00B85334"/>
    <w:rsid w:val="00B95AD5"/>
    <w:rsid w:val="00BA570C"/>
    <w:rsid w:val="00BB3608"/>
    <w:rsid w:val="00BB3909"/>
    <w:rsid w:val="00BD1CFD"/>
    <w:rsid w:val="00BD2A26"/>
    <w:rsid w:val="00BE4CC6"/>
    <w:rsid w:val="00BE69E6"/>
    <w:rsid w:val="00BF626F"/>
    <w:rsid w:val="00C11E2E"/>
    <w:rsid w:val="00C12508"/>
    <w:rsid w:val="00C15F0A"/>
    <w:rsid w:val="00C16C8B"/>
    <w:rsid w:val="00C2195A"/>
    <w:rsid w:val="00C3559D"/>
    <w:rsid w:val="00C356E2"/>
    <w:rsid w:val="00C35769"/>
    <w:rsid w:val="00C43987"/>
    <w:rsid w:val="00C61187"/>
    <w:rsid w:val="00C65641"/>
    <w:rsid w:val="00C720C2"/>
    <w:rsid w:val="00C90E08"/>
    <w:rsid w:val="00CA0943"/>
    <w:rsid w:val="00CA164C"/>
    <w:rsid w:val="00CA53C6"/>
    <w:rsid w:val="00CB3259"/>
    <w:rsid w:val="00CC02F2"/>
    <w:rsid w:val="00CC4CA2"/>
    <w:rsid w:val="00CD2A52"/>
    <w:rsid w:val="00CD3BFC"/>
    <w:rsid w:val="00CE0F51"/>
    <w:rsid w:val="00CE5AAB"/>
    <w:rsid w:val="00D158B3"/>
    <w:rsid w:val="00D300FC"/>
    <w:rsid w:val="00D30B87"/>
    <w:rsid w:val="00D31416"/>
    <w:rsid w:val="00D34AF8"/>
    <w:rsid w:val="00D37A48"/>
    <w:rsid w:val="00D40F16"/>
    <w:rsid w:val="00D44C95"/>
    <w:rsid w:val="00D452C4"/>
    <w:rsid w:val="00D721CC"/>
    <w:rsid w:val="00D8571F"/>
    <w:rsid w:val="00D92265"/>
    <w:rsid w:val="00D97445"/>
    <w:rsid w:val="00DA1D20"/>
    <w:rsid w:val="00DD2A42"/>
    <w:rsid w:val="00DE01C2"/>
    <w:rsid w:val="00DE103A"/>
    <w:rsid w:val="00DE1E12"/>
    <w:rsid w:val="00E16998"/>
    <w:rsid w:val="00E2047A"/>
    <w:rsid w:val="00E229CE"/>
    <w:rsid w:val="00E67C03"/>
    <w:rsid w:val="00E71EAC"/>
    <w:rsid w:val="00E932AB"/>
    <w:rsid w:val="00E971A3"/>
    <w:rsid w:val="00EA061E"/>
    <w:rsid w:val="00EB31D1"/>
    <w:rsid w:val="00EB3BF6"/>
    <w:rsid w:val="00EB71F2"/>
    <w:rsid w:val="00F05AD7"/>
    <w:rsid w:val="00F16281"/>
    <w:rsid w:val="00F214B9"/>
    <w:rsid w:val="00F2497A"/>
    <w:rsid w:val="00F540F8"/>
    <w:rsid w:val="00F60165"/>
    <w:rsid w:val="00F63407"/>
    <w:rsid w:val="00F66A97"/>
    <w:rsid w:val="00F7522A"/>
    <w:rsid w:val="00F80F0A"/>
    <w:rsid w:val="00F83895"/>
    <w:rsid w:val="00F8588F"/>
    <w:rsid w:val="00F90D2F"/>
    <w:rsid w:val="00FA246B"/>
    <w:rsid w:val="00FB296C"/>
    <w:rsid w:val="00FC06E1"/>
    <w:rsid w:val="00FC3F5F"/>
    <w:rsid w:val="00FD4B78"/>
    <w:rsid w:val="00FE3FDA"/>
    <w:rsid w:val="00FF4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5BD0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semiHidden/>
    <w:rsid w:val="00A67DE5"/>
    <w:rPr>
      <w:sz w:val="20"/>
      <w:szCs w:val="20"/>
    </w:rPr>
  </w:style>
  <w:style w:type="character" w:customStyle="1" w:styleId="CommentTextChar">
    <w:name w:val="Comment Text Char"/>
    <w:basedOn w:val="DefaultParagraphFont"/>
    <w:link w:val="CommentText"/>
    <w:uiPriority w:val="99"/>
    <w:semiHidden/>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paragraph" w:styleId="HTMLPreformatted">
    <w:name w:val="HTML Preformatted"/>
    <w:basedOn w:val="Normal"/>
    <w:link w:val="HTMLPreformattedChar"/>
    <w:rsid w:val="00CA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A53C6"/>
    <w:rPr>
      <w:rFonts w:ascii="Courier New" w:eastAsia="Times New Roman" w:hAnsi="Courier New" w:cs="Courier New"/>
      <w:sz w:val="20"/>
      <w:szCs w:val="20"/>
    </w:rPr>
  </w:style>
  <w:style w:type="table" w:styleId="TableGrid">
    <w:name w:val="Table Grid"/>
    <w:basedOn w:val="TableNormal"/>
    <w:rsid w:val="00F90D2F"/>
    <w:rPr>
      <w:rFonts w:ascii="Futura Condensed" w:eastAsia="Times New Roman" w:hAnsi="Futura Condensed" w:cs="Times New Roman"/>
      <w:sz w:val="20"/>
      <w:szCs w:val="20"/>
    </w:rPr>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 w:type="paragraph" w:customStyle="1" w:styleId="Default">
    <w:name w:val="Default"/>
    <w:rsid w:val="00502B53"/>
    <w:pPr>
      <w:autoSpaceDE w:val="0"/>
      <w:autoSpaceDN w:val="0"/>
      <w:adjustRightInd w:val="0"/>
    </w:pPr>
    <w:rPr>
      <w:rFonts w:ascii="Arial" w:eastAsia="Times New Roman" w:hAnsi="Arial" w:cs="Arial"/>
      <w:color w:val="000000"/>
    </w:rPr>
  </w:style>
  <w:style w:type="paragraph" w:styleId="NormalWeb">
    <w:name w:val="Normal (Web)"/>
    <w:basedOn w:val="Normal"/>
    <w:unhideWhenUsed/>
    <w:rsid w:val="005924F4"/>
    <w:pPr>
      <w:spacing w:before="100" w:beforeAutospacing="1" w:after="100" w:afterAutospacing="1"/>
    </w:pPr>
  </w:style>
  <w:style w:type="table" w:customStyle="1" w:styleId="GridTableLight">
    <w:name w:val="Grid Table Light"/>
    <w:basedOn w:val="TableNormal"/>
    <w:uiPriority w:val="99"/>
    <w:rsid w:val="000B521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semiHidden/>
    <w:rsid w:val="00A67DE5"/>
    <w:rPr>
      <w:sz w:val="20"/>
      <w:szCs w:val="20"/>
    </w:rPr>
  </w:style>
  <w:style w:type="character" w:customStyle="1" w:styleId="CommentTextChar">
    <w:name w:val="Comment Text Char"/>
    <w:basedOn w:val="DefaultParagraphFont"/>
    <w:link w:val="CommentText"/>
    <w:uiPriority w:val="99"/>
    <w:semiHidden/>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paragraph" w:styleId="HTMLPreformatted">
    <w:name w:val="HTML Preformatted"/>
    <w:basedOn w:val="Normal"/>
    <w:link w:val="HTMLPreformattedChar"/>
    <w:rsid w:val="00CA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A53C6"/>
    <w:rPr>
      <w:rFonts w:ascii="Courier New" w:eastAsia="Times New Roman" w:hAnsi="Courier New" w:cs="Courier New"/>
      <w:sz w:val="20"/>
      <w:szCs w:val="20"/>
    </w:rPr>
  </w:style>
  <w:style w:type="table" w:styleId="TableGrid">
    <w:name w:val="Table Grid"/>
    <w:basedOn w:val="TableNormal"/>
    <w:rsid w:val="00F90D2F"/>
    <w:rPr>
      <w:rFonts w:ascii="Futura Condensed" w:eastAsia="Times New Roman" w:hAnsi="Futura Condensed" w:cs="Times New Roman"/>
      <w:sz w:val="20"/>
      <w:szCs w:val="20"/>
    </w:rPr>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 w:type="paragraph" w:customStyle="1" w:styleId="Default">
    <w:name w:val="Default"/>
    <w:rsid w:val="00502B53"/>
    <w:pPr>
      <w:autoSpaceDE w:val="0"/>
      <w:autoSpaceDN w:val="0"/>
      <w:adjustRightInd w:val="0"/>
    </w:pPr>
    <w:rPr>
      <w:rFonts w:ascii="Arial" w:eastAsia="Times New Roman" w:hAnsi="Arial" w:cs="Arial"/>
      <w:color w:val="000000"/>
    </w:rPr>
  </w:style>
  <w:style w:type="paragraph" w:styleId="NormalWeb">
    <w:name w:val="Normal (Web)"/>
    <w:basedOn w:val="Normal"/>
    <w:unhideWhenUsed/>
    <w:rsid w:val="005924F4"/>
    <w:pPr>
      <w:spacing w:before="100" w:beforeAutospacing="1" w:after="100" w:afterAutospacing="1"/>
    </w:pPr>
  </w:style>
  <w:style w:type="table" w:customStyle="1" w:styleId="GridTableLight">
    <w:name w:val="Grid Table Light"/>
    <w:basedOn w:val="TableNormal"/>
    <w:uiPriority w:val="99"/>
    <w:rsid w:val="000B521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81306">
      <w:bodyDiv w:val="1"/>
      <w:marLeft w:val="0"/>
      <w:marRight w:val="0"/>
      <w:marTop w:val="0"/>
      <w:marBottom w:val="0"/>
      <w:divBdr>
        <w:top w:val="none" w:sz="0" w:space="0" w:color="auto"/>
        <w:left w:val="none" w:sz="0" w:space="0" w:color="auto"/>
        <w:bottom w:val="none" w:sz="0" w:space="0" w:color="auto"/>
        <w:right w:val="none" w:sz="0" w:space="0" w:color="auto"/>
      </w:divBdr>
    </w:div>
    <w:div w:id="869219193">
      <w:bodyDiv w:val="1"/>
      <w:marLeft w:val="0"/>
      <w:marRight w:val="0"/>
      <w:marTop w:val="0"/>
      <w:marBottom w:val="0"/>
      <w:divBdr>
        <w:top w:val="none" w:sz="0" w:space="0" w:color="auto"/>
        <w:left w:val="none" w:sz="0" w:space="0" w:color="auto"/>
        <w:bottom w:val="none" w:sz="0" w:space="0" w:color="auto"/>
        <w:right w:val="none" w:sz="0" w:space="0" w:color="auto"/>
      </w:divBdr>
    </w:div>
    <w:div w:id="1532185369">
      <w:bodyDiv w:val="1"/>
      <w:marLeft w:val="0"/>
      <w:marRight w:val="0"/>
      <w:marTop w:val="0"/>
      <w:marBottom w:val="0"/>
      <w:divBdr>
        <w:top w:val="none" w:sz="0" w:space="0" w:color="auto"/>
        <w:left w:val="none" w:sz="0" w:space="0" w:color="auto"/>
        <w:bottom w:val="none" w:sz="0" w:space="0" w:color="auto"/>
        <w:right w:val="none" w:sz="0" w:space="0" w:color="auto"/>
      </w:divBdr>
    </w:div>
    <w:div w:id="1664358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bls.gov/oes/current/oes291067.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TH3QXZ4CCXAT-18-1363</_dlc_DocId>
    <_dlc_DocIdUrl xmlns="4f06cbb4-5319-44a1-b73c-03442379dfaa">
      <Url>https://eitsdext.osd.mil/sites/dodiic/_layouts/DocIdRedir.aspx?ID=TH3QXZ4CCXAT-18-1363</Url>
      <Description>TH3QXZ4CCXAT-18-1363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74DEA-FFEC-41F4-A294-E0D3760D0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03305-0DCE-4323-AECB-FEA2C27E3FD9}">
  <ds:schemaRefs>
    <ds:schemaRef ds:uri="http://schemas.microsoft.com/sharepoint/events"/>
  </ds:schemaRefs>
</ds:datastoreItem>
</file>

<file path=customXml/itemProps3.xml><?xml version="1.0" encoding="utf-8"?>
<ds:datastoreItem xmlns:ds="http://schemas.openxmlformats.org/officeDocument/2006/customXml" ds:itemID="{97DAB480-FDD6-49AD-8039-A2A724170781}">
  <ds:schemaRefs>
    <ds:schemaRef ds:uri="http://schemas.microsoft.com/sharepoint/v3/contenttype/forms"/>
  </ds:schemaRefs>
</ds:datastoreItem>
</file>

<file path=customXml/itemProps4.xml><?xml version="1.0" encoding="utf-8"?>
<ds:datastoreItem xmlns:ds="http://schemas.openxmlformats.org/officeDocument/2006/customXml" ds:itemID="{9867355A-933C-4309-A9BF-493905F1AD4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f06cbb4-5319-44a1-b73c-03442379dfaa"/>
    <ds:schemaRef ds:uri="http://purl.org/dc/elements/1.1/"/>
    <ds:schemaRef ds:uri="456AF0B4-47B6-441D-9D5F-F64341D14F81"/>
    <ds:schemaRef ds:uri="http://www.w3.org/XML/1998/namespace"/>
    <ds:schemaRef ds:uri="http://purl.org/dc/dcmitype/"/>
  </ds:schemaRefs>
</ds:datastoreItem>
</file>

<file path=customXml/itemProps5.xml><?xml version="1.0" encoding="utf-8"?>
<ds:datastoreItem xmlns:ds="http://schemas.openxmlformats.org/officeDocument/2006/customXml" ds:itemID="{9B4B5621-0F94-428C-A583-F94758E7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1889</Words>
  <Characters>10769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12633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Brown</dc:creator>
  <cp:lastModifiedBy>SYSTEM</cp:lastModifiedBy>
  <cp:revision>2</cp:revision>
  <dcterms:created xsi:type="dcterms:W3CDTF">2017-08-07T15:18:00Z</dcterms:created>
  <dcterms:modified xsi:type="dcterms:W3CDTF">2017-08-07T15:18:00Z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bed4d698-ba51-475e-89dc-df7aa1d2083f</vt:lpwstr>
  </property>
</Properties>
</file>