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2B" w:rsidRDefault="00BE3587" w:rsidP="001426FF">
      <w:pPr>
        <w:jc w:val="center"/>
        <w:rPr>
          <w:b/>
        </w:rPr>
      </w:pPr>
      <w:bookmarkStart w:id="0" w:name="OLE_LINK1"/>
      <w:r>
        <w:rPr>
          <w:b/>
        </w:rPr>
        <w:t>Supporting Statement for Paperwork Reduction Act Submission</w:t>
      </w:r>
    </w:p>
    <w:p w:rsidR="00BE3587" w:rsidRDefault="00BE3587" w:rsidP="001426FF">
      <w:pPr>
        <w:jc w:val="center"/>
        <w:rPr>
          <w:b/>
        </w:rPr>
      </w:pPr>
      <w:r>
        <w:rPr>
          <w:b/>
        </w:rPr>
        <w:t>Medical Standards and Certification Application Forms</w:t>
      </w:r>
    </w:p>
    <w:p w:rsidR="00BE3587" w:rsidRDefault="00BE3587" w:rsidP="001426FF">
      <w:pPr>
        <w:jc w:val="center"/>
        <w:rPr>
          <w:b/>
        </w:rPr>
      </w:pPr>
      <w:r>
        <w:rPr>
          <w:b/>
        </w:rPr>
        <w:t>OMB No. 2120-0034</w:t>
      </w:r>
    </w:p>
    <w:p w:rsidR="00F4692B" w:rsidRDefault="00F4692B" w:rsidP="001426FF">
      <w:pPr>
        <w:jc w:val="center"/>
        <w:rPr>
          <w:b/>
        </w:rPr>
      </w:pPr>
    </w:p>
    <w:p w:rsidR="00F4692B" w:rsidRDefault="00F4692B" w:rsidP="001426FF">
      <w:pPr>
        <w:jc w:val="center"/>
        <w:rPr>
          <w:b/>
        </w:rPr>
      </w:pPr>
    </w:p>
    <w:p w:rsidR="00730623" w:rsidRDefault="00BE3587" w:rsidP="00BE3587">
      <w:pPr>
        <w:rPr>
          <w:b/>
        </w:rPr>
      </w:pPr>
      <w:r>
        <w:rPr>
          <w:b/>
        </w:rPr>
        <w:t>Justification:</w:t>
      </w:r>
    </w:p>
    <w:p w:rsidR="00F4692B" w:rsidRDefault="00F4692B" w:rsidP="001426FF">
      <w:pPr>
        <w:jc w:val="center"/>
        <w:rPr>
          <w:b/>
        </w:rPr>
      </w:pPr>
    </w:p>
    <w:p w:rsidR="00A80E71" w:rsidRPr="000B10CE" w:rsidRDefault="00A80E71" w:rsidP="000B10CE">
      <w:pPr>
        <w:pStyle w:val="ListParagraph"/>
        <w:numPr>
          <w:ilvl w:val="0"/>
          <w:numId w:val="4"/>
        </w:numPr>
        <w:rPr>
          <w:i/>
        </w:rPr>
      </w:pPr>
      <w:bookmarkStart w:id="1" w:name="OLE_LINK2"/>
      <w:r w:rsidRPr="000B10CE">
        <w:rPr>
          <w:i/>
        </w:rPr>
        <w:t xml:space="preserve">Explain the circumstances that make the collection of information necessary. </w:t>
      </w:r>
    </w:p>
    <w:p w:rsidR="000B10CE" w:rsidRDefault="000B10CE" w:rsidP="000B10CE"/>
    <w:p w:rsidR="00265D66" w:rsidRDefault="00A80E71" w:rsidP="00205B45">
      <w:r>
        <w:t xml:space="preserve">The Secretary of Transportation collects this information under the authority of 49 U.S.C. 40113; 44701; 44702; 44703; and 44709.  Title 14 of the Code of Federal Regulations (CFR), parts 61 and 67, sets forth specific operational and medical requirements for pilot certification.  The FAA uses three forms to collect specific medical certification information to determine whether applicants are medically qualified to perform the duties associated with the class of airman medical certificate sought. </w:t>
      </w:r>
      <w:r w:rsidR="001574F8">
        <w:t xml:space="preserve"> This collection of information supports the DOT Strategic Goal on safety.</w:t>
      </w:r>
      <w:bookmarkEnd w:id="1"/>
    </w:p>
    <w:p w:rsidR="004C1E41" w:rsidRDefault="004C1E41" w:rsidP="001426FF">
      <w:pPr>
        <w:rPr>
          <w:b/>
          <w:u w:val="single"/>
        </w:rPr>
      </w:pPr>
    </w:p>
    <w:p w:rsidR="004469F4" w:rsidRDefault="004469F4" w:rsidP="004469F4"/>
    <w:p w:rsidR="004469F4" w:rsidRDefault="00A42C3F" w:rsidP="004469F4">
      <w:r>
        <w:t xml:space="preserve">2.  </w:t>
      </w:r>
      <w:r w:rsidR="004469F4" w:rsidRPr="00A42C3F">
        <w:rPr>
          <w:i/>
        </w:rPr>
        <w:t>Indicate how, by whom, how frequently, and for what purpose the information is to be used.</w:t>
      </w:r>
    </w:p>
    <w:p w:rsidR="003477CF" w:rsidRDefault="003477CF" w:rsidP="004469F4"/>
    <w:p w:rsidR="00C947A3" w:rsidRDefault="00C947A3" w:rsidP="00C947A3">
      <w:r w:rsidRPr="00CD032C">
        <w:rPr>
          <w:b/>
        </w:rPr>
        <w:t>FAA Form 8500-7</w:t>
      </w:r>
      <w:r>
        <w:t>; Report of Eye Evaluation: Applicants who do not meet distant visual acuity standards and who desire an Authorization for Special Issuance of a Medical Certificate must submit FAA Form 8500-7 for evaluation and determination by FAA physicians.</w:t>
      </w:r>
    </w:p>
    <w:p w:rsidR="00C947A3" w:rsidRDefault="00C947A3" w:rsidP="00C947A3"/>
    <w:p w:rsidR="00C947A3" w:rsidRDefault="00C947A3" w:rsidP="00C947A3">
      <w:r w:rsidRPr="00CD032C">
        <w:rPr>
          <w:b/>
        </w:rPr>
        <w:t>FAA Form 8500-8</w:t>
      </w:r>
      <w:r>
        <w:t>; Application for Airman Medical Certificate or Airman Medical and Student Pilot Certificate: Applicants complete this form to make application for an FAA medical certificate.  Designated Aviation Medical Examiners (AMEs) perform a medical examination and, based on the applicants’ input, work with Agency physicians to assess an applicant’s medical fitness.</w:t>
      </w:r>
    </w:p>
    <w:p w:rsidR="00C947A3" w:rsidRDefault="00C947A3" w:rsidP="00C947A3"/>
    <w:p w:rsidR="00C947A3" w:rsidRDefault="00C947A3" w:rsidP="00C947A3">
      <w:r w:rsidRPr="00CD032C">
        <w:rPr>
          <w:b/>
        </w:rPr>
        <w:t>FAA Form 8500-14</w:t>
      </w:r>
      <w:r>
        <w:t>; Ophthalmological Evaluation for Glaucoma: Applicants with glaucoma must submit FAA Form 8500-14 so that FAA physicians can make determinations regarding permissible operational flight activities commensurate with their medical condition and public safety.</w:t>
      </w:r>
    </w:p>
    <w:p w:rsidR="004469F4" w:rsidRDefault="004469F4" w:rsidP="004469F4"/>
    <w:p w:rsidR="004469F4" w:rsidRPr="00A42C3F" w:rsidRDefault="00A42C3F" w:rsidP="004469F4">
      <w:pPr>
        <w:rPr>
          <w:i/>
        </w:rPr>
      </w:pPr>
      <w:r>
        <w:t xml:space="preserve">3. </w:t>
      </w:r>
      <w:r w:rsidR="004469F4" w:rsidRPr="00A42C3F">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69F4" w:rsidRDefault="004469F4" w:rsidP="004469F4"/>
    <w:p w:rsidR="00F85B4A" w:rsidRDefault="00D17548" w:rsidP="004469F4">
      <w:r>
        <w:t xml:space="preserve">The FAA Office of Aerospace Medicine continually seeks ways to use technology to reduce burden on medical certificate applicants.  </w:t>
      </w:r>
      <w:r w:rsidR="004469F4">
        <w:t xml:space="preserve">In 2007, the FAA launched the FAA </w:t>
      </w:r>
      <w:proofErr w:type="spellStart"/>
      <w:r w:rsidR="004469F4">
        <w:t>MedXPress</w:t>
      </w:r>
      <w:proofErr w:type="spellEnd"/>
      <w:r w:rsidR="004469F4">
        <w:t xml:space="preserve"> system allowing anyone requiring a</w:t>
      </w:r>
      <w:r w:rsidR="002E1D12">
        <w:t>n</w:t>
      </w:r>
      <w:r w:rsidR="00631280">
        <w:t xml:space="preserve"> FAA medical c</w:t>
      </w:r>
      <w:r w:rsidR="004469F4">
        <w:t xml:space="preserve">ertificate to electronically complete FAA Form 8500-8 online and transmit it to an Aviation Medical Examiner (AME). </w:t>
      </w:r>
      <w:r w:rsidR="00DC55A5">
        <w:t xml:space="preserve"> In 2012, the FAA began using </w:t>
      </w:r>
      <w:proofErr w:type="spellStart"/>
      <w:r w:rsidR="00DC55A5">
        <w:t>MedXpress</w:t>
      </w:r>
      <w:proofErr w:type="spellEnd"/>
      <w:r w:rsidR="00DC55A5">
        <w:t xml:space="preserve"> exclusively as its on-line application system</w:t>
      </w:r>
      <w:r w:rsidR="00DC55A5" w:rsidRPr="00DC55A5">
        <w:t xml:space="preserve"> </w:t>
      </w:r>
      <w:r>
        <w:t xml:space="preserve">to reduce errors inherent with paper </w:t>
      </w:r>
      <w:r w:rsidR="00F85B4A">
        <w:t xml:space="preserve">forms </w:t>
      </w:r>
      <w:r w:rsidR="00F85B4A" w:rsidRPr="00F85B4A">
        <w:t xml:space="preserve">(see “Notice of Intent </w:t>
      </w:r>
      <w:proofErr w:type="gramStart"/>
      <w:r w:rsidR="00F85B4A" w:rsidRPr="00F85B4A">
        <w:t>To</w:t>
      </w:r>
      <w:proofErr w:type="gramEnd"/>
      <w:r w:rsidR="00F85B4A" w:rsidRPr="00F85B4A">
        <w:t xml:space="preserve"> Discontinue Use of Paper Applications for Airman Medical Certification,” 77 FR 13967; March 8, 2012)</w:t>
      </w:r>
      <w:r w:rsidR="00F85B4A">
        <w:t xml:space="preserve">.  </w:t>
      </w:r>
    </w:p>
    <w:p w:rsidR="00F85B4A" w:rsidRDefault="00F85B4A" w:rsidP="004469F4"/>
    <w:p w:rsidR="004469F4" w:rsidRDefault="004469F4" w:rsidP="004469F4">
      <w:r>
        <w:t xml:space="preserve">Information entered into </w:t>
      </w:r>
      <w:proofErr w:type="spellStart"/>
      <w:r>
        <w:t>MedXPress</w:t>
      </w:r>
      <w:proofErr w:type="spellEnd"/>
      <w:r>
        <w:t xml:space="preserve"> is transmitted to the FAA and is available for the AME to review at the time of the ap</w:t>
      </w:r>
      <w:r w:rsidR="003943EC">
        <w:t xml:space="preserve">plicant’s medical examination. </w:t>
      </w:r>
      <w:r>
        <w:t xml:space="preserve">AMEs </w:t>
      </w:r>
      <w:proofErr w:type="gramStart"/>
      <w:r>
        <w:t>are</w:t>
      </w:r>
      <w:proofErr w:type="gramEnd"/>
      <w:r>
        <w:t xml:space="preserve"> required to electronically transmit FAA Form 8500-8 to the FAA Civil Aerospace </w:t>
      </w:r>
      <w:r w:rsidR="00135314">
        <w:t xml:space="preserve">Medical </w:t>
      </w:r>
      <w:r>
        <w:t>Institute</w:t>
      </w:r>
      <w:r w:rsidR="00135314">
        <w:t>/Aerospace Medical Certification Division</w:t>
      </w:r>
      <w:r>
        <w:t xml:space="preserve"> for processing via the Aeromedical Certification Subsystem (AMCS). This system improves the process by </w:t>
      </w:r>
      <w:r>
        <w:lastRenderedPageBreak/>
        <w:t xml:space="preserve">reducing paperwork, eliminating errors of omission on the application, enabling transmission 24-hours-a-day, and allowing the FAA to review applications shortly after transmission from the AME. </w:t>
      </w:r>
      <w:r w:rsidR="003943EC">
        <w:t>It</w:t>
      </w:r>
      <w:r>
        <w:t xml:space="preserve"> also allows the AME to access stored medical data and reduce data entry on subsequent visits by the airman.</w:t>
      </w:r>
      <w:r w:rsidR="00D17548">
        <w:t xml:space="preserve">  Going forward, and as resources become available, we have plans to house all of our various systems on an enh</w:t>
      </w:r>
      <w:r w:rsidR="003943EC">
        <w:t>anced, relational database</w:t>
      </w:r>
      <w:r w:rsidR="00D17548">
        <w:t xml:space="preserve"> </w:t>
      </w:r>
      <w:r w:rsidR="003943EC">
        <w:t>to</w:t>
      </w:r>
      <w:r w:rsidR="00D17548">
        <w:t xml:space="preserve"> further improve efficiency.</w:t>
      </w:r>
    </w:p>
    <w:p w:rsidR="00C947A3" w:rsidRDefault="00C947A3" w:rsidP="004469F4"/>
    <w:p w:rsidR="00C947A3" w:rsidRDefault="00C947A3" w:rsidP="004469F4">
      <w:r>
        <w:t>FAA Forms 8500-7 and -14 also are available on line in .pdf fillable format.</w:t>
      </w:r>
    </w:p>
    <w:p w:rsidR="004469F4" w:rsidRDefault="004469F4" w:rsidP="004469F4"/>
    <w:p w:rsidR="004469F4" w:rsidRPr="00A42C3F" w:rsidRDefault="00A42C3F" w:rsidP="004469F4">
      <w:pPr>
        <w:rPr>
          <w:i/>
        </w:rPr>
      </w:pPr>
      <w:r>
        <w:t xml:space="preserve">4. </w:t>
      </w:r>
      <w:r w:rsidR="004469F4" w:rsidRPr="00A42C3F">
        <w:rPr>
          <w:i/>
        </w:rPr>
        <w:t>Describe efforts to identify duplication.</w:t>
      </w:r>
    </w:p>
    <w:p w:rsidR="004469F4" w:rsidRDefault="004469F4" w:rsidP="004469F4"/>
    <w:p w:rsidR="004469F4" w:rsidRDefault="004469F4" w:rsidP="004469F4">
      <w:r>
        <w:t>Form</w:t>
      </w:r>
      <w:r w:rsidR="006E0515">
        <w:t>s 8500-7, -8, and -14 were</w:t>
      </w:r>
      <w:r>
        <w:t xml:space="preserve"> designed to assist the FAA in evaluating the medical fitness of applicants for</w:t>
      </w:r>
      <w:r w:rsidR="006E0515">
        <w:t xml:space="preserve"> FAA medical certification. These forms are</w:t>
      </w:r>
      <w:r>
        <w:t xml:space="preserve"> used to collect an applicant’s per</w:t>
      </w:r>
      <w:r w:rsidR="006E0515">
        <w:t>sonal medical information and are</w:t>
      </w:r>
      <w:r>
        <w:t xml:space="preserve"> not available elsewhere. The FAA is not aware of any duplication.</w:t>
      </w:r>
    </w:p>
    <w:p w:rsidR="00B80254" w:rsidRDefault="00B80254" w:rsidP="004469F4"/>
    <w:p w:rsidR="004469F4" w:rsidRDefault="001266AA" w:rsidP="004469F4">
      <w:r>
        <w:t xml:space="preserve">5. </w:t>
      </w:r>
      <w:r w:rsidR="004469F4" w:rsidRPr="001266AA">
        <w:rPr>
          <w:i/>
        </w:rPr>
        <w:t>If the collection of information impacts small businesses or other small entities (Item 5 of OMB Form 83-I), describe any methods used to minimize this burden.</w:t>
      </w:r>
    </w:p>
    <w:p w:rsidR="004469F4" w:rsidRDefault="004469F4" w:rsidP="004469F4"/>
    <w:p w:rsidR="004469F4" w:rsidRDefault="004469F4" w:rsidP="004469F4">
      <w:r>
        <w:t xml:space="preserve">This </w:t>
      </w:r>
      <w:r w:rsidR="0041056D">
        <w:t xml:space="preserve">information is collected solely </w:t>
      </w:r>
      <w:r>
        <w:t xml:space="preserve">from individuals; </w:t>
      </w:r>
      <w:r w:rsidR="00DC55A5">
        <w:t xml:space="preserve">not </w:t>
      </w:r>
      <w:r>
        <w:t>small businesses.</w:t>
      </w:r>
    </w:p>
    <w:p w:rsidR="004469F4" w:rsidRDefault="004469F4" w:rsidP="004469F4"/>
    <w:p w:rsidR="004469F4" w:rsidRPr="001266AA" w:rsidRDefault="001266AA" w:rsidP="004469F4">
      <w:pPr>
        <w:rPr>
          <w:i/>
        </w:rPr>
      </w:pPr>
      <w:r>
        <w:t xml:space="preserve">6. </w:t>
      </w:r>
      <w:r w:rsidR="004469F4" w:rsidRPr="001266AA">
        <w:rPr>
          <w:i/>
        </w:rPr>
        <w:t>Describe the consequences to Federal program or policy activities if the collection is not conducted or is conducted less frequently, as well as any technical or legal obstacles to reducing burden.</w:t>
      </w:r>
    </w:p>
    <w:p w:rsidR="004469F4" w:rsidRDefault="004469F4" w:rsidP="004469F4"/>
    <w:p w:rsidR="001266AA" w:rsidRDefault="004469F4" w:rsidP="004469F4">
      <w:r>
        <w:t xml:space="preserve">The FAA collects medical information only when an individual applies for an FAA medical certificate. The collection of an applicant’s medical information complies with pertinent operational provisions of Part 61 of Title 14 of the Code of Federal Regulations (14 CFR) and medical provisions of 14 CFR Part 67. </w:t>
      </w:r>
      <w:r w:rsidR="003943EC">
        <w:t xml:space="preserve"> </w:t>
      </w:r>
      <w:r w:rsidR="00B7131E">
        <w:t xml:space="preserve">For example, § </w:t>
      </w:r>
      <w:r>
        <w:t xml:space="preserve">61.3(c) sets forth requirements for FAA certificates, including medical certificates, and 61.23(d) sets forth the duration of the three classes of FAA medical certificates.  Part 67 Subpart A sets forth specific application standards for medical certificate applicants. Applicants not meeting these standards would be in violation of the regulations. </w:t>
      </w:r>
      <w:r w:rsidR="00EC70DD">
        <w:t xml:space="preserve">Reducing the burden, or conducting the collection less frequently, would require regulatory amendment of these existing minimum standards.  </w:t>
      </w:r>
    </w:p>
    <w:p w:rsidR="003477CF" w:rsidRDefault="003477CF" w:rsidP="004469F4"/>
    <w:p w:rsidR="004469F4" w:rsidRPr="001266AA" w:rsidRDefault="001266AA" w:rsidP="004469F4">
      <w:pPr>
        <w:rPr>
          <w:i/>
        </w:rPr>
      </w:pPr>
      <w:r>
        <w:t xml:space="preserve">7. </w:t>
      </w:r>
      <w:r w:rsidR="004469F4" w:rsidRPr="001266AA">
        <w:rPr>
          <w:i/>
        </w:rPr>
        <w:t>Explain any special circumstances that require the collection to be conducted in a manner inconsistent with guidelines in 5 CFR 1320.5(d</w:t>
      </w:r>
      <w:proofErr w:type="gramStart"/>
      <w:r w:rsidR="004469F4" w:rsidRPr="001266AA">
        <w:rPr>
          <w:i/>
        </w:rPr>
        <w:t>)(</w:t>
      </w:r>
      <w:proofErr w:type="gramEnd"/>
      <w:r w:rsidR="004469F4" w:rsidRPr="001266AA">
        <w:rPr>
          <w:i/>
        </w:rPr>
        <w:t>2).</w:t>
      </w:r>
    </w:p>
    <w:p w:rsidR="004469F4" w:rsidRDefault="004469F4" w:rsidP="004469F4"/>
    <w:p w:rsidR="004469F4" w:rsidRDefault="004469F4" w:rsidP="004469F4">
      <w:r>
        <w:t>This information collection is consistent with the guidelines in 5 CFR 1320.5(d</w:t>
      </w:r>
      <w:proofErr w:type="gramStart"/>
      <w:r>
        <w:t>)(</w:t>
      </w:r>
      <w:proofErr w:type="gramEnd"/>
      <w:r>
        <w:t>2).</w:t>
      </w:r>
    </w:p>
    <w:p w:rsidR="004469F4" w:rsidRDefault="004469F4" w:rsidP="004469F4"/>
    <w:p w:rsidR="004469F4" w:rsidRPr="00E523CD" w:rsidRDefault="00E523CD" w:rsidP="004469F4">
      <w:pPr>
        <w:rPr>
          <w:i/>
        </w:rPr>
      </w:pPr>
      <w:r>
        <w:t xml:space="preserve">8. </w:t>
      </w:r>
      <w:r w:rsidR="004469F4" w:rsidRPr="00E523CD">
        <w:rPr>
          <w:i/>
        </w:rPr>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967A02" w:rsidRPr="00E523CD" w:rsidRDefault="00967A02" w:rsidP="004469F4">
      <w:pPr>
        <w:rPr>
          <w:i/>
        </w:rPr>
      </w:pPr>
    </w:p>
    <w:p w:rsidR="00D60372" w:rsidRDefault="00A5372F" w:rsidP="00A5372F">
      <w:r>
        <w:t xml:space="preserve">The 60-day notice for this information collection was published in the Federal Register December 27, 2016. </w:t>
      </w:r>
      <w:proofErr w:type="gramStart"/>
      <w:r>
        <w:t>81 FR 95265.</w:t>
      </w:r>
      <w:proofErr w:type="gramEnd"/>
      <w:r>
        <w:t xml:space="preserve"> The FAA did not receive any comments to the 60-day notice.</w:t>
      </w:r>
    </w:p>
    <w:p w:rsidR="000B10CE" w:rsidRDefault="000B10CE" w:rsidP="00A5372F"/>
    <w:p w:rsidR="004469F4" w:rsidRPr="00E523CD" w:rsidRDefault="00E523CD" w:rsidP="004469F4">
      <w:pPr>
        <w:rPr>
          <w:i/>
        </w:rPr>
      </w:pPr>
      <w:r>
        <w:t xml:space="preserve">9. </w:t>
      </w:r>
      <w:r w:rsidR="004469F4" w:rsidRPr="00E523CD">
        <w:rPr>
          <w:i/>
        </w:rPr>
        <w:t>Explain any decision to provide payment or gift to respondents, other than remuneration of contractors or grantees.</w:t>
      </w:r>
    </w:p>
    <w:p w:rsidR="004469F4" w:rsidRDefault="004469F4" w:rsidP="004469F4"/>
    <w:p w:rsidR="004469F4" w:rsidRDefault="004469F4" w:rsidP="004469F4">
      <w:r>
        <w:t>No payment or gifts to respondents will be made.</w:t>
      </w:r>
    </w:p>
    <w:p w:rsidR="004469F4" w:rsidRDefault="004469F4" w:rsidP="004469F4"/>
    <w:p w:rsidR="004469F4" w:rsidRDefault="00E523CD" w:rsidP="004469F4">
      <w:r>
        <w:lastRenderedPageBreak/>
        <w:t xml:space="preserve">10. </w:t>
      </w:r>
      <w:r w:rsidR="004469F4" w:rsidRPr="00E523CD">
        <w:rPr>
          <w:i/>
        </w:rPr>
        <w:t>Describe any assurance of confidentiality provided to respondents and the basis for the assurance in statute, regulation, or agency policy.</w:t>
      </w:r>
    </w:p>
    <w:p w:rsidR="004469F4" w:rsidRDefault="004469F4" w:rsidP="004469F4"/>
    <w:p w:rsidR="004469F4" w:rsidRDefault="004469F4" w:rsidP="004469F4">
      <w:r>
        <w:t>The information collected on these forms becomes part of the Privacy Act System of Records DOT/FAA 847, “</w:t>
      </w:r>
      <w:r w:rsidR="000F34CD">
        <w:t>Aviation Records on Individuals</w:t>
      </w:r>
      <w:r>
        <w:t>,” and is provided the protection outlined in the description of the system as published in the Federal Register.</w:t>
      </w:r>
    </w:p>
    <w:p w:rsidR="004469F4" w:rsidRDefault="004469F4" w:rsidP="004469F4"/>
    <w:p w:rsidR="004469F4" w:rsidRPr="00E523CD" w:rsidRDefault="00E523CD" w:rsidP="004469F4">
      <w:pPr>
        <w:rPr>
          <w:i/>
        </w:rPr>
      </w:pPr>
      <w:r>
        <w:t xml:space="preserve">11. </w:t>
      </w:r>
      <w:r w:rsidR="004469F4" w:rsidRPr="00E523CD">
        <w:rPr>
          <w:i/>
        </w:rPr>
        <w:t>Provide additional justification for any questions of a sensitive nature, such as sexual behavior and attitudes, religious beliefs, and other matters that are commonly considered private.</w:t>
      </w:r>
    </w:p>
    <w:p w:rsidR="004469F4" w:rsidRDefault="004469F4" w:rsidP="004469F4"/>
    <w:p w:rsidR="004469F4" w:rsidRDefault="004469F4" w:rsidP="004469F4">
      <w:r>
        <w:t>No information regarding sexual behavior or religious belief is collected. Applicants must respond to medical questions on these FAA Forms only so the FAA can make informed medical determinations.</w:t>
      </w:r>
    </w:p>
    <w:p w:rsidR="004469F4" w:rsidRDefault="004469F4" w:rsidP="004469F4"/>
    <w:p w:rsidR="004469F4" w:rsidRPr="00E523CD" w:rsidRDefault="00E523CD" w:rsidP="004469F4">
      <w:pPr>
        <w:rPr>
          <w:i/>
        </w:rPr>
      </w:pPr>
      <w:r>
        <w:t xml:space="preserve">12. </w:t>
      </w:r>
      <w:r w:rsidR="004469F4" w:rsidRPr="00E523CD">
        <w:rPr>
          <w:i/>
        </w:rPr>
        <w:t xml:space="preserve">Provide estimates of the hour burden of the collection of information. </w:t>
      </w:r>
    </w:p>
    <w:p w:rsidR="00A20392" w:rsidRDefault="00A20392" w:rsidP="00A203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980"/>
        <w:gridCol w:w="1080"/>
        <w:gridCol w:w="1350"/>
        <w:gridCol w:w="1080"/>
        <w:gridCol w:w="1620"/>
      </w:tblGrid>
      <w:tr w:rsidR="002017EA" w:rsidTr="002017EA">
        <w:trPr>
          <w:jc w:val="center"/>
        </w:trPr>
        <w:tc>
          <w:tcPr>
            <w:tcW w:w="1908"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Form #</w:t>
            </w:r>
          </w:p>
        </w:tc>
        <w:tc>
          <w:tcPr>
            <w:tcW w:w="19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 of Apps</w:t>
            </w:r>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proofErr w:type="spellStart"/>
            <w:r>
              <w:rPr>
                <w:sz w:val="22"/>
                <w:szCs w:val="22"/>
              </w:rPr>
              <w:t>Hrs</w:t>
            </w:r>
            <w:proofErr w:type="spellEnd"/>
            <w:r>
              <w:rPr>
                <w:sz w:val="22"/>
                <w:szCs w:val="22"/>
              </w:rPr>
              <w:t>/App</w:t>
            </w:r>
          </w:p>
        </w:tc>
        <w:tc>
          <w:tcPr>
            <w:tcW w:w="135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 xml:space="preserve">Total </w:t>
            </w:r>
            <w:proofErr w:type="spellStart"/>
            <w:r>
              <w:rPr>
                <w:sz w:val="22"/>
                <w:szCs w:val="22"/>
              </w:rPr>
              <w:t>Hrs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Cost/</w:t>
            </w:r>
            <w:proofErr w:type="spellStart"/>
            <w:r>
              <w:rPr>
                <w:sz w:val="22"/>
                <w:szCs w:val="22"/>
              </w:rPr>
              <w:t>Hr</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Total Cost</w:t>
            </w:r>
          </w:p>
        </w:tc>
      </w:tr>
      <w:tr w:rsidR="002017EA" w:rsidTr="002017EA">
        <w:trPr>
          <w:jc w:val="center"/>
        </w:trPr>
        <w:tc>
          <w:tcPr>
            <w:tcW w:w="1908"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8500-7 and -14</w:t>
            </w:r>
          </w:p>
        </w:tc>
        <w:tc>
          <w:tcPr>
            <w:tcW w:w="19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18,000 (CY 12)</w:t>
            </w:r>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.25</w:t>
            </w:r>
          </w:p>
        </w:tc>
        <w:tc>
          <w:tcPr>
            <w:tcW w:w="135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4,500</w:t>
            </w:r>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$35.56</w:t>
            </w:r>
          </w:p>
        </w:tc>
        <w:tc>
          <w:tcPr>
            <w:tcW w:w="162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$160,020</w:t>
            </w:r>
          </w:p>
        </w:tc>
      </w:tr>
      <w:tr w:rsidR="002017EA" w:rsidTr="002017EA">
        <w:trPr>
          <w:trHeight w:val="107"/>
          <w:jc w:val="center"/>
        </w:trPr>
        <w:tc>
          <w:tcPr>
            <w:tcW w:w="1908"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8500-8</w:t>
            </w:r>
          </w:p>
        </w:tc>
        <w:tc>
          <w:tcPr>
            <w:tcW w:w="19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378,782 (CY14)</w:t>
            </w:r>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1.5</w:t>
            </w:r>
          </w:p>
        </w:tc>
        <w:tc>
          <w:tcPr>
            <w:tcW w:w="135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568,173</w:t>
            </w:r>
          </w:p>
        </w:tc>
        <w:tc>
          <w:tcPr>
            <w:tcW w:w="10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$35.56</w:t>
            </w:r>
          </w:p>
        </w:tc>
        <w:tc>
          <w:tcPr>
            <w:tcW w:w="162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$20,204,232</w:t>
            </w:r>
          </w:p>
        </w:tc>
      </w:tr>
      <w:tr w:rsidR="002017EA" w:rsidTr="002017EA">
        <w:trPr>
          <w:jc w:val="center"/>
        </w:trPr>
        <w:tc>
          <w:tcPr>
            <w:tcW w:w="1908"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Totals</w:t>
            </w:r>
          </w:p>
        </w:tc>
        <w:tc>
          <w:tcPr>
            <w:tcW w:w="198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396,782</w:t>
            </w:r>
          </w:p>
        </w:tc>
        <w:tc>
          <w:tcPr>
            <w:tcW w:w="1080" w:type="dxa"/>
            <w:tcBorders>
              <w:top w:val="single" w:sz="4" w:space="0" w:color="auto"/>
              <w:left w:val="single" w:sz="4" w:space="0" w:color="auto"/>
              <w:bottom w:val="single" w:sz="4" w:space="0" w:color="auto"/>
              <w:right w:val="single" w:sz="4" w:space="0" w:color="auto"/>
            </w:tcBorders>
          </w:tcPr>
          <w:p w:rsidR="002017EA" w:rsidRDefault="002017EA">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572,673</w:t>
            </w:r>
          </w:p>
        </w:tc>
        <w:tc>
          <w:tcPr>
            <w:tcW w:w="1080" w:type="dxa"/>
            <w:tcBorders>
              <w:top w:val="single" w:sz="4" w:space="0" w:color="auto"/>
              <w:left w:val="single" w:sz="4" w:space="0" w:color="auto"/>
              <w:bottom w:val="single" w:sz="4" w:space="0" w:color="auto"/>
              <w:right w:val="single" w:sz="4" w:space="0" w:color="auto"/>
            </w:tcBorders>
          </w:tcPr>
          <w:p w:rsidR="002017EA" w:rsidRDefault="002017EA">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2017EA" w:rsidRDefault="002017EA">
            <w:pPr>
              <w:jc w:val="center"/>
              <w:rPr>
                <w:sz w:val="22"/>
                <w:szCs w:val="22"/>
              </w:rPr>
            </w:pPr>
            <w:r>
              <w:rPr>
                <w:sz w:val="22"/>
                <w:szCs w:val="22"/>
              </w:rPr>
              <w:t>$20,364,232</w:t>
            </w:r>
          </w:p>
        </w:tc>
      </w:tr>
    </w:tbl>
    <w:p w:rsidR="002017EA" w:rsidRDefault="002017EA" w:rsidP="00A20392"/>
    <w:p w:rsidR="007F1976" w:rsidRDefault="007F1976" w:rsidP="00A20392">
      <w:r w:rsidRPr="00D71886">
        <w:t>Pilots currently use form 8500-8 (</w:t>
      </w:r>
      <w:proofErr w:type="spellStart"/>
      <w:r w:rsidRPr="00D71886">
        <w:t>MedXpress</w:t>
      </w:r>
      <w:proofErr w:type="spellEnd"/>
      <w:r w:rsidRPr="00D71886">
        <w:t xml:space="preserve">) to apply for a medical certificate. Eligible pilots who choose to comply with the Alternative Pilot Physical Examination and Education Requirements (APPEER) will no longer complete form 8500-8. Pilots </w:t>
      </w:r>
      <w:r w:rsidR="00337B67" w:rsidRPr="00D71886">
        <w:t xml:space="preserve">age 40 and over </w:t>
      </w:r>
      <w:r w:rsidRPr="00D71886">
        <w:t>will save 0.5 hour in time to complete this form every two years and every 5 for pilots under age 40.</w:t>
      </w:r>
      <w:r w:rsidR="001265D4">
        <w:t xml:space="preserve"> </w:t>
      </w:r>
      <w:r w:rsidRPr="00D71886">
        <w:t>Savings are estimated from 2017 to 2026 and are shown in the table below.</w:t>
      </w:r>
    </w:p>
    <w:p w:rsidR="001265D4" w:rsidRDefault="001265D4" w:rsidP="00A20392"/>
    <w:p w:rsidR="007F1976" w:rsidRPr="00DA19A9" w:rsidRDefault="007F1976" w:rsidP="007F1976">
      <w:pPr>
        <w:ind w:left="720"/>
        <w:jc w:val="center"/>
        <w:rPr>
          <w:b/>
        </w:rPr>
      </w:pPr>
      <w:r>
        <w:rPr>
          <w:b/>
        </w:rPr>
        <w:t>Savings to Pilots (Year 2017 to 2026</w:t>
      </w:r>
      <w:r w:rsidRPr="00631594">
        <w:rPr>
          <w:b/>
        </w:rPr>
        <w:t>)</w:t>
      </w:r>
    </w:p>
    <w:tbl>
      <w:tblPr>
        <w:tblW w:w="9602"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341"/>
        <w:gridCol w:w="1255"/>
        <w:gridCol w:w="931"/>
        <w:gridCol w:w="891"/>
        <w:gridCol w:w="1352"/>
        <w:gridCol w:w="1238"/>
        <w:gridCol w:w="1537"/>
      </w:tblGrid>
      <w:tr w:rsidR="007F1976" w:rsidTr="002017EA">
        <w:trPr>
          <w:trHeight w:hRule="exact" w:val="505"/>
          <w:jc w:val="center"/>
        </w:trPr>
        <w:tc>
          <w:tcPr>
            <w:tcW w:w="1057" w:type="dxa"/>
            <w:shd w:val="clear" w:color="auto" w:fill="auto"/>
            <w:vAlign w:val="bottom"/>
          </w:tcPr>
          <w:p w:rsidR="007F1976" w:rsidRPr="00D54D53" w:rsidRDefault="007F1976" w:rsidP="006001B5">
            <w:pPr>
              <w:jc w:val="center"/>
              <w:rPr>
                <w:sz w:val="22"/>
                <w:szCs w:val="22"/>
              </w:rPr>
            </w:pPr>
            <w:r w:rsidRPr="00D54D53">
              <w:rPr>
                <w:sz w:val="22"/>
                <w:szCs w:val="22"/>
              </w:rPr>
              <w:t>Form</w:t>
            </w:r>
          </w:p>
        </w:tc>
        <w:tc>
          <w:tcPr>
            <w:tcW w:w="1341" w:type="dxa"/>
            <w:shd w:val="clear" w:color="auto" w:fill="auto"/>
            <w:vAlign w:val="bottom"/>
          </w:tcPr>
          <w:p w:rsidR="007F1976" w:rsidRPr="00D54D53" w:rsidRDefault="007F1976" w:rsidP="006001B5">
            <w:pPr>
              <w:jc w:val="center"/>
              <w:rPr>
                <w:sz w:val="22"/>
                <w:szCs w:val="22"/>
              </w:rPr>
            </w:pPr>
            <w:r w:rsidRPr="00D54D53">
              <w:rPr>
                <w:sz w:val="22"/>
                <w:szCs w:val="22"/>
              </w:rPr>
              <w:t># of Applications</w:t>
            </w:r>
          </w:p>
        </w:tc>
        <w:tc>
          <w:tcPr>
            <w:tcW w:w="1255" w:type="dxa"/>
            <w:shd w:val="clear" w:color="auto" w:fill="auto"/>
            <w:vAlign w:val="bottom"/>
          </w:tcPr>
          <w:p w:rsidR="007F1976" w:rsidRPr="00D54D53" w:rsidRDefault="007F1976" w:rsidP="006001B5">
            <w:pPr>
              <w:jc w:val="center"/>
              <w:rPr>
                <w:sz w:val="22"/>
                <w:szCs w:val="22"/>
              </w:rPr>
            </w:pPr>
            <w:r w:rsidRPr="00D54D53">
              <w:rPr>
                <w:sz w:val="22"/>
                <w:szCs w:val="22"/>
              </w:rPr>
              <w:t>Hours Per Application</w:t>
            </w:r>
          </w:p>
        </w:tc>
        <w:tc>
          <w:tcPr>
            <w:tcW w:w="931" w:type="dxa"/>
            <w:shd w:val="clear" w:color="auto" w:fill="auto"/>
            <w:vAlign w:val="bottom"/>
          </w:tcPr>
          <w:p w:rsidR="007F1976" w:rsidRPr="00D54D53" w:rsidRDefault="007F1976" w:rsidP="006001B5">
            <w:pPr>
              <w:jc w:val="center"/>
              <w:rPr>
                <w:sz w:val="22"/>
                <w:szCs w:val="22"/>
              </w:rPr>
            </w:pPr>
            <w:r w:rsidRPr="00D54D53">
              <w:rPr>
                <w:sz w:val="22"/>
                <w:szCs w:val="22"/>
              </w:rPr>
              <w:t>Total Hours</w:t>
            </w:r>
          </w:p>
        </w:tc>
        <w:tc>
          <w:tcPr>
            <w:tcW w:w="891" w:type="dxa"/>
            <w:shd w:val="clear" w:color="auto" w:fill="auto"/>
            <w:vAlign w:val="bottom"/>
          </w:tcPr>
          <w:p w:rsidR="007F1976" w:rsidRPr="00D54D53" w:rsidRDefault="007F1976" w:rsidP="006001B5">
            <w:pPr>
              <w:jc w:val="center"/>
              <w:rPr>
                <w:sz w:val="22"/>
                <w:szCs w:val="22"/>
              </w:rPr>
            </w:pPr>
            <w:r w:rsidRPr="00D54D53">
              <w:rPr>
                <w:sz w:val="22"/>
                <w:szCs w:val="22"/>
              </w:rPr>
              <w:t>Hourly Wage</w:t>
            </w:r>
          </w:p>
        </w:tc>
        <w:tc>
          <w:tcPr>
            <w:tcW w:w="1352" w:type="dxa"/>
            <w:shd w:val="clear" w:color="auto" w:fill="auto"/>
            <w:vAlign w:val="bottom"/>
          </w:tcPr>
          <w:p w:rsidR="007F1976" w:rsidRPr="00D54D53" w:rsidRDefault="007F1976" w:rsidP="006001B5">
            <w:pPr>
              <w:jc w:val="center"/>
              <w:rPr>
                <w:sz w:val="22"/>
                <w:szCs w:val="22"/>
              </w:rPr>
            </w:pPr>
            <w:r w:rsidRPr="00D54D53">
              <w:rPr>
                <w:sz w:val="22"/>
                <w:szCs w:val="22"/>
              </w:rPr>
              <w:t>Total Savings (millions)</w:t>
            </w:r>
          </w:p>
        </w:tc>
        <w:tc>
          <w:tcPr>
            <w:tcW w:w="1238" w:type="dxa"/>
            <w:vAlign w:val="bottom"/>
          </w:tcPr>
          <w:p w:rsidR="007F1976" w:rsidRPr="00D54D53" w:rsidRDefault="007F1976" w:rsidP="006001B5">
            <w:pPr>
              <w:jc w:val="center"/>
              <w:rPr>
                <w:sz w:val="22"/>
                <w:szCs w:val="22"/>
              </w:rPr>
            </w:pPr>
            <w:r w:rsidRPr="00D54D53">
              <w:rPr>
                <w:color w:val="000000"/>
                <w:sz w:val="22"/>
                <w:szCs w:val="22"/>
              </w:rPr>
              <w:t>PV at 7% (millions)</w:t>
            </w:r>
          </w:p>
        </w:tc>
        <w:tc>
          <w:tcPr>
            <w:tcW w:w="1537" w:type="dxa"/>
            <w:vAlign w:val="bottom"/>
          </w:tcPr>
          <w:p w:rsidR="007F1976" w:rsidRPr="00D54D53" w:rsidRDefault="007F1976" w:rsidP="006001B5">
            <w:pPr>
              <w:jc w:val="center"/>
              <w:rPr>
                <w:color w:val="000000"/>
                <w:sz w:val="22"/>
                <w:szCs w:val="22"/>
              </w:rPr>
            </w:pPr>
            <w:r w:rsidRPr="00D54D53">
              <w:rPr>
                <w:color w:val="000000"/>
                <w:sz w:val="22"/>
                <w:szCs w:val="22"/>
              </w:rPr>
              <w:t>Annualized at 7%</w:t>
            </w:r>
            <w:r w:rsidRPr="00D54D53">
              <w:rPr>
                <w:color w:val="000000"/>
                <w:sz w:val="22"/>
                <w:szCs w:val="22"/>
              </w:rPr>
              <w:br/>
              <w:t>(millions)</w:t>
            </w:r>
          </w:p>
        </w:tc>
      </w:tr>
      <w:tr w:rsidR="007F1976" w:rsidTr="002017EA">
        <w:trPr>
          <w:trHeight w:hRule="exact" w:val="280"/>
          <w:jc w:val="center"/>
        </w:trPr>
        <w:tc>
          <w:tcPr>
            <w:tcW w:w="1057" w:type="dxa"/>
            <w:shd w:val="clear" w:color="auto" w:fill="auto"/>
            <w:vAlign w:val="bottom"/>
          </w:tcPr>
          <w:p w:rsidR="007F1976" w:rsidRPr="00D54D53" w:rsidRDefault="007F1976" w:rsidP="007F1976">
            <w:pPr>
              <w:jc w:val="center"/>
              <w:rPr>
                <w:sz w:val="22"/>
                <w:szCs w:val="22"/>
              </w:rPr>
            </w:pPr>
            <w:r w:rsidRPr="00D54D53">
              <w:rPr>
                <w:sz w:val="22"/>
                <w:szCs w:val="22"/>
              </w:rPr>
              <w:t>8500-8</w:t>
            </w:r>
          </w:p>
        </w:tc>
        <w:tc>
          <w:tcPr>
            <w:tcW w:w="1341" w:type="dxa"/>
            <w:shd w:val="clear" w:color="auto" w:fill="auto"/>
            <w:vAlign w:val="bottom"/>
          </w:tcPr>
          <w:p w:rsidR="007F1976" w:rsidRPr="00D54D53" w:rsidRDefault="007F1976" w:rsidP="006001B5">
            <w:pPr>
              <w:jc w:val="center"/>
              <w:rPr>
                <w:sz w:val="22"/>
                <w:szCs w:val="22"/>
              </w:rPr>
            </w:pPr>
            <w:r w:rsidRPr="00D54D53">
              <w:rPr>
                <w:sz w:val="22"/>
                <w:szCs w:val="22"/>
              </w:rPr>
              <w:t>1,988,468</w:t>
            </w:r>
          </w:p>
        </w:tc>
        <w:tc>
          <w:tcPr>
            <w:tcW w:w="1255" w:type="dxa"/>
            <w:shd w:val="clear" w:color="auto" w:fill="auto"/>
            <w:vAlign w:val="bottom"/>
          </w:tcPr>
          <w:p w:rsidR="007F1976" w:rsidRPr="00D54D53" w:rsidRDefault="007F1976" w:rsidP="006001B5">
            <w:pPr>
              <w:jc w:val="center"/>
              <w:rPr>
                <w:sz w:val="22"/>
                <w:szCs w:val="22"/>
              </w:rPr>
            </w:pPr>
            <w:r w:rsidRPr="00D54D53">
              <w:rPr>
                <w:sz w:val="22"/>
                <w:szCs w:val="22"/>
              </w:rPr>
              <w:t xml:space="preserve">0.5 </w:t>
            </w:r>
          </w:p>
        </w:tc>
        <w:tc>
          <w:tcPr>
            <w:tcW w:w="931" w:type="dxa"/>
            <w:shd w:val="clear" w:color="auto" w:fill="auto"/>
            <w:vAlign w:val="bottom"/>
          </w:tcPr>
          <w:p w:rsidR="007F1976" w:rsidRPr="00D54D53" w:rsidRDefault="007F1976" w:rsidP="006001B5">
            <w:pPr>
              <w:jc w:val="center"/>
              <w:rPr>
                <w:sz w:val="22"/>
                <w:szCs w:val="22"/>
              </w:rPr>
            </w:pPr>
            <w:r w:rsidRPr="00D54D53">
              <w:rPr>
                <w:sz w:val="22"/>
                <w:szCs w:val="22"/>
              </w:rPr>
              <w:t>994,234</w:t>
            </w:r>
          </w:p>
        </w:tc>
        <w:tc>
          <w:tcPr>
            <w:tcW w:w="891" w:type="dxa"/>
            <w:shd w:val="clear" w:color="auto" w:fill="auto"/>
            <w:vAlign w:val="bottom"/>
          </w:tcPr>
          <w:p w:rsidR="007F1976" w:rsidRPr="00D54D53" w:rsidRDefault="007F1976" w:rsidP="006001B5">
            <w:pPr>
              <w:jc w:val="center"/>
              <w:rPr>
                <w:sz w:val="22"/>
                <w:szCs w:val="22"/>
              </w:rPr>
            </w:pPr>
            <w:r w:rsidRPr="00D54D53">
              <w:rPr>
                <w:sz w:val="22"/>
                <w:szCs w:val="22"/>
              </w:rPr>
              <w:t>$25.00</w:t>
            </w:r>
            <w:r w:rsidRPr="00D54D53">
              <w:rPr>
                <w:rStyle w:val="FootnoteReference"/>
                <w:sz w:val="22"/>
                <w:szCs w:val="22"/>
              </w:rPr>
              <w:footnoteReference w:id="1"/>
            </w:r>
          </w:p>
        </w:tc>
        <w:tc>
          <w:tcPr>
            <w:tcW w:w="1352" w:type="dxa"/>
            <w:shd w:val="clear" w:color="auto" w:fill="auto"/>
            <w:vAlign w:val="bottom"/>
          </w:tcPr>
          <w:p w:rsidR="007F1976" w:rsidRPr="00D54D53" w:rsidRDefault="007F1976" w:rsidP="006001B5">
            <w:pPr>
              <w:jc w:val="center"/>
              <w:rPr>
                <w:sz w:val="22"/>
                <w:szCs w:val="22"/>
              </w:rPr>
            </w:pPr>
            <w:r w:rsidRPr="00D54D53">
              <w:rPr>
                <w:sz w:val="22"/>
                <w:szCs w:val="22"/>
              </w:rPr>
              <w:t>$27.0</w:t>
            </w:r>
          </w:p>
        </w:tc>
        <w:tc>
          <w:tcPr>
            <w:tcW w:w="1238" w:type="dxa"/>
            <w:vAlign w:val="bottom"/>
          </w:tcPr>
          <w:p w:rsidR="007F1976" w:rsidRPr="00D54D53" w:rsidRDefault="007F1976" w:rsidP="006001B5">
            <w:pPr>
              <w:jc w:val="center"/>
              <w:rPr>
                <w:sz w:val="22"/>
                <w:szCs w:val="22"/>
              </w:rPr>
            </w:pPr>
            <w:r w:rsidRPr="00D54D53">
              <w:rPr>
                <w:sz w:val="22"/>
                <w:szCs w:val="22"/>
              </w:rPr>
              <w:t>$19.2</w:t>
            </w:r>
          </w:p>
        </w:tc>
        <w:tc>
          <w:tcPr>
            <w:tcW w:w="1537" w:type="dxa"/>
            <w:vAlign w:val="bottom"/>
          </w:tcPr>
          <w:p w:rsidR="007F1976" w:rsidRPr="00D54D53" w:rsidRDefault="007F1976" w:rsidP="006001B5">
            <w:pPr>
              <w:jc w:val="center"/>
              <w:rPr>
                <w:sz w:val="22"/>
                <w:szCs w:val="22"/>
              </w:rPr>
            </w:pPr>
            <w:r w:rsidRPr="00D54D53">
              <w:rPr>
                <w:sz w:val="22"/>
                <w:szCs w:val="22"/>
              </w:rPr>
              <w:t>$2.7</w:t>
            </w:r>
          </w:p>
        </w:tc>
      </w:tr>
    </w:tbl>
    <w:p w:rsidR="007F1976" w:rsidRDefault="007F1976" w:rsidP="00A20392">
      <w:bookmarkStart w:id="2" w:name="_GoBack"/>
      <w:bookmarkEnd w:id="2"/>
    </w:p>
    <w:p w:rsidR="002017EA" w:rsidRDefault="001265D4" w:rsidP="00A20392">
      <w:r>
        <w:t>The average of those 10 years is estimated in the following table:</w:t>
      </w:r>
    </w:p>
    <w:p w:rsidR="002017EA" w:rsidRDefault="002017EA" w:rsidP="00A20392"/>
    <w:p w:rsidR="001265D4" w:rsidRDefault="001265D4" w:rsidP="001265D4">
      <w:pPr>
        <w:jc w:val="center"/>
      </w:pPr>
      <w:r>
        <w:t>Average Yearly Applications</w:t>
      </w:r>
    </w:p>
    <w:tbl>
      <w:tblPr>
        <w:tblW w:w="10468" w:type="dxa"/>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804"/>
        <w:gridCol w:w="2250"/>
        <w:gridCol w:w="1440"/>
        <w:gridCol w:w="1440"/>
        <w:gridCol w:w="2426"/>
      </w:tblGrid>
      <w:tr w:rsidR="008F40A8" w:rsidTr="008F40A8">
        <w:trPr>
          <w:trHeight w:hRule="exact" w:val="316"/>
          <w:jc w:val="center"/>
        </w:trPr>
        <w:tc>
          <w:tcPr>
            <w:tcW w:w="1108" w:type="dxa"/>
            <w:shd w:val="clear" w:color="auto" w:fill="auto"/>
            <w:vAlign w:val="bottom"/>
          </w:tcPr>
          <w:p w:rsidR="001265D4" w:rsidRPr="00D54D53" w:rsidRDefault="001265D4" w:rsidP="008F40A8">
            <w:pPr>
              <w:jc w:val="center"/>
              <w:rPr>
                <w:sz w:val="22"/>
                <w:szCs w:val="22"/>
              </w:rPr>
            </w:pPr>
            <w:r w:rsidRPr="00D54D53">
              <w:rPr>
                <w:sz w:val="22"/>
                <w:szCs w:val="22"/>
              </w:rPr>
              <w:t>Form</w:t>
            </w:r>
          </w:p>
        </w:tc>
        <w:tc>
          <w:tcPr>
            <w:tcW w:w="1804" w:type="dxa"/>
            <w:shd w:val="clear" w:color="auto" w:fill="auto"/>
            <w:vAlign w:val="bottom"/>
          </w:tcPr>
          <w:p w:rsidR="001265D4" w:rsidRPr="00D54D53" w:rsidRDefault="001265D4" w:rsidP="008F40A8">
            <w:pPr>
              <w:jc w:val="center"/>
              <w:rPr>
                <w:sz w:val="22"/>
                <w:szCs w:val="22"/>
              </w:rPr>
            </w:pPr>
            <w:r w:rsidRPr="00D54D53">
              <w:rPr>
                <w:sz w:val="22"/>
                <w:szCs w:val="22"/>
              </w:rPr>
              <w:t># of Applications</w:t>
            </w:r>
          </w:p>
        </w:tc>
        <w:tc>
          <w:tcPr>
            <w:tcW w:w="2250" w:type="dxa"/>
            <w:shd w:val="clear" w:color="auto" w:fill="auto"/>
            <w:vAlign w:val="bottom"/>
          </w:tcPr>
          <w:p w:rsidR="001265D4" w:rsidRPr="00D54D53" w:rsidRDefault="001265D4" w:rsidP="008F40A8">
            <w:pPr>
              <w:jc w:val="center"/>
              <w:rPr>
                <w:sz w:val="22"/>
                <w:szCs w:val="22"/>
              </w:rPr>
            </w:pPr>
            <w:r w:rsidRPr="00D54D53">
              <w:rPr>
                <w:sz w:val="22"/>
                <w:szCs w:val="22"/>
              </w:rPr>
              <w:t>Hours Per Application</w:t>
            </w:r>
          </w:p>
        </w:tc>
        <w:tc>
          <w:tcPr>
            <w:tcW w:w="1440" w:type="dxa"/>
            <w:shd w:val="clear" w:color="auto" w:fill="auto"/>
            <w:vAlign w:val="bottom"/>
          </w:tcPr>
          <w:p w:rsidR="001265D4" w:rsidRPr="00D54D53" w:rsidRDefault="001265D4" w:rsidP="008F40A8">
            <w:pPr>
              <w:jc w:val="center"/>
              <w:rPr>
                <w:sz w:val="22"/>
                <w:szCs w:val="22"/>
              </w:rPr>
            </w:pPr>
            <w:r w:rsidRPr="00D54D53">
              <w:rPr>
                <w:sz w:val="22"/>
                <w:szCs w:val="22"/>
              </w:rPr>
              <w:t>Total Hours</w:t>
            </w:r>
          </w:p>
        </w:tc>
        <w:tc>
          <w:tcPr>
            <w:tcW w:w="1440" w:type="dxa"/>
            <w:shd w:val="clear" w:color="auto" w:fill="auto"/>
            <w:vAlign w:val="bottom"/>
          </w:tcPr>
          <w:p w:rsidR="001265D4" w:rsidRPr="004A09EB" w:rsidRDefault="004A09EB" w:rsidP="004A09EB">
            <w:pPr>
              <w:rPr>
                <w:b/>
                <w:sz w:val="22"/>
                <w:szCs w:val="22"/>
              </w:rPr>
            </w:pPr>
            <w:r>
              <w:rPr>
                <w:b/>
                <w:sz w:val="22"/>
                <w:szCs w:val="22"/>
              </w:rPr>
              <w:t>Total Apps.</w:t>
            </w:r>
          </w:p>
        </w:tc>
        <w:tc>
          <w:tcPr>
            <w:tcW w:w="2426" w:type="dxa"/>
            <w:shd w:val="clear" w:color="auto" w:fill="auto"/>
            <w:vAlign w:val="bottom"/>
          </w:tcPr>
          <w:p w:rsidR="001265D4" w:rsidRPr="004A09EB" w:rsidRDefault="004A09EB" w:rsidP="004A09EB">
            <w:pPr>
              <w:rPr>
                <w:b/>
                <w:sz w:val="22"/>
                <w:szCs w:val="22"/>
              </w:rPr>
            </w:pPr>
            <w:r>
              <w:rPr>
                <w:b/>
                <w:sz w:val="22"/>
                <w:szCs w:val="22"/>
              </w:rPr>
              <w:t>Total Hours</w:t>
            </w:r>
          </w:p>
        </w:tc>
      </w:tr>
      <w:tr w:rsidR="008F40A8" w:rsidTr="008F40A8">
        <w:trPr>
          <w:trHeight w:hRule="exact" w:val="280"/>
          <w:jc w:val="center"/>
        </w:trPr>
        <w:tc>
          <w:tcPr>
            <w:tcW w:w="1108" w:type="dxa"/>
            <w:shd w:val="clear" w:color="auto" w:fill="auto"/>
            <w:vAlign w:val="bottom"/>
          </w:tcPr>
          <w:p w:rsidR="001265D4" w:rsidRPr="00D54D53" w:rsidRDefault="001265D4" w:rsidP="001265D4">
            <w:pPr>
              <w:jc w:val="center"/>
              <w:rPr>
                <w:sz w:val="22"/>
                <w:szCs w:val="22"/>
              </w:rPr>
            </w:pPr>
            <w:r w:rsidRPr="00D54D53">
              <w:rPr>
                <w:sz w:val="22"/>
                <w:szCs w:val="22"/>
              </w:rPr>
              <w:t>8500-8</w:t>
            </w:r>
          </w:p>
        </w:tc>
        <w:tc>
          <w:tcPr>
            <w:tcW w:w="1804" w:type="dxa"/>
            <w:shd w:val="clear" w:color="auto" w:fill="auto"/>
            <w:vAlign w:val="bottom"/>
          </w:tcPr>
          <w:p w:rsidR="001265D4" w:rsidRPr="00D54D53" w:rsidRDefault="001265D4" w:rsidP="001265D4">
            <w:pPr>
              <w:jc w:val="center"/>
              <w:rPr>
                <w:sz w:val="22"/>
                <w:szCs w:val="22"/>
              </w:rPr>
            </w:pPr>
            <w:r w:rsidRPr="00D54D53">
              <w:rPr>
                <w:sz w:val="22"/>
                <w:szCs w:val="22"/>
              </w:rPr>
              <w:t>1</w:t>
            </w:r>
            <w:r>
              <w:rPr>
                <w:sz w:val="22"/>
                <w:szCs w:val="22"/>
              </w:rPr>
              <w:t>98,874</w:t>
            </w:r>
          </w:p>
        </w:tc>
        <w:tc>
          <w:tcPr>
            <w:tcW w:w="2250" w:type="dxa"/>
            <w:shd w:val="clear" w:color="auto" w:fill="auto"/>
            <w:vAlign w:val="bottom"/>
          </w:tcPr>
          <w:p w:rsidR="001265D4" w:rsidRPr="00D54D53" w:rsidRDefault="001265D4" w:rsidP="001265D4">
            <w:pPr>
              <w:jc w:val="center"/>
              <w:rPr>
                <w:sz w:val="22"/>
                <w:szCs w:val="22"/>
              </w:rPr>
            </w:pPr>
            <w:r w:rsidRPr="00D54D53">
              <w:rPr>
                <w:sz w:val="22"/>
                <w:szCs w:val="22"/>
              </w:rPr>
              <w:t xml:space="preserve">0.5 </w:t>
            </w:r>
          </w:p>
        </w:tc>
        <w:tc>
          <w:tcPr>
            <w:tcW w:w="1440" w:type="dxa"/>
            <w:shd w:val="clear" w:color="auto" w:fill="auto"/>
            <w:vAlign w:val="bottom"/>
          </w:tcPr>
          <w:p w:rsidR="001265D4" w:rsidRPr="00D54D53" w:rsidRDefault="001265D4" w:rsidP="001265D4">
            <w:pPr>
              <w:jc w:val="center"/>
              <w:rPr>
                <w:sz w:val="22"/>
                <w:szCs w:val="22"/>
              </w:rPr>
            </w:pPr>
            <w:r w:rsidRPr="00D54D53">
              <w:rPr>
                <w:sz w:val="22"/>
                <w:szCs w:val="22"/>
              </w:rPr>
              <w:t>99</w:t>
            </w:r>
            <w:r>
              <w:rPr>
                <w:sz w:val="22"/>
                <w:szCs w:val="22"/>
              </w:rPr>
              <w:t>,423</w:t>
            </w:r>
          </w:p>
        </w:tc>
        <w:tc>
          <w:tcPr>
            <w:tcW w:w="1440" w:type="dxa"/>
            <w:shd w:val="clear" w:color="auto" w:fill="auto"/>
            <w:vAlign w:val="bottom"/>
          </w:tcPr>
          <w:p w:rsidR="001265D4" w:rsidRPr="00D54D53" w:rsidRDefault="001265D4" w:rsidP="004A09EB">
            <w:pPr>
              <w:jc w:val="center"/>
              <w:rPr>
                <w:sz w:val="22"/>
                <w:szCs w:val="22"/>
              </w:rPr>
            </w:pPr>
          </w:p>
        </w:tc>
        <w:tc>
          <w:tcPr>
            <w:tcW w:w="2426" w:type="dxa"/>
            <w:shd w:val="clear" w:color="auto" w:fill="auto"/>
            <w:vAlign w:val="bottom"/>
          </w:tcPr>
          <w:p w:rsidR="001265D4" w:rsidRPr="00D54D53" w:rsidRDefault="001265D4" w:rsidP="001265D4">
            <w:pPr>
              <w:jc w:val="center"/>
              <w:rPr>
                <w:sz w:val="22"/>
                <w:szCs w:val="22"/>
              </w:rPr>
            </w:pPr>
          </w:p>
        </w:tc>
      </w:tr>
      <w:tr w:rsidR="004A09EB" w:rsidTr="004A09EB">
        <w:trPr>
          <w:trHeight w:hRule="exact" w:val="541"/>
          <w:jc w:val="center"/>
        </w:trPr>
        <w:tc>
          <w:tcPr>
            <w:tcW w:w="1108" w:type="dxa"/>
            <w:shd w:val="clear" w:color="auto" w:fill="auto"/>
            <w:vAlign w:val="bottom"/>
          </w:tcPr>
          <w:p w:rsidR="004A09EB" w:rsidRPr="00D54D53" w:rsidRDefault="004A09EB" w:rsidP="001265D4">
            <w:pPr>
              <w:jc w:val="center"/>
              <w:rPr>
                <w:sz w:val="22"/>
                <w:szCs w:val="22"/>
              </w:rPr>
            </w:pPr>
            <w:r>
              <w:rPr>
                <w:sz w:val="22"/>
                <w:szCs w:val="22"/>
              </w:rPr>
              <w:t>8500-7 and -14</w:t>
            </w:r>
          </w:p>
        </w:tc>
        <w:tc>
          <w:tcPr>
            <w:tcW w:w="1804" w:type="dxa"/>
            <w:shd w:val="clear" w:color="auto" w:fill="auto"/>
            <w:vAlign w:val="bottom"/>
          </w:tcPr>
          <w:p w:rsidR="004A09EB" w:rsidRPr="00D54D53" w:rsidRDefault="004A09EB" w:rsidP="001265D4">
            <w:pPr>
              <w:jc w:val="center"/>
              <w:rPr>
                <w:sz w:val="22"/>
                <w:szCs w:val="22"/>
              </w:rPr>
            </w:pPr>
            <w:r>
              <w:rPr>
                <w:sz w:val="22"/>
                <w:szCs w:val="22"/>
              </w:rPr>
              <w:t>18,000</w:t>
            </w:r>
          </w:p>
        </w:tc>
        <w:tc>
          <w:tcPr>
            <w:tcW w:w="2250" w:type="dxa"/>
            <w:shd w:val="clear" w:color="auto" w:fill="auto"/>
            <w:vAlign w:val="bottom"/>
          </w:tcPr>
          <w:p w:rsidR="004A09EB" w:rsidRPr="00D54D53" w:rsidRDefault="004A09EB" w:rsidP="001265D4">
            <w:pPr>
              <w:jc w:val="center"/>
              <w:rPr>
                <w:sz w:val="22"/>
                <w:szCs w:val="22"/>
              </w:rPr>
            </w:pPr>
            <w:r>
              <w:rPr>
                <w:sz w:val="22"/>
                <w:szCs w:val="22"/>
              </w:rPr>
              <w:t>.25</w:t>
            </w:r>
          </w:p>
        </w:tc>
        <w:tc>
          <w:tcPr>
            <w:tcW w:w="1440" w:type="dxa"/>
            <w:shd w:val="clear" w:color="auto" w:fill="auto"/>
            <w:vAlign w:val="bottom"/>
          </w:tcPr>
          <w:p w:rsidR="004A09EB" w:rsidRPr="00D54D53" w:rsidRDefault="004A09EB" w:rsidP="001265D4">
            <w:pPr>
              <w:jc w:val="center"/>
              <w:rPr>
                <w:sz w:val="22"/>
                <w:szCs w:val="22"/>
              </w:rPr>
            </w:pPr>
            <w:r>
              <w:rPr>
                <w:sz w:val="22"/>
                <w:szCs w:val="22"/>
              </w:rPr>
              <w:t>4,500</w:t>
            </w:r>
          </w:p>
        </w:tc>
        <w:tc>
          <w:tcPr>
            <w:tcW w:w="1440" w:type="dxa"/>
            <w:shd w:val="clear" w:color="auto" w:fill="auto"/>
            <w:vAlign w:val="bottom"/>
          </w:tcPr>
          <w:p w:rsidR="004A09EB" w:rsidRPr="004A09EB" w:rsidRDefault="004A09EB" w:rsidP="001265D4">
            <w:pPr>
              <w:jc w:val="center"/>
              <w:rPr>
                <w:b/>
                <w:sz w:val="22"/>
                <w:szCs w:val="22"/>
              </w:rPr>
            </w:pPr>
            <w:r w:rsidRPr="004A09EB">
              <w:rPr>
                <w:b/>
                <w:sz w:val="22"/>
                <w:szCs w:val="22"/>
              </w:rPr>
              <w:t>216,874</w:t>
            </w:r>
          </w:p>
        </w:tc>
        <w:tc>
          <w:tcPr>
            <w:tcW w:w="2426" w:type="dxa"/>
            <w:shd w:val="clear" w:color="auto" w:fill="auto"/>
            <w:vAlign w:val="bottom"/>
          </w:tcPr>
          <w:p w:rsidR="004A09EB" w:rsidRPr="004A09EB" w:rsidRDefault="004A09EB" w:rsidP="001265D4">
            <w:pPr>
              <w:jc w:val="center"/>
              <w:rPr>
                <w:b/>
                <w:sz w:val="22"/>
                <w:szCs w:val="22"/>
              </w:rPr>
            </w:pPr>
            <w:r w:rsidRPr="004A09EB">
              <w:rPr>
                <w:b/>
                <w:sz w:val="22"/>
                <w:szCs w:val="22"/>
              </w:rPr>
              <w:t>103,923</w:t>
            </w:r>
          </w:p>
        </w:tc>
      </w:tr>
    </w:tbl>
    <w:p w:rsidR="00A20392" w:rsidRDefault="00A20392" w:rsidP="004469F4"/>
    <w:p w:rsidR="004469F4" w:rsidRPr="00E523CD" w:rsidRDefault="00E523CD" w:rsidP="004469F4">
      <w:pPr>
        <w:rPr>
          <w:i/>
        </w:rPr>
      </w:pPr>
      <w:r>
        <w:t xml:space="preserve">13. </w:t>
      </w:r>
      <w:r w:rsidR="004469F4" w:rsidRPr="00E523CD">
        <w:rPr>
          <w:i/>
        </w:rPr>
        <w:t>Provide an estimate of the total annual cost burden to respondents or record keepers resulting from the collection of information. (Do not include the costs not already included in Items 12 and 14.)</w:t>
      </w:r>
    </w:p>
    <w:p w:rsidR="004469F4" w:rsidRPr="00E523CD" w:rsidRDefault="004469F4" w:rsidP="004469F4">
      <w:pPr>
        <w:rPr>
          <w:i/>
        </w:rPr>
      </w:pPr>
    </w:p>
    <w:p w:rsidR="004469F4" w:rsidRDefault="004469F4" w:rsidP="004469F4">
      <w:r>
        <w:lastRenderedPageBreak/>
        <w:t xml:space="preserve">Once the information on FAA Form 8500-8 is collected, respondents must receive a medical examination in order to be certificated to exercise pilot privileges.  The average cost of a basic medical examination is estimated at $117.00. </w:t>
      </w:r>
    </w:p>
    <w:p w:rsidR="004469F4" w:rsidRDefault="004469F4" w:rsidP="004469F4"/>
    <w:p w:rsidR="004469F4" w:rsidRDefault="004469F4" w:rsidP="004469F4">
      <w:r>
        <w:t xml:space="preserve">$117.00 x </w:t>
      </w:r>
      <w:r w:rsidR="00B7131E" w:rsidRPr="00B7131E">
        <w:rPr>
          <w:b/>
        </w:rPr>
        <w:t>378,782</w:t>
      </w:r>
      <w:r>
        <w:t xml:space="preserve"> submissions of 8500-8 in CY </w:t>
      </w:r>
      <w:r w:rsidR="00B7131E" w:rsidRPr="00B7131E">
        <w:rPr>
          <w:b/>
        </w:rPr>
        <w:t>2014</w:t>
      </w:r>
      <w:r>
        <w:t xml:space="preserve"> = </w:t>
      </w:r>
      <w:r w:rsidRPr="00B7131E">
        <w:rPr>
          <w:b/>
        </w:rPr>
        <w:t>$</w:t>
      </w:r>
      <w:r w:rsidR="00B7131E" w:rsidRPr="00B7131E">
        <w:rPr>
          <w:b/>
        </w:rPr>
        <w:t xml:space="preserve"> 44,317,494</w:t>
      </w:r>
    </w:p>
    <w:p w:rsidR="004469F4" w:rsidRDefault="004469F4" w:rsidP="004469F4"/>
    <w:p w:rsidR="004469F4" w:rsidRPr="00E523CD" w:rsidRDefault="00E523CD" w:rsidP="004469F4">
      <w:pPr>
        <w:rPr>
          <w:i/>
        </w:rPr>
      </w:pPr>
      <w:r>
        <w:t xml:space="preserve">14. </w:t>
      </w:r>
      <w:r w:rsidR="004469F4" w:rsidRPr="00E523CD">
        <w:rPr>
          <w:i/>
        </w:rPr>
        <w:t xml:space="preserve">Provide estimates of annualized costs to the Federal Government. </w:t>
      </w:r>
    </w:p>
    <w:p w:rsidR="004469F4" w:rsidRDefault="004469F4" w:rsidP="004469F4"/>
    <w:p w:rsidR="004469F4" w:rsidRDefault="004469F4" w:rsidP="004469F4">
      <w:r>
        <w:t>Estimated annual cost to the Federal Government is $</w:t>
      </w:r>
      <w:r w:rsidR="00755E21" w:rsidRPr="00755E21">
        <w:rPr>
          <w:b/>
        </w:rPr>
        <w:t>2,675,113</w:t>
      </w:r>
    </w:p>
    <w:p w:rsidR="004469F4" w:rsidRDefault="004469F4" w:rsidP="004469F4"/>
    <w:p w:rsidR="004469F4" w:rsidRDefault="004469F4" w:rsidP="004469F4">
      <w:r>
        <w:t xml:space="preserve">This cost is determined by estimating the time required for FAA personnel to review and process FAA </w:t>
      </w:r>
      <w:r w:rsidR="00AF74B5">
        <w:t>Form 8500</w:t>
      </w:r>
      <w:r>
        <w:t xml:space="preserve">-8. We estimate that 75% of applications are electronically reviewed. The remaining 25% will go to an FAA Legal Instruments Examiner (LIE). We estimate that </w:t>
      </w:r>
      <w:r w:rsidR="009D7EBE">
        <w:t>94,695 f</w:t>
      </w:r>
      <w:r>
        <w:t>orms are submitted for these medical certificates at an average file processing time by an LIE of 15 minutes (0.25) each at an average wage of $31 per hour.</w:t>
      </w:r>
    </w:p>
    <w:p w:rsidR="004469F4" w:rsidRDefault="004469F4" w:rsidP="004469F4"/>
    <w:p w:rsidR="004469F4" w:rsidRPr="00B7131E" w:rsidRDefault="004469F4" w:rsidP="004469F4">
      <w:pPr>
        <w:rPr>
          <w:b/>
        </w:rPr>
      </w:pPr>
      <w:r>
        <w:t xml:space="preserve">25% of </w:t>
      </w:r>
      <w:r w:rsidR="00B7131E" w:rsidRPr="00B7131E">
        <w:rPr>
          <w:b/>
        </w:rPr>
        <w:t>378,782</w:t>
      </w:r>
      <w:r w:rsidR="00B7131E">
        <w:t xml:space="preserve"> </w:t>
      </w:r>
      <w:r>
        <w:t xml:space="preserve">total submissions = </w:t>
      </w:r>
      <w:r w:rsidR="00B7131E" w:rsidRPr="00B7131E">
        <w:rPr>
          <w:b/>
        </w:rPr>
        <w:t>$ 94,695</w:t>
      </w:r>
    </w:p>
    <w:p w:rsidR="004469F4" w:rsidRDefault="00FC5687" w:rsidP="004469F4">
      <w:r>
        <w:rPr>
          <w:b/>
        </w:rPr>
        <w:t xml:space="preserve">$ </w:t>
      </w:r>
      <w:r w:rsidR="00B7131E" w:rsidRPr="00B7131E">
        <w:rPr>
          <w:b/>
        </w:rPr>
        <w:t>94,</w:t>
      </w:r>
      <w:r w:rsidR="00B7131E">
        <w:rPr>
          <w:b/>
        </w:rPr>
        <w:t xml:space="preserve"> </w:t>
      </w:r>
      <w:r w:rsidR="00B7131E" w:rsidRPr="00B7131E">
        <w:rPr>
          <w:b/>
        </w:rPr>
        <w:t>695</w:t>
      </w:r>
      <w:r w:rsidR="00B7131E">
        <w:t xml:space="preserve"> </w:t>
      </w:r>
      <w:r w:rsidR="004469F4">
        <w:t xml:space="preserve">x 0.25 hours x $31 per hour = </w:t>
      </w:r>
      <w:r w:rsidR="004469F4" w:rsidRPr="00B7131E">
        <w:rPr>
          <w:b/>
        </w:rPr>
        <w:t>$</w:t>
      </w:r>
      <w:r w:rsidR="00B7131E" w:rsidRPr="00B7131E">
        <w:rPr>
          <w:b/>
        </w:rPr>
        <w:t>733,886</w:t>
      </w:r>
    </w:p>
    <w:p w:rsidR="004469F4" w:rsidRDefault="004469F4" w:rsidP="004469F4"/>
    <w:p w:rsidR="004469F4" w:rsidRDefault="004469F4" w:rsidP="004469F4">
      <w:r>
        <w:t xml:space="preserve">After review by an LIE, approximately 50% will need review by a physician. We estimate that </w:t>
      </w:r>
      <w:r w:rsidR="009D7EBE">
        <w:rPr>
          <w:b/>
        </w:rPr>
        <w:t>47</w:t>
      </w:r>
      <w:r w:rsidR="009D7EBE" w:rsidRPr="009D7EBE">
        <w:rPr>
          <w:b/>
        </w:rPr>
        <w:t>,</w:t>
      </w:r>
      <w:r w:rsidR="009D7EBE">
        <w:rPr>
          <w:b/>
        </w:rPr>
        <w:t xml:space="preserve"> </w:t>
      </w:r>
      <w:r w:rsidR="009D7EBE" w:rsidRPr="009D7EBE">
        <w:rPr>
          <w:b/>
        </w:rPr>
        <w:t>347</w:t>
      </w:r>
      <w:r w:rsidR="009D7EBE">
        <w:rPr>
          <w:b/>
        </w:rPr>
        <w:t xml:space="preserve"> </w:t>
      </w:r>
      <w:r w:rsidR="009D7EBE">
        <w:t>of these f</w:t>
      </w:r>
      <w:r>
        <w:t>orms are submitted to a physician at an average file processing time of 30 minutes (0.5) each at an average wage of $82 per hour.</w:t>
      </w:r>
    </w:p>
    <w:p w:rsidR="004469F4" w:rsidRDefault="004469F4" w:rsidP="004469F4"/>
    <w:p w:rsidR="004469F4" w:rsidRDefault="004469F4" w:rsidP="004469F4">
      <w:r>
        <w:t xml:space="preserve">50% of </w:t>
      </w:r>
      <w:r w:rsidR="009D7EBE" w:rsidRPr="009D7EBE">
        <w:rPr>
          <w:b/>
        </w:rPr>
        <w:t>94,695</w:t>
      </w:r>
      <w:r>
        <w:t xml:space="preserve"> submissions reviewed by an LIE = </w:t>
      </w:r>
      <w:r w:rsidR="009D7EBE" w:rsidRPr="009D7EBE">
        <w:rPr>
          <w:b/>
        </w:rPr>
        <w:t>47,347</w:t>
      </w:r>
    </w:p>
    <w:p w:rsidR="004469F4" w:rsidRDefault="009D7EBE" w:rsidP="004469F4">
      <w:r w:rsidRPr="009D7EBE">
        <w:rPr>
          <w:b/>
        </w:rPr>
        <w:t>47,347</w:t>
      </w:r>
      <w:r w:rsidR="00AF74B5">
        <w:t xml:space="preserve"> </w:t>
      </w:r>
      <w:r w:rsidR="004469F4">
        <w:t xml:space="preserve">x 0.5 hours x $82 = </w:t>
      </w:r>
      <w:r w:rsidR="004469F4" w:rsidRPr="009D7EBE">
        <w:rPr>
          <w:b/>
        </w:rPr>
        <w:t>$</w:t>
      </w:r>
      <w:r w:rsidRPr="009D7EBE">
        <w:rPr>
          <w:b/>
        </w:rPr>
        <w:t>1,941,227</w:t>
      </w:r>
    </w:p>
    <w:p w:rsidR="00E645B8" w:rsidRDefault="00E645B8" w:rsidP="004469F4"/>
    <w:p w:rsidR="00E645B8" w:rsidRDefault="00E645B8" w:rsidP="004469F4">
      <w:pPr>
        <w:rPr>
          <w:b/>
        </w:rPr>
      </w:pPr>
      <w:r w:rsidRPr="009D7EBE">
        <w:rPr>
          <w:b/>
        </w:rPr>
        <w:t>$</w:t>
      </w:r>
      <w:r w:rsidR="009D7EBE" w:rsidRPr="009D7EBE">
        <w:rPr>
          <w:b/>
        </w:rPr>
        <w:t>733,886</w:t>
      </w:r>
      <w:r>
        <w:t xml:space="preserve"> + </w:t>
      </w:r>
      <w:r w:rsidRPr="009D7EBE">
        <w:rPr>
          <w:b/>
        </w:rPr>
        <w:t>$</w:t>
      </w:r>
      <w:r w:rsidR="009D7EBE" w:rsidRPr="009D7EBE">
        <w:rPr>
          <w:b/>
        </w:rPr>
        <w:t>1,941,227</w:t>
      </w:r>
      <w:r>
        <w:t>=</w:t>
      </w:r>
      <w:r w:rsidR="009D7EBE">
        <w:t xml:space="preserve"> </w:t>
      </w:r>
      <w:r w:rsidRPr="009D7EBE">
        <w:rPr>
          <w:b/>
        </w:rPr>
        <w:t>$</w:t>
      </w:r>
      <w:r w:rsidR="009D7EBE" w:rsidRPr="009D7EBE">
        <w:rPr>
          <w:b/>
        </w:rPr>
        <w:t xml:space="preserve"> 2,675,113</w:t>
      </w:r>
    </w:p>
    <w:p w:rsidR="006001B5" w:rsidRDefault="006001B5" w:rsidP="004469F4">
      <w:pPr>
        <w:rPr>
          <w:b/>
        </w:rPr>
      </w:pPr>
    </w:p>
    <w:p w:rsidR="006001B5" w:rsidRDefault="006001B5" w:rsidP="006001B5">
      <w:r w:rsidRPr="00D71886">
        <w:t>Currently, an 8500-8 application for special issuance medical certificate is deferred to the Aerospace Medical Certification Division (AMCD) of Oklahoma City for further consideration. Moreover, the FAA will experience a savings when applicants holding a special issuance medical certificate choose to operate under APPEER because it eliminates the time spent by FAA AMCD, RFS, legal instrument examiners, FAA headquarters physicians, and the Federal Air Surgeon to review these applications.  An FAA employee with a blended wage of $80.17 will not incur .25 hours reviewing a third-class medical application with as special issuance. Savings and detail on the wage are shown in the tables below.</w:t>
      </w:r>
    </w:p>
    <w:p w:rsidR="006001B5" w:rsidRPr="009C74B9" w:rsidRDefault="006001B5" w:rsidP="006001B5">
      <w:pPr>
        <w:ind w:left="720"/>
        <w:jc w:val="center"/>
        <w:rPr>
          <w:b/>
        </w:rPr>
      </w:pPr>
      <w:bookmarkStart w:id="3" w:name="_Toc389022599"/>
      <w:r w:rsidRPr="009C74B9">
        <w:rPr>
          <w:b/>
        </w:rPr>
        <w:t>Weighted Average of Hourly Wage for FAA Employees</w:t>
      </w:r>
      <w:r>
        <w:rPr>
          <w:b/>
        </w:rPr>
        <w:t xml:space="preserve"> that Review the </w:t>
      </w:r>
      <w:bookmarkEnd w:id="3"/>
      <w:r>
        <w:rPr>
          <w:b/>
        </w:rPr>
        <w:t>Medical</w:t>
      </w:r>
    </w:p>
    <w:tbl>
      <w:tblPr>
        <w:tblW w:w="9973" w:type="dxa"/>
        <w:jc w:val="center"/>
        <w:tblInd w:w="-775" w:type="dxa"/>
        <w:tblLook w:val="04A0" w:firstRow="1" w:lastRow="0" w:firstColumn="1" w:lastColumn="0" w:noHBand="0" w:noVBand="1"/>
      </w:tblPr>
      <w:tblGrid>
        <w:gridCol w:w="5707"/>
        <w:gridCol w:w="1890"/>
        <w:gridCol w:w="1403"/>
        <w:gridCol w:w="973"/>
      </w:tblGrid>
      <w:tr w:rsidR="006001B5" w:rsidRPr="00505834" w:rsidTr="006001B5">
        <w:trPr>
          <w:trHeight w:hRule="exact" w:val="514"/>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rFonts w:ascii="Arial" w:hAnsi="Arial" w:cs="Arial"/>
                <w:sz w:val="22"/>
                <w:szCs w:val="22"/>
              </w:rPr>
            </w:pP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6001B5" w:rsidRPr="0072746B" w:rsidRDefault="006001B5" w:rsidP="006001B5">
            <w:pPr>
              <w:jc w:val="center"/>
              <w:rPr>
                <w:bCs/>
                <w:sz w:val="22"/>
                <w:szCs w:val="22"/>
              </w:rPr>
            </w:pPr>
            <w:r w:rsidRPr="0072746B">
              <w:rPr>
                <w:bCs/>
                <w:sz w:val="22"/>
                <w:szCs w:val="22"/>
              </w:rPr>
              <w:t>Wages with Benefits</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rsidR="006001B5" w:rsidRPr="0072746B" w:rsidRDefault="006001B5" w:rsidP="006001B5">
            <w:pPr>
              <w:jc w:val="center"/>
              <w:rPr>
                <w:bCs/>
                <w:sz w:val="22"/>
                <w:szCs w:val="22"/>
              </w:rPr>
            </w:pPr>
            <w:r w:rsidRPr="0072746B">
              <w:rPr>
                <w:bCs/>
                <w:sz w:val="22"/>
                <w:szCs w:val="22"/>
              </w:rPr>
              <w:t>People (Total)</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rPr>
                <w:rFonts w:cs="Calibri"/>
                <w:sz w:val="22"/>
                <w:szCs w:val="22"/>
              </w:rPr>
            </w:pPr>
            <w:r w:rsidRPr="00D54D53">
              <w:rPr>
                <w:rFonts w:cs="Calibri"/>
                <w:sz w:val="22"/>
                <w:szCs w:val="22"/>
              </w:rPr>
              <w:t> </w:t>
            </w:r>
          </w:p>
        </w:tc>
      </w:tr>
      <w:tr w:rsidR="006001B5" w:rsidRPr="00505834" w:rsidTr="006001B5">
        <w:trPr>
          <w:trHeight w:hRule="exact" w:val="262"/>
          <w:jc w:val="center"/>
        </w:trPr>
        <w:tc>
          <w:tcPr>
            <w:tcW w:w="5707" w:type="dxa"/>
            <w:tcBorders>
              <w:top w:val="nil"/>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rFonts w:ascii="Arial" w:hAnsi="Arial" w:cs="Arial"/>
                <w:sz w:val="22"/>
                <w:szCs w:val="22"/>
              </w:rPr>
            </w:pPr>
            <w:r w:rsidRPr="00D54D53">
              <w:rPr>
                <w:rFonts w:ascii="Arial" w:hAnsi="Arial" w:cs="Arial"/>
                <w:sz w:val="22"/>
                <w:szCs w:val="22"/>
              </w:rPr>
              <w:t> </w:t>
            </w:r>
          </w:p>
        </w:tc>
        <w:tc>
          <w:tcPr>
            <w:tcW w:w="1890" w:type="dxa"/>
            <w:tcBorders>
              <w:top w:val="nil"/>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rFonts w:ascii="Cambria" w:hAnsi="Cambria" w:cs="Calibri"/>
                <w:sz w:val="22"/>
                <w:szCs w:val="22"/>
              </w:rPr>
            </w:pPr>
            <w:r w:rsidRPr="00D54D53">
              <w:rPr>
                <w:rFonts w:ascii="Cambria" w:hAnsi="Cambria" w:cs="Calibri"/>
                <w:sz w:val="22"/>
                <w:szCs w:val="22"/>
              </w:rPr>
              <w:t>a</w:t>
            </w:r>
          </w:p>
        </w:tc>
        <w:tc>
          <w:tcPr>
            <w:tcW w:w="1403" w:type="dxa"/>
            <w:tcBorders>
              <w:top w:val="nil"/>
              <w:left w:val="nil"/>
              <w:bottom w:val="single" w:sz="4" w:space="0" w:color="auto"/>
              <w:right w:val="single" w:sz="4" w:space="0" w:color="auto"/>
            </w:tcBorders>
            <w:shd w:val="clear" w:color="auto" w:fill="auto"/>
            <w:vAlign w:val="bottom"/>
            <w:hideMark/>
          </w:tcPr>
          <w:p w:rsidR="006001B5" w:rsidRPr="00D54D53" w:rsidRDefault="006001B5" w:rsidP="006001B5">
            <w:pPr>
              <w:jc w:val="center"/>
              <w:rPr>
                <w:rFonts w:ascii="Cambria" w:hAnsi="Cambria" w:cs="Calibri"/>
                <w:sz w:val="22"/>
                <w:szCs w:val="22"/>
              </w:rPr>
            </w:pPr>
            <w:r w:rsidRPr="00D54D53">
              <w:rPr>
                <w:rFonts w:ascii="Cambria" w:hAnsi="Cambria" w:cs="Calibri"/>
                <w:sz w:val="22"/>
                <w:szCs w:val="22"/>
              </w:rPr>
              <w:t>b</w:t>
            </w:r>
          </w:p>
        </w:tc>
        <w:tc>
          <w:tcPr>
            <w:tcW w:w="973" w:type="dxa"/>
            <w:tcBorders>
              <w:top w:val="nil"/>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rFonts w:ascii="Cambria" w:hAnsi="Cambria" w:cs="Calibri"/>
                <w:sz w:val="22"/>
                <w:szCs w:val="22"/>
              </w:rPr>
            </w:pPr>
            <w:r w:rsidRPr="00D54D53">
              <w:rPr>
                <w:rFonts w:ascii="Cambria" w:hAnsi="Cambria" w:cs="Calibri"/>
                <w:sz w:val="22"/>
                <w:szCs w:val="22"/>
              </w:rPr>
              <w:t>a x b</w:t>
            </w:r>
          </w:p>
        </w:tc>
      </w:tr>
      <w:tr w:rsidR="006001B5" w:rsidRPr="00505834" w:rsidTr="006001B5">
        <w:trPr>
          <w:trHeight w:hRule="exact" w:val="274"/>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sz w:val="22"/>
                <w:szCs w:val="22"/>
              </w:rPr>
            </w:pPr>
            <w:r w:rsidRPr="00D54D53">
              <w:rPr>
                <w:sz w:val="22"/>
                <w:szCs w:val="22"/>
              </w:rPr>
              <w:t>Legal instrument examiners</w:t>
            </w:r>
            <w:r w:rsidRPr="00D54D53">
              <w:rPr>
                <w:sz w:val="22"/>
                <w:szCs w:val="22"/>
                <w:vertAlign w:val="superscript"/>
              </w:rPr>
              <w:footnoteReference w:id="2"/>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$50.46</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42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Del="00F95488" w:rsidRDefault="006001B5" w:rsidP="006001B5">
            <w:pPr>
              <w:jc w:val="center"/>
              <w:rPr>
                <w:sz w:val="22"/>
                <w:szCs w:val="22"/>
              </w:rPr>
            </w:pPr>
            <w:r w:rsidRPr="00D54D53">
              <w:rPr>
                <w:sz w:val="22"/>
                <w:szCs w:val="22"/>
              </w:rPr>
              <w:t>$2,119</w:t>
            </w:r>
          </w:p>
          <w:p w:rsidR="006001B5" w:rsidRPr="00D54D53" w:rsidRDefault="006001B5" w:rsidP="006001B5">
            <w:pPr>
              <w:jc w:val="center"/>
              <w:rPr>
                <w:rFonts w:ascii="Arial" w:hAnsi="Arial" w:cs="Arial"/>
                <w:sz w:val="22"/>
                <w:szCs w:val="22"/>
              </w:rPr>
            </w:pPr>
            <w:r w:rsidRPr="00D54D53">
              <w:rPr>
                <w:rFonts w:ascii="Arial" w:hAnsi="Arial" w:cs="Arial"/>
                <w:sz w:val="22"/>
                <w:szCs w:val="22"/>
              </w:rPr>
              <w:t>$ 2,119</w:t>
            </w:r>
          </w:p>
          <w:p w:rsidR="006001B5" w:rsidRPr="00D54D53" w:rsidDel="00F95488" w:rsidRDefault="006001B5" w:rsidP="006001B5">
            <w:pPr>
              <w:jc w:val="center"/>
              <w:rPr>
                <w:sz w:val="22"/>
                <w:szCs w:val="22"/>
              </w:rPr>
            </w:pPr>
          </w:p>
          <w:p w:rsidR="006001B5" w:rsidRPr="00D54D53" w:rsidRDefault="006001B5" w:rsidP="006001B5">
            <w:pPr>
              <w:jc w:val="center"/>
              <w:rPr>
                <w:rFonts w:ascii="Arial" w:hAnsi="Arial" w:cs="Arial"/>
                <w:sz w:val="22"/>
                <w:szCs w:val="22"/>
              </w:rPr>
            </w:pPr>
            <w:r w:rsidRPr="00D54D53">
              <w:rPr>
                <w:rFonts w:ascii="Arial" w:hAnsi="Arial" w:cs="Arial"/>
                <w:sz w:val="22"/>
                <w:szCs w:val="22"/>
              </w:rPr>
              <w:t>$ 2,119</w:t>
            </w:r>
          </w:p>
          <w:p w:rsidR="006001B5" w:rsidRPr="00D54D53" w:rsidRDefault="006001B5" w:rsidP="006001B5">
            <w:pPr>
              <w:jc w:val="center"/>
              <w:rPr>
                <w:sz w:val="22"/>
                <w:szCs w:val="22"/>
              </w:rPr>
            </w:pPr>
          </w:p>
        </w:tc>
      </w:tr>
      <w:tr w:rsidR="006001B5" w:rsidRPr="00505834" w:rsidTr="006001B5">
        <w:trPr>
          <w:trHeight w:hRule="exact" w:val="274"/>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sz w:val="22"/>
                <w:szCs w:val="22"/>
              </w:rPr>
            </w:pPr>
            <w:r w:rsidRPr="00D54D53">
              <w:rPr>
                <w:sz w:val="22"/>
                <w:szCs w:val="22"/>
              </w:rPr>
              <w:t>Regional Flight Surgeons</w:t>
            </w:r>
            <w:r w:rsidRPr="00D54D53">
              <w:rPr>
                <w:sz w:val="22"/>
                <w:szCs w:val="22"/>
                <w:vertAlign w:val="superscript"/>
              </w:rPr>
              <w:footnoteReference w:id="3"/>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$139.59</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$1,256</w:t>
            </w:r>
          </w:p>
        </w:tc>
      </w:tr>
      <w:tr w:rsidR="006001B5" w:rsidRPr="00505834" w:rsidTr="006001B5">
        <w:trPr>
          <w:trHeight w:hRule="exact" w:val="274"/>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sz w:val="22"/>
                <w:szCs w:val="22"/>
                <w:vertAlign w:val="superscript"/>
              </w:rPr>
            </w:pPr>
            <w:r w:rsidRPr="00D54D53">
              <w:rPr>
                <w:sz w:val="22"/>
                <w:szCs w:val="22"/>
              </w:rPr>
              <w:lastRenderedPageBreak/>
              <w:t>Senior Executives</w:t>
            </w:r>
            <w:r w:rsidR="00CC7983">
              <w:rPr>
                <w:rStyle w:val="FootnoteReference"/>
                <w:sz w:val="22"/>
                <w:szCs w:val="22"/>
              </w:rPr>
              <w:footnoteReference w:id="4"/>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$139.59</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$419</w:t>
            </w:r>
          </w:p>
        </w:tc>
      </w:tr>
      <w:tr w:rsidR="006001B5" w:rsidRPr="00505834" w:rsidTr="006001B5">
        <w:trPr>
          <w:trHeight w:hRule="exact" w:val="280"/>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sz w:val="22"/>
                <w:szCs w:val="22"/>
                <w:vertAlign w:val="superscript"/>
              </w:rPr>
            </w:pPr>
            <w:r w:rsidRPr="00D54D53">
              <w:rPr>
                <w:sz w:val="22"/>
                <w:szCs w:val="22"/>
              </w:rPr>
              <w:t>Civil Aerospace Medicine Institute (CAMI) Medical Officers</w:t>
            </w:r>
            <w:r w:rsidR="00CC7983">
              <w:rPr>
                <w:rStyle w:val="FootnoteReference"/>
                <w:sz w:val="22"/>
                <w:szCs w:val="22"/>
              </w:rPr>
              <w:footnoteReference w:id="5"/>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$139.59</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$838</w:t>
            </w:r>
          </w:p>
        </w:tc>
      </w:tr>
      <w:tr w:rsidR="006001B5" w:rsidRPr="00505834" w:rsidTr="006001B5">
        <w:trPr>
          <w:trHeight w:hRule="exact" w:val="274"/>
          <w:jc w:val="center"/>
        </w:trPr>
        <w:tc>
          <w:tcPr>
            <w:tcW w:w="5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1B5" w:rsidRPr="00D54D53" w:rsidRDefault="006001B5" w:rsidP="006001B5">
            <w:pPr>
              <w:rPr>
                <w:sz w:val="22"/>
                <w:szCs w:val="22"/>
                <w:vertAlign w:val="superscript"/>
              </w:rPr>
            </w:pPr>
            <w:r w:rsidRPr="00D54D53">
              <w:rPr>
                <w:sz w:val="22"/>
                <w:szCs w:val="22"/>
              </w:rPr>
              <w:t>Civil Aerospace Medicine Institute (CAMI) Physicians</w:t>
            </w:r>
            <w:r w:rsidR="00CC7983">
              <w:rPr>
                <w:sz w:val="22"/>
                <w:szCs w:val="22"/>
                <w:vertAlign w:val="superscript"/>
              </w:rPr>
              <w:t>5</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$139.59</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$419</w:t>
            </w:r>
          </w:p>
        </w:tc>
      </w:tr>
      <w:tr w:rsidR="006001B5" w:rsidRPr="00505834" w:rsidTr="006001B5">
        <w:trPr>
          <w:trHeight w:hRule="exact" w:val="274"/>
          <w:jc w:val="center"/>
        </w:trPr>
        <w:tc>
          <w:tcPr>
            <w:tcW w:w="5707" w:type="dxa"/>
            <w:tcBorders>
              <w:top w:val="nil"/>
              <w:left w:val="single" w:sz="4" w:space="0" w:color="auto"/>
              <w:bottom w:val="single" w:sz="4" w:space="0" w:color="auto"/>
              <w:right w:val="nil"/>
            </w:tcBorders>
            <w:shd w:val="clear" w:color="auto" w:fill="auto"/>
            <w:noWrap/>
            <w:vAlign w:val="bottom"/>
            <w:hideMark/>
          </w:tcPr>
          <w:p w:rsidR="006001B5" w:rsidRPr="00D54D53" w:rsidRDefault="006001B5" w:rsidP="006001B5">
            <w:pPr>
              <w:rPr>
                <w:sz w:val="22"/>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color w:val="000000"/>
                <w:sz w:val="22"/>
                <w:szCs w:val="22"/>
              </w:rPr>
            </w:pPr>
            <w:r w:rsidRPr="00D54D53">
              <w:rPr>
                <w:color w:val="000000"/>
                <w:sz w:val="22"/>
                <w:szCs w:val="22"/>
              </w:rPr>
              <w:t>Total</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63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001B5" w:rsidRPr="00D54D53" w:rsidRDefault="006001B5" w:rsidP="006001B5">
            <w:pPr>
              <w:jc w:val="center"/>
              <w:rPr>
                <w:sz w:val="22"/>
                <w:szCs w:val="22"/>
              </w:rPr>
            </w:pPr>
            <w:r w:rsidRPr="00D54D53">
              <w:rPr>
                <w:sz w:val="22"/>
                <w:szCs w:val="22"/>
              </w:rPr>
              <w:t>$5,051</w:t>
            </w:r>
          </w:p>
        </w:tc>
      </w:tr>
      <w:tr w:rsidR="006001B5" w:rsidRPr="00505834" w:rsidTr="006001B5">
        <w:trPr>
          <w:trHeight w:hRule="exact" w:val="334"/>
          <w:jc w:val="center"/>
        </w:trPr>
        <w:tc>
          <w:tcPr>
            <w:tcW w:w="9000" w:type="dxa"/>
            <w:gridSpan w:val="3"/>
            <w:tcBorders>
              <w:top w:val="nil"/>
              <w:left w:val="single" w:sz="4" w:space="0" w:color="auto"/>
              <w:bottom w:val="single" w:sz="4" w:space="0" w:color="auto"/>
              <w:right w:val="single" w:sz="4" w:space="0" w:color="auto"/>
            </w:tcBorders>
            <w:shd w:val="clear" w:color="auto" w:fill="auto"/>
            <w:noWrap/>
            <w:vAlign w:val="bottom"/>
          </w:tcPr>
          <w:p w:rsidR="006001B5" w:rsidRPr="00D54D53" w:rsidRDefault="006001B5" w:rsidP="006001B5">
            <w:pPr>
              <w:jc w:val="center"/>
              <w:rPr>
                <w:sz w:val="22"/>
                <w:szCs w:val="22"/>
              </w:rPr>
            </w:pPr>
            <w:r w:rsidRPr="00D54D53">
              <w:rPr>
                <w:sz w:val="22"/>
                <w:szCs w:val="22"/>
              </w:rPr>
              <w:t>Weighted Average Wage Rate = $5,051 / 63</w:t>
            </w:r>
          </w:p>
        </w:tc>
        <w:tc>
          <w:tcPr>
            <w:tcW w:w="973" w:type="dxa"/>
            <w:tcBorders>
              <w:top w:val="single" w:sz="4" w:space="0" w:color="auto"/>
              <w:left w:val="nil"/>
              <w:bottom w:val="single" w:sz="4" w:space="0" w:color="auto"/>
              <w:right w:val="single" w:sz="4" w:space="0" w:color="auto"/>
            </w:tcBorders>
            <w:shd w:val="clear" w:color="auto" w:fill="auto"/>
            <w:noWrap/>
            <w:vAlign w:val="bottom"/>
          </w:tcPr>
          <w:p w:rsidR="006001B5" w:rsidRPr="00D54D53" w:rsidRDefault="006001B5" w:rsidP="006001B5">
            <w:pPr>
              <w:jc w:val="center"/>
              <w:rPr>
                <w:sz w:val="22"/>
                <w:szCs w:val="22"/>
              </w:rPr>
            </w:pPr>
            <w:r w:rsidRPr="00D54D53">
              <w:rPr>
                <w:sz w:val="22"/>
                <w:szCs w:val="22"/>
              </w:rPr>
              <w:t>$80.17</w:t>
            </w:r>
          </w:p>
        </w:tc>
      </w:tr>
    </w:tbl>
    <w:p w:rsidR="006001B5" w:rsidRDefault="006001B5" w:rsidP="006001B5">
      <w:pPr>
        <w:rPr>
          <w:b/>
        </w:rPr>
      </w:pPr>
    </w:p>
    <w:p w:rsidR="006001B5" w:rsidRPr="0016140A" w:rsidRDefault="006001B5" w:rsidP="006001B5">
      <w:pPr>
        <w:ind w:left="720"/>
        <w:jc w:val="center"/>
        <w:rPr>
          <w:b/>
        </w:rPr>
      </w:pPr>
      <w:r>
        <w:rPr>
          <w:b/>
        </w:rPr>
        <w:t xml:space="preserve">FAA Savings for </w:t>
      </w:r>
      <w:proofErr w:type="spellStart"/>
      <w:r>
        <w:rPr>
          <w:b/>
        </w:rPr>
        <w:t>MedXpress</w:t>
      </w:r>
      <w:proofErr w:type="spellEnd"/>
      <w:r>
        <w:rPr>
          <w:b/>
        </w:rPr>
        <w:t xml:space="preserve"> (Year 2017 to 2026</w:t>
      </w:r>
      <w:r w:rsidRPr="00631594">
        <w:rPr>
          <w:b/>
        </w:rPr>
        <w:t>)</w:t>
      </w:r>
    </w:p>
    <w:tbl>
      <w:tblPr>
        <w:tblW w:w="8611"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440"/>
        <w:gridCol w:w="1611"/>
        <w:gridCol w:w="898"/>
        <w:gridCol w:w="988"/>
        <w:gridCol w:w="1206"/>
        <w:gridCol w:w="1431"/>
      </w:tblGrid>
      <w:tr w:rsidR="006001B5" w:rsidRPr="008B0F58" w:rsidTr="002017EA">
        <w:trPr>
          <w:trHeight w:hRule="exact" w:val="550"/>
          <w:jc w:val="center"/>
        </w:trPr>
        <w:tc>
          <w:tcPr>
            <w:tcW w:w="1037" w:type="dxa"/>
            <w:shd w:val="clear" w:color="auto" w:fill="auto"/>
            <w:noWrap/>
            <w:vAlign w:val="bottom"/>
            <w:hideMark/>
          </w:tcPr>
          <w:p w:rsidR="006001B5" w:rsidRPr="00D54D53" w:rsidRDefault="006001B5" w:rsidP="006001B5">
            <w:pPr>
              <w:jc w:val="center"/>
              <w:rPr>
                <w:sz w:val="22"/>
                <w:szCs w:val="22"/>
              </w:rPr>
            </w:pPr>
            <w:r w:rsidRPr="00D54D53">
              <w:rPr>
                <w:sz w:val="22"/>
                <w:szCs w:val="22"/>
              </w:rPr>
              <w:t>Form</w:t>
            </w:r>
          </w:p>
        </w:tc>
        <w:tc>
          <w:tcPr>
            <w:tcW w:w="1440" w:type="dxa"/>
            <w:shd w:val="clear" w:color="auto" w:fill="auto"/>
            <w:noWrap/>
            <w:vAlign w:val="bottom"/>
            <w:hideMark/>
          </w:tcPr>
          <w:p w:rsidR="006001B5" w:rsidRPr="00D54D53" w:rsidRDefault="006001B5" w:rsidP="006001B5">
            <w:pPr>
              <w:jc w:val="center"/>
              <w:rPr>
                <w:sz w:val="22"/>
                <w:szCs w:val="22"/>
              </w:rPr>
            </w:pPr>
            <w:r w:rsidRPr="00D54D53">
              <w:rPr>
                <w:sz w:val="22"/>
                <w:szCs w:val="22"/>
              </w:rPr>
              <w:t># of Applications</w:t>
            </w:r>
          </w:p>
        </w:tc>
        <w:tc>
          <w:tcPr>
            <w:tcW w:w="1611" w:type="dxa"/>
            <w:vAlign w:val="bottom"/>
          </w:tcPr>
          <w:p w:rsidR="006001B5" w:rsidRPr="00D54D53" w:rsidRDefault="006001B5" w:rsidP="006001B5">
            <w:pPr>
              <w:jc w:val="center"/>
              <w:rPr>
                <w:sz w:val="22"/>
                <w:szCs w:val="22"/>
              </w:rPr>
            </w:pPr>
            <w:r w:rsidRPr="00D54D53">
              <w:rPr>
                <w:sz w:val="22"/>
                <w:szCs w:val="22"/>
              </w:rPr>
              <w:t>Hours per Review</w:t>
            </w:r>
          </w:p>
        </w:tc>
        <w:tc>
          <w:tcPr>
            <w:tcW w:w="898" w:type="dxa"/>
            <w:vAlign w:val="bottom"/>
          </w:tcPr>
          <w:p w:rsidR="006001B5" w:rsidRPr="00D54D53" w:rsidRDefault="006001B5" w:rsidP="006001B5">
            <w:pPr>
              <w:jc w:val="center"/>
              <w:rPr>
                <w:sz w:val="22"/>
                <w:szCs w:val="22"/>
              </w:rPr>
            </w:pPr>
            <w:r w:rsidRPr="00D54D53">
              <w:rPr>
                <w:sz w:val="22"/>
                <w:szCs w:val="22"/>
              </w:rPr>
              <w:t>Total Hours</w:t>
            </w:r>
          </w:p>
        </w:tc>
        <w:tc>
          <w:tcPr>
            <w:tcW w:w="988" w:type="dxa"/>
            <w:vAlign w:val="bottom"/>
          </w:tcPr>
          <w:p w:rsidR="006001B5" w:rsidRPr="00D54D53" w:rsidRDefault="006001B5" w:rsidP="006001B5">
            <w:pPr>
              <w:jc w:val="center"/>
              <w:rPr>
                <w:sz w:val="22"/>
                <w:szCs w:val="22"/>
              </w:rPr>
            </w:pPr>
            <w:r w:rsidRPr="00D54D53">
              <w:rPr>
                <w:sz w:val="22"/>
                <w:szCs w:val="22"/>
              </w:rPr>
              <w:t>Hourly Wage</w:t>
            </w:r>
          </w:p>
        </w:tc>
        <w:tc>
          <w:tcPr>
            <w:tcW w:w="1206" w:type="dxa"/>
            <w:shd w:val="clear" w:color="auto" w:fill="auto"/>
            <w:noWrap/>
            <w:vAlign w:val="bottom"/>
            <w:hideMark/>
          </w:tcPr>
          <w:p w:rsidR="006001B5" w:rsidRPr="00D54D53" w:rsidRDefault="006001B5" w:rsidP="006001B5">
            <w:pPr>
              <w:jc w:val="center"/>
              <w:rPr>
                <w:sz w:val="22"/>
                <w:szCs w:val="22"/>
              </w:rPr>
            </w:pPr>
            <w:r w:rsidRPr="00D54D53">
              <w:rPr>
                <w:sz w:val="22"/>
                <w:szCs w:val="22"/>
              </w:rPr>
              <w:t>Total Savings</w:t>
            </w:r>
          </w:p>
        </w:tc>
        <w:tc>
          <w:tcPr>
            <w:tcW w:w="1431" w:type="dxa"/>
            <w:vAlign w:val="bottom"/>
          </w:tcPr>
          <w:p w:rsidR="006001B5" w:rsidRPr="00D54D53" w:rsidRDefault="006001B5" w:rsidP="006001B5">
            <w:pPr>
              <w:jc w:val="center"/>
              <w:rPr>
                <w:sz w:val="22"/>
                <w:szCs w:val="22"/>
              </w:rPr>
            </w:pPr>
            <w:r w:rsidRPr="00D54D53">
              <w:rPr>
                <w:sz w:val="22"/>
                <w:szCs w:val="22"/>
              </w:rPr>
              <w:t>Annualized at 7%</w:t>
            </w:r>
          </w:p>
        </w:tc>
      </w:tr>
      <w:tr w:rsidR="006001B5" w:rsidRPr="008B0F58" w:rsidTr="002017EA">
        <w:trPr>
          <w:trHeight w:hRule="exact" w:val="280"/>
          <w:jc w:val="center"/>
        </w:trPr>
        <w:tc>
          <w:tcPr>
            <w:tcW w:w="1037" w:type="dxa"/>
            <w:shd w:val="clear" w:color="auto" w:fill="auto"/>
            <w:noWrap/>
            <w:vAlign w:val="bottom"/>
            <w:hideMark/>
          </w:tcPr>
          <w:p w:rsidR="006001B5" w:rsidRPr="00D54D53" w:rsidRDefault="006001B5" w:rsidP="006001B5">
            <w:pPr>
              <w:jc w:val="center"/>
              <w:rPr>
                <w:color w:val="000000"/>
                <w:sz w:val="22"/>
                <w:szCs w:val="22"/>
              </w:rPr>
            </w:pPr>
            <w:r w:rsidRPr="00D54D53">
              <w:rPr>
                <w:color w:val="000000"/>
                <w:sz w:val="22"/>
                <w:szCs w:val="22"/>
              </w:rPr>
              <w:t>8500-8</w:t>
            </w:r>
          </w:p>
        </w:tc>
        <w:tc>
          <w:tcPr>
            <w:tcW w:w="1440" w:type="dxa"/>
            <w:shd w:val="clear" w:color="auto" w:fill="auto"/>
            <w:noWrap/>
            <w:vAlign w:val="bottom"/>
            <w:hideMark/>
          </w:tcPr>
          <w:p w:rsidR="006001B5" w:rsidRPr="00D54D53" w:rsidRDefault="006001B5" w:rsidP="006001B5">
            <w:pPr>
              <w:jc w:val="center"/>
              <w:rPr>
                <w:color w:val="000000"/>
                <w:sz w:val="22"/>
                <w:szCs w:val="22"/>
              </w:rPr>
            </w:pPr>
            <w:r w:rsidRPr="00D54D53">
              <w:rPr>
                <w:color w:val="000000"/>
                <w:sz w:val="22"/>
                <w:szCs w:val="22"/>
              </w:rPr>
              <w:t>83,561</w:t>
            </w:r>
            <w:r w:rsidRPr="00D54D53">
              <w:rPr>
                <w:rStyle w:val="FootnoteReference"/>
                <w:color w:val="000000"/>
                <w:sz w:val="22"/>
                <w:szCs w:val="22"/>
              </w:rPr>
              <w:footnoteReference w:id="6"/>
            </w:r>
          </w:p>
        </w:tc>
        <w:tc>
          <w:tcPr>
            <w:tcW w:w="1611" w:type="dxa"/>
            <w:vAlign w:val="bottom"/>
          </w:tcPr>
          <w:p w:rsidR="006001B5" w:rsidRPr="00D54D53" w:rsidRDefault="006001B5" w:rsidP="006001B5">
            <w:pPr>
              <w:jc w:val="center"/>
              <w:rPr>
                <w:color w:val="000000"/>
                <w:sz w:val="22"/>
                <w:szCs w:val="22"/>
              </w:rPr>
            </w:pPr>
            <w:r w:rsidRPr="00D54D53">
              <w:rPr>
                <w:color w:val="000000"/>
                <w:sz w:val="22"/>
                <w:szCs w:val="22"/>
              </w:rPr>
              <w:t>.25</w:t>
            </w:r>
          </w:p>
        </w:tc>
        <w:tc>
          <w:tcPr>
            <w:tcW w:w="898" w:type="dxa"/>
            <w:vAlign w:val="bottom"/>
          </w:tcPr>
          <w:p w:rsidR="006001B5" w:rsidRPr="00D54D53" w:rsidRDefault="006001B5" w:rsidP="006001B5">
            <w:pPr>
              <w:jc w:val="center"/>
              <w:rPr>
                <w:color w:val="000000"/>
                <w:sz w:val="22"/>
                <w:szCs w:val="22"/>
              </w:rPr>
            </w:pPr>
            <w:r w:rsidRPr="00D54D53">
              <w:rPr>
                <w:color w:val="000000"/>
                <w:sz w:val="22"/>
                <w:szCs w:val="22"/>
              </w:rPr>
              <w:t>20,890</w:t>
            </w:r>
          </w:p>
        </w:tc>
        <w:tc>
          <w:tcPr>
            <w:tcW w:w="988" w:type="dxa"/>
            <w:vAlign w:val="bottom"/>
          </w:tcPr>
          <w:p w:rsidR="006001B5" w:rsidRPr="00D54D53" w:rsidRDefault="006001B5" w:rsidP="006001B5">
            <w:pPr>
              <w:jc w:val="center"/>
              <w:rPr>
                <w:color w:val="000000"/>
                <w:sz w:val="22"/>
                <w:szCs w:val="22"/>
              </w:rPr>
            </w:pPr>
            <w:r w:rsidRPr="00D54D53">
              <w:rPr>
                <w:color w:val="000000"/>
                <w:sz w:val="22"/>
                <w:szCs w:val="22"/>
              </w:rPr>
              <w:t>$80.17</w:t>
            </w:r>
            <w:r w:rsidRPr="00D54D53">
              <w:rPr>
                <w:rStyle w:val="FootnoteReference"/>
                <w:color w:val="000000"/>
                <w:sz w:val="22"/>
                <w:szCs w:val="22"/>
              </w:rPr>
              <w:footnoteReference w:id="7"/>
            </w:r>
          </w:p>
        </w:tc>
        <w:tc>
          <w:tcPr>
            <w:tcW w:w="1206" w:type="dxa"/>
            <w:shd w:val="clear" w:color="auto" w:fill="auto"/>
            <w:noWrap/>
            <w:vAlign w:val="bottom"/>
            <w:hideMark/>
          </w:tcPr>
          <w:p w:rsidR="006001B5" w:rsidRPr="00D54D53" w:rsidRDefault="006001B5" w:rsidP="006001B5">
            <w:pPr>
              <w:jc w:val="center"/>
              <w:rPr>
                <w:color w:val="000000"/>
                <w:sz w:val="22"/>
                <w:szCs w:val="22"/>
              </w:rPr>
            </w:pPr>
            <w:r w:rsidRPr="00D54D53">
              <w:rPr>
                <w:color w:val="000000"/>
                <w:sz w:val="22"/>
                <w:szCs w:val="22"/>
              </w:rPr>
              <w:t>$1,782,230</w:t>
            </w:r>
          </w:p>
        </w:tc>
        <w:tc>
          <w:tcPr>
            <w:tcW w:w="1431" w:type="dxa"/>
            <w:vAlign w:val="bottom"/>
          </w:tcPr>
          <w:p w:rsidR="006001B5" w:rsidRPr="00D54D53" w:rsidRDefault="006001B5" w:rsidP="006001B5">
            <w:pPr>
              <w:jc w:val="center"/>
              <w:rPr>
                <w:color w:val="000000"/>
                <w:sz w:val="22"/>
                <w:szCs w:val="22"/>
              </w:rPr>
            </w:pPr>
            <w:r w:rsidRPr="00D54D53">
              <w:rPr>
                <w:color w:val="000000"/>
                <w:sz w:val="22"/>
                <w:szCs w:val="22"/>
              </w:rPr>
              <w:t>$168,874</w:t>
            </w:r>
          </w:p>
        </w:tc>
      </w:tr>
    </w:tbl>
    <w:p w:rsidR="004469F4" w:rsidRDefault="004469F4" w:rsidP="004469F4"/>
    <w:p w:rsidR="003474C0" w:rsidRDefault="00E523CD" w:rsidP="004469F4">
      <w:pPr>
        <w:rPr>
          <w:i/>
        </w:rPr>
      </w:pPr>
      <w:r>
        <w:t xml:space="preserve">15. </w:t>
      </w:r>
      <w:r w:rsidR="004469F4" w:rsidRPr="00E523CD">
        <w:rPr>
          <w:i/>
        </w:rPr>
        <w:t>Explain the reasons for any program changes or adjustments</w:t>
      </w:r>
      <w:r w:rsidR="000B10CE">
        <w:rPr>
          <w:i/>
        </w:rPr>
        <w:t>.</w:t>
      </w:r>
    </w:p>
    <w:p w:rsidR="000B10CE" w:rsidRDefault="000B10CE" w:rsidP="004469F4">
      <w:pPr>
        <w:rPr>
          <w:i/>
        </w:rPr>
      </w:pPr>
    </w:p>
    <w:p w:rsidR="0056394F" w:rsidRDefault="009D7EBE" w:rsidP="004469F4">
      <w:r>
        <w:t>The number of applicants</w:t>
      </w:r>
      <w:r w:rsidR="00D75B43">
        <w:t xml:space="preserve"> </w:t>
      </w:r>
      <w:r w:rsidR="00E45E77">
        <w:t>submitting</w:t>
      </w:r>
      <w:r w:rsidR="00D75B43">
        <w:t xml:space="preserve"> FAA Form</w:t>
      </w:r>
      <w:r w:rsidR="00C121F8">
        <w:t xml:space="preserve"> </w:t>
      </w:r>
      <w:r w:rsidR="00D75B43">
        <w:t>8500-8</w:t>
      </w:r>
      <w:r>
        <w:t xml:space="preserve"> has dec</w:t>
      </w:r>
      <w:r w:rsidR="00720269">
        <w:t>reased due to e</w:t>
      </w:r>
      <w:r w:rsidR="00720269" w:rsidRPr="00D71886">
        <w:t>ligible pilots who choose to comply with the Alternative Pilot Physical Examination and Education Requirements (APPEER)</w:t>
      </w:r>
      <w:r w:rsidR="00720269">
        <w:t xml:space="preserve">. Those pilots </w:t>
      </w:r>
      <w:r w:rsidR="00720269" w:rsidRPr="00D71886">
        <w:t>will no longer complete form 8500-8</w:t>
      </w:r>
      <w:r w:rsidR="00720269">
        <w:t>.</w:t>
      </w:r>
    </w:p>
    <w:p w:rsidR="0056394F" w:rsidRDefault="0056394F" w:rsidP="004469F4"/>
    <w:p w:rsidR="00A05DA2" w:rsidRDefault="0056394F" w:rsidP="004469F4">
      <w:r>
        <w:t xml:space="preserve"> </w:t>
      </w:r>
    </w:p>
    <w:p w:rsidR="004469F4" w:rsidRDefault="004469F4" w:rsidP="004469F4">
      <w:r>
        <w:tab/>
      </w:r>
    </w:p>
    <w:p w:rsidR="004469F4" w:rsidRPr="00E523CD" w:rsidRDefault="00E523CD" w:rsidP="004469F4">
      <w:pPr>
        <w:rPr>
          <w:i/>
        </w:rPr>
      </w:pPr>
      <w:r>
        <w:t xml:space="preserve">16. </w:t>
      </w:r>
      <w:r w:rsidR="004469F4" w:rsidRPr="00E523CD">
        <w:rPr>
          <w:i/>
        </w:rPr>
        <w:t>For collections of information whose results are planned to be published for statistical use, outline plans for tabulations, statistical analysis, and publication.</w:t>
      </w:r>
    </w:p>
    <w:p w:rsidR="004469F4" w:rsidRDefault="004469F4" w:rsidP="004469F4"/>
    <w:p w:rsidR="004469F4" w:rsidRDefault="004469F4" w:rsidP="004469F4">
      <w:r>
        <w:t>There are no plans to publish this information for statistical or other purposes.</w:t>
      </w:r>
    </w:p>
    <w:p w:rsidR="004469F4" w:rsidRDefault="004469F4" w:rsidP="004469F4"/>
    <w:p w:rsidR="004469F4" w:rsidRPr="00E523CD" w:rsidRDefault="00E523CD" w:rsidP="004469F4">
      <w:pPr>
        <w:rPr>
          <w:i/>
        </w:rPr>
      </w:pPr>
      <w:r>
        <w:t xml:space="preserve">17. </w:t>
      </w:r>
      <w:r w:rsidR="004469F4" w:rsidRPr="00E523CD">
        <w:rPr>
          <w:i/>
        </w:rPr>
        <w:t>If seeking approval to not display the expiration date for OMB approval of the information collection, explain the reasons that display would be inappropriate.</w:t>
      </w:r>
    </w:p>
    <w:p w:rsidR="004469F4" w:rsidRDefault="004469F4" w:rsidP="004469F4"/>
    <w:p w:rsidR="004C4D10" w:rsidRDefault="004469F4" w:rsidP="004469F4">
      <w:r>
        <w:t>We continue to seek approval to not display t</w:t>
      </w:r>
      <w:r w:rsidR="00E523CD">
        <w:t>he expiration date on FAA Form</w:t>
      </w:r>
      <w:r w:rsidR="003474C0">
        <w:t xml:space="preserve"> 8500</w:t>
      </w:r>
      <w:r>
        <w:t>-8</w:t>
      </w:r>
      <w:r w:rsidR="003474C0">
        <w:t xml:space="preserve">. </w:t>
      </w:r>
      <w:r>
        <w:t xml:space="preserve">Displaying the expiration date has caused confusion for respondents, for our nearly 3500 FAA AME designees, and for FAA IT program personnel who </w:t>
      </w:r>
      <w:r w:rsidR="0058776F">
        <w:t>tend to associate the static date carried on the form for the currency of an applicant’s medical information when there is no correlation</w:t>
      </w:r>
      <w:r>
        <w:t xml:space="preserve">.  </w:t>
      </w:r>
    </w:p>
    <w:p w:rsidR="009A1C4D" w:rsidRDefault="009A1C4D" w:rsidP="004469F4"/>
    <w:p w:rsidR="004469F4" w:rsidRPr="00973EF9" w:rsidRDefault="00973EF9" w:rsidP="004469F4">
      <w:pPr>
        <w:rPr>
          <w:i/>
        </w:rPr>
      </w:pPr>
      <w:r>
        <w:t xml:space="preserve">18. </w:t>
      </w:r>
      <w:r w:rsidR="004469F4" w:rsidRPr="00973EF9">
        <w:rPr>
          <w:i/>
        </w:rPr>
        <w:t>Explain each exception to the certification statement identified in Item 19, Certification for Paperwork Reduction Act Submissions, of OMB Form 83-I.</w:t>
      </w:r>
    </w:p>
    <w:p w:rsidR="004469F4" w:rsidRDefault="004469F4" w:rsidP="004469F4"/>
    <w:p w:rsidR="001426FF" w:rsidRDefault="004469F4" w:rsidP="001426FF">
      <w:r>
        <w:t>There are no exceptions to the certification statement.</w:t>
      </w:r>
      <w:bookmarkEnd w:id="0"/>
    </w:p>
    <w:sectPr w:rsidR="001426FF" w:rsidSect="00D3100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15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7C" w:rsidRDefault="00B3417C">
      <w:r>
        <w:separator/>
      </w:r>
    </w:p>
  </w:endnote>
  <w:endnote w:type="continuationSeparator" w:id="0">
    <w:p w:rsidR="00B3417C" w:rsidRDefault="00B3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rsidP="00AC0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017EA" w:rsidRDefault="002017EA" w:rsidP="009101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rsidP="00AC0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9EB">
      <w:rPr>
        <w:rStyle w:val="PageNumber"/>
        <w:noProof/>
      </w:rPr>
      <w:t>2</w:t>
    </w:r>
    <w:r>
      <w:rPr>
        <w:rStyle w:val="PageNumber"/>
      </w:rPr>
      <w:fldChar w:fldCharType="end"/>
    </w:r>
  </w:p>
  <w:p w:rsidR="002017EA" w:rsidRDefault="002017EA" w:rsidP="009101E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7C" w:rsidRDefault="00B3417C">
      <w:r>
        <w:separator/>
      </w:r>
    </w:p>
  </w:footnote>
  <w:footnote w:type="continuationSeparator" w:id="0">
    <w:p w:rsidR="00B3417C" w:rsidRDefault="00B3417C">
      <w:r>
        <w:continuationSeparator/>
      </w:r>
    </w:p>
  </w:footnote>
  <w:footnote w:id="1">
    <w:p w:rsidR="002017EA" w:rsidRDefault="002017EA" w:rsidP="007F1976">
      <w:pPr>
        <w:pStyle w:val="FootnoteText"/>
      </w:pPr>
      <w:r>
        <w:rPr>
          <w:rStyle w:val="FootnoteReference"/>
        </w:rPr>
        <w:footnoteRef/>
      </w:r>
      <w:r>
        <w:t xml:space="preserve"> </w:t>
      </w:r>
      <w:r w:rsidRPr="007718A0">
        <w:t>Revised Departmental Guidance on Valuation of</w:t>
      </w:r>
      <w:r>
        <w:t xml:space="preserve"> Travel Time in Economic Analysi</w:t>
      </w:r>
      <w:r w:rsidRPr="007718A0">
        <w:t xml:space="preserve">s; </w:t>
      </w:r>
      <w:r>
        <w:t>Table 3</w:t>
      </w:r>
      <w:r w:rsidRPr="00C90896">
        <w:t xml:space="preserve"> (Revision 2 - corrected)</w:t>
      </w:r>
      <w:r w:rsidRPr="007718A0">
        <w:t xml:space="preserve">: Recommended Hourly </w:t>
      </w:r>
      <w:r>
        <w:t>Earnings Rates for Determining Values of Travel Time Savings (Personal local or intercity travel surface modes</w:t>
      </w:r>
      <w:r w:rsidRPr="007718A0">
        <w:t>)</w:t>
      </w:r>
      <w:r>
        <w:t xml:space="preserve">. </w:t>
      </w:r>
      <w:r w:rsidRPr="0078518F">
        <w:t>https://www.transportation.gov/administrations/office-policy/2015-value-travel-time-guidance</w:t>
      </w:r>
      <w:r>
        <w:t xml:space="preserve">, 2015. </w:t>
      </w:r>
      <w:r w:rsidRPr="003538EF">
        <w:t xml:space="preserve">To </w:t>
      </w:r>
      <w:r w:rsidRPr="00CB799D">
        <w:t xml:space="preserve">project future benefits </w:t>
      </w:r>
      <w:r>
        <w:t>of travel time savings from 2013 to 2026 the value is augmented by 1.0</w:t>
      </w:r>
      <w:r w:rsidRPr="00CB799D">
        <w:t xml:space="preserve"> percent per year</w:t>
      </w:r>
      <w:r>
        <w:t xml:space="preserve"> as reported on Page 22 of the DOT guidance. </w:t>
      </w:r>
    </w:p>
  </w:footnote>
  <w:footnote w:id="2">
    <w:p w:rsidR="002017EA" w:rsidRDefault="002017EA" w:rsidP="006001B5">
      <w:pPr>
        <w:pStyle w:val="FootnoteText"/>
      </w:pPr>
      <w:r>
        <w:rPr>
          <w:rStyle w:val="FootnoteReference"/>
        </w:rPr>
        <w:footnoteRef/>
      </w:r>
      <w:r>
        <w:t xml:space="preserve"> </w:t>
      </w:r>
      <w:r w:rsidRPr="00196207">
        <w:rPr>
          <w:sz w:val="18"/>
          <w:szCs w:val="18"/>
        </w:rPr>
        <w:t>201</w:t>
      </w:r>
      <w:r>
        <w:rPr>
          <w:sz w:val="18"/>
          <w:szCs w:val="18"/>
        </w:rPr>
        <w:t>6</w:t>
      </w:r>
      <w:r w:rsidRPr="00196207">
        <w:rPr>
          <w:sz w:val="18"/>
          <w:szCs w:val="18"/>
        </w:rPr>
        <w:t xml:space="preserve"> General Schedule (GS) Locality Pay Tables; GS-11 Step 5 locality pay The REST OF UNITED STATES;</w:t>
      </w:r>
      <w:r>
        <w:rPr>
          <w:sz w:val="18"/>
          <w:szCs w:val="18"/>
        </w:rPr>
        <w:t xml:space="preserve"> </w:t>
      </w:r>
      <w:r w:rsidRPr="00F95488">
        <w:rPr>
          <w:sz w:val="18"/>
          <w:szCs w:val="18"/>
        </w:rPr>
        <w:t>https://www.opm.gov/policy-data-oversight/pay-leave/salaries-wages/salary-tables/pdf/2016/RUS_h.pdf</w:t>
      </w:r>
      <w:r w:rsidRPr="00196207">
        <w:rPr>
          <w:sz w:val="18"/>
          <w:szCs w:val="18"/>
        </w:rPr>
        <w:t xml:space="preserve"> </w:t>
      </w:r>
      <w:r>
        <w:rPr>
          <w:sz w:val="18"/>
          <w:szCs w:val="18"/>
        </w:rPr>
        <w:t xml:space="preserve">; </w:t>
      </w:r>
      <w:r w:rsidRPr="00196207">
        <w:rPr>
          <w:sz w:val="18"/>
          <w:szCs w:val="18"/>
        </w:rPr>
        <w:t>plus fringe benefits; http://www.whitehouse.gov/sites/default/files/omb/memoranda/fy2008/m08-13.pdf</w:t>
      </w:r>
    </w:p>
  </w:footnote>
  <w:footnote w:id="3">
    <w:p w:rsidR="002017EA" w:rsidRDefault="002017EA" w:rsidP="006001B5">
      <w:pPr>
        <w:pStyle w:val="FootnoteText"/>
      </w:pPr>
      <w:r>
        <w:rPr>
          <w:rStyle w:val="FootnoteReference"/>
        </w:rPr>
        <w:footnoteRef/>
      </w:r>
      <w:r>
        <w:t xml:space="preserve"> </w:t>
      </w:r>
      <w:proofErr w:type="gramStart"/>
      <w:r w:rsidRPr="009E0D75">
        <w:rPr>
          <w:sz w:val="18"/>
          <w:szCs w:val="18"/>
        </w:rPr>
        <w:t>SALARY TABLE NO.</w:t>
      </w:r>
      <w:proofErr w:type="gramEnd"/>
      <w:r w:rsidRPr="009E0D75">
        <w:rPr>
          <w:sz w:val="18"/>
          <w:szCs w:val="18"/>
        </w:rPr>
        <w:t xml:space="preserve"> 201</w:t>
      </w:r>
      <w:r>
        <w:rPr>
          <w:sz w:val="18"/>
          <w:szCs w:val="18"/>
        </w:rPr>
        <w:t>6</w:t>
      </w:r>
      <w:r w:rsidRPr="009E0D75">
        <w:rPr>
          <w:sz w:val="18"/>
          <w:szCs w:val="18"/>
        </w:rPr>
        <w:t xml:space="preserve">-ES plus fringe benefits; </w:t>
      </w:r>
      <w:r w:rsidRPr="00F95488">
        <w:rPr>
          <w:sz w:val="18"/>
          <w:szCs w:val="18"/>
        </w:rPr>
        <w:t>https://www.opm.gov/policy-data-oversight/pay-leave/salaries-wages/salary-tables/pdf/2016/ES.pdf</w:t>
      </w:r>
      <w:r w:rsidRPr="009E0D75">
        <w:rPr>
          <w:sz w:val="18"/>
          <w:szCs w:val="18"/>
        </w:rPr>
        <w:t>, Agencies with a Certified SES Performance Appraisal System Maximum; http://www.whitehouse.gov/sites/default/files/omb/memoranda/fy2008/m08-13.pdf</w:t>
      </w:r>
    </w:p>
  </w:footnote>
  <w:footnote w:id="4">
    <w:p w:rsidR="002017EA" w:rsidRDefault="002017EA">
      <w:pPr>
        <w:pStyle w:val="FootnoteText"/>
      </w:pPr>
      <w:r>
        <w:rPr>
          <w:rStyle w:val="FootnoteReference"/>
        </w:rPr>
        <w:footnoteRef/>
      </w:r>
      <w:r>
        <w:t xml:space="preserve"> </w:t>
      </w:r>
      <w:proofErr w:type="gramStart"/>
      <w:r w:rsidRPr="009E0D75">
        <w:rPr>
          <w:sz w:val="18"/>
          <w:szCs w:val="18"/>
        </w:rPr>
        <w:t>SALARY TABLE NO.</w:t>
      </w:r>
      <w:proofErr w:type="gramEnd"/>
      <w:r w:rsidRPr="009E0D75">
        <w:rPr>
          <w:sz w:val="18"/>
          <w:szCs w:val="18"/>
        </w:rPr>
        <w:t xml:space="preserve"> 201</w:t>
      </w:r>
      <w:r>
        <w:rPr>
          <w:sz w:val="18"/>
          <w:szCs w:val="18"/>
        </w:rPr>
        <w:t>6</w:t>
      </w:r>
      <w:r w:rsidRPr="009E0D75">
        <w:rPr>
          <w:sz w:val="18"/>
          <w:szCs w:val="18"/>
        </w:rPr>
        <w:t xml:space="preserve">-ES plus fringe benefits; </w:t>
      </w:r>
      <w:r w:rsidRPr="00F95488">
        <w:rPr>
          <w:sz w:val="18"/>
          <w:szCs w:val="18"/>
        </w:rPr>
        <w:t>https://www.opm.gov/policy-data-oversight/pay-leave/salaries-wages/salary-tables/pdf/2016/ES.pdf</w:t>
      </w:r>
      <w:r w:rsidRPr="009E0D75">
        <w:rPr>
          <w:sz w:val="18"/>
          <w:szCs w:val="18"/>
        </w:rPr>
        <w:t>, Agencies with a Certified SES Performance Appraisal System Maximum; http://www.whitehouse.gov/sites/default/files/omb/memoranda/fy2008/m08-13.pdf</w:t>
      </w:r>
    </w:p>
  </w:footnote>
  <w:footnote w:id="5">
    <w:p w:rsidR="002017EA" w:rsidRDefault="002017EA">
      <w:pPr>
        <w:pStyle w:val="FootnoteText"/>
      </w:pPr>
      <w:r>
        <w:rPr>
          <w:rStyle w:val="FootnoteReference"/>
        </w:rPr>
        <w:footnoteRef/>
      </w:r>
      <w:r>
        <w:t xml:space="preserve"> </w:t>
      </w:r>
      <w:r w:rsidRPr="00196207">
        <w:rPr>
          <w:sz w:val="18"/>
          <w:szCs w:val="18"/>
        </w:rPr>
        <w:t>201</w:t>
      </w:r>
      <w:r>
        <w:rPr>
          <w:sz w:val="18"/>
          <w:szCs w:val="18"/>
        </w:rPr>
        <w:t>6</w:t>
      </w:r>
      <w:r w:rsidRPr="00196207">
        <w:rPr>
          <w:sz w:val="18"/>
          <w:szCs w:val="18"/>
        </w:rPr>
        <w:t xml:space="preserve"> General Schedule (GS) Locality Pay Tables; GS-11 Step 5 locality pay The REST OF UNITED STATES;</w:t>
      </w:r>
      <w:r>
        <w:rPr>
          <w:sz w:val="18"/>
          <w:szCs w:val="18"/>
        </w:rPr>
        <w:t xml:space="preserve"> </w:t>
      </w:r>
      <w:r w:rsidRPr="00F95488">
        <w:rPr>
          <w:sz w:val="18"/>
          <w:szCs w:val="18"/>
        </w:rPr>
        <w:t>https://www.opm.gov/policy-data-oversight/pay-leave/salaries-wages/salary-tables/pdf/2016/RUS_h.pdf</w:t>
      </w:r>
      <w:r w:rsidRPr="00196207">
        <w:rPr>
          <w:sz w:val="18"/>
          <w:szCs w:val="18"/>
        </w:rPr>
        <w:t xml:space="preserve"> </w:t>
      </w:r>
      <w:r>
        <w:rPr>
          <w:sz w:val="18"/>
          <w:szCs w:val="18"/>
        </w:rPr>
        <w:t xml:space="preserve">; </w:t>
      </w:r>
      <w:r w:rsidRPr="00196207">
        <w:rPr>
          <w:sz w:val="18"/>
          <w:szCs w:val="18"/>
        </w:rPr>
        <w:t>plus fringe benefits; http://www.whitehouse.gov/sites/default/files/omb/memoranda/fy2008/m08-13.pdf</w:t>
      </w:r>
    </w:p>
  </w:footnote>
  <w:footnote w:id="6">
    <w:p w:rsidR="002017EA" w:rsidRDefault="002017EA" w:rsidP="006001B5">
      <w:pPr>
        <w:pStyle w:val="FootnoteText"/>
      </w:pPr>
      <w:r>
        <w:rPr>
          <w:rStyle w:val="FootnoteReference"/>
        </w:rPr>
        <w:footnoteRef/>
      </w:r>
      <w:r>
        <w:t xml:space="preserve"> </w:t>
      </w:r>
      <w:proofErr w:type="gramStart"/>
      <w:r w:rsidRPr="00EE5E6C">
        <w:rPr>
          <w:sz w:val="18"/>
          <w:szCs w:val="18"/>
        </w:rPr>
        <w:t>Include</w:t>
      </w:r>
      <w:r>
        <w:rPr>
          <w:sz w:val="18"/>
          <w:szCs w:val="18"/>
        </w:rPr>
        <w:t>s</w:t>
      </w:r>
      <w:r w:rsidRPr="00EE5E6C">
        <w:rPr>
          <w:sz w:val="18"/>
          <w:szCs w:val="18"/>
        </w:rPr>
        <w:t xml:space="preserve"> only active special issuance medical certificates</w:t>
      </w:r>
      <w:r>
        <w:rPr>
          <w:sz w:val="18"/>
          <w:szCs w:val="18"/>
        </w:rPr>
        <w:t>.</w:t>
      </w:r>
      <w:proofErr w:type="gramEnd"/>
      <w:r>
        <w:t xml:space="preserve"> </w:t>
      </w:r>
    </w:p>
  </w:footnote>
  <w:footnote w:id="7">
    <w:p w:rsidR="002017EA" w:rsidRDefault="002017EA" w:rsidP="006001B5">
      <w:pPr>
        <w:pStyle w:val="FootnoteText"/>
      </w:pPr>
      <w:r>
        <w:rPr>
          <w:rStyle w:val="FootnoteReference"/>
        </w:rPr>
        <w:footnoteRef/>
      </w:r>
      <w:r>
        <w:t xml:space="preserve"> </w:t>
      </w:r>
      <w:r w:rsidRPr="001E10AD">
        <w:t>The 2016 weighted average hourly wage of $80.17 established by the Department of Transportation Guidance increases by 1.0 percent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EA" w:rsidRDefault="00201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57"/>
    <w:multiLevelType w:val="hybridMultilevel"/>
    <w:tmpl w:val="4C9EDD0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66EC9"/>
    <w:multiLevelType w:val="hybridMultilevel"/>
    <w:tmpl w:val="916C73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40F67A2"/>
    <w:multiLevelType w:val="hybridMultilevel"/>
    <w:tmpl w:val="DDF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6F1909"/>
    <w:multiLevelType w:val="hybridMultilevel"/>
    <w:tmpl w:val="4CC21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FF"/>
    <w:rsid w:val="00003966"/>
    <w:rsid w:val="00011C92"/>
    <w:rsid w:val="00012999"/>
    <w:rsid w:val="000268D8"/>
    <w:rsid w:val="0003251E"/>
    <w:rsid w:val="00064989"/>
    <w:rsid w:val="0006675E"/>
    <w:rsid w:val="000760ED"/>
    <w:rsid w:val="00096089"/>
    <w:rsid w:val="000A371E"/>
    <w:rsid w:val="000B10CE"/>
    <w:rsid w:val="000B54E7"/>
    <w:rsid w:val="000D75D0"/>
    <w:rsid w:val="000E2523"/>
    <w:rsid w:val="000E4ABD"/>
    <w:rsid w:val="000E5FEC"/>
    <w:rsid w:val="000E6139"/>
    <w:rsid w:val="000F0552"/>
    <w:rsid w:val="000F34CD"/>
    <w:rsid w:val="000F4D6D"/>
    <w:rsid w:val="000F6AD0"/>
    <w:rsid w:val="001265D4"/>
    <w:rsid w:val="001266AA"/>
    <w:rsid w:val="00135314"/>
    <w:rsid w:val="001426FF"/>
    <w:rsid w:val="00145CEE"/>
    <w:rsid w:val="00147DC1"/>
    <w:rsid w:val="001574F8"/>
    <w:rsid w:val="00177862"/>
    <w:rsid w:val="00186051"/>
    <w:rsid w:val="00194AD8"/>
    <w:rsid w:val="001B027B"/>
    <w:rsid w:val="001E39A5"/>
    <w:rsid w:val="001F41C6"/>
    <w:rsid w:val="001F4ACE"/>
    <w:rsid w:val="001F66E8"/>
    <w:rsid w:val="002017EA"/>
    <w:rsid w:val="00205B45"/>
    <w:rsid w:val="00206543"/>
    <w:rsid w:val="00206DBF"/>
    <w:rsid w:val="00215B99"/>
    <w:rsid w:val="002208FA"/>
    <w:rsid w:val="0022629F"/>
    <w:rsid w:val="00252609"/>
    <w:rsid w:val="00253DDE"/>
    <w:rsid w:val="00260062"/>
    <w:rsid w:val="00262D4F"/>
    <w:rsid w:val="00265D66"/>
    <w:rsid w:val="00270AEE"/>
    <w:rsid w:val="002732EA"/>
    <w:rsid w:val="002915D5"/>
    <w:rsid w:val="00293DEB"/>
    <w:rsid w:val="00294288"/>
    <w:rsid w:val="00294F20"/>
    <w:rsid w:val="002B2723"/>
    <w:rsid w:val="002B4C07"/>
    <w:rsid w:val="002B4E81"/>
    <w:rsid w:val="002C6AD8"/>
    <w:rsid w:val="002D32D6"/>
    <w:rsid w:val="002E1D12"/>
    <w:rsid w:val="002E52F2"/>
    <w:rsid w:val="002E7C5D"/>
    <w:rsid w:val="002F4718"/>
    <w:rsid w:val="003109CB"/>
    <w:rsid w:val="003123AA"/>
    <w:rsid w:val="00317408"/>
    <w:rsid w:val="003326D8"/>
    <w:rsid w:val="00336C2E"/>
    <w:rsid w:val="00337B67"/>
    <w:rsid w:val="00340772"/>
    <w:rsid w:val="003474C0"/>
    <w:rsid w:val="003477CF"/>
    <w:rsid w:val="00356F69"/>
    <w:rsid w:val="00361600"/>
    <w:rsid w:val="00374C62"/>
    <w:rsid w:val="00393A71"/>
    <w:rsid w:val="00393E91"/>
    <w:rsid w:val="003943EC"/>
    <w:rsid w:val="003B6FB5"/>
    <w:rsid w:val="003B7365"/>
    <w:rsid w:val="003C116E"/>
    <w:rsid w:val="003C4AD9"/>
    <w:rsid w:val="003D1CEE"/>
    <w:rsid w:val="003D370C"/>
    <w:rsid w:val="003F055F"/>
    <w:rsid w:val="00401217"/>
    <w:rsid w:val="0041056D"/>
    <w:rsid w:val="004154EE"/>
    <w:rsid w:val="00424539"/>
    <w:rsid w:val="00424743"/>
    <w:rsid w:val="00430200"/>
    <w:rsid w:val="004307EE"/>
    <w:rsid w:val="004338F1"/>
    <w:rsid w:val="004469F4"/>
    <w:rsid w:val="00450180"/>
    <w:rsid w:val="004730F0"/>
    <w:rsid w:val="004A09EB"/>
    <w:rsid w:val="004A440B"/>
    <w:rsid w:val="004B51B0"/>
    <w:rsid w:val="004C1E41"/>
    <w:rsid w:val="004C4D10"/>
    <w:rsid w:val="004E2667"/>
    <w:rsid w:val="004E4E61"/>
    <w:rsid w:val="004E6394"/>
    <w:rsid w:val="004F3AAC"/>
    <w:rsid w:val="005032B5"/>
    <w:rsid w:val="00515B7D"/>
    <w:rsid w:val="00515CDF"/>
    <w:rsid w:val="0052548F"/>
    <w:rsid w:val="00526D3D"/>
    <w:rsid w:val="0053030B"/>
    <w:rsid w:val="00540554"/>
    <w:rsid w:val="005503CE"/>
    <w:rsid w:val="00552492"/>
    <w:rsid w:val="00552BB8"/>
    <w:rsid w:val="005569F5"/>
    <w:rsid w:val="0056394F"/>
    <w:rsid w:val="00565570"/>
    <w:rsid w:val="00585BF5"/>
    <w:rsid w:val="0058776F"/>
    <w:rsid w:val="005B09A0"/>
    <w:rsid w:val="005B74B3"/>
    <w:rsid w:val="005D7824"/>
    <w:rsid w:val="005E403A"/>
    <w:rsid w:val="005F385A"/>
    <w:rsid w:val="005F5A8A"/>
    <w:rsid w:val="005F6A77"/>
    <w:rsid w:val="006001B5"/>
    <w:rsid w:val="0061427C"/>
    <w:rsid w:val="00625CE2"/>
    <w:rsid w:val="00631280"/>
    <w:rsid w:val="00661886"/>
    <w:rsid w:val="00665F98"/>
    <w:rsid w:val="00683AA8"/>
    <w:rsid w:val="006A0124"/>
    <w:rsid w:val="006A3CD3"/>
    <w:rsid w:val="006B2F28"/>
    <w:rsid w:val="006B5787"/>
    <w:rsid w:val="006C491F"/>
    <w:rsid w:val="006C4CA6"/>
    <w:rsid w:val="006D5EBF"/>
    <w:rsid w:val="006E0515"/>
    <w:rsid w:val="006F0C05"/>
    <w:rsid w:val="006F0D1C"/>
    <w:rsid w:val="006F64FA"/>
    <w:rsid w:val="006F7578"/>
    <w:rsid w:val="00703F86"/>
    <w:rsid w:val="00707904"/>
    <w:rsid w:val="00710E6E"/>
    <w:rsid w:val="007112C0"/>
    <w:rsid w:val="00720269"/>
    <w:rsid w:val="007244F9"/>
    <w:rsid w:val="00730623"/>
    <w:rsid w:val="007362B6"/>
    <w:rsid w:val="007424E0"/>
    <w:rsid w:val="00755E21"/>
    <w:rsid w:val="00762C25"/>
    <w:rsid w:val="00763BA4"/>
    <w:rsid w:val="00763C1A"/>
    <w:rsid w:val="00772D05"/>
    <w:rsid w:val="00775888"/>
    <w:rsid w:val="0078070B"/>
    <w:rsid w:val="007C2D79"/>
    <w:rsid w:val="007F0323"/>
    <w:rsid w:val="007F1976"/>
    <w:rsid w:val="007F1F2B"/>
    <w:rsid w:val="00805622"/>
    <w:rsid w:val="0082423E"/>
    <w:rsid w:val="00827D20"/>
    <w:rsid w:val="008310CE"/>
    <w:rsid w:val="00831532"/>
    <w:rsid w:val="0083347D"/>
    <w:rsid w:val="00844FE0"/>
    <w:rsid w:val="0085550F"/>
    <w:rsid w:val="00855C8C"/>
    <w:rsid w:val="0086614C"/>
    <w:rsid w:val="00887DFB"/>
    <w:rsid w:val="00891EA9"/>
    <w:rsid w:val="008A3D94"/>
    <w:rsid w:val="008A61AC"/>
    <w:rsid w:val="008F40A8"/>
    <w:rsid w:val="008F4510"/>
    <w:rsid w:val="009050D5"/>
    <w:rsid w:val="009101EC"/>
    <w:rsid w:val="009218BC"/>
    <w:rsid w:val="009231A0"/>
    <w:rsid w:val="009242D6"/>
    <w:rsid w:val="00927DD7"/>
    <w:rsid w:val="0093050D"/>
    <w:rsid w:val="009455EC"/>
    <w:rsid w:val="00945A65"/>
    <w:rsid w:val="009533CB"/>
    <w:rsid w:val="0095595E"/>
    <w:rsid w:val="0096310E"/>
    <w:rsid w:val="00967A02"/>
    <w:rsid w:val="00973EF9"/>
    <w:rsid w:val="009863C0"/>
    <w:rsid w:val="00991B17"/>
    <w:rsid w:val="00993396"/>
    <w:rsid w:val="00995B0D"/>
    <w:rsid w:val="009A1C4D"/>
    <w:rsid w:val="009A2C0A"/>
    <w:rsid w:val="009B1AA9"/>
    <w:rsid w:val="009D7EBE"/>
    <w:rsid w:val="009E6998"/>
    <w:rsid w:val="009F0AB1"/>
    <w:rsid w:val="009F4C13"/>
    <w:rsid w:val="00A00286"/>
    <w:rsid w:val="00A05DA2"/>
    <w:rsid w:val="00A10D73"/>
    <w:rsid w:val="00A20392"/>
    <w:rsid w:val="00A232E6"/>
    <w:rsid w:val="00A33FBA"/>
    <w:rsid w:val="00A3515F"/>
    <w:rsid w:val="00A354C5"/>
    <w:rsid w:val="00A42C3F"/>
    <w:rsid w:val="00A51AD2"/>
    <w:rsid w:val="00A5372F"/>
    <w:rsid w:val="00A577BA"/>
    <w:rsid w:val="00A64998"/>
    <w:rsid w:val="00A80E71"/>
    <w:rsid w:val="00A90926"/>
    <w:rsid w:val="00AA52EB"/>
    <w:rsid w:val="00AB6800"/>
    <w:rsid w:val="00AC0852"/>
    <w:rsid w:val="00AC0988"/>
    <w:rsid w:val="00AC7F35"/>
    <w:rsid w:val="00AD079B"/>
    <w:rsid w:val="00AE4A15"/>
    <w:rsid w:val="00AF230B"/>
    <w:rsid w:val="00AF74B5"/>
    <w:rsid w:val="00AF7F23"/>
    <w:rsid w:val="00B0117C"/>
    <w:rsid w:val="00B161F3"/>
    <w:rsid w:val="00B32526"/>
    <w:rsid w:val="00B3417C"/>
    <w:rsid w:val="00B6330F"/>
    <w:rsid w:val="00B7131E"/>
    <w:rsid w:val="00B77F1B"/>
    <w:rsid w:val="00B80254"/>
    <w:rsid w:val="00B869C4"/>
    <w:rsid w:val="00BA4DE2"/>
    <w:rsid w:val="00BB3CD2"/>
    <w:rsid w:val="00BB3DD0"/>
    <w:rsid w:val="00BC0719"/>
    <w:rsid w:val="00BE3587"/>
    <w:rsid w:val="00C121F8"/>
    <w:rsid w:val="00C200C8"/>
    <w:rsid w:val="00C34168"/>
    <w:rsid w:val="00C41A57"/>
    <w:rsid w:val="00C81172"/>
    <w:rsid w:val="00C82572"/>
    <w:rsid w:val="00C82C68"/>
    <w:rsid w:val="00C86399"/>
    <w:rsid w:val="00C947A3"/>
    <w:rsid w:val="00CA4A7C"/>
    <w:rsid w:val="00CC471A"/>
    <w:rsid w:val="00CC7983"/>
    <w:rsid w:val="00CD032C"/>
    <w:rsid w:val="00CD1284"/>
    <w:rsid w:val="00CE0A1E"/>
    <w:rsid w:val="00CF1D16"/>
    <w:rsid w:val="00D04040"/>
    <w:rsid w:val="00D05309"/>
    <w:rsid w:val="00D06BA4"/>
    <w:rsid w:val="00D17548"/>
    <w:rsid w:val="00D2379B"/>
    <w:rsid w:val="00D2526A"/>
    <w:rsid w:val="00D31003"/>
    <w:rsid w:val="00D31D60"/>
    <w:rsid w:val="00D3797B"/>
    <w:rsid w:val="00D42465"/>
    <w:rsid w:val="00D503CA"/>
    <w:rsid w:val="00D50A69"/>
    <w:rsid w:val="00D539A4"/>
    <w:rsid w:val="00D60372"/>
    <w:rsid w:val="00D628E4"/>
    <w:rsid w:val="00D63FDE"/>
    <w:rsid w:val="00D64DE8"/>
    <w:rsid w:val="00D72BDE"/>
    <w:rsid w:val="00D75410"/>
    <w:rsid w:val="00D75B43"/>
    <w:rsid w:val="00D77E96"/>
    <w:rsid w:val="00D80333"/>
    <w:rsid w:val="00D8459B"/>
    <w:rsid w:val="00D86EDC"/>
    <w:rsid w:val="00D9483A"/>
    <w:rsid w:val="00DA721F"/>
    <w:rsid w:val="00DB2A73"/>
    <w:rsid w:val="00DC55A5"/>
    <w:rsid w:val="00DC5847"/>
    <w:rsid w:val="00DD12E0"/>
    <w:rsid w:val="00DE77A9"/>
    <w:rsid w:val="00DF643A"/>
    <w:rsid w:val="00E0081D"/>
    <w:rsid w:val="00E033B1"/>
    <w:rsid w:val="00E052D6"/>
    <w:rsid w:val="00E10B0B"/>
    <w:rsid w:val="00E313EC"/>
    <w:rsid w:val="00E35CFE"/>
    <w:rsid w:val="00E364E1"/>
    <w:rsid w:val="00E45E77"/>
    <w:rsid w:val="00E46312"/>
    <w:rsid w:val="00E523CD"/>
    <w:rsid w:val="00E63DC4"/>
    <w:rsid w:val="00E645B8"/>
    <w:rsid w:val="00E65DA3"/>
    <w:rsid w:val="00E67C52"/>
    <w:rsid w:val="00E86BE3"/>
    <w:rsid w:val="00E916E6"/>
    <w:rsid w:val="00EA39B5"/>
    <w:rsid w:val="00EA590E"/>
    <w:rsid w:val="00EA76A2"/>
    <w:rsid w:val="00EB11C3"/>
    <w:rsid w:val="00EC4963"/>
    <w:rsid w:val="00EC70DD"/>
    <w:rsid w:val="00EE3E79"/>
    <w:rsid w:val="00EF3B5B"/>
    <w:rsid w:val="00EF3FCF"/>
    <w:rsid w:val="00F00D14"/>
    <w:rsid w:val="00F054B2"/>
    <w:rsid w:val="00F0728F"/>
    <w:rsid w:val="00F31F9E"/>
    <w:rsid w:val="00F32B58"/>
    <w:rsid w:val="00F41FA2"/>
    <w:rsid w:val="00F4692B"/>
    <w:rsid w:val="00F530D1"/>
    <w:rsid w:val="00F575C6"/>
    <w:rsid w:val="00F70CC2"/>
    <w:rsid w:val="00F85B4A"/>
    <w:rsid w:val="00FB3C5A"/>
    <w:rsid w:val="00FB7ADE"/>
    <w:rsid w:val="00FC005C"/>
    <w:rsid w:val="00FC5687"/>
    <w:rsid w:val="00FD32EE"/>
    <w:rsid w:val="00FD469E"/>
    <w:rsid w:val="00FE1318"/>
    <w:rsid w:val="00FF1155"/>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6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426FF"/>
    <w:rPr>
      <w:sz w:val="20"/>
      <w:szCs w:val="20"/>
    </w:rPr>
  </w:style>
  <w:style w:type="character" w:styleId="FootnoteReference">
    <w:name w:val="footnote reference"/>
    <w:uiPriority w:val="99"/>
    <w:rsid w:val="001426FF"/>
    <w:rPr>
      <w:vertAlign w:val="superscript"/>
    </w:rPr>
  </w:style>
  <w:style w:type="paragraph" w:customStyle="1" w:styleId="Style">
    <w:name w:val="Style"/>
    <w:rsid w:val="009218BC"/>
    <w:pPr>
      <w:widowControl w:val="0"/>
      <w:autoSpaceDE w:val="0"/>
      <w:autoSpaceDN w:val="0"/>
      <w:adjustRightInd w:val="0"/>
    </w:pPr>
    <w:rPr>
      <w:rFonts w:ascii="Arial" w:hAnsi="Arial" w:cs="Arial"/>
      <w:sz w:val="24"/>
      <w:szCs w:val="24"/>
    </w:rPr>
  </w:style>
  <w:style w:type="table" w:styleId="TableGrid">
    <w:name w:val="Table Grid"/>
    <w:basedOn w:val="TableNormal"/>
    <w:rsid w:val="00921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1FA2"/>
    <w:rPr>
      <w:rFonts w:ascii="Tahoma" w:hAnsi="Tahoma" w:cs="Tahoma"/>
      <w:sz w:val="16"/>
      <w:szCs w:val="16"/>
    </w:rPr>
  </w:style>
  <w:style w:type="character" w:styleId="CommentReference">
    <w:name w:val="annotation reference"/>
    <w:semiHidden/>
    <w:rsid w:val="00AE4A15"/>
    <w:rPr>
      <w:sz w:val="16"/>
      <w:szCs w:val="16"/>
    </w:rPr>
  </w:style>
  <w:style w:type="paragraph" w:styleId="CommentText">
    <w:name w:val="annotation text"/>
    <w:basedOn w:val="Normal"/>
    <w:semiHidden/>
    <w:rsid w:val="00AE4A15"/>
    <w:rPr>
      <w:sz w:val="20"/>
      <w:szCs w:val="20"/>
    </w:rPr>
  </w:style>
  <w:style w:type="paragraph" w:styleId="CommentSubject">
    <w:name w:val="annotation subject"/>
    <w:basedOn w:val="CommentText"/>
    <w:next w:val="CommentText"/>
    <w:semiHidden/>
    <w:rsid w:val="00AE4A15"/>
    <w:rPr>
      <w:b/>
      <w:bCs/>
    </w:rPr>
  </w:style>
  <w:style w:type="paragraph" w:styleId="Footer">
    <w:name w:val="footer"/>
    <w:basedOn w:val="Normal"/>
    <w:rsid w:val="009101EC"/>
    <w:pPr>
      <w:tabs>
        <w:tab w:val="center" w:pos="4320"/>
        <w:tab w:val="right" w:pos="8640"/>
      </w:tabs>
    </w:pPr>
  </w:style>
  <w:style w:type="character" w:styleId="PageNumber">
    <w:name w:val="page number"/>
    <w:basedOn w:val="DefaultParagraphFont"/>
    <w:rsid w:val="009101EC"/>
  </w:style>
  <w:style w:type="paragraph" w:styleId="Header">
    <w:name w:val="header"/>
    <w:basedOn w:val="Normal"/>
    <w:link w:val="HeaderChar"/>
    <w:rsid w:val="009A1C4D"/>
    <w:pPr>
      <w:tabs>
        <w:tab w:val="center" w:pos="4680"/>
        <w:tab w:val="right" w:pos="9360"/>
      </w:tabs>
    </w:pPr>
  </w:style>
  <w:style w:type="character" w:customStyle="1" w:styleId="HeaderChar">
    <w:name w:val="Header Char"/>
    <w:link w:val="Header"/>
    <w:rsid w:val="009A1C4D"/>
    <w:rPr>
      <w:sz w:val="24"/>
      <w:szCs w:val="24"/>
    </w:rPr>
  </w:style>
  <w:style w:type="paragraph" w:styleId="ListParagraph">
    <w:name w:val="List Paragraph"/>
    <w:basedOn w:val="Normal"/>
    <w:uiPriority w:val="34"/>
    <w:qFormat/>
    <w:rsid w:val="00D60372"/>
    <w:pPr>
      <w:ind w:left="720"/>
    </w:pPr>
  </w:style>
  <w:style w:type="character" w:customStyle="1" w:styleId="FootnoteTextChar">
    <w:name w:val="Footnote Text Char"/>
    <w:basedOn w:val="DefaultParagraphFont"/>
    <w:link w:val="FootnoteText"/>
    <w:rsid w:val="007F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6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426FF"/>
    <w:rPr>
      <w:sz w:val="20"/>
      <w:szCs w:val="20"/>
    </w:rPr>
  </w:style>
  <w:style w:type="character" w:styleId="FootnoteReference">
    <w:name w:val="footnote reference"/>
    <w:uiPriority w:val="99"/>
    <w:rsid w:val="001426FF"/>
    <w:rPr>
      <w:vertAlign w:val="superscript"/>
    </w:rPr>
  </w:style>
  <w:style w:type="paragraph" w:customStyle="1" w:styleId="Style">
    <w:name w:val="Style"/>
    <w:rsid w:val="009218BC"/>
    <w:pPr>
      <w:widowControl w:val="0"/>
      <w:autoSpaceDE w:val="0"/>
      <w:autoSpaceDN w:val="0"/>
      <w:adjustRightInd w:val="0"/>
    </w:pPr>
    <w:rPr>
      <w:rFonts w:ascii="Arial" w:hAnsi="Arial" w:cs="Arial"/>
      <w:sz w:val="24"/>
      <w:szCs w:val="24"/>
    </w:rPr>
  </w:style>
  <w:style w:type="table" w:styleId="TableGrid">
    <w:name w:val="Table Grid"/>
    <w:basedOn w:val="TableNormal"/>
    <w:rsid w:val="00921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1FA2"/>
    <w:rPr>
      <w:rFonts w:ascii="Tahoma" w:hAnsi="Tahoma" w:cs="Tahoma"/>
      <w:sz w:val="16"/>
      <w:szCs w:val="16"/>
    </w:rPr>
  </w:style>
  <w:style w:type="character" w:styleId="CommentReference">
    <w:name w:val="annotation reference"/>
    <w:semiHidden/>
    <w:rsid w:val="00AE4A15"/>
    <w:rPr>
      <w:sz w:val="16"/>
      <w:szCs w:val="16"/>
    </w:rPr>
  </w:style>
  <w:style w:type="paragraph" w:styleId="CommentText">
    <w:name w:val="annotation text"/>
    <w:basedOn w:val="Normal"/>
    <w:semiHidden/>
    <w:rsid w:val="00AE4A15"/>
    <w:rPr>
      <w:sz w:val="20"/>
      <w:szCs w:val="20"/>
    </w:rPr>
  </w:style>
  <w:style w:type="paragraph" w:styleId="CommentSubject">
    <w:name w:val="annotation subject"/>
    <w:basedOn w:val="CommentText"/>
    <w:next w:val="CommentText"/>
    <w:semiHidden/>
    <w:rsid w:val="00AE4A15"/>
    <w:rPr>
      <w:b/>
      <w:bCs/>
    </w:rPr>
  </w:style>
  <w:style w:type="paragraph" w:styleId="Footer">
    <w:name w:val="footer"/>
    <w:basedOn w:val="Normal"/>
    <w:rsid w:val="009101EC"/>
    <w:pPr>
      <w:tabs>
        <w:tab w:val="center" w:pos="4320"/>
        <w:tab w:val="right" w:pos="8640"/>
      </w:tabs>
    </w:pPr>
  </w:style>
  <w:style w:type="character" w:styleId="PageNumber">
    <w:name w:val="page number"/>
    <w:basedOn w:val="DefaultParagraphFont"/>
    <w:rsid w:val="009101EC"/>
  </w:style>
  <w:style w:type="paragraph" w:styleId="Header">
    <w:name w:val="header"/>
    <w:basedOn w:val="Normal"/>
    <w:link w:val="HeaderChar"/>
    <w:rsid w:val="009A1C4D"/>
    <w:pPr>
      <w:tabs>
        <w:tab w:val="center" w:pos="4680"/>
        <w:tab w:val="right" w:pos="9360"/>
      </w:tabs>
    </w:pPr>
  </w:style>
  <w:style w:type="character" w:customStyle="1" w:styleId="HeaderChar">
    <w:name w:val="Header Char"/>
    <w:link w:val="Header"/>
    <w:rsid w:val="009A1C4D"/>
    <w:rPr>
      <w:sz w:val="24"/>
      <w:szCs w:val="24"/>
    </w:rPr>
  </w:style>
  <w:style w:type="paragraph" w:styleId="ListParagraph">
    <w:name w:val="List Paragraph"/>
    <w:basedOn w:val="Normal"/>
    <w:uiPriority w:val="34"/>
    <w:qFormat/>
    <w:rsid w:val="00D60372"/>
    <w:pPr>
      <w:ind w:left="720"/>
    </w:pPr>
  </w:style>
  <w:style w:type="character" w:customStyle="1" w:styleId="FootnoteTextChar">
    <w:name w:val="Footnote Text Char"/>
    <w:basedOn w:val="DefaultParagraphFont"/>
    <w:link w:val="FootnoteText"/>
    <w:rsid w:val="007F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12943">
      <w:bodyDiv w:val="1"/>
      <w:marLeft w:val="0"/>
      <w:marRight w:val="0"/>
      <w:marTop w:val="0"/>
      <w:marBottom w:val="0"/>
      <w:divBdr>
        <w:top w:val="none" w:sz="0" w:space="0" w:color="auto"/>
        <w:left w:val="none" w:sz="0" w:space="0" w:color="auto"/>
        <w:bottom w:val="none" w:sz="0" w:space="0" w:color="auto"/>
        <w:right w:val="none" w:sz="0" w:space="0" w:color="auto"/>
      </w:divBdr>
    </w:div>
    <w:div w:id="15673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BC3C-0F04-451B-A904-BF62ACD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REPORT OF A FEDERAL AVIATION ADMINISTRATION PLAN TO REVISE A CURRENTLY APPROVED COLLECTION</vt:lpstr>
    </vt:vector>
  </TitlesOfParts>
  <Company>DOT/FAA</Company>
  <LinksUpToDate>false</LinksUpToDate>
  <CharactersWithSpaces>12466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 FEDERAL AVIATION ADMINISTRATION PLAN TO REVISE A CURRENTLY APPROVED COLLECTION</dc:title>
  <dc:creator>DOT/FAA</dc:creator>
  <cp:lastModifiedBy>Thompson, Ronda (FAA)</cp:lastModifiedBy>
  <cp:revision>2</cp:revision>
  <cp:lastPrinted>2015-11-05T16:30:00Z</cp:lastPrinted>
  <dcterms:created xsi:type="dcterms:W3CDTF">2017-06-01T15:14:00Z</dcterms:created>
  <dcterms:modified xsi:type="dcterms:W3CDTF">2017-06-01T15:14:00Z</dcterms:modified>
</cp:coreProperties>
</file>