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24"/>
      </w:tblGrid>
      <w:tr w:rsidR="00F84372" w:rsidRPr="00F84372" w:rsidTr="00F84372">
        <w:trPr>
          <w:tblCellSpacing w:w="15" w:type="dxa"/>
          <w:jc w:val="center"/>
        </w:trPr>
        <w:tc>
          <w:tcPr>
            <w:tcW w:w="0" w:type="auto"/>
            <w:hideMark/>
          </w:tcPr>
          <w:p w:rsidR="00F84372" w:rsidRPr="00F84372" w:rsidRDefault="00F84372" w:rsidP="00F8437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7"/>
                <w:szCs w:val="27"/>
              </w:rPr>
            </w:pPr>
            <w:r w:rsidRPr="00F84372">
              <w:rPr>
                <w:rFonts w:ascii="Arial" w:eastAsia="Times New Roman" w:hAnsi="Arial" w:cs="Arial"/>
                <w:b/>
                <w:bCs/>
                <w:color w:val="FF0000"/>
                <w:sz w:val="27"/>
                <w:szCs w:val="27"/>
              </w:rPr>
              <w:t>e-CFR data is current as of May 25, 2017</w:t>
            </w:r>
          </w:p>
        </w:tc>
      </w:tr>
    </w:tbl>
    <w:p w:rsidR="00F84372" w:rsidRPr="00F84372" w:rsidRDefault="00F84372" w:rsidP="00F84372">
      <w:pPr>
        <w:spacing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7"/>
      </w:tblGrid>
      <w:tr w:rsidR="00F84372" w:rsidRPr="00F84372" w:rsidTr="00F84372">
        <w:trPr>
          <w:tblCellSpacing w:w="15" w:type="dxa"/>
          <w:jc w:val="center"/>
        </w:trPr>
        <w:tc>
          <w:tcPr>
            <w:tcW w:w="0" w:type="auto"/>
            <w:hideMark/>
          </w:tcPr>
          <w:p w:rsidR="00F84372" w:rsidRPr="00F84372" w:rsidRDefault="00F84372" w:rsidP="00F84372">
            <w:pPr>
              <w:spacing w:before="200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4" w:history="1">
              <w:r w:rsidRPr="00F84372">
                <w:rPr>
                  <w:rFonts w:ascii="Arial" w:eastAsia="Times New Roman" w:hAnsi="Arial" w:cs="Arial"/>
                  <w:color w:val="0000FF"/>
                  <w:sz w:val="17"/>
                  <w:szCs w:val="17"/>
                </w:rPr>
                <w:t>Title 18</w:t>
              </w:r>
            </w:hyperlink>
            <w:r w:rsidRPr="00F84372">
              <w:rPr>
                <w:rFonts w:ascii="Arial" w:eastAsia="Times New Roman" w:hAnsi="Arial" w:cs="Arial"/>
                <w:sz w:val="20"/>
                <w:szCs w:val="20"/>
              </w:rPr>
              <w:t xml:space="preserve"> → </w:t>
            </w:r>
            <w:hyperlink r:id="rId5" w:history="1">
              <w:r w:rsidRPr="00F84372">
                <w:rPr>
                  <w:rFonts w:ascii="Arial" w:eastAsia="Times New Roman" w:hAnsi="Arial" w:cs="Arial"/>
                  <w:color w:val="0000FF"/>
                  <w:sz w:val="17"/>
                  <w:szCs w:val="17"/>
                </w:rPr>
                <w:t>Chapter I</w:t>
              </w:r>
            </w:hyperlink>
            <w:r w:rsidRPr="00F84372">
              <w:rPr>
                <w:rFonts w:ascii="Arial" w:eastAsia="Times New Roman" w:hAnsi="Arial" w:cs="Arial"/>
                <w:sz w:val="20"/>
                <w:szCs w:val="20"/>
              </w:rPr>
              <w:t xml:space="preserve"> → </w:t>
            </w:r>
            <w:hyperlink r:id="rId6" w:history="1">
              <w:r w:rsidRPr="00F84372">
                <w:rPr>
                  <w:rFonts w:ascii="Arial" w:eastAsia="Times New Roman" w:hAnsi="Arial" w:cs="Arial"/>
                  <w:color w:val="0000FF"/>
                  <w:sz w:val="17"/>
                  <w:szCs w:val="17"/>
                </w:rPr>
                <w:t>Subchapter P</w:t>
              </w:r>
            </w:hyperlink>
            <w:r w:rsidRPr="00F84372">
              <w:rPr>
                <w:rFonts w:ascii="Arial" w:eastAsia="Times New Roman" w:hAnsi="Arial" w:cs="Arial"/>
                <w:sz w:val="20"/>
                <w:szCs w:val="20"/>
              </w:rPr>
              <w:t xml:space="preserve"> → Part 342</w:t>
            </w:r>
          </w:p>
          <w:p w:rsidR="00F84372" w:rsidRPr="00F84372" w:rsidRDefault="00F84372" w:rsidP="00F84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84372">
              <w:rPr>
                <w:rFonts w:ascii="Arial" w:eastAsia="Times New Roman" w:hAnsi="Arial" w:cs="Arial"/>
                <w:sz w:val="20"/>
                <w:szCs w:val="20"/>
              </w:rPr>
              <w:pict>
                <v:rect id="_x0000_i1025" style="width:0;height:1.5pt" o:hralign="center" o:hrstd="t" o:hrnoshade="t" o:hr="t" fillcolor="black" stroked="f"/>
              </w:pict>
            </w:r>
          </w:p>
        </w:tc>
      </w:tr>
    </w:tbl>
    <w:p w:rsidR="00F84372" w:rsidRPr="00F84372" w:rsidRDefault="00F84372" w:rsidP="00F84372">
      <w:pPr>
        <w:spacing w:before="200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hyperlink r:id="rId7" w:history="1">
        <w:r w:rsidRPr="00F84372">
          <w:rPr>
            <w:rFonts w:ascii="Arial" w:eastAsia="Times New Roman" w:hAnsi="Arial" w:cs="Arial"/>
            <w:color w:val="0000FF"/>
            <w:sz w:val="17"/>
            <w:szCs w:val="17"/>
          </w:rPr>
          <w:t>Browse Previous</w:t>
        </w:r>
      </w:hyperlink>
      <w:r w:rsidRPr="00F84372">
        <w:rPr>
          <w:rFonts w:ascii="Arial" w:eastAsia="Times New Roman" w:hAnsi="Arial" w:cs="Arial"/>
          <w:sz w:val="20"/>
          <w:szCs w:val="20"/>
        </w:rPr>
        <w:t xml:space="preserve"> | </w:t>
      </w:r>
      <w:hyperlink r:id="rId8" w:history="1">
        <w:r w:rsidRPr="00F84372">
          <w:rPr>
            <w:rFonts w:ascii="Arial" w:eastAsia="Times New Roman" w:hAnsi="Arial" w:cs="Arial"/>
            <w:color w:val="0000FF"/>
            <w:sz w:val="17"/>
            <w:szCs w:val="17"/>
          </w:rPr>
          <w:t>Browse Next</w:t>
        </w:r>
      </w:hyperlink>
    </w:p>
    <w:p w:rsidR="00F84372" w:rsidRPr="00F84372" w:rsidRDefault="00F84372" w:rsidP="00F84372">
      <w:pPr>
        <w:spacing w:before="200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F84372">
        <w:rPr>
          <w:rFonts w:ascii="Arial" w:eastAsia="Times New Roman" w:hAnsi="Arial" w:cs="Arial"/>
          <w:sz w:val="20"/>
          <w:szCs w:val="20"/>
        </w:rPr>
        <w:t xml:space="preserve">Title 18: Conservation of Power and Water Resources </w:t>
      </w:r>
    </w:p>
    <w:p w:rsidR="00F84372" w:rsidRPr="00F84372" w:rsidRDefault="00F84372" w:rsidP="00F8437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84372">
        <w:rPr>
          <w:rFonts w:ascii="Arial" w:eastAsia="Times New Roman" w:hAnsi="Arial" w:cs="Arial"/>
          <w:sz w:val="20"/>
          <w:szCs w:val="20"/>
        </w:rPr>
        <w:pict>
          <v:rect id="_x0000_i1026" style="width:0;height:1.5pt" o:hralign="center" o:hrstd="t" o:hr="t" fillcolor="#a0a0a0" stroked="f"/>
        </w:pict>
      </w:r>
    </w:p>
    <w:p w:rsidR="00F84372" w:rsidRPr="00F84372" w:rsidRDefault="00F84372" w:rsidP="00F84372">
      <w:pPr>
        <w:spacing w:before="200" w:after="10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bookmarkStart w:id="0" w:name="_top"/>
      <w:bookmarkEnd w:id="0"/>
      <w:r w:rsidRPr="00F84372">
        <w:rPr>
          <w:rFonts w:ascii="Arial" w:eastAsia="Times New Roman" w:hAnsi="Arial" w:cs="Arial"/>
          <w:b/>
          <w:bCs/>
          <w:sz w:val="20"/>
          <w:szCs w:val="20"/>
        </w:rPr>
        <w:t>PART 342—OIL PIPELINE RATE METHODOLOGIES AND PROCEDURES</w:t>
      </w:r>
    </w:p>
    <w:p w:rsidR="00F84372" w:rsidRPr="00F84372" w:rsidRDefault="00F84372" w:rsidP="00F8437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84372">
        <w:rPr>
          <w:rFonts w:ascii="Arial" w:eastAsia="Times New Roman" w:hAnsi="Arial" w:cs="Arial"/>
          <w:sz w:val="20"/>
          <w:szCs w:val="20"/>
        </w:rPr>
        <w:pict>
          <v:rect id="_x0000_i1027" style="width:0;height:1.5pt" o:hralign="center" o:hrstd="t" o:hr="t" fillcolor="#a0a0a0" stroked="f"/>
        </w:pict>
      </w:r>
    </w:p>
    <w:p w:rsidR="00F84372" w:rsidRPr="00F84372" w:rsidRDefault="00F84372" w:rsidP="00F8437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84372">
        <w:rPr>
          <w:rFonts w:ascii="Arial" w:eastAsia="Times New Roman" w:hAnsi="Arial" w:cs="Arial"/>
          <w:b/>
          <w:bCs/>
          <w:sz w:val="20"/>
          <w:szCs w:val="20"/>
        </w:rPr>
        <w:t>Contents</w:t>
      </w:r>
      <w:r w:rsidRPr="00F84372">
        <w:rPr>
          <w:rFonts w:ascii="Arial" w:eastAsia="Times New Roman" w:hAnsi="Arial" w:cs="Arial"/>
          <w:sz w:val="20"/>
          <w:szCs w:val="20"/>
        </w:rPr>
        <w:br/>
      </w:r>
      <w:hyperlink r:id="rId9" w:anchor="se18.1.342_10" w:history="1">
        <w:r w:rsidRPr="00F84372">
          <w:rPr>
            <w:rFonts w:ascii="Arial" w:eastAsia="Times New Roman" w:hAnsi="Arial" w:cs="Arial"/>
            <w:color w:val="0000FF"/>
            <w:sz w:val="17"/>
            <w:szCs w:val="17"/>
          </w:rPr>
          <w:t>§342.0   Applicability.</w:t>
        </w:r>
      </w:hyperlink>
      <w:r w:rsidRPr="00F84372">
        <w:rPr>
          <w:rFonts w:ascii="Arial" w:eastAsia="Times New Roman" w:hAnsi="Arial" w:cs="Arial"/>
          <w:sz w:val="20"/>
          <w:szCs w:val="20"/>
        </w:rPr>
        <w:br/>
      </w:r>
      <w:hyperlink r:id="rId10" w:anchor="se18.1.342_11" w:history="1">
        <w:r w:rsidRPr="00F84372">
          <w:rPr>
            <w:rFonts w:ascii="Arial" w:eastAsia="Times New Roman" w:hAnsi="Arial" w:cs="Arial"/>
            <w:color w:val="0000FF"/>
            <w:sz w:val="17"/>
            <w:szCs w:val="17"/>
          </w:rPr>
          <w:t>§342.1   General rule.</w:t>
        </w:r>
      </w:hyperlink>
      <w:r w:rsidRPr="00F84372">
        <w:rPr>
          <w:rFonts w:ascii="Arial" w:eastAsia="Times New Roman" w:hAnsi="Arial" w:cs="Arial"/>
          <w:sz w:val="20"/>
          <w:szCs w:val="20"/>
        </w:rPr>
        <w:br/>
      </w:r>
      <w:hyperlink r:id="rId11" w:anchor="se18.1.342_12" w:history="1">
        <w:r w:rsidRPr="00F84372">
          <w:rPr>
            <w:rFonts w:ascii="Arial" w:eastAsia="Times New Roman" w:hAnsi="Arial" w:cs="Arial"/>
            <w:color w:val="0000FF"/>
            <w:sz w:val="17"/>
            <w:szCs w:val="17"/>
          </w:rPr>
          <w:t>§342.2   Establishing initial rates.</w:t>
        </w:r>
      </w:hyperlink>
      <w:r w:rsidRPr="00F84372">
        <w:rPr>
          <w:rFonts w:ascii="Arial" w:eastAsia="Times New Roman" w:hAnsi="Arial" w:cs="Arial"/>
          <w:sz w:val="20"/>
          <w:szCs w:val="20"/>
        </w:rPr>
        <w:br/>
      </w:r>
      <w:hyperlink r:id="rId12" w:anchor="se18.1.342_13" w:history="1">
        <w:r w:rsidRPr="00F84372">
          <w:rPr>
            <w:rFonts w:ascii="Arial" w:eastAsia="Times New Roman" w:hAnsi="Arial" w:cs="Arial"/>
            <w:color w:val="0000FF"/>
            <w:sz w:val="17"/>
            <w:szCs w:val="17"/>
          </w:rPr>
          <w:t>§342.3   Indexing.</w:t>
        </w:r>
      </w:hyperlink>
      <w:r w:rsidRPr="00F84372">
        <w:rPr>
          <w:rFonts w:ascii="Arial" w:eastAsia="Times New Roman" w:hAnsi="Arial" w:cs="Arial"/>
          <w:sz w:val="20"/>
          <w:szCs w:val="20"/>
        </w:rPr>
        <w:br/>
      </w:r>
      <w:hyperlink r:id="rId13" w:anchor="se18.1.342_14" w:history="1">
        <w:r w:rsidRPr="00F84372">
          <w:rPr>
            <w:rFonts w:ascii="Arial" w:eastAsia="Times New Roman" w:hAnsi="Arial" w:cs="Arial"/>
            <w:color w:val="0000FF"/>
            <w:sz w:val="17"/>
            <w:szCs w:val="17"/>
          </w:rPr>
          <w:t>§342.4   </w:t>
        </w:r>
        <w:proofErr w:type="gramStart"/>
        <w:r w:rsidRPr="00F84372">
          <w:rPr>
            <w:rFonts w:ascii="Arial" w:eastAsia="Times New Roman" w:hAnsi="Arial" w:cs="Arial"/>
            <w:color w:val="0000FF"/>
            <w:sz w:val="17"/>
            <w:szCs w:val="17"/>
          </w:rPr>
          <w:t>Other</w:t>
        </w:r>
        <w:proofErr w:type="gramEnd"/>
        <w:r w:rsidRPr="00F84372">
          <w:rPr>
            <w:rFonts w:ascii="Arial" w:eastAsia="Times New Roman" w:hAnsi="Arial" w:cs="Arial"/>
            <w:color w:val="0000FF"/>
            <w:sz w:val="17"/>
            <w:szCs w:val="17"/>
          </w:rPr>
          <w:t xml:space="preserve"> rate changing methodologies.</w:t>
        </w:r>
      </w:hyperlink>
    </w:p>
    <w:p w:rsidR="00F84372" w:rsidRPr="00F84372" w:rsidRDefault="00F84372" w:rsidP="00F8437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84372">
        <w:rPr>
          <w:rFonts w:ascii="Arial" w:eastAsia="Times New Roman" w:hAnsi="Arial" w:cs="Arial"/>
          <w:sz w:val="20"/>
          <w:szCs w:val="20"/>
        </w:rPr>
        <w:pict>
          <v:rect id="_x0000_i1028" style="width:0;height:1.5pt" o:hralign="center" o:hrstd="t" o:hr="t" fillcolor="#a0a0a0" stroked="f"/>
        </w:pict>
      </w:r>
    </w:p>
    <w:p w:rsidR="00F84372" w:rsidRPr="00F84372" w:rsidRDefault="00F84372" w:rsidP="00F84372">
      <w:pPr>
        <w:spacing w:before="200" w:after="100" w:afterAutospacing="1" w:line="240" w:lineRule="auto"/>
        <w:ind w:firstLine="480"/>
        <w:rPr>
          <w:rFonts w:ascii="Arial" w:eastAsia="Times New Roman" w:hAnsi="Arial" w:cs="Arial"/>
          <w:sz w:val="18"/>
          <w:szCs w:val="18"/>
        </w:rPr>
      </w:pPr>
      <w:r w:rsidRPr="00F84372">
        <w:rPr>
          <w:rFonts w:ascii="Arial" w:eastAsia="Times New Roman" w:hAnsi="Arial" w:cs="Arial"/>
          <w:smallCaps/>
          <w:sz w:val="18"/>
          <w:szCs w:val="18"/>
        </w:rPr>
        <w:t>Authority:</w:t>
      </w:r>
      <w:r w:rsidRPr="00F84372">
        <w:rPr>
          <w:rFonts w:ascii="Arial" w:eastAsia="Times New Roman" w:hAnsi="Arial" w:cs="Arial"/>
          <w:sz w:val="18"/>
          <w:szCs w:val="18"/>
        </w:rPr>
        <w:t xml:space="preserve"> 5 U.S.C. 571-83; 42 U.S.C. 7101-7532; 49 U.S.C. 60502; 49 App. U.S.C. 1-85. </w:t>
      </w:r>
    </w:p>
    <w:p w:rsidR="00F84372" w:rsidRPr="00F84372" w:rsidRDefault="00F84372" w:rsidP="00F84372">
      <w:pPr>
        <w:spacing w:before="200" w:after="100" w:afterAutospacing="1" w:line="240" w:lineRule="auto"/>
        <w:ind w:firstLine="480"/>
        <w:rPr>
          <w:rFonts w:ascii="Arial" w:eastAsia="Times New Roman" w:hAnsi="Arial" w:cs="Arial"/>
          <w:sz w:val="18"/>
          <w:szCs w:val="18"/>
        </w:rPr>
      </w:pPr>
      <w:r w:rsidRPr="00F84372">
        <w:rPr>
          <w:rFonts w:ascii="Arial" w:eastAsia="Times New Roman" w:hAnsi="Arial" w:cs="Arial"/>
          <w:smallCaps/>
          <w:sz w:val="18"/>
          <w:szCs w:val="18"/>
        </w:rPr>
        <w:t>Source:</w:t>
      </w:r>
      <w:r w:rsidRPr="00F84372">
        <w:rPr>
          <w:rFonts w:ascii="Arial" w:eastAsia="Times New Roman" w:hAnsi="Arial" w:cs="Arial"/>
          <w:sz w:val="18"/>
          <w:szCs w:val="18"/>
        </w:rPr>
        <w:t xml:space="preserve"> Order 561, 58 FR 58779, Nov. 4, 1993, unless otherwise noted. </w:t>
      </w:r>
    </w:p>
    <w:p w:rsidR="00F84372" w:rsidRPr="00F84372" w:rsidRDefault="00F84372" w:rsidP="00F84372">
      <w:pPr>
        <w:spacing w:before="200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hyperlink r:id="rId14" w:anchor="_top" w:history="1">
        <w:r w:rsidRPr="00F84372">
          <w:rPr>
            <w:rFonts w:ascii="Arial" w:eastAsia="Times New Roman" w:hAnsi="Arial" w:cs="Arial"/>
            <w:noProof/>
            <w:color w:val="0000FF"/>
            <w:sz w:val="17"/>
            <w:szCs w:val="17"/>
          </w:rPr>
          <w:drawing>
            <wp:inline distT="0" distB="0" distL="0" distR="0" wp14:anchorId="5BEFE4D2" wp14:editId="6B2A0E66">
              <wp:extent cx="152400" cy="152400"/>
              <wp:effectExtent l="0" t="0" r="0" b="0"/>
              <wp:docPr id="22" name="Picture 22" descr="return arrow">
                <a:hlinkClick xmlns:a="http://schemas.openxmlformats.org/drawingml/2006/main" r:id="rId1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2" descr="return arrow">
                        <a:hlinkClick r:id="rId1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F84372">
          <w:rPr>
            <w:rFonts w:ascii="Arial" w:eastAsia="Times New Roman" w:hAnsi="Arial" w:cs="Arial"/>
            <w:color w:val="0000FF"/>
            <w:sz w:val="17"/>
            <w:szCs w:val="17"/>
          </w:rPr>
          <w:t>Back to Top</w:t>
        </w:r>
      </w:hyperlink>
    </w:p>
    <w:p w:rsidR="00F84372" w:rsidRPr="00F84372" w:rsidRDefault="00F84372" w:rsidP="00F84372">
      <w:pPr>
        <w:spacing w:before="200" w:after="10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bookmarkStart w:id="1" w:name="se18.1.342_10"/>
      <w:bookmarkEnd w:id="1"/>
      <w:r w:rsidRPr="00F84372">
        <w:rPr>
          <w:rFonts w:ascii="Arial" w:eastAsia="Times New Roman" w:hAnsi="Arial" w:cs="Arial"/>
          <w:b/>
          <w:bCs/>
          <w:sz w:val="20"/>
          <w:szCs w:val="20"/>
        </w:rPr>
        <w:t>§342.0   Applicability.</w:t>
      </w:r>
    </w:p>
    <w:p w:rsidR="00F84372" w:rsidRPr="00F84372" w:rsidRDefault="00F84372" w:rsidP="00F84372">
      <w:pPr>
        <w:spacing w:before="100" w:beforeAutospacing="1" w:after="100" w:afterAutospacing="1" w:line="240" w:lineRule="auto"/>
        <w:ind w:firstLine="480"/>
        <w:jc w:val="center"/>
        <w:rPr>
          <w:rFonts w:ascii="Arial" w:eastAsia="Times New Roman" w:hAnsi="Arial" w:cs="Arial"/>
          <w:sz w:val="20"/>
          <w:szCs w:val="20"/>
        </w:rPr>
      </w:pPr>
      <w:r w:rsidRPr="00F84372">
        <w:rPr>
          <w:rFonts w:ascii="Arial" w:eastAsia="Times New Roman" w:hAnsi="Arial" w:cs="Arial"/>
          <w:sz w:val="20"/>
          <w:szCs w:val="20"/>
        </w:rPr>
        <w:t>(a) Except as provided in paragraph (b) of this section, rate changes by oil pipelines shall be governed by this part.</w:t>
      </w:r>
    </w:p>
    <w:p w:rsidR="00F84372" w:rsidRPr="00F84372" w:rsidRDefault="00F84372" w:rsidP="00F84372">
      <w:pPr>
        <w:spacing w:before="100" w:beforeAutospacing="1" w:after="100" w:afterAutospacing="1" w:line="240" w:lineRule="auto"/>
        <w:ind w:firstLine="480"/>
        <w:jc w:val="center"/>
        <w:rPr>
          <w:rFonts w:ascii="Arial" w:eastAsia="Times New Roman" w:hAnsi="Arial" w:cs="Arial"/>
          <w:sz w:val="20"/>
          <w:szCs w:val="20"/>
        </w:rPr>
      </w:pPr>
      <w:r w:rsidRPr="00F84372">
        <w:rPr>
          <w:rFonts w:ascii="Arial" w:eastAsia="Times New Roman" w:hAnsi="Arial" w:cs="Arial"/>
          <w:sz w:val="20"/>
          <w:szCs w:val="20"/>
        </w:rPr>
        <w:t xml:space="preserve">(b) </w:t>
      </w:r>
      <w:r w:rsidRPr="00F84372">
        <w:rPr>
          <w:rFonts w:ascii="Arial" w:eastAsia="Times New Roman" w:hAnsi="Arial" w:cs="Arial"/>
          <w:i/>
          <w:iCs/>
          <w:sz w:val="20"/>
          <w:szCs w:val="20"/>
        </w:rPr>
        <w:t>Exception for the Trans-Alaska Pipeline.</w:t>
      </w:r>
      <w:r w:rsidRPr="00F84372">
        <w:rPr>
          <w:rFonts w:ascii="Arial" w:eastAsia="Times New Roman" w:hAnsi="Arial" w:cs="Arial"/>
          <w:sz w:val="20"/>
          <w:szCs w:val="20"/>
        </w:rPr>
        <w:t xml:space="preserve"> This part shall not apply to the Trans-Alaska Pipeline authorized by the Trans-Alaska Pipeline Authorization Act (43 U.S.C. 1651, </w:t>
      </w:r>
      <w:r w:rsidRPr="00F84372">
        <w:rPr>
          <w:rFonts w:ascii="Arial" w:eastAsia="Times New Roman" w:hAnsi="Arial" w:cs="Arial"/>
          <w:i/>
          <w:iCs/>
          <w:sz w:val="20"/>
          <w:szCs w:val="20"/>
        </w:rPr>
        <w:t>et seq.</w:t>
      </w:r>
      <w:r w:rsidRPr="00F84372">
        <w:rPr>
          <w:rFonts w:ascii="Arial" w:eastAsia="Times New Roman" w:hAnsi="Arial" w:cs="Arial"/>
          <w:sz w:val="20"/>
          <w:szCs w:val="20"/>
        </w:rPr>
        <w:t>) or to any pipeline delivering oil directly or indirectly to the Trans-Alaska Pipeline.</w:t>
      </w:r>
    </w:p>
    <w:p w:rsidR="00F84372" w:rsidRPr="00F84372" w:rsidRDefault="00F84372" w:rsidP="00F84372">
      <w:pPr>
        <w:spacing w:before="200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hyperlink r:id="rId17" w:anchor="_top" w:history="1">
        <w:r w:rsidRPr="00F84372">
          <w:rPr>
            <w:rFonts w:ascii="Arial" w:eastAsia="Times New Roman" w:hAnsi="Arial" w:cs="Arial"/>
            <w:noProof/>
            <w:color w:val="0000FF"/>
            <w:sz w:val="17"/>
            <w:szCs w:val="17"/>
          </w:rPr>
          <w:drawing>
            <wp:inline distT="0" distB="0" distL="0" distR="0" wp14:anchorId="1D2A3EA2" wp14:editId="6660A096">
              <wp:extent cx="152400" cy="152400"/>
              <wp:effectExtent l="0" t="0" r="0" b="0"/>
              <wp:docPr id="23" name="Picture 23" descr="return arrow">
                <a:hlinkClick xmlns:a="http://schemas.openxmlformats.org/drawingml/2006/main" r:id="rId1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3" descr="return arrow">
                        <a:hlinkClick r:id="rId1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F84372">
          <w:rPr>
            <w:rFonts w:ascii="Arial" w:eastAsia="Times New Roman" w:hAnsi="Arial" w:cs="Arial"/>
            <w:color w:val="0000FF"/>
            <w:sz w:val="17"/>
            <w:szCs w:val="17"/>
          </w:rPr>
          <w:t>Back to Top</w:t>
        </w:r>
      </w:hyperlink>
    </w:p>
    <w:p w:rsidR="00F84372" w:rsidRPr="00F84372" w:rsidRDefault="00F84372" w:rsidP="00F84372">
      <w:pPr>
        <w:spacing w:before="200" w:after="10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bookmarkStart w:id="2" w:name="se18.1.342_11"/>
      <w:bookmarkEnd w:id="2"/>
      <w:r w:rsidRPr="00F84372">
        <w:rPr>
          <w:rFonts w:ascii="Arial" w:eastAsia="Times New Roman" w:hAnsi="Arial" w:cs="Arial"/>
          <w:b/>
          <w:bCs/>
          <w:sz w:val="20"/>
          <w:szCs w:val="20"/>
        </w:rPr>
        <w:t>§342.1   General rule.</w:t>
      </w:r>
    </w:p>
    <w:p w:rsidR="00F84372" w:rsidRPr="00F84372" w:rsidRDefault="00F84372" w:rsidP="00F84372">
      <w:pPr>
        <w:spacing w:before="100" w:beforeAutospacing="1" w:after="100" w:afterAutospacing="1" w:line="240" w:lineRule="auto"/>
        <w:ind w:firstLine="480"/>
        <w:jc w:val="center"/>
        <w:rPr>
          <w:rFonts w:ascii="Arial" w:eastAsia="Times New Roman" w:hAnsi="Arial" w:cs="Arial"/>
          <w:sz w:val="20"/>
          <w:szCs w:val="20"/>
        </w:rPr>
      </w:pPr>
      <w:r w:rsidRPr="00F84372">
        <w:rPr>
          <w:rFonts w:ascii="Arial" w:eastAsia="Times New Roman" w:hAnsi="Arial" w:cs="Arial"/>
          <w:sz w:val="20"/>
          <w:szCs w:val="20"/>
        </w:rPr>
        <w:t>Each carrier subject to the jurisdiction of the Commission under the Interstate Commerce Act:</w:t>
      </w:r>
    </w:p>
    <w:p w:rsidR="00F84372" w:rsidRPr="00F84372" w:rsidRDefault="00F84372" w:rsidP="00F84372">
      <w:pPr>
        <w:spacing w:before="100" w:beforeAutospacing="1" w:after="100" w:afterAutospacing="1" w:line="240" w:lineRule="auto"/>
        <w:ind w:firstLine="480"/>
        <w:jc w:val="center"/>
        <w:rPr>
          <w:rFonts w:ascii="Arial" w:eastAsia="Times New Roman" w:hAnsi="Arial" w:cs="Arial"/>
          <w:sz w:val="20"/>
          <w:szCs w:val="20"/>
        </w:rPr>
      </w:pPr>
      <w:r w:rsidRPr="00F84372">
        <w:rPr>
          <w:rFonts w:ascii="Arial" w:eastAsia="Times New Roman" w:hAnsi="Arial" w:cs="Arial"/>
          <w:sz w:val="20"/>
          <w:szCs w:val="20"/>
        </w:rPr>
        <w:t>(a) Must establish its initial rates subject to such Act pursuant to §342.2; and</w:t>
      </w:r>
    </w:p>
    <w:p w:rsidR="00F84372" w:rsidRPr="00F84372" w:rsidRDefault="00F84372" w:rsidP="00F84372">
      <w:pPr>
        <w:spacing w:before="100" w:beforeAutospacing="1" w:after="100" w:afterAutospacing="1" w:line="240" w:lineRule="auto"/>
        <w:ind w:firstLine="480"/>
        <w:jc w:val="center"/>
        <w:rPr>
          <w:rFonts w:ascii="Arial" w:eastAsia="Times New Roman" w:hAnsi="Arial" w:cs="Arial"/>
          <w:sz w:val="20"/>
          <w:szCs w:val="20"/>
        </w:rPr>
      </w:pPr>
      <w:r w:rsidRPr="00F84372">
        <w:rPr>
          <w:rFonts w:ascii="Arial" w:eastAsia="Times New Roman" w:hAnsi="Arial" w:cs="Arial"/>
          <w:sz w:val="20"/>
          <w:szCs w:val="20"/>
        </w:rPr>
        <w:t>(b) Must make any change in existing rates pursuant to §342.3 or §342.4, whichever is applicable, unless directed otherwise by the Commission.</w:t>
      </w:r>
    </w:p>
    <w:p w:rsidR="00F84372" w:rsidRPr="00F84372" w:rsidRDefault="00F84372" w:rsidP="00F84372">
      <w:pPr>
        <w:spacing w:before="200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hyperlink r:id="rId18" w:anchor="_top" w:history="1">
        <w:r w:rsidRPr="00F84372">
          <w:rPr>
            <w:rFonts w:ascii="Arial" w:eastAsia="Times New Roman" w:hAnsi="Arial" w:cs="Arial"/>
            <w:noProof/>
            <w:color w:val="0000FF"/>
            <w:sz w:val="17"/>
            <w:szCs w:val="17"/>
          </w:rPr>
          <w:drawing>
            <wp:inline distT="0" distB="0" distL="0" distR="0" wp14:anchorId="78B1875E" wp14:editId="7CF3D28C">
              <wp:extent cx="152400" cy="152400"/>
              <wp:effectExtent l="0" t="0" r="0" b="0"/>
              <wp:docPr id="24" name="Picture 24" descr="return arrow">
                <a:hlinkClick xmlns:a="http://schemas.openxmlformats.org/drawingml/2006/main" r:id="rId1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4" descr="return arrow">
                        <a:hlinkClick r:id="rId1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F84372">
          <w:rPr>
            <w:rFonts w:ascii="Arial" w:eastAsia="Times New Roman" w:hAnsi="Arial" w:cs="Arial"/>
            <w:color w:val="0000FF"/>
            <w:sz w:val="17"/>
            <w:szCs w:val="17"/>
          </w:rPr>
          <w:t>Back to Top</w:t>
        </w:r>
      </w:hyperlink>
    </w:p>
    <w:p w:rsidR="00F84372" w:rsidRPr="00F84372" w:rsidRDefault="00F84372" w:rsidP="00F84372">
      <w:pPr>
        <w:spacing w:before="200" w:after="10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bookmarkStart w:id="3" w:name="se18.1.342_12"/>
      <w:bookmarkEnd w:id="3"/>
      <w:r w:rsidRPr="00F84372">
        <w:rPr>
          <w:rFonts w:ascii="Arial" w:eastAsia="Times New Roman" w:hAnsi="Arial" w:cs="Arial"/>
          <w:b/>
          <w:bCs/>
          <w:sz w:val="20"/>
          <w:szCs w:val="20"/>
        </w:rPr>
        <w:t>§342.2   Establishing initial rates.</w:t>
      </w:r>
    </w:p>
    <w:p w:rsidR="00F84372" w:rsidRPr="00F84372" w:rsidRDefault="00F84372" w:rsidP="00F84372">
      <w:pPr>
        <w:spacing w:before="100" w:beforeAutospacing="1" w:after="100" w:afterAutospacing="1" w:line="240" w:lineRule="auto"/>
        <w:ind w:firstLine="480"/>
        <w:jc w:val="center"/>
        <w:rPr>
          <w:rFonts w:ascii="Arial" w:eastAsia="Times New Roman" w:hAnsi="Arial" w:cs="Arial"/>
          <w:sz w:val="20"/>
          <w:szCs w:val="20"/>
        </w:rPr>
      </w:pPr>
      <w:r w:rsidRPr="00F84372">
        <w:rPr>
          <w:rFonts w:ascii="Arial" w:eastAsia="Times New Roman" w:hAnsi="Arial" w:cs="Arial"/>
          <w:sz w:val="20"/>
          <w:szCs w:val="20"/>
        </w:rPr>
        <w:lastRenderedPageBreak/>
        <w:t>A carrier must justify an initial rate for new service by:</w:t>
      </w:r>
    </w:p>
    <w:p w:rsidR="00F84372" w:rsidRPr="00F84372" w:rsidRDefault="00F84372" w:rsidP="00F84372">
      <w:pPr>
        <w:spacing w:before="100" w:beforeAutospacing="1" w:after="100" w:afterAutospacing="1" w:line="240" w:lineRule="auto"/>
        <w:ind w:firstLine="480"/>
        <w:jc w:val="center"/>
        <w:rPr>
          <w:rFonts w:ascii="Arial" w:eastAsia="Times New Roman" w:hAnsi="Arial" w:cs="Arial"/>
          <w:sz w:val="20"/>
          <w:szCs w:val="20"/>
        </w:rPr>
      </w:pPr>
      <w:r w:rsidRPr="00F84372">
        <w:rPr>
          <w:rFonts w:ascii="Arial" w:eastAsia="Times New Roman" w:hAnsi="Arial" w:cs="Arial"/>
          <w:sz w:val="20"/>
          <w:szCs w:val="20"/>
        </w:rPr>
        <w:t xml:space="preserve">(a) Filing cost, revenue, and throughput data supporting such rate as required by part 346 of this chapter; or </w:t>
      </w:r>
    </w:p>
    <w:p w:rsidR="00F84372" w:rsidRPr="00F84372" w:rsidRDefault="00F84372" w:rsidP="00F84372">
      <w:pPr>
        <w:spacing w:before="100" w:beforeAutospacing="1" w:after="100" w:afterAutospacing="1" w:line="240" w:lineRule="auto"/>
        <w:ind w:firstLine="480"/>
        <w:jc w:val="center"/>
        <w:rPr>
          <w:rFonts w:ascii="Arial" w:eastAsia="Times New Roman" w:hAnsi="Arial" w:cs="Arial"/>
          <w:sz w:val="20"/>
          <w:szCs w:val="20"/>
        </w:rPr>
      </w:pPr>
      <w:r w:rsidRPr="00F84372">
        <w:rPr>
          <w:rFonts w:ascii="Arial" w:eastAsia="Times New Roman" w:hAnsi="Arial" w:cs="Arial"/>
          <w:sz w:val="20"/>
          <w:szCs w:val="20"/>
        </w:rPr>
        <w:t xml:space="preserve">(b) Filing a sworn affidavit that the rate is agreed to by at least one non-affiliated person who intends to use the service in question, </w:t>
      </w:r>
      <w:r w:rsidRPr="00F84372">
        <w:rPr>
          <w:rFonts w:ascii="Arial" w:eastAsia="Times New Roman" w:hAnsi="Arial" w:cs="Arial"/>
          <w:i/>
          <w:iCs/>
          <w:sz w:val="20"/>
          <w:szCs w:val="20"/>
        </w:rPr>
        <w:t>provided</w:t>
      </w:r>
      <w:r w:rsidRPr="00F84372">
        <w:rPr>
          <w:rFonts w:ascii="Arial" w:eastAsia="Times New Roman" w:hAnsi="Arial" w:cs="Arial"/>
          <w:sz w:val="20"/>
          <w:szCs w:val="20"/>
        </w:rPr>
        <w:t xml:space="preserve"> that if a protest to the initial rate is filed, the carrier must comply with paragraph (a) of this section.</w:t>
      </w:r>
    </w:p>
    <w:p w:rsidR="0052545C" w:rsidRDefault="00F84372" w:rsidP="00F84372">
      <w:r w:rsidRPr="00F84372">
        <w:rPr>
          <w:rFonts w:ascii="Arial" w:eastAsia="Times New Roman" w:hAnsi="Arial" w:cs="Arial"/>
          <w:sz w:val="24"/>
          <w:szCs w:val="24"/>
        </w:rPr>
        <w:t>[Order 561, 58 FR 58779, Nov. 4, 1993, as amended at 59 FR 59146, Nov. 16, 1994]</w:t>
      </w:r>
      <w:bookmarkStart w:id="4" w:name="_GoBack"/>
      <w:bookmarkEnd w:id="4"/>
    </w:p>
    <w:sectPr w:rsidR="005254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372"/>
    <w:rsid w:val="00173CA3"/>
    <w:rsid w:val="007A3197"/>
    <w:rsid w:val="00F8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0B5F31-3ECD-49B5-BE2C-8F20251D1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850195">
      <w:bodyDiv w:val="1"/>
      <w:marLeft w:val="0"/>
      <w:marRight w:val="0"/>
      <w:marTop w:val="3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0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7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fr.gov/cgi-bin/retrieveECFR?gp=&amp;SID=26e58ff7eee8aa8641766732021ff15f&amp;mc=true&amp;r=PART&amp;n=pt18.1.343" TargetMode="External"/><Relationship Id="rId13" Type="http://schemas.openxmlformats.org/officeDocument/2006/relationships/hyperlink" Target="https://www.ecfr.gov/cgi-bin/text-idx?c=ecfr&amp;sid=3b362ad5d22d2b048b55f0e686f9a149&amp;rgn=div5&amp;view=text&amp;node=18:1.0.1.14.64&amp;idno=18" TargetMode="External"/><Relationship Id="rId18" Type="http://schemas.openxmlformats.org/officeDocument/2006/relationships/hyperlink" Target="https://www.ecfr.gov/cgi-bin/text-idx?c=ecfr&amp;sid=3b362ad5d22d2b048b55f0e686f9a149&amp;rgn=div5&amp;view=text&amp;node=18:1.0.1.14.64&amp;idno=1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cfr.gov/cgi-bin/retrieveECFR?gp=&amp;SID=26e58ff7eee8aa8641766732021ff15f&amp;mc=true&amp;r=PART&amp;n=pt18.1.341" TargetMode="External"/><Relationship Id="rId12" Type="http://schemas.openxmlformats.org/officeDocument/2006/relationships/hyperlink" Target="https://www.ecfr.gov/cgi-bin/text-idx?c=ecfr&amp;sid=3b362ad5d22d2b048b55f0e686f9a149&amp;rgn=div5&amp;view=text&amp;node=18:1.0.1.14.64&amp;idno=18" TargetMode="External"/><Relationship Id="rId17" Type="http://schemas.openxmlformats.org/officeDocument/2006/relationships/hyperlink" Target="https://www.ecfr.gov/cgi-bin/text-idx?c=ecfr&amp;sid=3b362ad5d22d2b048b55f0e686f9a149&amp;rgn=div5&amp;view=text&amp;node=18:1.0.1.14.64&amp;idno=18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.gi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ecfr.gov/cgi-bin/text-idx?gp=&amp;SID=26e58ff7eee8aa8641766732021ff15f&amp;mc=true&amp;tpl=/ecfrbrowse/Title18/18CIsubchapP.tpl" TargetMode="External"/><Relationship Id="rId11" Type="http://schemas.openxmlformats.org/officeDocument/2006/relationships/hyperlink" Target="https://www.ecfr.gov/cgi-bin/text-idx?c=ecfr&amp;sid=3b362ad5d22d2b048b55f0e686f9a149&amp;rgn=div5&amp;view=text&amp;node=18:1.0.1.14.64&amp;idno=18" TargetMode="External"/><Relationship Id="rId5" Type="http://schemas.openxmlformats.org/officeDocument/2006/relationships/hyperlink" Target="https://www.ecfr.gov/cgi-bin/text-idx?gp=&amp;SID=26e58ff7eee8aa8641766732021ff15f&amp;mc=true&amp;tpl=/ecfrbrowse/Title18/18chapterI.tpl" TargetMode="External"/><Relationship Id="rId15" Type="http://schemas.openxmlformats.org/officeDocument/2006/relationships/hyperlink" Target="https://www.ecfr.gov/cgi-bin/text-idx?c=ecfr&amp;sid=3b362ad5d22d2b048b55f0e686f9a149&amp;rgn=div5&amp;view=text&amp;node=18:1.0.1.14.64&amp;idno=18#_top" TargetMode="External"/><Relationship Id="rId10" Type="http://schemas.openxmlformats.org/officeDocument/2006/relationships/hyperlink" Target="https://www.ecfr.gov/cgi-bin/text-idx?c=ecfr&amp;sid=3b362ad5d22d2b048b55f0e686f9a149&amp;rgn=div5&amp;view=text&amp;node=18:1.0.1.14.64&amp;idno=18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ecfr.gov/cgi-bin/text-idx?gp=&amp;SID=26e58ff7eee8aa8641766732021ff15f&amp;mc=true&amp;tpl=/ecfrbrowse/Title18/18tab_02.tpl" TargetMode="External"/><Relationship Id="rId9" Type="http://schemas.openxmlformats.org/officeDocument/2006/relationships/hyperlink" Target="https://www.ecfr.gov/cgi-bin/text-idx?c=ecfr&amp;sid=3b362ad5d22d2b048b55f0e686f9a149&amp;rgn=div5&amp;view=text&amp;node=18:1.0.1.14.64&amp;idno=18" TargetMode="External"/><Relationship Id="rId14" Type="http://schemas.openxmlformats.org/officeDocument/2006/relationships/hyperlink" Target="https://www.ecfr.gov/cgi-bin/text-idx?c=ecfr&amp;sid=3b362ad5d22d2b048b55f0e686f9a149&amp;rgn=div5&amp;view=text&amp;node=18:1.0.1.14.64&amp;idno=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FERC</Company>
  <LinksUpToDate>false</LinksUpToDate>
  <CharactersWithSpaces>3849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Chambers</dc:creator>
  <cp:keywords/>
  <dc:description/>
  <cp:lastModifiedBy>Michele Chambers</cp:lastModifiedBy>
  <cp:revision>1</cp:revision>
  <dcterms:created xsi:type="dcterms:W3CDTF">2017-05-30T14:04:00Z</dcterms:created>
  <dcterms:modified xsi:type="dcterms:W3CDTF">2017-05-30T14:05:00Z</dcterms:modified>
</cp:coreProperties>
</file>