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50C" w:rsidRDefault="00A6250C">
      <w:pPr>
        <w:jc w:val="center"/>
        <w:rPr>
          <w:rFonts w:ascii="Times New Roman" w:hAnsi="Times New Roman"/>
          <w:b/>
          <w:bCs/>
          <w:sz w:val="24"/>
          <w:szCs w:val="24"/>
        </w:rPr>
      </w:pPr>
      <w:r w:rsidRPr="00193479">
        <w:rPr>
          <w:rFonts w:ascii="Times New Roman" w:hAnsi="Times New Roman"/>
          <w:b/>
          <w:sz w:val="24"/>
          <w:szCs w:val="24"/>
          <w:lang w:val="en-CA"/>
        </w:rPr>
        <w:fldChar w:fldCharType="begin"/>
      </w:r>
      <w:r w:rsidRPr="00193479">
        <w:rPr>
          <w:rFonts w:ascii="Times New Roman" w:hAnsi="Times New Roman"/>
          <w:b/>
          <w:sz w:val="24"/>
          <w:szCs w:val="24"/>
          <w:lang w:val="en-CA"/>
        </w:rPr>
        <w:instrText xml:space="preserve"> SEQ CHAPTER \h \r 1</w:instrText>
      </w:r>
      <w:r w:rsidRPr="00193479">
        <w:rPr>
          <w:rFonts w:ascii="Times New Roman" w:hAnsi="Times New Roman"/>
          <w:b/>
          <w:sz w:val="24"/>
          <w:szCs w:val="24"/>
          <w:lang w:val="en-CA"/>
        </w:rPr>
        <w:fldChar w:fldCharType="end"/>
      </w:r>
      <w:r w:rsidRPr="00193479">
        <w:rPr>
          <w:rFonts w:ascii="Times New Roman" w:hAnsi="Times New Roman"/>
          <w:b/>
          <w:bCs/>
          <w:sz w:val="24"/>
          <w:szCs w:val="24"/>
        </w:rPr>
        <w:t>SUPPORTING STATEMENT</w:t>
      </w:r>
    </w:p>
    <w:p w:rsidR="0030458D" w:rsidRPr="00193479" w:rsidRDefault="0030458D">
      <w:pPr>
        <w:jc w:val="center"/>
        <w:rPr>
          <w:rFonts w:ascii="Times New Roman" w:hAnsi="Times New Roman"/>
          <w:b/>
          <w:bCs/>
          <w:sz w:val="24"/>
          <w:szCs w:val="24"/>
        </w:rPr>
      </w:pPr>
      <w:r>
        <w:rPr>
          <w:rFonts w:ascii="Times New Roman" w:hAnsi="Times New Roman"/>
          <w:b/>
          <w:bCs/>
          <w:sz w:val="24"/>
          <w:szCs w:val="24"/>
        </w:rPr>
        <w:t>Internal Revenue Service</w:t>
      </w:r>
    </w:p>
    <w:p w:rsidR="00A6250C" w:rsidRPr="00193479" w:rsidRDefault="00A6250C">
      <w:pPr>
        <w:jc w:val="center"/>
        <w:rPr>
          <w:rFonts w:ascii="Times New Roman" w:hAnsi="Times New Roman"/>
          <w:bCs/>
          <w:sz w:val="24"/>
          <w:szCs w:val="24"/>
        </w:rPr>
      </w:pPr>
      <w:r w:rsidRPr="00193479">
        <w:rPr>
          <w:rFonts w:ascii="Times New Roman" w:hAnsi="Times New Roman"/>
          <w:bCs/>
          <w:sz w:val="24"/>
          <w:szCs w:val="24"/>
        </w:rPr>
        <w:t>Application for Reward for Original Information</w:t>
      </w:r>
    </w:p>
    <w:p w:rsidR="00A6250C" w:rsidRPr="00193479" w:rsidRDefault="00193479" w:rsidP="00193479">
      <w:pPr>
        <w:jc w:val="center"/>
        <w:rPr>
          <w:rFonts w:ascii="Times New Roman" w:hAnsi="Times New Roman"/>
          <w:bCs/>
          <w:sz w:val="24"/>
          <w:szCs w:val="24"/>
        </w:rPr>
      </w:pPr>
      <w:r>
        <w:rPr>
          <w:rFonts w:ascii="Times New Roman" w:hAnsi="Times New Roman"/>
          <w:bCs/>
          <w:sz w:val="24"/>
          <w:szCs w:val="24"/>
        </w:rPr>
        <w:t xml:space="preserve">OMB # </w:t>
      </w:r>
      <w:r w:rsidRPr="00193479">
        <w:rPr>
          <w:rFonts w:ascii="Times New Roman" w:hAnsi="Times New Roman"/>
          <w:b/>
          <w:bCs/>
          <w:sz w:val="24"/>
          <w:szCs w:val="24"/>
        </w:rPr>
        <w:t>1545-0409</w:t>
      </w:r>
    </w:p>
    <w:p w:rsidR="00A6250C" w:rsidRPr="00193479" w:rsidRDefault="00A6250C">
      <w:pPr>
        <w:rPr>
          <w:rFonts w:ascii="Times New Roman" w:hAnsi="Times New Roman"/>
          <w:bCs/>
          <w:sz w:val="24"/>
          <w:szCs w:val="24"/>
        </w:rPr>
      </w:pPr>
    </w:p>
    <w:p w:rsidR="00A6250C" w:rsidRPr="00193479" w:rsidRDefault="00A6250C">
      <w:pPr>
        <w:rPr>
          <w:rFonts w:ascii="Times New Roman" w:hAnsi="Times New Roman"/>
          <w:sz w:val="24"/>
          <w:szCs w:val="24"/>
        </w:rPr>
        <w:sectPr w:rsidR="00A6250C" w:rsidRPr="0019347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titlePg/>
        </w:sect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CIRCUMSTANCES NECESSITATING COLLECTION OF INFORMATION</w:t>
      </w:r>
    </w:p>
    <w:p w:rsidR="00A6250C" w:rsidRPr="00193479" w:rsidRDefault="00A6250C" w:rsidP="00A6250C">
      <w:pPr>
        <w:numPr>
          <w:ilvl w:val="12"/>
          <w:numId w:val="0"/>
        </w:numPr>
        <w:rPr>
          <w:rFonts w:ascii="Times New Roman" w:hAnsi="Times New Roman"/>
          <w:bCs/>
          <w:sz w:val="24"/>
          <w:szCs w:val="24"/>
        </w:rPr>
      </w:pPr>
    </w:p>
    <w:p w:rsidR="009C50D3" w:rsidRPr="009C50D3" w:rsidRDefault="009C50D3" w:rsidP="009C50D3">
      <w:pPr>
        <w:numPr>
          <w:ilvl w:val="12"/>
          <w:numId w:val="0"/>
        </w:numPr>
        <w:ind w:left="720"/>
        <w:rPr>
          <w:rFonts w:ascii="Times New Roman" w:hAnsi="Times New Roman"/>
          <w:bCs/>
          <w:sz w:val="24"/>
          <w:szCs w:val="24"/>
        </w:rPr>
      </w:pPr>
      <w:r w:rsidRPr="009C50D3">
        <w:rPr>
          <w:rFonts w:ascii="Times New Roman" w:hAnsi="Times New Roman"/>
          <w:bCs/>
          <w:sz w:val="24"/>
          <w:szCs w:val="24"/>
        </w:rPr>
        <w:t>The Whistleblower Office was established as a result of enactment of the Tax Relief and Health Care Act of 2006 (the Act), signed into law on December 20, 2006. Section 406 of the Act amended IRC 7623 concerning the payment of awards.</w:t>
      </w:r>
      <w:r>
        <w:rPr>
          <w:rFonts w:ascii="Times New Roman" w:hAnsi="Times New Roman"/>
          <w:bCs/>
          <w:sz w:val="24"/>
          <w:szCs w:val="24"/>
        </w:rPr>
        <w:t xml:space="preserve">  </w:t>
      </w:r>
      <w:r w:rsidRPr="009C50D3">
        <w:rPr>
          <w:rFonts w:ascii="Times New Roman" w:hAnsi="Times New Roman"/>
          <w:bCs/>
          <w:sz w:val="24"/>
          <w:szCs w:val="24"/>
        </w:rPr>
        <w:t xml:space="preserve">Individuals are eligible for an award based on the amount collected as a result of any administrative or judicial action in which the </w:t>
      </w:r>
      <w:r w:rsidR="00240FE0">
        <w:rPr>
          <w:rFonts w:ascii="Times New Roman" w:hAnsi="Times New Roman"/>
          <w:bCs/>
          <w:sz w:val="24"/>
          <w:szCs w:val="24"/>
        </w:rPr>
        <w:t>Internal revenue Service (</w:t>
      </w:r>
      <w:r w:rsidRPr="009C50D3">
        <w:rPr>
          <w:rFonts w:ascii="Times New Roman" w:hAnsi="Times New Roman"/>
          <w:bCs/>
          <w:sz w:val="24"/>
          <w:szCs w:val="24"/>
        </w:rPr>
        <w:t>IRS</w:t>
      </w:r>
      <w:r w:rsidR="00240FE0">
        <w:rPr>
          <w:rFonts w:ascii="Times New Roman" w:hAnsi="Times New Roman"/>
          <w:bCs/>
          <w:sz w:val="24"/>
          <w:szCs w:val="24"/>
        </w:rPr>
        <w:t>)</w:t>
      </w:r>
      <w:r w:rsidRPr="009C50D3">
        <w:rPr>
          <w:rFonts w:ascii="Times New Roman" w:hAnsi="Times New Roman"/>
          <w:bCs/>
          <w:sz w:val="24"/>
          <w:szCs w:val="24"/>
        </w:rPr>
        <w:t xml:space="preserve"> proceeded based on information provided. The Whistleblower Office: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0" w:name="1.1.26.1@1@a"/>
      <w:bookmarkEnd w:id="0"/>
      <w:r w:rsidRPr="009C50D3">
        <w:rPr>
          <w:rFonts w:ascii="Times New Roman" w:hAnsi="Times New Roman"/>
          <w:bCs/>
          <w:sz w:val="24"/>
          <w:szCs w:val="24"/>
        </w:rPr>
        <w:t xml:space="preserve">Reviews and evaluates claims filed for award filed by whistleblowers.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1" w:name="1.1.26.1@1@b"/>
      <w:bookmarkEnd w:id="1"/>
      <w:r w:rsidRPr="009C50D3">
        <w:rPr>
          <w:rFonts w:ascii="Times New Roman" w:hAnsi="Times New Roman"/>
          <w:bCs/>
          <w:sz w:val="24"/>
          <w:szCs w:val="24"/>
        </w:rPr>
        <w:t xml:space="preserve">Coordinates whistleblower claims with other functions within the Service.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2" w:name="1.1.26.1@1@c"/>
      <w:bookmarkEnd w:id="2"/>
      <w:r w:rsidRPr="009C50D3">
        <w:rPr>
          <w:rFonts w:ascii="Times New Roman" w:hAnsi="Times New Roman"/>
          <w:bCs/>
          <w:sz w:val="24"/>
          <w:szCs w:val="24"/>
        </w:rPr>
        <w:t xml:space="preserve">Monitors claims throughout the life of each claim, including through the investigation, examination, appeals, and collection process.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3" w:name="1.1.26.1@1@d"/>
      <w:bookmarkEnd w:id="3"/>
      <w:r w:rsidRPr="009C50D3">
        <w:rPr>
          <w:rFonts w:ascii="Times New Roman" w:hAnsi="Times New Roman"/>
          <w:bCs/>
          <w:sz w:val="24"/>
          <w:szCs w:val="24"/>
        </w:rPr>
        <w:t xml:space="preserve">Evaluates the benefit of the information brought forward by the whistleblower.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4" w:name="1.1.26.1@1@e"/>
      <w:bookmarkEnd w:id="4"/>
      <w:r w:rsidRPr="009C50D3">
        <w:rPr>
          <w:rFonts w:ascii="Times New Roman" w:hAnsi="Times New Roman"/>
          <w:bCs/>
          <w:sz w:val="24"/>
          <w:szCs w:val="24"/>
        </w:rPr>
        <w:t xml:space="preserve">Makes a determination about the appropriateness of an award.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5" w:name="1.1.26.1@1@f"/>
      <w:bookmarkEnd w:id="5"/>
      <w:r w:rsidRPr="009C50D3">
        <w:rPr>
          <w:rFonts w:ascii="Times New Roman" w:hAnsi="Times New Roman"/>
          <w:bCs/>
          <w:sz w:val="24"/>
          <w:szCs w:val="24"/>
        </w:rPr>
        <w:t xml:space="preserve">Determines the appropriate percentage for award.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6" w:name="1.1.26.1@1@g"/>
      <w:bookmarkEnd w:id="6"/>
      <w:r w:rsidRPr="009C50D3">
        <w:rPr>
          <w:rFonts w:ascii="Times New Roman" w:hAnsi="Times New Roman"/>
          <w:bCs/>
          <w:sz w:val="24"/>
          <w:szCs w:val="24"/>
        </w:rPr>
        <w:t xml:space="preserve">Chairs the Whistleblower Executive Board which provides executive level coordination and direction for the whistleblower program. </w:t>
      </w:r>
    </w:p>
    <w:p w:rsidR="009C50D3" w:rsidRPr="009C50D3" w:rsidRDefault="009C50D3" w:rsidP="009C50D3">
      <w:pPr>
        <w:numPr>
          <w:ilvl w:val="0"/>
          <w:numId w:val="2"/>
        </w:numPr>
        <w:tabs>
          <w:tab w:val="clear" w:pos="720"/>
          <w:tab w:val="num" w:pos="1080"/>
        </w:tabs>
        <w:ind w:left="1080"/>
        <w:rPr>
          <w:rFonts w:ascii="Times New Roman" w:hAnsi="Times New Roman"/>
          <w:bCs/>
          <w:sz w:val="24"/>
          <w:szCs w:val="24"/>
        </w:rPr>
      </w:pPr>
      <w:bookmarkStart w:id="7" w:name="1.1.26.1@1@h"/>
      <w:bookmarkEnd w:id="7"/>
      <w:r w:rsidRPr="009C50D3">
        <w:rPr>
          <w:rFonts w:ascii="Times New Roman" w:hAnsi="Times New Roman"/>
          <w:bCs/>
          <w:sz w:val="24"/>
          <w:szCs w:val="24"/>
        </w:rPr>
        <w:t xml:space="preserve">Facilitates communication with external and internal customers and stakeholders concerning the Whistleblower Program. </w:t>
      </w:r>
    </w:p>
    <w:p w:rsidR="009C50D3" w:rsidRDefault="009C50D3" w:rsidP="00A6250C">
      <w:pPr>
        <w:numPr>
          <w:ilvl w:val="12"/>
          <w:numId w:val="0"/>
        </w:numPr>
        <w:ind w:left="720"/>
        <w:rPr>
          <w:rFonts w:ascii="Times New Roman" w:hAnsi="Times New Roman"/>
          <w:bCs/>
          <w:sz w:val="24"/>
          <w:szCs w:val="24"/>
        </w:rPr>
      </w:pPr>
    </w:p>
    <w:p w:rsidR="00A6250C" w:rsidRDefault="003B4D44" w:rsidP="00222E25">
      <w:pPr>
        <w:numPr>
          <w:ilvl w:val="12"/>
          <w:numId w:val="0"/>
        </w:numPr>
        <w:ind w:left="720"/>
        <w:rPr>
          <w:rFonts w:ascii="Times New Roman" w:hAnsi="Times New Roman"/>
          <w:bCs/>
          <w:sz w:val="24"/>
          <w:szCs w:val="24"/>
        </w:rPr>
      </w:pPr>
      <w:r w:rsidRPr="003B4D44">
        <w:rPr>
          <w:rFonts w:ascii="Times New Roman" w:hAnsi="Times New Roman"/>
          <w:bCs/>
          <w:sz w:val="24"/>
          <w:szCs w:val="24"/>
        </w:rPr>
        <w:t>The IRS has generally referred to persons who submit information under</w:t>
      </w:r>
      <w:r>
        <w:rPr>
          <w:rFonts w:ascii="Times New Roman" w:hAnsi="Times New Roman"/>
          <w:bCs/>
          <w:sz w:val="24"/>
          <w:szCs w:val="24"/>
        </w:rPr>
        <w:t xml:space="preserve"> </w:t>
      </w:r>
      <w:r w:rsidRPr="003B4D44">
        <w:rPr>
          <w:rFonts w:ascii="Times New Roman" w:hAnsi="Times New Roman"/>
          <w:bCs/>
          <w:sz w:val="24"/>
          <w:szCs w:val="24"/>
        </w:rPr>
        <w:t>section 7623 as “informants,” and referred to the program as the “Informant</w:t>
      </w:r>
      <w:r>
        <w:rPr>
          <w:rFonts w:ascii="Times New Roman" w:hAnsi="Times New Roman"/>
          <w:bCs/>
          <w:sz w:val="24"/>
          <w:szCs w:val="24"/>
        </w:rPr>
        <w:t xml:space="preserve"> </w:t>
      </w:r>
      <w:r w:rsidRPr="003B4D44">
        <w:rPr>
          <w:rFonts w:ascii="Times New Roman" w:hAnsi="Times New Roman"/>
          <w:bCs/>
          <w:sz w:val="24"/>
          <w:szCs w:val="24"/>
        </w:rPr>
        <w:t>Claims Program.”</w:t>
      </w:r>
      <w:r w:rsidR="00222E25">
        <w:rPr>
          <w:rFonts w:ascii="Times New Roman" w:hAnsi="Times New Roman"/>
          <w:bCs/>
          <w:sz w:val="24"/>
          <w:szCs w:val="24"/>
        </w:rPr>
        <w:t xml:space="preserve">  </w:t>
      </w:r>
      <w:r w:rsidR="00222E25" w:rsidRPr="00222E25">
        <w:rPr>
          <w:rFonts w:ascii="Times New Roman" w:hAnsi="Times New Roman"/>
          <w:bCs/>
          <w:sz w:val="24"/>
          <w:szCs w:val="24"/>
        </w:rPr>
        <w:t>A whistleblower who wishes to report possible instances of tax fraud by</w:t>
      </w:r>
      <w:r w:rsidR="00222E25">
        <w:rPr>
          <w:rFonts w:ascii="Times New Roman" w:hAnsi="Times New Roman"/>
          <w:bCs/>
          <w:sz w:val="24"/>
          <w:szCs w:val="24"/>
        </w:rPr>
        <w:t xml:space="preserve"> </w:t>
      </w:r>
      <w:r w:rsidR="00222E25" w:rsidRPr="00222E25">
        <w:rPr>
          <w:rFonts w:ascii="Times New Roman" w:hAnsi="Times New Roman"/>
          <w:bCs/>
          <w:sz w:val="24"/>
          <w:szCs w:val="24"/>
        </w:rPr>
        <w:t>another individual, and does not want an award, must complete public use</w:t>
      </w:r>
      <w:r w:rsidR="00222E25">
        <w:rPr>
          <w:rFonts w:ascii="Times New Roman" w:hAnsi="Times New Roman"/>
          <w:bCs/>
          <w:sz w:val="24"/>
          <w:szCs w:val="24"/>
        </w:rPr>
        <w:t xml:space="preserve"> </w:t>
      </w:r>
      <w:r w:rsidR="00222E25" w:rsidRPr="00222E25">
        <w:rPr>
          <w:rFonts w:ascii="Times New Roman" w:hAnsi="Times New Roman"/>
          <w:bCs/>
          <w:sz w:val="24"/>
          <w:szCs w:val="24"/>
        </w:rPr>
        <w:t>Form 3949 A</w:t>
      </w:r>
      <w:r w:rsidR="003C0988">
        <w:rPr>
          <w:rFonts w:ascii="Times New Roman" w:hAnsi="Times New Roman"/>
          <w:bCs/>
          <w:sz w:val="24"/>
          <w:szCs w:val="24"/>
        </w:rPr>
        <w:t xml:space="preserve"> (1545-1960)</w:t>
      </w:r>
      <w:r w:rsidR="00222E25" w:rsidRPr="00222E25">
        <w:rPr>
          <w:rFonts w:ascii="Times New Roman" w:hAnsi="Times New Roman"/>
          <w:bCs/>
          <w:sz w:val="24"/>
          <w:szCs w:val="24"/>
        </w:rPr>
        <w:t>, Information Referral, or provide the information via a letter.</w:t>
      </w:r>
      <w:r w:rsidR="00222E25">
        <w:rPr>
          <w:rFonts w:ascii="Times New Roman" w:hAnsi="Times New Roman"/>
          <w:bCs/>
          <w:sz w:val="24"/>
          <w:szCs w:val="24"/>
        </w:rPr>
        <w:t xml:space="preserve">  </w:t>
      </w:r>
      <w:r w:rsidR="00222E25" w:rsidRPr="00222E25">
        <w:rPr>
          <w:rFonts w:ascii="Times New Roman" w:hAnsi="Times New Roman"/>
          <w:bCs/>
          <w:sz w:val="24"/>
          <w:szCs w:val="24"/>
        </w:rPr>
        <w:t xml:space="preserve">If the whistleblower indicates he or she wants an award, the whistleblower can </w:t>
      </w:r>
      <w:r w:rsidR="00222E25">
        <w:rPr>
          <w:rFonts w:ascii="Times New Roman" w:hAnsi="Times New Roman"/>
          <w:bCs/>
          <w:sz w:val="24"/>
          <w:szCs w:val="24"/>
        </w:rPr>
        <w:t>complete</w:t>
      </w:r>
      <w:r w:rsidR="00222E25" w:rsidRPr="00222E25">
        <w:rPr>
          <w:rFonts w:ascii="Times New Roman" w:hAnsi="Times New Roman"/>
          <w:bCs/>
          <w:sz w:val="24"/>
          <w:szCs w:val="24"/>
        </w:rPr>
        <w:t xml:space="preserve"> Form</w:t>
      </w:r>
      <w:r w:rsidR="00222E25">
        <w:rPr>
          <w:rFonts w:ascii="Times New Roman" w:hAnsi="Times New Roman"/>
          <w:bCs/>
          <w:sz w:val="24"/>
          <w:szCs w:val="24"/>
        </w:rPr>
        <w:t xml:space="preserve"> </w:t>
      </w:r>
      <w:r w:rsidR="00222E25" w:rsidRPr="00222E25">
        <w:rPr>
          <w:rFonts w:ascii="Times New Roman" w:hAnsi="Times New Roman"/>
          <w:bCs/>
          <w:sz w:val="24"/>
          <w:szCs w:val="24"/>
        </w:rPr>
        <w:t>211, Application for Award for Original Information</w:t>
      </w:r>
      <w:r w:rsidR="00222E25">
        <w:rPr>
          <w:rFonts w:ascii="Times New Roman" w:hAnsi="Times New Roman"/>
          <w:bCs/>
          <w:sz w:val="24"/>
          <w:szCs w:val="24"/>
        </w:rPr>
        <w:t xml:space="preserve">.  </w:t>
      </w:r>
      <w:r w:rsidR="00222E25" w:rsidRPr="00222E25">
        <w:rPr>
          <w:rFonts w:ascii="Times New Roman" w:hAnsi="Times New Roman"/>
          <w:bCs/>
          <w:sz w:val="24"/>
          <w:szCs w:val="24"/>
        </w:rPr>
        <w:t>Notice 2008-4</w:t>
      </w:r>
      <w:r w:rsidR="00222E25">
        <w:rPr>
          <w:rFonts w:ascii="Times New Roman" w:hAnsi="Times New Roman"/>
          <w:bCs/>
          <w:sz w:val="24"/>
          <w:szCs w:val="24"/>
        </w:rPr>
        <w:t xml:space="preserve"> was published to </w:t>
      </w:r>
      <w:r w:rsidR="00222E25" w:rsidRPr="00222E25">
        <w:rPr>
          <w:rFonts w:ascii="Times New Roman" w:hAnsi="Times New Roman"/>
          <w:bCs/>
          <w:sz w:val="24"/>
          <w:szCs w:val="24"/>
        </w:rPr>
        <w:t>provide instructions on how to complete Form 211 and where to</w:t>
      </w:r>
      <w:r w:rsidR="00222E25">
        <w:rPr>
          <w:rFonts w:ascii="Times New Roman" w:hAnsi="Times New Roman"/>
          <w:bCs/>
          <w:sz w:val="24"/>
          <w:szCs w:val="24"/>
        </w:rPr>
        <w:t xml:space="preserve"> </w:t>
      </w:r>
      <w:r w:rsidR="00222E25" w:rsidRPr="00222E25">
        <w:rPr>
          <w:rFonts w:ascii="Times New Roman" w:hAnsi="Times New Roman"/>
          <w:bCs/>
          <w:sz w:val="24"/>
          <w:szCs w:val="24"/>
        </w:rPr>
        <w:t>send it</w:t>
      </w:r>
      <w:r w:rsidR="00222E25">
        <w:rPr>
          <w:rFonts w:ascii="Times New Roman" w:hAnsi="Times New Roman"/>
          <w:bCs/>
          <w:sz w:val="24"/>
          <w:szCs w:val="24"/>
        </w:rPr>
        <w:t xml:space="preserve">.   </w:t>
      </w:r>
    </w:p>
    <w:p w:rsidR="00222E25" w:rsidRPr="00193479" w:rsidRDefault="00222E25" w:rsidP="00222E25">
      <w:pPr>
        <w:numPr>
          <w:ilvl w:val="12"/>
          <w:numId w:val="0"/>
        </w:numPr>
        <w:ind w:left="720"/>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USE OF DATA</w:t>
      </w:r>
      <w:r w:rsidRPr="00193479">
        <w:rPr>
          <w:rFonts w:ascii="Times New Roman" w:hAnsi="Times New Roman"/>
          <w:b/>
          <w:bCs/>
        </w:rPr>
        <w:t xml:space="preserve">              </w:t>
      </w:r>
    </w:p>
    <w:p w:rsidR="00A6250C" w:rsidRPr="00193479" w:rsidRDefault="00A6250C" w:rsidP="00A6250C">
      <w:pPr>
        <w:numPr>
          <w:ilvl w:val="12"/>
          <w:numId w:val="0"/>
        </w:numPr>
        <w:rPr>
          <w:rFonts w:ascii="Times New Roman" w:hAnsi="Times New Roman"/>
          <w:bCs/>
          <w:sz w:val="24"/>
          <w:szCs w:val="24"/>
        </w:rPr>
      </w:pPr>
    </w:p>
    <w:p w:rsidR="00EA7FD2" w:rsidRDefault="00A6250C" w:rsidP="00EA7FD2">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IRS uses </w:t>
      </w:r>
      <w:r w:rsidR="00EA7FD2" w:rsidRPr="00EA7FD2">
        <w:rPr>
          <w:rFonts w:ascii="Times New Roman" w:hAnsi="Times New Roman"/>
          <w:bCs/>
          <w:sz w:val="24"/>
          <w:szCs w:val="24"/>
        </w:rPr>
        <w:t xml:space="preserve">the information on this form to carry out the internal revenue laws of the United States. </w:t>
      </w:r>
      <w:r w:rsidR="00EA7FD2">
        <w:rPr>
          <w:rFonts w:ascii="Times New Roman" w:hAnsi="Times New Roman"/>
          <w:bCs/>
          <w:sz w:val="24"/>
          <w:szCs w:val="24"/>
        </w:rPr>
        <w:t xml:space="preserve">The </w:t>
      </w:r>
      <w:r w:rsidR="00EA7FD2" w:rsidRPr="00EA7FD2">
        <w:rPr>
          <w:rFonts w:ascii="Times New Roman" w:hAnsi="Times New Roman"/>
          <w:bCs/>
          <w:sz w:val="24"/>
          <w:szCs w:val="24"/>
        </w:rPr>
        <w:t xml:space="preserve">authority to ask for this information is 26 USC 6109 and 7623. </w:t>
      </w:r>
      <w:r w:rsidR="00672CE9" w:rsidRPr="00672CE9">
        <w:rPr>
          <w:rFonts w:ascii="Times New Roman" w:hAnsi="Times New Roman"/>
          <w:bCs/>
          <w:sz w:val="24"/>
          <w:szCs w:val="24"/>
        </w:rPr>
        <w:t>Failure to collect the information will prevent taxpayers from providing the necessary information to comply with the current tax laws.</w:t>
      </w:r>
    </w:p>
    <w:p w:rsidR="00A6250C" w:rsidRPr="00193479" w:rsidRDefault="00A6250C" w:rsidP="00EA7FD2">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                   </w:t>
      </w: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USE OF IMPROVED INFORMATION TECHNOLOGY TO REDUCE BURDEN</w:t>
      </w:r>
    </w:p>
    <w:p w:rsidR="00A6250C" w:rsidRPr="00193479" w:rsidRDefault="00A6250C" w:rsidP="00A6250C">
      <w:pPr>
        <w:numPr>
          <w:ilvl w:val="12"/>
          <w:numId w:val="0"/>
        </w:numPr>
        <w:rPr>
          <w:rFonts w:ascii="Times New Roman" w:hAnsi="Times New Roman"/>
          <w:bCs/>
          <w:sz w:val="24"/>
          <w:szCs w:val="24"/>
        </w:rPr>
      </w:pPr>
    </w:p>
    <w:p w:rsidR="00A6250C" w:rsidRPr="00193479" w:rsidRDefault="00EA7FD2" w:rsidP="00A6250C">
      <w:pPr>
        <w:numPr>
          <w:ilvl w:val="12"/>
          <w:numId w:val="0"/>
        </w:numPr>
        <w:ind w:left="720"/>
        <w:rPr>
          <w:rFonts w:ascii="Times New Roman" w:hAnsi="Times New Roman"/>
          <w:bCs/>
          <w:sz w:val="24"/>
          <w:szCs w:val="24"/>
        </w:rPr>
      </w:pPr>
      <w:r>
        <w:rPr>
          <w:rFonts w:ascii="Times New Roman" w:hAnsi="Times New Roman"/>
          <w:bCs/>
          <w:sz w:val="24"/>
          <w:szCs w:val="24"/>
        </w:rPr>
        <w:t>IRS has</w:t>
      </w:r>
      <w:r w:rsidR="00A6250C" w:rsidRPr="00193479">
        <w:rPr>
          <w:rFonts w:ascii="Times New Roman" w:hAnsi="Times New Roman"/>
          <w:bCs/>
          <w:sz w:val="24"/>
          <w:szCs w:val="24"/>
        </w:rPr>
        <w:t xml:space="preserve"> no plans at this time to offer electronic filing because of the low volume </w:t>
      </w:r>
      <w:r w:rsidR="00A6250C" w:rsidRPr="00193479">
        <w:rPr>
          <w:rFonts w:ascii="Times New Roman" w:hAnsi="Times New Roman"/>
          <w:bCs/>
          <w:sz w:val="24"/>
          <w:szCs w:val="24"/>
        </w:rPr>
        <w:lastRenderedPageBreak/>
        <w:t>compared to the cost of electronic enabling.</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EFFORTS TO IDENTIFY DUPLICATION</w:t>
      </w:r>
    </w:p>
    <w:p w:rsidR="00A6250C" w:rsidRPr="00193479" w:rsidRDefault="00A6250C" w:rsidP="00A6250C">
      <w:pPr>
        <w:numPr>
          <w:ilvl w:val="12"/>
          <w:numId w:val="0"/>
        </w:numPr>
        <w:rPr>
          <w:rFonts w:ascii="Times New Roman" w:hAnsi="Times New Roman"/>
          <w:bCs/>
          <w:sz w:val="24"/>
          <w:szCs w:val="24"/>
        </w:rPr>
      </w:pPr>
    </w:p>
    <w:p w:rsidR="00354DE2" w:rsidRPr="00354DE2" w:rsidRDefault="00354DE2" w:rsidP="00354DE2">
      <w:pPr>
        <w:ind w:left="720"/>
        <w:rPr>
          <w:rFonts w:ascii="Times New Roman" w:hAnsi="Times New Roman"/>
          <w:bCs/>
          <w:sz w:val="24"/>
          <w:szCs w:val="24"/>
        </w:rPr>
      </w:pPr>
      <w:r w:rsidRPr="00354DE2">
        <w:rPr>
          <w:rFonts w:ascii="Times New Roman" w:hAnsi="Times New Roman"/>
          <w:bCs/>
          <w:sz w:val="24"/>
          <w:szCs w:val="24"/>
        </w:rPr>
        <w:t>The information obtained through this collection is unique and is not already available for use or adaptation from another source.</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METHODS TO MINIMIZE BURDEN ON SMALL BUSINESSES OR OTHER</w:t>
      </w:r>
      <w:r w:rsidRPr="00193479">
        <w:rPr>
          <w:rFonts w:ascii="Times New Roman" w:hAnsi="Times New Roman"/>
          <w:b/>
          <w:bCs/>
        </w:rPr>
        <w:t xml:space="preserve">       </w:t>
      </w:r>
      <w:r w:rsidRPr="00193479">
        <w:rPr>
          <w:rFonts w:ascii="Times New Roman" w:hAnsi="Times New Roman"/>
          <w:b/>
          <w:bCs/>
          <w:u w:val="single"/>
        </w:rPr>
        <w:t>SMALL ENTITIES</w:t>
      </w:r>
    </w:p>
    <w:p w:rsidR="00A6250C" w:rsidRPr="00193479" w:rsidRDefault="00A6250C" w:rsidP="00A6250C">
      <w:pPr>
        <w:numPr>
          <w:ilvl w:val="12"/>
          <w:numId w:val="0"/>
        </w:numPr>
        <w:rPr>
          <w:rFonts w:ascii="Times New Roman" w:hAnsi="Times New Roman"/>
          <w:bCs/>
          <w:sz w:val="24"/>
          <w:szCs w:val="24"/>
        </w:rPr>
      </w:pPr>
    </w:p>
    <w:p w:rsidR="00A6250C" w:rsidRPr="00193479" w:rsidRDefault="001C0FE7" w:rsidP="00A6250C">
      <w:pPr>
        <w:numPr>
          <w:ilvl w:val="12"/>
          <w:numId w:val="0"/>
        </w:numPr>
        <w:ind w:left="720"/>
        <w:rPr>
          <w:rFonts w:ascii="Times New Roman" w:hAnsi="Times New Roman"/>
          <w:bCs/>
          <w:sz w:val="24"/>
          <w:szCs w:val="24"/>
        </w:rPr>
      </w:pPr>
      <w:r w:rsidRPr="001C0FE7">
        <w:rPr>
          <w:rFonts w:ascii="Times New Roman" w:hAnsi="Times New Roman"/>
          <w:bCs/>
          <w:sz w:val="24"/>
          <w:szCs w:val="24"/>
        </w:rPr>
        <w:t>There are no small entities affected by this collection</w:t>
      </w:r>
      <w:r w:rsidR="00A6250C" w:rsidRPr="00193479">
        <w:rPr>
          <w:rFonts w:ascii="Times New Roman" w:hAnsi="Times New Roman"/>
          <w:bCs/>
          <w:sz w:val="24"/>
          <w:szCs w:val="24"/>
        </w:rPr>
        <w:t>.</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CONSEQUENCES OF LESS FREQUENT COLLECTION ON FEDERAL PROGRAMS OR POLICY ACTIVITIES</w:t>
      </w:r>
    </w:p>
    <w:p w:rsidR="00A6250C" w:rsidRPr="00193479" w:rsidRDefault="00A6250C" w:rsidP="00A6250C">
      <w:pPr>
        <w:numPr>
          <w:ilvl w:val="12"/>
          <w:numId w:val="0"/>
        </w:numPr>
        <w:rPr>
          <w:rFonts w:ascii="Times New Roman" w:hAnsi="Times New Roman"/>
          <w:bCs/>
          <w:sz w:val="24"/>
          <w:szCs w:val="24"/>
        </w:rPr>
      </w:pPr>
    </w:p>
    <w:p w:rsidR="001C0FE7" w:rsidRDefault="00672CE9" w:rsidP="00A6250C">
      <w:pPr>
        <w:numPr>
          <w:ilvl w:val="12"/>
          <w:numId w:val="0"/>
        </w:numPr>
        <w:ind w:left="720"/>
        <w:rPr>
          <w:rFonts w:ascii="Times New Roman" w:hAnsi="Times New Roman"/>
          <w:bCs/>
          <w:sz w:val="24"/>
          <w:szCs w:val="24"/>
        </w:rPr>
      </w:pPr>
      <w:r w:rsidRPr="00672CE9">
        <w:rPr>
          <w:rFonts w:ascii="Times New Roman" w:hAnsi="Times New Roman"/>
          <w:bCs/>
          <w:sz w:val="24"/>
          <w:szCs w:val="24"/>
        </w:rPr>
        <w:t xml:space="preserve">IRS uses the information on </w:t>
      </w:r>
      <w:r>
        <w:rPr>
          <w:rFonts w:ascii="Times New Roman" w:hAnsi="Times New Roman"/>
          <w:bCs/>
          <w:sz w:val="24"/>
          <w:szCs w:val="24"/>
        </w:rPr>
        <w:t>Form 211</w:t>
      </w:r>
      <w:r w:rsidRPr="00672CE9">
        <w:rPr>
          <w:rFonts w:ascii="Times New Roman" w:hAnsi="Times New Roman"/>
          <w:bCs/>
          <w:sz w:val="24"/>
          <w:szCs w:val="24"/>
        </w:rPr>
        <w:t xml:space="preserve"> to carry out the internal revenue laws of the United States. The authority to ask for this information is 26 USC 6109 and 7623. Failure to collect the information will prevent taxpayers from providing the necessary information to comply with the current tax laws.</w:t>
      </w:r>
    </w:p>
    <w:p w:rsidR="00A6250C" w:rsidRPr="00193479" w:rsidRDefault="00A6250C" w:rsidP="00672CE9">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SPECIAL CIRCUMSTANCES REQUIRING DATA COLLECTION TO BE</w:t>
      </w:r>
      <w:r w:rsidRPr="00193479">
        <w:rPr>
          <w:rFonts w:ascii="Times New Roman" w:hAnsi="Times New Roman"/>
          <w:b/>
          <w:bCs/>
        </w:rPr>
        <w:t xml:space="preserve">     </w:t>
      </w:r>
      <w:r w:rsidRPr="00193479">
        <w:rPr>
          <w:rFonts w:ascii="Times New Roman" w:hAnsi="Times New Roman"/>
          <w:b/>
          <w:bCs/>
          <w:u w:val="single"/>
        </w:rPr>
        <w:t>INCONSISTENT WITH GUIDELINES IN 5 CFR 1320.5(d)(2)</w:t>
      </w:r>
    </w:p>
    <w:p w:rsidR="00A6250C" w:rsidRPr="00193479" w:rsidRDefault="00A6250C" w:rsidP="00A6250C">
      <w:pPr>
        <w:numPr>
          <w:ilvl w:val="12"/>
          <w:numId w:val="0"/>
        </w:numPr>
        <w:rPr>
          <w:rFonts w:ascii="Times New Roman" w:hAnsi="Times New Roman"/>
          <w:bCs/>
          <w:sz w:val="24"/>
          <w:szCs w:val="24"/>
        </w:rPr>
      </w:pPr>
    </w:p>
    <w:p w:rsidR="00A6250C" w:rsidRPr="00193479" w:rsidRDefault="00672CE9" w:rsidP="00A6250C">
      <w:pPr>
        <w:numPr>
          <w:ilvl w:val="12"/>
          <w:numId w:val="0"/>
        </w:numPr>
        <w:ind w:left="720"/>
        <w:rPr>
          <w:rFonts w:ascii="Times New Roman" w:hAnsi="Times New Roman"/>
          <w:bCs/>
          <w:sz w:val="24"/>
          <w:szCs w:val="24"/>
        </w:rPr>
      </w:pPr>
      <w:r w:rsidRPr="00672CE9">
        <w:rPr>
          <w:rFonts w:ascii="Times New Roman" w:hAnsi="Times New Roman"/>
          <w:bCs/>
          <w:sz w:val="24"/>
          <w:szCs w:val="24"/>
        </w:rPr>
        <w:t>There are no special circumstances requiring data collection to be inconsistent with Guidelines in 5 CFR 1320.5(d)(2)</w:t>
      </w:r>
      <w:r w:rsidR="00A6250C" w:rsidRPr="00193479">
        <w:rPr>
          <w:rFonts w:ascii="Times New Roman" w:hAnsi="Times New Roman"/>
          <w:bCs/>
          <w:sz w:val="24"/>
          <w:szCs w:val="24"/>
        </w:rPr>
        <w:t>.</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CONSULTATION WITH INDIVIDUALS OUTSIDE OF THE AGENCY ON</w:t>
      </w:r>
      <w:r w:rsidRPr="00193479">
        <w:rPr>
          <w:rFonts w:ascii="Times New Roman" w:hAnsi="Times New Roman"/>
          <w:b/>
          <w:bCs/>
        </w:rPr>
        <w:t xml:space="preserve">     </w:t>
      </w:r>
      <w:r w:rsidRPr="00193479">
        <w:rPr>
          <w:rFonts w:ascii="Times New Roman" w:hAnsi="Times New Roman"/>
          <w:b/>
          <w:bCs/>
          <w:u w:val="single"/>
        </w:rPr>
        <w:t>AVAILABILITY OF DATA, FREQUENCY OF COLLECTION, CLARITY OF INSTRUCTIONS AND FORMS, AND DATA ELEMENTS</w:t>
      </w:r>
    </w:p>
    <w:p w:rsidR="00A6250C" w:rsidRPr="00193479" w:rsidRDefault="00A6250C" w:rsidP="00A6250C">
      <w:pPr>
        <w:numPr>
          <w:ilvl w:val="12"/>
          <w:numId w:val="0"/>
        </w:numPr>
        <w:rPr>
          <w:rFonts w:ascii="Times New Roman" w:hAnsi="Times New Roman"/>
          <w:bCs/>
          <w:sz w:val="24"/>
          <w:szCs w:val="24"/>
        </w:rPr>
      </w:pPr>
    </w:p>
    <w:p w:rsidR="00EC47C4" w:rsidRDefault="00B450E4" w:rsidP="00E13DEF">
      <w:pPr>
        <w:numPr>
          <w:ilvl w:val="12"/>
          <w:numId w:val="0"/>
        </w:numPr>
        <w:ind w:left="720"/>
        <w:rPr>
          <w:rFonts w:ascii="Times New Roman" w:hAnsi="Times New Roman"/>
          <w:bCs/>
          <w:sz w:val="24"/>
          <w:szCs w:val="24"/>
        </w:rPr>
      </w:pPr>
      <w:r>
        <w:rPr>
          <w:rFonts w:ascii="Times New Roman" w:hAnsi="Times New Roman"/>
          <w:bCs/>
          <w:sz w:val="24"/>
          <w:szCs w:val="24"/>
        </w:rPr>
        <w:t>Notice 2008-4</w:t>
      </w:r>
      <w:r w:rsidR="00E13DEF">
        <w:rPr>
          <w:rFonts w:ascii="Times New Roman" w:hAnsi="Times New Roman"/>
          <w:bCs/>
          <w:sz w:val="24"/>
          <w:szCs w:val="24"/>
        </w:rPr>
        <w:t xml:space="preserve"> was </w:t>
      </w:r>
      <w:r>
        <w:rPr>
          <w:rFonts w:ascii="Times New Roman" w:hAnsi="Times New Roman"/>
          <w:bCs/>
          <w:sz w:val="24"/>
          <w:szCs w:val="24"/>
        </w:rPr>
        <w:t xml:space="preserve">published </w:t>
      </w:r>
      <w:r w:rsidR="00E13DEF">
        <w:rPr>
          <w:rFonts w:ascii="Times New Roman" w:hAnsi="Times New Roman"/>
          <w:bCs/>
          <w:sz w:val="24"/>
          <w:szCs w:val="24"/>
        </w:rPr>
        <w:t>January 14, 2008 (2008-2 I.R.B. 253),</w:t>
      </w:r>
      <w:r w:rsidR="002D06BF">
        <w:rPr>
          <w:rFonts w:ascii="Times New Roman" w:hAnsi="Times New Roman"/>
          <w:bCs/>
          <w:sz w:val="24"/>
          <w:szCs w:val="24"/>
        </w:rPr>
        <w:t xml:space="preserve"> and</w:t>
      </w:r>
      <w:r w:rsidR="00E13DEF">
        <w:rPr>
          <w:rFonts w:ascii="Times New Roman" w:hAnsi="Times New Roman"/>
          <w:bCs/>
          <w:sz w:val="24"/>
          <w:szCs w:val="24"/>
        </w:rPr>
        <w:t xml:space="preserve"> </w:t>
      </w:r>
      <w:r w:rsidRPr="00B450E4">
        <w:rPr>
          <w:rFonts w:ascii="Times New Roman" w:hAnsi="Times New Roman"/>
          <w:bCs/>
          <w:sz w:val="24"/>
          <w:szCs w:val="24"/>
        </w:rPr>
        <w:t>provide</w:t>
      </w:r>
      <w:r w:rsidR="00E13DEF">
        <w:rPr>
          <w:rFonts w:ascii="Times New Roman" w:hAnsi="Times New Roman"/>
          <w:bCs/>
          <w:sz w:val="24"/>
          <w:szCs w:val="24"/>
        </w:rPr>
        <w:t>d</w:t>
      </w:r>
      <w:r w:rsidRPr="00B450E4">
        <w:rPr>
          <w:rFonts w:ascii="Times New Roman" w:hAnsi="Times New Roman"/>
          <w:bCs/>
          <w:sz w:val="24"/>
          <w:szCs w:val="24"/>
        </w:rPr>
        <w:t xml:space="preserve"> guidance to the</w:t>
      </w:r>
      <w:r>
        <w:rPr>
          <w:rFonts w:ascii="Times New Roman" w:hAnsi="Times New Roman"/>
          <w:bCs/>
          <w:sz w:val="24"/>
          <w:szCs w:val="24"/>
        </w:rPr>
        <w:t xml:space="preserve"> </w:t>
      </w:r>
      <w:r w:rsidRPr="00B450E4">
        <w:rPr>
          <w:rFonts w:ascii="Times New Roman" w:hAnsi="Times New Roman"/>
          <w:bCs/>
          <w:sz w:val="24"/>
          <w:szCs w:val="24"/>
        </w:rPr>
        <w:t>public on how to file claims under Internal</w:t>
      </w:r>
      <w:r w:rsidR="00E13DEF">
        <w:rPr>
          <w:rFonts w:ascii="Times New Roman" w:hAnsi="Times New Roman"/>
          <w:bCs/>
          <w:sz w:val="24"/>
          <w:szCs w:val="24"/>
        </w:rPr>
        <w:t xml:space="preserve"> </w:t>
      </w:r>
      <w:r w:rsidRPr="00B450E4">
        <w:rPr>
          <w:rFonts w:ascii="Times New Roman" w:hAnsi="Times New Roman"/>
          <w:bCs/>
          <w:sz w:val="24"/>
          <w:szCs w:val="24"/>
        </w:rPr>
        <w:t>Revenue Code section 7623 as amended</w:t>
      </w:r>
      <w:r>
        <w:rPr>
          <w:rFonts w:ascii="Times New Roman" w:hAnsi="Times New Roman"/>
          <w:bCs/>
          <w:sz w:val="24"/>
          <w:szCs w:val="24"/>
        </w:rPr>
        <w:t xml:space="preserve"> </w:t>
      </w:r>
      <w:r w:rsidRPr="00B450E4">
        <w:rPr>
          <w:rFonts w:ascii="Times New Roman" w:hAnsi="Times New Roman"/>
          <w:bCs/>
          <w:sz w:val="24"/>
          <w:szCs w:val="24"/>
        </w:rPr>
        <w:t>by the Tax Relief and Health Care Act of</w:t>
      </w:r>
      <w:r>
        <w:rPr>
          <w:rFonts w:ascii="Times New Roman" w:hAnsi="Times New Roman"/>
          <w:bCs/>
          <w:sz w:val="24"/>
          <w:szCs w:val="24"/>
        </w:rPr>
        <w:t xml:space="preserve"> </w:t>
      </w:r>
      <w:r w:rsidRPr="00B450E4">
        <w:rPr>
          <w:rFonts w:ascii="Times New Roman" w:hAnsi="Times New Roman"/>
          <w:bCs/>
          <w:sz w:val="24"/>
          <w:szCs w:val="24"/>
        </w:rPr>
        <w:t>2006, Pub. L. No. 109–432 (120 Stat.</w:t>
      </w:r>
      <w:r>
        <w:rPr>
          <w:rFonts w:ascii="Times New Roman" w:hAnsi="Times New Roman"/>
          <w:bCs/>
          <w:sz w:val="24"/>
          <w:szCs w:val="24"/>
        </w:rPr>
        <w:t xml:space="preserve"> </w:t>
      </w:r>
      <w:r w:rsidRPr="00B450E4">
        <w:rPr>
          <w:rFonts w:ascii="Times New Roman" w:hAnsi="Times New Roman"/>
          <w:bCs/>
          <w:sz w:val="24"/>
          <w:szCs w:val="24"/>
        </w:rPr>
        <w:t>2958) (the Act) enacted on December 20,</w:t>
      </w:r>
      <w:r>
        <w:rPr>
          <w:rFonts w:ascii="Times New Roman" w:hAnsi="Times New Roman"/>
          <w:bCs/>
          <w:sz w:val="24"/>
          <w:szCs w:val="24"/>
        </w:rPr>
        <w:t xml:space="preserve"> </w:t>
      </w:r>
      <w:r w:rsidRPr="00B450E4">
        <w:rPr>
          <w:rFonts w:ascii="Times New Roman" w:hAnsi="Times New Roman"/>
          <w:bCs/>
          <w:sz w:val="24"/>
          <w:szCs w:val="24"/>
        </w:rPr>
        <w:t>2006.</w:t>
      </w:r>
      <w:r w:rsidR="00E13DEF">
        <w:rPr>
          <w:rFonts w:ascii="Times New Roman" w:hAnsi="Times New Roman"/>
          <w:bCs/>
          <w:sz w:val="24"/>
          <w:szCs w:val="24"/>
        </w:rPr>
        <w:t xml:space="preserve">  </w:t>
      </w:r>
      <w:r w:rsidR="00E13DEF" w:rsidRPr="00E13DEF">
        <w:rPr>
          <w:rFonts w:ascii="Times New Roman" w:hAnsi="Times New Roman"/>
          <w:bCs/>
          <w:sz w:val="24"/>
          <w:szCs w:val="24"/>
        </w:rPr>
        <w:t xml:space="preserve">Interested parties </w:t>
      </w:r>
      <w:r w:rsidR="00E13DEF">
        <w:rPr>
          <w:rFonts w:ascii="Times New Roman" w:hAnsi="Times New Roman"/>
          <w:bCs/>
          <w:sz w:val="24"/>
          <w:szCs w:val="24"/>
        </w:rPr>
        <w:t>were</w:t>
      </w:r>
      <w:r w:rsidR="00E13DEF" w:rsidRPr="00E13DEF">
        <w:rPr>
          <w:rFonts w:ascii="Times New Roman" w:hAnsi="Times New Roman"/>
          <w:bCs/>
          <w:sz w:val="24"/>
          <w:szCs w:val="24"/>
        </w:rPr>
        <w:t xml:space="preserve"> invited to submit</w:t>
      </w:r>
      <w:r w:rsidR="00E13DEF">
        <w:rPr>
          <w:rFonts w:ascii="Times New Roman" w:hAnsi="Times New Roman"/>
          <w:bCs/>
          <w:sz w:val="24"/>
          <w:szCs w:val="24"/>
        </w:rPr>
        <w:t xml:space="preserve"> </w:t>
      </w:r>
      <w:r w:rsidR="00E13DEF" w:rsidRPr="00E13DEF">
        <w:rPr>
          <w:rFonts w:ascii="Times New Roman" w:hAnsi="Times New Roman"/>
          <w:bCs/>
          <w:sz w:val="24"/>
          <w:szCs w:val="24"/>
        </w:rPr>
        <w:t xml:space="preserve">comments </w:t>
      </w:r>
      <w:r w:rsidR="00E13DEF">
        <w:rPr>
          <w:rFonts w:ascii="Times New Roman" w:hAnsi="Times New Roman"/>
          <w:bCs/>
          <w:sz w:val="24"/>
          <w:szCs w:val="24"/>
        </w:rPr>
        <w:t>through</w:t>
      </w:r>
      <w:r w:rsidR="00E13DEF" w:rsidRPr="00E13DEF">
        <w:rPr>
          <w:rFonts w:ascii="Times New Roman" w:hAnsi="Times New Roman"/>
          <w:bCs/>
          <w:sz w:val="24"/>
          <w:szCs w:val="24"/>
        </w:rPr>
        <w:t xml:space="preserve"> February</w:t>
      </w:r>
      <w:r w:rsidR="00E13DEF">
        <w:rPr>
          <w:rFonts w:ascii="Times New Roman" w:hAnsi="Times New Roman"/>
          <w:bCs/>
          <w:sz w:val="24"/>
          <w:szCs w:val="24"/>
        </w:rPr>
        <w:t xml:space="preserve"> </w:t>
      </w:r>
      <w:r w:rsidR="00E13DEF" w:rsidRPr="00E13DEF">
        <w:rPr>
          <w:rFonts w:ascii="Times New Roman" w:hAnsi="Times New Roman"/>
          <w:bCs/>
          <w:sz w:val="24"/>
          <w:szCs w:val="24"/>
        </w:rPr>
        <w:t>13, 2008.</w:t>
      </w:r>
    </w:p>
    <w:p w:rsidR="00B450E4" w:rsidRPr="00193479" w:rsidRDefault="00B450E4" w:rsidP="00B450E4">
      <w:pPr>
        <w:numPr>
          <w:ilvl w:val="12"/>
          <w:numId w:val="0"/>
        </w:numPr>
        <w:ind w:left="720"/>
        <w:rPr>
          <w:rFonts w:ascii="Times New Roman" w:hAnsi="Times New Roman"/>
          <w:bCs/>
          <w:sz w:val="24"/>
          <w:szCs w:val="24"/>
        </w:rPr>
      </w:pPr>
    </w:p>
    <w:p w:rsidR="00D6750A" w:rsidRPr="00193479" w:rsidRDefault="00EC47C4" w:rsidP="00B450E4">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In response to the Federal Register Notice dated </w:t>
      </w:r>
      <w:r w:rsidR="003A545D">
        <w:rPr>
          <w:rFonts w:ascii="Times New Roman" w:hAnsi="Times New Roman"/>
          <w:bCs/>
          <w:sz w:val="24"/>
          <w:szCs w:val="24"/>
        </w:rPr>
        <w:t>January 11, 2017,</w:t>
      </w:r>
      <w:r w:rsidRPr="00193479">
        <w:rPr>
          <w:rFonts w:ascii="Times New Roman" w:hAnsi="Times New Roman"/>
          <w:bCs/>
          <w:sz w:val="24"/>
          <w:szCs w:val="24"/>
        </w:rPr>
        <w:t xml:space="preserve"> (</w:t>
      </w:r>
      <w:r w:rsidR="00B450E4">
        <w:rPr>
          <w:rFonts w:ascii="Times New Roman" w:hAnsi="Times New Roman"/>
          <w:bCs/>
          <w:sz w:val="24"/>
          <w:szCs w:val="24"/>
        </w:rPr>
        <w:t>8</w:t>
      </w:r>
      <w:r w:rsidR="003A545D">
        <w:rPr>
          <w:rFonts w:ascii="Times New Roman" w:hAnsi="Times New Roman"/>
          <w:bCs/>
          <w:sz w:val="24"/>
          <w:szCs w:val="24"/>
        </w:rPr>
        <w:t>2</w:t>
      </w:r>
      <w:r w:rsidRPr="00193479">
        <w:rPr>
          <w:rFonts w:ascii="Times New Roman" w:hAnsi="Times New Roman"/>
          <w:bCs/>
          <w:sz w:val="24"/>
          <w:szCs w:val="24"/>
        </w:rPr>
        <w:t xml:space="preserve"> FR </w:t>
      </w:r>
      <w:r w:rsidR="003A545D">
        <w:rPr>
          <w:rFonts w:ascii="Times New Roman" w:hAnsi="Times New Roman"/>
          <w:bCs/>
          <w:sz w:val="24"/>
          <w:szCs w:val="24"/>
        </w:rPr>
        <w:t>3385</w:t>
      </w:r>
      <w:r w:rsidRPr="00193479">
        <w:rPr>
          <w:rFonts w:ascii="Times New Roman" w:hAnsi="Times New Roman"/>
          <w:bCs/>
          <w:sz w:val="24"/>
          <w:szCs w:val="24"/>
        </w:rPr>
        <w:t xml:space="preserve">), we received </w:t>
      </w:r>
      <w:r w:rsidR="00B450E4">
        <w:rPr>
          <w:rFonts w:ascii="Times New Roman" w:hAnsi="Times New Roman"/>
          <w:bCs/>
          <w:sz w:val="24"/>
          <w:szCs w:val="24"/>
        </w:rPr>
        <w:t xml:space="preserve">no </w:t>
      </w:r>
      <w:r w:rsidRPr="00193479">
        <w:rPr>
          <w:rFonts w:ascii="Times New Roman" w:hAnsi="Times New Roman"/>
          <w:bCs/>
          <w:sz w:val="24"/>
          <w:szCs w:val="24"/>
        </w:rPr>
        <w:t>comment</w:t>
      </w:r>
      <w:r w:rsidR="00B450E4">
        <w:rPr>
          <w:rFonts w:ascii="Times New Roman" w:hAnsi="Times New Roman"/>
          <w:bCs/>
          <w:sz w:val="24"/>
          <w:szCs w:val="24"/>
        </w:rPr>
        <w:t>s</w:t>
      </w:r>
      <w:r w:rsidRPr="00193479">
        <w:rPr>
          <w:rFonts w:ascii="Times New Roman" w:hAnsi="Times New Roman"/>
          <w:bCs/>
          <w:sz w:val="24"/>
          <w:szCs w:val="24"/>
        </w:rPr>
        <w:t xml:space="preserve"> relating to </w:t>
      </w:r>
      <w:r w:rsidR="00E8231F">
        <w:rPr>
          <w:rFonts w:ascii="Times New Roman" w:hAnsi="Times New Roman"/>
          <w:bCs/>
          <w:sz w:val="24"/>
          <w:szCs w:val="24"/>
        </w:rPr>
        <w:t>the ICR.</w:t>
      </w:r>
    </w:p>
    <w:p w:rsidR="00A6250C" w:rsidRPr="00193479" w:rsidRDefault="00A6250C" w:rsidP="00A6250C">
      <w:pPr>
        <w:numPr>
          <w:ilvl w:val="12"/>
          <w:numId w:val="0"/>
        </w:numPr>
        <w:jc w:val="center"/>
        <w:rPr>
          <w:rFonts w:ascii="Times New Roman" w:hAnsi="Times New Roman"/>
          <w:bCs/>
          <w:sz w:val="24"/>
          <w:szCs w:val="24"/>
        </w:rPr>
      </w:pPr>
      <w:r w:rsidRPr="00193479">
        <w:rPr>
          <w:rFonts w:ascii="Times New Roman" w:hAnsi="Times New Roman"/>
          <w:bCs/>
          <w:sz w:val="24"/>
          <w:szCs w:val="24"/>
        </w:rPr>
        <w:t xml:space="preserve"> </w:t>
      </w: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EXPLANATION OF DECISION TO PROVIDE ANY PAYMENT OR GIFT TO</w:t>
      </w:r>
      <w:r w:rsidRPr="00193479">
        <w:rPr>
          <w:rFonts w:ascii="Times New Roman" w:hAnsi="Times New Roman"/>
          <w:b/>
          <w:bCs/>
        </w:rPr>
        <w:t xml:space="preserve">     </w:t>
      </w:r>
      <w:r w:rsidRPr="00193479">
        <w:rPr>
          <w:rFonts w:ascii="Times New Roman" w:hAnsi="Times New Roman"/>
          <w:b/>
          <w:bCs/>
          <w:u w:val="single"/>
        </w:rPr>
        <w:t>RESPONDENTS</w:t>
      </w:r>
    </w:p>
    <w:p w:rsidR="00A6250C" w:rsidRPr="00193479" w:rsidRDefault="00A6250C" w:rsidP="00A6250C">
      <w:pPr>
        <w:numPr>
          <w:ilvl w:val="12"/>
          <w:numId w:val="0"/>
        </w:numPr>
        <w:rPr>
          <w:rFonts w:ascii="Times New Roman" w:hAnsi="Times New Roman"/>
          <w:bCs/>
          <w:sz w:val="24"/>
          <w:szCs w:val="24"/>
        </w:rPr>
      </w:pPr>
    </w:p>
    <w:p w:rsidR="00A6250C" w:rsidRPr="00193479" w:rsidRDefault="00672CE9" w:rsidP="00A6250C">
      <w:pPr>
        <w:numPr>
          <w:ilvl w:val="12"/>
          <w:numId w:val="0"/>
        </w:numPr>
        <w:ind w:left="720"/>
        <w:rPr>
          <w:rFonts w:ascii="Times New Roman" w:hAnsi="Times New Roman"/>
          <w:bCs/>
          <w:sz w:val="24"/>
          <w:szCs w:val="24"/>
        </w:rPr>
      </w:pPr>
      <w:r w:rsidRPr="00672CE9">
        <w:rPr>
          <w:rFonts w:ascii="Times New Roman" w:hAnsi="Times New Roman"/>
          <w:bCs/>
          <w:sz w:val="24"/>
          <w:szCs w:val="24"/>
        </w:rPr>
        <w:t>No payment or gift has been provided to any respondents</w:t>
      </w:r>
      <w:r w:rsidR="00A6250C" w:rsidRPr="00193479">
        <w:rPr>
          <w:rFonts w:ascii="Times New Roman" w:hAnsi="Times New Roman"/>
          <w:bCs/>
          <w:sz w:val="24"/>
          <w:szCs w:val="24"/>
        </w:rPr>
        <w:t>.</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lastRenderedPageBreak/>
        <w:t>ASSURANCE OF CONFIDENTIALITY OF RESPONSES</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numPr>
          <w:ilvl w:val="12"/>
          <w:numId w:val="0"/>
        </w:numPr>
        <w:ind w:left="720"/>
        <w:rPr>
          <w:rFonts w:ascii="Times New Roman" w:hAnsi="Times New Roman"/>
          <w:bCs/>
          <w:sz w:val="24"/>
          <w:szCs w:val="24"/>
        </w:rPr>
      </w:pPr>
      <w:r w:rsidRPr="00193479">
        <w:rPr>
          <w:rFonts w:ascii="Times New Roman" w:hAnsi="Times New Roman"/>
          <w:bCs/>
          <w:sz w:val="24"/>
          <w:szCs w:val="24"/>
        </w:rPr>
        <w:t>Generally, tax returns and tax return information are confidential as required by 26 USC 6103.</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u w:val="single"/>
        </w:rPr>
      </w:pPr>
      <w:r w:rsidRPr="00193479">
        <w:rPr>
          <w:rFonts w:ascii="Times New Roman" w:hAnsi="Times New Roman"/>
          <w:b/>
          <w:bCs/>
          <w:u w:val="single"/>
        </w:rPr>
        <w:t>JUSTIFICATION OF SENSITIVE QUESTIONS</w:t>
      </w:r>
    </w:p>
    <w:p w:rsidR="00A6250C" w:rsidRPr="00193479" w:rsidRDefault="00A6250C" w:rsidP="00A6250C">
      <w:pPr>
        <w:numPr>
          <w:ilvl w:val="12"/>
          <w:numId w:val="0"/>
        </w:numPr>
        <w:rPr>
          <w:rFonts w:ascii="Times New Roman" w:hAnsi="Times New Roman"/>
          <w:bCs/>
          <w:sz w:val="24"/>
          <w:szCs w:val="24"/>
          <w:u w:val="single"/>
        </w:rPr>
      </w:pPr>
    </w:p>
    <w:p w:rsidR="00B20997" w:rsidRDefault="00F21DB0" w:rsidP="00F21DB0">
      <w:pPr>
        <w:numPr>
          <w:ilvl w:val="12"/>
          <w:numId w:val="0"/>
        </w:numPr>
        <w:ind w:left="720"/>
        <w:rPr>
          <w:rFonts w:ascii="Times New Roman" w:hAnsi="Times New Roman"/>
          <w:bCs/>
          <w:sz w:val="24"/>
          <w:szCs w:val="24"/>
        </w:rPr>
      </w:pPr>
      <w:r w:rsidRPr="00193479">
        <w:rPr>
          <w:rFonts w:ascii="Times New Roman" w:hAnsi="Times New Roman"/>
          <w:bCs/>
          <w:sz w:val="24"/>
          <w:szCs w:val="24"/>
        </w:rPr>
        <w:t>A privacy impact assessment (PIA) has been conducted for information collected under this request as part of the “Fraud Inventory Management System (FIMS)” system and a Privacy Act System of Records notice (SORN) has been issued for this system under</w:t>
      </w:r>
      <w:r w:rsidR="00B20997">
        <w:rPr>
          <w:rFonts w:ascii="Times New Roman" w:hAnsi="Times New Roman"/>
          <w:bCs/>
          <w:sz w:val="24"/>
          <w:szCs w:val="24"/>
        </w:rPr>
        <w:t>:</w:t>
      </w:r>
    </w:p>
    <w:p w:rsidR="00B20997" w:rsidRDefault="00B20997" w:rsidP="00B20997">
      <w:pPr>
        <w:numPr>
          <w:ilvl w:val="12"/>
          <w:numId w:val="0"/>
        </w:numPr>
        <w:ind w:left="1260"/>
        <w:rPr>
          <w:rFonts w:ascii="Times New Roman" w:hAnsi="Times New Roman"/>
          <w:bCs/>
          <w:sz w:val="24"/>
          <w:szCs w:val="24"/>
        </w:rPr>
      </w:pPr>
    </w:p>
    <w:p w:rsidR="00B20997" w:rsidRDefault="00F21DB0" w:rsidP="00B20997">
      <w:pPr>
        <w:numPr>
          <w:ilvl w:val="12"/>
          <w:numId w:val="0"/>
        </w:numPr>
        <w:ind w:left="1260"/>
        <w:rPr>
          <w:rFonts w:ascii="Times New Roman" w:hAnsi="Times New Roman"/>
          <w:bCs/>
          <w:sz w:val="24"/>
          <w:szCs w:val="24"/>
        </w:rPr>
      </w:pPr>
      <w:proofErr w:type="spellStart"/>
      <w:r w:rsidRPr="00193479">
        <w:rPr>
          <w:rFonts w:ascii="Times New Roman" w:hAnsi="Times New Roman"/>
          <w:bCs/>
          <w:sz w:val="24"/>
          <w:szCs w:val="24"/>
        </w:rPr>
        <w:t>Treas</w:t>
      </w:r>
      <w:proofErr w:type="spellEnd"/>
      <w:r w:rsidRPr="00193479">
        <w:rPr>
          <w:rFonts w:ascii="Times New Roman" w:hAnsi="Times New Roman"/>
          <w:bCs/>
          <w:sz w:val="24"/>
          <w:szCs w:val="24"/>
        </w:rPr>
        <w:t xml:space="preserve">/IRS 24.030-- CADE Individual Master File; </w:t>
      </w:r>
    </w:p>
    <w:p w:rsidR="00B20997" w:rsidRDefault="00F21DB0" w:rsidP="00B20997">
      <w:pPr>
        <w:numPr>
          <w:ilvl w:val="12"/>
          <w:numId w:val="0"/>
        </w:numPr>
        <w:ind w:left="1260"/>
        <w:rPr>
          <w:rFonts w:ascii="Times New Roman" w:hAnsi="Times New Roman"/>
          <w:bCs/>
          <w:sz w:val="24"/>
          <w:szCs w:val="24"/>
        </w:rPr>
      </w:pPr>
      <w:proofErr w:type="spellStart"/>
      <w:r w:rsidRPr="00193479">
        <w:rPr>
          <w:rFonts w:ascii="Times New Roman" w:hAnsi="Times New Roman"/>
          <w:bCs/>
          <w:sz w:val="24"/>
          <w:szCs w:val="24"/>
        </w:rPr>
        <w:t>Treas</w:t>
      </w:r>
      <w:proofErr w:type="spellEnd"/>
      <w:r w:rsidRPr="00193479">
        <w:rPr>
          <w:rFonts w:ascii="Times New Roman" w:hAnsi="Times New Roman"/>
          <w:bCs/>
          <w:sz w:val="24"/>
          <w:szCs w:val="24"/>
        </w:rPr>
        <w:t xml:space="preserve">/IRS 24.046- CADE Business Master File; </w:t>
      </w:r>
    </w:p>
    <w:p w:rsidR="00B20997" w:rsidRDefault="00F21DB0" w:rsidP="00B20997">
      <w:pPr>
        <w:numPr>
          <w:ilvl w:val="12"/>
          <w:numId w:val="0"/>
        </w:numPr>
        <w:ind w:left="1260"/>
        <w:rPr>
          <w:rFonts w:ascii="Times New Roman" w:hAnsi="Times New Roman"/>
          <w:bCs/>
          <w:sz w:val="24"/>
          <w:szCs w:val="24"/>
        </w:rPr>
      </w:pPr>
      <w:proofErr w:type="spellStart"/>
      <w:r w:rsidRPr="00193479">
        <w:rPr>
          <w:rFonts w:ascii="Times New Roman" w:hAnsi="Times New Roman"/>
          <w:bCs/>
          <w:sz w:val="24"/>
          <w:szCs w:val="24"/>
        </w:rPr>
        <w:t>Treas</w:t>
      </w:r>
      <w:proofErr w:type="spellEnd"/>
      <w:r w:rsidRPr="00193479">
        <w:rPr>
          <w:rFonts w:ascii="Times New Roman" w:hAnsi="Times New Roman"/>
          <w:bCs/>
          <w:sz w:val="24"/>
          <w:szCs w:val="24"/>
        </w:rPr>
        <w:t xml:space="preserve">/IRS 42.001-- Examination Admin Files; </w:t>
      </w:r>
    </w:p>
    <w:p w:rsidR="00F21DB0" w:rsidRPr="00193479" w:rsidRDefault="00F21DB0" w:rsidP="00B20997">
      <w:pPr>
        <w:numPr>
          <w:ilvl w:val="12"/>
          <w:numId w:val="0"/>
        </w:numPr>
        <w:ind w:left="3150" w:hanging="1890"/>
        <w:rPr>
          <w:rFonts w:ascii="Times New Roman" w:hAnsi="Times New Roman"/>
          <w:bCs/>
          <w:sz w:val="24"/>
          <w:szCs w:val="24"/>
        </w:rPr>
      </w:pPr>
      <w:proofErr w:type="spellStart"/>
      <w:r w:rsidRPr="00193479">
        <w:rPr>
          <w:rFonts w:ascii="Times New Roman" w:hAnsi="Times New Roman"/>
          <w:bCs/>
          <w:sz w:val="24"/>
          <w:szCs w:val="24"/>
        </w:rPr>
        <w:t>Treas</w:t>
      </w:r>
      <w:proofErr w:type="spellEnd"/>
      <w:r w:rsidRPr="00193479">
        <w:rPr>
          <w:rFonts w:ascii="Times New Roman" w:hAnsi="Times New Roman"/>
          <w:bCs/>
          <w:sz w:val="24"/>
          <w:szCs w:val="24"/>
        </w:rPr>
        <w:t xml:space="preserve">/IRS 42.031--Anti-Money Laundering /Bank Secrecy Act (BSA) and Form 8300 Records.  </w:t>
      </w:r>
    </w:p>
    <w:p w:rsidR="00672CE9" w:rsidRDefault="00672CE9" w:rsidP="00F21DB0">
      <w:pPr>
        <w:numPr>
          <w:ilvl w:val="12"/>
          <w:numId w:val="0"/>
        </w:numPr>
        <w:ind w:left="720"/>
        <w:rPr>
          <w:rFonts w:ascii="Times New Roman" w:hAnsi="Times New Roman"/>
          <w:bCs/>
          <w:sz w:val="24"/>
          <w:szCs w:val="24"/>
        </w:rPr>
      </w:pPr>
    </w:p>
    <w:p w:rsidR="00F21DB0" w:rsidRPr="00193479" w:rsidRDefault="00672CE9" w:rsidP="00F21DB0">
      <w:pPr>
        <w:numPr>
          <w:ilvl w:val="12"/>
          <w:numId w:val="0"/>
        </w:numPr>
        <w:ind w:left="720"/>
        <w:rPr>
          <w:rFonts w:ascii="Times New Roman" w:hAnsi="Times New Roman"/>
          <w:bCs/>
          <w:sz w:val="24"/>
          <w:szCs w:val="24"/>
        </w:rPr>
      </w:pPr>
      <w:r w:rsidRPr="00672CE9">
        <w:rPr>
          <w:rFonts w:ascii="Times New Roman" w:hAnsi="Times New Roman"/>
          <w:bCs/>
          <w:sz w:val="24"/>
          <w:szCs w:val="24"/>
        </w:rPr>
        <w:t xml:space="preserve">The Internal Revenue Service PIA’s can be found at  </w:t>
      </w:r>
      <w:hyperlink r:id="rId13" w:history="1">
        <w:r w:rsidRPr="00FB0A01">
          <w:rPr>
            <w:rStyle w:val="Hyperlink"/>
            <w:rFonts w:ascii="Times New Roman" w:hAnsi="Times New Roman"/>
            <w:bCs/>
            <w:sz w:val="24"/>
            <w:szCs w:val="24"/>
          </w:rPr>
          <w:t>http://www.irs.gov/uac/Privacy-Impact-Assessments-PIA</w:t>
        </w:r>
      </w:hyperlink>
      <w:r>
        <w:rPr>
          <w:rFonts w:ascii="Times New Roman" w:hAnsi="Times New Roman"/>
          <w:bCs/>
          <w:sz w:val="24"/>
          <w:szCs w:val="24"/>
        </w:rPr>
        <w:t xml:space="preserve">. </w:t>
      </w:r>
    </w:p>
    <w:p w:rsidR="00672CE9" w:rsidRDefault="00672CE9" w:rsidP="00F21DB0">
      <w:pPr>
        <w:numPr>
          <w:ilvl w:val="12"/>
          <w:numId w:val="0"/>
        </w:numPr>
        <w:ind w:left="720"/>
        <w:rPr>
          <w:rFonts w:ascii="Times New Roman" w:hAnsi="Times New Roman"/>
          <w:bCs/>
          <w:sz w:val="24"/>
          <w:szCs w:val="24"/>
        </w:rPr>
      </w:pPr>
    </w:p>
    <w:p w:rsidR="00F21DB0" w:rsidRPr="00193479" w:rsidRDefault="00F21DB0" w:rsidP="00F21DB0">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F21DB0" w:rsidRPr="00193479" w:rsidRDefault="00F21DB0" w:rsidP="00F21DB0">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u w:val="single"/>
        </w:rPr>
      </w:pPr>
      <w:r w:rsidRPr="00193479">
        <w:rPr>
          <w:rFonts w:ascii="Times New Roman" w:hAnsi="Times New Roman"/>
          <w:b/>
          <w:bCs/>
          <w:u w:val="single"/>
        </w:rPr>
        <w:t>ESTIMATED BURDEN OF INFORMATION COLLECTION</w:t>
      </w:r>
    </w:p>
    <w:p w:rsidR="00A6250C" w:rsidRPr="00193479" w:rsidRDefault="00A6250C" w:rsidP="00A6250C">
      <w:pPr>
        <w:numPr>
          <w:ilvl w:val="12"/>
          <w:numId w:val="0"/>
        </w:numPr>
        <w:rPr>
          <w:rFonts w:ascii="Times New Roman" w:hAnsi="Times New Roman"/>
          <w:bCs/>
          <w:sz w:val="24"/>
          <w:szCs w:val="24"/>
          <w:u w:val="single"/>
        </w:rPr>
      </w:pPr>
    </w:p>
    <w:tbl>
      <w:tblPr>
        <w:tblW w:w="8934"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30458D" w:rsidRPr="00930637" w:rsidTr="0030458D">
        <w:tc>
          <w:tcPr>
            <w:tcW w:w="1258" w:type="dxa"/>
            <w:shd w:val="clear" w:color="auto" w:fill="auto"/>
            <w:vAlign w:val="bottom"/>
          </w:tcPr>
          <w:p w:rsidR="0030458D" w:rsidRPr="00930637" w:rsidRDefault="0030458D" w:rsidP="000A32D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30458D" w:rsidRPr="00930637" w:rsidRDefault="0030458D" w:rsidP="000A32D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30458D" w:rsidRPr="00930637" w:rsidRDefault="0030458D" w:rsidP="000A32D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30458D" w:rsidRPr="00930637" w:rsidRDefault="0030458D" w:rsidP="000A32D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30458D" w:rsidRPr="00930637" w:rsidRDefault="0030458D" w:rsidP="000A32D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30458D" w:rsidRPr="00930637" w:rsidRDefault="0030458D" w:rsidP="000A32D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30458D" w:rsidRPr="00930637" w:rsidRDefault="0030458D" w:rsidP="000A32D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0030458D" w:rsidRPr="00930637" w:rsidTr="0030458D">
        <w:tc>
          <w:tcPr>
            <w:tcW w:w="1258" w:type="dxa"/>
            <w:shd w:val="clear" w:color="auto" w:fill="auto"/>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IRC 7623</w:t>
            </w:r>
          </w:p>
        </w:tc>
        <w:tc>
          <w:tcPr>
            <w:tcW w:w="1916" w:type="dxa"/>
            <w:vAlign w:val="bottom"/>
          </w:tcPr>
          <w:p w:rsidR="0030458D" w:rsidRPr="00930637" w:rsidRDefault="0030458D" w:rsidP="0030458D">
            <w:pPr>
              <w:jc w:val="center"/>
              <w:rPr>
                <w:rFonts w:ascii="Arial Narrow" w:hAnsi="Arial Narrow"/>
                <w:sz w:val="18"/>
                <w:szCs w:val="18"/>
              </w:rPr>
            </w:pPr>
            <w:r w:rsidRPr="0030458D">
              <w:rPr>
                <w:rFonts w:ascii="Arial Narrow" w:hAnsi="Arial Narrow"/>
                <w:bCs/>
                <w:sz w:val="18"/>
                <w:szCs w:val="18"/>
              </w:rPr>
              <w:t>Application for Reward for Original Information</w:t>
            </w:r>
          </w:p>
        </w:tc>
        <w:tc>
          <w:tcPr>
            <w:tcW w:w="1170" w:type="dxa"/>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20,000</w:t>
            </w:r>
          </w:p>
        </w:tc>
        <w:tc>
          <w:tcPr>
            <w:tcW w:w="1170" w:type="dxa"/>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20,000</w:t>
            </w:r>
          </w:p>
        </w:tc>
        <w:tc>
          <w:tcPr>
            <w:tcW w:w="1170" w:type="dxa"/>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.75</w:t>
            </w:r>
          </w:p>
        </w:tc>
        <w:tc>
          <w:tcPr>
            <w:tcW w:w="1170" w:type="dxa"/>
            <w:shd w:val="clear" w:color="auto" w:fill="auto"/>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15,000</w:t>
            </w:r>
          </w:p>
        </w:tc>
      </w:tr>
      <w:tr w:rsidR="0030458D" w:rsidRPr="00930637" w:rsidTr="0030458D">
        <w:tc>
          <w:tcPr>
            <w:tcW w:w="1258" w:type="dxa"/>
            <w:shd w:val="clear" w:color="auto" w:fill="auto"/>
            <w:vAlign w:val="bottom"/>
          </w:tcPr>
          <w:p w:rsidR="0030458D" w:rsidRPr="00930637" w:rsidRDefault="0030458D" w:rsidP="000A32D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0030458D" w:rsidRPr="00930637" w:rsidRDefault="0030458D" w:rsidP="000A32D7">
            <w:pPr>
              <w:numPr>
                <w:ilvl w:val="12"/>
                <w:numId w:val="0"/>
              </w:numPr>
              <w:jc w:val="center"/>
              <w:rPr>
                <w:rFonts w:ascii="Arial Narrow" w:hAnsi="Arial Narrow"/>
                <w:sz w:val="18"/>
                <w:szCs w:val="18"/>
              </w:rPr>
            </w:pPr>
          </w:p>
        </w:tc>
        <w:tc>
          <w:tcPr>
            <w:tcW w:w="1170" w:type="dxa"/>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20,000</w:t>
            </w:r>
          </w:p>
        </w:tc>
        <w:tc>
          <w:tcPr>
            <w:tcW w:w="1170" w:type="dxa"/>
            <w:vAlign w:val="bottom"/>
          </w:tcPr>
          <w:p w:rsidR="0030458D" w:rsidRPr="00930637" w:rsidRDefault="0030458D" w:rsidP="000A32D7">
            <w:pPr>
              <w:numPr>
                <w:ilvl w:val="12"/>
                <w:numId w:val="0"/>
              </w:numPr>
              <w:jc w:val="center"/>
              <w:rPr>
                <w:rFonts w:ascii="Arial Narrow" w:hAnsi="Arial Narrow"/>
                <w:sz w:val="18"/>
                <w:szCs w:val="18"/>
              </w:rPr>
            </w:pPr>
          </w:p>
        </w:tc>
        <w:tc>
          <w:tcPr>
            <w:tcW w:w="1080" w:type="dxa"/>
            <w:shd w:val="clear" w:color="auto" w:fill="auto"/>
            <w:vAlign w:val="bottom"/>
          </w:tcPr>
          <w:p w:rsidR="0030458D" w:rsidRPr="00930637" w:rsidRDefault="0030458D" w:rsidP="000A32D7">
            <w:pPr>
              <w:numPr>
                <w:ilvl w:val="12"/>
                <w:numId w:val="0"/>
              </w:numPr>
              <w:jc w:val="center"/>
              <w:rPr>
                <w:rFonts w:ascii="Arial Narrow" w:hAnsi="Arial Narrow"/>
                <w:sz w:val="18"/>
                <w:szCs w:val="18"/>
              </w:rPr>
            </w:pPr>
          </w:p>
        </w:tc>
        <w:tc>
          <w:tcPr>
            <w:tcW w:w="1170" w:type="dxa"/>
            <w:vAlign w:val="bottom"/>
          </w:tcPr>
          <w:p w:rsidR="0030458D" w:rsidRPr="00930637" w:rsidRDefault="0030458D" w:rsidP="000A32D7">
            <w:pPr>
              <w:numPr>
                <w:ilvl w:val="12"/>
                <w:numId w:val="0"/>
              </w:numPr>
              <w:jc w:val="center"/>
              <w:rPr>
                <w:rFonts w:ascii="Arial Narrow" w:hAnsi="Arial Narrow"/>
                <w:sz w:val="18"/>
                <w:szCs w:val="18"/>
              </w:rPr>
            </w:pPr>
          </w:p>
        </w:tc>
        <w:tc>
          <w:tcPr>
            <w:tcW w:w="1170" w:type="dxa"/>
            <w:shd w:val="clear" w:color="auto" w:fill="auto"/>
            <w:vAlign w:val="bottom"/>
          </w:tcPr>
          <w:p w:rsidR="0030458D" w:rsidRPr="00930637" w:rsidRDefault="0030458D" w:rsidP="000A32D7">
            <w:pPr>
              <w:numPr>
                <w:ilvl w:val="12"/>
                <w:numId w:val="0"/>
              </w:numPr>
              <w:jc w:val="center"/>
              <w:rPr>
                <w:rFonts w:ascii="Arial Narrow" w:hAnsi="Arial Narrow"/>
                <w:sz w:val="18"/>
                <w:szCs w:val="18"/>
              </w:rPr>
            </w:pPr>
            <w:r>
              <w:rPr>
                <w:rFonts w:ascii="Arial Narrow" w:hAnsi="Arial Narrow"/>
                <w:sz w:val="18"/>
                <w:szCs w:val="18"/>
              </w:rPr>
              <w:t>15,000</w:t>
            </w:r>
          </w:p>
        </w:tc>
      </w:tr>
    </w:tbl>
    <w:p w:rsidR="00A6250C" w:rsidRPr="00193479" w:rsidRDefault="00A6250C" w:rsidP="00D6750A">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bCs/>
          <w:sz w:val="24"/>
          <w:szCs w:val="24"/>
        </w:rPr>
      </w:pPr>
    </w:p>
    <w:p w:rsidR="00A96594" w:rsidRPr="00193479" w:rsidRDefault="003A545D" w:rsidP="00A96594">
      <w:pPr>
        <w:numPr>
          <w:ilvl w:val="12"/>
          <w:numId w:val="0"/>
        </w:numPr>
        <w:ind w:left="720"/>
        <w:rPr>
          <w:rFonts w:ascii="Times New Roman" w:hAnsi="Times New Roman"/>
          <w:bCs/>
          <w:sz w:val="24"/>
          <w:szCs w:val="24"/>
        </w:rPr>
      </w:pPr>
      <w:r>
        <w:rPr>
          <w:rFonts w:ascii="Times New Roman" w:hAnsi="Times New Roman"/>
          <w:bCs/>
          <w:sz w:val="24"/>
          <w:szCs w:val="24"/>
        </w:rPr>
        <w:t>IRS e</w:t>
      </w:r>
      <w:r w:rsidR="00A6250C" w:rsidRPr="00193479">
        <w:rPr>
          <w:rFonts w:ascii="Times New Roman" w:hAnsi="Times New Roman"/>
          <w:bCs/>
          <w:sz w:val="24"/>
          <w:szCs w:val="24"/>
        </w:rPr>
        <w:t xml:space="preserve">stimates </w:t>
      </w:r>
      <w:r>
        <w:rPr>
          <w:rFonts w:ascii="Times New Roman" w:hAnsi="Times New Roman"/>
          <w:bCs/>
          <w:sz w:val="24"/>
          <w:szCs w:val="24"/>
        </w:rPr>
        <w:t xml:space="preserve">that </w:t>
      </w:r>
      <w:r w:rsidR="00A6250C" w:rsidRPr="00193479">
        <w:rPr>
          <w:rFonts w:ascii="Times New Roman" w:hAnsi="Times New Roman"/>
          <w:bCs/>
          <w:sz w:val="24"/>
          <w:szCs w:val="24"/>
        </w:rPr>
        <w:t xml:space="preserve">the annualized cost to respondents for the hour burdens shown are </w:t>
      </w:r>
      <w:r>
        <w:rPr>
          <w:rFonts w:ascii="Times New Roman" w:hAnsi="Times New Roman"/>
          <w:bCs/>
          <w:sz w:val="24"/>
          <w:szCs w:val="24"/>
        </w:rPr>
        <w:t xml:space="preserve">nominal.  </w:t>
      </w:r>
    </w:p>
    <w:p w:rsidR="00A6250C" w:rsidRPr="00193479" w:rsidRDefault="00A6250C" w:rsidP="00A96594">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      </w:t>
      </w: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ESTIMATED TOTAL ANNUAL COST BURDEN TO RESPONDENTS</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As suggested by OMB, our Federal Register notice dated </w:t>
      </w:r>
      <w:r w:rsidR="003A545D">
        <w:rPr>
          <w:rFonts w:ascii="Times New Roman" w:hAnsi="Times New Roman"/>
          <w:bCs/>
          <w:sz w:val="24"/>
          <w:szCs w:val="24"/>
        </w:rPr>
        <w:t>January 11, 2017</w:t>
      </w:r>
      <w:r w:rsidRPr="00193479">
        <w:rPr>
          <w:rFonts w:ascii="Times New Roman" w:hAnsi="Times New Roman"/>
          <w:bCs/>
          <w:sz w:val="24"/>
          <w:szCs w:val="24"/>
        </w:rPr>
        <w:t>, requested public comments on estimates of cost burden that are not captured in the estimates of burden hours, i.e., estimates of</w:t>
      </w:r>
      <w:r w:rsidR="00E8231F">
        <w:rPr>
          <w:rFonts w:ascii="Times New Roman" w:hAnsi="Times New Roman"/>
          <w:bCs/>
          <w:sz w:val="24"/>
          <w:szCs w:val="24"/>
        </w:rPr>
        <w:t xml:space="preserve"> capital or start-up costs and </w:t>
      </w:r>
      <w:bookmarkStart w:id="8" w:name="_GoBack"/>
      <w:bookmarkEnd w:id="8"/>
      <w:r w:rsidRPr="00193479">
        <w:rPr>
          <w:rFonts w:ascii="Times New Roman" w:hAnsi="Times New Roman"/>
          <w:bCs/>
          <w:sz w:val="24"/>
          <w:szCs w:val="24"/>
        </w:rPr>
        <w:t xml:space="preserve">costs of operation, maintenance, and purchase of services to  provide information.  However, we did not receive any response from taxpayers on this subject.  </w:t>
      </w:r>
    </w:p>
    <w:p w:rsidR="002A1E02" w:rsidRPr="00193479" w:rsidRDefault="002A1E02" w:rsidP="002A1E02">
      <w:pPr>
        <w:numPr>
          <w:ilvl w:val="12"/>
          <w:numId w:val="0"/>
        </w:numPr>
        <w:ind w:left="720"/>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lastRenderedPageBreak/>
        <w:t>ESTIMATED ANNUALIZED COST TO THE FEDERAL GOVERNMENT</w:t>
      </w:r>
    </w:p>
    <w:p w:rsidR="00A6250C" w:rsidRPr="00193479" w:rsidRDefault="00A6250C" w:rsidP="00A6250C">
      <w:pPr>
        <w:numPr>
          <w:ilvl w:val="12"/>
          <w:numId w:val="0"/>
        </w:numPr>
        <w:rPr>
          <w:rFonts w:ascii="Times New Roman" w:hAnsi="Times New Roman"/>
          <w:bCs/>
          <w:sz w:val="24"/>
          <w:szCs w:val="24"/>
        </w:rPr>
      </w:pPr>
    </w:p>
    <w:p w:rsidR="00A6250C" w:rsidRPr="00193479" w:rsidRDefault="00672CE9" w:rsidP="00A6250C">
      <w:pPr>
        <w:numPr>
          <w:ilvl w:val="12"/>
          <w:numId w:val="0"/>
        </w:numPr>
        <w:ind w:left="720"/>
        <w:rPr>
          <w:rFonts w:ascii="Times New Roman" w:hAnsi="Times New Roman"/>
          <w:bCs/>
          <w:sz w:val="24"/>
          <w:szCs w:val="24"/>
        </w:rPr>
      </w:pPr>
      <w:r>
        <w:rPr>
          <w:rFonts w:ascii="Times New Roman" w:hAnsi="Times New Roman"/>
          <w:bCs/>
          <w:sz w:val="24"/>
          <w:szCs w:val="24"/>
        </w:rPr>
        <w:t>There are no estimated annualized costs to the Federal government</w:t>
      </w:r>
      <w:r w:rsidR="00A6250C" w:rsidRPr="00193479">
        <w:rPr>
          <w:rFonts w:ascii="Times New Roman" w:hAnsi="Times New Roman"/>
          <w:bCs/>
          <w:sz w:val="24"/>
          <w:szCs w:val="24"/>
        </w:rPr>
        <w:t>.</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REASONS FOR CHANGE IN BURDEN</w:t>
      </w:r>
      <w:r w:rsidRPr="00193479">
        <w:rPr>
          <w:rFonts w:ascii="Times New Roman" w:hAnsi="Times New Roman"/>
          <w:b/>
          <w:bCs/>
        </w:rPr>
        <w:tab/>
      </w:r>
    </w:p>
    <w:p w:rsidR="00A6250C" w:rsidRPr="00193479" w:rsidRDefault="00A6250C" w:rsidP="00A6250C">
      <w:pPr>
        <w:numPr>
          <w:ilvl w:val="12"/>
          <w:numId w:val="0"/>
        </w:numPr>
        <w:rPr>
          <w:rFonts w:ascii="Times New Roman" w:hAnsi="Times New Roman"/>
          <w:bCs/>
          <w:sz w:val="24"/>
          <w:szCs w:val="24"/>
        </w:rPr>
      </w:pPr>
    </w:p>
    <w:p w:rsidR="00672CE9" w:rsidRPr="00672CE9" w:rsidRDefault="00672CE9" w:rsidP="00672CE9">
      <w:pPr>
        <w:numPr>
          <w:ilvl w:val="12"/>
          <w:numId w:val="0"/>
        </w:numPr>
        <w:ind w:left="720"/>
        <w:rPr>
          <w:rFonts w:ascii="Times New Roman" w:hAnsi="Times New Roman"/>
          <w:bCs/>
          <w:sz w:val="24"/>
          <w:szCs w:val="24"/>
        </w:rPr>
      </w:pPr>
      <w:r w:rsidRPr="00672CE9">
        <w:rPr>
          <w:rFonts w:ascii="Times New Roman" w:hAnsi="Times New Roman"/>
          <w:bCs/>
          <w:sz w:val="24"/>
          <w:szCs w:val="24"/>
        </w:rPr>
        <w:t>There are no changes to the burden previously approved by OMB.</w:t>
      </w:r>
    </w:p>
    <w:p w:rsidR="00672CE9" w:rsidRPr="00672CE9" w:rsidRDefault="00672CE9" w:rsidP="00672CE9">
      <w:pPr>
        <w:numPr>
          <w:ilvl w:val="12"/>
          <w:numId w:val="0"/>
        </w:numPr>
        <w:ind w:left="720"/>
        <w:rPr>
          <w:rFonts w:ascii="Times New Roman" w:hAnsi="Times New Roman"/>
          <w:bCs/>
          <w:sz w:val="24"/>
          <w:szCs w:val="24"/>
        </w:rPr>
      </w:pPr>
    </w:p>
    <w:p w:rsidR="00A96594" w:rsidRPr="00193479" w:rsidRDefault="00672CE9" w:rsidP="00672CE9">
      <w:pPr>
        <w:numPr>
          <w:ilvl w:val="12"/>
          <w:numId w:val="0"/>
        </w:numPr>
        <w:ind w:left="720"/>
        <w:rPr>
          <w:rFonts w:ascii="Times New Roman" w:hAnsi="Times New Roman"/>
          <w:bCs/>
          <w:sz w:val="24"/>
          <w:szCs w:val="24"/>
        </w:rPr>
      </w:pPr>
      <w:r w:rsidRPr="00672CE9">
        <w:rPr>
          <w:rFonts w:ascii="Times New Roman" w:hAnsi="Times New Roman"/>
          <w:bCs/>
          <w:sz w:val="24"/>
          <w:szCs w:val="24"/>
        </w:rPr>
        <w:t xml:space="preserve">This submission is for renewal purposes only.  </w:t>
      </w:r>
    </w:p>
    <w:p w:rsidR="00A96594" w:rsidRPr="00193479" w:rsidRDefault="00A96594"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PLANS FOR TABULATION, STATISTICAL ANALYSIS AND PUBLICATION</w:t>
      </w:r>
    </w:p>
    <w:p w:rsidR="00A6250C" w:rsidRPr="00193479" w:rsidRDefault="00A6250C" w:rsidP="00A6250C">
      <w:pPr>
        <w:numPr>
          <w:ilvl w:val="12"/>
          <w:numId w:val="0"/>
        </w:numPr>
        <w:rPr>
          <w:rFonts w:ascii="Times New Roman" w:hAnsi="Times New Roman"/>
          <w:bCs/>
          <w:sz w:val="24"/>
          <w:szCs w:val="24"/>
        </w:rPr>
      </w:pPr>
    </w:p>
    <w:p w:rsidR="00A6250C" w:rsidRPr="00193479" w:rsidRDefault="00672CE9" w:rsidP="00A6250C">
      <w:pPr>
        <w:numPr>
          <w:ilvl w:val="12"/>
          <w:numId w:val="0"/>
        </w:numPr>
        <w:ind w:left="720"/>
        <w:rPr>
          <w:rFonts w:ascii="Times New Roman" w:hAnsi="Times New Roman"/>
          <w:bCs/>
          <w:sz w:val="24"/>
          <w:szCs w:val="24"/>
        </w:rPr>
      </w:pPr>
      <w:r w:rsidRPr="00672CE9">
        <w:rPr>
          <w:rFonts w:ascii="Times New Roman" w:hAnsi="Times New Roman"/>
          <w:bCs/>
          <w:sz w:val="24"/>
          <w:szCs w:val="24"/>
        </w:rPr>
        <w:t>There are no plans for tabulation, statistical analysis and publication</w:t>
      </w:r>
      <w:r w:rsidR="00A6250C" w:rsidRPr="00193479">
        <w:rPr>
          <w:rFonts w:ascii="Times New Roman" w:hAnsi="Times New Roman"/>
          <w:bCs/>
          <w:sz w:val="24"/>
          <w:szCs w:val="24"/>
        </w:rPr>
        <w:t>.</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REASONS WHY DISPLAYING THE OMB EXPIRATION DATE IS</w:t>
      </w:r>
      <w:r w:rsidRPr="00193479">
        <w:rPr>
          <w:rFonts w:ascii="Times New Roman" w:hAnsi="Times New Roman"/>
          <w:b/>
          <w:bCs/>
        </w:rPr>
        <w:t xml:space="preserve">     </w:t>
      </w:r>
      <w:r w:rsidRPr="00193479">
        <w:rPr>
          <w:rFonts w:ascii="Times New Roman" w:hAnsi="Times New Roman"/>
          <w:b/>
          <w:bCs/>
          <w:u w:val="single"/>
        </w:rPr>
        <w:t>INAPPROPRIATE</w:t>
      </w:r>
    </w:p>
    <w:p w:rsidR="00A6250C" w:rsidRPr="00193479" w:rsidRDefault="00A6250C" w:rsidP="00A6250C">
      <w:pPr>
        <w:numPr>
          <w:ilvl w:val="12"/>
          <w:numId w:val="0"/>
        </w:numPr>
        <w:rPr>
          <w:rFonts w:ascii="Times New Roman" w:hAnsi="Times New Roman"/>
          <w:bCs/>
          <w:sz w:val="24"/>
          <w:szCs w:val="24"/>
        </w:rPr>
      </w:pPr>
    </w:p>
    <w:p w:rsidR="00D81E94" w:rsidRPr="00193479" w:rsidRDefault="00D81E94" w:rsidP="00D81E94">
      <w:pPr>
        <w:ind w:left="720"/>
        <w:rPr>
          <w:rFonts w:ascii="Times New Roman" w:hAnsi="Times New Roman"/>
          <w:sz w:val="24"/>
          <w:szCs w:val="24"/>
        </w:rPr>
      </w:pPr>
      <w:r w:rsidRPr="00193479">
        <w:rPr>
          <w:rFonts w:ascii="Times New Roman" w:hAnsi="Times New Roman"/>
          <w:sz w:val="24"/>
          <w:szCs w:val="24"/>
        </w:rPr>
        <w:t>We believe that displaying the OMB expiration date is inappropriate because it could cause confusion by leading taxpayers to believe that the statutes/regulation sunsets as of the expiration date.  Taxpayers are not likely to be aware that the Service intends to request renewal of OMB approval and obtain a new expiration date before the old one expires.</w:t>
      </w:r>
    </w:p>
    <w:p w:rsidR="00D81E94" w:rsidRPr="00193479" w:rsidRDefault="00D81E94" w:rsidP="00D81E94">
      <w:pPr>
        <w:rPr>
          <w:rFonts w:ascii="Times New Roman" w:hAnsi="Times New Roman"/>
          <w:sz w:val="24"/>
          <w:szCs w:val="24"/>
        </w:rPr>
      </w:pPr>
    </w:p>
    <w:p w:rsidR="00A6250C" w:rsidRPr="00193479" w:rsidRDefault="00A6250C" w:rsidP="00A6250C">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EXCEPTIONS TO THE CERTIFICATION STATEMENT</w:t>
      </w:r>
    </w:p>
    <w:p w:rsidR="00193479" w:rsidRDefault="00193479" w:rsidP="00A6250C">
      <w:pPr>
        <w:numPr>
          <w:ilvl w:val="12"/>
          <w:numId w:val="0"/>
        </w:numPr>
        <w:ind w:left="720"/>
        <w:rPr>
          <w:rFonts w:ascii="Times New Roman" w:hAnsi="Times New Roman"/>
          <w:bCs/>
          <w:sz w:val="24"/>
          <w:szCs w:val="24"/>
        </w:rPr>
      </w:pPr>
    </w:p>
    <w:p w:rsidR="00A6250C" w:rsidRPr="00193479" w:rsidRDefault="00672CE9" w:rsidP="00A6250C">
      <w:pPr>
        <w:numPr>
          <w:ilvl w:val="12"/>
          <w:numId w:val="0"/>
        </w:numPr>
        <w:ind w:left="720"/>
        <w:rPr>
          <w:rFonts w:ascii="Times New Roman" w:hAnsi="Times New Roman"/>
          <w:bCs/>
          <w:sz w:val="24"/>
          <w:szCs w:val="24"/>
        </w:rPr>
      </w:pPr>
      <w:r w:rsidRPr="00672CE9">
        <w:rPr>
          <w:rFonts w:ascii="Times New Roman" w:hAnsi="Times New Roman"/>
          <w:bCs/>
          <w:sz w:val="24"/>
          <w:szCs w:val="24"/>
        </w:rPr>
        <w:t>There are no exceptions to the certification statement</w:t>
      </w:r>
      <w:r w:rsidR="00A6250C" w:rsidRPr="00193479">
        <w:rPr>
          <w:rFonts w:ascii="Times New Roman" w:hAnsi="Times New Roman"/>
          <w:bCs/>
          <w:sz w:val="24"/>
          <w:szCs w:val="24"/>
        </w:rPr>
        <w:t>.</w:t>
      </w:r>
    </w:p>
    <w:p w:rsidR="00505137" w:rsidRPr="00193479" w:rsidRDefault="00505137" w:rsidP="00A6250C">
      <w:pPr>
        <w:numPr>
          <w:ilvl w:val="12"/>
          <w:numId w:val="0"/>
        </w:numPr>
        <w:rPr>
          <w:rFonts w:ascii="Times New Roman" w:hAnsi="Times New Roman"/>
          <w:bCs/>
          <w:sz w:val="24"/>
          <w:szCs w:val="24"/>
          <w:u w:val="single"/>
        </w:rPr>
      </w:pPr>
    </w:p>
    <w:p w:rsidR="00A6250C" w:rsidRPr="00193479" w:rsidRDefault="00A6250C" w:rsidP="00A6250C">
      <w:pPr>
        <w:numPr>
          <w:ilvl w:val="12"/>
          <w:numId w:val="0"/>
        </w:numPr>
        <w:rPr>
          <w:rFonts w:ascii="Times New Roman" w:hAnsi="Times New Roman"/>
          <w:bCs/>
          <w:sz w:val="24"/>
          <w:szCs w:val="24"/>
        </w:rPr>
      </w:pPr>
      <w:r w:rsidRPr="00193479">
        <w:rPr>
          <w:rFonts w:ascii="Times New Roman" w:hAnsi="Times New Roman"/>
          <w:b/>
          <w:bCs/>
          <w:sz w:val="24"/>
          <w:szCs w:val="24"/>
          <w:u w:val="single"/>
        </w:rPr>
        <w:t>Note</w:t>
      </w:r>
      <w:r w:rsidRPr="00193479">
        <w:rPr>
          <w:rFonts w:ascii="Times New Roman" w:hAnsi="Times New Roman"/>
          <w:bCs/>
          <w:sz w:val="24"/>
          <w:szCs w:val="24"/>
          <w:u w:val="single"/>
        </w:rPr>
        <w:t>:</w:t>
      </w:r>
      <w:r w:rsidRPr="00193479">
        <w:rPr>
          <w:rFonts w:ascii="Times New Roman" w:hAnsi="Times New Roman"/>
          <w:bCs/>
          <w:sz w:val="24"/>
          <w:szCs w:val="24"/>
        </w:rPr>
        <w:t xml:space="preserve">   The following paragraph applies to all of the collections of information in this submission:</w:t>
      </w:r>
    </w:p>
    <w:p w:rsidR="00A6250C" w:rsidRPr="00193479" w:rsidRDefault="00A6250C" w:rsidP="00A6250C">
      <w:pPr>
        <w:numPr>
          <w:ilvl w:val="12"/>
          <w:numId w:val="0"/>
        </w:numPr>
        <w:rPr>
          <w:rFonts w:ascii="Times New Roman" w:hAnsi="Times New Roman"/>
          <w:bCs/>
          <w:sz w:val="24"/>
          <w:szCs w:val="24"/>
        </w:rPr>
      </w:pPr>
    </w:p>
    <w:p w:rsidR="00A6250C" w:rsidRPr="00193479" w:rsidRDefault="00A6250C" w:rsidP="00A6250C">
      <w:pPr>
        <w:numPr>
          <w:ilvl w:val="12"/>
          <w:numId w:val="0"/>
        </w:numPr>
        <w:rPr>
          <w:rFonts w:ascii="Times New Roman" w:hAnsi="Times New Roman"/>
          <w:bCs/>
          <w:sz w:val="24"/>
          <w:szCs w:val="24"/>
        </w:rPr>
      </w:pPr>
      <w:r w:rsidRPr="00193479">
        <w:rPr>
          <w:rFonts w:ascii="Times New Roman" w:hAnsi="Times New Roman"/>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A6250C" w:rsidRPr="00193479">
      <w:headerReference w:type="default" r:id="rId14"/>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A8E" w:rsidRDefault="00C60A8E">
      <w:r>
        <w:separator/>
      </w:r>
    </w:p>
  </w:endnote>
  <w:endnote w:type="continuationSeparator" w:id="0">
    <w:p w:rsidR="00C60A8E" w:rsidRDefault="00C6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41" w:rsidRDefault="00DE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41" w:rsidRDefault="00DE2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41" w:rsidRDefault="00DE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A8E" w:rsidRDefault="00C60A8E">
      <w:r>
        <w:separator/>
      </w:r>
    </w:p>
  </w:footnote>
  <w:footnote w:type="continuationSeparator" w:id="0">
    <w:p w:rsidR="00C60A8E" w:rsidRDefault="00C6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41" w:rsidRDefault="00DE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0C" w:rsidRDefault="00A6250C">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end"/>
    </w:r>
  </w:p>
  <w:p w:rsidR="00A6250C" w:rsidRDefault="00A6250C">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41" w:rsidRDefault="00DE2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0C" w:rsidRDefault="00A6250C">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E8231F">
      <w:rPr>
        <w:b/>
        <w:bCs/>
        <w:noProof/>
        <w:sz w:val="24"/>
        <w:szCs w:val="24"/>
      </w:rPr>
      <w:t>4</w:t>
    </w:r>
    <w:r>
      <w:rPr>
        <w:b/>
        <w:bCs/>
        <w:sz w:val="24"/>
        <w:szCs w:val="24"/>
      </w:rPr>
      <w:fldChar w:fldCharType="end"/>
    </w:r>
  </w:p>
  <w:p w:rsidR="00A6250C" w:rsidRDefault="00A6250C">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36B9"/>
    <w:multiLevelType w:val="singleLevel"/>
    <w:tmpl w:val="1E2E308A"/>
    <w:lvl w:ilvl="0">
      <w:start w:val="1"/>
      <w:numFmt w:val="decimal"/>
      <w:lvlText w:val="%1."/>
      <w:legacy w:legacy="1" w:legacySpace="0" w:legacyIndent="1"/>
      <w:lvlJc w:val="left"/>
      <w:pPr>
        <w:ind w:left="1" w:hanging="1"/>
      </w:pPr>
      <w:rPr>
        <w:rFonts w:ascii="CG Times" w:hAnsi="CG Times" w:hint="default"/>
      </w:rPr>
    </w:lvl>
  </w:abstractNum>
  <w:abstractNum w:abstractNumId="1" w15:restartNumberingAfterBreak="0">
    <w:nsid w:val="7BF5264E"/>
    <w:multiLevelType w:val="multilevel"/>
    <w:tmpl w:val="850A73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0C"/>
    <w:rsid w:val="00077569"/>
    <w:rsid w:val="000A32D7"/>
    <w:rsid w:val="000B3962"/>
    <w:rsid w:val="00114AB7"/>
    <w:rsid w:val="001740FB"/>
    <w:rsid w:val="00193479"/>
    <w:rsid w:val="001C0FE7"/>
    <w:rsid w:val="001F0C5C"/>
    <w:rsid w:val="002142C1"/>
    <w:rsid w:val="00222E25"/>
    <w:rsid w:val="00240FE0"/>
    <w:rsid w:val="002A1E02"/>
    <w:rsid w:val="002A5091"/>
    <w:rsid w:val="002D06BF"/>
    <w:rsid w:val="002E471E"/>
    <w:rsid w:val="0030458D"/>
    <w:rsid w:val="00354DE2"/>
    <w:rsid w:val="00373EF6"/>
    <w:rsid w:val="003923E8"/>
    <w:rsid w:val="003A545D"/>
    <w:rsid w:val="003B4D44"/>
    <w:rsid w:val="003C0988"/>
    <w:rsid w:val="00444433"/>
    <w:rsid w:val="00481BBD"/>
    <w:rsid w:val="004A430F"/>
    <w:rsid w:val="004E1B8B"/>
    <w:rsid w:val="00505137"/>
    <w:rsid w:val="005F7AC1"/>
    <w:rsid w:val="00631534"/>
    <w:rsid w:val="00646494"/>
    <w:rsid w:val="00672CE9"/>
    <w:rsid w:val="006F3D05"/>
    <w:rsid w:val="00706467"/>
    <w:rsid w:val="007725AA"/>
    <w:rsid w:val="008928F2"/>
    <w:rsid w:val="008B63B5"/>
    <w:rsid w:val="00962538"/>
    <w:rsid w:val="009C50D3"/>
    <w:rsid w:val="009D6182"/>
    <w:rsid w:val="009D6E14"/>
    <w:rsid w:val="009F458F"/>
    <w:rsid w:val="00A003E7"/>
    <w:rsid w:val="00A052CE"/>
    <w:rsid w:val="00A35FE1"/>
    <w:rsid w:val="00A6250C"/>
    <w:rsid w:val="00A96594"/>
    <w:rsid w:val="00AD0EFE"/>
    <w:rsid w:val="00B20997"/>
    <w:rsid w:val="00B40453"/>
    <w:rsid w:val="00B450E4"/>
    <w:rsid w:val="00BD0F56"/>
    <w:rsid w:val="00C236B9"/>
    <w:rsid w:val="00C60A8E"/>
    <w:rsid w:val="00C960AB"/>
    <w:rsid w:val="00CA30CC"/>
    <w:rsid w:val="00D14478"/>
    <w:rsid w:val="00D44F36"/>
    <w:rsid w:val="00D5674E"/>
    <w:rsid w:val="00D6576B"/>
    <w:rsid w:val="00D6750A"/>
    <w:rsid w:val="00D81E94"/>
    <w:rsid w:val="00DE2541"/>
    <w:rsid w:val="00E13DEF"/>
    <w:rsid w:val="00E419CB"/>
    <w:rsid w:val="00E45B6D"/>
    <w:rsid w:val="00E8231F"/>
    <w:rsid w:val="00E95F43"/>
    <w:rsid w:val="00EA7FD2"/>
    <w:rsid w:val="00EC47C4"/>
    <w:rsid w:val="00EF1D8A"/>
    <w:rsid w:val="00F21DB0"/>
    <w:rsid w:val="00F45C9F"/>
    <w:rsid w:val="00F61647"/>
    <w:rsid w:val="00F65A77"/>
    <w:rsid w:val="00FC02C6"/>
    <w:rsid w:val="00FE0198"/>
    <w:rsid w:val="00FE2041"/>
    <w:rsid w:val="00FF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63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character" w:styleId="CommentReference">
    <w:name w:val="annotation reference"/>
    <w:rsid w:val="008928F2"/>
    <w:rPr>
      <w:sz w:val="16"/>
      <w:szCs w:val="16"/>
    </w:rPr>
  </w:style>
  <w:style w:type="paragraph" w:styleId="CommentText">
    <w:name w:val="annotation text"/>
    <w:basedOn w:val="Normal"/>
    <w:link w:val="CommentTextChar"/>
    <w:rsid w:val="008928F2"/>
  </w:style>
  <w:style w:type="character" w:customStyle="1" w:styleId="CommentTextChar">
    <w:name w:val="Comment Text Char"/>
    <w:link w:val="CommentText"/>
    <w:rsid w:val="008928F2"/>
    <w:rPr>
      <w:rFonts w:ascii="Courier" w:hAnsi="Courier"/>
    </w:rPr>
  </w:style>
  <w:style w:type="paragraph" w:styleId="CommentSubject">
    <w:name w:val="annotation subject"/>
    <w:basedOn w:val="CommentText"/>
    <w:next w:val="CommentText"/>
    <w:link w:val="CommentSubjectChar"/>
    <w:rsid w:val="008928F2"/>
    <w:rPr>
      <w:b/>
      <w:bCs/>
    </w:rPr>
  </w:style>
  <w:style w:type="character" w:customStyle="1" w:styleId="CommentSubjectChar">
    <w:name w:val="Comment Subject Char"/>
    <w:link w:val="CommentSubject"/>
    <w:rsid w:val="008928F2"/>
    <w:rPr>
      <w:rFonts w:ascii="Courier" w:hAnsi="Courier"/>
      <w:b/>
      <w:bCs/>
    </w:rPr>
  </w:style>
  <w:style w:type="paragraph" w:styleId="BalloonText">
    <w:name w:val="Balloon Text"/>
    <w:basedOn w:val="Normal"/>
    <w:link w:val="BalloonTextChar"/>
    <w:rsid w:val="008928F2"/>
    <w:rPr>
      <w:rFonts w:ascii="Tahoma" w:hAnsi="Tahoma" w:cs="Tahoma"/>
      <w:sz w:val="16"/>
      <w:szCs w:val="16"/>
    </w:rPr>
  </w:style>
  <w:style w:type="character" w:customStyle="1" w:styleId="BalloonTextChar">
    <w:name w:val="Balloon Text Char"/>
    <w:link w:val="BalloonText"/>
    <w:rsid w:val="008928F2"/>
    <w:rPr>
      <w:rFonts w:ascii="Tahoma" w:hAnsi="Tahoma" w:cs="Tahoma"/>
      <w:sz w:val="16"/>
      <w:szCs w:val="16"/>
    </w:rPr>
  </w:style>
  <w:style w:type="character" w:styleId="Hyperlink">
    <w:name w:val="Hyperlink"/>
    <w:rsid w:val="00222E25"/>
    <w:rPr>
      <w:color w:val="0000FF"/>
      <w:u w:val="single"/>
    </w:rPr>
  </w:style>
  <w:style w:type="paragraph" w:styleId="Header">
    <w:name w:val="header"/>
    <w:basedOn w:val="Normal"/>
    <w:link w:val="HeaderChar"/>
    <w:rsid w:val="00DE2541"/>
    <w:pPr>
      <w:tabs>
        <w:tab w:val="center" w:pos="4680"/>
        <w:tab w:val="right" w:pos="9360"/>
      </w:tabs>
    </w:pPr>
  </w:style>
  <w:style w:type="character" w:customStyle="1" w:styleId="HeaderChar">
    <w:name w:val="Header Char"/>
    <w:link w:val="Header"/>
    <w:rsid w:val="00DE2541"/>
    <w:rPr>
      <w:rFonts w:ascii="Courier" w:hAnsi="Courier"/>
    </w:rPr>
  </w:style>
  <w:style w:type="paragraph" w:styleId="Footer">
    <w:name w:val="footer"/>
    <w:basedOn w:val="Normal"/>
    <w:link w:val="FooterChar"/>
    <w:rsid w:val="00DE2541"/>
    <w:pPr>
      <w:tabs>
        <w:tab w:val="center" w:pos="4680"/>
        <w:tab w:val="right" w:pos="9360"/>
      </w:tabs>
    </w:pPr>
  </w:style>
  <w:style w:type="character" w:customStyle="1" w:styleId="FooterChar">
    <w:name w:val="Footer Char"/>
    <w:link w:val="Footer"/>
    <w:rsid w:val="00DE254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6427">
      <w:bodyDiv w:val="1"/>
      <w:marLeft w:val="0"/>
      <w:marRight w:val="0"/>
      <w:marTop w:val="0"/>
      <w:marBottom w:val="0"/>
      <w:divBdr>
        <w:top w:val="none" w:sz="0" w:space="0" w:color="auto"/>
        <w:left w:val="none" w:sz="0" w:space="0" w:color="auto"/>
        <w:bottom w:val="none" w:sz="0" w:space="0" w:color="auto"/>
        <w:right w:val="none" w:sz="0" w:space="0" w:color="auto"/>
      </w:divBdr>
    </w:div>
    <w:div w:id="88083930">
      <w:bodyDiv w:val="1"/>
      <w:marLeft w:val="75"/>
      <w:marRight w:val="75"/>
      <w:marTop w:val="0"/>
      <w:marBottom w:val="75"/>
      <w:divBdr>
        <w:top w:val="none" w:sz="0" w:space="0" w:color="auto"/>
        <w:left w:val="none" w:sz="0" w:space="0" w:color="auto"/>
        <w:bottom w:val="none" w:sz="0" w:space="0" w:color="auto"/>
        <w:right w:val="none" w:sz="0" w:space="0" w:color="auto"/>
      </w:divBdr>
      <w:divsChild>
        <w:div w:id="1860849625">
          <w:marLeft w:val="240"/>
          <w:marRight w:val="240"/>
          <w:marTop w:val="0"/>
          <w:marBottom w:val="0"/>
          <w:divBdr>
            <w:top w:val="none" w:sz="0" w:space="0" w:color="auto"/>
            <w:left w:val="none" w:sz="0" w:space="0" w:color="auto"/>
            <w:bottom w:val="none" w:sz="0" w:space="0" w:color="auto"/>
            <w:right w:val="none" w:sz="0" w:space="0" w:color="auto"/>
          </w:divBdr>
          <w:divsChild>
            <w:div w:id="5680050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42643072">
      <w:bodyDiv w:val="1"/>
      <w:marLeft w:val="0"/>
      <w:marRight w:val="0"/>
      <w:marTop w:val="0"/>
      <w:marBottom w:val="0"/>
      <w:divBdr>
        <w:top w:val="none" w:sz="0" w:space="0" w:color="auto"/>
        <w:left w:val="none" w:sz="0" w:space="0" w:color="auto"/>
        <w:bottom w:val="none" w:sz="0" w:space="0" w:color="auto"/>
        <w:right w:val="none" w:sz="0" w:space="0" w:color="auto"/>
      </w:divBdr>
    </w:div>
    <w:div w:id="935140949">
      <w:bodyDiv w:val="1"/>
      <w:marLeft w:val="0"/>
      <w:marRight w:val="0"/>
      <w:marTop w:val="0"/>
      <w:marBottom w:val="0"/>
      <w:divBdr>
        <w:top w:val="none" w:sz="0" w:space="0" w:color="auto"/>
        <w:left w:val="none" w:sz="0" w:space="0" w:color="auto"/>
        <w:bottom w:val="none" w:sz="0" w:space="0" w:color="auto"/>
        <w:right w:val="none" w:sz="0" w:space="0" w:color="auto"/>
      </w:divBdr>
    </w:div>
    <w:div w:id="942498886">
      <w:bodyDiv w:val="1"/>
      <w:marLeft w:val="0"/>
      <w:marRight w:val="0"/>
      <w:marTop w:val="0"/>
      <w:marBottom w:val="0"/>
      <w:divBdr>
        <w:top w:val="none" w:sz="0" w:space="0" w:color="auto"/>
        <w:left w:val="none" w:sz="0" w:space="0" w:color="auto"/>
        <w:bottom w:val="none" w:sz="0" w:space="0" w:color="auto"/>
        <w:right w:val="none" w:sz="0" w:space="0" w:color="auto"/>
      </w:divBdr>
    </w:div>
    <w:div w:id="1360934922">
      <w:bodyDiv w:val="1"/>
      <w:marLeft w:val="0"/>
      <w:marRight w:val="0"/>
      <w:marTop w:val="0"/>
      <w:marBottom w:val="0"/>
      <w:divBdr>
        <w:top w:val="none" w:sz="0" w:space="0" w:color="auto"/>
        <w:left w:val="none" w:sz="0" w:space="0" w:color="auto"/>
        <w:bottom w:val="none" w:sz="0" w:space="0" w:color="auto"/>
        <w:right w:val="none" w:sz="0" w:space="0" w:color="auto"/>
      </w:divBdr>
    </w:div>
    <w:div w:id="1373581529">
      <w:bodyDiv w:val="1"/>
      <w:marLeft w:val="0"/>
      <w:marRight w:val="0"/>
      <w:marTop w:val="0"/>
      <w:marBottom w:val="0"/>
      <w:divBdr>
        <w:top w:val="none" w:sz="0" w:space="0" w:color="auto"/>
        <w:left w:val="none" w:sz="0" w:space="0" w:color="auto"/>
        <w:bottom w:val="none" w:sz="0" w:space="0" w:color="auto"/>
        <w:right w:val="none" w:sz="0" w:space="0" w:color="auto"/>
      </w:divBdr>
    </w:div>
    <w:div w:id="2124182949">
      <w:bodyDiv w:val="1"/>
      <w:marLeft w:val="75"/>
      <w:marRight w:val="75"/>
      <w:marTop w:val="0"/>
      <w:marBottom w:val="75"/>
      <w:divBdr>
        <w:top w:val="none" w:sz="0" w:space="0" w:color="auto"/>
        <w:left w:val="none" w:sz="0" w:space="0" w:color="auto"/>
        <w:bottom w:val="none" w:sz="0" w:space="0" w:color="auto"/>
        <w:right w:val="none" w:sz="0" w:space="0" w:color="auto"/>
      </w:divBdr>
      <w:divsChild>
        <w:div w:id="320237770">
          <w:marLeft w:val="240"/>
          <w:marRight w:val="240"/>
          <w:marTop w:val="0"/>
          <w:marBottom w:val="0"/>
          <w:divBdr>
            <w:top w:val="none" w:sz="0" w:space="0" w:color="auto"/>
            <w:left w:val="none" w:sz="0" w:space="0" w:color="auto"/>
            <w:bottom w:val="none" w:sz="0" w:space="0" w:color="auto"/>
            <w:right w:val="none" w:sz="0" w:space="0" w:color="auto"/>
          </w:divBdr>
          <w:divsChild>
            <w:div w:id="640311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rs.gov/uac/Privacy-Impact-Assessments-PI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2017-04-17T20:28:00Z</dcterms:created>
  <dcterms:modified xsi:type="dcterms:W3CDTF">2017-04-17T20:28:00Z</dcterms:modified>
</cp:coreProperties>
</file>