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r>
        <w:rPr>
          <w:b/>
        </w:rPr>
        <w:t>Justification for Nonmaterial/Non</w:t>
      </w:r>
      <w:r w:rsidR="00426566">
        <w:rPr>
          <w:b/>
        </w:rPr>
        <w:t>-</w:t>
      </w:r>
      <w:r>
        <w:rPr>
          <w:b/>
        </w:rPr>
        <w:t>substantive Change</w:t>
      </w:r>
    </w:p>
    <w:p w:rsidR="007629F0" w:rsidRDefault="007629F0" w:rsidP="007629F0"/>
    <w:p w:rsidR="00426566" w:rsidRDefault="007629F0" w:rsidP="00EE5D3A">
      <w:pPr>
        <w:ind w:firstLine="720"/>
      </w:pPr>
      <w:r>
        <w:t xml:space="preserve">The Department is </w:t>
      </w:r>
      <w:r w:rsidR="00922F2D">
        <w:t xml:space="preserve">hereby </w:t>
      </w:r>
      <w:r>
        <w:t xml:space="preserve">submitting </w:t>
      </w:r>
      <w:r w:rsidR="00EE5D3A">
        <w:t>a nonmaterial/non-sub</w:t>
      </w:r>
      <w:r w:rsidR="00426566">
        <w:t>s</w:t>
      </w:r>
      <w:r w:rsidR="00922F2D">
        <w:t xml:space="preserve">tantive </w:t>
      </w:r>
      <w:r w:rsidR="00EE5D3A">
        <w:t xml:space="preserve">change request </w:t>
      </w:r>
      <w:r w:rsidR="00922F2D">
        <w:t xml:space="preserve">to the Office of Management and Budget (OMB) regarding </w:t>
      </w:r>
      <w:r w:rsidR="00EE5D3A">
        <w:t xml:space="preserve">a modification </w:t>
      </w:r>
      <w:r w:rsidR="00922F2D">
        <w:t xml:space="preserve">made by the Department’s Final Conflict of Interest Rule </w:t>
      </w:r>
      <w:r w:rsidR="00EE5D3A">
        <w:t xml:space="preserve">to the information collection request (ICR) </w:t>
      </w:r>
      <w:r w:rsidR="00922F2D">
        <w:t xml:space="preserve">contained in </w:t>
      </w:r>
      <w:r w:rsidR="00EE5D3A">
        <w:t xml:space="preserve">the Department’s </w:t>
      </w:r>
      <w:r w:rsidR="00922F2D">
        <w:t xml:space="preserve">Principal Transaction </w:t>
      </w:r>
      <w:r w:rsidR="00EE5D3A">
        <w:t>Exemption. The exemption was approved by OMB under control number 1210-015</w:t>
      </w:r>
      <w:r w:rsidR="0060595A">
        <w:t>7</w:t>
      </w:r>
      <w:r w:rsidR="00EE5D3A">
        <w:t xml:space="preserve"> and is scheduled to expire on June 30, 2019. </w:t>
      </w:r>
    </w:p>
    <w:p w:rsidR="00426566" w:rsidRDefault="00426566" w:rsidP="00EE5D3A">
      <w:pPr>
        <w:ind w:firstLine="720"/>
      </w:pPr>
    </w:p>
    <w:p w:rsidR="00426566" w:rsidRDefault="00426566" w:rsidP="00922F2D">
      <w:pPr>
        <w:ind w:firstLine="720"/>
      </w:pPr>
      <w:r>
        <w:t xml:space="preserve">Section </w:t>
      </w:r>
      <w:r w:rsidR="00922F2D">
        <w:t xml:space="preserve">VII </w:t>
      </w:r>
      <w:r>
        <w:t xml:space="preserve">of the final exemption requires financial institutions using the exemption to furnish </w:t>
      </w:r>
      <w:r w:rsidRPr="00426566">
        <w:t>a written statement of fiduciary status</w:t>
      </w:r>
      <w:r>
        <w:t xml:space="preserve">, specified disclosures, and a written commitment to adhere to impartial conduct standards </w:t>
      </w:r>
      <w:r w:rsidRPr="00426566">
        <w:t>to all retirement investors (in ERISA plans, I</w:t>
      </w:r>
      <w:r>
        <w:t>ndividual Retirement Accounts</w:t>
      </w:r>
      <w:r w:rsidRPr="00426566">
        <w:t>, and non-ERISA plans) prior to or at the same time as the execution of recommended transactions (the “Transition Disclosure”).</w:t>
      </w:r>
    </w:p>
    <w:p w:rsidR="00426566" w:rsidRDefault="00426566" w:rsidP="00426566"/>
    <w:p w:rsidR="00F35DE4" w:rsidRDefault="00EE5D3A" w:rsidP="00F35DE4">
      <w:pPr>
        <w:ind w:firstLine="720"/>
      </w:pPr>
      <w:r>
        <w:t xml:space="preserve">Pursuant to the final rule, </w:t>
      </w:r>
      <w:r w:rsidR="00426566">
        <w:t xml:space="preserve">financial institutions </w:t>
      </w:r>
      <w:r w:rsidR="00922F2D">
        <w:t xml:space="preserve">using the Principal Transaction Exemption </w:t>
      </w:r>
      <w:r w:rsidR="00426566">
        <w:t xml:space="preserve">will </w:t>
      </w:r>
      <w:r w:rsidR="00922F2D">
        <w:t xml:space="preserve">not </w:t>
      </w:r>
      <w:r w:rsidR="00426566">
        <w:t xml:space="preserve">be required to send the </w:t>
      </w:r>
      <w:r>
        <w:t>Transition</w:t>
      </w:r>
      <w:r w:rsidR="00426566">
        <w:t xml:space="preserve"> </w:t>
      </w:r>
      <w:r>
        <w:t>Disclosure</w:t>
      </w:r>
      <w:r w:rsidR="00426566">
        <w:t xml:space="preserve">. </w:t>
      </w:r>
      <w:r w:rsidR="00F35DE4">
        <w:t xml:space="preserve">The modification to the ICR is deregulatory, because it eliminates the requirement to send an estimated 2.5 million Transition Disclosures resulting in an hour burden reduction of </w:t>
      </w:r>
      <w:r w:rsidR="00842E2F">
        <w:t xml:space="preserve">approximately </w:t>
      </w:r>
      <w:r w:rsidR="00F35DE4">
        <w:t>40,000 hours (at an equivalent cost of $2.2 million) and cost savings of approximately $760,000 during the first year of the ICR approval period</w:t>
      </w:r>
      <w:r w:rsidR="00676687">
        <w:t xml:space="preserve"> only</w:t>
      </w:r>
      <w:r w:rsidR="0069043D">
        <w:t>.  This savings</w:t>
      </w:r>
      <w:r w:rsidR="00C54D2D">
        <w:t xml:space="preserve"> produces an annualized reduction over the three year period </w:t>
      </w:r>
      <w:r w:rsidR="00B8371C">
        <w:t xml:space="preserve">shown in ROCIS </w:t>
      </w:r>
      <w:r w:rsidR="00C54D2D">
        <w:t>of 13,000 hours</w:t>
      </w:r>
      <w:r w:rsidR="00842E2F">
        <w:t xml:space="preserve"> </w:t>
      </w:r>
      <w:r w:rsidR="0069043D">
        <w:t>(</w:t>
      </w:r>
      <w:r w:rsidR="00B8371C">
        <w:t xml:space="preserve">due to </w:t>
      </w:r>
      <w:r w:rsidR="0069043D">
        <w:t>round</w:t>
      </w:r>
      <w:r w:rsidR="00B8371C">
        <w:t>ing</w:t>
      </w:r>
      <w:r w:rsidR="0069043D">
        <w:t xml:space="preserve">) </w:t>
      </w:r>
      <w:r w:rsidR="00842E2F">
        <w:t>and $300,000</w:t>
      </w:r>
      <w:r w:rsidR="0069043D">
        <w:t xml:space="preserve"> (</w:t>
      </w:r>
      <w:r w:rsidR="00B8371C">
        <w:t>due to rounding</w:t>
      </w:r>
      <w:r w:rsidR="0069043D">
        <w:t>)</w:t>
      </w:r>
      <w:r w:rsidR="00F35DE4">
        <w:t>.</w:t>
      </w:r>
    </w:p>
    <w:p w:rsidR="00F35DE4" w:rsidRDefault="00F35DE4" w:rsidP="00F35DE4">
      <w:pPr>
        <w:ind w:firstLine="720"/>
      </w:pPr>
    </w:p>
    <w:p w:rsidR="00880154" w:rsidRDefault="00F35DE4" w:rsidP="00796641">
      <w:pPr>
        <w:ind w:firstLine="720"/>
      </w:pPr>
      <w:r>
        <w:t xml:space="preserve">For purposes of </w:t>
      </w:r>
      <w:r w:rsidR="00F5602D">
        <w:t>ROCIS</w:t>
      </w:r>
      <w:bookmarkStart w:id="0" w:name="_GoBack"/>
      <w:bookmarkEnd w:id="0"/>
      <w:r>
        <w:t xml:space="preserve"> database entries, the burden has been reduced over the three-year approval period to </w:t>
      </w:r>
      <w:r w:rsidR="00796641">
        <w:t>53,000</w:t>
      </w:r>
      <w:r>
        <w:t xml:space="preserve"> hours (rounded) and $</w:t>
      </w:r>
      <w:r w:rsidR="00796641">
        <w:t>939.4 million</w:t>
      </w:r>
      <w:r>
        <w:t xml:space="preserve"> (rounded) annually.</w:t>
      </w:r>
    </w:p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AAD" w:rsidRDefault="00560AAD">
      <w:r>
        <w:separator/>
      </w:r>
    </w:p>
  </w:endnote>
  <w:endnote w:type="continuationSeparator" w:id="0">
    <w:p w:rsidR="00560AAD" w:rsidRDefault="0056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AAD" w:rsidRDefault="00560AAD">
      <w:r>
        <w:separator/>
      </w:r>
    </w:p>
  </w:footnote>
  <w:footnote w:type="continuationSeparator" w:id="0">
    <w:p w:rsidR="00560AAD" w:rsidRDefault="00560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36" w:rsidRDefault="00922F2D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 xml:space="preserve">Principal Transaction </w:t>
    </w:r>
    <w:r w:rsidR="00EE5D3A">
      <w:rPr>
        <w:rFonts w:ascii="CG Times" w:hAnsi="CG Times"/>
        <w:b/>
        <w:bCs/>
        <w:sz w:val="20"/>
        <w:szCs w:val="20"/>
      </w:rPr>
      <w:t>Exemption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</w:t>
    </w:r>
    <w:r w:rsidR="00EE5D3A">
      <w:rPr>
        <w:rFonts w:ascii="CG Times" w:hAnsi="CG Times"/>
        <w:b/>
        <w:bCs/>
        <w:sz w:val="20"/>
        <w:szCs w:val="20"/>
      </w:rPr>
      <w:t>5</w:t>
    </w:r>
    <w:r w:rsidR="00922F2D">
      <w:rPr>
        <w:rFonts w:ascii="CG Times" w:hAnsi="CG Times"/>
        <w:b/>
        <w:bCs/>
        <w:sz w:val="20"/>
        <w:szCs w:val="20"/>
      </w:rPr>
      <w:t>7</w:t>
    </w:r>
  </w:p>
  <w:p w:rsidR="00175136" w:rsidRDefault="002C66F4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April</w:t>
    </w:r>
    <w:r w:rsidR="008C0D06">
      <w:rPr>
        <w:rFonts w:ascii="CG Times" w:hAnsi="CG Times"/>
        <w:b/>
        <w:bCs/>
        <w:sz w:val="20"/>
        <w:szCs w:val="20"/>
      </w:rPr>
      <w:t xml:space="preserve"> 2017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236C4"/>
    <w:rsid w:val="000349E5"/>
    <w:rsid w:val="00086844"/>
    <w:rsid w:val="00086B62"/>
    <w:rsid w:val="000945C5"/>
    <w:rsid w:val="000B255A"/>
    <w:rsid w:val="000C5B3F"/>
    <w:rsid w:val="000F0CDA"/>
    <w:rsid w:val="000F7FB6"/>
    <w:rsid w:val="001003A8"/>
    <w:rsid w:val="00131D06"/>
    <w:rsid w:val="00132090"/>
    <w:rsid w:val="00133169"/>
    <w:rsid w:val="001331AF"/>
    <w:rsid w:val="00175136"/>
    <w:rsid w:val="001B375B"/>
    <w:rsid w:val="001C1DE9"/>
    <w:rsid w:val="001D55C2"/>
    <w:rsid w:val="001E5F86"/>
    <w:rsid w:val="00231119"/>
    <w:rsid w:val="00247C72"/>
    <w:rsid w:val="002C20E9"/>
    <w:rsid w:val="002C5444"/>
    <w:rsid w:val="002C66F4"/>
    <w:rsid w:val="002E1097"/>
    <w:rsid w:val="002E76DF"/>
    <w:rsid w:val="00322A2F"/>
    <w:rsid w:val="003345E6"/>
    <w:rsid w:val="00337596"/>
    <w:rsid w:val="00346B69"/>
    <w:rsid w:val="0035170D"/>
    <w:rsid w:val="00356F8B"/>
    <w:rsid w:val="003919BD"/>
    <w:rsid w:val="003B0B1B"/>
    <w:rsid w:val="003E2AC0"/>
    <w:rsid w:val="004026D6"/>
    <w:rsid w:val="00412335"/>
    <w:rsid w:val="004160AF"/>
    <w:rsid w:val="0042547D"/>
    <w:rsid w:val="00426566"/>
    <w:rsid w:val="004527DA"/>
    <w:rsid w:val="00455844"/>
    <w:rsid w:val="0047548D"/>
    <w:rsid w:val="004A377D"/>
    <w:rsid w:val="004B00A7"/>
    <w:rsid w:val="004D2DD1"/>
    <w:rsid w:val="004D7783"/>
    <w:rsid w:val="00522727"/>
    <w:rsid w:val="00552243"/>
    <w:rsid w:val="00560AAD"/>
    <w:rsid w:val="005745BE"/>
    <w:rsid w:val="00593983"/>
    <w:rsid w:val="00595C2B"/>
    <w:rsid w:val="005E1EF3"/>
    <w:rsid w:val="0060595A"/>
    <w:rsid w:val="00676687"/>
    <w:rsid w:val="00682FC4"/>
    <w:rsid w:val="0068710A"/>
    <w:rsid w:val="0069043D"/>
    <w:rsid w:val="00696E8A"/>
    <w:rsid w:val="006B2B5E"/>
    <w:rsid w:val="006E648E"/>
    <w:rsid w:val="00702A44"/>
    <w:rsid w:val="0071614B"/>
    <w:rsid w:val="0072416C"/>
    <w:rsid w:val="00752EC7"/>
    <w:rsid w:val="00762089"/>
    <w:rsid w:val="007629F0"/>
    <w:rsid w:val="007936AA"/>
    <w:rsid w:val="00796641"/>
    <w:rsid w:val="00797564"/>
    <w:rsid w:val="007A6B35"/>
    <w:rsid w:val="007C4804"/>
    <w:rsid w:val="00801A3B"/>
    <w:rsid w:val="00820F09"/>
    <w:rsid w:val="00827E45"/>
    <w:rsid w:val="0084235E"/>
    <w:rsid w:val="00842E2F"/>
    <w:rsid w:val="00880154"/>
    <w:rsid w:val="00895C0C"/>
    <w:rsid w:val="008A6485"/>
    <w:rsid w:val="008B09A7"/>
    <w:rsid w:val="008C0D06"/>
    <w:rsid w:val="008C17DB"/>
    <w:rsid w:val="008D238F"/>
    <w:rsid w:val="008D5890"/>
    <w:rsid w:val="008D7E1F"/>
    <w:rsid w:val="008F05EB"/>
    <w:rsid w:val="0091122F"/>
    <w:rsid w:val="00922F2D"/>
    <w:rsid w:val="0094731C"/>
    <w:rsid w:val="00960C86"/>
    <w:rsid w:val="0096366F"/>
    <w:rsid w:val="0096794D"/>
    <w:rsid w:val="00977156"/>
    <w:rsid w:val="0098738E"/>
    <w:rsid w:val="0098760B"/>
    <w:rsid w:val="00987AEE"/>
    <w:rsid w:val="00987B77"/>
    <w:rsid w:val="00A007E2"/>
    <w:rsid w:val="00A1448C"/>
    <w:rsid w:val="00A30886"/>
    <w:rsid w:val="00A42C4A"/>
    <w:rsid w:val="00A476BE"/>
    <w:rsid w:val="00A81DC0"/>
    <w:rsid w:val="00AB6A9F"/>
    <w:rsid w:val="00AF7730"/>
    <w:rsid w:val="00B05043"/>
    <w:rsid w:val="00B309C1"/>
    <w:rsid w:val="00B8371C"/>
    <w:rsid w:val="00B921F9"/>
    <w:rsid w:val="00C54D2D"/>
    <w:rsid w:val="00C6123B"/>
    <w:rsid w:val="00C7066F"/>
    <w:rsid w:val="00C733EA"/>
    <w:rsid w:val="00C8781C"/>
    <w:rsid w:val="00CC7434"/>
    <w:rsid w:val="00CD163A"/>
    <w:rsid w:val="00CE1C1B"/>
    <w:rsid w:val="00CE71A6"/>
    <w:rsid w:val="00CF3611"/>
    <w:rsid w:val="00CF4D95"/>
    <w:rsid w:val="00D0260C"/>
    <w:rsid w:val="00D22DD3"/>
    <w:rsid w:val="00D347D3"/>
    <w:rsid w:val="00D605CC"/>
    <w:rsid w:val="00D80CBF"/>
    <w:rsid w:val="00D91EFE"/>
    <w:rsid w:val="00DB0225"/>
    <w:rsid w:val="00DC15BA"/>
    <w:rsid w:val="00DC5500"/>
    <w:rsid w:val="00DC5A3A"/>
    <w:rsid w:val="00DF5059"/>
    <w:rsid w:val="00E003CC"/>
    <w:rsid w:val="00E10E12"/>
    <w:rsid w:val="00E20E73"/>
    <w:rsid w:val="00E62E29"/>
    <w:rsid w:val="00E70034"/>
    <w:rsid w:val="00E72FAD"/>
    <w:rsid w:val="00E91989"/>
    <w:rsid w:val="00E9200C"/>
    <w:rsid w:val="00E946A1"/>
    <w:rsid w:val="00E96DB2"/>
    <w:rsid w:val="00EA51EE"/>
    <w:rsid w:val="00EB4211"/>
    <w:rsid w:val="00EC36A2"/>
    <w:rsid w:val="00ED5CED"/>
    <w:rsid w:val="00EE5D3A"/>
    <w:rsid w:val="00F02DD5"/>
    <w:rsid w:val="00F04BB1"/>
    <w:rsid w:val="00F173E7"/>
    <w:rsid w:val="00F35DE4"/>
    <w:rsid w:val="00F5602D"/>
    <w:rsid w:val="00F67C5B"/>
    <w:rsid w:val="00F73C86"/>
    <w:rsid w:val="00F8411D"/>
    <w:rsid w:val="00FB0EC8"/>
    <w:rsid w:val="00FE3551"/>
    <w:rsid w:val="00FF4A0B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Beckmann, Allan - EBSA</cp:lastModifiedBy>
  <cp:revision>6</cp:revision>
  <cp:lastPrinted>2009-08-18T14:00:00Z</cp:lastPrinted>
  <dcterms:created xsi:type="dcterms:W3CDTF">2017-03-31T18:01:00Z</dcterms:created>
  <dcterms:modified xsi:type="dcterms:W3CDTF">2017-03-31T23:32:00Z</dcterms:modified>
</cp:coreProperties>
</file>