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0F" w:rsidRPr="00235B48" w:rsidRDefault="00F3670F" w:rsidP="00235B48">
      <w:pPr>
        <w:pStyle w:val="Header"/>
        <w:widowControl/>
        <w:tabs>
          <w:tab w:val="clear" w:pos="4320"/>
          <w:tab w:val="clear" w:pos="8640"/>
        </w:tabs>
        <w:rPr>
          <w:rFonts w:ascii="Times New Roman" w:hAnsi="Times New Roman"/>
        </w:rPr>
      </w:pPr>
      <w:bookmarkStart w:id="0" w:name="_GoBack"/>
      <w:bookmarkEnd w:id="0"/>
    </w:p>
    <w:p w:rsidR="00F3670F" w:rsidRPr="00235B48" w:rsidRDefault="00F3670F" w:rsidP="00235B48">
      <w:pPr>
        <w:widowControl/>
        <w:outlineLvl w:val="0"/>
        <w:rPr>
          <w:rFonts w:ascii="Times New Roman" w:hAnsi="Times New Roman"/>
        </w:rPr>
      </w:pPr>
      <w:r w:rsidRPr="00235B48">
        <w:rPr>
          <w:rFonts w:ascii="Times New Roman" w:hAnsi="Times New Roman"/>
        </w:rPr>
        <w:t xml:space="preserve">SUPPORTING STATEMENT FOR PAPERWORK REDUCTION ACT </w:t>
      </w:r>
      <w:r w:rsidR="00C71AAD">
        <w:rPr>
          <w:rFonts w:ascii="Times New Roman" w:hAnsi="Times New Roman"/>
        </w:rPr>
        <w:t xml:space="preserve">OF </w:t>
      </w:r>
      <w:r w:rsidRPr="00235B48">
        <w:rPr>
          <w:rFonts w:ascii="Times New Roman" w:hAnsi="Times New Roman"/>
        </w:rPr>
        <w:t>1995 SUBMISSIONS</w:t>
      </w:r>
    </w:p>
    <w:p w:rsidR="00747797" w:rsidRPr="00235B48" w:rsidRDefault="00747797" w:rsidP="00AA5E8B">
      <w:pPr>
        <w:widowControl/>
        <w:ind w:left="720" w:hanging="720"/>
        <w:rPr>
          <w:rFonts w:ascii="Times New Roman" w:hAnsi="Times New Roman"/>
        </w:rPr>
      </w:pPr>
    </w:p>
    <w:p w:rsidR="00F3670F" w:rsidRPr="00AA5E8B" w:rsidRDefault="00F3670F" w:rsidP="00AA5E8B">
      <w:pPr>
        <w:pStyle w:val="ListParagraph"/>
        <w:widowControl/>
        <w:numPr>
          <w:ilvl w:val="0"/>
          <w:numId w:val="10"/>
        </w:numPr>
        <w:ind w:hanging="720"/>
        <w:outlineLvl w:val="0"/>
        <w:rPr>
          <w:rFonts w:ascii="Times New Roman" w:hAnsi="Times New Roman"/>
        </w:rPr>
      </w:pPr>
      <w:r w:rsidRPr="00AA5E8B">
        <w:rPr>
          <w:rFonts w:ascii="Times New Roman" w:hAnsi="Times New Roman"/>
          <w:b/>
          <w:bCs/>
        </w:rPr>
        <w:t>Justification</w:t>
      </w:r>
    </w:p>
    <w:p w:rsidR="00F3670F" w:rsidRPr="00235B48" w:rsidRDefault="00F3670F" w:rsidP="00AA5E8B">
      <w:pPr>
        <w:widowControl/>
        <w:ind w:left="720" w:hanging="720"/>
        <w:rPr>
          <w:rFonts w:ascii="Times New Roman" w:hAnsi="Times New Roman"/>
        </w:rPr>
      </w:pPr>
    </w:p>
    <w:p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670F" w:rsidRPr="00235B48" w:rsidRDefault="00F3670F" w:rsidP="00491F77">
      <w:pPr>
        <w:widowControl/>
        <w:ind w:left="720"/>
        <w:rPr>
          <w:rFonts w:ascii="Times New Roman" w:hAnsi="Times New Roman"/>
        </w:rPr>
      </w:pPr>
    </w:p>
    <w:p w:rsidR="009B0FF6" w:rsidRDefault="009B0FF6" w:rsidP="009B0FF6">
      <w:pPr>
        <w:ind w:left="720"/>
        <w:rPr>
          <w:rFonts w:ascii="Times New Roman" w:hAnsi="Times New Roman"/>
          <w:color w:val="000000"/>
        </w:rPr>
      </w:pPr>
      <w:r>
        <w:rPr>
          <w:rFonts w:ascii="Times New Roman" w:hAnsi="Times New Roman"/>
          <w:color w:val="000000"/>
        </w:rPr>
        <w:t>Section 406(a)(1)(A) through (D) of the Employee Retirement Income Security Act of 1974 (“ERISA</w:t>
      </w:r>
      <w:r w:rsidR="00943C58">
        <w:rPr>
          <w:rFonts w:ascii="Times New Roman" w:hAnsi="Times New Roman"/>
          <w:color w:val="000000"/>
        </w:rPr>
        <w:t>”</w:t>
      </w:r>
      <w:r>
        <w:rPr>
          <w:rFonts w:ascii="Times New Roman" w:hAnsi="Times New Roman"/>
          <w:color w:val="000000"/>
        </w:rPr>
        <w:t>) and Internal Revenue Code (“Code”) section 4975(c)(1)(A) through (D) prohibit certain transactions between plans or IRAs and “parties in interest,” as defined in ERISA section 3(14), or “disqualified persons,” as defined in Code section 4975(e)(2).  Fiduciaries and other service providers are parties in interest and disqualified persons under ERISA and the Code.  As a result, they are prohibited from engaging in (1) the sale, exchange, or leasing of property with a plan or IRA, (2) the lending of money or other extension of credit to a plan or IRA, (3) the furnishing of goods, services, or facilities to a plan or IRA and (4) the transfer to or use by or for the benefit of a party in interest of plan assets.</w:t>
      </w:r>
    </w:p>
    <w:p w:rsidR="009B0FF6" w:rsidRDefault="009B0FF6" w:rsidP="009B0FF6">
      <w:pPr>
        <w:ind w:left="720"/>
        <w:rPr>
          <w:rFonts w:ascii="Times New Roman" w:hAnsi="Times New Roman"/>
          <w:color w:val="000000"/>
        </w:rPr>
      </w:pPr>
    </w:p>
    <w:p w:rsidR="009B0FF6" w:rsidRPr="00BF0CE7" w:rsidRDefault="009B0FF6" w:rsidP="009B0FF6">
      <w:pPr>
        <w:ind w:left="720"/>
        <w:rPr>
          <w:rFonts w:ascii="Times New Roman" w:hAnsi="Times New Roman"/>
        </w:rPr>
      </w:pPr>
      <w:r w:rsidRPr="0078280B">
        <w:rPr>
          <w:rFonts w:ascii="Times New Roman" w:hAnsi="Times New Roman"/>
        </w:rPr>
        <w:t xml:space="preserve">In the absence of an exemption, ERISA and the Code generally prohibit fiduciaries from using their authority to affect or increase their own compensation.  </w:t>
      </w:r>
      <w:r w:rsidRPr="0078280B">
        <w:rPr>
          <w:rFonts w:ascii="Times New Roman" w:hAnsi="Times New Roman"/>
          <w:color w:val="000000"/>
        </w:rPr>
        <w:t>ERISA section 406(b) and Code section 4975(c</w:t>
      </w:r>
      <w:proofErr w:type="gramStart"/>
      <w:r w:rsidRPr="0078280B">
        <w:rPr>
          <w:rFonts w:ascii="Times New Roman" w:hAnsi="Times New Roman"/>
          <w:color w:val="000000"/>
        </w:rPr>
        <w:t>)(</w:t>
      </w:r>
      <w:proofErr w:type="gramEnd"/>
      <w:r w:rsidRPr="0078280B">
        <w:rPr>
          <w:rFonts w:ascii="Times New Roman" w:hAnsi="Times New Roman"/>
          <w:color w:val="000000"/>
        </w:rPr>
        <w:t>1)(E)</w:t>
      </w:r>
      <w:r>
        <w:rPr>
          <w:rFonts w:ascii="Times New Roman" w:hAnsi="Times New Roman"/>
          <w:color w:val="000000"/>
        </w:rPr>
        <w:t xml:space="preserve">-(F) are aimed at fiduciaries only.  </w:t>
      </w:r>
      <w:r w:rsidRPr="00651AF8">
        <w:rPr>
          <w:rFonts w:ascii="Times New Roman" w:hAnsi="Times New Roman"/>
        </w:rPr>
        <w:t>ERISA section 406(b</w:t>
      </w:r>
      <w:proofErr w:type="gramStart"/>
      <w:r w:rsidRPr="00651AF8">
        <w:rPr>
          <w:rFonts w:ascii="Times New Roman" w:hAnsi="Times New Roman"/>
        </w:rPr>
        <w:t>)(</w:t>
      </w:r>
      <w:proofErr w:type="gramEnd"/>
      <w:r w:rsidRPr="00651AF8">
        <w:rPr>
          <w:rFonts w:ascii="Times New Roman" w:hAnsi="Times New Roman"/>
        </w:rPr>
        <w:t>1) and Code section 4975(c)(1)(E) prohibit a fiduciary from dealing with the income or assets of a plan or IRA in his own interest or his own account.  ERISA section 406(b)(2), which does not apply to IRAs, provides that a fiduciary shall not “in his individual or in any other capacity act in any transaction involving the plan on behalf of a party (or represent a party) whose interests are adverse to the interests of the plan or the interests of its participants or beneficiaries.”  ERISA section 406(b)(3) and Code section 4975(c)(1)(F) prohibit a fiduciary from receiving any consideration for his own personal account from any party dealing with the plan in connection with a transaction involving assets of the plan or IRA</w:t>
      </w:r>
      <w:r w:rsidRPr="00BF0CE7">
        <w:rPr>
          <w:rFonts w:ascii="Times New Roman" w:hAnsi="Times New Roman"/>
        </w:rPr>
        <w:t>.</w:t>
      </w:r>
    </w:p>
    <w:p w:rsidR="009B0FF6" w:rsidRPr="00BF0CE7" w:rsidRDefault="009B0FF6" w:rsidP="009B0FF6">
      <w:pPr>
        <w:ind w:left="720"/>
        <w:rPr>
          <w:rFonts w:ascii="Times New Roman" w:hAnsi="Times New Roman"/>
        </w:rPr>
      </w:pPr>
    </w:p>
    <w:p w:rsidR="009B0FF6" w:rsidRPr="0078280B" w:rsidRDefault="009B0FF6" w:rsidP="009B0FF6">
      <w:pPr>
        <w:ind w:left="720"/>
        <w:rPr>
          <w:rFonts w:ascii="Times New Roman" w:hAnsi="Times New Roman"/>
          <w:color w:val="000000"/>
        </w:rPr>
      </w:pPr>
      <w:r w:rsidRPr="0078280B">
        <w:rPr>
          <w:rFonts w:ascii="Times New Roman" w:hAnsi="Times New Roman"/>
          <w:color w:val="000000"/>
        </w:rPr>
        <w:t>Parallel regulations issued by the Departments of Labor and the Treasury explain that these provisions impose on fiduciaries of plans and IRAs a duty not to act on conflicts of interest that</w:t>
      </w:r>
      <w:r>
        <w:rPr>
          <w:rFonts w:ascii="Times New Roman" w:hAnsi="Times New Roman"/>
          <w:color w:val="000000"/>
        </w:rPr>
        <w:t xml:space="preserve"> may</w:t>
      </w:r>
      <w:r w:rsidRPr="0078280B">
        <w:rPr>
          <w:rFonts w:ascii="Times New Roman" w:hAnsi="Times New Roman"/>
          <w:color w:val="000000"/>
        </w:rPr>
        <w:t xml:space="preserve"> affect the fiduciary’s best judgment on behalf of the plan or IRA.  </w:t>
      </w:r>
      <w:r>
        <w:rPr>
          <w:rFonts w:ascii="Times New Roman" w:hAnsi="Times New Roman"/>
          <w:color w:val="000000"/>
        </w:rPr>
        <w:t>Under these provisions</w:t>
      </w:r>
      <w:r w:rsidRPr="0078280B">
        <w:rPr>
          <w:rFonts w:ascii="Times New Roman" w:hAnsi="Times New Roman"/>
          <w:color w:val="000000"/>
        </w:rPr>
        <w:t>, a fiduciary</w:t>
      </w:r>
      <w:r>
        <w:rPr>
          <w:rFonts w:ascii="Times New Roman" w:hAnsi="Times New Roman"/>
          <w:color w:val="000000"/>
        </w:rPr>
        <w:t xml:space="preserve"> </w:t>
      </w:r>
      <w:r w:rsidRPr="0078280B">
        <w:rPr>
          <w:rFonts w:ascii="Times New Roman" w:hAnsi="Times New Roman"/>
          <w:color w:val="000000"/>
        </w:rPr>
        <w:t xml:space="preserve">may not cause a plan or IRA to pay an additional fee to such </w:t>
      </w:r>
      <w:proofErr w:type="gramStart"/>
      <w:r w:rsidRPr="0078280B">
        <w:rPr>
          <w:rFonts w:ascii="Times New Roman" w:hAnsi="Times New Roman"/>
          <w:color w:val="000000"/>
        </w:rPr>
        <w:t>fiduciary</w:t>
      </w:r>
      <w:proofErr w:type="gramEnd"/>
      <w:r w:rsidRPr="0078280B">
        <w:rPr>
          <w:rFonts w:ascii="Times New Roman" w:hAnsi="Times New Roman"/>
          <w:color w:val="000000"/>
        </w:rPr>
        <w:t>, or to a person in which such fiduciary has an interest that may affect the exercise of the fiduciary’s best judgment</w:t>
      </w:r>
      <w:r>
        <w:rPr>
          <w:rFonts w:ascii="Times New Roman" w:hAnsi="Times New Roman"/>
          <w:color w:val="000000"/>
        </w:rPr>
        <w:t>.</w:t>
      </w:r>
    </w:p>
    <w:p w:rsidR="009B0FF6" w:rsidRPr="0078280B" w:rsidRDefault="009B0FF6" w:rsidP="009B0FF6">
      <w:pPr>
        <w:ind w:left="720"/>
        <w:rPr>
          <w:rFonts w:ascii="Times New Roman" w:hAnsi="Times New Roman"/>
          <w:color w:val="000000"/>
        </w:rPr>
      </w:pPr>
    </w:p>
    <w:p w:rsidR="009B0FF6" w:rsidRDefault="009B0FF6" w:rsidP="004E2E93">
      <w:pPr>
        <w:widowControl/>
        <w:ind w:left="720"/>
        <w:rPr>
          <w:rFonts w:ascii="Times New Roman" w:hAnsi="Times New Roman"/>
        </w:rPr>
      </w:pPr>
      <w:r w:rsidRPr="009B0FF6">
        <w:rPr>
          <w:rFonts w:ascii="Times New Roman" w:hAnsi="Times New Roman"/>
        </w:rPr>
        <w:t xml:space="preserve">The purchase or sale of an investment between a plan or IRA and a fiduciary, resulting from the fiduciary’s provision of investment advice, raises issues under ERISA section </w:t>
      </w:r>
      <w:r w:rsidR="00943C58">
        <w:rPr>
          <w:rFonts w:ascii="Times New Roman" w:hAnsi="Times New Roman"/>
        </w:rPr>
        <w:t xml:space="preserve">406(a)(1)(A) and (D), and </w:t>
      </w:r>
      <w:r w:rsidRPr="009B0FF6">
        <w:rPr>
          <w:rFonts w:ascii="Times New Roman" w:hAnsi="Times New Roman"/>
        </w:rPr>
        <w:t>406(b) and Code section 4975(c)(1)</w:t>
      </w:r>
      <w:r w:rsidR="00943C58">
        <w:rPr>
          <w:rFonts w:ascii="Times New Roman" w:hAnsi="Times New Roman"/>
        </w:rPr>
        <w:t xml:space="preserve">(A), (D) and </w:t>
      </w:r>
      <w:r w:rsidRPr="009B0FF6">
        <w:rPr>
          <w:rFonts w:ascii="Times New Roman" w:hAnsi="Times New Roman"/>
        </w:rPr>
        <w:t>(E).</w:t>
      </w:r>
    </w:p>
    <w:p w:rsidR="009B0FF6" w:rsidRDefault="009B0FF6" w:rsidP="004E2E93">
      <w:pPr>
        <w:widowControl/>
        <w:ind w:left="720"/>
        <w:rPr>
          <w:rFonts w:ascii="Times New Roman" w:hAnsi="Times New Roman"/>
        </w:rPr>
      </w:pPr>
    </w:p>
    <w:p w:rsidR="009B0FF6" w:rsidRDefault="009B0FF6" w:rsidP="009B0FF6">
      <w:pPr>
        <w:ind w:left="720"/>
        <w:rPr>
          <w:rFonts w:ascii="Times New Roman" w:hAnsi="Times New Roman"/>
        </w:rPr>
      </w:pPr>
      <w:r w:rsidRPr="0078280B">
        <w:rPr>
          <w:rFonts w:ascii="Times New Roman" w:hAnsi="Times New Roman"/>
        </w:rPr>
        <w:t>The Secretary of Labor may grant and amend administrative exemptions from the prohibited transaction provisions of ERISA and the Code.</w:t>
      </w:r>
      <w:r w:rsidRPr="0078280B">
        <w:rPr>
          <w:rFonts w:ascii="Times New Roman" w:hAnsi="Times New Roman"/>
          <w:vertAlign w:val="superscript"/>
        </w:rPr>
        <w:footnoteReference w:id="1"/>
      </w:r>
      <w:r w:rsidRPr="0078280B">
        <w:rPr>
          <w:rFonts w:ascii="Times New Roman" w:hAnsi="Times New Roman"/>
        </w:rPr>
        <w:t xml:space="preserve">  Before granting an exemption, the Department must find that the exemption is administratively feasible, in the interests of plans, their participants and beneficiaries and IRA owners, and protective of the rights of participants and beneficiaries of such plans and IRA owners.</w:t>
      </w:r>
    </w:p>
    <w:p w:rsidR="009B0FF6" w:rsidRPr="0078280B" w:rsidRDefault="009B0FF6" w:rsidP="009B0FF6">
      <w:pPr>
        <w:ind w:left="720"/>
        <w:rPr>
          <w:rFonts w:ascii="Times New Roman" w:hAnsi="Times New Roman"/>
        </w:rPr>
      </w:pPr>
    </w:p>
    <w:p w:rsidR="004E2E93" w:rsidRPr="004E2E93" w:rsidRDefault="00A54C32" w:rsidP="004E2E93">
      <w:pPr>
        <w:widowControl/>
        <w:ind w:left="720"/>
        <w:rPr>
          <w:rFonts w:ascii="Times New Roman" w:hAnsi="Times New Roman"/>
        </w:rPr>
      </w:pPr>
      <w:r w:rsidRPr="00A54C32">
        <w:rPr>
          <w:rFonts w:ascii="Times New Roman" w:hAnsi="Times New Roman"/>
        </w:rPr>
        <w:t xml:space="preserve">The Department grants this prohibited transaction class exemption (PTE) in connection with its publication of a final regulation defining who is a “fiduciary” of an employee benefit plan under ERISA as a result of giving investment advice to a plan or its participants or beneficiaries (Regulation).  The final rule also applies to the definition of a “fiduciary” of a plan (including an individual retirement account (IRA)) under the Code.  </w:t>
      </w:r>
      <w:r w:rsidR="004A2001">
        <w:rPr>
          <w:rFonts w:ascii="Times New Roman" w:hAnsi="Times New Roman"/>
        </w:rPr>
        <w:t>T</w:t>
      </w:r>
      <w:r w:rsidR="004E2E93" w:rsidRPr="004E2E93">
        <w:rPr>
          <w:rFonts w:ascii="Times New Roman" w:hAnsi="Times New Roman"/>
        </w:rPr>
        <w:t xml:space="preserve">he </w:t>
      </w:r>
      <w:r w:rsidR="005204A9">
        <w:rPr>
          <w:rFonts w:ascii="Times New Roman" w:hAnsi="Times New Roman"/>
        </w:rPr>
        <w:t>R</w:t>
      </w:r>
      <w:r w:rsidR="004E2E93" w:rsidRPr="004E2E93">
        <w:rPr>
          <w:rFonts w:ascii="Times New Roman" w:hAnsi="Times New Roman"/>
        </w:rPr>
        <w:t>egulation replace</w:t>
      </w:r>
      <w:r w:rsidR="009B0FF6">
        <w:rPr>
          <w:rFonts w:ascii="Times New Roman" w:hAnsi="Times New Roman"/>
        </w:rPr>
        <w:t>s</w:t>
      </w:r>
      <w:r w:rsidR="004E2E93" w:rsidRPr="004E2E93">
        <w:rPr>
          <w:rFonts w:ascii="Times New Roman" w:hAnsi="Times New Roman"/>
        </w:rPr>
        <w:t xml:space="preserve"> an existing regulation </w:t>
      </w:r>
      <w:r w:rsidR="009B0FF6">
        <w:rPr>
          <w:rFonts w:ascii="Times New Roman" w:hAnsi="Times New Roman"/>
        </w:rPr>
        <w:t>dating to</w:t>
      </w:r>
      <w:r w:rsidR="004E2E93" w:rsidRPr="004E2E93">
        <w:rPr>
          <w:rFonts w:ascii="Times New Roman" w:hAnsi="Times New Roman"/>
        </w:rPr>
        <w:t xml:space="preserve"> 1975</w:t>
      </w:r>
      <w:r w:rsidR="009B0FF6">
        <w:rPr>
          <w:rFonts w:ascii="Times New Roman" w:hAnsi="Times New Roman"/>
        </w:rPr>
        <w:t xml:space="preserve">.  </w:t>
      </w:r>
      <w:r w:rsidR="009B0FF6" w:rsidRPr="00A44672">
        <w:rPr>
          <w:rFonts w:ascii="Times New Roman" w:hAnsi="Times New Roman"/>
        </w:rPr>
        <w:t>The Regulation takes into account the advent of 401(k) plans and IRAs, the dramatic increase in rollovers, and other developments that have transformed the retirement plan landscape and the associated investment market over the four decades since the existing regulation was issued.  In light of the extensive changes in retirement investment practices and relationships, the Regulation updates existing rules to distinguish more appropriately</w:t>
      </w:r>
      <w:r w:rsidR="004E2E93" w:rsidRPr="004E2E93">
        <w:rPr>
          <w:rFonts w:ascii="Times New Roman" w:hAnsi="Times New Roman"/>
        </w:rPr>
        <w:t xml:space="preserve"> distinguishes between the sorts of advice relationships that should be treated as fiduciary in natur</w:t>
      </w:r>
      <w:r w:rsidR="00DD1D6A">
        <w:rPr>
          <w:rFonts w:ascii="Times New Roman" w:hAnsi="Times New Roman"/>
        </w:rPr>
        <w:t>e and those that should not.</w:t>
      </w:r>
    </w:p>
    <w:p w:rsidR="004E2E93" w:rsidRDefault="004E2E93" w:rsidP="004E2E93">
      <w:pPr>
        <w:widowControl/>
        <w:ind w:left="720"/>
        <w:rPr>
          <w:rFonts w:ascii="Times New Roman" w:hAnsi="Times New Roman"/>
        </w:rPr>
      </w:pPr>
    </w:p>
    <w:p w:rsidR="004E2E93" w:rsidRPr="004E2E93" w:rsidRDefault="004E2E93" w:rsidP="004E2E93">
      <w:pPr>
        <w:widowControl/>
        <w:ind w:left="720"/>
        <w:rPr>
          <w:rFonts w:ascii="Times New Roman" w:hAnsi="Times New Roman"/>
        </w:rPr>
      </w:pPr>
      <w:r w:rsidRPr="004E2E93">
        <w:rPr>
          <w:rFonts w:ascii="Times New Roman" w:hAnsi="Times New Roman"/>
        </w:rPr>
        <w:t xml:space="preserve">The </w:t>
      </w:r>
      <w:r>
        <w:rPr>
          <w:rFonts w:ascii="Times New Roman" w:hAnsi="Times New Roman"/>
        </w:rPr>
        <w:t>Principal Transaction</w:t>
      </w:r>
      <w:r w:rsidR="004A2001">
        <w:rPr>
          <w:rFonts w:ascii="Times New Roman" w:hAnsi="Times New Roman"/>
        </w:rPr>
        <w:t>s</w:t>
      </w:r>
      <w:r>
        <w:rPr>
          <w:rFonts w:ascii="Times New Roman" w:hAnsi="Times New Roman"/>
        </w:rPr>
        <w:t xml:space="preserve"> Exemption</w:t>
      </w:r>
      <w:r w:rsidR="00EF1C13">
        <w:rPr>
          <w:rFonts w:ascii="Times New Roman" w:hAnsi="Times New Roman"/>
        </w:rPr>
        <w:t xml:space="preserve"> in Certain Assets between Investment Advice Fiduciaries and Employee Benefit Plans and IRAs</w:t>
      </w:r>
      <w:r>
        <w:rPr>
          <w:rFonts w:ascii="Times New Roman" w:hAnsi="Times New Roman"/>
        </w:rPr>
        <w:t xml:space="preserve"> (the </w:t>
      </w:r>
      <w:r w:rsidR="005204A9">
        <w:rPr>
          <w:rFonts w:ascii="Times New Roman" w:hAnsi="Times New Roman"/>
        </w:rPr>
        <w:t>E</w:t>
      </w:r>
      <w:r w:rsidRPr="004E2E93">
        <w:rPr>
          <w:rFonts w:ascii="Times New Roman" w:hAnsi="Times New Roman"/>
        </w:rPr>
        <w:t>xemption</w:t>
      </w:r>
      <w:r>
        <w:rPr>
          <w:rFonts w:ascii="Times New Roman" w:hAnsi="Times New Roman"/>
        </w:rPr>
        <w:t>)</w:t>
      </w:r>
      <w:r w:rsidRPr="004E2E93">
        <w:rPr>
          <w:rFonts w:ascii="Times New Roman" w:hAnsi="Times New Roman"/>
        </w:rPr>
        <w:t xml:space="preserve"> allow</w:t>
      </w:r>
      <w:r w:rsidR="009B0FF6">
        <w:rPr>
          <w:rFonts w:ascii="Times New Roman" w:hAnsi="Times New Roman"/>
        </w:rPr>
        <w:t>s</w:t>
      </w:r>
      <w:r w:rsidRPr="004E2E93">
        <w:rPr>
          <w:rFonts w:ascii="Times New Roman" w:hAnsi="Times New Roman"/>
        </w:rPr>
        <w:t xml:space="preserve"> investment advice fiduciaries to engage in purchases and sales of certain </w:t>
      </w:r>
      <w:r w:rsidR="00EF1C13">
        <w:rPr>
          <w:rFonts w:ascii="Times New Roman" w:hAnsi="Times New Roman"/>
        </w:rPr>
        <w:t>investments</w:t>
      </w:r>
      <w:r w:rsidRPr="004E2E93">
        <w:rPr>
          <w:rFonts w:ascii="Times New Roman" w:hAnsi="Times New Roman"/>
        </w:rPr>
        <w:t xml:space="preserve"> with plans</w:t>
      </w:r>
      <w:r w:rsidR="00F07264">
        <w:rPr>
          <w:rFonts w:ascii="Times New Roman" w:hAnsi="Times New Roman"/>
        </w:rPr>
        <w:t>, participant and beneficiary accounts</w:t>
      </w:r>
      <w:r w:rsidRPr="004E2E93">
        <w:rPr>
          <w:rFonts w:ascii="Times New Roman" w:hAnsi="Times New Roman"/>
        </w:rPr>
        <w:t xml:space="preserve"> and </w:t>
      </w:r>
      <w:r>
        <w:rPr>
          <w:rFonts w:ascii="Times New Roman" w:hAnsi="Times New Roman"/>
        </w:rPr>
        <w:t>Individual Retirement Accounts (</w:t>
      </w:r>
      <w:r w:rsidRPr="004E2E93">
        <w:rPr>
          <w:rFonts w:ascii="Times New Roman" w:hAnsi="Times New Roman"/>
        </w:rPr>
        <w:t>IRAs</w:t>
      </w:r>
      <w:r>
        <w:rPr>
          <w:rFonts w:ascii="Times New Roman" w:hAnsi="Times New Roman"/>
        </w:rPr>
        <w:t>)</w:t>
      </w:r>
      <w:r w:rsidRPr="004E2E93">
        <w:rPr>
          <w:rFonts w:ascii="Times New Roman" w:hAnsi="Times New Roman"/>
        </w:rPr>
        <w:t xml:space="preserve">.  </w:t>
      </w:r>
      <w:r w:rsidR="00B15955">
        <w:rPr>
          <w:rFonts w:ascii="Times New Roman" w:hAnsi="Times New Roman"/>
        </w:rPr>
        <w:t xml:space="preserve">The </w:t>
      </w:r>
      <w:r w:rsidR="005204A9">
        <w:rPr>
          <w:rFonts w:ascii="Times New Roman" w:hAnsi="Times New Roman"/>
        </w:rPr>
        <w:t>E</w:t>
      </w:r>
      <w:r w:rsidR="00B15955">
        <w:rPr>
          <w:rFonts w:ascii="Times New Roman" w:hAnsi="Times New Roman"/>
        </w:rPr>
        <w:t xml:space="preserve">xemption is necessary because the Department anticipates that the </w:t>
      </w:r>
      <w:r w:rsidR="00EF1C13">
        <w:rPr>
          <w:rFonts w:ascii="Times New Roman" w:hAnsi="Times New Roman"/>
        </w:rPr>
        <w:t>R</w:t>
      </w:r>
      <w:r w:rsidR="00F07264">
        <w:rPr>
          <w:rFonts w:ascii="Times New Roman" w:hAnsi="Times New Roman"/>
        </w:rPr>
        <w:t xml:space="preserve">egulation </w:t>
      </w:r>
      <w:r w:rsidR="00B15955">
        <w:rPr>
          <w:rFonts w:ascii="Times New Roman" w:hAnsi="Times New Roman"/>
        </w:rPr>
        <w:t xml:space="preserve">will cover many investment professionals who do not currently consider </w:t>
      </w:r>
      <w:proofErr w:type="gramStart"/>
      <w:r w:rsidR="00B15955">
        <w:rPr>
          <w:rFonts w:ascii="Times New Roman" w:hAnsi="Times New Roman"/>
        </w:rPr>
        <w:t>themselves</w:t>
      </w:r>
      <w:proofErr w:type="gramEnd"/>
      <w:r w:rsidR="00B15955">
        <w:rPr>
          <w:rFonts w:ascii="Times New Roman" w:hAnsi="Times New Roman"/>
        </w:rPr>
        <w:t xml:space="preserve"> to be</w:t>
      </w:r>
      <w:r w:rsidR="00F07264">
        <w:rPr>
          <w:rFonts w:ascii="Times New Roman" w:hAnsi="Times New Roman"/>
        </w:rPr>
        <w:t xml:space="preserve"> investment advice </w:t>
      </w:r>
      <w:r w:rsidR="00B15955">
        <w:rPr>
          <w:rFonts w:ascii="Times New Roman" w:hAnsi="Times New Roman"/>
        </w:rPr>
        <w:t>fiduciaries.</w:t>
      </w:r>
      <w:r w:rsidR="0047771D">
        <w:rPr>
          <w:rFonts w:ascii="Times New Roman" w:hAnsi="Times New Roman"/>
        </w:rPr>
        <w:t xml:space="preserve"> </w:t>
      </w:r>
      <w:r w:rsidR="00B15955">
        <w:rPr>
          <w:rFonts w:ascii="Times New Roman" w:hAnsi="Times New Roman"/>
        </w:rPr>
        <w:t xml:space="preserve"> </w:t>
      </w:r>
      <w:r w:rsidRPr="004E2E93">
        <w:rPr>
          <w:rFonts w:ascii="Times New Roman" w:hAnsi="Times New Roman"/>
        </w:rPr>
        <w:t>ERISA and the Code generally prohibit fiduciaries with respect to plans</w:t>
      </w:r>
      <w:r w:rsidR="00F07264">
        <w:rPr>
          <w:rFonts w:ascii="Times New Roman" w:hAnsi="Times New Roman"/>
        </w:rPr>
        <w:t>, participant and beneficiary accounts</w:t>
      </w:r>
      <w:r w:rsidRPr="004E2E93">
        <w:rPr>
          <w:rFonts w:ascii="Times New Roman" w:hAnsi="Times New Roman"/>
        </w:rPr>
        <w:t xml:space="preserve"> and IRAs from purchasing or selling any property to the plans</w:t>
      </w:r>
      <w:r w:rsidR="00F07264">
        <w:rPr>
          <w:rFonts w:ascii="Times New Roman" w:hAnsi="Times New Roman"/>
        </w:rPr>
        <w:t>, participant and beneficiary accounts</w:t>
      </w:r>
      <w:r w:rsidRPr="004E2E93">
        <w:rPr>
          <w:rFonts w:ascii="Times New Roman" w:hAnsi="Times New Roman"/>
        </w:rPr>
        <w:t xml:space="preserve"> or IRAs.  </w:t>
      </w:r>
      <w:r w:rsidR="00F07264">
        <w:rPr>
          <w:rFonts w:ascii="Times New Roman" w:hAnsi="Times New Roman"/>
        </w:rPr>
        <w:t>F</w:t>
      </w:r>
      <w:r w:rsidRPr="004E2E93">
        <w:rPr>
          <w:rFonts w:ascii="Times New Roman" w:hAnsi="Times New Roman"/>
        </w:rPr>
        <w:t>iduciaries also may not engage in self-dealing or, under ERISA, act in any transaction involving the plan on behalf of a party whose interests are adverse to the interests of the plan or the interests of its participants and beneficiaries.  When a fiduciary sells</w:t>
      </w:r>
      <w:r w:rsidR="00F07264">
        <w:rPr>
          <w:rFonts w:ascii="Times New Roman" w:hAnsi="Times New Roman"/>
        </w:rPr>
        <w:t xml:space="preserve"> or purchases</w:t>
      </w:r>
      <w:r w:rsidRPr="004E2E93">
        <w:rPr>
          <w:rFonts w:ascii="Times New Roman" w:hAnsi="Times New Roman"/>
        </w:rPr>
        <w:t xml:space="preserve"> a</w:t>
      </w:r>
      <w:r w:rsidR="00EF1C13">
        <w:rPr>
          <w:rFonts w:ascii="Times New Roman" w:hAnsi="Times New Roman"/>
        </w:rPr>
        <w:t>n investment</w:t>
      </w:r>
      <w:r w:rsidRPr="004E2E93">
        <w:rPr>
          <w:rFonts w:ascii="Times New Roman" w:hAnsi="Times New Roman"/>
        </w:rPr>
        <w:t xml:space="preserve"> in a principal transaction</w:t>
      </w:r>
      <w:r w:rsidR="00EF1C13">
        <w:rPr>
          <w:rFonts w:ascii="Times New Roman" w:hAnsi="Times New Roman"/>
        </w:rPr>
        <w:t xml:space="preserve"> or a riskless principal transaction</w:t>
      </w:r>
      <w:r w:rsidRPr="004E2E93">
        <w:rPr>
          <w:rFonts w:ascii="Times New Roman" w:hAnsi="Times New Roman"/>
        </w:rPr>
        <w:t>, i</w:t>
      </w:r>
      <w:r w:rsidR="0047771D">
        <w:rPr>
          <w:rFonts w:ascii="Times New Roman" w:hAnsi="Times New Roman"/>
        </w:rPr>
        <w:t>t violates these prohibitions.</w:t>
      </w:r>
    </w:p>
    <w:p w:rsidR="00135D3F" w:rsidRPr="0034640D" w:rsidRDefault="00135D3F" w:rsidP="00491F77">
      <w:pPr>
        <w:ind w:left="720"/>
        <w:rPr>
          <w:rFonts w:ascii="Times New Roman" w:hAnsi="Times New Roman"/>
        </w:rPr>
      </w:pPr>
    </w:p>
    <w:p w:rsidR="00B15955" w:rsidRDefault="00B41FAA" w:rsidP="00491F77">
      <w:pPr>
        <w:widowControl/>
        <w:ind w:left="720"/>
        <w:rPr>
          <w:rFonts w:ascii="Times New Roman" w:hAnsi="Times New Roman"/>
        </w:rPr>
      </w:pPr>
      <w:r w:rsidRPr="00B41FAA">
        <w:rPr>
          <w:rFonts w:ascii="Times New Roman" w:hAnsi="Times New Roman"/>
        </w:rPr>
        <w:t>The exemption allow</w:t>
      </w:r>
      <w:r w:rsidR="00EF1C13">
        <w:rPr>
          <w:rFonts w:ascii="Times New Roman" w:hAnsi="Times New Roman"/>
        </w:rPr>
        <w:t>s</w:t>
      </w:r>
      <w:r w:rsidRPr="00B41FAA">
        <w:rPr>
          <w:rFonts w:ascii="Times New Roman" w:hAnsi="Times New Roman"/>
        </w:rPr>
        <w:t xml:space="preserve"> </w:t>
      </w:r>
      <w:r w:rsidR="00651AF8">
        <w:rPr>
          <w:rFonts w:ascii="Times New Roman" w:hAnsi="Times New Roman"/>
        </w:rPr>
        <w:t>a</w:t>
      </w:r>
      <w:r w:rsidRPr="00B41FAA">
        <w:rPr>
          <w:rFonts w:ascii="Times New Roman" w:hAnsi="Times New Roman"/>
        </w:rPr>
        <w:t>dviser</w:t>
      </w:r>
      <w:r w:rsidR="00651AF8">
        <w:rPr>
          <w:rFonts w:ascii="Times New Roman" w:hAnsi="Times New Roman"/>
        </w:rPr>
        <w:t>s</w:t>
      </w:r>
      <w:r w:rsidRPr="00B41FAA">
        <w:rPr>
          <w:rFonts w:ascii="Times New Roman" w:hAnsi="Times New Roman"/>
        </w:rPr>
        <w:t xml:space="preserve"> and the </w:t>
      </w:r>
      <w:r w:rsidR="00651AF8">
        <w:rPr>
          <w:rFonts w:ascii="Times New Roman" w:hAnsi="Times New Roman"/>
        </w:rPr>
        <w:t>f</w:t>
      </w:r>
      <w:r w:rsidRPr="00B41FAA">
        <w:rPr>
          <w:rFonts w:ascii="Times New Roman" w:hAnsi="Times New Roman"/>
        </w:rPr>
        <w:t xml:space="preserve">inancial </w:t>
      </w:r>
      <w:r w:rsidR="00651AF8">
        <w:rPr>
          <w:rFonts w:ascii="Times New Roman" w:hAnsi="Times New Roman"/>
        </w:rPr>
        <w:t>i</w:t>
      </w:r>
      <w:r w:rsidRPr="00B41FAA">
        <w:rPr>
          <w:rFonts w:ascii="Times New Roman" w:hAnsi="Times New Roman"/>
        </w:rPr>
        <w:t>nstitution</w:t>
      </w:r>
      <w:r w:rsidR="00651AF8">
        <w:rPr>
          <w:rFonts w:ascii="Times New Roman" w:hAnsi="Times New Roman"/>
        </w:rPr>
        <w:t>s that employ them</w:t>
      </w:r>
      <w:r w:rsidRPr="00B41FAA">
        <w:rPr>
          <w:rFonts w:ascii="Times New Roman" w:hAnsi="Times New Roman"/>
        </w:rPr>
        <w:t xml:space="preserve"> to engage in principal transactions</w:t>
      </w:r>
      <w:r w:rsidR="00EF1C13">
        <w:rPr>
          <w:rFonts w:ascii="Times New Roman" w:hAnsi="Times New Roman"/>
        </w:rPr>
        <w:t xml:space="preserve"> and riskless principal transactions</w:t>
      </w:r>
      <w:r w:rsidRPr="00B41FAA">
        <w:rPr>
          <w:rFonts w:ascii="Times New Roman" w:hAnsi="Times New Roman"/>
        </w:rPr>
        <w:t xml:space="preserve"> involving certain </w:t>
      </w:r>
      <w:r w:rsidR="00EF1C13">
        <w:rPr>
          <w:rFonts w:ascii="Times New Roman" w:hAnsi="Times New Roman"/>
        </w:rPr>
        <w:t>investments</w:t>
      </w:r>
      <w:r w:rsidRPr="00B41FAA">
        <w:rPr>
          <w:rFonts w:ascii="Times New Roman" w:hAnsi="Times New Roman"/>
        </w:rPr>
        <w:t xml:space="preserve"> </w:t>
      </w:r>
      <w:r w:rsidRPr="00B41FAA">
        <w:rPr>
          <w:rFonts w:ascii="Times New Roman" w:hAnsi="Times New Roman"/>
        </w:rPr>
        <w:lastRenderedPageBreak/>
        <w:t>with plan</w:t>
      </w:r>
      <w:r w:rsidR="00F07264">
        <w:rPr>
          <w:rFonts w:ascii="Times New Roman" w:hAnsi="Times New Roman"/>
        </w:rPr>
        <w:t>s, participant and beneficiary accounts</w:t>
      </w:r>
      <w:r w:rsidR="00DC3D7D">
        <w:rPr>
          <w:rFonts w:ascii="Times New Roman" w:hAnsi="Times New Roman"/>
        </w:rPr>
        <w:t xml:space="preserve"> </w:t>
      </w:r>
      <w:r w:rsidRPr="00B41FAA">
        <w:rPr>
          <w:rFonts w:ascii="Times New Roman" w:hAnsi="Times New Roman"/>
        </w:rPr>
        <w:t>and IRA</w:t>
      </w:r>
      <w:r w:rsidR="00F07264">
        <w:rPr>
          <w:rFonts w:ascii="Times New Roman" w:hAnsi="Times New Roman"/>
        </w:rPr>
        <w:t>s</w:t>
      </w:r>
      <w:r w:rsidRPr="00B41FAA">
        <w:rPr>
          <w:rFonts w:ascii="Times New Roman" w:hAnsi="Times New Roman"/>
        </w:rPr>
        <w:t xml:space="preserve">.  The exemption limits the type of </w:t>
      </w:r>
      <w:r w:rsidR="00EF1C13">
        <w:rPr>
          <w:rFonts w:ascii="Times New Roman" w:hAnsi="Times New Roman"/>
        </w:rPr>
        <w:t>investments</w:t>
      </w:r>
      <w:r w:rsidRPr="00B41FAA">
        <w:rPr>
          <w:rFonts w:ascii="Times New Roman" w:hAnsi="Times New Roman"/>
        </w:rPr>
        <w:t xml:space="preserve"> that may be purchased or sold and contains conditions which the </w:t>
      </w:r>
      <w:r w:rsidR="00651AF8">
        <w:rPr>
          <w:rFonts w:ascii="Times New Roman" w:hAnsi="Times New Roman"/>
        </w:rPr>
        <w:t>a</w:t>
      </w:r>
      <w:r w:rsidRPr="00B41FAA">
        <w:rPr>
          <w:rFonts w:ascii="Times New Roman" w:hAnsi="Times New Roman"/>
        </w:rPr>
        <w:t xml:space="preserve">dviser and </w:t>
      </w:r>
      <w:r w:rsidR="00651AF8">
        <w:rPr>
          <w:rFonts w:ascii="Times New Roman" w:hAnsi="Times New Roman"/>
        </w:rPr>
        <w:t>f</w:t>
      </w:r>
      <w:r w:rsidRPr="00B41FAA">
        <w:rPr>
          <w:rFonts w:ascii="Times New Roman" w:hAnsi="Times New Roman"/>
        </w:rPr>
        <w:t xml:space="preserve">inancial </w:t>
      </w:r>
      <w:r w:rsidR="00651AF8">
        <w:rPr>
          <w:rFonts w:ascii="Times New Roman" w:hAnsi="Times New Roman"/>
        </w:rPr>
        <w:t>i</w:t>
      </w:r>
      <w:r w:rsidRPr="00B41FAA">
        <w:rPr>
          <w:rFonts w:ascii="Times New Roman" w:hAnsi="Times New Roman"/>
        </w:rPr>
        <w:t>nstitution must satisfy in order to rely on the exemption.</w:t>
      </w:r>
    </w:p>
    <w:p w:rsidR="00B41FAA" w:rsidRPr="00235B48" w:rsidRDefault="00B41FAA" w:rsidP="00566FEB">
      <w:pPr>
        <w:widowControl/>
        <w:ind w:left="720"/>
        <w:rPr>
          <w:rFonts w:ascii="Times New Roman" w:hAnsi="Times New Roman"/>
        </w:rPr>
      </w:pPr>
    </w:p>
    <w:p w:rsidR="00F3670F" w:rsidRPr="00235B48" w:rsidRDefault="00F3670F" w:rsidP="00235B48">
      <w:pPr>
        <w:pStyle w:val="Quick1"/>
        <w:widowControl/>
        <w:numPr>
          <w:ilvl w:val="0"/>
          <w:numId w:val="1"/>
        </w:numPr>
        <w:tabs>
          <w:tab w:val="left" w:pos="-1440"/>
          <w:tab w:val="num" w:pos="720"/>
        </w:tabs>
        <w:rPr>
          <w:rFonts w:ascii="Times New Roman" w:hAnsi="Times New Roman"/>
        </w:rPr>
      </w:pPr>
      <w:r w:rsidRPr="00235B48">
        <w:rPr>
          <w:rFonts w:ascii="Times New Roman" w:hAnsi="Times New Roman"/>
          <w:sz w:val="20"/>
          <w:szCs w:val="20"/>
        </w:rPr>
        <w:t>Indicate how, by whom, and for what purpose the information is to be used.  Except for a new collection, indicate the actual use the agency has made of the information received from the current collection.</w:t>
      </w:r>
    </w:p>
    <w:p w:rsidR="00651AF8" w:rsidRDefault="00651AF8" w:rsidP="00651AF8">
      <w:pPr>
        <w:rPr>
          <w:rFonts w:ascii="Times New Roman" w:hAnsi="Times New Roman"/>
        </w:rPr>
      </w:pPr>
    </w:p>
    <w:p w:rsidR="00566FEB" w:rsidRPr="00566FEB" w:rsidRDefault="00566FEB" w:rsidP="00566FEB">
      <w:pPr>
        <w:ind w:left="720"/>
        <w:rPr>
          <w:rFonts w:ascii="Times New Roman" w:eastAsia="MS Mincho" w:hAnsi="Times New Roman"/>
        </w:rPr>
      </w:pPr>
      <w:r w:rsidRPr="00566FEB">
        <w:rPr>
          <w:rFonts w:ascii="Times New Roman" w:hAnsi="Times New Roman"/>
        </w:rPr>
        <w:t>As a condition of the exemption, Section II requires f</w:t>
      </w:r>
      <w:r w:rsidRPr="00566FEB">
        <w:rPr>
          <w:rFonts w:ascii="Times New Roman" w:eastAsia="MS Mincho" w:hAnsi="Times New Roman"/>
        </w:rPr>
        <w:t>inancial institutions to provide a written statement of their fiduciary status and the fiduciary status of their advisers, to retirement investors.  The financial institution and advisers must adhere to enforceable standards of fiduciary conduct and fair dealing with respect to their advice, and must adopt certain written policies and procedures.  In the case of IRAs and non-ERISA plans, the exemption requires that the standards of fiduciary conduct be set forth in an enforceable contract with the retirement investor.  Under the exemption’s terms, financial institutions are not required to enter into a contract with ERISA plan investors, but they are obligated to adhere to these same standards of fiduciary conduct, which the investors can effectively enforce pursuant to sections 502(a</w:t>
      </w:r>
      <w:proofErr w:type="gramStart"/>
      <w:r w:rsidRPr="00566FEB">
        <w:rPr>
          <w:rFonts w:ascii="Times New Roman" w:eastAsia="MS Mincho" w:hAnsi="Times New Roman"/>
        </w:rPr>
        <w:t>)(</w:t>
      </w:r>
      <w:proofErr w:type="gramEnd"/>
      <w:r w:rsidRPr="00566FEB">
        <w:rPr>
          <w:rFonts w:ascii="Times New Roman" w:eastAsia="MS Mincho" w:hAnsi="Times New Roman"/>
        </w:rPr>
        <w:t>2) and (3) of ERISA.</w:t>
      </w:r>
    </w:p>
    <w:p w:rsidR="00BC49EF" w:rsidRPr="00094022" w:rsidRDefault="00BC49EF" w:rsidP="00094022">
      <w:pPr>
        <w:ind w:left="720"/>
        <w:rPr>
          <w:rFonts w:ascii="Times New Roman" w:eastAsia="MS Mincho" w:hAnsi="Times New Roman"/>
        </w:rPr>
      </w:pPr>
    </w:p>
    <w:p w:rsidR="00651AF8" w:rsidRPr="002E2880" w:rsidRDefault="00BC49EF" w:rsidP="002E2880">
      <w:pPr>
        <w:ind w:left="720"/>
        <w:rPr>
          <w:rFonts w:ascii="Times New Roman" w:hAnsi="Times New Roman"/>
          <w:sz w:val="22"/>
        </w:rPr>
      </w:pPr>
      <w:r w:rsidRPr="00580110">
        <w:rPr>
          <w:rFonts w:ascii="Times New Roman" w:eastAsia="MS Mincho" w:hAnsi="Times New Roman"/>
        </w:rPr>
        <w:t xml:space="preserve">The exemption requires disclosure of </w:t>
      </w:r>
      <w:r>
        <w:rPr>
          <w:rFonts w:ascii="Times New Roman" w:eastAsia="MS Mincho" w:hAnsi="Times New Roman"/>
        </w:rPr>
        <w:t>m</w:t>
      </w:r>
      <w:r w:rsidRPr="00580110">
        <w:rPr>
          <w:rFonts w:ascii="Times New Roman" w:eastAsia="MS Mincho" w:hAnsi="Times New Roman"/>
        </w:rPr>
        <w:t xml:space="preserve">aterial </w:t>
      </w:r>
      <w:r>
        <w:rPr>
          <w:rFonts w:ascii="Times New Roman" w:eastAsia="MS Mincho" w:hAnsi="Times New Roman"/>
        </w:rPr>
        <w:t>c</w:t>
      </w:r>
      <w:r w:rsidRPr="00580110">
        <w:rPr>
          <w:rFonts w:ascii="Times New Roman" w:eastAsia="MS Mincho" w:hAnsi="Times New Roman"/>
        </w:rPr>
        <w:t xml:space="preserve">onflicts of </w:t>
      </w:r>
      <w:r>
        <w:rPr>
          <w:rFonts w:ascii="Times New Roman" w:eastAsia="MS Mincho" w:hAnsi="Times New Roman"/>
        </w:rPr>
        <w:t>i</w:t>
      </w:r>
      <w:r w:rsidRPr="00580110">
        <w:rPr>
          <w:rFonts w:ascii="Times New Roman" w:eastAsia="MS Mincho" w:hAnsi="Times New Roman"/>
        </w:rPr>
        <w:t>nterest and basic information rela</w:t>
      </w:r>
      <w:r w:rsidR="004019DF">
        <w:rPr>
          <w:rFonts w:ascii="Times New Roman" w:eastAsia="MS Mincho" w:hAnsi="Times New Roman"/>
        </w:rPr>
        <w:t>ting to those conflicts and principal transactions and riskless principal transactions</w:t>
      </w:r>
      <w:r w:rsidRPr="00580110">
        <w:rPr>
          <w:rFonts w:ascii="Times New Roman" w:eastAsia="MS Mincho" w:hAnsi="Times New Roman"/>
        </w:rPr>
        <w:t xml:space="preserve"> in Section II</w:t>
      </w:r>
      <w:r w:rsidR="00566FEB">
        <w:rPr>
          <w:rFonts w:ascii="Times New Roman" w:eastAsia="MS Mincho" w:hAnsi="Times New Roman"/>
        </w:rPr>
        <w:t xml:space="preserve">, and, </w:t>
      </w:r>
      <w:r w:rsidR="00566FEB">
        <w:rPr>
          <w:rFonts w:ascii="Times New Roman" w:hAnsi="Times New Roman"/>
        </w:rPr>
        <w:t>except with respect to existing contracts, documentation of the retirement investor’s affirmative written consent to engage in principal transactions</w:t>
      </w:r>
      <w:r w:rsidR="002E2880">
        <w:rPr>
          <w:rFonts w:ascii="Times New Roman" w:eastAsia="MS Mincho" w:hAnsi="Times New Roman"/>
        </w:rPr>
        <w:t xml:space="preserve">.  In addition, </w:t>
      </w:r>
      <w:r w:rsidR="00943C58">
        <w:rPr>
          <w:rFonts w:ascii="Times New Roman" w:eastAsia="MS Mincho" w:hAnsi="Times New Roman"/>
        </w:rPr>
        <w:t xml:space="preserve">Section IV of </w:t>
      </w:r>
      <w:r w:rsidR="002E2880">
        <w:rPr>
          <w:rFonts w:ascii="Times New Roman" w:eastAsia="MS Mincho" w:hAnsi="Times New Roman"/>
        </w:rPr>
        <w:t xml:space="preserve">the exemption requires a transaction disclosure, </w:t>
      </w:r>
      <w:r w:rsidR="00651AF8" w:rsidRPr="00664FF4">
        <w:rPr>
          <w:rFonts w:ascii="Times New Roman" w:hAnsi="Times New Roman"/>
        </w:rPr>
        <w:t>either orally or in writing</w:t>
      </w:r>
      <w:r w:rsidR="00651AF8">
        <w:rPr>
          <w:rFonts w:ascii="Times New Roman" w:hAnsi="Times New Roman"/>
        </w:rPr>
        <w:t xml:space="preserve">, of the capacity in which the </w:t>
      </w:r>
      <w:r w:rsidR="00943C58">
        <w:rPr>
          <w:rFonts w:ascii="Times New Roman" w:hAnsi="Times New Roman"/>
        </w:rPr>
        <w:t>f</w:t>
      </w:r>
      <w:r w:rsidR="00651AF8">
        <w:rPr>
          <w:rFonts w:ascii="Times New Roman" w:hAnsi="Times New Roman"/>
        </w:rPr>
        <w:t xml:space="preserve">inancial </w:t>
      </w:r>
      <w:r w:rsidR="00943C58">
        <w:rPr>
          <w:rFonts w:ascii="Times New Roman" w:hAnsi="Times New Roman"/>
        </w:rPr>
        <w:t>i</w:t>
      </w:r>
      <w:r w:rsidR="00651AF8">
        <w:rPr>
          <w:rFonts w:ascii="Times New Roman" w:hAnsi="Times New Roman"/>
        </w:rPr>
        <w:t>nstitution may act with res</w:t>
      </w:r>
      <w:r w:rsidR="002E2880">
        <w:rPr>
          <w:rFonts w:ascii="Times New Roman" w:hAnsi="Times New Roman"/>
        </w:rPr>
        <w:t>p</w:t>
      </w:r>
      <w:r w:rsidR="00651AF8">
        <w:rPr>
          <w:rFonts w:ascii="Times New Roman" w:hAnsi="Times New Roman"/>
        </w:rPr>
        <w:t>ect to the transaction</w:t>
      </w:r>
      <w:r w:rsidR="002E2880">
        <w:rPr>
          <w:rFonts w:ascii="Times New Roman" w:hAnsi="Times New Roman"/>
        </w:rPr>
        <w:t xml:space="preserve">; a </w:t>
      </w:r>
      <w:r w:rsidR="00651AF8">
        <w:rPr>
          <w:rFonts w:ascii="Times New Roman" w:hAnsi="Times New Roman"/>
        </w:rPr>
        <w:t>written confirmation of the transaction</w:t>
      </w:r>
      <w:r w:rsidR="002E2880">
        <w:rPr>
          <w:rFonts w:ascii="Times New Roman" w:hAnsi="Times New Roman"/>
        </w:rPr>
        <w:t xml:space="preserve">; and </w:t>
      </w:r>
      <w:r w:rsidR="00651AF8" w:rsidRPr="00C94150">
        <w:rPr>
          <w:rFonts w:ascii="Times New Roman" w:hAnsi="Times New Roman"/>
        </w:rPr>
        <w:t xml:space="preserve">an annual </w:t>
      </w:r>
      <w:r w:rsidR="00651AF8">
        <w:rPr>
          <w:rFonts w:ascii="Times New Roman" w:hAnsi="Times New Roman"/>
        </w:rPr>
        <w:t xml:space="preserve">written </w:t>
      </w:r>
      <w:r w:rsidR="00651AF8" w:rsidRPr="002E2880">
        <w:rPr>
          <w:rFonts w:ascii="Times New Roman" w:hAnsi="Times New Roman"/>
          <w:sz w:val="22"/>
        </w:rPr>
        <w:t>disclo</w:t>
      </w:r>
      <w:r w:rsidR="002E2880" w:rsidRPr="002E2880">
        <w:rPr>
          <w:rFonts w:ascii="Times New Roman" w:hAnsi="Times New Roman"/>
          <w:sz w:val="22"/>
        </w:rPr>
        <w:t>s</w:t>
      </w:r>
      <w:r w:rsidR="00651AF8" w:rsidRPr="002E2880">
        <w:rPr>
          <w:rFonts w:ascii="Times New Roman" w:hAnsi="Times New Roman"/>
          <w:sz w:val="22"/>
        </w:rPr>
        <w:t>ure</w:t>
      </w:r>
      <w:r w:rsidR="00566FEB">
        <w:rPr>
          <w:rFonts w:ascii="Times New Roman" w:hAnsi="Times New Roman"/>
          <w:sz w:val="22"/>
        </w:rPr>
        <w:t xml:space="preserve"> identifying the transactions entered into in reliance on the exemption during the annual period and the date and price of the transactions</w:t>
      </w:r>
      <w:r w:rsidR="00651AF8" w:rsidRPr="002E2880">
        <w:rPr>
          <w:rFonts w:ascii="Times New Roman" w:hAnsi="Times New Roman"/>
          <w:sz w:val="22"/>
        </w:rPr>
        <w:t>.</w:t>
      </w:r>
      <w:r w:rsidR="00566FEB">
        <w:rPr>
          <w:rFonts w:ascii="Times New Roman" w:hAnsi="Times New Roman"/>
          <w:sz w:val="22"/>
        </w:rPr>
        <w:t xml:space="preserve">  Certain information must also be made available on the financial institution’s website, including model contract disclosures or other model notice of the contract terms and a written description of the financial institution’s policies and procedures.</w:t>
      </w:r>
    </w:p>
    <w:p w:rsidR="00651AF8" w:rsidRDefault="00651AF8" w:rsidP="00651AF8">
      <w:pPr>
        <w:pStyle w:val="ListParagraph"/>
        <w:rPr>
          <w:rFonts w:ascii="Times New Roman" w:hAnsi="Times New Roman"/>
        </w:rPr>
      </w:pPr>
    </w:p>
    <w:p w:rsidR="00651AF8" w:rsidRDefault="00651AF8" w:rsidP="00651AF8">
      <w:pPr>
        <w:widowControl/>
        <w:ind w:left="720"/>
        <w:rPr>
          <w:rFonts w:ascii="Times New Roman" w:hAnsi="Times New Roman"/>
        </w:rPr>
      </w:pPr>
      <w:r>
        <w:rPr>
          <w:rFonts w:ascii="Times New Roman" w:hAnsi="Times New Roman"/>
        </w:rPr>
        <w:t xml:space="preserve">The exemption also requires the </w:t>
      </w:r>
      <w:r w:rsidR="00943C58">
        <w:rPr>
          <w:rFonts w:ascii="Times New Roman" w:hAnsi="Times New Roman"/>
        </w:rPr>
        <w:t>f</w:t>
      </w:r>
      <w:r>
        <w:rPr>
          <w:rFonts w:ascii="Times New Roman" w:hAnsi="Times New Roman"/>
        </w:rPr>
        <w:t xml:space="preserve">inancial </w:t>
      </w:r>
      <w:r w:rsidR="00943C58">
        <w:rPr>
          <w:rFonts w:ascii="Times New Roman" w:hAnsi="Times New Roman"/>
        </w:rPr>
        <w:t>i</w:t>
      </w:r>
      <w:r>
        <w:rPr>
          <w:rFonts w:ascii="Times New Roman" w:hAnsi="Times New Roman"/>
        </w:rPr>
        <w:t>nstitution to maintain for a period of six years from the date of each principal transaction or riskless principal transaction, in a manner that is reasonably accessible for examination, the records necessary to enable the Department or Internal Revenue Service, a plan or IRA fiduciary, an employer of participants and beneficiaries</w:t>
      </w:r>
      <w:r w:rsidR="00943C58">
        <w:rPr>
          <w:rFonts w:ascii="Times New Roman" w:hAnsi="Times New Roman"/>
        </w:rPr>
        <w:t>,</w:t>
      </w:r>
      <w:r>
        <w:rPr>
          <w:rFonts w:ascii="Times New Roman" w:hAnsi="Times New Roman"/>
        </w:rPr>
        <w:t xml:space="preserve"> employee organizations whose members are covered by the plan, and participant</w:t>
      </w:r>
      <w:r w:rsidR="00943C58">
        <w:rPr>
          <w:rFonts w:ascii="Times New Roman" w:hAnsi="Times New Roman"/>
        </w:rPr>
        <w:t>s</w:t>
      </w:r>
      <w:r>
        <w:rPr>
          <w:rFonts w:ascii="Times New Roman" w:hAnsi="Times New Roman"/>
        </w:rPr>
        <w:t xml:space="preserve"> or beneficiar</w:t>
      </w:r>
      <w:r w:rsidR="00943C58">
        <w:rPr>
          <w:rFonts w:ascii="Times New Roman" w:hAnsi="Times New Roman"/>
        </w:rPr>
        <w:t>ies</w:t>
      </w:r>
      <w:r>
        <w:rPr>
          <w:rFonts w:ascii="Times New Roman" w:hAnsi="Times New Roman"/>
        </w:rPr>
        <w:t xml:space="preserve"> of a plan or </w:t>
      </w:r>
      <w:r w:rsidR="00943C58">
        <w:rPr>
          <w:rFonts w:ascii="Times New Roman" w:hAnsi="Times New Roman"/>
        </w:rPr>
        <w:t xml:space="preserve">IRA owners, </w:t>
      </w:r>
      <w:r>
        <w:rPr>
          <w:rFonts w:ascii="Times New Roman" w:hAnsi="Times New Roman"/>
        </w:rPr>
        <w:t>to determine whether the conditions of the exemption have been met.</w:t>
      </w:r>
    </w:p>
    <w:p w:rsidR="00651AF8" w:rsidRDefault="00651AF8" w:rsidP="00651AF8">
      <w:pPr>
        <w:widowControl/>
        <w:ind w:left="720"/>
        <w:rPr>
          <w:rFonts w:ascii="Times New Roman" w:hAnsi="Times New Roman"/>
        </w:rPr>
      </w:pPr>
    </w:p>
    <w:p w:rsidR="00651AF8" w:rsidRDefault="00092D41" w:rsidP="000F7F3C">
      <w:pPr>
        <w:ind w:left="720"/>
        <w:rPr>
          <w:rFonts w:ascii="Times New Roman" w:hAnsi="Times New Roman"/>
        </w:rPr>
      </w:pPr>
      <w:r>
        <w:rPr>
          <w:rFonts w:ascii="Times New Roman" w:hAnsi="Times New Roman"/>
        </w:rPr>
        <w:t xml:space="preserve">Finally, the exemption provides for </w:t>
      </w:r>
      <w:r w:rsidRPr="00106138">
        <w:rPr>
          <w:rFonts w:ascii="Times New Roman" w:hAnsi="Times New Roman"/>
        </w:rPr>
        <w:t xml:space="preserve">a transition period under which relief from these prohibitions is available for </w:t>
      </w:r>
      <w:r>
        <w:rPr>
          <w:rFonts w:ascii="Times New Roman" w:hAnsi="Times New Roman"/>
        </w:rPr>
        <w:t>f</w:t>
      </w:r>
      <w:r w:rsidRPr="00106138">
        <w:rPr>
          <w:rFonts w:ascii="Times New Roman" w:hAnsi="Times New Roman"/>
        </w:rPr>
        <w:t xml:space="preserve">inancial </w:t>
      </w:r>
      <w:r>
        <w:rPr>
          <w:rFonts w:ascii="Times New Roman" w:hAnsi="Times New Roman"/>
        </w:rPr>
        <w:t>i</w:t>
      </w:r>
      <w:r w:rsidRPr="00106138">
        <w:rPr>
          <w:rFonts w:ascii="Times New Roman" w:hAnsi="Times New Roman"/>
        </w:rPr>
        <w:t xml:space="preserve">nstitutions and </w:t>
      </w:r>
      <w:r>
        <w:rPr>
          <w:rFonts w:ascii="Times New Roman" w:hAnsi="Times New Roman"/>
        </w:rPr>
        <w:t>a</w:t>
      </w:r>
      <w:r w:rsidRPr="00106138">
        <w:rPr>
          <w:rFonts w:ascii="Times New Roman" w:hAnsi="Times New Roman"/>
        </w:rPr>
        <w:t xml:space="preserve">dvisers during the period between the Applicability Date </w:t>
      </w:r>
      <w:r>
        <w:rPr>
          <w:rFonts w:ascii="Times New Roman" w:hAnsi="Times New Roman"/>
        </w:rPr>
        <w:t xml:space="preserve">(January 1, 2017) </w:t>
      </w:r>
      <w:r w:rsidRPr="00106138">
        <w:rPr>
          <w:rFonts w:ascii="Times New Roman" w:hAnsi="Times New Roman"/>
        </w:rPr>
        <w:t xml:space="preserve">and January 1, 2018 (the “Transition Period”).  For the Transition Period, full relief under the exemption will be available for </w:t>
      </w:r>
      <w:r>
        <w:rPr>
          <w:rFonts w:ascii="Times New Roman" w:hAnsi="Times New Roman"/>
        </w:rPr>
        <w:t>f</w:t>
      </w:r>
      <w:r w:rsidRPr="00106138">
        <w:rPr>
          <w:rFonts w:ascii="Times New Roman" w:hAnsi="Times New Roman"/>
        </w:rPr>
        <w:t xml:space="preserve">inancial </w:t>
      </w:r>
      <w:r>
        <w:rPr>
          <w:rFonts w:ascii="Times New Roman" w:hAnsi="Times New Roman"/>
        </w:rPr>
        <w:t>i</w:t>
      </w:r>
      <w:r w:rsidRPr="00106138">
        <w:rPr>
          <w:rFonts w:ascii="Times New Roman" w:hAnsi="Times New Roman"/>
        </w:rPr>
        <w:t xml:space="preserve">nstitutions and </w:t>
      </w:r>
      <w:r>
        <w:rPr>
          <w:rFonts w:ascii="Times New Roman" w:hAnsi="Times New Roman"/>
        </w:rPr>
        <w:t>a</w:t>
      </w:r>
      <w:r w:rsidRPr="00106138">
        <w:rPr>
          <w:rFonts w:ascii="Times New Roman" w:hAnsi="Times New Roman"/>
        </w:rPr>
        <w:t>dvisers subject to more limited conditions</w:t>
      </w:r>
      <w:r>
        <w:rPr>
          <w:rFonts w:ascii="Times New Roman" w:hAnsi="Times New Roman"/>
        </w:rPr>
        <w:t xml:space="preserve">, including that the </w:t>
      </w:r>
      <w:r>
        <w:rPr>
          <w:rFonts w:ascii="Times New Roman" w:eastAsia="MS Mincho" w:hAnsi="Times New Roman"/>
        </w:rPr>
        <w:t>f</w:t>
      </w:r>
      <w:r w:rsidRPr="00426763">
        <w:rPr>
          <w:rFonts w:ascii="Times New Roman" w:eastAsia="MS Mincho" w:hAnsi="Times New Roman"/>
        </w:rPr>
        <w:t xml:space="preserve">inancial </w:t>
      </w:r>
      <w:r>
        <w:rPr>
          <w:rFonts w:ascii="Times New Roman" w:eastAsia="MS Mincho" w:hAnsi="Times New Roman"/>
        </w:rPr>
        <w:t>i</w:t>
      </w:r>
      <w:r w:rsidRPr="00426763">
        <w:rPr>
          <w:rFonts w:ascii="Times New Roman" w:eastAsia="MS Mincho" w:hAnsi="Times New Roman"/>
        </w:rPr>
        <w:t xml:space="preserve">nstitutions </w:t>
      </w:r>
      <w:r>
        <w:rPr>
          <w:rFonts w:ascii="Times New Roman" w:eastAsia="MS Mincho" w:hAnsi="Times New Roman"/>
        </w:rPr>
        <w:t xml:space="preserve">provide a disclosure with a written statement of fiduciary status and certain </w:t>
      </w:r>
      <w:r>
        <w:rPr>
          <w:rFonts w:ascii="Times New Roman" w:eastAsia="MS Mincho" w:hAnsi="Times New Roman"/>
        </w:rPr>
        <w:lastRenderedPageBreak/>
        <w:t>other</w:t>
      </w:r>
      <w:r w:rsidRPr="00426763">
        <w:rPr>
          <w:rFonts w:ascii="Times New Roman" w:eastAsia="MS Mincho" w:hAnsi="Times New Roman"/>
        </w:rPr>
        <w:t xml:space="preserve"> </w:t>
      </w:r>
      <w:r>
        <w:rPr>
          <w:rFonts w:ascii="Times New Roman" w:eastAsia="MS Mincho" w:hAnsi="Times New Roman"/>
        </w:rPr>
        <w:t>information</w:t>
      </w:r>
      <w:r w:rsidRPr="00426763">
        <w:rPr>
          <w:rFonts w:ascii="Times New Roman" w:eastAsia="MS Mincho" w:hAnsi="Times New Roman"/>
        </w:rPr>
        <w:t xml:space="preserve"> to all </w:t>
      </w:r>
      <w:r>
        <w:rPr>
          <w:rFonts w:ascii="Times New Roman" w:eastAsia="MS Mincho" w:hAnsi="Times New Roman"/>
        </w:rPr>
        <w:t>r</w:t>
      </w:r>
      <w:r w:rsidRPr="00426763">
        <w:rPr>
          <w:rFonts w:ascii="Times New Roman" w:eastAsia="MS Mincho" w:hAnsi="Times New Roman"/>
        </w:rPr>
        <w:t xml:space="preserve">etirement </w:t>
      </w:r>
      <w:r>
        <w:rPr>
          <w:rFonts w:ascii="Times New Roman" w:eastAsia="MS Mincho" w:hAnsi="Times New Roman"/>
        </w:rPr>
        <w:t>i</w:t>
      </w:r>
      <w:r w:rsidRPr="00426763">
        <w:rPr>
          <w:rFonts w:ascii="Times New Roman" w:eastAsia="MS Mincho" w:hAnsi="Times New Roman"/>
        </w:rPr>
        <w:t>nvestors (in ERISA plans, IRAs, and non-ERISA plans) prior to or at the same time as the execution of recommended transactions</w:t>
      </w:r>
    </w:p>
    <w:p w:rsidR="00651AF8" w:rsidRDefault="00651AF8" w:rsidP="000F7F3C">
      <w:pPr>
        <w:ind w:left="720"/>
        <w:rPr>
          <w:rFonts w:ascii="Times New Roman" w:hAnsi="Times New Roman"/>
        </w:rPr>
      </w:pPr>
    </w:p>
    <w:p w:rsidR="00092D41" w:rsidRPr="0069643E" w:rsidRDefault="00092D41" w:rsidP="00092D41">
      <w:pPr>
        <w:ind w:left="720"/>
        <w:rPr>
          <w:rFonts w:ascii="Times New Roman" w:hAnsi="Times New Roman"/>
        </w:rPr>
      </w:pPr>
      <w:r>
        <w:rPr>
          <w:rFonts w:ascii="Times New Roman" w:hAnsi="Times New Roman"/>
        </w:rPr>
        <w:t xml:space="preserve">These contract, policies and procedures, and disclosure requirements are designed as appropriate safeguards to ensure the protection of the plan and IRA assets involved in the transactions, which, in the absence of the class exemption, would not be permitted.  Moreover, the </w:t>
      </w:r>
      <w:r w:rsidRPr="0078280B">
        <w:rPr>
          <w:rFonts w:ascii="Times New Roman" w:hAnsi="Times New Roman"/>
        </w:rPr>
        <w:t xml:space="preserve">recordkeeping requirement is </w:t>
      </w:r>
      <w:r>
        <w:rPr>
          <w:rFonts w:ascii="Times New Roman" w:hAnsi="Times New Roman"/>
        </w:rPr>
        <w:t xml:space="preserve">intended to be protective of </w:t>
      </w:r>
      <w:r w:rsidRPr="0078280B">
        <w:rPr>
          <w:rFonts w:ascii="Times New Roman" w:hAnsi="Times New Roman"/>
        </w:rPr>
        <w:t>rights of plan participants and beneficiaries and IRA owners</w:t>
      </w:r>
      <w:r>
        <w:rPr>
          <w:rFonts w:ascii="Times New Roman" w:hAnsi="Times New Roman"/>
        </w:rPr>
        <w:t xml:space="preserve"> by ensuring they and the Department can confirm that the conditions of the exemption has been satisfied.</w:t>
      </w:r>
    </w:p>
    <w:p w:rsidR="00B16F95" w:rsidRDefault="00B16F95" w:rsidP="000F7F3C">
      <w:pPr>
        <w:ind w:left="720"/>
        <w:rPr>
          <w:rFonts w:ascii="Times New Roman" w:hAnsi="Times New Roman"/>
        </w:rPr>
      </w:pPr>
    </w:p>
    <w:p w:rsidR="00BE3D72" w:rsidRPr="00235B48" w:rsidRDefault="00BE3D72" w:rsidP="000F7F3C">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3.</w:t>
      </w:r>
      <w:r w:rsidRPr="00235B48">
        <w:rPr>
          <w:rFonts w:ascii="Times New Roman" w:hAnsi="Times New Roman"/>
        </w:rPr>
        <w:tab/>
      </w:r>
      <w:r w:rsidRPr="00235B48">
        <w:rPr>
          <w:rFonts w:ascii="Times New Roman" w:hAnsi="Times New Roman"/>
          <w:i/>
          <w:i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670F" w:rsidRPr="00235B48" w:rsidRDefault="00F3670F" w:rsidP="008C7AA2">
      <w:pPr>
        <w:widowControl/>
        <w:ind w:left="720"/>
        <w:rPr>
          <w:rFonts w:ascii="Times New Roman" w:hAnsi="Times New Roman"/>
        </w:rPr>
      </w:pPr>
    </w:p>
    <w:p w:rsidR="00092D41" w:rsidRDefault="00092D41" w:rsidP="00092D41">
      <w:pPr>
        <w:widowControl/>
        <w:ind w:left="720"/>
        <w:rPr>
          <w:rFonts w:ascii="Times New Roman" w:hAnsi="Times New Roman"/>
        </w:rPr>
      </w:pPr>
      <w:r w:rsidRPr="00747506">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092D41" w:rsidRDefault="00092D41" w:rsidP="00092D41">
      <w:pPr>
        <w:widowControl/>
        <w:ind w:left="720"/>
        <w:rPr>
          <w:rFonts w:ascii="Times New Roman" w:hAnsi="Times New Roman"/>
        </w:rPr>
      </w:pPr>
    </w:p>
    <w:p w:rsidR="00092D41" w:rsidRPr="00FB4276" w:rsidRDefault="00092D41" w:rsidP="00092D41">
      <w:pPr>
        <w:ind w:left="720"/>
        <w:rPr>
          <w:rFonts w:ascii="Times New Roman" w:hAnsi="Times New Roman"/>
        </w:rPr>
      </w:pPr>
      <w:r>
        <w:rPr>
          <w:rFonts w:ascii="Times New Roman" w:hAnsi="Times New Roman"/>
        </w:rPr>
        <w:t xml:space="preserve">As further discussed in items 12 and 13 below, the Department has taken into account that some of the disclosures and written authorizations will be delivered electronically. </w:t>
      </w:r>
    </w:p>
    <w:p w:rsidR="00092D41" w:rsidRDefault="00092D41" w:rsidP="00092D41">
      <w:pPr>
        <w:widowControl/>
        <w:ind w:left="720"/>
        <w:rPr>
          <w:rFonts w:ascii="Times New Roman" w:hAnsi="Times New Roman"/>
        </w:rPr>
      </w:pPr>
      <w:r>
        <w:rPr>
          <w:rFonts w:ascii="Times New Roman" w:hAnsi="Times New Roman"/>
        </w:rPr>
        <w:t xml:space="preserve">The exemption provides that a retirement investor’s assent to the contract may be evidenced by electronic signature and that the required disclosures may be provided electronically.  </w:t>
      </w:r>
    </w:p>
    <w:p w:rsidR="00092D41" w:rsidRDefault="00092D41"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sz w:val="20"/>
          <w:szCs w:val="20"/>
        </w:rPr>
      </w:pPr>
      <w:r w:rsidRPr="00235B48">
        <w:rPr>
          <w:rFonts w:ascii="Times New Roman" w:hAnsi="Times New Roman"/>
        </w:rPr>
        <w:t>4.</w:t>
      </w:r>
      <w:r w:rsidRPr="00235B48">
        <w:rPr>
          <w:rFonts w:ascii="Times New Roman" w:hAnsi="Times New Roman"/>
          <w:i/>
          <w:iCs/>
        </w:rPr>
        <w:tab/>
      </w:r>
      <w:r w:rsidRPr="00235B48">
        <w:rPr>
          <w:rFonts w:ascii="Times New Roman" w:hAnsi="Times New Roman"/>
          <w:i/>
          <w:iCs/>
          <w:sz w:val="20"/>
          <w:szCs w:val="20"/>
        </w:rPr>
        <w:t xml:space="preserve">Describe efforts to identify duplication.  Show specifically why any similar information already available cannot be used or modified for use for the purposes described in Item 2 above.  </w:t>
      </w:r>
    </w:p>
    <w:p w:rsidR="00F3670F" w:rsidRPr="00235B48" w:rsidRDefault="00F3670F" w:rsidP="008C7AA2">
      <w:pPr>
        <w:widowControl/>
        <w:ind w:left="720"/>
        <w:rPr>
          <w:rFonts w:ascii="Times New Roman" w:hAnsi="Times New Roman"/>
        </w:rPr>
      </w:pPr>
    </w:p>
    <w:p w:rsidR="00092D41" w:rsidRDefault="00092D41" w:rsidP="00092D41">
      <w:pPr>
        <w:ind w:left="720"/>
        <w:rPr>
          <w:rFonts w:ascii="Times New Roman" w:hAnsi="Times New Roman"/>
        </w:rPr>
      </w:pPr>
      <w:r>
        <w:rPr>
          <w:rFonts w:ascii="Times New Roman" w:hAnsi="Times New Roman"/>
        </w:rPr>
        <w:t>The disclosure and confirmation statements of this class exemption are similar in some respects to the information required to be disclosed by the Securities and Exchange Commission (SEC).  To the extent the disclosure requirements overlap, compliance with the SEC disclosure requirements can be used.  It is also likely that duplication of recordkeeping requirements exist with some state and federal banking and securities laws.  However, no duplicate recordkeeping is required because entities are able to satisfy the requirements of both the exemption and of the other applicable laws through one recordkeeping arrangement. The Department is not aware of any other already available information that could be used or modified for the ICRs associated with the exemption.</w:t>
      </w:r>
    </w:p>
    <w:p w:rsidR="004D1676" w:rsidRPr="00235B48" w:rsidRDefault="004D1676"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5.</w:t>
      </w:r>
      <w:r w:rsidRPr="00235B48">
        <w:rPr>
          <w:rFonts w:ascii="Times New Roman" w:hAnsi="Times New Roman"/>
        </w:rPr>
        <w:tab/>
      </w:r>
      <w:r w:rsidRPr="00235B48">
        <w:rPr>
          <w:rFonts w:ascii="Times New Roman" w:hAnsi="Times New Roman"/>
          <w:i/>
          <w:iCs/>
          <w:sz w:val="20"/>
          <w:szCs w:val="20"/>
        </w:rPr>
        <w:t>If the collection of information impacts small businesses or other small entities</w:t>
      </w:r>
      <w:r w:rsidR="00C21EBA" w:rsidRPr="00235B48">
        <w:rPr>
          <w:rFonts w:ascii="Times New Roman" w:hAnsi="Times New Roman"/>
          <w:i/>
          <w:iCs/>
          <w:sz w:val="20"/>
          <w:szCs w:val="20"/>
        </w:rPr>
        <w:t xml:space="preserve"> </w:t>
      </w:r>
      <w:r w:rsidRPr="00235B48">
        <w:rPr>
          <w:rFonts w:ascii="Times New Roman" w:hAnsi="Times New Roman"/>
          <w:i/>
          <w:iCs/>
          <w:sz w:val="20"/>
          <w:szCs w:val="20"/>
        </w:rPr>
        <w:t>describe any methods used to minimize burden.</w:t>
      </w:r>
    </w:p>
    <w:p w:rsidR="00F3670F" w:rsidRPr="00235B48" w:rsidRDefault="00F3670F" w:rsidP="008C7AA2">
      <w:pPr>
        <w:widowControl/>
        <w:ind w:left="720"/>
        <w:rPr>
          <w:rFonts w:ascii="Times New Roman" w:hAnsi="Times New Roman"/>
        </w:rPr>
      </w:pPr>
    </w:p>
    <w:p w:rsidR="00092D41" w:rsidRDefault="00092D41" w:rsidP="00092D41">
      <w:pPr>
        <w:ind w:left="720"/>
        <w:rPr>
          <w:rFonts w:ascii="Times New Roman" w:hAnsi="Times New Roman"/>
        </w:rPr>
      </w:pPr>
      <w:r>
        <w:rPr>
          <w:rFonts w:ascii="Times New Roman" w:hAnsi="Times New Roman"/>
        </w:rPr>
        <w:t xml:space="preserve">The information collections impose the minimal burden needed to protect retirement investors’ assets </w:t>
      </w:r>
      <w:r w:rsidR="00144C68">
        <w:rPr>
          <w:rFonts w:ascii="Times New Roman" w:hAnsi="Times New Roman"/>
        </w:rPr>
        <w:t>from transactions</w:t>
      </w:r>
      <w:r>
        <w:rPr>
          <w:rFonts w:ascii="Times New Roman" w:hAnsi="Times New Roman"/>
        </w:rPr>
        <w:t xml:space="preserve"> that are tainted by conflicts of interest.  </w:t>
      </w:r>
      <w:r w:rsidRPr="00681902">
        <w:rPr>
          <w:rFonts w:ascii="Times New Roman" w:hAnsi="Times New Roman"/>
        </w:rPr>
        <w:t xml:space="preserve">In response to </w:t>
      </w:r>
      <w:r>
        <w:rPr>
          <w:rFonts w:ascii="Times New Roman" w:hAnsi="Times New Roman"/>
        </w:rPr>
        <w:t>comments received on the proposed exemption</w:t>
      </w:r>
      <w:r w:rsidRPr="00681902">
        <w:rPr>
          <w:rFonts w:ascii="Times New Roman" w:hAnsi="Times New Roman"/>
        </w:rPr>
        <w:t xml:space="preserve">, the Department has significantly revised the </w:t>
      </w:r>
      <w:r>
        <w:rPr>
          <w:rFonts w:ascii="Times New Roman" w:hAnsi="Times New Roman"/>
        </w:rPr>
        <w:t>information collection</w:t>
      </w:r>
      <w:r w:rsidRPr="00681902">
        <w:rPr>
          <w:rFonts w:ascii="Times New Roman" w:hAnsi="Times New Roman"/>
        </w:rPr>
        <w:t xml:space="preserve"> requirement</w:t>
      </w:r>
      <w:r>
        <w:rPr>
          <w:rFonts w:ascii="Times New Roman" w:hAnsi="Times New Roman"/>
        </w:rPr>
        <w:t>s</w:t>
      </w:r>
      <w:r w:rsidRPr="00681902">
        <w:rPr>
          <w:rFonts w:ascii="Times New Roman" w:hAnsi="Times New Roman"/>
        </w:rPr>
        <w:t xml:space="preserve"> in the final exemption </w:t>
      </w:r>
      <w:r>
        <w:rPr>
          <w:rFonts w:ascii="Times New Roman" w:hAnsi="Times New Roman"/>
        </w:rPr>
        <w:t xml:space="preserve">by </w:t>
      </w:r>
      <w:r w:rsidRPr="00681902">
        <w:rPr>
          <w:rFonts w:ascii="Times New Roman" w:hAnsi="Times New Roman"/>
        </w:rPr>
        <w:t>focus</w:t>
      </w:r>
      <w:r>
        <w:rPr>
          <w:rFonts w:ascii="Times New Roman" w:hAnsi="Times New Roman"/>
        </w:rPr>
        <w:t xml:space="preserve">ing </w:t>
      </w:r>
      <w:r w:rsidRPr="00681902">
        <w:rPr>
          <w:rFonts w:ascii="Times New Roman" w:hAnsi="Times New Roman"/>
        </w:rPr>
        <w:t xml:space="preserve">on the most salient information about the </w:t>
      </w:r>
      <w:r>
        <w:rPr>
          <w:rFonts w:ascii="Times New Roman" w:hAnsi="Times New Roman"/>
        </w:rPr>
        <w:t>recommended investment</w:t>
      </w:r>
      <w:r w:rsidRPr="00681902">
        <w:rPr>
          <w:rFonts w:ascii="Times New Roman" w:hAnsi="Times New Roman"/>
        </w:rPr>
        <w:t xml:space="preserve"> and material conflicts of interest, eliminat</w:t>
      </w:r>
      <w:r>
        <w:rPr>
          <w:rFonts w:ascii="Times New Roman" w:hAnsi="Times New Roman"/>
        </w:rPr>
        <w:t>ing</w:t>
      </w:r>
      <w:r w:rsidR="00144C68">
        <w:rPr>
          <w:rFonts w:ascii="Times New Roman" w:hAnsi="Times New Roman"/>
        </w:rPr>
        <w:t xml:space="preserve"> the proposed requirement that the financial institution obtain and disclose two price quotes from ready and willing unaffiliated counterparties, and the proposed requirement that financial institutions disclose the mark-up or mark-down on the transaction</w:t>
      </w:r>
      <w:r>
        <w:rPr>
          <w:rFonts w:ascii="Times New Roman" w:hAnsi="Times New Roman"/>
        </w:rPr>
        <w:t xml:space="preserve">.  It is necessary for the information collection to apply equally to large and small entities to ensure that participants and beneficiaries and IRA owners are protected when their plans and IRAs engage in transactions that otherwise would be prohibited under ERISA and the Code. </w:t>
      </w:r>
    </w:p>
    <w:p w:rsidR="00943C58" w:rsidRDefault="00943C58" w:rsidP="00092D41">
      <w:pPr>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rPr>
      </w:pPr>
      <w:r w:rsidRPr="00235B48">
        <w:rPr>
          <w:rFonts w:ascii="Times New Roman" w:hAnsi="Times New Roman"/>
        </w:rPr>
        <w:t>6.</w:t>
      </w:r>
      <w:r w:rsidRPr="00235B48">
        <w:rPr>
          <w:rFonts w:ascii="Times New Roman" w:hAnsi="Times New Roman"/>
        </w:rPr>
        <w:tab/>
      </w:r>
      <w:r w:rsidRPr="00235B48">
        <w:rPr>
          <w:rFonts w:ascii="Times New Roman" w:hAnsi="Times New Roman"/>
          <w:i/>
          <w:iCs/>
          <w:sz w:val="20"/>
          <w:szCs w:val="20"/>
        </w:rPr>
        <w:t>Describe the consequence to Federal program or policy activities if the collection is not conducted or is conducted less frequently, as well as any technical or legal obstacles to reducing burden.</w:t>
      </w:r>
    </w:p>
    <w:p w:rsidR="00F3670F" w:rsidRPr="00235B48" w:rsidRDefault="00F3670F" w:rsidP="008C7AA2">
      <w:pPr>
        <w:widowControl/>
        <w:ind w:left="720"/>
        <w:rPr>
          <w:rFonts w:ascii="Times New Roman" w:hAnsi="Times New Roman"/>
        </w:rPr>
      </w:pPr>
    </w:p>
    <w:p w:rsidR="00144C68" w:rsidRDefault="00144C68" w:rsidP="008C7AA2">
      <w:pPr>
        <w:widowControl/>
        <w:ind w:left="720"/>
        <w:rPr>
          <w:rFonts w:ascii="Times New Roman" w:hAnsi="Times New Roman"/>
        </w:rPr>
      </w:pPr>
      <w:r w:rsidRPr="00AB25C5">
        <w:rPr>
          <w:rFonts w:ascii="Times New Roman" w:hAnsi="Times New Roman"/>
        </w:rPr>
        <w:t xml:space="preserve">The requirements of </w:t>
      </w:r>
      <w:r>
        <w:rPr>
          <w:rFonts w:ascii="Times New Roman" w:hAnsi="Times New Roman"/>
        </w:rPr>
        <w:t xml:space="preserve">this </w:t>
      </w:r>
      <w:r w:rsidRPr="00AB25C5">
        <w:rPr>
          <w:rFonts w:ascii="Times New Roman" w:hAnsi="Times New Roman"/>
        </w:rPr>
        <w:t xml:space="preserve">PTE are only mandatory if </w:t>
      </w:r>
      <w:r>
        <w:rPr>
          <w:rFonts w:ascii="Times New Roman" w:hAnsi="Times New Roman"/>
        </w:rPr>
        <w:t>financial institutions</w:t>
      </w:r>
      <w:r w:rsidRPr="00AB25C5">
        <w:rPr>
          <w:rFonts w:ascii="Times New Roman" w:hAnsi="Times New Roman"/>
        </w:rPr>
        <w:t xml:space="preserve"> </w:t>
      </w:r>
      <w:r>
        <w:rPr>
          <w:rFonts w:ascii="Times New Roman" w:hAnsi="Times New Roman"/>
        </w:rPr>
        <w:t>that</w:t>
      </w:r>
      <w:r w:rsidRPr="00AB25C5">
        <w:rPr>
          <w:rFonts w:ascii="Times New Roman" w:hAnsi="Times New Roman"/>
        </w:rPr>
        <w:t xml:space="preserve"> are fiduciaries wish to utilize the class exemption.  The frequency is dependent </w:t>
      </w:r>
      <w:r>
        <w:rPr>
          <w:rFonts w:ascii="Times New Roman" w:hAnsi="Times New Roman"/>
        </w:rPr>
        <w:t>up</w:t>
      </w:r>
      <w:r w:rsidRPr="00AB25C5">
        <w:rPr>
          <w:rFonts w:ascii="Times New Roman" w:hAnsi="Times New Roman"/>
        </w:rPr>
        <w:t>on the occurrence of such transactions, not on a predetermined time period.  This exempt</w:t>
      </w:r>
      <w:r>
        <w:rPr>
          <w:rFonts w:ascii="Times New Roman" w:hAnsi="Times New Roman"/>
        </w:rPr>
        <w:t xml:space="preserve">ion was designed to address comments received on the proposed exemption, including from numerous groups representing the regulated community who asserted that market disruptions would occur if the Department did not provide </w:t>
      </w:r>
      <w:proofErr w:type="spellStart"/>
      <w:r>
        <w:rPr>
          <w:rFonts w:ascii="Times New Roman" w:hAnsi="Times New Roman"/>
        </w:rPr>
        <w:t>exemptive</w:t>
      </w:r>
      <w:proofErr w:type="spellEnd"/>
      <w:r>
        <w:rPr>
          <w:rFonts w:ascii="Times New Roman" w:hAnsi="Times New Roman"/>
        </w:rPr>
        <w:t xml:space="preserve"> relief allowing them to engage in principal transactions and riskless principal transactions with plans and IRAs.</w:t>
      </w:r>
    </w:p>
    <w:p w:rsidR="00943C58" w:rsidRDefault="00943C58" w:rsidP="00144C68">
      <w:pPr>
        <w:widowControl/>
        <w:ind w:left="720"/>
        <w:rPr>
          <w:rFonts w:ascii="Times New Roman" w:hAnsi="Times New Roman"/>
        </w:rPr>
      </w:pPr>
    </w:p>
    <w:p w:rsidR="00144C68" w:rsidRDefault="00144C68" w:rsidP="00144C68">
      <w:pPr>
        <w:widowControl/>
        <w:ind w:left="720"/>
        <w:rPr>
          <w:rFonts w:ascii="Times New Roman" w:hAnsi="Times New Roman"/>
        </w:rPr>
      </w:pPr>
      <w:r>
        <w:rPr>
          <w:rFonts w:ascii="Times New Roman" w:hAnsi="Times New Roman"/>
        </w:rPr>
        <w:t>The contract, policies and procedures, disclosure and recordkeeping requirements are necessary to ensure that the exemption is protective of the rights of participants and beneficiaries as required under ERISA section 408(a) and Code section 4975(c</w:t>
      </w:r>
      <w:proofErr w:type="gramStart"/>
      <w:r>
        <w:rPr>
          <w:rFonts w:ascii="Times New Roman" w:hAnsi="Times New Roman"/>
        </w:rPr>
        <w:t>)(</w:t>
      </w:r>
      <w:proofErr w:type="gramEnd"/>
      <w:r>
        <w:rPr>
          <w:rFonts w:ascii="Times New Roman" w:hAnsi="Times New Roman"/>
        </w:rPr>
        <w:t>2).</w:t>
      </w:r>
    </w:p>
    <w:p w:rsidR="00360DC4" w:rsidRPr="00235B48" w:rsidRDefault="00360DC4" w:rsidP="008C7AA2">
      <w:pPr>
        <w:widowControl/>
        <w:ind w:left="720"/>
        <w:rPr>
          <w:rFonts w:ascii="Times New Roman" w:hAnsi="Times New Roman"/>
        </w:rPr>
      </w:pPr>
    </w:p>
    <w:p w:rsidR="00F3670F" w:rsidRPr="00235B48" w:rsidRDefault="00F3670F" w:rsidP="00235B48">
      <w:pPr>
        <w:pStyle w:val="Quick1"/>
        <w:widowControl/>
        <w:numPr>
          <w:ilvl w:val="0"/>
          <w:numId w:val="2"/>
        </w:numPr>
        <w:tabs>
          <w:tab w:val="left" w:pos="-1440"/>
          <w:tab w:val="num" w:pos="720"/>
        </w:tabs>
        <w:rPr>
          <w:rFonts w:ascii="Times New Roman" w:hAnsi="Times New Roman"/>
          <w:i/>
          <w:iCs/>
          <w:sz w:val="20"/>
          <w:szCs w:val="20"/>
        </w:rPr>
      </w:pPr>
      <w:r w:rsidRPr="00235B48">
        <w:rPr>
          <w:rFonts w:ascii="Times New Roman" w:hAnsi="Times New Roman"/>
          <w:i/>
          <w:iCs/>
          <w:sz w:val="20"/>
          <w:szCs w:val="20"/>
        </w:rPr>
        <w:t>Explain any special circumstances that would cause an information collection to be conducted in a manner:</w:t>
      </w:r>
    </w:p>
    <w:p w:rsidR="00F3670F" w:rsidRPr="00235B48" w:rsidRDefault="00F3670F" w:rsidP="00235B48">
      <w:pPr>
        <w:widowControl/>
        <w:rPr>
          <w:rFonts w:ascii="Times New Roman" w:hAnsi="Times New Roman"/>
          <w:i/>
          <w:iCs/>
          <w:sz w:val="20"/>
          <w:szCs w:val="20"/>
        </w:rPr>
      </w:pPr>
    </w:p>
    <w:p w:rsidR="00F3670F"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report information to the agency more often than quarterly;</w:t>
      </w:r>
    </w:p>
    <w:p w:rsidR="00E306C6" w:rsidRPr="00235B48" w:rsidRDefault="00E306C6" w:rsidP="00235B48">
      <w:pPr>
        <w:widowControl/>
        <w:tabs>
          <w:tab w:val="left" w:pos="-1440"/>
        </w:tabs>
        <w:ind w:left="1440" w:hanging="720"/>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prepare a written response to a collection of information in fewer than 30 days after receipt of it;</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more than an original and two copies of any document;</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retain records, other than health, medical, government contract, grant-in-aid, or tax records for more than three years;</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in</w:t>
      </w:r>
      <w:proofErr w:type="gramEnd"/>
      <w:r w:rsidRPr="00235B48">
        <w:rPr>
          <w:rFonts w:ascii="Times New Roman" w:hAnsi="Times New Roman"/>
          <w:i/>
          <w:iCs/>
          <w:sz w:val="20"/>
          <w:szCs w:val="20"/>
        </w:rPr>
        <w:t xml:space="preserve"> connection with a statistical survey, that is not designed to produce valid and reliable results that can be generalized to the universe of study;</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lastRenderedPageBreak/>
        <w:t>•</w:t>
      </w:r>
      <w:r w:rsidRPr="00235B48">
        <w:rPr>
          <w:rFonts w:ascii="Times New Roman" w:hAnsi="Times New Roman"/>
          <w:i/>
          <w:iCs/>
          <w:sz w:val="20"/>
          <w:szCs w:val="20"/>
        </w:rPr>
        <w:tab/>
        <w:t>requiring the use of a statistical data classification that has not been reviewed and approved by OMB;</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pStyle w:val="BodyTextIndent2"/>
        <w:widowControl/>
      </w:pPr>
      <w:r w:rsidRPr="00235B48">
        <w:t>•</w:t>
      </w:r>
      <w:r w:rsidRPr="00235B48">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F3670F" w:rsidRPr="00235B48" w:rsidRDefault="00F3670F" w:rsidP="008C7AA2">
      <w:pPr>
        <w:widowControl/>
        <w:ind w:left="720"/>
        <w:rPr>
          <w:rFonts w:ascii="Times New Roman" w:hAnsi="Times New Roman"/>
        </w:rPr>
      </w:pPr>
    </w:p>
    <w:p w:rsidR="00F3670F" w:rsidRDefault="008C3A3F" w:rsidP="008C7AA2">
      <w:pPr>
        <w:widowControl/>
        <w:ind w:left="720"/>
        <w:rPr>
          <w:rFonts w:ascii="Times New Roman" w:hAnsi="Times New Roman"/>
        </w:rPr>
      </w:pPr>
      <w:r w:rsidRPr="008C3A3F">
        <w:rPr>
          <w:rFonts w:ascii="Times New Roman" w:hAnsi="Times New Roman"/>
        </w:rPr>
        <w:t xml:space="preserve">Because this exemption is granted under </w:t>
      </w:r>
      <w:r w:rsidR="009E5804">
        <w:rPr>
          <w:rFonts w:ascii="Times New Roman" w:hAnsi="Times New Roman"/>
        </w:rPr>
        <w:t xml:space="preserve">ERISA </w:t>
      </w:r>
      <w:r w:rsidRPr="008C3A3F">
        <w:rPr>
          <w:rFonts w:ascii="Times New Roman" w:hAnsi="Times New Roman"/>
        </w:rPr>
        <w:t xml:space="preserve">section 408(a) and </w:t>
      </w:r>
      <w:r w:rsidR="009E5804">
        <w:rPr>
          <w:rFonts w:ascii="Times New Roman" w:hAnsi="Times New Roman"/>
        </w:rPr>
        <w:t xml:space="preserve">Code </w:t>
      </w:r>
      <w:r w:rsidRPr="008C3A3F">
        <w:rPr>
          <w:rFonts w:ascii="Times New Roman" w:hAnsi="Times New Roman"/>
        </w:rPr>
        <w:t>section 4975(c</w:t>
      </w:r>
      <w:proofErr w:type="gramStart"/>
      <w:r w:rsidRPr="008C3A3F">
        <w:rPr>
          <w:rFonts w:ascii="Times New Roman" w:hAnsi="Times New Roman"/>
        </w:rPr>
        <w:t>)(</w:t>
      </w:r>
      <w:proofErr w:type="gramEnd"/>
      <w:r w:rsidRPr="008C3A3F">
        <w:rPr>
          <w:rFonts w:ascii="Times New Roman" w:hAnsi="Times New Roman"/>
        </w:rPr>
        <w:t>2), the exclusion from the three year guideline for record retention set forth in 5 CFR 1320.5 is applicable.  Furthermore, as a result of statutory recordkeeping requirements in ERISA, the Code, and other federal laws the respondents affected by this exemption (</w:t>
      </w:r>
      <w:r w:rsidR="009E5804">
        <w:rPr>
          <w:rFonts w:ascii="Times New Roman" w:hAnsi="Times New Roman"/>
        </w:rPr>
        <w:t>F</w:t>
      </w:r>
      <w:r w:rsidRPr="008C3A3F">
        <w:rPr>
          <w:rFonts w:ascii="Times New Roman" w:hAnsi="Times New Roman"/>
        </w:rPr>
        <w:t xml:space="preserve">inancial </w:t>
      </w:r>
      <w:r w:rsidR="009E5804">
        <w:rPr>
          <w:rFonts w:ascii="Times New Roman" w:hAnsi="Times New Roman"/>
        </w:rPr>
        <w:t>I</w:t>
      </w:r>
      <w:r w:rsidRPr="008C3A3F">
        <w:rPr>
          <w:rFonts w:ascii="Times New Roman" w:hAnsi="Times New Roman"/>
        </w:rPr>
        <w:t>nstitutions that deal with employee benefit plans), for the most part, have adopted six-year recordkeeping as standard business practice in order to satisfy those separate recordkeeping requirements.</w:t>
      </w:r>
    </w:p>
    <w:p w:rsidR="00943C58" w:rsidRDefault="00943C58" w:rsidP="00144C68">
      <w:pPr>
        <w:ind w:left="720"/>
        <w:rPr>
          <w:rFonts w:ascii="Times New Roman" w:hAnsi="Times New Roman"/>
        </w:rPr>
      </w:pPr>
    </w:p>
    <w:p w:rsidR="00144C68" w:rsidRDefault="00144C68" w:rsidP="00144C68">
      <w:pPr>
        <w:ind w:left="720"/>
        <w:rPr>
          <w:rFonts w:ascii="Times New Roman" w:hAnsi="Times New Roman"/>
        </w:rPr>
      </w:pPr>
      <w:r>
        <w:rPr>
          <w:rFonts w:ascii="Times New Roman" w:hAnsi="Times New Roman"/>
        </w:rPr>
        <w:t>Under t</w:t>
      </w:r>
      <w:r w:rsidRPr="00CA0390">
        <w:rPr>
          <w:rFonts w:ascii="Times New Roman" w:hAnsi="Times New Roman"/>
        </w:rPr>
        <w:t>he</w:t>
      </w:r>
      <w:r>
        <w:rPr>
          <w:rFonts w:ascii="Times New Roman" w:hAnsi="Times New Roman"/>
        </w:rPr>
        <w:t xml:space="preserve"> recordkeeping provisions of the final exemption, f</w:t>
      </w:r>
      <w:r w:rsidRPr="00CA0390">
        <w:rPr>
          <w:rFonts w:ascii="Times New Roman" w:hAnsi="Times New Roman"/>
        </w:rPr>
        <w:t xml:space="preserve">inancial </w:t>
      </w:r>
      <w:r>
        <w:rPr>
          <w:rFonts w:ascii="Times New Roman" w:hAnsi="Times New Roman"/>
        </w:rPr>
        <w:t>i</w:t>
      </w:r>
      <w:r w:rsidRPr="00CA0390">
        <w:rPr>
          <w:rFonts w:ascii="Times New Roman" w:hAnsi="Times New Roman"/>
        </w:rPr>
        <w:t xml:space="preserve">nstitutions are not required to disclose </w:t>
      </w:r>
      <w:r>
        <w:rPr>
          <w:rFonts w:ascii="Times New Roman" w:hAnsi="Times New Roman"/>
        </w:rPr>
        <w:t xml:space="preserve">records that are </w:t>
      </w:r>
      <w:r w:rsidRPr="00CA0390">
        <w:rPr>
          <w:rFonts w:ascii="Times New Roman" w:hAnsi="Times New Roman"/>
        </w:rPr>
        <w:t>privileged trade secrets or privileged commercial or financial information to</w:t>
      </w:r>
      <w:r>
        <w:rPr>
          <w:rFonts w:ascii="Times New Roman" w:hAnsi="Times New Roman"/>
        </w:rPr>
        <w:t xml:space="preserve"> plan fiduciaries, participants or beneficiaries, IRA owners, or their representatives.  However, if</w:t>
      </w:r>
      <w:r w:rsidRPr="00CA0390">
        <w:rPr>
          <w:rFonts w:ascii="Times New Roman" w:hAnsi="Times New Roman"/>
        </w:rPr>
        <w:t xml:space="preserve"> the </w:t>
      </w:r>
      <w:r>
        <w:rPr>
          <w:rFonts w:ascii="Times New Roman" w:hAnsi="Times New Roman"/>
        </w:rPr>
        <w:t>f</w:t>
      </w:r>
      <w:r w:rsidRPr="00CA0390">
        <w:rPr>
          <w:rFonts w:ascii="Times New Roman" w:hAnsi="Times New Roman"/>
        </w:rPr>
        <w:t xml:space="preserve">inancial </w:t>
      </w:r>
      <w:r>
        <w:rPr>
          <w:rFonts w:ascii="Times New Roman" w:hAnsi="Times New Roman"/>
        </w:rPr>
        <w:t>i</w:t>
      </w:r>
      <w:r w:rsidRPr="00CA0390">
        <w:rPr>
          <w:rFonts w:ascii="Times New Roman" w:hAnsi="Times New Roman"/>
        </w:rPr>
        <w:t>nstitution refuse</w:t>
      </w:r>
      <w:r>
        <w:rPr>
          <w:rFonts w:ascii="Times New Roman" w:hAnsi="Times New Roman"/>
        </w:rPr>
        <w:t>s</w:t>
      </w:r>
      <w:r w:rsidRPr="00CA0390">
        <w:rPr>
          <w:rFonts w:ascii="Times New Roman" w:hAnsi="Times New Roman"/>
        </w:rPr>
        <w:t xml:space="preserve"> to disclose information on the basis that the information is exempt from disclosure, the </w:t>
      </w:r>
      <w:r>
        <w:rPr>
          <w:rFonts w:ascii="Times New Roman" w:hAnsi="Times New Roman"/>
        </w:rPr>
        <w:t>f</w:t>
      </w:r>
      <w:r w:rsidRPr="00CA0390">
        <w:rPr>
          <w:rFonts w:ascii="Times New Roman" w:hAnsi="Times New Roman"/>
        </w:rPr>
        <w:t xml:space="preserve">inancial </w:t>
      </w:r>
      <w:r>
        <w:rPr>
          <w:rFonts w:ascii="Times New Roman" w:hAnsi="Times New Roman"/>
        </w:rPr>
        <w:t>i</w:t>
      </w:r>
      <w:r w:rsidRPr="00CA0390">
        <w:rPr>
          <w:rFonts w:ascii="Times New Roman" w:hAnsi="Times New Roman"/>
        </w:rPr>
        <w:t>nstitution must, by the close of the thirtieth (30th) day following the request, provide a written notice advising the requestor of the reasons for the refusal and that the Department may request such information.</w:t>
      </w:r>
    </w:p>
    <w:p w:rsidR="00144C68" w:rsidRPr="00235B48" w:rsidRDefault="00144C68" w:rsidP="00EC2D78">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8.</w:t>
      </w:r>
      <w:r w:rsidRPr="00235B48">
        <w:rPr>
          <w:rFonts w:ascii="Times New Roman" w:hAnsi="Times New Roman"/>
        </w:rPr>
        <w:tab/>
      </w:r>
      <w:r w:rsidRPr="00235B48">
        <w:rPr>
          <w:rFonts w:ascii="Times New Roman" w:hAnsi="Times New Roman"/>
          <w:i/>
          <w:i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ind w:left="720"/>
        <w:rPr>
          <w:rFonts w:ascii="Times New Roman" w:hAnsi="Times New Roman"/>
          <w:i/>
          <w:iCs/>
          <w:sz w:val="20"/>
          <w:szCs w:val="20"/>
        </w:rPr>
      </w:pPr>
      <w:r w:rsidRPr="00235B48">
        <w:rPr>
          <w:rFonts w:ascii="Times New Roman" w:hAnsi="Times New Roman"/>
          <w:i/>
          <w:i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ind w:left="720"/>
        <w:rPr>
          <w:rFonts w:ascii="Times New Roman" w:hAnsi="Times New Roman"/>
          <w:i/>
          <w:iCs/>
        </w:rPr>
      </w:pPr>
      <w:r w:rsidRPr="00235B48">
        <w:rPr>
          <w:rFonts w:ascii="Times New Roman" w:hAnsi="Times New Roman"/>
          <w:i/>
          <w:i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670F" w:rsidRPr="00235B48" w:rsidRDefault="00F3670F" w:rsidP="008C7AA2">
      <w:pPr>
        <w:widowControl/>
        <w:ind w:left="720"/>
        <w:rPr>
          <w:rFonts w:ascii="Times New Roman" w:hAnsi="Times New Roman"/>
        </w:rPr>
      </w:pPr>
    </w:p>
    <w:p w:rsidR="00736919" w:rsidRPr="00736919" w:rsidRDefault="00736919" w:rsidP="00736919">
      <w:pPr>
        <w:widowControl/>
        <w:ind w:left="720"/>
        <w:rPr>
          <w:rFonts w:ascii="Times New Roman" w:hAnsi="Times New Roman"/>
        </w:rPr>
      </w:pPr>
      <w:r w:rsidRPr="00736919">
        <w:rPr>
          <w:rFonts w:ascii="Times New Roman" w:hAnsi="Times New Roman"/>
        </w:rPr>
        <w:t xml:space="preserve">In accordance with 5 CFR 1320.11, the proposed exemption provided the public with 60 days to comment on the information collection and burden estimates.  The Department received over 3,000 public comments in response to the proposed rule and accompanying </w:t>
      </w:r>
      <w:r w:rsidRPr="00736919">
        <w:rPr>
          <w:rFonts w:ascii="Times New Roman" w:hAnsi="Times New Roman"/>
        </w:rPr>
        <w:lastRenderedPageBreak/>
        <w:t>proposed PTEs and proposed amendments to PTEs.  The public comments were posted on the Department’s website at the following two addresses:  http://www.dol.gov/ebsa/regs/cmt-1210-AB32-2.html and http://www.dol.gov/ebsa/regs/cmt-1210-ZA25.html.</w:t>
      </w:r>
    </w:p>
    <w:p w:rsidR="00736919" w:rsidRPr="00736919" w:rsidRDefault="00736919" w:rsidP="00736919">
      <w:pPr>
        <w:widowControl/>
        <w:ind w:left="720"/>
        <w:rPr>
          <w:rFonts w:ascii="Times New Roman" w:hAnsi="Times New Roman"/>
        </w:rPr>
      </w:pPr>
    </w:p>
    <w:p w:rsidR="00736919" w:rsidRPr="00736919" w:rsidRDefault="00736919" w:rsidP="00736919">
      <w:pPr>
        <w:widowControl/>
        <w:ind w:left="720"/>
        <w:rPr>
          <w:rFonts w:ascii="Times New Roman" w:hAnsi="Times New Roman"/>
        </w:rPr>
      </w:pPr>
      <w:r w:rsidRPr="00736919">
        <w:rPr>
          <w:rFonts w:ascii="Times New Roman" w:hAnsi="Times New Roman"/>
        </w:rPr>
        <w:t>Additionally, the Department held four days of public hearings during August 2015 on the proposed rule and accompanying proposed PTEs and proposed amendments to PTEs.  Transcripts, archived video, and other hearing materials were posted on the Department’s website here:  http://www.dol.gov/ebsa/regs/1210-AB32-2-Hearing.html.</w:t>
      </w:r>
    </w:p>
    <w:p w:rsidR="00736919" w:rsidRPr="00736919" w:rsidRDefault="00736919" w:rsidP="00736919">
      <w:pPr>
        <w:widowControl/>
        <w:ind w:left="720"/>
        <w:rPr>
          <w:rFonts w:ascii="Times New Roman" w:hAnsi="Times New Roman"/>
        </w:rPr>
      </w:pPr>
    </w:p>
    <w:p w:rsidR="00736919" w:rsidRPr="00736919" w:rsidRDefault="00736919" w:rsidP="00736919">
      <w:pPr>
        <w:widowControl/>
        <w:ind w:left="720"/>
        <w:rPr>
          <w:rFonts w:ascii="Times New Roman" w:hAnsi="Times New Roman"/>
        </w:rPr>
      </w:pPr>
      <w:r w:rsidRPr="00736919">
        <w:rPr>
          <w:rFonts w:ascii="Times New Roman" w:hAnsi="Times New Roman"/>
        </w:rPr>
        <w:t>In the public comments and the public hearing, the Department received considerable feedback regarding the workability of the proposed rule and accompanying proposed PTEs and proposed amendments to PTEs.  Much of this workability discussion centered on the burden associated with the information collections.</w:t>
      </w:r>
    </w:p>
    <w:p w:rsidR="00736919" w:rsidRDefault="00736919" w:rsidP="008C7AA2">
      <w:pPr>
        <w:widowControl/>
        <w:ind w:left="720"/>
        <w:rPr>
          <w:rFonts w:ascii="Times New Roman" w:hAnsi="Times New Roman"/>
        </w:rPr>
      </w:pPr>
    </w:p>
    <w:p w:rsidR="00736919" w:rsidRDefault="005F26D0" w:rsidP="008C7AA2">
      <w:pPr>
        <w:widowControl/>
        <w:ind w:left="720"/>
        <w:rPr>
          <w:rFonts w:ascii="Times New Roman" w:hAnsi="Times New Roman"/>
        </w:rPr>
      </w:pPr>
      <w:r w:rsidRPr="005F26D0">
        <w:rPr>
          <w:rFonts w:ascii="Times New Roman" w:hAnsi="Times New Roman"/>
        </w:rPr>
        <w:t>The proposed Principal Transactions Exemption would have required financial institutions to provide a pre-transaction disclosure that included pricing information about the security to be purchased or sold in the principal transaction.  The pricing information included two price quotes with respect to the transaction, obtained from ready and willing non-affiliated counterparties, as well as the mark-up or mark-down to be charged with respect to the transaction.  The mark-up or mark-down also would have been required to be disclosed in the confirmation statement and proposed annual disclosure.  Commenters stated that the disclosure of the two price quotes and mark-up or mark-down on the transaction would be difficult to implement operationally.  In the final exemption, the Department retained the pre-transaction disclosure, confirmation statement and annual disclosure, but did not require the disclosures to include these specific items of pricing information.</w:t>
      </w:r>
    </w:p>
    <w:p w:rsidR="005F26D0" w:rsidRDefault="005F26D0" w:rsidP="008C7AA2">
      <w:pPr>
        <w:widowControl/>
        <w:ind w:left="720"/>
        <w:rPr>
          <w:rFonts w:ascii="Times New Roman" w:hAnsi="Times New Roman"/>
        </w:rPr>
      </w:pPr>
    </w:p>
    <w:p w:rsidR="005F26D0" w:rsidRDefault="005F26D0" w:rsidP="008C7AA2">
      <w:pPr>
        <w:widowControl/>
        <w:ind w:left="720"/>
        <w:rPr>
          <w:rFonts w:ascii="Times New Roman" w:hAnsi="Times New Roman"/>
        </w:rPr>
      </w:pPr>
      <w:r>
        <w:rPr>
          <w:rFonts w:ascii="Times New Roman" w:hAnsi="Times New Roman"/>
        </w:rPr>
        <w:t>Additionally, in response to the commenters, the Department made adjustments to its methodology in calculating burden.  These changes are discussed in Questions 12 and 13, where applicable.</w:t>
      </w:r>
    </w:p>
    <w:p w:rsidR="00F3670F" w:rsidRPr="00235B48" w:rsidRDefault="00F3670F" w:rsidP="008C7AA2">
      <w:pPr>
        <w:widowControl/>
        <w:ind w:left="720"/>
        <w:rPr>
          <w:rFonts w:ascii="Times New Roman" w:hAnsi="Times New Roman"/>
        </w:rPr>
      </w:pPr>
    </w:p>
    <w:p w:rsidR="00F3670F" w:rsidRPr="00235B48" w:rsidRDefault="00F3670F" w:rsidP="00235B48">
      <w:pPr>
        <w:pStyle w:val="Quick1"/>
        <w:widowControl/>
        <w:numPr>
          <w:ilvl w:val="0"/>
          <w:numId w:val="3"/>
        </w:numPr>
        <w:tabs>
          <w:tab w:val="left" w:pos="-1440"/>
          <w:tab w:val="num" w:pos="720"/>
        </w:tabs>
        <w:rPr>
          <w:rFonts w:ascii="Times New Roman" w:hAnsi="Times New Roman"/>
          <w:i/>
          <w:iCs/>
        </w:rPr>
      </w:pPr>
      <w:r w:rsidRPr="00235B48">
        <w:rPr>
          <w:rFonts w:ascii="Times New Roman" w:hAnsi="Times New Roman"/>
          <w:i/>
          <w:iCs/>
          <w:sz w:val="20"/>
          <w:szCs w:val="20"/>
        </w:rPr>
        <w:t>Explain any decision to provide any payment or gift to respondents, other than remuneration of contractors or grantees.</w:t>
      </w:r>
    </w:p>
    <w:p w:rsidR="00F3670F" w:rsidRPr="00235B48" w:rsidRDefault="00F3670F" w:rsidP="008C7AA2">
      <w:pPr>
        <w:widowControl/>
        <w:ind w:left="720"/>
        <w:rPr>
          <w:rFonts w:ascii="Times New Roman" w:hAnsi="Times New Roman"/>
        </w:rPr>
      </w:pPr>
    </w:p>
    <w:p w:rsidR="00F3670F" w:rsidRPr="00235B48" w:rsidRDefault="00F3670F" w:rsidP="008C7AA2">
      <w:pPr>
        <w:widowControl/>
        <w:ind w:left="720"/>
        <w:outlineLvl w:val="0"/>
        <w:rPr>
          <w:rFonts w:ascii="Times New Roman" w:hAnsi="Times New Roman"/>
        </w:rPr>
      </w:pPr>
      <w:r w:rsidRPr="00235B48">
        <w:rPr>
          <w:rFonts w:ascii="Times New Roman" w:hAnsi="Times New Roman"/>
        </w:rPr>
        <w:t>No payments or gifts are provided to respondents.</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10.</w:t>
      </w:r>
      <w:r w:rsidRPr="00235B48">
        <w:rPr>
          <w:rFonts w:ascii="Times New Roman" w:hAnsi="Times New Roman"/>
        </w:rPr>
        <w:tab/>
      </w:r>
      <w:r w:rsidRPr="00235B48">
        <w:rPr>
          <w:rFonts w:ascii="Times New Roman" w:hAnsi="Times New Roman"/>
          <w:i/>
          <w:iCs/>
          <w:sz w:val="20"/>
          <w:szCs w:val="20"/>
        </w:rPr>
        <w:t>Describe any assurance of confidentiality provided to respondents and the basis for the assurance in statute, regulation, or agency policy.</w:t>
      </w:r>
    </w:p>
    <w:p w:rsidR="00F3670F" w:rsidRPr="00235B48" w:rsidRDefault="00F3670F" w:rsidP="008C7AA2">
      <w:pPr>
        <w:widowControl/>
        <w:ind w:left="720"/>
        <w:rPr>
          <w:rFonts w:ascii="Times New Roman" w:hAnsi="Times New Roman"/>
        </w:rPr>
      </w:pPr>
    </w:p>
    <w:p w:rsidR="00AF6A04" w:rsidRDefault="00AF6A04" w:rsidP="008C7AA2">
      <w:pPr>
        <w:ind w:left="720"/>
        <w:rPr>
          <w:rFonts w:ascii="Times New Roman" w:hAnsi="Times New Roman"/>
        </w:rPr>
      </w:pPr>
      <w:r>
        <w:rPr>
          <w:rFonts w:ascii="Times New Roman" w:hAnsi="Times New Roman"/>
        </w:rPr>
        <w:t>No assurance of confidentiality was provided.</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11.</w:t>
      </w:r>
      <w:r w:rsidRPr="00235B48">
        <w:rPr>
          <w:rFonts w:ascii="Times New Roman" w:hAnsi="Times New Roman"/>
        </w:rPr>
        <w:tab/>
      </w:r>
      <w:r w:rsidRPr="00235B48">
        <w:rPr>
          <w:rFonts w:ascii="Times New Roman" w:hAnsi="Times New Roman"/>
          <w:i/>
          <w:iCs/>
          <w:sz w:val="20"/>
          <w:szCs w:val="20"/>
        </w:rPr>
        <w:t xml:space="preserve">Provide additional justification for any questions of a sensitive nature, such as sexual behavior and attitudes, religious beliefs, and other matters that are commonly considered private.  This justification </w:t>
      </w:r>
      <w:r w:rsidRPr="00235B48">
        <w:rPr>
          <w:rFonts w:ascii="Times New Roman" w:hAnsi="Times New Roman"/>
          <w:i/>
          <w:iCs/>
          <w:sz w:val="20"/>
          <w:szCs w:val="20"/>
        </w:rPr>
        <w:lastRenderedPageBreak/>
        <w:t>should include the reasons why the agency considers the questions necessary, the specific uses to be made of the information, the explanation to be given to persons from whom the information is requested, and any steps to be taken to obtain their consent.</w:t>
      </w:r>
    </w:p>
    <w:p w:rsidR="00F3670F" w:rsidRPr="00235B48" w:rsidRDefault="00F3670F" w:rsidP="008C7AA2">
      <w:pPr>
        <w:widowControl/>
        <w:ind w:left="720"/>
        <w:rPr>
          <w:rFonts w:ascii="Times New Roman" w:hAnsi="Times New Roman"/>
          <w:i/>
          <w:iCs/>
        </w:rPr>
      </w:pPr>
    </w:p>
    <w:p w:rsidR="00BE3D72" w:rsidRPr="00235B48" w:rsidRDefault="00B06B58" w:rsidP="008C7AA2">
      <w:pPr>
        <w:widowControl/>
        <w:ind w:left="720"/>
        <w:outlineLvl w:val="0"/>
        <w:rPr>
          <w:rFonts w:ascii="Times New Roman" w:hAnsi="Times New Roman"/>
          <w:i/>
          <w:iCs/>
        </w:rPr>
      </w:pPr>
      <w:r w:rsidRPr="00235B48">
        <w:rPr>
          <w:rFonts w:ascii="Times New Roman" w:hAnsi="Times New Roman"/>
          <w:iCs/>
        </w:rPr>
        <w:t>There are no questions of the nature described.</w:t>
      </w:r>
    </w:p>
    <w:p w:rsidR="00F3670F" w:rsidRPr="00235B48" w:rsidRDefault="00F3670F"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12.</w:t>
      </w:r>
      <w:r w:rsidRPr="00235B48">
        <w:rPr>
          <w:rFonts w:ascii="Times New Roman" w:hAnsi="Times New Roman"/>
        </w:rPr>
        <w:tab/>
      </w:r>
      <w:r w:rsidRPr="00235B48">
        <w:rPr>
          <w:rFonts w:ascii="Times New Roman" w:hAnsi="Times New Roman"/>
          <w:i/>
          <w:iCs/>
          <w:sz w:val="20"/>
          <w:szCs w:val="20"/>
        </w:rPr>
        <w:t>Provide estimates of the hour burden of the collection of information.  The statement should:</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If this request for approval covers more than one form, provide separate hour burden estimates for each form and aggregate the hour burdens</w:t>
      </w:r>
      <w:r w:rsidR="00C21EBA" w:rsidRPr="00235B48">
        <w:rPr>
          <w:rFonts w:ascii="Times New Roman" w:hAnsi="Times New Roman"/>
          <w:i/>
          <w:iCs/>
          <w:sz w:val="20"/>
          <w:szCs w:val="20"/>
        </w:rPr>
        <w:t xml:space="preserve">. </w:t>
      </w:r>
    </w:p>
    <w:p w:rsidR="00F3670F" w:rsidRPr="00235B48" w:rsidRDefault="00F3670F" w:rsidP="00235B48">
      <w:pPr>
        <w:widowControl/>
        <w:rPr>
          <w:rFonts w:ascii="Times New Roman" w:hAnsi="Times New Roman"/>
          <w:i/>
          <w:iCs/>
          <w:sz w:val="20"/>
          <w:szCs w:val="20"/>
        </w:rPr>
      </w:pPr>
    </w:p>
    <w:p w:rsidR="00F3670F" w:rsidRPr="00235B48" w:rsidRDefault="00F3670F" w:rsidP="00235B48">
      <w:pPr>
        <w:widowControl/>
        <w:tabs>
          <w:tab w:val="left" w:pos="-1440"/>
        </w:tabs>
        <w:ind w:left="1440" w:hanging="720"/>
        <w:rPr>
          <w:rFonts w:ascii="Times New Roman" w:hAnsi="Times New Roman"/>
          <w:i/>
          <w:iCs/>
        </w:rPr>
      </w:pPr>
      <w:r w:rsidRPr="00235B48">
        <w:rPr>
          <w:rFonts w:ascii="Times New Roman" w:hAnsi="Times New Roman"/>
          <w:i/>
          <w:iCs/>
          <w:sz w:val="20"/>
          <w:szCs w:val="20"/>
        </w:rPr>
        <w:t>•</w:t>
      </w:r>
      <w:r w:rsidRPr="00235B48">
        <w:rPr>
          <w:rFonts w:ascii="Times New Roman" w:hAnsi="Times New Roman"/>
          <w:i/>
          <w:iCs/>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3670F" w:rsidRPr="00235B48" w:rsidRDefault="00F3670F" w:rsidP="008C7AA2">
      <w:pPr>
        <w:widowControl/>
        <w:ind w:left="720"/>
        <w:rPr>
          <w:rFonts w:ascii="Times New Roman" w:hAnsi="Times New Roman"/>
          <w:i/>
          <w:iCs/>
        </w:rPr>
      </w:pPr>
      <w:bookmarkStart w:id="1" w:name="OLE_LINK1"/>
      <w:bookmarkStart w:id="2" w:name="OLE_LINK2"/>
    </w:p>
    <w:p w:rsidR="002310DB" w:rsidRDefault="002310DB" w:rsidP="00F84482">
      <w:pPr>
        <w:ind w:left="720"/>
        <w:rPr>
          <w:rFonts w:ascii="Times New Roman" w:hAnsi="Times New Roman"/>
        </w:rPr>
      </w:pPr>
      <w:r>
        <w:rPr>
          <w:rFonts w:ascii="Times New Roman" w:eastAsia="MS Mincho" w:hAnsi="Times New Roman"/>
        </w:rPr>
        <w:t xml:space="preserve">Based on </w:t>
      </w:r>
      <w:r w:rsidR="00E36C58">
        <w:rPr>
          <w:rFonts w:ascii="Times New Roman" w:eastAsia="MS Mincho" w:hAnsi="Times New Roman"/>
        </w:rPr>
        <w:t>201</w:t>
      </w:r>
      <w:r w:rsidR="00037A15">
        <w:rPr>
          <w:rFonts w:ascii="Times New Roman" w:eastAsia="MS Mincho" w:hAnsi="Times New Roman"/>
        </w:rPr>
        <w:t>3</w:t>
      </w:r>
      <w:r w:rsidR="00E36C58">
        <w:rPr>
          <w:rFonts w:ascii="Times New Roman" w:eastAsia="MS Mincho" w:hAnsi="Times New Roman"/>
        </w:rPr>
        <w:t xml:space="preserve"> </w:t>
      </w:r>
      <w:r>
        <w:rPr>
          <w:rFonts w:ascii="Times New Roman" w:eastAsia="MS Mincho" w:hAnsi="Times New Roman"/>
        </w:rPr>
        <w:t>Form 5500 data</w:t>
      </w:r>
      <w:r w:rsidR="004A6561">
        <w:rPr>
          <w:rFonts w:ascii="Times New Roman" w:eastAsia="MS Mincho" w:hAnsi="Times New Roman"/>
        </w:rPr>
        <w:t xml:space="preserve"> and Internal Revenue Service Statistics of Income data</w:t>
      </w:r>
      <w:r>
        <w:rPr>
          <w:rFonts w:ascii="Times New Roman" w:eastAsia="MS Mincho" w:hAnsi="Times New Roman"/>
        </w:rPr>
        <w:t xml:space="preserve">, the Department estimates that </w:t>
      </w:r>
      <w:r w:rsidR="003F1813">
        <w:rPr>
          <w:rFonts w:ascii="Times New Roman" w:eastAsia="MS Mincho" w:hAnsi="Times New Roman"/>
        </w:rPr>
        <w:t xml:space="preserve">the retirement market consists of </w:t>
      </w:r>
      <w:r>
        <w:rPr>
          <w:rFonts w:ascii="Times New Roman" w:eastAsia="MS Mincho" w:hAnsi="Times New Roman"/>
        </w:rPr>
        <w:t xml:space="preserve">approximately 44,000 </w:t>
      </w:r>
      <w:r w:rsidR="000A7EF3">
        <w:rPr>
          <w:rFonts w:ascii="Times New Roman" w:eastAsia="MS Mincho" w:hAnsi="Times New Roman"/>
        </w:rPr>
        <w:t>defined benefit (</w:t>
      </w:r>
      <w:r>
        <w:rPr>
          <w:rFonts w:ascii="Times New Roman" w:eastAsia="MS Mincho" w:hAnsi="Times New Roman"/>
        </w:rPr>
        <w:t>DB</w:t>
      </w:r>
      <w:r w:rsidR="000A7EF3">
        <w:rPr>
          <w:rFonts w:ascii="Times New Roman" w:eastAsia="MS Mincho" w:hAnsi="Times New Roman"/>
        </w:rPr>
        <w:t>)</w:t>
      </w:r>
      <w:r>
        <w:rPr>
          <w:rFonts w:ascii="Times New Roman" w:eastAsia="MS Mincho" w:hAnsi="Times New Roman"/>
        </w:rPr>
        <w:t xml:space="preserve"> plans, 1</w:t>
      </w:r>
      <w:r w:rsidR="00037A15">
        <w:rPr>
          <w:rFonts w:ascii="Times New Roman" w:eastAsia="MS Mincho" w:hAnsi="Times New Roman"/>
        </w:rPr>
        <w:t>19</w:t>
      </w:r>
      <w:r>
        <w:rPr>
          <w:rFonts w:ascii="Times New Roman" w:eastAsia="MS Mincho" w:hAnsi="Times New Roman"/>
        </w:rPr>
        <w:t xml:space="preserve">,000 </w:t>
      </w:r>
      <w:r w:rsidR="000A7EF3">
        <w:rPr>
          <w:rFonts w:ascii="Times New Roman" w:eastAsia="MS Mincho" w:hAnsi="Times New Roman"/>
        </w:rPr>
        <w:t>defined contribution (</w:t>
      </w:r>
      <w:r>
        <w:rPr>
          <w:rFonts w:ascii="Times New Roman" w:eastAsia="MS Mincho" w:hAnsi="Times New Roman"/>
        </w:rPr>
        <w:t>DC</w:t>
      </w:r>
      <w:r w:rsidR="000A7EF3">
        <w:rPr>
          <w:rFonts w:ascii="Times New Roman" w:eastAsia="MS Mincho" w:hAnsi="Times New Roman"/>
        </w:rPr>
        <w:t>)</w:t>
      </w:r>
      <w:r>
        <w:rPr>
          <w:rFonts w:ascii="Times New Roman" w:eastAsia="MS Mincho" w:hAnsi="Times New Roman"/>
        </w:rPr>
        <w:t xml:space="preserve"> plans</w:t>
      </w:r>
      <w:r w:rsidR="004A6561">
        <w:rPr>
          <w:rFonts w:ascii="Times New Roman" w:eastAsia="MS Mincho" w:hAnsi="Times New Roman"/>
        </w:rPr>
        <w:t xml:space="preserve"> that do not allow participants to direct investments, 6</w:t>
      </w:r>
      <w:r w:rsidR="00037A15">
        <w:rPr>
          <w:rFonts w:ascii="Times New Roman" w:eastAsia="MS Mincho" w:hAnsi="Times New Roman"/>
        </w:rPr>
        <w:t>9.9</w:t>
      </w:r>
      <w:r w:rsidR="004A6561">
        <w:rPr>
          <w:rFonts w:ascii="Times New Roman" w:eastAsia="MS Mincho" w:hAnsi="Times New Roman"/>
        </w:rPr>
        <w:t xml:space="preserve"> million DC plan participants</w:t>
      </w:r>
      <w:r w:rsidR="00037A15">
        <w:rPr>
          <w:rFonts w:ascii="Times New Roman" w:eastAsia="MS Mincho" w:hAnsi="Times New Roman"/>
        </w:rPr>
        <w:t xml:space="preserve"> in participant-directed plans</w:t>
      </w:r>
      <w:r w:rsidR="004A6561">
        <w:rPr>
          <w:rFonts w:ascii="Times New Roman" w:eastAsia="MS Mincho" w:hAnsi="Times New Roman"/>
        </w:rPr>
        <w:t>, and 54.</w:t>
      </w:r>
      <w:r w:rsidR="00037A15">
        <w:rPr>
          <w:rFonts w:ascii="Times New Roman" w:eastAsia="MS Mincho" w:hAnsi="Times New Roman"/>
        </w:rPr>
        <w:t>4</w:t>
      </w:r>
      <w:r w:rsidR="004A6561">
        <w:rPr>
          <w:rFonts w:ascii="Times New Roman" w:eastAsia="MS Mincho" w:hAnsi="Times New Roman"/>
        </w:rPr>
        <w:t xml:space="preserve"> </w:t>
      </w:r>
      <w:r w:rsidR="00071C3E">
        <w:rPr>
          <w:rFonts w:ascii="Times New Roman" w:eastAsia="MS Mincho" w:hAnsi="Times New Roman"/>
        </w:rPr>
        <w:t xml:space="preserve">million </w:t>
      </w:r>
      <w:r w:rsidR="004A6561">
        <w:rPr>
          <w:rFonts w:ascii="Times New Roman" w:eastAsia="MS Mincho" w:hAnsi="Times New Roman"/>
        </w:rPr>
        <w:t xml:space="preserve">IRA </w:t>
      </w:r>
      <w:r w:rsidR="000015B7">
        <w:rPr>
          <w:rFonts w:ascii="Times New Roman" w:eastAsia="MS Mincho" w:hAnsi="Times New Roman"/>
        </w:rPr>
        <w:t>i</w:t>
      </w:r>
      <w:r w:rsidR="0016793C">
        <w:rPr>
          <w:rFonts w:ascii="Times New Roman" w:eastAsia="MS Mincho" w:hAnsi="Times New Roman"/>
        </w:rPr>
        <w:t>nvestors</w:t>
      </w:r>
      <w:r w:rsidR="004A6561">
        <w:rPr>
          <w:rFonts w:ascii="Times New Roman" w:eastAsia="MS Mincho" w:hAnsi="Times New Roman"/>
        </w:rPr>
        <w:t xml:space="preserve">.  </w:t>
      </w:r>
      <w:r w:rsidR="003F1813">
        <w:rPr>
          <w:rFonts w:ascii="Times New Roman" w:eastAsia="MS Mincho" w:hAnsi="Times New Roman"/>
        </w:rPr>
        <w:t>T</w:t>
      </w:r>
      <w:r w:rsidR="00E36C58">
        <w:rPr>
          <w:rFonts w:ascii="Times New Roman" w:hAnsi="Times New Roman"/>
        </w:rPr>
        <w:t xml:space="preserve">he Department estimates that 20 percent of DB plans, </w:t>
      </w:r>
      <w:r w:rsidR="008B1015">
        <w:rPr>
          <w:rFonts w:ascii="Times New Roman" w:hAnsi="Times New Roman"/>
        </w:rPr>
        <w:t>2</w:t>
      </w:r>
      <w:r w:rsidR="00DF3CAA">
        <w:rPr>
          <w:rFonts w:ascii="Times New Roman" w:hAnsi="Times New Roman"/>
        </w:rPr>
        <w:t>4</w:t>
      </w:r>
      <w:r w:rsidR="00E36C58">
        <w:rPr>
          <w:rFonts w:ascii="Times New Roman" w:hAnsi="Times New Roman"/>
        </w:rPr>
        <w:t xml:space="preserve"> percent of DC plans,</w:t>
      </w:r>
      <w:r w:rsidR="00EE29BE" w:rsidRPr="00041FFB">
        <w:rPr>
          <w:rStyle w:val="FootnoteReference"/>
          <w:rFonts w:ascii="Times New Roman" w:hAnsi="Times New Roman"/>
          <w:vertAlign w:val="superscript"/>
        </w:rPr>
        <w:footnoteReference w:id="2"/>
      </w:r>
      <w:r w:rsidR="00E36C58">
        <w:rPr>
          <w:rFonts w:ascii="Times New Roman" w:hAnsi="Times New Roman"/>
        </w:rPr>
        <w:t xml:space="preserve"> and </w:t>
      </w:r>
      <w:r w:rsidR="00473752">
        <w:rPr>
          <w:rFonts w:ascii="Times New Roman" w:hAnsi="Times New Roman"/>
        </w:rPr>
        <w:t>4</w:t>
      </w:r>
      <w:r w:rsidR="00E676B3">
        <w:rPr>
          <w:rFonts w:ascii="Times New Roman" w:hAnsi="Times New Roman"/>
        </w:rPr>
        <w:t>5</w:t>
      </w:r>
      <w:r w:rsidR="00E36C58">
        <w:rPr>
          <w:rFonts w:ascii="Times New Roman" w:hAnsi="Times New Roman"/>
        </w:rPr>
        <w:t xml:space="preserve"> percent of IRAs</w:t>
      </w:r>
      <w:r w:rsidR="00041FFB" w:rsidRPr="00D6108E">
        <w:rPr>
          <w:rStyle w:val="FootnoteReference"/>
          <w:rFonts w:ascii="Times New Roman" w:hAnsi="Times New Roman"/>
          <w:vertAlign w:val="superscript"/>
        </w:rPr>
        <w:footnoteReference w:id="3"/>
      </w:r>
      <w:r w:rsidR="00E36C58">
        <w:rPr>
          <w:rFonts w:ascii="Times New Roman" w:hAnsi="Times New Roman"/>
        </w:rPr>
        <w:t xml:space="preserve"> have relationships with </w:t>
      </w:r>
      <w:r w:rsidR="00E11B86">
        <w:rPr>
          <w:rFonts w:ascii="Times New Roman" w:hAnsi="Times New Roman"/>
        </w:rPr>
        <w:t>financial institutions</w:t>
      </w:r>
      <w:r w:rsidR="00E36C58">
        <w:rPr>
          <w:rFonts w:ascii="Times New Roman" w:hAnsi="Times New Roman"/>
        </w:rPr>
        <w:t xml:space="preserve"> that </w:t>
      </w:r>
      <w:r w:rsidR="003F1813">
        <w:rPr>
          <w:rFonts w:ascii="Times New Roman" w:hAnsi="Times New Roman"/>
        </w:rPr>
        <w:t>might</w:t>
      </w:r>
      <w:r w:rsidR="00E36C58">
        <w:rPr>
          <w:rFonts w:ascii="Times New Roman" w:hAnsi="Times New Roman"/>
        </w:rPr>
        <w:t xml:space="preserve"> use this </w:t>
      </w:r>
      <w:r w:rsidR="00E306C6">
        <w:rPr>
          <w:rFonts w:ascii="Times New Roman" w:hAnsi="Times New Roman"/>
        </w:rPr>
        <w:t>exemption</w:t>
      </w:r>
      <w:r w:rsidR="00E36C58">
        <w:rPr>
          <w:rFonts w:ascii="Times New Roman" w:hAnsi="Times New Roman"/>
        </w:rPr>
        <w:t xml:space="preserve">.  </w:t>
      </w:r>
      <w:r w:rsidR="00730E1B">
        <w:rPr>
          <w:rFonts w:ascii="Times New Roman" w:hAnsi="Times New Roman"/>
        </w:rPr>
        <w:t>According to the Profit Sharing Council of America’s 5</w:t>
      </w:r>
      <w:r w:rsidR="00C26D7D">
        <w:rPr>
          <w:rFonts w:ascii="Times New Roman" w:hAnsi="Times New Roman"/>
        </w:rPr>
        <w:t>8</w:t>
      </w:r>
      <w:r w:rsidR="00730E1B" w:rsidRPr="00730E1B">
        <w:rPr>
          <w:rFonts w:ascii="Times New Roman" w:hAnsi="Times New Roman"/>
          <w:vertAlign w:val="superscript"/>
        </w:rPr>
        <w:t>th</w:t>
      </w:r>
      <w:r w:rsidR="00730E1B">
        <w:rPr>
          <w:rFonts w:ascii="Times New Roman" w:hAnsi="Times New Roman"/>
        </w:rPr>
        <w:t xml:space="preserve"> Annual Survey, o</w:t>
      </w:r>
      <w:r w:rsidR="00C31E44">
        <w:rPr>
          <w:rFonts w:ascii="Times New Roman" w:hAnsi="Times New Roman"/>
        </w:rPr>
        <w:t>nly 6.</w:t>
      </w:r>
      <w:r w:rsidR="00C26D7D">
        <w:rPr>
          <w:rFonts w:ascii="Times New Roman" w:hAnsi="Times New Roman"/>
        </w:rPr>
        <w:t>42</w:t>
      </w:r>
      <w:r w:rsidR="00C31E44">
        <w:rPr>
          <w:rFonts w:ascii="Times New Roman" w:hAnsi="Times New Roman"/>
        </w:rPr>
        <w:t xml:space="preserve"> percent of DC plan participants are offered and utilize investment advice through their plans.  </w:t>
      </w:r>
      <w:r w:rsidR="00B30B53">
        <w:rPr>
          <w:rFonts w:ascii="Times New Roman" w:hAnsi="Times New Roman"/>
        </w:rPr>
        <w:t xml:space="preserve">Further, </w:t>
      </w:r>
      <w:r w:rsidR="008A31BA">
        <w:rPr>
          <w:rFonts w:ascii="Times New Roman" w:hAnsi="Times New Roman"/>
        </w:rPr>
        <w:t xml:space="preserve">the Department assumes that </w:t>
      </w:r>
      <w:r w:rsidR="00B30B53">
        <w:rPr>
          <w:rFonts w:ascii="Times New Roman" w:hAnsi="Times New Roman"/>
        </w:rPr>
        <w:t>only 10 percent of DB plans, DC plans that do not allow participants to direct investments, and IRAs, and only 1 percent of DC plan participants will engage in principal transactions</w:t>
      </w:r>
      <w:r w:rsidR="009E5804">
        <w:rPr>
          <w:rFonts w:ascii="Times New Roman" w:hAnsi="Times New Roman"/>
        </w:rPr>
        <w:t xml:space="preserve"> and riskless principal transactions</w:t>
      </w:r>
      <w:r w:rsidR="00B30B53">
        <w:rPr>
          <w:rFonts w:ascii="Times New Roman" w:hAnsi="Times New Roman"/>
        </w:rPr>
        <w:t xml:space="preserve">.  </w:t>
      </w:r>
      <w:r w:rsidR="00C31E44">
        <w:rPr>
          <w:rFonts w:ascii="Times New Roman" w:hAnsi="Times New Roman"/>
        </w:rPr>
        <w:t xml:space="preserve">Therefore, the Department estimates that approximately </w:t>
      </w:r>
      <w:r w:rsidR="006E5AB3">
        <w:rPr>
          <w:rFonts w:ascii="Times New Roman" w:hAnsi="Times New Roman"/>
        </w:rPr>
        <w:t>900</w:t>
      </w:r>
      <w:r w:rsidR="00C31E44">
        <w:rPr>
          <w:rFonts w:ascii="Times New Roman" w:hAnsi="Times New Roman"/>
        </w:rPr>
        <w:t xml:space="preserve"> DB plans,</w:t>
      </w:r>
      <w:r w:rsidR="00C31E44" w:rsidRPr="004D5A1F">
        <w:rPr>
          <w:rStyle w:val="FootnoteReference"/>
          <w:rFonts w:ascii="Times New Roman" w:hAnsi="Times New Roman"/>
          <w:vertAlign w:val="superscript"/>
        </w:rPr>
        <w:footnoteReference w:id="4"/>
      </w:r>
      <w:r w:rsidR="00C31E44">
        <w:rPr>
          <w:rFonts w:ascii="Times New Roman" w:hAnsi="Times New Roman"/>
        </w:rPr>
        <w:t xml:space="preserve"> </w:t>
      </w:r>
      <w:r w:rsidR="00B822C3">
        <w:rPr>
          <w:rFonts w:ascii="Times New Roman" w:hAnsi="Times New Roman"/>
        </w:rPr>
        <w:t>3</w:t>
      </w:r>
      <w:r w:rsidR="00C31E44">
        <w:rPr>
          <w:rFonts w:ascii="Times New Roman" w:hAnsi="Times New Roman"/>
        </w:rPr>
        <w:t>,000 DC plans that do not allow participants to direct investments,</w:t>
      </w:r>
      <w:r w:rsidR="00C31E44" w:rsidRPr="004D5A1F">
        <w:rPr>
          <w:rStyle w:val="FootnoteReference"/>
          <w:rFonts w:ascii="Times New Roman" w:hAnsi="Times New Roman"/>
          <w:vertAlign w:val="superscript"/>
        </w:rPr>
        <w:footnoteReference w:id="5"/>
      </w:r>
      <w:r w:rsidR="00C31E44">
        <w:rPr>
          <w:rFonts w:ascii="Times New Roman" w:hAnsi="Times New Roman"/>
        </w:rPr>
        <w:t xml:space="preserve"> </w:t>
      </w:r>
      <w:r w:rsidR="00734BC2">
        <w:rPr>
          <w:rFonts w:ascii="Times New Roman" w:hAnsi="Times New Roman"/>
        </w:rPr>
        <w:t>1</w:t>
      </w:r>
      <w:r w:rsidR="004C5FBF">
        <w:rPr>
          <w:rFonts w:ascii="Times New Roman" w:hAnsi="Times New Roman"/>
        </w:rPr>
        <w:t>1</w:t>
      </w:r>
      <w:r w:rsidR="006E5AB3">
        <w:rPr>
          <w:rFonts w:ascii="Times New Roman" w:hAnsi="Times New Roman"/>
        </w:rPr>
        <w:t>,000</w:t>
      </w:r>
      <w:r w:rsidR="00C31E44">
        <w:rPr>
          <w:rFonts w:ascii="Times New Roman" w:hAnsi="Times New Roman"/>
        </w:rPr>
        <w:t xml:space="preserve"> DC plan participants,</w:t>
      </w:r>
      <w:r w:rsidR="00C31E44" w:rsidRPr="004D5A1F">
        <w:rPr>
          <w:rStyle w:val="FootnoteReference"/>
          <w:rFonts w:ascii="Times New Roman" w:hAnsi="Times New Roman"/>
          <w:vertAlign w:val="superscript"/>
        </w:rPr>
        <w:footnoteReference w:id="6"/>
      </w:r>
      <w:r w:rsidR="00C31E44">
        <w:rPr>
          <w:rFonts w:ascii="Times New Roman" w:hAnsi="Times New Roman"/>
        </w:rPr>
        <w:t xml:space="preserve"> </w:t>
      </w:r>
      <w:r w:rsidR="00323523">
        <w:rPr>
          <w:rFonts w:ascii="Times New Roman" w:hAnsi="Times New Roman"/>
        </w:rPr>
        <w:t>2</w:t>
      </w:r>
      <w:r w:rsidR="00A85B87">
        <w:rPr>
          <w:rFonts w:ascii="Times New Roman" w:hAnsi="Times New Roman"/>
        </w:rPr>
        <w:t>.</w:t>
      </w:r>
      <w:r w:rsidR="004C5FBF">
        <w:rPr>
          <w:rFonts w:ascii="Times New Roman" w:hAnsi="Times New Roman"/>
        </w:rPr>
        <w:t>4</w:t>
      </w:r>
      <w:r w:rsidR="00323523">
        <w:rPr>
          <w:rFonts w:ascii="Times New Roman" w:hAnsi="Times New Roman"/>
        </w:rPr>
        <w:t xml:space="preserve"> million</w:t>
      </w:r>
      <w:r w:rsidR="00C31E44">
        <w:rPr>
          <w:rFonts w:ascii="Times New Roman" w:hAnsi="Times New Roman"/>
        </w:rPr>
        <w:t xml:space="preserve"> IRA</w:t>
      </w:r>
      <w:r w:rsidR="00433300">
        <w:rPr>
          <w:rFonts w:ascii="Times New Roman" w:hAnsi="Times New Roman"/>
        </w:rPr>
        <w:t>s</w:t>
      </w:r>
      <w:r w:rsidR="00AC734E">
        <w:rPr>
          <w:rFonts w:ascii="Times New Roman" w:hAnsi="Times New Roman"/>
        </w:rPr>
        <w:t>,</w:t>
      </w:r>
      <w:r w:rsidR="00C31E44" w:rsidRPr="004D5A1F">
        <w:rPr>
          <w:rStyle w:val="FootnoteReference"/>
          <w:rFonts w:ascii="Times New Roman" w:hAnsi="Times New Roman"/>
          <w:vertAlign w:val="superscript"/>
        </w:rPr>
        <w:footnoteReference w:id="7"/>
      </w:r>
      <w:r w:rsidR="00AC734E">
        <w:rPr>
          <w:rFonts w:ascii="Times New Roman" w:hAnsi="Times New Roman"/>
        </w:rPr>
        <w:t xml:space="preserve"> and a </w:t>
      </w:r>
      <w:r w:rsidR="00AC734E">
        <w:rPr>
          <w:rFonts w:ascii="Times New Roman" w:hAnsi="Times New Roman"/>
        </w:rPr>
        <w:lastRenderedPageBreak/>
        <w:t xml:space="preserve">de </w:t>
      </w:r>
      <w:proofErr w:type="spellStart"/>
      <w:r w:rsidR="00AC734E">
        <w:rPr>
          <w:rFonts w:ascii="Times New Roman" w:hAnsi="Times New Roman"/>
        </w:rPr>
        <w:t>minimis</w:t>
      </w:r>
      <w:proofErr w:type="spellEnd"/>
      <w:r w:rsidR="00AC734E">
        <w:rPr>
          <w:rFonts w:ascii="Times New Roman" w:hAnsi="Times New Roman"/>
        </w:rPr>
        <w:t xml:space="preserve"> number of non-ERISA plans</w:t>
      </w:r>
      <w:r w:rsidR="00C31E44" w:rsidRPr="004D5A1F">
        <w:rPr>
          <w:rFonts w:ascii="Times New Roman" w:hAnsi="Times New Roman"/>
          <w:vertAlign w:val="superscript"/>
        </w:rPr>
        <w:t xml:space="preserve"> </w:t>
      </w:r>
      <w:r w:rsidR="00C31E44">
        <w:rPr>
          <w:rFonts w:ascii="Times New Roman" w:hAnsi="Times New Roman"/>
        </w:rPr>
        <w:t xml:space="preserve">will engage in transactions covered under this </w:t>
      </w:r>
      <w:r w:rsidR="009E5804">
        <w:rPr>
          <w:rFonts w:ascii="Times New Roman" w:hAnsi="Times New Roman"/>
        </w:rPr>
        <w:t>E</w:t>
      </w:r>
      <w:r w:rsidR="00C31E44">
        <w:rPr>
          <w:rFonts w:ascii="Times New Roman" w:hAnsi="Times New Roman"/>
        </w:rPr>
        <w:t>xemption.</w:t>
      </w:r>
    </w:p>
    <w:p w:rsidR="003227CD" w:rsidRDefault="003227CD" w:rsidP="00F84482">
      <w:pPr>
        <w:ind w:left="720"/>
        <w:rPr>
          <w:rFonts w:ascii="Times New Roman" w:hAnsi="Times New Roman"/>
        </w:rPr>
      </w:pPr>
    </w:p>
    <w:p w:rsidR="003227CD" w:rsidRPr="00D80EE0" w:rsidRDefault="00380BF3" w:rsidP="00F84482">
      <w:pPr>
        <w:ind w:left="720"/>
        <w:rPr>
          <w:rFonts w:ascii="Times New Roman" w:eastAsia="MS Mincho" w:hAnsi="Times New Roman"/>
        </w:rPr>
      </w:pPr>
      <w:r>
        <w:rPr>
          <w:rFonts w:ascii="Times New Roman" w:hAnsi="Times New Roman"/>
        </w:rPr>
        <w:t>The Department estimates that a</w:t>
      </w:r>
      <w:r w:rsidRPr="00380BF3">
        <w:rPr>
          <w:rFonts w:ascii="Times New Roman" w:hAnsi="Times New Roman"/>
        </w:rPr>
        <w:t xml:space="preserve">pproximately 6,000 Financial Institutions will utilize the </w:t>
      </w:r>
      <w:r w:rsidR="009E5804">
        <w:rPr>
          <w:rFonts w:ascii="Times New Roman" w:hAnsi="Times New Roman"/>
        </w:rPr>
        <w:t>E</w:t>
      </w:r>
      <w:r w:rsidRPr="00380BF3">
        <w:rPr>
          <w:rFonts w:ascii="Times New Roman" w:hAnsi="Times New Roman"/>
        </w:rPr>
        <w:t>xemption to engage in principal transactions</w:t>
      </w:r>
      <w:r>
        <w:rPr>
          <w:rFonts w:ascii="Times New Roman" w:hAnsi="Times New Roman"/>
        </w:rPr>
        <w:t xml:space="preserve"> </w:t>
      </w:r>
      <w:r w:rsidR="009E5804">
        <w:rPr>
          <w:rFonts w:ascii="Times New Roman" w:hAnsi="Times New Roman"/>
        </w:rPr>
        <w:t xml:space="preserve">and riskless principal transactions </w:t>
      </w:r>
      <w:r>
        <w:rPr>
          <w:rFonts w:ascii="Times New Roman" w:hAnsi="Times New Roman"/>
        </w:rPr>
        <w:t>with their clients,</w:t>
      </w:r>
      <w:r w:rsidR="005C47EC" w:rsidRPr="00541BBA">
        <w:rPr>
          <w:rStyle w:val="FootnoteReference"/>
          <w:rFonts w:ascii="Times New Roman" w:hAnsi="Times New Roman"/>
          <w:vertAlign w:val="superscript"/>
        </w:rPr>
        <w:footnoteReference w:id="8"/>
      </w:r>
      <w:r>
        <w:rPr>
          <w:rFonts w:ascii="Times New Roman" w:hAnsi="Times New Roman"/>
        </w:rPr>
        <w:t xml:space="preserve"> </w:t>
      </w:r>
      <w:r w:rsidR="003227CD">
        <w:rPr>
          <w:rFonts w:ascii="Times New Roman" w:hAnsi="Times New Roman"/>
        </w:rPr>
        <w:t>that 28.7 percent of plans are new clients to a</w:t>
      </w:r>
      <w:r>
        <w:rPr>
          <w:rFonts w:ascii="Times New Roman" w:hAnsi="Times New Roman"/>
        </w:rPr>
        <w:t xml:space="preserve"> </w:t>
      </w:r>
      <w:r w:rsidR="009E5804">
        <w:rPr>
          <w:rFonts w:ascii="Times New Roman" w:hAnsi="Times New Roman"/>
        </w:rPr>
        <w:t>F</w:t>
      </w:r>
      <w:r>
        <w:rPr>
          <w:rFonts w:ascii="Times New Roman" w:hAnsi="Times New Roman"/>
        </w:rPr>
        <w:t xml:space="preserve">inancial </w:t>
      </w:r>
      <w:r w:rsidR="009E5804">
        <w:rPr>
          <w:rFonts w:ascii="Times New Roman" w:hAnsi="Times New Roman"/>
        </w:rPr>
        <w:t>I</w:t>
      </w:r>
      <w:r>
        <w:rPr>
          <w:rFonts w:ascii="Times New Roman" w:hAnsi="Times New Roman"/>
        </w:rPr>
        <w:t>nstitution in an advisory capacity,</w:t>
      </w:r>
      <w:r w:rsidR="001D03FD" w:rsidRPr="00A21814">
        <w:rPr>
          <w:rStyle w:val="FootnoteReference"/>
          <w:rFonts w:ascii="Times New Roman" w:hAnsi="Times New Roman"/>
          <w:vertAlign w:val="superscript"/>
        </w:rPr>
        <w:footnoteReference w:id="9"/>
      </w:r>
      <w:r>
        <w:rPr>
          <w:rFonts w:ascii="Times New Roman" w:hAnsi="Times New Roman"/>
        </w:rPr>
        <w:t xml:space="preserve"> and that </w:t>
      </w:r>
      <w:r w:rsidR="003227CD">
        <w:rPr>
          <w:rFonts w:ascii="Times New Roman" w:hAnsi="Times New Roman"/>
        </w:rPr>
        <w:t xml:space="preserve">20 percent of IRAs are new clients to </w:t>
      </w:r>
      <w:r>
        <w:rPr>
          <w:rFonts w:ascii="Times New Roman" w:hAnsi="Times New Roman"/>
        </w:rPr>
        <w:t xml:space="preserve">a </w:t>
      </w:r>
      <w:r w:rsidR="009E5804">
        <w:rPr>
          <w:rFonts w:ascii="Times New Roman" w:hAnsi="Times New Roman"/>
        </w:rPr>
        <w:t>F</w:t>
      </w:r>
      <w:r>
        <w:rPr>
          <w:rFonts w:ascii="Times New Roman" w:hAnsi="Times New Roman"/>
        </w:rPr>
        <w:t xml:space="preserve">inancial </w:t>
      </w:r>
      <w:r w:rsidR="009E5804">
        <w:rPr>
          <w:rFonts w:ascii="Times New Roman" w:hAnsi="Times New Roman"/>
        </w:rPr>
        <w:t>I</w:t>
      </w:r>
      <w:r>
        <w:rPr>
          <w:rFonts w:ascii="Times New Roman" w:hAnsi="Times New Roman"/>
        </w:rPr>
        <w:t>nstitution in any advisory capacity</w:t>
      </w:r>
      <w:r w:rsidR="003227CD">
        <w:rPr>
          <w:rFonts w:ascii="Times New Roman" w:hAnsi="Times New Roman"/>
        </w:rPr>
        <w:t xml:space="preserve"> annually.</w:t>
      </w:r>
      <w:r w:rsidR="00135B22" w:rsidRPr="00541BBA">
        <w:rPr>
          <w:rStyle w:val="FootnoteReference"/>
          <w:rFonts w:ascii="Times New Roman" w:hAnsi="Times New Roman"/>
          <w:vertAlign w:val="superscript"/>
        </w:rPr>
        <w:footnoteReference w:id="10"/>
      </w:r>
    </w:p>
    <w:p w:rsidR="001A241A" w:rsidRDefault="001A241A" w:rsidP="001A241A">
      <w:pPr>
        <w:ind w:left="720"/>
        <w:rPr>
          <w:rFonts w:ascii="Times New Roman" w:eastAsia="MS Mincho" w:hAnsi="Times New Roman"/>
        </w:rPr>
      </w:pPr>
    </w:p>
    <w:p w:rsidR="001A241A" w:rsidRDefault="001A241A" w:rsidP="001A241A">
      <w:pPr>
        <w:ind w:left="720"/>
        <w:rPr>
          <w:rFonts w:ascii="Times New Roman" w:eastAsia="MS Mincho" w:hAnsi="Times New Roman"/>
        </w:rPr>
      </w:pPr>
      <w:r>
        <w:rPr>
          <w:rFonts w:ascii="Times New Roman" w:eastAsia="MS Mincho" w:hAnsi="Times New Roman"/>
        </w:rPr>
        <w:t xml:space="preserve">As described in more detail in question </w:t>
      </w:r>
      <w:r w:rsidR="00966838">
        <w:rPr>
          <w:rFonts w:ascii="Times New Roman" w:eastAsia="MS Mincho" w:hAnsi="Times New Roman"/>
        </w:rPr>
        <w:t>1</w:t>
      </w:r>
      <w:r>
        <w:rPr>
          <w:rFonts w:ascii="Times New Roman" w:eastAsia="MS Mincho" w:hAnsi="Times New Roman"/>
        </w:rPr>
        <w:t xml:space="preserve"> above, this </w:t>
      </w:r>
      <w:r w:rsidR="00E306C6">
        <w:rPr>
          <w:rFonts w:ascii="Times New Roman" w:eastAsia="MS Mincho" w:hAnsi="Times New Roman"/>
        </w:rPr>
        <w:t xml:space="preserve">exemption </w:t>
      </w:r>
      <w:r>
        <w:rPr>
          <w:rFonts w:ascii="Times New Roman" w:eastAsia="MS Mincho" w:hAnsi="Times New Roman"/>
        </w:rPr>
        <w:t>requires respondents to pro</w:t>
      </w:r>
      <w:r w:rsidR="00D16AA8">
        <w:rPr>
          <w:rFonts w:ascii="Times New Roman" w:eastAsia="MS Mincho" w:hAnsi="Times New Roman"/>
        </w:rPr>
        <w:t>vide</w:t>
      </w:r>
      <w:r w:rsidR="00391361">
        <w:rPr>
          <w:rFonts w:ascii="Times New Roman" w:eastAsia="MS Mincho" w:hAnsi="Times New Roman"/>
        </w:rPr>
        <w:t xml:space="preserve"> </w:t>
      </w:r>
      <w:r w:rsidR="00F63D5F">
        <w:rPr>
          <w:rFonts w:ascii="Times New Roman" w:eastAsia="MS Mincho" w:hAnsi="Times New Roman"/>
        </w:rPr>
        <w:t xml:space="preserve">transition disclosures, </w:t>
      </w:r>
      <w:r w:rsidR="00391361">
        <w:rPr>
          <w:rFonts w:ascii="Times New Roman" w:eastAsia="MS Mincho" w:hAnsi="Times New Roman"/>
        </w:rPr>
        <w:t xml:space="preserve">contract disclosures and </w:t>
      </w:r>
      <w:r>
        <w:rPr>
          <w:rFonts w:ascii="Times New Roman" w:eastAsia="MS Mincho" w:hAnsi="Times New Roman"/>
        </w:rPr>
        <w:t>contracts, pre-transaction disclosure</w:t>
      </w:r>
      <w:r w:rsidR="00D16AA8">
        <w:rPr>
          <w:rFonts w:ascii="Times New Roman" w:eastAsia="MS Mincho" w:hAnsi="Times New Roman"/>
        </w:rPr>
        <w:t>s</w:t>
      </w:r>
      <w:r>
        <w:rPr>
          <w:rFonts w:ascii="Times New Roman" w:eastAsia="MS Mincho" w:hAnsi="Times New Roman"/>
        </w:rPr>
        <w:t>,</w:t>
      </w:r>
      <w:r w:rsidR="007528CB">
        <w:rPr>
          <w:rFonts w:ascii="Times New Roman" w:eastAsia="MS Mincho" w:hAnsi="Times New Roman"/>
        </w:rPr>
        <w:t xml:space="preserve"> </w:t>
      </w:r>
      <w:r>
        <w:rPr>
          <w:rFonts w:ascii="Times New Roman" w:eastAsia="MS Mincho" w:hAnsi="Times New Roman"/>
        </w:rPr>
        <w:t>confirmation notice</w:t>
      </w:r>
      <w:r w:rsidR="00D16AA8">
        <w:rPr>
          <w:rFonts w:ascii="Times New Roman" w:eastAsia="MS Mincho" w:hAnsi="Times New Roman"/>
        </w:rPr>
        <w:t>s</w:t>
      </w:r>
      <w:r>
        <w:rPr>
          <w:rFonts w:ascii="Times New Roman" w:eastAsia="MS Mincho" w:hAnsi="Times New Roman"/>
        </w:rPr>
        <w:t>,</w:t>
      </w:r>
      <w:r w:rsidR="009E5804">
        <w:rPr>
          <w:rFonts w:ascii="Times New Roman" w:eastAsia="MS Mincho" w:hAnsi="Times New Roman"/>
        </w:rPr>
        <w:t xml:space="preserve"> </w:t>
      </w:r>
      <w:r>
        <w:rPr>
          <w:rFonts w:ascii="Times New Roman" w:eastAsia="MS Mincho" w:hAnsi="Times New Roman"/>
        </w:rPr>
        <w:t>annual statement</w:t>
      </w:r>
      <w:r w:rsidR="00D16AA8">
        <w:rPr>
          <w:rFonts w:ascii="Times New Roman" w:eastAsia="MS Mincho" w:hAnsi="Times New Roman"/>
        </w:rPr>
        <w:t>s</w:t>
      </w:r>
      <w:r w:rsidR="000F2E82">
        <w:rPr>
          <w:rFonts w:ascii="Times New Roman" w:eastAsia="MS Mincho" w:hAnsi="Times New Roman"/>
        </w:rPr>
        <w:t xml:space="preserve">, and </w:t>
      </w:r>
      <w:r w:rsidR="009E5804">
        <w:rPr>
          <w:rFonts w:ascii="Times New Roman" w:eastAsia="MS Mincho" w:hAnsi="Times New Roman"/>
        </w:rPr>
        <w:t>salient</w:t>
      </w:r>
      <w:r w:rsidR="000F2E82">
        <w:rPr>
          <w:rFonts w:ascii="Times New Roman" w:eastAsia="MS Mincho" w:hAnsi="Times New Roman"/>
        </w:rPr>
        <w:t xml:space="preserve"> information on demand</w:t>
      </w:r>
      <w:r>
        <w:rPr>
          <w:rFonts w:ascii="Times New Roman" w:eastAsia="MS Mincho" w:hAnsi="Times New Roman"/>
        </w:rPr>
        <w:t>.  Respondents are also required to maintain detailed records.</w:t>
      </w:r>
    </w:p>
    <w:p w:rsidR="000F21D3" w:rsidRDefault="000F21D3" w:rsidP="001A241A">
      <w:pPr>
        <w:ind w:left="720"/>
        <w:rPr>
          <w:rFonts w:ascii="Times New Roman" w:eastAsia="MS Mincho" w:hAnsi="Times New Roman"/>
        </w:rPr>
      </w:pPr>
    </w:p>
    <w:p w:rsidR="000F21D3" w:rsidRDefault="000F21D3" w:rsidP="001A241A">
      <w:pPr>
        <w:ind w:left="720"/>
        <w:rPr>
          <w:rFonts w:ascii="Times New Roman" w:eastAsia="MS Mincho" w:hAnsi="Times New Roman"/>
        </w:rPr>
      </w:pPr>
      <w:r w:rsidRPr="000F21D3">
        <w:rPr>
          <w:rFonts w:ascii="Times New Roman" w:eastAsia="MS Mincho" w:hAnsi="Times New Roman"/>
        </w:rPr>
        <w:t>The Department believes that nearly all Financial Institutions will contract with outside service providers to implement the various compliance requirements of this exemption</w:t>
      </w:r>
      <w:r>
        <w:rPr>
          <w:rFonts w:ascii="Times New Roman" w:eastAsia="MS Mincho" w:hAnsi="Times New Roman"/>
        </w:rPr>
        <w:t>, and those costs are described in detail in question 13</w:t>
      </w:r>
      <w:r w:rsidRPr="000F21D3">
        <w:rPr>
          <w:rFonts w:ascii="Times New Roman" w:eastAsia="MS Mincho" w:hAnsi="Times New Roman"/>
        </w:rPr>
        <w:t xml:space="preserve">.  </w:t>
      </w:r>
      <w:r w:rsidR="005362AC">
        <w:rPr>
          <w:rFonts w:ascii="Times New Roman" w:eastAsia="MS Mincho" w:hAnsi="Times New Roman"/>
        </w:rPr>
        <w:t>The only burden associated with these information collections that is categorized as hour burden is the time necessary for clerical staff to distribute the required disclosures.</w:t>
      </w:r>
    </w:p>
    <w:p w:rsidR="00853760" w:rsidRDefault="00853760" w:rsidP="001A241A">
      <w:pPr>
        <w:ind w:left="720"/>
        <w:rPr>
          <w:rFonts w:ascii="Times New Roman" w:eastAsia="MS Mincho" w:hAnsi="Times New Roman"/>
        </w:rPr>
      </w:pPr>
    </w:p>
    <w:p w:rsidR="00566282" w:rsidRPr="00541BBA" w:rsidRDefault="00566282" w:rsidP="00853760">
      <w:pPr>
        <w:ind w:left="720"/>
        <w:rPr>
          <w:rFonts w:ascii="Times New Roman" w:eastAsia="MS Mincho" w:hAnsi="Times New Roman"/>
          <w:u w:val="single"/>
        </w:rPr>
      </w:pPr>
      <w:r>
        <w:rPr>
          <w:rFonts w:ascii="Times New Roman" w:eastAsia="MS Mincho" w:hAnsi="Times New Roman"/>
          <w:u w:val="single"/>
        </w:rPr>
        <w:t>Transition Disclosures</w:t>
      </w:r>
    </w:p>
    <w:p w:rsidR="00566282" w:rsidRDefault="00853760" w:rsidP="00853760">
      <w:pPr>
        <w:ind w:left="720"/>
        <w:rPr>
          <w:rFonts w:ascii="Times New Roman" w:eastAsia="MS Mincho" w:hAnsi="Times New Roman"/>
        </w:rPr>
      </w:pPr>
      <w:r w:rsidRPr="00853760">
        <w:rPr>
          <w:rFonts w:ascii="Times New Roman" w:eastAsia="MS Mincho" w:hAnsi="Times New Roman"/>
        </w:rPr>
        <w:t>The Department estimates that 14,000 Retirement Investors with respect to ERISA plans</w:t>
      </w:r>
      <w:r w:rsidR="005D7217" w:rsidRPr="00541BBA">
        <w:rPr>
          <w:rStyle w:val="FootnoteReference"/>
          <w:rFonts w:ascii="Times New Roman" w:eastAsia="MS Mincho" w:hAnsi="Times New Roman"/>
          <w:vertAlign w:val="superscript"/>
        </w:rPr>
        <w:footnoteReference w:id="11"/>
      </w:r>
      <w:r w:rsidRPr="00853760">
        <w:rPr>
          <w:rFonts w:ascii="Times New Roman" w:eastAsia="MS Mincho" w:hAnsi="Times New Roman"/>
        </w:rPr>
        <w:t xml:space="preserve"> and 2.</w:t>
      </w:r>
      <w:r w:rsidR="00B76E2A">
        <w:rPr>
          <w:rFonts w:ascii="Times New Roman" w:eastAsia="MS Mincho" w:hAnsi="Times New Roman"/>
        </w:rPr>
        <w:t>4</w:t>
      </w:r>
      <w:r w:rsidRPr="00853760">
        <w:rPr>
          <w:rFonts w:ascii="Times New Roman" w:eastAsia="MS Mincho" w:hAnsi="Times New Roman"/>
        </w:rPr>
        <w:t xml:space="preserve"> million Retirement Investors with respect to IRAs and non-ERISA plans </w:t>
      </w:r>
      <w:r w:rsidRPr="00853760">
        <w:rPr>
          <w:rFonts w:ascii="Times New Roman" w:eastAsia="MS Mincho" w:hAnsi="Times New Roman"/>
        </w:rPr>
        <w:lastRenderedPageBreak/>
        <w:t xml:space="preserve">will receive a three-page transition disclosure during the first year.  </w:t>
      </w:r>
      <w:r w:rsidR="00BB425A" w:rsidRPr="00853760">
        <w:rPr>
          <w:rFonts w:ascii="Times New Roman" w:eastAsia="MS Mincho" w:hAnsi="Times New Roman"/>
        </w:rPr>
        <w:t>The transition disclosure will be distributed electronically to 51.8 percent of ERISA plan investors</w:t>
      </w:r>
      <w:r w:rsidR="0001285F" w:rsidRPr="00541BBA">
        <w:rPr>
          <w:rStyle w:val="FootnoteReference"/>
          <w:rFonts w:ascii="Times New Roman" w:eastAsia="MS Mincho" w:hAnsi="Times New Roman"/>
          <w:vertAlign w:val="superscript"/>
        </w:rPr>
        <w:footnoteReference w:id="12"/>
      </w:r>
      <w:r w:rsidR="00BB425A" w:rsidRPr="00853760">
        <w:rPr>
          <w:rFonts w:ascii="Times New Roman" w:eastAsia="MS Mincho" w:hAnsi="Times New Roman"/>
        </w:rPr>
        <w:t xml:space="preserve"> and 44.1 percent of IRAs and non-ERISA plan investors</w:t>
      </w:r>
      <w:r w:rsidR="00B809B0" w:rsidRPr="00541BBA">
        <w:rPr>
          <w:rStyle w:val="FootnoteReference"/>
          <w:rFonts w:ascii="Times New Roman" w:eastAsia="MS Mincho" w:hAnsi="Times New Roman"/>
          <w:vertAlign w:val="superscript"/>
        </w:rPr>
        <w:footnoteReference w:id="13"/>
      </w:r>
      <w:r w:rsidR="00BB425A" w:rsidRPr="00853760">
        <w:rPr>
          <w:rFonts w:ascii="Times New Roman" w:eastAsia="MS Mincho" w:hAnsi="Times New Roman"/>
        </w:rPr>
        <w:t xml:space="preserve"> during the first year.  Paper disclosures will be mailed to the remaining 48.2 percent of ERISA plan investors and 55.9 percent of IRAs and non-ERISA plan investors.  </w:t>
      </w:r>
      <w:r w:rsidR="00D40EA5">
        <w:rPr>
          <w:rFonts w:ascii="Times New Roman" w:eastAsia="MS Mincho" w:hAnsi="Times New Roman"/>
        </w:rPr>
        <w:t xml:space="preserve">Electronic distribution will result in de </w:t>
      </w:r>
      <w:proofErr w:type="spellStart"/>
      <w:r w:rsidR="00D40EA5">
        <w:rPr>
          <w:rFonts w:ascii="Times New Roman" w:eastAsia="MS Mincho" w:hAnsi="Times New Roman"/>
        </w:rPr>
        <w:t>minimis</w:t>
      </w:r>
      <w:proofErr w:type="spellEnd"/>
      <w:r w:rsidR="00D40EA5">
        <w:rPr>
          <w:rFonts w:ascii="Times New Roman" w:eastAsia="MS Mincho" w:hAnsi="Times New Roman"/>
        </w:rPr>
        <w:t xml:space="preserve"> burden.  </w:t>
      </w:r>
      <w:r w:rsidR="005844D9">
        <w:rPr>
          <w:rFonts w:ascii="Times New Roman" w:eastAsia="MS Mincho" w:hAnsi="Times New Roman"/>
        </w:rPr>
        <w:t xml:space="preserve">Distribution of the </w:t>
      </w:r>
      <w:r w:rsidR="00FF31CB">
        <w:rPr>
          <w:rFonts w:ascii="Times New Roman" w:eastAsia="MS Mincho" w:hAnsi="Times New Roman"/>
        </w:rPr>
        <w:t>1.</w:t>
      </w:r>
      <w:r w:rsidR="00EB650E">
        <w:rPr>
          <w:rFonts w:ascii="Times New Roman" w:eastAsia="MS Mincho" w:hAnsi="Times New Roman"/>
        </w:rPr>
        <w:t>2</w:t>
      </w:r>
      <w:r w:rsidR="00FF31CB">
        <w:rPr>
          <w:rFonts w:ascii="Times New Roman" w:eastAsia="MS Mincho" w:hAnsi="Times New Roman"/>
        </w:rPr>
        <w:t xml:space="preserve"> million paper transition disclosures</w:t>
      </w:r>
      <w:r w:rsidR="00596F4F" w:rsidRPr="00541BBA">
        <w:rPr>
          <w:rStyle w:val="FootnoteReference"/>
          <w:rFonts w:ascii="Times New Roman" w:eastAsia="MS Mincho" w:hAnsi="Times New Roman"/>
          <w:vertAlign w:val="superscript"/>
        </w:rPr>
        <w:footnoteReference w:id="14"/>
      </w:r>
      <w:r w:rsidR="00FF31CB">
        <w:rPr>
          <w:rFonts w:ascii="Times New Roman" w:eastAsia="MS Mincho" w:hAnsi="Times New Roman"/>
        </w:rPr>
        <w:t xml:space="preserve"> </w:t>
      </w:r>
      <w:r w:rsidR="00D40EA5" w:rsidRPr="00853760">
        <w:rPr>
          <w:rFonts w:ascii="Times New Roman" w:eastAsia="MS Mincho" w:hAnsi="Times New Roman"/>
        </w:rPr>
        <w:t xml:space="preserve">will require two minutes of clerical time </w:t>
      </w:r>
      <w:r w:rsidR="005844D9">
        <w:rPr>
          <w:rFonts w:ascii="Times New Roman" w:eastAsia="MS Mincho" w:hAnsi="Times New Roman"/>
        </w:rPr>
        <w:t>per disclosure</w:t>
      </w:r>
      <w:r w:rsidR="00DD4924">
        <w:rPr>
          <w:rFonts w:ascii="Times New Roman" w:eastAsia="MS Mincho" w:hAnsi="Times New Roman"/>
        </w:rPr>
        <w:t>,</w:t>
      </w:r>
      <w:r w:rsidR="00E42667" w:rsidRPr="00541BBA">
        <w:rPr>
          <w:rStyle w:val="FootnoteReference"/>
          <w:rFonts w:ascii="Times New Roman" w:eastAsia="MS Mincho" w:hAnsi="Times New Roman"/>
          <w:vertAlign w:val="superscript"/>
        </w:rPr>
        <w:footnoteReference w:id="15"/>
      </w:r>
      <w:r w:rsidR="00B53A5A">
        <w:rPr>
          <w:rFonts w:ascii="Times New Roman" w:eastAsia="MS Mincho" w:hAnsi="Times New Roman"/>
        </w:rPr>
        <w:t xml:space="preserve"> at an hourly rate of $55.</w:t>
      </w:r>
      <w:r w:rsidR="008A69B2">
        <w:rPr>
          <w:rFonts w:ascii="Times New Roman" w:eastAsia="MS Mincho" w:hAnsi="Times New Roman"/>
        </w:rPr>
        <w:t>21</w:t>
      </w:r>
      <w:r w:rsidR="00DD4924">
        <w:rPr>
          <w:rFonts w:ascii="Times New Roman" w:eastAsia="MS Mincho" w:hAnsi="Times New Roman"/>
        </w:rPr>
        <w:t>,</w:t>
      </w:r>
      <w:r w:rsidR="00FD789C" w:rsidRPr="00C332E3">
        <w:rPr>
          <w:rFonts w:ascii="Times New Roman" w:hAnsi="Times New Roman"/>
          <w:iCs/>
          <w:vertAlign w:val="superscript"/>
        </w:rPr>
        <w:footnoteReference w:id="16"/>
      </w:r>
      <w:r w:rsidR="005844D9">
        <w:rPr>
          <w:rFonts w:ascii="Times New Roman" w:eastAsia="MS Mincho" w:hAnsi="Times New Roman"/>
        </w:rPr>
        <w:t xml:space="preserve"> </w:t>
      </w:r>
      <w:r w:rsidR="00D40EA5" w:rsidRPr="00853760">
        <w:rPr>
          <w:rFonts w:ascii="Times New Roman" w:eastAsia="MS Mincho" w:hAnsi="Times New Roman"/>
        </w:rPr>
        <w:t xml:space="preserve">to print and mail the disclosure, resulting in </w:t>
      </w:r>
      <w:r w:rsidR="00673855">
        <w:rPr>
          <w:rFonts w:ascii="Times New Roman" w:eastAsia="MS Mincho" w:hAnsi="Times New Roman"/>
        </w:rPr>
        <w:t>40</w:t>
      </w:r>
      <w:r w:rsidR="00D40EA5" w:rsidRPr="00853760">
        <w:rPr>
          <w:rFonts w:ascii="Times New Roman" w:eastAsia="MS Mincho" w:hAnsi="Times New Roman"/>
        </w:rPr>
        <w:t>,000 hours</w:t>
      </w:r>
      <w:r w:rsidR="0028196C" w:rsidRPr="00541BBA">
        <w:rPr>
          <w:rStyle w:val="FootnoteReference"/>
          <w:rFonts w:ascii="Times New Roman" w:eastAsia="MS Mincho" w:hAnsi="Times New Roman"/>
          <w:vertAlign w:val="superscript"/>
        </w:rPr>
        <w:footnoteReference w:id="17"/>
      </w:r>
      <w:r w:rsidR="00D40EA5" w:rsidRPr="00853760">
        <w:rPr>
          <w:rFonts w:ascii="Times New Roman" w:eastAsia="MS Mincho" w:hAnsi="Times New Roman"/>
        </w:rPr>
        <w:t xml:space="preserve"> at an equivalent cost of $</w:t>
      </w:r>
      <w:r w:rsidR="00C63B22">
        <w:rPr>
          <w:rFonts w:ascii="Times New Roman" w:eastAsia="MS Mincho" w:hAnsi="Times New Roman"/>
        </w:rPr>
        <w:t>2.</w:t>
      </w:r>
      <w:r w:rsidR="00673855">
        <w:rPr>
          <w:rFonts w:ascii="Times New Roman" w:eastAsia="MS Mincho" w:hAnsi="Times New Roman"/>
        </w:rPr>
        <w:t>2</w:t>
      </w:r>
      <w:r w:rsidR="00D40EA5" w:rsidRPr="00853760">
        <w:rPr>
          <w:rFonts w:ascii="Times New Roman" w:eastAsia="MS Mincho" w:hAnsi="Times New Roman"/>
        </w:rPr>
        <w:t xml:space="preserve"> million during the first year</w:t>
      </w:r>
      <w:r w:rsidR="00D92622">
        <w:rPr>
          <w:rFonts w:ascii="Times New Roman" w:eastAsia="MS Mincho" w:hAnsi="Times New Roman"/>
        </w:rPr>
        <w:t xml:space="preserve"> only</w:t>
      </w:r>
      <w:r w:rsidR="00D40EA5" w:rsidRPr="00853760">
        <w:rPr>
          <w:rFonts w:ascii="Times New Roman" w:eastAsia="MS Mincho" w:hAnsi="Times New Roman"/>
        </w:rPr>
        <w:t>.</w:t>
      </w:r>
      <w:r w:rsidR="00D95691" w:rsidRPr="00541BBA">
        <w:rPr>
          <w:rStyle w:val="FootnoteReference"/>
          <w:rFonts w:ascii="Times New Roman" w:eastAsia="MS Mincho" w:hAnsi="Times New Roman"/>
          <w:vertAlign w:val="superscript"/>
        </w:rPr>
        <w:footnoteReference w:id="18"/>
      </w:r>
    </w:p>
    <w:p w:rsidR="00566282" w:rsidRDefault="00566282" w:rsidP="00853760">
      <w:pPr>
        <w:ind w:left="720"/>
        <w:rPr>
          <w:rFonts w:ascii="Times New Roman" w:eastAsia="MS Mincho" w:hAnsi="Times New Roman"/>
        </w:rPr>
      </w:pPr>
    </w:p>
    <w:p w:rsidR="00566282" w:rsidRPr="00541BBA" w:rsidRDefault="00566282" w:rsidP="00853760">
      <w:pPr>
        <w:ind w:left="720"/>
        <w:rPr>
          <w:rFonts w:ascii="Times New Roman" w:eastAsia="MS Mincho" w:hAnsi="Times New Roman"/>
          <w:u w:val="single"/>
        </w:rPr>
      </w:pPr>
      <w:r w:rsidRPr="00541BBA">
        <w:rPr>
          <w:rFonts w:ascii="Times New Roman" w:eastAsia="MS Mincho" w:hAnsi="Times New Roman"/>
          <w:u w:val="single"/>
        </w:rPr>
        <w:t>Contract Disclosures and Contracts</w:t>
      </w:r>
    </w:p>
    <w:p w:rsidR="00853760" w:rsidRDefault="00566282" w:rsidP="00853760">
      <w:pPr>
        <w:ind w:left="720"/>
        <w:rPr>
          <w:rFonts w:ascii="Times New Roman" w:eastAsia="MS Mincho" w:hAnsi="Times New Roman"/>
        </w:rPr>
      </w:pPr>
      <w:r>
        <w:rPr>
          <w:rFonts w:ascii="Times New Roman" w:eastAsia="MS Mincho" w:hAnsi="Times New Roman"/>
        </w:rPr>
        <w:t>The Department esti</w:t>
      </w:r>
      <w:r w:rsidR="004942DB">
        <w:rPr>
          <w:rFonts w:ascii="Times New Roman" w:eastAsia="MS Mincho" w:hAnsi="Times New Roman"/>
        </w:rPr>
        <w:t>m</w:t>
      </w:r>
      <w:r>
        <w:rPr>
          <w:rFonts w:ascii="Times New Roman" w:eastAsia="MS Mincho" w:hAnsi="Times New Roman"/>
        </w:rPr>
        <w:t xml:space="preserve">ates that </w:t>
      </w:r>
      <w:r w:rsidR="00853760" w:rsidRPr="00853760">
        <w:rPr>
          <w:rFonts w:ascii="Times New Roman" w:eastAsia="MS Mincho" w:hAnsi="Times New Roman"/>
        </w:rPr>
        <w:t>14,000 Retirement Investors with respect to ERISA plans will receive a five-page contract disclosure, and 2.</w:t>
      </w:r>
      <w:r w:rsidR="00051D8E">
        <w:rPr>
          <w:rFonts w:ascii="Times New Roman" w:eastAsia="MS Mincho" w:hAnsi="Times New Roman"/>
        </w:rPr>
        <w:t>4</w:t>
      </w:r>
      <w:r w:rsidR="00853760" w:rsidRPr="00853760">
        <w:rPr>
          <w:rFonts w:ascii="Times New Roman" w:eastAsia="MS Mincho" w:hAnsi="Times New Roman"/>
        </w:rPr>
        <w:t xml:space="preserve"> million Retirement Investors with respect to IRAs and non-ERISA plans will receive a five-page contract during the first year.  In subsequent years, 4,000 Retirement Investors with respect to ERISA plans </w:t>
      </w:r>
      <w:r w:rsidR="00071C3E">
        <w:rPr>
          <w:rFonts w:ascii="Times New Roman" w:eastAsia="MS Mincho" w:hAnsi="Times New Roman"/>
        </w:rPr>
        <w:t>who are entering new relationships with advisers</w:t>
      </w:r>
      <w:r w:rsidR="00266C59" w:rsidRPr="00FA3A54">
        <w:rPr>
          <w:rStyle w:val="FootnoteReference"/>
          <w:rFonts w:ascii="Times New Roman" w:eastAsia="MS Mincho" w:hAnsi="Times New Roman"/>
          <w:vertAlign w:val="superscript"/>
        </w:rPr>
        <w:footnoteReference w:id="19"/>
      </w:r>
      <w:r w:rsidR="00071C3E">
        <w:rPr>
          <w:rFonts w:ascii="Times New Roman" w:eastAsia="MS Mincho" w:hAnsi="Times New Roman"/>
        </w:rPr>
        <w:t xml:space="preserve"> </w:t>
      </w:r>
      <w:r w:rsidR="00853760" w:rsidRPr="00853760">
        <w:rPr>
          <w:rFonts w:ascii="Times New Roman" w:eastAsia="MS Mincho" w:hAnsi="Times New Roman"/>
        </w:rPr>
        <w:t xml:space="preserve">will receive a five-page contract disclosure </w:t>
      </w:r>
      <w:r w:rsidR="00853760" w:rsidRPr="00853760">
        <w:rPr>
          <w:rFonts w:ascii="Times New Roman" w:eastAsia="MS Mincho" w:hAnsi="Times New Roman"/>
        </w:rPr>
        <w:lastRenderedPageBreak/>
        <w:t>and 4</w:t>
      </w:r>
      <w:r w:rsidR="00051D8E">
        <w:rPr>
          <w:rFonts w:ascii="Times New Roman" w:eastAsia="MS Mincho" w:hAnsi="Times New Roman"/>
        </w:rPr>
        <w:t>90</w:t>
      </w:r>
      <w:r w:rsidR="00853760" w:rsidRPr="00853760">
        <w:rPr>
          <w:rFonts w:ascii="Times New Roman" w:eastAsia="MS Mincho" w:hAnsi="Times New Roman"/>
        </w:rPr>
        <w:t xml:space="preserve">,000 Retirement Investors with respect to IRAs and non-ERISA plans </w:t>
      </w:r>
      <w:r w:rsidR="00071C3E">
        <w:rPr>
          <w:rFonts w:ascii="Times New Roman" w:eastAsia="MS Mincho" w:hAnsi="Times New Roman"/>
        </w:rPr>
        <w:t>who are entering new relationships with advisers</w:t>
      </w:r>
      <w:r w:rsidR="00A9418B" w:rsidRPr="00206567">
        <w:rPr>
          <w:rStyle w:val="FootnoteReference"/>
          <w:rFonts w:ascii="Times New Roman" w:eastAsia="MS Mincho" w:hAnsi="Times New Roman"/>
          <w:vertAlign w:val="superscript"/>
        </w:rPr>
        <w:footnoteReference w:id="20"/>
      </w:r>
      <w:r w:rsidR="00071C3E">
        <w:rPr>
          <w:rFonts w:ascii="Times New Roman" w:eastAsia="MS Mincho" w:hAnsi="Times New Roman"/>
        </w:rPr>
        <w:t xml:space="preserve"> </w:t>
      </w:r>
      <w:r w:rsidR="00853760" w:rsidRPr="00853760">
        <w:rPr>
          <w:rFonts w:ascii="Times New Roman" w:eastAsia="MS Mincho" w:hAnsi="Times New Roman"/>
        </w:rPr>
        <w:t xml:space="preserve">will receive a five-page contract.  To the extent that Financial Institutions use both the Best Interest Contract Exemption </w:t>
      </w:r>
      <w:r w:rsidR="00B27604">
        <w:rPr>
          <w:rFonts w:ascii="Times New Roman" w:eastAsia="MS Mincho" w:hAnsi="Times New Roman"/>
        </w:rPr>
        <w:t xml:space="preserve">(approved under OMB Control Number 1210-0156) </w:t>
      </w:r>
      <w:r w:rsidR="00853760" w:rsidRPr="00853760">
        <w:rPr>
          <w:rFonts w:ascii="Times New Roman" w:eastAsia="MS Mincho" w:hAnsi="Times New Roman"/>
        </w:rPr>
        <w:t xml:space="preserve">and this Exemption, this estimate may represent an overestimate because significant overlap exists between the requirements of the </w:t>
      </w:r>
      <w:r w:rsidR="00B27604">
        <w:rPr>
          <w:rFonts w:ascii="Times New Roman" w:eastAsia="MS Mincho" w:hAnsi="Times New Roman"/>
        </w:rPr>
        <w:t>contract</w:t>
      </w:r>
      <w:r w:rsidR="00853760" w:rsidRPr="00853760">
        <w:rPr>
          <w:rFonts w:ascii="Times New Roman" w:eastAsia="MS Mincho" w:hAnsi="Times New Roman"/>
        </w:rPr>
        <w:t xml:space="preserve"> disclosure and the contract for both exemptions.  If Financial Institutions choose to use both exemptions with the same clients, they will probably combine the documents.</w:t>
      </w:r>
    </w:p>
    <w:p w:rsidR="00853760" w:rsidRPr="00853760" w:rsidRDefault="00853760" w:rsidP="00853760">
      <w:pPr>
        <w:ind w:left="720"/>
        <w:rPr>
          <w:rFonts w:ascii="Times New Roman" w:eastAsia="MS Mincho" w:hAnsi="Times New Roman"/>
        </w:rPr>
      </w:pPr>
    </w:p>
    <w:p w:rsidR="00853760" w:rsidRDefault="00853760" w:rsidP="00853760">
      <w:pPr>
        <w:ind w:left="720"/>
        <w:rPr>
          <w:rFonts w:ascii="Times New Roman" w:eastAsia="MS Mincho" w:hAnsi="Times New Roman"/>
        </w:rPr>
      </w:pPr>
      <w:r w:rsidRPr="00853760">
        <w:rPr>
          <w:rFonts w:ascii="Times New Roman" w:eastAsia="MS Mincho" w:hAnsi="Times New Roman"/>
        </w:rPr>
        <w:t xml:space="preserve">The contract disclosure will be distributed electronically to 51.8 percent of the ERISA plan investors during the first year or during any subsequent year in which the plan investor begins a new advisory relationship.  Paper contract disclosures will be mailed to 48.2 percent of ERISA plan investors.  The contract will be distributed electronically to 44.1 percent of IRAs and non-ERISA plan participants during the first year or during any subsequent year in which the investor begins a new advisory relationship.  Paper contracts will be mailed to 55.9 percent of IRAs and non-ERISA plan investors.  </w:t>
      </w:r>
      <w:r w:rsidR="00C63B22" w:rsidRPr="00C63B22">
        <w:rPr>
          <w:rFonts w:ascii="Times New Roman" w:eastAsia="MS Mincho" w:hAnsi="Times New Roman"/>
        </w:rPr>
        <w:t xml:space="preserve">Electronic distribution will result in de </w:t>
      </w:r>
      <w:proofErr w:type="spellStart"/>
      <w:r w:rsidR="00C63B22" w:rsidRPr="00C63B22">
        <w:rPr>
          <w:rFonts w:ascii="Times New Roman" w:eastAsia="MS Mincho" w:hAnsi="Times New Roman"/>
        </w:rPr>
        <w:t>minimis</w:t>
      </w:r>
      <w:proofErr w:type="spellEnd"/>
      <w:r w:rsidR="00C63B22" w:rsidRPr="00C63B22">
        <w:rPr>
          <w:rFonts w:ascii="Times New Roman" w:eastAsia="MS Mincho" w:hAnsi="Times New Roman"/>
        </w:rPr>
        <w:t xml:space="preserve"> burden.  </w:t>
      </w:r>
      <w:r w:rsidR="00FF31CB">
        <w:rPr>
          <w:rFonts w:ascii="Times New Roman" w:eastAsia="MS Mincho" w:hAnsi="Times New Roman"/>
        </w:rPr>
        <w:t>Distribution of the 1.</w:t>
      </w:r>
      <w:r w:rsidR="00F44934">
        <w:rPr>
          <w:rFonts w:ascii="Times New Roman" w:eastAsia="MS Mincho" w:hAnsi="Times New Roman"/>
        </w:rPr>
        <w:t>4</w:t>
      </w:r>
      <w:r w:rsidR="00FF31CB">
        <w:rPr>
          <w:rFonts w:ascii="Times New Roman" w:eastAsia="MS Mincho" w:hAnsi="Times New Roman"/>
        </w:rPr>
        <w:t xml:space="preserve"> million paper contract disclosures and contracts during the first year</w:t>
      </w:r>
      <w:r w:rsidR="00A240FC" w:rsidRPr="00541BBA">
        <w:rPr>
          <w:rStyle w:val="FootnoteReference"/>
          <w:rFonts w:ascii="Times New Roman" w:eastAsia="MS Mincho" w:hAnsi="Times New Roman"/>
          <w:vertAlign w:val="superscript"/>
        </w:rPr>
        <w:footnoteReference w:id="21"/>
      </w:r>
      <w:r w:rsidR="00FF31CB">
        <w:rPr>
          <w:rFonts w:ascii="Times New Roman" w:eastAsia="MS Mincho" w:hAnsi="Times New Roman"/>
        </w:rPr>
        <w:t xml:space="preserve"> and </w:t>
      </w:r>
      <w:r w:rsidR="005721D9">
        <w:rPr>
          <w:rFonts w:ascii="Times New Roman" w:eastAsia="MS Mincho" w:hAnsi="Times New Roman"/>
        </w:rPr>
        <w:t>2</w:t>
      </w:r>
      <w:r w:rsidR="00CE3F9C">
        <w:rPr>
          <w:rFonts w:ascii="Times New Roman" w:eastAsia="MS Mincho" w:hAnsi="Times New Roman"/>
        </w:rPr>
        <w:t>76</w:t>
      </w:r>
      <w:r w:rsidR="005721D9">
        <w:rPr>
          <w:rFonts w:ascii="Times New Roman" w:eastAsia="MS Mincho" w:hAnsi="Times New Roman"/>
        </w:rPr>
        <w:t>,000 paper contract disclosures and contracts during subsequent years</w:t>
      </w:r>
      <w:r w:rsidR="00B84D72" w:rsidRPr="00541BBA">
        <w:rPr>
          <w:rStyle w:val="FootnoteReference"/>
          <w:rFonts w:ascii="Times New Roman" w:eastAsia="MS Mincho" w:hAnsi="Times New Roman"/>
          <w:vertAlign w:val="superscript"/>
        </w:rPr>
        <w:footnoteReference w:id="22"/>
      </w:r>
      <w:r w:rsidR="005721D9">
        <w:rPr>
          <w:rFonts w:ascii="Times New Roman" w:eastAsia="MS Mincho" w:hAnsi="Times New Roman"/>
        </w:rPr>
        <w:t xml:space="preserve"> </w:t>
      </w:r>
      <w:r w:rsidR="00C63B22" w:rsidRPr="00C63B22">
        <w:rPr>
          <w:rFonts w:ascii="Times New Roman" w:eastAsia="MS Mincho" w:hAnsi="Times New Roman"/>
        </w:rPr>
        <w:t>will require two minutes of clerical time</w:t>
      </w:r>
      <w:r w:rsidR="005721D9">
        <w:rPr>
          <w:rFonts w:ascii="Times New Roman" w:eastAsia="MS Mincho" w:hAnsi="Times New Roman"/>
        </w:rPr>
        <w:t xml:space="preserve"> per contract or disclosure</w:t>
      </w:r>
      <w:r w:rsidR="00DD4924">
        <w:rPr>
          <w:rFonts w:ascii="Times New Roman" w:eastAsia="MS Mincho" w:hAnsi="Times New Roman"/>
        </w:rPr>
        <w:t>,</w:t>
      </w:r>
      <w:r w:rsidR="00C63B22" w:rsidRPr="00C63B22">
        <w:rPr>
          <w:rFonts w:ascii="Times New Roman" w:eastAsia="MS Mincho" w:hAnsi="Times New Roman"/>
        </w:rPr>
        <w:t xml:space="preserve"> </w:t>
      </w:r>
      <w:r w:rsidR="00F368A3">
        <w:rPr>
          <w:rFonts w:ascii="Times New Roman" w:eastAsia="MS Mincho" w:hAnsi="Times New Roman"/>
        </w:rPr>
        <w:t>at any hourly rate of $55.</w:t>
      </w:r>
      <w:r w:rsidR="00CE3F9C">
        <w:rPr>
          <w:rFonts w:ascii="Times New Roman" w:eastAsia="MS Mincho" w:hAnsi="Times New Roman"/>
        </w:rPr>
        <w:t>21</w:t>
      </w:r>
      <w:r w:rsidR="00DD4924">
        <w:rPr>
          <w:rFonts w:ascii="Times New Roman" w:eastAsia="MS Mincho" w:hAnsi="Times New Roman"/>
        </w:rPr>
        <w:t>,</w:t>
      </w:r>
      <w:r w:rsidR="00F368A3">
        <w:rPr>
          <w:rFonts w:ascii="Times New Roman" w:eastAsia="MS Mincho" w:hAnsi="Times New Roman"/>
        </w:rPr>
        <w:t xml:space="preserve"> </w:t>
      </w:r>
      <w:r w:rsidR="00C63B22" w:rsidRPr="00C63B22">
        <w:rPr>
          <w:rFonts w:ascii="Times New Roman" w:eastAsia="MS Mincho" w:hAnsi="Times New Roman"/>
        </w:rPr>
        <w:t xml:space="preserve">to print and mail the disclosure or contract, resulting in </w:t>
      </w:r>
      <w:r w:rsidR="00B00477">
        <w:rPr>
          <w:rFonts w:ascii="Times New Roman" w:eastAsia="MS Mincho" w:hAnsi="Times New Roman"/>
        </w:rPr>
        <w:t>4</w:t>
      </w:r>
      <w:r w:rsidR="00CE3F9C">
        <w:rPr>
          <w:rFonts w:ascii="Times New Roman" w:eastAsia="MS Mincho" w:hAnsi="Times New Roman"/>
        </w:rPr>
        <w:t>6</w:t>
      </w:r>
      <w:r w:rsidR="00C63B22" w:rsidRPr="00C63B22">
        <w:rPr>
          <w:rFonts w:ascii="Times New Roman" w:eastAsia="MS Mincho" w:hAnsi="Times New Roman"/>
        </w:rPr>
        <w:t>,000 hours</w:t>
      </w:r>
      <w:r w:rsidR="00DF4490" w:rsidRPr="00541BBA">
        <w:rPr>
          <w:rStyle w:val="FootnoteReference"/>
          <w:rFonts w:ascii="Times New Roman" w:eastAsia="MS Mincho" w:hAnsi="Times New Roman"/>
          <w:vertAlign w:val="superscript"/>
        </w:rPr>
        <w:footnoteReference w:id="23"/>
      </w:r>
      <w:r w:rsidR="00C63B22" w:rsidRPr="00C63B22">
        <w:rPr>
          <w:rFonts w:ascii="Times New Roman" w:eastAsia="MS Mincho" w:hAnsi="Times New Roman"/>
        </w:rPr>
        <w:t xml:space="preserve"> at an equivalent cost of $</w:t>
      </w:r>
      <w:r w:rsidR="00B00477">
        <w:rPr>
          <w:rFonts w:ascii="Times New Roman" w:eastAsia="MS Mincho" w:hAnsi="Times New Roman"/>
        </w:rPr>
        <w:t>2.</w:t>
      </w:r>
      <w:r w:rsidR="00F446D0">
        <w:rPr>
          <w:rFonts w:ascii="Times New Roman" w:eastAsia="MS Mincho" w:hAnsi="Times New Roman"/>
        </w:rPr>
        <w:t>5</w:t>
      </w:r>
      <w:r w:rsidR="00C63B22" w:rsidRPr="00C63B22">
        <w:rPr>
          <w:rFonts w:ascii="Times New Roman" w:eastAsia="MS Mincho" w:hAnsi="Times New Roman"/>
        </w:rPr>
        <w:t xml:space="preserve"> million during the first year</w:t>
      </w:r>
      <w:r w:rsidR="00012032" w:rsidRPr="00541BBA">
        <w:rPr>
          <w:rStyle w:val="FootnoteReference"/>
          <w:rFonts w:ascii="Times New Roman" w:eastAsia="MS Mincho" w:hAnsi="Times New Roman"/>
          <w:vertAlign w:val="superscript"/>
        </w:rPr>
        <w:footnoteReference w:id="24"/>
      </w:r>
      <w:r w:rsidR="00C63B22" w:rsidRPr="00C63B22">
        <w:rPr>
          <w:rFonts w:ascii="Times New Roman" w:eastAsia="MS Mincho" w:hAnsi="Times New Roman"/>
        </w:rPr>
        <w:t xml:space="preserve"> and </w:t>
      </w:r>
      <w:r w:rsidR="00F446D0">
        <w:rPr>
          <w:rFonts w:ascii="Times New Roman" w:eastAsia="MS Mincho" w:hAnsi="Times New Roman"/>
        </w:rPr>
        <w:t>9</w:t>
      </w:r>
      <w:r w:rsidR="00C63B22" w:rsidRPr="00C63B22">
        <w:rPr>
          <w:rFonts w:ascii="Times New Roman" w:eastAsia="MS Mincho" w:hAnsi="Times New Roman"/>
        </w:rPr>
        <w:t>,000 hours</w:t>
      </w:r>
      <w:r w:rsidR="00012032" w:rsidRPr="00541BBA">
        <w:rPr>
          <w:rStyle w:val="FootnoteReference"/>
          <w:rFonts w:ascii="Times New Roman" w:eastAsia="MS Mincho" w:hAnsi="Times New Roman"/>
          <w:vertAlign w:val="superscript"/>
        </w:rPr>
        <w:footnoteReference w:id="25"/>
      </w:r>
      <w:r w:rsidR="00C63B22" w:rsidRPr="00C63B22">
        <w:rPr>
          <w:rFonts w:ascii="Times New Roman" w:eastAsia="MS Mincho" w:hAnsi="Times New Roman"/>
        </w:rPr>
        <w:t xml:space="preserve"> at an equivalent cost of $</w:t>
      </w:r>
      <w:r w:rsidR="00A35ABD">
        <w:rPr>
          <w:rFonts w:ascii="Times New Roman" w:eastAsia="MS Mincho" w:hAnsi="Times New Roman"/>
        </w:rPr>
        <w:t>508</w:t>
      </w:r>
      <w:r w:rsidR="00C63B22" w:rsidRPr="00C63B22">
        <w:rPr>
          <w:rFonts w:ascii="Times New Roman" w:eastAsia="MS Mincho" w:hAnsi="Times New Roman"/>
        </w:rPr>
        <w:t>,000 during subsequent years.</w:t>
      </w:r>
      <w:r w:rsidR="00012032" w:rsidRPr="00541BBA">
        <w:rPr>
          <w:rStyle w:val="FootnoteReference"/>
          <w:rFonts w:ascii="Times New Roman" w:eastAsia="MS Mincho" w:hAnsi="Times New Roman"/>
          <w:vertAlign w:val="superscript"/>
        </w:rPr>
        <w:footnoteReference w:id="26"/>
      </w:r>
    </w:p>
    <w:p w:rsidR="00853760" w:rsidRPr="00853760" w:rsidRDefault="00853760" w:rsidP="00853760">
      <w:pPr>
        <w:ind w:left="720"/>
        <w:rPr>
          <w:rFonts w:ascii="Times New Roman" w:eastAsia="MS Mincho" w:hAnsi="Times New Roman"/>
        </w:rPr>
      </w:pPr>
    </w:p>
    <w:p w:rsidR="004D4AA4" w:rsidRDefault="004D4AA4" w:rsidP="00853760">
      <w:pPr>
        <w:ind w:left="720"/>
        <w:rPr>
          <w:rFonts w:ascii="Times New Roman" w:eastAsia="MS Mincho" w:hAnsi="Times New Roman"/>
          <w:u w:val="single"/>
        </w:rPr>
      </w:pPr>
      <w:r>
        <w:rPr>
          <w:rFonts w:ascii="Times New Roman" w:eastAsia="MS Mincho" w:hAnsi="Times New Roman"/>
          <w:u w:val="single"/>
        </w:rPr>
        <w:t>Pre-Transaction Disclosures and Confirmation Slips</w:t>
      </w:r>
    </w:p>
    <w:p w:rsidR="004D4AA4" w:rsidRPr="00541BBA" w:rsidRDefault="004D4AA4" w:rsidP="00853760">
      <w:pPr>
        <w:ind w:left="720"/>
        <w:rPr>
          <w:rFonts w:ascii="Times New Roman" w:eastAsia="MS Mincho" w:hAnsi="Times New Roman"/>
        </w:rPr>
      </w:pPr>
      <w:r>
        <w:rPr>
          <w:rFonts w:ascii="Times New Roman" w:hAnsi="Times New Roman"/>
        </w:rPr>
        <w:t xml:space="preserve">The Department believes that pre-transaction disclosures will be provided orally with de </w:t>
      </w:r>
      <w:proofErr w:type="spellStart"/>
      <w:r>
        <w:rPr>
          <w:rFonts w:ascii="Times New Roman" w:hAnsi="Times New Roman"/>
        </w:rPr>
        <w:t>minimis</w:t>
      </w:r>
      <w:proofErr w:type="spellEnd"/>
      <w:r>
        <w:rPr>
          <w:rFonts w:ascii="Times New Roman" w:hAnsi="Times New Roman"/>
        </w:rPr>
        <w:t xml:space="preserve"> additional burden and providing</w:t>
      </w:r>
      <w:r w:rsidRPr="00AB0ACE">
        <w:rPr>
          <w:rFonts w:ascii="Times New Roman" w:hAnsi="Times New Roman"/>
        </w:rPr>
        <w:t xml:space="preserve"> confirmation </w:t>
      </w:r>
      <w:r>
        <w:rPr>
          <w:rFonts w:ascii="Times New Roman" w:hAnsi="Times New Roman"/>
        </w:rPr>
        <w:t>slips</w:t>
      </w:r>
      <w:r w:rsidRPr="00AB0ACE">
        <w:rPr>
          <w:rFonts w:ascii="Times New Roman" w:hAnsi="Times New Roman"/>
        </w:rPr>
        <w:t xml:space="preserve"> is a regular and customary business practice</w:t>
      </w:r>
      <w:r>
        <w:rPr>
          <w:rFonts w:ascii="Times New Roman" w:hAnsi="Times New Roman"/>
        </w:rPr>
        <w:t xml:space="preserve"> producing de </w:t>
      </w:r>
      <w:proofErr w:type="spellStart"/>
      <w:r>
        <w:rPr>
          <w:rFonts w:ascii="Times New Roman" w:hAnsi="Times New Roman"/>
        </w:rPr>
        <w:t>minimis</w:t>
      </w:r>
      <w:proofErr w:type="spellEnd"/>
      <w:r>
        <w:rPr>
          <w:rFonts w:ascii="Times New Roman" w:hAnsi="Times New Roman"/>
        </w:rPr>
        <w:t xml:space="preserve"> additional burden</w:t>
      </w:r>
      <w:r w:rsidR="000610AB">
        <w:rPr>
          <w:rFonts w:ascii="Times New Roman" w:hAnsi="Times New Roman"/>
        </w:rPr>
        <w:t>.</w:t>
      </w:r>
    </w:p>
    <w:p w:rsidR="004D4AA4" w:rsidRDefault="004D4AA4" w:rsidP="00853760">
      <w:pPr>
        <w:ind w:left="720"/>
        <w:rPr>
          <w:rFonts w:ascii="Times New Roman" w:eastAsia="MS Mincho" w:hAnsi="Times New Roman"/>
          <w:u w:val="single"/>
        </w:rPr>
      </w:pPr>
    </w:p>
    <w:p w:rsidR="00BE1992" w:rsidRPr="00541BBA" w:rsidRDefault="00BE1992" w:rsidP="00853760">
      <w:pPr>
        <w:ind w:left="720"/>
        <w:rPr>
          <w:rFonts w:ascii="Times New Roman" w:eastAsia="MS Mincho" w:hAnsi="Times New Roman"/>
          <w:u w:val="single"/>
        </w:rPr>
      </w:pPr>
      <w:r>
        <w:rPr>
          <w:rFonts w:ascii="Times New Roman" w:eastAsia="MS Mincho" w:hAnsi="Times New Roman"/>
          <w:u w:val="single"/>
        </w:rPr>
        <w:t>Annual Disclosures</w:t>
      </w:r>
    </w:p>
    <w:p w:rsidR="00853760" w:rsidRDefault="00853760" w:rsidP="00853760">
      <w:pPr>
        <w:ind w:left="720"/>
        <w:rPr>
          <w:rFonts w:ascii="Times New Roman" w:eastAsia="MS Mincho" w:hAnsi="Times New Roman"/>
        </w:rPr>
      </w:pPr>
      <w:r w:rsidRPr="00853760">
        <w:rPr>
          <w:rFonts w:ascii="Times New Roman" w:eastAsia="MS Mincho" w:hAnsi="Times New Roman"/>
        </w:rPr>
        <w:t>The Department estimates that 2.</w:t>
      </w:r>
      <w:r w:rsidR="000E6C88">
        <w:rPr>
          <w:rFonts w:ascii="Times New Roman" w:eastAsia="MS Mincho" w:hAnsi="Times New Roman"/>
        </w:rPr>
        <w:t>5</w:t>
      </w:r>
      <w:r w:rsidRPr="00853760">
        <w:rPr>
          <w:rFonts w:ascii="Times New Roman" w:eastAsia="MS Mincho" w:hAnsi="Times New Roman"/>
        </w:rPr>
        <w:t xml:space="preserve"> million Retirement Investors for ERISA plans, IRAs and non-ERISA plans</w:t>
      </w:r>
      <w:r w:rsidR="00800506" w:rsidRPr="00365672">
        <w:rPr>
          <w:rStyle w:val="FootnoteReference"/>
          <w:rFonts w:ascii="Times New Roman" w:eastAsia="MS Mincho" w:hAnsi="Times New Roman"/>
          <w:vertAlign w:val="superscript"/>
        </w:rPr>
        <w:footnoteReference w:id="27"/>
      </w:r>
      <w:r w:rsidRPr="00853760">
        <w:rPr>
          <w:rFonts w:ascii="Times New Roman" w:eastAsia="MS Mincho" w:hAnsi="Times New Roman"/>
        </w:rPr>
        <w:t xml:space="preserve"> will receive a two-page annual disclosure during the second year </w:t>
      </w:r>
      <w:r w:rsidRPr="00853760">
        <w:rPr>
          <w:rFonts w:ascii="Times New Roman" w:eastAsia="MS Mincho" w:hAnsi="Times New Roman"/>
        </w:rPr>
        <w:lastRenderedPageBreak/>
        <w:t xml:space="preserve">and all subsequent years.  The disclosure will be distributed electronically to 51.8 percent of ERISA plan investors and 44.1 percent of IRA holders and non-ERISA plan investors.  Paper statements will be mailed to 48.2 percent of ERISA plan investors and 55.9 percent of IRA owners and non-ERISA plan participants.  </w:t>
      </w:r>
      <w:r w:rsidR="00592AEB" w:rsidRPr="00592AEB">
        <w:rPr>
          <w:rFonts w:ascii="Times New Roman" w:eastAsia="MS Mincho" w:hAnsi="Times New Roman"/>
        </w:rPr>
        <w:t xml:space="preserve">Electronic distribution will result in de </w:t>
      </w:r>
      <w:proofErr w:type="spellStart"/>
      <w:r w:rsidR="00592AEB" w:rsidRPr="00592AEB">
        <w:rPr>
          <w:rFonts w:ascii="Times New Roman" w:eastAsia="MS Mincho" w:hAnsi="Times New Roman"/>
        </w:rPr>
        <w:t>minimis</w:t>
      </w:r>
      <w:proofErr w:type="spellEnd"/>
      <w:r w:rsidR="00592AEB" w:rsidRPr="00592AEB">
        <w:rPr>
          <w:rFonts w:ascii="Times New Roman" w:eastAsia="MS Mincho" w:hAnsi="Times New Roman"/>
        </w:rPr>
        <w:t xml:space="preserve"> burden.  </w:t>
      </w:r>
      <w:r w:rsidR="005721D9">
        <w:rPr>
          <w:rFonts w:ascii="Times New Roman" w:eastAsia="MS Mincho" w:hAnsi="Times New Roman"/>
        </w:rPr>
        <w:t>Distribution of the 1.</w:t>
      </w:r>
      <w:r w:rsidR="0083467F">
        <w:rPr>
          <w:rFonts w:ascii="Times New Roman" w:eastAsia="MS Mincho" w:hAnsi="Times New Roman"/>
        </w:rPr>
        <w:t>4</w:t>
      </w:r>
      <w:r w:rsidR="005721D9">
        <w:rPr>
          <w:rFonts w:ascii="Times New Roman" w:eastAsia="MS Mincho" w:hAnsi="Times New Roman"/>
        </w:rPr>
        <w:t xml:space="preserve"> million paper annual disclosures</w:t>
      </w:r>
      <w:r w:rsidR="00190554" w:rsidRPr="00AC27CD">
        <w:rPr>
          <w:rStyle w:val="FootnoteReference"/>
          <w:rFonts w:ascii="Times New Roman" w:eastAsia="MS Mincho" w:hAnsi="Times New Roman"/>
          <w:vertAlign w:val="superscript"/>
        </w:rPr>
        <w:footnoteReference w:id="28"/>
      </w:r>
      <w:r w:rsidRPr="00853760">
        <w:rPr>
          <w:rFonts w:ascii="Times New Roman" w:eastAsia="MS Mincho" w:hAnsi="Times New Roman"/>
        </w:rPr>
        <w:t xml:space="preserve"> will require two minutes of clerical time </w:t>
      </w:r>
      <w:r w:rsidR="005721D9">
        <w:rPr>
          <w:rFonts w:ascii="Times New Roman" w:eastAsia="MS Mincho" w:hAnsi="Times New Roman"/>
        </w:rPr>
        <w:t>per disclosure</w:t>
      </w:r>
      <w:r w:rsidR="00DD4924">
        <w:rPr>
          <w:rFonts w:ascii="Times New Roman" w:eastAsia="MS Mincho" w:hAnsi="Times New Roman"/>
        </w:rPr>
        <w:t>,</w:t>
      </w:r>
      <w:r w:rsidR="005721D9">
        <w:rPr>
          <w:rFonts w:ascii="Times New Roman" w:eastAsia="MS Mincho" w:hAnsi="Times New Roman"/>
        </w:rPr>
        <w:t xml:space="preserve"> </w:t>
      </w:r>
      <w:r w:rsidR="00DD4924">
        <w:rPr>
          <w:rFonts w:ascii="Times New Roman" w:eastAsia="MS Mincho" w:hAnsi="Times New Roman"/>
        </w:rPr>
        <w:t>at any hourly rate of $55.</w:t>
      </w:r>
      <w:r w:rsidR="00FF106A">
        <w:rPr>
          <w:rFonts w:ascii="Times New Roman" w:eastAsia="MS Mincho" w:hAnsi="Times New Roman"/>
        </w:rPr>
        <w:t>21</w:t>
      </w:r>
      <w:r w:rsidR="00DD4924">
        <w:rPr>
          <w:rFonts w:ascii="Times New Roman" w:eastAsia="MS Mincho" w:hAnsi="Times New Roman"/>
        </w:rPr>
        <w:t xml:space="preserve">, </w:t>
      </w:r>
      <w:r w:rsidRPr="00853760">
        <w:rPr>
          <w:rFonts w:ascii="Times New Roman" w:eastAsia="MS Mincho" w:hAnsi="Times New Roman"/>
        </w:rPr>
        <w:t xml:space="preserve">to print and mail the </w:t>
      </w:r>
      <w:r w:rsidR="005721D9">
        <w:rPr>
          <w:rFonts w:ascii="Times New Roman" w:eastAsia="MS Mincho" w:hAnsi="Times New Roman"/>
        </w:rPr>
        <w:t>disclosure</w:t>
      </w:r>
      <w:r w:rsidRPr="00853760">
        <w:rPr>
          <w:rFonts w:ascii="Times New Roman" w:eastAsia="MS Mincho" w:hAnsi="Times New Roman"/>
        </w:rPr>
        <w:t>, resulting in 4</w:t>
      </w:r>
      <w:r w:rsidR="00FF106A">
        <w:rPr>
          <w:rFonts w:ascii="Times New Roman" w:eastAsia="MS Mincho" w:hAnsi="Times New Roman"/>
        </w:rPr>
        <w:t>6</w:t>
      </w:r>
      <w:r w:rsidRPr="00853760">
        <w:rPr>
          <w:rFonts w:ascii="Times New Roman" w:eastAsia="MS Mincho" w:hAnsi="Times New Roman"/>
        </w:rPr>
        <w:t>,000 hours</w:t>
      </w:r>
      <w:r w:rsidR="00AC27CD" w:rsidRPr="00AC27CD">
        <w:rPr>
          <w:rStyle w:val="FootnoteReference"/>
          <w:rFonts w:ascii="Times New Roman" w:eastAsia="MS Mincho" w:hAnsi="Times New Roman"/>
          <w:vertAlign w:val="superscript"/>
        </w:rPr>
        <w:footnoteReference w:id="29"/>
      </w:r>
      <w:r w:rsidRPr="00853760">
        <w:rPr>
          <w:rFonts w:ascii="Times New Roman" w:eastAsia="MS Mincho" w:hAnsi="Times New Roman"/>
        </w:rPr>
        <w:t xml:space="preserve"> at an equivalent cost of $2.</w:t>
      </w:r>
      <w:r w:rsidR="00FF106A">
        <w:rPr>
          <w:rFonts w:ascii="Times New Roman" w:eastAsia="MS Mincho" w:hAnsi="Times New Roman"/>
        </w:rPr>
        <w:t>5</w:t>
      </w:r>
      <w:r w:rsidRPr="00853760">
        <w:rPr>
          <w:rFonts w:ascii="Times New Roman" w:eastAsia="MS Mincho" w:hAnsi="Times New Roman"/>
        </w:rPr>
        <w:t xml:space="preserve"> million annually.</w:t>
      </w:r>
      <w:r w:rsidR="00AC27CD" w:rsidRPr="00AC27CD">
        <w:rPr>
          <w:rStyle w:val="FootnoteReference"/>
          <w:rFonts w:ascii="Times New Roman" w:eastAsia="MS Mincho" w:hAnsi="Times New Roman"/>
          <w:vertAlign w:val="superscript"/>
        </w:rPr>
        <w:footnoteReference w:id="30"/>
      </w:r>
    </w:p>
    <w:p w:rsidR="00853760" w:rsidRDefault="00853760" w:rsidP="00853760">
      <w:pPr>
        <w:ind w:left="720"/>
        <w:rPr>
          <w:rFonts w:ascii="Times New Roman" w:eastAsia="MS Mincho" w:hAnsi="Times New Roman"/>
        </w:rPr>
      </w:pPr>
    </w:p>
    <w:p w:rsidR="00592AEB" w:rsidRPr="00541BBA" w:rsidRDefault="00C63A3C" w:rsidP="00853760">
      <w:pPr>
        <w:ind w:left="720"/>
        <w:rPr>
          <w:rFonts w:ascii="Times New Roman" w:eastAsia="MS Mincho" w:hAnsi="Times New Roman"/>
          <w:u w:val="single"/>
        </w:rPr>
      </w:pPr>
      <w:r>
        <w:rPr>
          <w:rFonts w:ascii="Times New Roman" w:eastAsia="MS Mincho" w:hAnsi="Times New Roman"/>
          <w:u w:val="single"/>
        </w:rPr>
        <w:t xml:space="preserve">Salient </w:t>
      </w:r>
      <w:r w:rsidR="003E55CE">
        <w:rPr>
          <w:rFonts w:ascii="Times New Roman" w:eastAsia="MS Mincho" w:hAnsi="Times New Roman"/>
          <w:u w:val="single"/>
        </w:rPr>
        <w:t xml:space="preserve">Information </w:t>
      </w:r>
      <w:proofErr w:type="gramStart"/>
      <w:r w:rsidR="003E55CE">
        <w:rPr>
          <w:rFonts w:ascii="Times New Roman" w:eastAsia="MS Mincho" w:hAnsi="Times New Roman"/>
          <w:u w:val="single"/>
        </w:rPr>
        <w:t>On</w:t>
      </w:r>
      <w:proofErr w:type="gramEnd"/>
      <w:r w:rsidR="003E55CE">
        <w:rPr>
          <w:rFonts w:ascii="Times New Roman" w:eastAsia="MS Mincho" w:hAnsi="Times New Roman"/>
          <w:u w:val="single"/>
        </w:rPr>
        <w:t xml:space="preserve"> Demand</w:t>
      </w:r>
    </w:p>
    <w:p w:rsidR="00853760" w:rsidRDefault="00853760" w:rsidP="00853760">
      <w:pPr>
        <w:ind w:left="720"/>
        <w:rPr>
          <w:rFonts w:ascii="Times New Roman" w:eastAsia="MS Mincho" w:hAnsi="Times New Roman"/>
        </w:rPr>
      </w:pPr>
      <w:r w:rsidRPr="00853760">
        <w:rPr>
          <w:rFonts w:ascii="Times New Roman" w:eastAsia="MS Mincho" w:hAnsi="Times New Roman"/>
        </w:rPr>
        <w:t xml:space="preserve">The Department estimates that Financial Institutions will receive ten requests per year for more detailed </w:t>
      </w:r>
      <w:r w:rsidR="00C63A3C">
        <w:rPr>
          <w:rFonts w:ascii="Times New Roman" w:eastAsia="MS Mincho" w:hAnsi="Times New Roman"/>
        </w:rPr>
        <w:t>investment</w:t>
      </w:r>
      <w:r w:rsidRPr="00853760">
        <w:rPr>
          <w:rFonts w:ascii="Times New Roman" w:eastAsia="MS Mincho" w:hAnsi="Times New Roman"/>
        </w:rPr>
        <w:t xml:space="preserve"> information during the second year and all subsequent years.  The detailed disclosures will be distributed electronically for 51.8 percent of the ERISA plan investors and 44.1 percent of the IRA holders and non-ERISA plan participants.  The Department believes that requests for additional information will be proportionally likely with each Retirement Investor type.  Therefore, approximately 34,000 detailed disclosures will be distributed on paper.</w:t>
      </w:r>
      <w:r w:rsidR="00C812D5" w:rsidRPr="005E3E87">
        <w:rPr>
          <w:rStyle w:val="FootnoteReference"/>
          <w:rFonts w:ascii="Times New Roman" w:eastAsia="MS Mincho" w:hAnsi="Times New Roman"/>
          <w:vertAlign w:val="superscript"/>
        </w:rPr>
        <w:footnoteReference w:id="31"/>
      </w:r>
      <w:r w:rsidRPr="00853760">
        <w:rPr>
          <w:rFonts w:ascii="Times New Roman" w:eastAsia="MS Mincho" w:hAnsi="Times New Roman"/>
        </w:rPr>
        <w:t xml:space="preserve">  </w:t>
      </w:r>
      <w:r w:rsidR="003E55CE" w:rsidRPr="003E55CE">
        <w:rPr>
          <w:rFonts w:ascii="Times New Roman" w:eastAsia="MS Mincho" w:hAnsi="Times New Roman"/>
        </w:rPr>
        <w:t xml:space="preserve">Electronic distribution will result in de </w:t>
      </w:r>
      <w:proofErr w:type="spellStart"/>
      <w:r w:rsidR="003E55CE" w:rsidRPr="003E55CE">
        <w:rPr>
          <w:rFonts w:ascii="Times New Roman" w:eastAsia="MS Mincho" w:hAnsi="Times New Roman"/>
        </w:rPr>
        <w:t>minimis</w:t>
      </w:r>
      <w:proofErr w:type="spellEnd"/>
      <w:r w:rsidR="003E55CE" w:rsidRPr="003E55CE">
        <w:rPr>
          <w:rFonts w:ascii="Times New Roman" w:eastAsia="MS Mincho" w:hAnsi="Times New Roman"/>
        </w:rPr>
        <w:t xml:space="preserve"> burden.  </w:t>
      </w:r>
      <w:r w:rsidRPr="00853760">
        <w:rPr>
          <w:rFonts w:ascii="Times New Roman" w:eastAsia="MS Mincho" w:hAnsi="Times New Roman"/>
        </w:rPr>
        <w:t xml:space="preserve">Paper distribution will also require two minutes of clerical time to print and mail the statement, </w:t>
      </w:r>
      <w:r w:rsidR="00DD4924">
        <w:rPr>
          <w:rFonts w:ascii="Times New Roman" w:eastAsia="MS Mincho" w:hAnsi="Times New Roman"/>
        </w:rPr>
        <w:t>at any hourly rate of $55.</w:t>
      </w:r>
      <w:r w:rsidR="00C607C1">
        <w:rPr>
          <w:rFonts w:ascii="Times New Roman" w:eastAsia="MS Mincho" w:hAnsi="Times New Roman"/>
        </w:rPr>
        <w:t>21</w:t>
      </w:r>
      <w:r w:rsidR="00DD4924">
        <w:rPr>
          <w:rFonts w:ascii="Times New Roman" w:eastAsia="MS Mincho" w:hAnsi="Times New Roman"/>
        </w:rPr>
        <w:t xml:space="preserve">, </w:t>
      </w:r>
      <w:r w:rsidRPr="00853760">
        <w:rPr>
          <w:rFonts w:ascii="Times New Roman" w:eastAsia="MS Mincho" w:hAnsi="Times New Roman"/>
        </w:rPr>
        <w:t>resulting in 1,000 hours</w:t>
      </w:r>
      <w:r w:rsidR="002E3A96" w:rsidRPr="002E3A96">
        <w:rPr>
          <w:rStyle w:val="FootnoteReference"/>
          <w:rFonts w:ascii="Times New Roman" w:eastAsia="MS Mincho" w:hAnsi="Times New Roman"/>
          <w:vertAlign w:val="superscript"/>
        </w:rPr>
        <w:footnoteReference w:id="32"/>
      </w:r>
      <w:r w:rsidRPr="00853760">
        <w:rPr>
          <w:rFonts w:ascii="Times New Roman" w:eastAsia="MS Mincho" w:hAnsi="Times New Roman"/>
        </w:rPr>
        <w:t xml:space="preserve"> at an equivalent cost of $6</w:t>
      </w:r>
      <w:r w:rsidR="00C607C1">
        <w:rPr>
          <w:rFonts w:ascii="Times New Roman" w:eastAsia="MS Mincho" w:hAnsi="Times New Roman"/>
        </w:rPr>
        <w:t>2</w:t>
      </w:r>
      <w:r w:rsidRPr="00853760">
        <w:rPr>
          <w:rFonts w:ascii="Times New Roman" w:eastAsia="MS Mincho" w:hAnsi="Times New Roman"/>
        </w:rPr>
        <w:t>,000 annually.</w:t>
      </w:r>
      <w:r w:rsidR="002E3A96" w:rsidRPr="002E3A96">
        <w:rPr>
          <w:rStyle w:val="FootnoteReference"/>
          <w:rFonts w:ascii="Times New Roman" w:eastAsia="MS Mincho" w:hAnsi="Times New Roman"/>
          <w:vertAlign w:val="superscript"/>
        </w:rPr>
        <w:footnoteReference w:id="33"/>
      </w:r>
    </w:p>
    <w:p w:rsidR="00704958" w:rsidRDefault="00704958" w:rsidP="008C7AA2">
      <w:pPr>
        <w:widowControl/>
        <w:ind w:left="720"/>
        <w:rPr>
          <w:rFonts w:ascii="Times New Roman" w:hAnsi="Times New Roman"/>
          <w:u w:val="single"/>
        </w:rPr>
      </w:pPr>
    </w:p>
    <w:p w:rsidR="002E36D9" w:rsidRPr="002E36D9" w:rsidRDefault="002E36D9" w:rsidP="008C7AA2">
      <w:pPr>
        <w:widowControl/>
        <w:ind w:left="720"/>
        <w:rPr>
          <w:rFonts w:ascii="Times New Roman" w:hAnsi="Times New Roman"/>
          <w:u w:val="single"/>
        </w:rPr>
      </w:pPr>
      <w:r>
        <w:rPr>
          <w:rFonts w:ascii="Times New Roman" w:hAnsi="Times New Roman"/>
          <w:u w:val="single"/>
        </w:rPr>
        <w:t>Summary</w:t>
      </w:r>
    </w:p>
    <w:p w:rsidR="000D4E21" w:rsidRDefault="00BE4C4D" w:rsidP="008C7AA2">
      <w:pPr>
        <w:widowControl/>
        <w:ind w:left="720"/>
        <w:rPr>
          <w:rFonts w:ascii="Times New Roman" w:hAnsi="Times New Roman"/>
        </w:rPr>
      </w:pPr>
      <w:r>
        <w:rPr>
          <w:rFonts w:ascii="Times New Roman" w:hAnsi="Times New Roman"/>
        </w:rPr>
        <w:t>As seen in the table</w:t>
      </w:r>
      <w:r w:rsidR="00E878C9">
        <w:rPr>
          <w:rFonts w:ascii="Times New Roman" w:hAnsi="Times New Roman"/>
        </w:rPr>
        <w:t>s</w:t>
      </w:r>
      <w:r>
        <w:rPr>
          <w:rFonts w:ascii="Times New Roman" w:hAnsi="Times New Roman"/>
        </w:rPr>
        <w:t xml:space="preserve"> below, t</w:t>
      </w:r>
      <w:r w:rsidR="002E36D9">
        <w:rPr>
          <w:rFonts w:ascii="Times New Roman" w:hAnsi="Times New Roman"/>
        </w:rPr>
        <w:t xml:space="preserve">he overall burden associated with this </w:t>
      </w:r>
      <w:r w:rsidR="00711A8C">
        <w:rPr>
          <w:rFonts w:ascii="Times New Roman" w:hAnsi="Times New Roman"/>
        </w:rPr>
        <w:t xml:space="preserve">exemption </w:t>
      </w:r>
      <w:r w:rsidR="002E36D9">
        <w:rPr>
          <w:rFonts w:ascii="Times New Roman" w:hAnsi="Times New Roman"/>
        </w:rPr>
        <w:t xml:space="preserve">totals </w:t>
      </w:r>
      <w:r w:rsidR="001E5C16">
        <w:rPr>
          <w:rFonts w:ascii="Times New Roman" w:hAnsi="Times New Roman"/>
        </w:rPr>
        <w:t>85</w:t>
      </w:r>
      <w:r w:rsidR="007400C9">
        <w:rPr>
          <w:rFonts w:ascii="Times New Roman" w:hAnsi="Times New Roman"/>
        </w:rPr>
        <w:t>,</w:t>
      </w:r>
      <w:r w:rsidR="002E36D9">
        <w:rPr>
          <w:rFonts w:ascii="Times New Roman" w:hAnsi="Times New Roman"/>
        </w:rPr>
        <w:t xml:space="preserve">000 hours during the first year and </w:t>
      </w:r>
      <w:r w:rsidR="007400C9">
        <w:rPr>
          <w:rFonts w:ascii="Times New Roman" w:hAnsi="Times New Roman"/>
        </w:rPr>
        <w:t>5</w:t>
      </w:r>
      <w:r w:rsidR="001E5C16">
        <w:rPr>
          <w:rFonts w:ascii="Times New Roman" w:hAnsi="Times New Roman"/>
        </w:rPr>
        <w:t>6</w:t>
      </w:r>
      <w:r w:rsidR="002E36D9">
        <w:rPr>
          <w:rFonts w:ascii="Times New Roman" w:hAnsi="Times New Roman"/>
        </w:rPr>
        <w:t>,000 hours in subsequent years.  The equivalent costs are $</w:t>
      </w:r>
      <w:r w:rsidR="007400C9">
        <w:rPr>
          <w:rFonts w:ascii="Times New Roman" w:hAnsi="Times New Roman"/>
        </w:rPr>
        <w:t>4.</w:t>
      </w:r>
      <w:r w:rsidR="009373DF">
        <w:rPr>
          <w:rFonts w:ascii="Times New Roman" w:hAnsi="Times New Roman"/>
        </w:rPr>
        <w:t>7</w:t>
      </w:r>
      <w:r w:rsidR="002E36D9">
        <w:rPr>
          <w:rFonts w:ascii="Times New Roman" w:hAnsi="Times New Roman"/>
        </w:rPr>
        <w:t xml:space="preserve"> million during the first year and $</w:t>
      </w:r>
      <w:r w:rsidR="009373DF">
        <w:rPr>
          <w:rFonts w:ascii="Times New Roman" w:hAnsi="Times New Roman"/>
        </w:rPr>
        <w:t>3.1</w:t>
      </w:r>
      <w:r w:rsidR="00E43F00">
        <w:rPr>
          <w:rFonts w:ascii="Times New Roman" w:hAnsi="Times New Roman"/>
        </w:rPr>
        <w:t xml:space="preserve"> million</w:t>
      </w:r>
      <w:r w:rsidR="002E36D9">
        <w:rPr>
          <w:rFonts w:ascii="Times New Roman" w:hAnsi="Times New Roman"/>
        </w:rPr>
        <w:t xml:space="preserve"> in subsequent years.</w:t>
      </w:r>
    </w:p>
    <w:p w:rsidR="00BE4C4D" w:rsidRDefault="00BE4C4D" w:rsidP="008C7AA2">
      <w:pPr>
        <w:widowControl/>
        <w:ind w:left="720"/>
        <w:rPr>
          <w:rFonts w:ascii="Times New Roman"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BE4C4D" w:rsidRPr="008F47CB" w:rsidTr="008C5AED">
        <w:tc>
          <w:tcPr>
            <w:tcW w:w="3870" w:type="dxa"/>
            <w:shd w:val="clear" w:color="auto" w:fill="auto"/>
          </w:tcPr>
          <w:p w:rsidR="00BE4C4D" w:rsidRPr="00A306B1" w:rsidRDefault="00E878C9" w:rsidP="008C5AED">
            <w:pPr>
              <w:jc w:val="center"/>
              <w:rPr>
                <w:rFonts w:ascii="Times New Roman" w:hAnsi="Times New Roman"/>
                <w:b/>
                <w:sz w:val="22"/>
                <w:szCs w:val="22"/>
              </w:rPr>
            </w:pPr>
            <w:r>
              <w:rPr>
                <w:rFonts w:ascii="Times New Roman" w:hAnsi="Times New Roman"/>
                <w:b/>
                <w:sz w:val="22"/>
                <w:szCs w:val="22"/>
              </w:rPr>
              <w:t xml:space="preserve">First Year </w:t>
            </w:r>
            <w:r w:rsidR="00BE4C4D" w:rsidRPr="00A306B1">
              <w:rPr>
                <w:rFonts w:ascii="Times New Roman" w:hAnsi="Times New Roman"/>
                <w:b/>
                <w:sz w:val="22"/>
                <w:szCs w:val="22"/>
              </w:rPr>
              <w:t>Activity</w:t>
            </w:r>
          </w:p>
        </w:tc>
        <w:tc>
          <w:tcPr>
            <w:tcW w:w="1769" w:type="dxa"/>
            <w:shd w:val="clear" w:color="auto" w:fill="auto"/>
          </w:tcPr>
          <w:p w:rsidR="00BE4C4D" w:rsidRPr="000731D3" w:rsidRDefault="00BE4C4D" w:rsidP="008C5AED">
            <w:pPr>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rsidR="00BE4C4D" w:rsidRPr="000731D3" w:rsidRDefault="00BE4C4D" w:rsidP="008C5AED">
            <w:pPr>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rsidR="00BE4C4D" w:rsidRPr="000731D3" w:rsidRDefault="00BE4C4D" w:rsidP="008C5AED">
            <w:pPr>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BE4C4D" w:rsidRPr="008F47CB" w:rsidTr="008C5AED">
        <w:tc>
          <w:tcPr>
            <w:tcW w:w="3870" w:type="dxa"/>
            <w:vAlign w:val="bottom"/>
          </w:tcPr>
          <w:p w:rsidR="00BE4C4D" w:rsidRPr="008F47CB" w:rsidRDefault="000A6362" w:rsidP="000A6362">
            <w:pPr>
              <w:rPr>
                <w:rFonts w:ascii="Times New Roman" w:hAnsi="Times New Roman"/>
                <w:sz w:val="22"/>
                <w:szCs w:val="22"/>
              </w:rPr>
            </w:pPr>
            <w:r>
              <w:rPr>
                <w:rFonts w:ascii="Times New Roman" w:hAnsi="Times New Roman"/>
                <w:sz w:val="22"/>
                <w:szCs w:val="22"/>
              </w:rPr>
              <w:t>Distribution of Transition Disclosures</w:t>
            </w:r>
          </w:p>
        </w:tc>
        <w:tc>
          <w:tcPr>
            <w:tcW w:w="1769" w:type="dxa"/>
            <w:vAlign w:val="bottom"/>
          </w:tcPr>
          <w:p w:rsidR="00BE4C4D" w:rsidRPr="008F47CB" w:rsidRDefault="00A05EBE" w:rsidP="00A05EBE">
            <w:pPr>
              <w:jc w:val="right"/>
              <w:rPr>
                <w:rFonts w:ascii="Times New Roman" w:hAnsi="Times New Roman"/>
                <w:sz w:val="22"/>
                <w:szCs w:val="22"/>
              </w:rPr>
            </w:pPr>
            <w:r>
              <w:rPr>
                <w:rFonts w:ascii="Times New Roman" w:hAnsi="Times New Roman"/>
                <w:sz w:val="22"/>
                <w:szCs w:val="22"/>
              </w:rPr>
              <w:t>40</w:t>
            </w:r>
            <w:r w:rsidR="00496D3E">
              <w:rPr>
                <w:rFonts w:ascii="Times New Roman" w:hAnsi="Times New Roman"/>
                <w:sz w:val="22"/>
                <w:szCs w:val="22"/>
              </w:rPr>
              <w:t>,000</w:t>
            </w:r>
          </w:p>
        </w:tc>
        <w:tc>
          <w:tcPr>
            <w:tcW w:w="1021" w:type="dxa"/>
            <w:vAlign w:val="bottom"/>
          </w:tcPr>
          <w:p w:rsidR="00BE4C4D" w:rsidRPr="008F47CB" w:rsidRDefault="00496D3E" w:rsidP="00C607C1">
            <w:pPr>
              <w:jc w:val="right"/>
              <w:rPr>
                <w:rFonts w:ascii="Times New Roman" w:hAnsi="Times New Roman"/>
                <w:sz w:val="22"/>
                <w:szCs w:val="22"/>
              </w:rPr>
            </w:pPr>
            <w:r>
              <w:rPr>
                <w:rFonts w:ascii="Times New Roman" w:hAnsi="Times New Roman"/>
                <w:sz w:val="22"/>
                <w:szCs w:val="22"/>
              </w:rPr>
              <w:t>$</w:t>
            </w:r>
            <w:r w:rsidR="00222C8B">
              <w:rPr>
                <w:rFonts w:ascii="Times New Roman" w:hAnsi="Times New Roman"/>
                <w:sz w:val="22"/>
                <w:szCs w:val="22"/>
              </w:rPr>
              <w:t>55.</w:t>
            </w:r>
            <w:r w:rsidR="00C607C1">
              <w:rPr>
                <w:rFonts w:ascii="Times New Roman" w:hAnsi="Times New Roman"/>
                <w:sz w:val="22"/>
                <w:szCs w:val="22"/>
              </w:rPr>
              <w:t>21</w:t>
            </w:r>
          </w:p>
        </w:tc>
        <w:tc>
          <w:tcPr>
            <w:tcW w:w="2088" w:type="dxa"/>
            <w:vAlign w:val="bottom"/>
          </w:tcPr>
          <w:p w:rsidR="00BE4C4D" w:rsidRPr="008F47CB" w:rsidRDefault="00E836C9" w:rsidP="00A05EBE">
            <w:pPr>
              <w:jc w:val="right"/>
              <w:rPr>
                <w:rFonts w:ascii="Times New Roman" w:hAnsi="Times New Roman"/>
                <w:sz w:val="22"/>
                <w:szCs w:val="22"/>
              </w:rPr>
            </w:pPr>
            <w:r>
              <w:rPr>
                <w:rFonts w:ascii="Times New Roman" w:hAnsi="Times New Roman"/>
                <w:sz w:val="22"/>
                <w:szCs w:val="22"/>
              </w:rPr>
              <w:t>$</w:t>
            </w:r>
            <w:r w:rsidR="00222C8B">
              <w:rPr>
                <w:rFonts w:ascii="Times New Roman" w:hAnsi="Times New Roman"/>
                <w:sz w:val="22"/>
                <w:szCs w:val="22"/>
              </w:rPr>
              <w:t>2.</w:t>
            </w:r>
            <w:r w:rsidR="00A05EBE">
              <w:rPr>
                <w:rFonts w:ascii="Times New Roman" w:hAnsi="Times New Roman"/>
                <w:sz w:val="22"/>
                <w:szCs w:val="22"/>
              </w:rPr>
              <w:t>2</w:t>
            </w:r>
            <w:r>
              <w:rPr>
                <w:rFonts w:ascii="Times New Roman" w:hAnsi="Times New Roman"/>
                <w:sz w:val="22"/>
                <w:szCs w:val="22"/>
              </w:rPr>
              <w:t xml:space="preserve"> million</w:t>
            </w:r>
          </w:p>
        </w:tc>
      </w:tr>
      <w:tr w:rsidR="00BE4C4D" w:rsidRPr="008F47CB" w:rsidTr="008C5AED">
        <w:tc>
          <w:tcPr>
            <w:tcW w:w="3870" w:type="dxa"/>
            <w:vAlign w:val="bottom"/>
          </w:tcPr>
          <w:p w:rsidR="00BE4C4D" w:rsidRPr="008F47CB" w:rsidRDefault="00E836C9" w:rsidP="000A6362">
            <w:pPr>
              <w:rPr>
                <w:rFonts w:ascii="Times New Roman" w:hAnsi="Times New Roman"/>
                <w:sz w:val="22"/>
                <w:szCs w:val="22"/>
              </w:rPr>
            </w:pPr>
            <w:r>
              <w:rPr>
                <w:rFonts w:ascii="Times New Roman" w:hAnsi="Times New Roman"/>
                <w:sz w:val="22"/>
                <w:szCs w:val="22"/>
              </w:rPr>
              <w:t xml:space="preserve">Distribution of </w:t>
            </w:r>
            <w:r w:rsidR="000A6362">
              <w:rPr>
                <w:rFonts w:ascii="Times New Roman" w:hAnsi="Times New Roman"/>
                <w:sz w:val="22"/>
                <w:szCs w:val="22"/>
              </w:rPr>
              <w:t>Contract Disclosures and Contracts</w:t>
            </w:r>
          </w:p>
        </w:tc>
        <w:tc>
          <w:tcPr>
            <w:tcW w:w="1769" w:type="dxa"/>
            <w:vAlign w:val="bottom"/>
          </w:tcPr>
          <w:p w:rsidR="00BE4C4D" w:rsidRPr="008F47CB" w:rsidRDefault="00222C8B" w:rsidP="00A05EBE">
            <w:pPr>
              <w:jc w:val="right"/>
              <w:rPr>
                <w:rFonts w:ascii="Times New Roman" w:hAnsi="Times New Roman"/>
                <w:sz w:val="22"/>
                <w:szCs w:val="22"/>
              </w:rPr>
            </w:pPr>
            <w:r>
              <w:rPr>
                <w:rFonts w:ascii="Times New Roman" w:hAnsi="Times New Roman"/>
                <w:sz w:val="22"/>
                <w:szCs w:val="22"/>
              </w:rPr>
              <w:t>4</w:t>
            </w:r>
            <w:r w:rsidR="00A05EBE">
              <w:rPr>
                <w:rFonts w:ascii="Times New Roman" w:hAnsi="Times New Roman"/>
                <w:sz w:val="22"/>
                <w:szCs w:val="22"/>
              </w:rPr>
              <w:t>6</w:t>
            </w:r>
            <w:r w:rsidR="00E836C9">
              <w:rPr>
                <w:rFonts w:ascii="Times New Roman" w:hAnsi="Times New Roman"/>
                <w:sz w:val="22"/>
                <w:szCs w:val="22"/>
              </w:rPr>
              <w:t>,000</w:t>
            </w:r>
          </w:p>
        </w:tc>
        <w:tc>
          <w:tcPr>
            <w:tcW w:w="1021" w:type="dxa"/>
            <w:vAlign w:val="bottom"/>
          </w:tcPr>
          <w:p w:rsidR="00BE4C4D" w:rsidRPr="008F47CB" w:rsidRDefault="00E836C9" w:rsidP="00C607C1">
            <w:pPr>
              <w:jc w:val="right"/>
              <w:rPr>
                <w:rFonts w:ascii="Times New Roman" w:hAnsi="Times New Roman"/>
                <w:sz w:val="22"/>
                <w:szCs w:val="22"/>
              </w:rPr>
            </w:pPr>
            <w:r>
              <w:rPr>
                <w:rFonts w:ascii="Times New Roman" w:hAnsi="Times New Roman"/>
                <w:sz w:val="22"/>
                <w:szCs w:val="22"/>
              </w:rPr>
              <w:t>$</w:t>
            </w:r>
            <w:r w:rsidR="00222C8B">
              <w:rPr>
                <w:rFonts w:ascii="Times New Roman" w:hAnsi="Times New Roman"/>
                <w:sz w:val="22"/>
                <w:szCs w:val="22"/>
              </w:rPr>
              <w:t>55.</w:t>
            </w:r>
            <w:r w:rsidR="00C607C1">
              <w:rPr>
                <w:rFonts w:ascii="Times New Roman" w:hAnsi="Times New Roman"/>
                <w:sz w:val="22"/>
                <w:szCs w:val="22"/>
              </w:rPr>
              <w:t>21</w:t>
            </w:r>
          </w:p>
        </w:tc>
        <w:tc>
          <w:tcPr>
            <w:tcW w:w="2088" w:type="dxa"/>
            <w:vAlign w:val="bottom"/>
          </w:tcPr>
          <w:p w:rsidR="00BE4C4D" w:rsidRPr="008F47CB" w:rsidRDefault="00E836C9" w:rsidP="00A05EBE">
            <w:pPr>
              <w:jc w:val="right"/>
              <w:rPr>
                <w:rFonts w:ascii="Times New Roman" w:hAnsi="Times New Roman"/>
                <w:sz w:val="22"/>
                <w:szCs w:val="22"/>
              </w:rPr>
            </w:pPr>
            <w:r>
              <w:rPr>
                <w:rFonts w:ascii="Times New Roman" w:hAnsi="Times New Roman"/>
                <w:sz w:val="22"/>
                <w:szCs w:val="22"/>
              </w:rPr>
              <w:t>$</w:t>
            </w:r>
            <w:r w:rsidR="00222C8B">
              <w:rPr>
                <w:rFonts w:ascii="Times New Roman" w:hAnsi="Times New Roman"/>
                <w:sz w:val="22"/>
                <w:szCs w:val="22"/>
              </w:rPr>
              <w:t>2.</w:t>
            </w:r>
            <w:r w:rsidR="00A05EBE">
              <w:rPr>
                <w:rFonts w:ascii="Times New Roman" w:hAnsi="Times New Roman"/>
                <w:sz w:val="22"/>
                <w:szCs w:val="22"/>
              </w:rPr>
              <w:t>5</w:t>
            </w:r>
            <w:r w:rsidR="00650AEF">
              <w:rPr>
                <w:rFonts w:ascii="Times New Roman" w:hAnsi="Times New Roman"/>
                <w:sz w:val="22"/>
                <w:szCs w:val="22"/>
              </w:rPr>
              <w:t xml:space="preserve"> million</w:t>
            </w:r>
          </w:p>
        </w:tc>
      </w:tr>
      <w:tr w:rsidR="00BE4C4D" w:rsidRPr="008F47CB" w:rsidTr="008C5AED">
        <w:tc>
          <w:tcPr>
            <w:tcW w:w="3870" w:type="dxa"/>
          </w:tcPr>
          <w:p w:rsidR="00BE4C4D" w:rsidRPr="008F47CB" w:rsidRDefault="00BE4C4D" w:rsidP="002919E4">
            <w:pPr>
              <w:rPr>
                <w:rFonts w:ascii="Times New Roman" w:hAnsi="Times New Roman"/>
                <w:b/>
                <w:i/>
                <w:sz w:val="22"/>
                <w:szCs w:val="22"/>
              </w:rPr>
            </w:pPr>
            <w:r w:rsidRPr="008F47CB">
              <w:rPr>
                <w:rFonts w:ascii="Times New Roman" w:hAnsi="Times New Roman"/>
                <w:b/>
                <w:i/>
                <w:sz w:val="22"/>
                <w:szCs w:val="22"/>
              </w:rPr>
              <w:t>Totals</w:t>
            </w:r>
            <w:r w:rsidR="007F3BC7">
              <w:rPr>
                <w:rFonts w:ascii="Times New Roman" w:hAnsi="Times New Roman"/>
                <w:b/>
                <w:i/>
                <w:sz w:val="22"/>
                <w:szCs w:val="22"/>
              </w:rPr>
              <w:t xml:space="preserve"> for First Year</w:t>
            </w:r>
          </w:p>
        </w:tc>
        <w:tc>
          <w:tcPr>
            <w:tcW w:w="1769" w:type="dxa"/>
            <w:vAlign w:val="bottom"/>
          </w:tcPr>
          <w:p w:rsidR="00BE4C4D" w:rsidRPr="008F47CB" w:rsidRDefault="00A05EBE" w:rsidP="00A05EBE">
            <w:pPr>
              <w:jc w:val="right"/>
              <w:rPr>
                <w:rFonts w:ascii="Times New Roman" w:hAnsi="Times New Roman"/>
                <w:b/>
                <w:i/>
                <w:sz w:val="22"/>
                <w:szCs w:val="22"/>
              </w:rPr>
            </w:pPr>
            <w:r>
              <w:rPr>
                <w:rFonts w:ascii="Times New Roman" w:hAnsi="Times New Roman"/>
                <w:b/>
                <w:i/>
                <w:sz w:val="22"/>
                <w:szCs w:val="22"/>
              </w:rPr>
              <w:t>85</w:t>
            </w:r>
            <w:r w:rsidR="007F3BC7">
              <w:rPr>
                <w:rFonts w:ascii="Times New Roman" w:hAnsi="Times New Roman"/>
                <w:b/>
                <w:i/>
                <w:sz w:val="22"/>
                <w:szCs w:val="22"/>
              </w:rPr>
              <w:t>,000</w:t>
            </w:r>
          </w:p>
        </w:tc>
        <w:tc>
          <w:tcPr>
            <w:tcW w:w="1021" w:type="dxa"/>
            <w:vAlign w:val="bottom"/>
          </w:tcPr>
          <w:p w:rsidR="00BE4C4D" w:rsidRPr="008F47CB" w:rsidRDefault="00BE4C4D" w:rsidP="008C5AED">
            <w:pPr>
              <w:jc w:val="right"/>
              <w:rPr>
                <w:rFonts w:ascii="Times New Roman" w:hAnsi="Times New Roman"/>
                <w:b/>
                <w:i/>
                <w:sz w:val="22"/>
                <w:szCs w:val="22"/>
              </w:rPr>
            </w:pPr>
          </w:p>
        </w:tc>
        <w:tc>
          <w:tcPr>
            <w:tcW w:w="2088" w:type="dxa"/>
            <w:vAlign w:val="bottom"/>
          </w:tcPr>
          <w:p w:rsidR="00BE4C4D" w:rsidRPr="008F47CB" w:rsidRDefault="00A834CA" w:rsidP="00A05EBE">
            <w:pPr>
              <w:jc w:val="right"/>
              <w:rPr>
                <w:rFonts w:ascii="Times New Roman" w:hAnsi="Times New Roman"/>
                <w:b/>
                <w:i/>
                <w:sz w:val="22"/>
                <w:szCs w:val="22"/>
              </w:rPr>
            </w:pPr>
            <w:r>
              <w:rPr>
                <w:rFonts w:ascii="Times New Roman" w:hAnsi="Times New Roman"/>
                <w:b/>
                <w:i/>
                <w:sz w:val="22"/>
                <w:szCs w:val="22"/>
              </w:rPr>
              <w:t>$</w:t>
            </w:r>
            <w:r w:rsidR="00537318">
              <w:rPr>
                <w:rFonts w:ascii="Times New Roman" w:hAnsi="Times New Roman"/>
                <w:b/>
                <w:i/>
                <w:sz w:val="22"/>
                <w:szCs w:val="22"/>
              </w:rPr>
              <w:t>4.</w:t>
            </w:r>
            <w:r w:rsidR="00A05EBE">
              <w:rPr>
                <w:rFonts w:ascii="Times New Roman" w:hAnsi="Times New Roman"/>
                <w:b/>
                <w:i/>
                <w:sz w:val="22"/>
                <w:szCs w:val="22"/>
              </w:rPr>
              <w:t>7</w:t>
            </w:r>
            <w:r>
              <w:rPr>
                <w:rFonts w:ascii="Times New Roman" w:hAnsi="Times New Roman"/>
                <w:b/>
                <w:i/>
                <w:sz w:val="22"/>
                <w:szCs w:val="22"/>
              </w:rPr>
              <w:t xml:space="preserve"> million</w:t>
            </w:r>
          </w:p>
        </w:tc>
      </w:tr>
    </w:tbl>
    <w:p w:rsidR="00BE4C4D" w:rsidRDefault="00BE4C4D" w:rsidP="008C7AA2">
      <w:pPr>
        <w:widowControl/>
        <w:ind w:left="720"/>
        <w:rPr>
          <w:rFonts w:ascii="Times New Roman"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E878C9" w:rsidRPr="008F47CB" w:rsidTr="008C5AED">
        <w:tc>
          <w:tcPr>
            <w:tcW w:w="3870" w:type="dxa"/>
            <w:shd w:val="clear" w:color="auto" w:fill="auto"/>
          </w:tcPr>
          <w:p w:rsidR="00E878C9" w:rsidRPr="00A306B1" w:rsidRDefault="00E878C9" w:rsidP="00E878C9">
            <w:pPr>
              <w:jc w:val="center"/>
              <w:rPr>
                <w:rFonts w:ascii="Times New Roman" w:hAnsi="Times New Roman"/>
                <w:b/>
                <w:sz w:val="22"/>
                <w:szCs w:val="22"/>
              </w:rPr>
            </w:pPr>
            <w:r>
              <w:rPr>
                <w:rFonts w:ascii="Times New Roman" w:hAnsi="Times New Roman"/>
                <w:b/>
                <w:sz w:val="22"/>
                <w:szCs w:val="22"/>
              </w:rPr>
              <w:t xml:space="preserve">Subsequent Year </w:t>
            </w:r>
            <w:r w:rsidRPr="00A306B1">
              <w:rPr>
                <w:rFonts w:ascii="Times New Roman" w:hAnsi="Times New Roman"/>
                <w:b/>
                <w:sz w:val="22"/>
                <w:szCs w:val="22"/>
              </w:rPr>
              <w:t>Activity</w:t>
            </w:r>
          </w:p>
        </w:tc>
        <w:tc>
          <w:tcPr>
            <w:tcW w:w="1769" w:type="dxa"/>
            <w:shd w:val="clear" w:color="auto" w:fill="auto"/>
          </w:tcPr>
          <w:p w:rsidR="00E878C9" w:rsidRPr="000731D3" w:rsidRDefault="00E878C9" w:rsidP="008C5AED">
            <w:pPr>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rsidR="00E878C9" w:rsidRPr="000731D3" w:rsidRDefault="00E878C9" w:rsidP="008C5AED">
            <w:pPr>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rsidR="00E878C9" w:rsidRPr="000731D3" w:rsidRDefault="00E878C9" w:rsidP="008C5AED">
            <w:pPr>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E878C9" w:rsidRPr="008F47CB" w:rsidTr="008C5AED">
        <w:tc>
          <w:tcPr>
            <w:tcW w:w="3870" w:type="dxa"/>
            <w:vAlign w:val="bottom"/>
          </w:tcPr>
          <w:p w:rsidR="00E878C9" w:rsidRPr="008F47CB" w:rsidRDefault="00704958" w:rsidP="00704958">
            <w:pPr>
              <w:rPr>
                <w:rFonts w:ascii="Times New Roman" w:hAnsi="Times New Roman"/>
                <w:sz w:val="22"/>
                <w:szCs w:val="22"/>
              </w:rPr>
            </w:pPr>
            <w:r>
              <w:rPr>
                <w:rFonts w:ascii="Times New Roman" w:hAnsi="Times New Roman"/>
                <w:sz w:val="22"/>
                <w:szCs w:val="22"/>
              </w:rPr>
              <w:t xml:space="preserve">Distribution of Contract Disclosures and </w:t>
            </w:r>
            <w:r>
              <w:rPr>
                <w:rFonts w:ascii="Times New Roman" w:hAnsi="Times New Roman"/>
                <w:sz w:val="22"/>
                <w:szCs w:val="22"/>
              </w:rPr>
              <w:lastRenderedPageBreak/>
              <w:t>Contracts</w:t>
            </w:r>
          </w:p>
        </w:tc>
        <w:tc>
          <w:tcPr>
            <w:tcW w:w="1769" w:type="dxa"/>
            <w:vAlign w:val="bottom"/>
          </w:tcPr>
          <w:p w:rsidR="00E878C9" w:rsidRPr="008F47CB" w:rsidRDefault="001E5C16" w:rsidP="001E5C16">
            <w:pPr>
              <w:jc w:val="right"/>
              <w:rPr>
                <w:rFonts w:ascii="Times New Roman" w:hAnsi="Times New Roman"/>
                <w:sz w:val="22"/>
                <w:szCs w:val="22"/>
              </w:rPr>
            </w:pPr>
            <w:r>
              <w:rPr>
                <w:rFonts w:ascii="Times New Roman" w:hAnsi="Times New Roman"/>
                <w:sz w:val="22"/>
                <w:szCs w:val="22"/>
              </w:rPr>
              <w:lastRenderedPageBreak/>
              <w:t>9</w:t>
            </w:r>
            <w:r w:rsidR="00E878C9">
              <w:rPr>
                <w:rFonts w:ascii="Times New Roman" w:hAnsi="Times New Roman"/>
                <w:sz w:val="22"/>
                <w:szCs w:val="22"/>
              </w:rPr>
              <w:t>,000</w:t>
            </w:r>
          </w:p>
        </w:tc>
        <w:tc>
          <w:tcPr>
            <w:tcW w:w="1021" w:type="dxa"/>
            <w:vAlign w:val="bottom"/>
          </w:tcPr>
          <w:p w:rsidR="00E878C9" w:rsidRPr="008F47CB" w:rsidRDefault="00E878C9" w:rsidP="00C607C1">
            <w:pPr>
              <w:jc w:val="right"/>
              <w:rPr>
                <w:rFonts w:ascii="Times New Roman" w:hAnsi="Times New Roman"/>
                <w:sz w:val="22"/>
                <w:szCs w:val="22"/>
              </w:rPr>
            </w:pPr>
            <w:r>
              <w:rPr>
                <w:rFonts w:ascii="Times New Roman" w:hAnsi="Times New Roman"/>
                <w:sz w:val="22"/>
                <w:szCs w:val="22"/>
              </w:rPr>
              <w:t>$</w:t>
            </w:r>
            <w:r w:rsidR="00537318">
              <w:rPr>
                <w:rFonts w:ascii="Times New Roman" w:hAnsi="Times New Roman"/>
                <w:sz w:val="22"/>
                <w:szCs w:val="22"/>
              </w:rPr>
              <w:t>55.</w:t>
            </w:r>
            <w:r w:rsidR="00C607C1">
              <w:rPr>
                <w:rFonts w:ascii="Times New Roman" w:hAnsi="Times New Roman"/>
                <w:sz w:val="22"/>
                <w:szCs w:val="22"/>
              </w:rPr>
              <w:t>21</w:t>
            </w:r>
          </w:p>
        </w:tc>
        <w:tc>
          <w:tcPr>
            <w:tcW w:w="2088" w:type="dxa"/>
            <w:vAlign w:val="bottom"/>
          </w:tcPr>
          <w:p w:rsidR="00E878C9" w:rsidRPr="008F47CB" w:rsidRDefault="00E878C9" w:rsidP="001E5C16">
            <w:pPr>
              <w:jc w:val="right"/>
              <w:rPr>
                <w:rFonts w:ascii="Times New Roman" w:hAnsi="Times New Roman"/>
                <w:sz w:val="22"/>
                <w:szCs w:val="22"/>
              </w:rPr>
            </w:pPr>
            <w:r>
              <w:rPr>
                <w:rFonts w:ascii="Times New Roman" w:hAnsi="Times New Roman"/>
                <w:sz w:val="22"/>
                <w:szCs w:val="22"/>
              </w:rPr>
              <w:t>$</w:t>
            </w:r>
            <w:r w:rsidR="001E5C16">
              <w:rPr>
                <w:rFonts w:ascii="Times New Roman" w:hAnsi="Times New Roman"/>
                <w:sz w:val="22"/>
                <w:szCs w:val="22"/>
              </w:rPr>
              <w:t>508</w:t>
            </w:r>
            <w:r w:rsidR="00537318">
              <w:rPr>
                <w:rFonts w:ascii="Times New Roman" w:hAnsi="Times New Roman"/>
                <w:sz w:val="22"/>
                <w:szCs w:val="22"/>
              </w:rPr>
              <w:t>,000</w:t>
            </w:r>
          </w:p>
        </w:tc>
      </w:tr>
      <w:tr w:rsidR="00E878C9" w:rsidRPr="008F47CB" w:rsidTr="008C5AED">
        <w:tc>
          <w:tcPr>
            <w:tcW w:w="3870" w:type="dxa"/>
            <w:vAlign w:val="bottom"/>
          </w:tcPr>
          <w:p w:rsidR="00E878C9" w:rsidRPr="008F47CB" w:rsidRDefault="00E878C9" w:rsidP="00704958">
            <w:pPr>
              <w:rPr>
                <w:rFonts w:ascii="Times New Roman" w:hAnsi="Times New Roman"/>
                <w:sz w:val="22"/>
                <w:szCs w:val="22"/>
              </w:rPr>
            </w:pPr>
            <w:r>
              <w:rPr>
                <w:rFonts w:ascii="Times New Roman" w:hAnsi="Times New Roman"/>
                <w:sz w:val="22"/>
                <w:szCs w:val="22"/>
              </w:rPr>
              <w:lastRenderedPageBreak/>
              <w:t xml:space="preserve">Distribution of Annual </w:t>
            </w:r>
            <w:r w:rsidR="00704958">
              <w:rPr>
                <w:rFonts w:ascii="Times New Roman" w:hAnsi="Times New Roman"/>
                <w:sz w:val="22"/>
                <w:szCs w:val="22"/>
              </w:rPr>
              <w:t>Disclosures</w:t>
            </w:r>
          </w:p>
        </w:tc>
        <w:tc>
          <w:tcPr>
            <w:tcW w:w="1769" w:type="dxa"/>
            <w:vAlign w:val="bottom"/>
          </w:tcPr>
          <w:p w:rsidR="00E878C9" w:rsidRPr="008F47CB" w:rsidRDefault="00537318" w:rsidP="001E5C16">
            <w:pPr>
              <w:jc w:val="right"/>
              <w:rPr>
                <w:rFonts w:ascii="Times New Roman" w:hAnsi="Times New Roman"/>
                <w:sz w:val="22"/>
                <w:szCs w:val="22"/>
              </w:rPr>
            </w:pPr>
            <w:r>
              <w:rPr>
                <w:rFonts w:ascii="Times New Roman" w:hAnsi="Times New Roman"/>
                <w:sz w:val="22"/>
                <w:szCs w:val="22"/>
              </w:rPr>
              <w:t>4</w:t>
            </w:r>
            <w:r w:rsidR="001E5C16">
              <w:rPr>
                <w:rFonts w:ascii="Times New Roman" w:hAnsi="Times New Roman"/>
                <w:sz w:val="22"/>
                <w:szCs w:val="22"/>
              </w:rPr>
              <w:t>6</w:t>
            </w:r>
            <w:r w:rsidR="00E878C9">
              <w:rPr>
                <w:rFonts w:ascii="Times New Roman" w:hAnsi="Times New Roman"/>
                <w:sz w:val="22"/>
                <w:szCs w:val="22"/>
              </w:rPr>
              <w:t>,000</w:t>
            </w:r>
          </w:p>
        </w:tc>
        <w:tc>
          <w:tcPr>
            <w:tcW w:w="1021" w:type="dxa"/>
            <w:vAlign w:val="bottom"/>
          </w:tcPr>
          <w:p w:rsidR="00E878C9" w:rsidRPr="008F47CB" w:rsidRDefault="00E878C9" w:rsidP="00C607C1">
            <w:pPr>
              <w:jc w:val="right"/>
              <w:rPr>
                <w:rFonts w:ascii="Times New Roman" w:hAnsi="Times New Roman"/>
                <w:sz w:val="22"/>
                <w:szCs w:val="22"/>
              </w:rPr>
            </w:pPr>
            <w:r>
              <w:rPr>
                <w:rFonts w:ascii="Times New Roman" w:hAnsi="Times New Roman"/>
                <w:sz w:val="22"/>
                <w:szCs w:val="22"/>
              </w:rPr>
              <w:t>$</w:t>
            </w:r>
            <w:r w:rsidR="00C607C1">
              <w:rPr>
                <w:rFonts w:ascii="Times New Roman" w:hAnsi="Times New Roman"/>
                <w:sz w:val="22"/>
                <w:szCs w:val="22"/>
              </w:rPr>
              <w:t>55.21</w:t>
            </w:r>
          </w:p>
        </w:tc>
        <w:tc>
          <w:tcPr>
            <w:tcW w:w="2088" w:type="dxa"/>
            <w:vAlign w:val="bottom"/>
          </w:tcPr>
          <w:p w:rsidR="00E878C9" w:rsidRPr="008F47CB" w:rsidRDefault="00E878C9" w:rsidP="001E5C16">
            <w:pPr>
              <w:jc w:val="right"/>
              <w:rPr>
                <w:rFonts w:ascii="Times New Roman" w:hAnsi="Times New Roman"/>
                <w:sz w:val="22"/>
                <w:szCs w:val="22"/>
              </w:rPr>
            </w:pPr>
            <w:r>
              <w:rPr>
                <w:rFonts w:ascii="Times New Roman" w:hAnsi="Times New Roman"/>
                <w:sz w:val="22"/>
                <w:szCs w:val="22"/>
              </w:rPr>
              <w:t>$</w:t>
            </w:r>
            <w:r w:rsidR="00537318">
              <w:rPr>
                <w:rFonts w:ascii="Times New Roman" w:hAnsi="Times New Roman"/>
                <w:sz w:val="22"/>
                <w:szCs w:val="22"/>
              </w:rPr>
              <w:t>2.</w:t>
            </w:r>
            <w:r w:rsidR="001E5C16">
              <w:rPr>
                <w:rFonts w:ascii="Times New Roman" w:hAnsi="Times New Roman"/>
                <w:sz w:val="22"/>
                <w:szCs w:val="22"/>
              </w:rPr>
              <w:t>5</w:t>
            </w:r>
            <w:r>
              <w:rPr>
                <w:rFonts w:ascii="Times New Roman" w:hAnsi="Times New Roman"/>
                <w:sz w:val="22"/>
                <w:szCs w:val="22"/>
              </w:rPr>
              <w:t xml:space="preserve"> million</w:t>
            </w:r>
          </w:p>
        </w:tc>
      </w:tr>
      <w:tr w:rsidR="00E878C9" w:rsidRPr="008F47CB" w:rsidTr="008C5AED">
        <w:tc>
          <w:tcPr>
            <w:tcW w:w="3870" w:type="dxa"/>
            <w:vAlign w:val="bottom"/>
          </w:tcPr>
          <w:p w:rsidR="00E878C9" w:rsidRDefault="00222C8B" w:rsidP="00222C8B">
            <w:pPr>
              <w:rPr>
                <w:rFonts w:ascii="Times New Roman" w:hAnsi="Times New Roman"/>
                <w:sz w:val="22"/>
                <w:szCs w:val="22"/>
              </w:rPr>
            </w:pPr>
            <w:r>
              <w:rPr>
                <w:rFonts w:ascii="Times New Roman" w:hAnsi="Times New Roman"/>
                <w:sz w:val="22"/>
                <w:szCs w:val="22"/>
              </w:rPr>
              <w:t>Distribution of Market Information on Demand</w:t>
            </w:r>
          </w:p>
        </w:tc>
        <w:tc>
          <w:tcPr>
            <w:tcW w:w="1769" w:type="dxa"/>
            <w:vAlign w:val="bottom"/>
          </w:tcPr>
          <w:p w:rsidR="00E878C9" w:rsidRPr="008F47CB" w:rsidRDefault="00EA0903" w:rsidP="00EA0903">
            <w:pPr>
              <w:jc w:val="right"/>
              <w:rPr>
                <w:rFonts w:ascii="Times New Roman" w:hAnsi="Times New Roman"/>
                <w:sz w:val="22"/>
                <w:szCs w:val="22"/>
              </w:rPr>
            </w:pPr>
            <w:r>
              <w:rPr>
                <w:rFonts w:ascii="Times New Roman" w:hAnsi="Times New Roman"/>
                <w:sz w:val="22"/>
                <w:szCs w:val="22"/>
              </w:rPr>
              <w:t>1,0</w:t>
            </w:r>
            <w:r w:rsidR="00E878C9">
              <w:rPr>
                <w:rFonts w:ascii="Times New Roman" w:hAnsi="Times New Roman"/>
                <w:sz w:val="22"/>
                <w:szCs w:val="22"/>
              </w:rPr>
              <w:t>00</w:t>
            </w:r>
          </w:p>
        </w:tc>
        <w:tc>
          <w:tcPr>
            <w:tcW w:w="1021" w:type="dxa"/>
            <w:vAlign w:val="bottom"/>
          </w:tcPr>
          <w:p w:rsidR="00E878C9" w:rsidRPr="008F47CB" w:rsidRDefault="00E878C9" w:rsidP="008C5AED">
            <w:pPr>
              <w:jc w:val="right"/>
              <w:rPr>
                <w:rFonts w:ascii="Times New Roman" w:hAnsi="Times New Roman"/>
                <w:sz w:val="22"/>
                <w:szCs w:val="22"/>
              </w:rPr>
            </w:pPr>
            <w:r>
              <w:rPr>
                <w:rFonts w:ascii="Times New Roman" w:hAnsi="Times New Roman"/>
                <w:sz w:val="22"/>
                <w:szCs w:val="22"/>
              </w:rPr>
              <w:t>$</w:t>
            </w:r>
            <w:r w:rsidR="00C607C1">
              <w:rPr>
                <w:rFonts w:ascii="Times New Roman" w:hAnsi="Times New Roman"/>
                <w:sz w:val="22"/>
                <w:szCs w:val="22"/>
              </w:rPr>
              <w:t>55.21</w:t>
            </w:r>
          </w:p>
        </w:tc>
        <w:tc>
          <w:tcPr>
            <w:tcW w:w="2088" w:type="dxa"/>
            <w:vAlign w:val="bottom"/>
          </w:tcPr>
          <w:p w:rsidR="00E878C9" w:rsidRPr="008F47CB" w:rsidRDefault="00E878C9" w:rsidP="001E5C16">
            <w:pPr>
              <w:jc w:val="right"/>
              <w:rPr>
                <w:rFonts w:ascii="Times New Roman" w:hAnsi="Times New Roman"/>
                <w:sz w:val="22"/>
                <w:szCs w:val="22"/>
              </w:rPr>
            </w:pPr>
            <w:r>
              <w:rPr>
                <w:rFonts w:ascii="Times New Roman" w:hAnsi="Times New Roman"/>
                <w:sz w:val="22"/>
                <w:szCs w:val="22"/>
              </w:rPr>
              <w:t>$</w:t>
            </w:r>
            <w:r w:rsidR="00EA0903">
              <w:rPr>
                <w:rFonts w:ascii="Times New Roman" w:hAnsi="Times New Roman"/>
                <w:sz w:val="22"/>
                <w:szCs w:val="22"/>
              </w:rPr>
              <w:t>6</w:t>
            </w:r>
            <w:r w:rsidR="001E5C16">
              <w:rPr>
                <w:rFonts w:ascii="Times New Roman" w:hAnsi="Times New Roman"/>
                <w:sz w:val="22"/>
                <w:szCs w:val="22"/>
              </w:rPr>
              <w:t>2</w:t>
            </w:r>
            <w:r>
              <w:rPr>
                <w:rFonts w:ascii="Times New Roman" w:hAnsi="Times New Roman"/>
                <w:sz w:val="22"/>
                <w:szCs w:val="22"/>
              </w:rPr>
              <w:t>,000</w:t>
            </w:r>
          </w:p>
        </w:tc>
      </w:tr>
      <w:tr w:rsidR="00E878C9" w:rsidRPr="008F47CB" w:rsidTr="008C5AED">
        <w:tc>
          <w:tcPr>
            <w:tcW w:w="3870" w:type="dxa"/>
          </w:tcPr>
          <w:p w:rsidR="00E878C9" w:rsidRPr="008F47CB" w:rsidRDefault="00E878C9" w:rsidP="002919E4">
            <w:pPr>
              <w:rPr>
                <w:rFonts w:ascii="Times New Roman" w:hAnsi="Times New Roman"/>
                <w:b/>
                <w:i/>
                <w:sz w:val="22"/>
                <w:szCs w:val="22"/>
              </w:rPr>
            </w:pPr>
            <w:r w:rsidRPr="008F47CB">
              <w:rPr>
                <w:rFonts w:ascii="Times New Roman" w:hAnsi="Times New Roman"/>
                <w:b/>
                <w:i/>
                <w:sz w:val="22"/>
                <w:szCs w:val="22"/>
              </w:rPr>
              <w:t>Totals</w:t>
            </w:r>
            <w:r w:rsidR="007F3BC7">
              <w:rPr>
                <w:rFonts w:ascii="Times New Roman" w:hAnsi="Times New Roman"/>
                <w:b/>
                <w:i/>
                <w:sz w:val="22"/>
                <w:szCs w:val="22"/>
              </w:rPr>
              <w:t xml:space="preserve"> for Subsequent Years</w:t>
            </w:r>
          </w:p>
        </w:tc>
        <w:tc>
          <w:tcPr>
            <w:tcW w:w="1769" w:type="dxa"/>
            <w:vAlign w:val="bottom"/>
          </w:tcPr>
          <w:p w:rsidR="00E878C9" w:rsidRPr="008F47CB" w:rsidRDefault="00EA0903" w:rsidP="001E5C16">
            <w:pPr>
              <w:jc w:val="right"/>
              <w:rPr>
                <w:rFonts w:ascii="Times New Roman" w:hAnsi="Times New Roman"/>
                <w:b/>
                <w:i/>
                <w:sz w:val="22"/>
                <w:szCs w:val="22"/>
              </w:rPr>
            </w:pPr>
            <w:r>
              <w:rPr>
                <w:rFonts w:ascii="Times New Roman" w:hAnsi="Times New Roman"/>
                <w:b/>
                <w:i/>
                <w:sz w:val="22"/>
                <w:szCs w:val="22"/>
              </w:rPr>
              <w:t>5</w:t>
            </w:r>
            <w:r w:rsidR="001E5C16">
              <w:rPr>
                <w:rFonts w:ascii="Times New Roman" w:hAnsi="Times New Roman"/>
                <w:b/>
                <w:i/>
                <w:sz w:val="22"/>
                <w:szCs w:val="22"/>
              </w:rPr>
              <w:t>6</w:t>
            </w:r>
            <w:r w:rsidR="00837B42">
              <w:rPr>
                <w:rFonts w:ascii="Times New Roman" w:hAnsi="Times New Roman"/>
                <w:b/>
                <w:i/>
                <w:sz w:val="22"/>
                <w:szCs w:val="22"/>
              </w:rPr>
              <w:t>,000</w:t>
            </w:r>
          </w:p>
        </w:tc>
        <w:tc>
          <w:tcPr>
            <w:tcW w:w="1021" w:type="dxa"/>
            <w:vAlign w:val="bottom"/>
          </w:tcPr>
          <w:p w:rsidR="00E878C9" w:rsidRPr="008F47CB" w:rsidRDefault="00E878C9" w:rsidP="008C5AED">
            <w:pPr>
              <w:jc w:val="right"/>
              <w:rPr>
                <w:rFonts w:ascii="Times New Roman" w:hAnsi="Times New Roman"/>
                <w:b/>
                <w:i/>
                <w:sz w:val="22"/>
                <w:szCs w:val="22"/>
              </w:rPr>
            </w:pPr>
          </w:p>
        </w:tc>
        <w:tc>
          <w:tcPr>
            <w:tcW w:w="2088" w:type="dxa"/>
            <w:vAlign w:val="bottom"/>
          </w:tcPr>
          <w:p w:rsidR="00E878C9" w:rsidRPr="008F47CB" w:rsidRDefault="00837B42" w:rsidP="001E5C16">
            <w:pPr>
              <w:jc w:val="right"/>
              <w:rPr>
                <w:rFonts w:ascii="Times New Roman" w:hAnsi="Times New Roman"/>
                <w:b/>
                <w:i/>
                <w:sz w:val="22"/>
                <w:szCs w:val="22"/>
              </w:rPr>
            </w:pPr>
            <w:r>
              <w:rPr>
                <w:rFonts w:ascii="Times New Roman" w:hAnsi="Times New Roman"/>
                <w:b/>
                <w:i/>
                <w:sz w:val="22"/>
                <w:szCs w:val="22"/>
              </w:rPr>
              <w:t>$</w:t>
            </w:r>
            <w:r w:rsidR="001E5C16">
              <w:rPr>
                <w:rFonts w:ascii="Times New Roman" w:hAnsi="Times New Roman"/>
                <w:b/>
                <w:i/>
                <w:sz w:val="22"/>
                <w:szCs w:val="22"/>
              </w:rPr>
              <w:t>3.1</w:t>
            </w:r>
            <w:r>
              <w:rPr>
                <w:rFonts w:ascii="Times New Roman" w:hAnsi="Times New Roman"/>
                <w:b/>
                <w:i/>
                <w:sz w:val="22"/>
                <w:szCs w:val="22"/>
              </w:rPr>
              <w:t xml:space="preserve"> million</w:t>
            </w:r>
          </w:p>
        </w:tc>
      </w:tr>
    </w:tbl>
    <w:p w:rsidR="002E36D9" w:rsidRDefault="002E36D9" w:rsidP="008C7AA2">
      <w:pPr>
        <w:widowControl/>
        <w:ind w:left="720"/>
        <w:rPr>
          <w:rFonts w:ascii="Times New Roman" w:hAnsi="Times New Roman"/>
        </w:rPr>
      </w:pPr>
    </w:p>
    <w:p w:rsidR="00DA764F" w:rsidRDefault="002417AA" w:rsidP="008C7AA2">
      <w:pPr>
        <w:widowControl/>
        <w:ind w:left="720"/>
        <w:rPr>
          <w:rFonts w:ascii="Times New Roman" w:hAnsi="Times New Roman"/>
        </w:rPr>
      </w:pPr>
      <w:r>
        <w:rPr>
          <w:rFonts w:ascii="Times New Roman" w:hAnsi="Times New Roman"/>
        </w:rPr>
        <w:t>For purposes of reginfo.gov database entries the burden has been a</w:t>
      </w:r>
      <w:r w:rsidR="00DA764F">
        <w:rPr>
          <w:rFonts w:ascii="Times New Roman" w:hAnsi="Times New Roman"/>
        </w:rPr>
        <w:t xml:space="preserve">nnualized over the three-year approval the </w:t>
      </w:r>
      <w:r w:rsidR="00C63A3C">
        <w:rPr>
          <w:rFonts w:ascii="Times New Roman" w:hAnsi="Times New Roman"/>
        </w:rPr>
        <w:t xml:space="preserve">Department </w:t>
      </w:r>
      <w:r w:rsidR="00DA764F">
        <w:rPr>
          <w:rFonts w:ascii="Times New Roman" w:hAnsi="Times New Roman"/>
        </w:rPr>
        <w:t>seeks</w:t>
      </w:r>
      <w:r w:rsidR="002277D0">
        <w:rPr>
          <w:rFonts w:ascii="Times New Roman" w:hAnsi="Times New Roman"/>
        </w:rPr>
        <w:t xml:space="preserve"> to </w:t>
      </w:r>
      <w:r w:rsidR="009373DF">
        <w:rPr>
          <w:rFonts w:ascii="Times New Roman" w:hAnsi="Times New Roman"/>
        </w:rPr>
        <w:t>66</w:t>
      </w:r>
      <w:r w:rsidR="00F22C0B">
        <w:rPr>
          <w:rFonts w:ascii="Times New Roman" w:hAnsi="Times New Roman"/>
        </w:rPr>
        <w:t xml:space="preserve">,000 </w:t>
      </w:r>
      <w:r>
        <w:rPr>
          <w:rFonts w:ascii="Times New Roman" w:hAnsi="Times New Roman"/>
        </w:rPr>
        <w:t xml:space="preserve">hours </w:t>
      </w:r>
      <w:r w:rsidR="00F849EE">
        <w:rPr>
          <w:rFonts w:ascii="Times New Roman" w:hAnsi="Times New Roman"/>
        </w:rPr>
        <w:t xml:space="preserve">(rounded) </w:t>
      </w:r>
      <w:r w:rsidR="00F22C0B">
        <w:rPr>
          <w:rFonts w:ascii="Times New Roman" w:hAnsi="Times New Roman"/>
        </w:rPr>
        <w:t>per year</w:t>
      </w:r>
      <w:r w:rsidR="002277D0">
        <w:rPr>
          <w:rFonts w:ascii="Times New Roman" w:hAnsi="Times New Roman"/>
        </w:rPr>
        <w:t>.</w:t>
      </w:r>
    </w:p>
    <w:p w:rsidR="00DA764F" w:rsidRPr="00235B48" w:rsidRDefault="00DA764F" w:rsidP="008C7AA2">
      <w:pPr>
        <w:widowControl/>
        <w:ind w:left="720"/>
        <w:rPr>
          <w:rFonts w:ascii="Times New Roman" w:hAnsi="Times New Roman"/>
        </w:rPr>
      </w:pPr>
    </w:p>
    <w:bookmarkEnd w:id="1"/>
    <w:bookmarkEnd w:id="2"/>
    <w:p w:rsidR="00F3670F" w:rsidRPr="00235B48" w:rsidRDefault="00F3670F" w:rsidP="00235B48">
      <w:pPr>
        <w:pStyle w:val="Quick1"/>
        <w:widowControl/>
        <w:tabs>
          <w:tab w:val="left" w:pos="-1440"/>
          <w:tab w:val="num" w:pos="720"/>
        </w:tabs>
        <w:rPr>
          <w:rFonts w:ascii="Times New Roman" w:hAnsi="Times New Roman"/>
          <w:i/>
          <w:iCs/>
        </w:rPr>
      </w:pPr>
      <w:r w:rsidRPr="00235B48">
        <w:rPr>
          <w:rFonts w:ascii="Times New Roman" w:hAnsi="Times New Roman"/>
          <w:i/>
          <w:iCs/>
          <w:sz w:val="20"/>
          <w:szCs w:val="20"/>
        </w:rPr>
        <w:t xml:space="preserve">Provide an estimate of the total annual cost burden to respondents or </w:t>
      </w:r>
      <w:proofErr w:type="spellStart"/>
      <w:r w:rsidRPr="00235B48">
        <w:rPr>
          <w:rFonts w:ascii="Times New Roman" w:hAnsi="Times New Roman"/>
          <w:i/>
          <w:iCs/>
          <w:sz w:val="20"/>
          <w:szCs w:val="20"/>
        </w:rPr>
        <w:t>recordkeepers</w:t>
      </w:r>
      <w:proofErr w:type="spellEnd"/>
      <w:r w:rsidRPr="00235B48">
        <w:rPr>
          <w:rFonts w:ascii="Times New Roman" w:hAnsi="Times New Roman"/>
          <w:i/>
          <w:iCs/>
          <w:sz w:val="20"/>
          <w:szCs w:val="20"/>
        </w:rPr>
        <w:t xml:space="preserve"> resulting from the collection of information.  (Do not include the cost of any hour burden shown in Items 12 or 14).</w:t>
      </w:r>
    </w:p>
    <w:p w:rsidR="00F3670F" w:rsidRDefault="00F3670F" w:rsidP="008C7AA2">
      <w:pPr>
        <w:widowControl/>
        <w:ind w:left="720"/>
        <w:rPr>
          <w:rFonts w:ascii="Times New Roman" w:hAnsi="Times New Roman"/>
        </w:rPr>
      </w:pPr>
    </w:p>
    <w:p w:rsidR="00594CC3" w:rsidRDefault="00594CC3" w:rsidP="00594CC3">
      <w:pPr>
        <w:widowControl/>
        <w:ind w:left="720"/>
        <w:rPr>
          <w:rFonts w:ascii="Times New Roman" w:hAnsi="Times New Roman"/>
        </w:rPr>
      </w:pPr>
      <w:r w:rsidRPr="00594CC3">
        <w:rPr>
          <w:rFonts w:ascii="Times New Roman" w:hAnsi="Times New Roman"/>
        </w:rPr>
        <w:t xml:space="preserve">The Department believes that nearly all Financial Institutions will contract with outside service providers to implement the various compliance requirements of this exemption.  Per-firm costs for broker-dealers (BDs) were calculated by allocating the total cost reductions in the medium assumptions scenario across the firm size categories, and then subtracting the cost reductions from the per-firm average costs derived from the Oxford Economics study, as described in </w:t>
      </w:r>
      <w:r w:rsidR="00CD4FCF">
        <w:rPr>
          <w:rFonts w:ascii="Times New Roman" w:hAnsi="Times New Roman"/>
        </w:rPr>
        <w:t xml:space="preserve">Chapter 5 of </w:t>
      </w:r>
      <w:r w:rsidRPr="00594CC3">
        <w:rPr>
          <w:rFonts w:ascii="Times New Roman" w:hAnsi="Times New Roman"/>
        </w:rPr>
        <w:t xml:space="preserve">the regulatory impact analysis.  The methodology for calculating the per-firm costs for registered investment advisers (RIAs) is described in detail in </w:t>
      </w:r>
      <w:r w:rsidR="00CD4FCF">
        <w:rPr>
          <w:rFonts w:ascii="Times New Roman" w:hAnsi="Times New Roman"/>
        </w:rPr>
        <w:t xml:space="preserve">Chapter 5 of </w:t>
      </w:r>
      <w:r w:rsidRPr="00594CC3">
        <w:rPr>
          <w:rFonts w:ascii="Times New Roman" w:hAnsi="Times New Roman"/>
        </w:rPr>
        <w:t>the regulatory impact analysis.  The Department is attributing 50 percent of the compliance costs for BDs and RIAs to this Exemption and 50 percent of the compliance costs for BDs and RIAs to the Best Interest Contract Exemption</w:t>
      </w:r>
      <w:r w:rsidR="00CD4FCF">
        <w:rPr>
          <w:rFonts w:ascii="Times New Roman" w:hAnsi="Times New Roman"/>
        </w:rPr>
        <w:t xml:space="preserve"> (OMB Control Number 1210-0156)</w:t>
      </w:r>
      <w:r w:rsidRPr="00594CC3">
        <w:rPr>
          <w:rFonts w:ascii="Times New Roman" w:hAnsi="Times New Roman"/>
        </w:rPr>
        <w:t xml:space="preserve">.  </w:t>
      </w:r>
      <w:r w:rsidR="002C2C42">
        <w:rPr>
          <w:rFonts w:ascii="Times New Roman" w:hAnsi="Times New Roman"/>
        </w:rPr>
        <w:t xml:space="preserve">The Department estimates the </w:t>
      </w:r>
      <w:r w:rsidRPr="00594CC3">
        <w:rPr>
          <w:rFonts w:ascii="Times New Roman" w:hAnsi="Times New Roman"/>
        </w:rPr>
        <w:t xml:space="preserve">per-firm costs </w:t>
      </w:r>
      <w:r w:rsidR="002C2C42">
        <w:rPr>
          <w:rFonts w:ascii="Times New Roman" w:hAnsi="Times New Roman"/>
        </w:rPr>
        <w:t>to be as follows</w:t>
      </w:r>
      <w:r w:rsidRPr="00594CC3">
        <w:rPr>
          <w:rFonts w:ascii="Times New Roman" w:hAnsi="Times New Roman"/>
        </w:rPr>
        <w:t>:</w:t>
      </w:r>
    </w:p>
    <w:p w:rsidR="002C2C42" w:rsidRPr="00594CC3" w:rsidRDefault="002C2C42" w:rsidP="00594CC3">
      <w:pPr>
        <w:widowControl/>
        <w:ind w:left="720"/>
        <w:rPr>
          <w:rFonts w:ascii="Times New Roman" w:hAnsi="Times New Roman"/>
        </w:rPr>
      </w:pP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Start-Up Costs for Large BDs:  $</w:t>
      </w:r>
      <w:r w:rsidR="00DC5E36">
        <w:rPr>
          <w:rFonts w:ascii="Times New Roman" w:hAnsi="Times New Roman"/>
        </w:rPr>
        <w:t>3.7</w:t>
      </w:r>
      <w:r w:rsidRPr="00594CC3">
        <w:rPr>
          <w:rFonts w:ascii="Times New Roman" w:hAnsi="Times New Roman"/>
        </w:rPr>
        <w:t xml:space="preserve"> million</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Start-Up Costs for Large RIAs:  $</w:t>
      </w:r>
      <w:r w:rsidR="00DC5E36">
        <w:rPr>
          <w:rFonts w:ascii="Times New Roman" w:hAnsi="Times New Roman"/>
        </w:rPr>
        <w:t>3.2</w:t>
      </w:r>
      <w:r w:rsidRPr="00594CC3">
        <w:rPr>
          <w:rFonts w:ascii="Times New Roman" w:hAnsi="Times New Roman"/>
        </w:rPr>
        <w:t xml:space="preserve"> million</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Start-Up Costs for Medium BDs:  $</w:t>
      </w:r>
      <w:r w:rsidR="00DC5E36">
        <w:rPr>
          <w:rFonts w:ascii="Times New Roman" w:hAnsi="Times New Roman"/>
        </w:rPr>
        <w:t>889,000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Start-Up Costs for Medium RIAs:  $</w:t>
      </w:r>
      <w:r w:rsidR="00DC5E36">
        <w:rPr>
          <w:rFonts w:ascii="Times New Roman" w:hAnsi="Times New Roman"/>
        </w:rPr>
        <w:t>662</w:t>
      </w:r>
      <w:r w:rsidRPr="00594CC3">
        <w:rPr>
          <w:rFonts w:ascii="Times New Roman" w:hAnsi="Times New Roman"/>
        </w:rPr>
        <w:t>,000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Start-Up Costs for Small BDs:  $</w:t>
      </w:r>
      <w:r w:rsidR="00DC5E36">
        <w:rPr>
          <w:rFonts w:ascii="Times New Roman" w:hAnsi="Times New Roman"/>
        </w:rPr>
        <w:t>278</w:t>
      </w:r>
      <w:r w:rsidRPr="00594CC3">
        <w:rPr>
          <w:rFonts w:ascii="Times New Roman" w:hAnsi="Times New Roman"/>
        </w:rPr>
        <w:t>,000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Start-Up Costs for Small RIAs:  $</w:t>
      </w:r>
      <w:r w:rsidR="00DC5E36">
        <w:rPr>
          <w:rFonts w:ascii="Times New Roman" w:hAnsi="Times New Roman"/>
        </w:rPr>
        <w:t>219</w:t>
      </w:r>
      <w:r w:rsidRPr="00594CC3">
        <w:rPr>
          <w:rFonts w:ascii="Times New Roman" w:hAnsi="Times New Roman"/>
        </w:rPr>
        <w:t>,000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Ongoing Costs for Large BDs:  $</w:t>
      </w:r>
      <w:r w:rsidR="00DC5E36">
        <w:rPr>
          <w:rFonts w:ascii="Times New Roman" w:hAnsi="Times New Roman"/>
        </w:rPr>
        <w:t>918</w:t>
      </w:r>
      <w:r w:rsidRPr="00594CC3">
        <w:rPr>
          <w:rFonts w:ascii="Times New Roman" w:hAnsi="Times New Roman"/>
        </w:rPr>
        <w:t>,000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Ongoing Costs for Large RIAs:  $</w:t>
      </w:r>
      <w:r w:rsidR="00DC5E36">
        <w:rPr>
          <w:rFonts w:ascii="Times New Roman" w:hAnsi="Times New Roman"/>
        </w:rPr>
        <w:t>803</w:t>
      </w:r>
      <w:r w:rsidRPr="00594CC3">
        <w:rPr>
          <w:rFonts w:ascii="Times New Roman" w:hAnsi="Times New Roman"/>
        </w:rPr>
        <w:t>,000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Ongoing Costs for Medium BDs:  $</w:t>
      </w:r>
      <w:r w:rsidR="00DC5E36">
        <w:rPr>
          <w:rFonts w:ascii="Times New Roman" w:hAnsi="Times New Roman"/>
        </w:rPr>
        <w:t>192</w:t>
      </w:r>
      <w:r w:rsidRPr="00594CC3">
        <w:rPr>
          <w:rFonts w:ascii="Times New Roman" w:hAnsi="Times New Roman"/>
        </w:rPr>
        <w:t>,000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Ongoing Costs for Medium RIAs:  $</w:t>
      </w:r>
      <w:r w:rsidR="00DC5E36">
        <w:rPr>
          <w:rFonts w:ascii="Times New Roman" w:hAnsi="Times New Roman"/>
        </w:rPr>
        <w:t>143</w:t>
      </w:r>
      <w:r w:rsidRPr="00594CC3">
        <w:rPr>
          <w:rFonts w:ascii="Times New Roman" w:hAnsi="Times New Roman"/>
        </w:rPr>
        <w:t>,000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Ongoing Costs for Small BDs:  $</w:t>
      </w:r>
      <w:r w:rsidR="00DC5E36">
        <w:rPr>
          <w:rFonts w:ascii="Times New Roman" w:hAnsi="Times New Roman"/>
        </w:rPr>
        <w:t>60</w:t>
      </w:r>
      <w:r w:rsidRPr="00594CC3">
        <w:rPr>
          <w:rFonts w:ascii="Times New Roman" w:hAnsi="Times New Roman"/>
        </w:rPr>
        <w:t>,000</w:t>
      </w:r>
    </w:p>
    <w:p w:rsidR="00594CC3" w:rsidRPr="00594CC3" w:rsidRDefault="00594CC3" w:rsidP="00541BBA">
      <w:pPr>
        <w:widowControl/>
        <w:ind w:left="1440" w:hanging="720"/>
        <w:rPr>
          <w:rFonts w:ascii="Times New Roman" w:hAnsi="Times New Roman"/>
        </w:rPr>
      </w:pPr>
      <w:r w:rsidRPr="00594CC3">
        <w:rPr>
          <w:rFonts w:ascii="Times New Roman" w:hAnsi="Times New Roman"/>
        </w:rPr>
        <w:t>•</w:t>
      </w:r>
      <w:r w:rsidRPr="00594CC3">
        <w:rPr>
          <w:rFonts w:ascii="Times New Roman" w:hAnsi="Times New Roman"/>
        </w:rPr>
        <w:tab/>
        <w:t>Ongoing Costs for Small RIAs:  $</w:t>
      </w:r>
      <w:r w:rsidR="00DC5E36">
        <w:rPr>
          <w:rFonts w:ascii="Times New Roman" w:hAnsi="Times New Roman"/>
        </w:rPr>
        <w:t>47</w:t>
      </w:r>
      <w:r w:rsidRPr="00594CC3">
        <w:rPr>
          <w:rFonts w:ascii="Times New Roman" w:hAnsi="Times New Roman"/>
        </w:rPr>
        <w:t>,000</w:t>
      </w:r>
    </w:p>
    <w:p w:rsidR="00D3584A" w:rsidRDefault="00D3584A" w:rsidP="00594CC3">
      <w:pPr>
        <w:widowControl/>
        <w:ind w:left="720"/>
        <w:rPr>
          <w:rFonts w:ascii="Times New Roman" w:hAnsi="Times New Roman"/>
        </w:rPr>
      </w:pPr>
    </w:p>
    <w:p w:rsidR="00594CC3" w:rsidRDefault="00594CC3" w:rsidP="00594CC3">
      <w:pPr>
        <w:widowControl/>
        <w:ind w:left="720"/>
        <w:rPr>
          <w:rFonts w:ascii="Times New Roman" w:hAnsi="Times New Roman"/>
        </w:rPr>
      </w:pPr>
      <w:r w:rsidRPr="00594CC3">
        <w:rPr>
          <w:rFonts w:ascii="Times New Roman" w:hAnsi="Times New Roman"/>
        </w:rPr>
        <w:t xml:space="preserve">In order to receive compensation covered under this </w:t>
      </w:r>
      <w:r w:rsidR="00C63A3C">
        <w:rPr>
          <w:rFonts w:ascii="Times New Roman" w:hAnsi="Times New Roman"/>
        </w:rPr>
        <w:t>E</w:t>
      </w:r>
      <w:r w:rsidRPr="00594CC3">
        <w:rPr>
          <w:rFonts w:ascii="Times New Roman" w:hAnsi="Times New Roman"/>
        </w:rPr>
        <w:t>xemption, Section II requires Financial Institutions to acknowledge, in writing, their fiduciary status and adopt written policies and procedures designed to ensure compliance with the Impartial Conduct Standards.  Financial Institutions must make certain disclosures to Retirement Investors.  Financial institutions must generally enter into a written contract with Retirement Investors with respect to principal transactions</w:t>
      </w:r>
      <w:r w:rsidR="00C63A3C">
        <w:rPr>
          <w:rFonts w:ascii="Times New Roman" w:hAnsi="Times New Roman"/>
        </w:rPr>
        <w:t xml:space="preserve"> and riskless principal transactions</w:t>
      </w:r>
      <w:r w:rsidRPr="00594CC3">
        <w:rPr>
          <w:rFonts w:ascii="Times New Roman" w:hAnsi="Times New Roman"/>
        </w:rPr>
        <w:t xml:space="preserve"> with </w:t>
      </w:r>
      <w:r w:rsidRPr="00594CC3">
        <w:rPr>
          <w:rFonts w:ascii="Times New Roman" w:hAnsi="Times New Roman"/>
        </w:rPr>
        <w:lastRenderedPageBreak/>
        <w:t>IRAs and non-ERISA plans with certain required provisions, including affirmative agreement to adhere to the Impartial Conduct Standards and to comply with FINRA rules 2121 and 5310.</w:t>
      </w:r>
    </w:p>
    <w:p w:rsidR="00D3584A" w:rsidRPr="00594CC3" w:rsidRDefault="00D3584A" w:rsidP="00594CC3">
      <w:pPr>
        <w:widowControl/>
        <w:ind w:left="720"/>
        <w:rPr>
          <w:rFonts w:ascii="Times New Roman" w:hAnsi="Times New Roman"/>
        </w:rPr>
      </w:pPr>
    </w:p>
    <w:p w:rsidR="00594CC3" w:rsidRDefault="00594CC3" w:rsidP="00594CC3">
      <w:pPr>
        <w:widowControl/>
        <w:ind w:left="720"/>
        <w:rPr>
          <w:rFonts w:ascii="Times New Roman" w:hAnsi="Times New Roman"/>
        </w:rPr>
      </w:pPr>
      <w:r w:rsidRPr="00594CC3">
        <w:rPr>
          <w:rFonts w:ascii="Times New Roman" w:hAnsi="Times New Roman"/>
        </w:rPr>
        <w:t>Section IV requires Financial Institutions and Advisers to make certain disclosures to the Retirement Investor.  These disclosures include: (1) a pre-transaction disclosure; (2) a disclosure, on demand, of information regarding the principal traded asset, including its salient attributes; (3) an annual disclosure; (4) transaction confirmations; and (5) a web-based disclosure.</w:t>
      </w:r>
    </w:p>
    <w:p w:rsidR="00D3584A" w:rsidRPr="00594CC3" w:rsidRDefault="00D3584A" w:rsidP="00594CC3">
      <w:pPr>
        <w:widowControl/>
        <w:ind w:left="720"/>
        <w:rPr>
          <w:rFonts w:ascii="Times New Roman" w:hAnsi="Times New Roman"/>
        </w:rPr>
      </w:pPr>
    </w:p>
    <w:p w:rsidR="00594CC3" w:rsidRDefault="00594CC3" w:rsidP="00594CC3">
      <w:pPr>
        <w:widowControl/>
        <w:ind w:left="720"/>
        <w:rPr>
          <w:rFonts w:ascii="Times New Roman" w:hAnsi="Times New Roman"/>
        </w:rPr>
      </w:pPr>
      <w:r w:rsidRPr="00594CC3">
        <w:rPr>
          <w:rFonts w:ascii="Times New Roman" w:hAnsi="Times New Roman"/>
        </w:rPr>
        <w:t>Section VII requires Financial Institutions and Advisers to make a transition disclosure, acknowledging</w:t>
      </w:r>
      <w:r w:rsidR="00C125AA">
        <w:rPr>
          <w:rFonts w:ascii="Times New Roman" w:hAnsi="Times New Roman"/>
        </w:rPr>
        <w:t xml:space="preserve"> their</w:t>
      </w:r>
      <w:r w:rsidRPr="00594CC3">
        <w:rPr>
          <w:rFonts w:ascii="Times New Roman" w:hAnsi="Times New Roman"/>
        </w:rPr>
        <w:t xml:space="preserve"> fiduciary </w:t>
      </w:r>
      <w:r w:rsidR="00C125AA">
        <w:rPr>
          <w:rFonts w:ascii="Times New Roman" w:hAnsi="Times New Roman"/>
        </w:rPr>
        <w:t>status and that of their Advisers with respect to the advice</w:t>
      </w:r>
      <w:r w:rsidRPr="00594CC3">
        <w:rPr>
          <w:rFonts w:ascii="Times New Roman" w:hAnsi="Times New Roman"/>
        </w:rPr>
        <w:t>, stating the best interest standard of care, describing the circumstances under which principal transactions</w:t>
      </w:r>
      <w:r w:rsidR="00C125AA">
        <w:rPr>
          <w:rFonts w:ascii="Times New Roman" w:hAnsi="Times New Roman"/>
        </w:rPr>
        <w:t xml:space="preserve"> and riskless principal transactions</w:t>
      </w:r>
      <w:r w:rsidRPr="00594CC3">
        <w:rPr>
          <w:rFonts w:ascii="Times New Roman" w:hAnsi="Times New Roman"/>
        </w:rPr>
        <w:t xml:space="preserve"> may occur and the associated material conflicts of interest, prior to engaging in any transactions during the transition period from January 1, 2017 to January 1, 2018.</w:t>
      </w:r>
    </w:p>
    <w:p w:rsidR="00D3584A" w:rsidRPr="00594CC3" w:rsidRDefault="00D3584A" w:rsidP="00594CC3">
      <w:pPr>
        <w:widowControl/>
        <w:ind w:left="720"/>
        <w:rPr>
          <w:rFonts w:ascii="Times New Roman" w:hAnsi="Times New Roman"/>
        </w:rPr>
      </w:pPr>
    </w:p>
    <w:p w:rsidR="001A4D0B" w:rsidRDefault="00594CC3" w:rsidP="00594CC3">
      <w:pPr>
        <w:widowControl/>
        <w:ind w:left="720"/>
        <w:rPr>
          <w:rFonts w:ascii="Times New Roman" w:hAnsi="Times New Roman"/>
        </w:rPr>
      </w:pPr>
      <w:r w:rsidRPr="00594CC3">
        <w:rPr>
          <w:rFonts w:ascii="Times New Roman" w:hAnsi="Times New Roman"/>
        </w:rPr>
        <w:t xml:space="preserve">The Department is able to disaggregate an estimate of legal costs from the costs above; however, it is unable to disaggregate any of the other costs.  </w:t>
      </w:r>
      <w:r w:rsidR="001A4D0B" w:rsidRPr="001A4D0B">
        <w:rPr>
          <w:rFonts w:ascii="Times New Roman" w:hAnsi="Times New Roman"/>
        </w:rPr>
        <w:t>The Department received a comment on the proposed PTE stating that the estimates for legal professional time to draft disclosures were not supported by any empirical evidence.  The Department also received multiple comments on the proposed PTE stating that its estimate of 24 hours of legal professional time during the first year a financial institution used the exemption and then no legal professional time in subsequent years was without evidence.</w:t>
      </w:r>
    </w:p>
    <w:p w:rsidR="001A4D0B" w:rsidRDefault="001A4D0B" w:rsidP="00594CC3">
      <w:pPr>
        <w:widowControl/>
        <w:ind w:left="720"/>
        <w:rPr>
          <w:rFonts w:ascii="Times New Roman" w:hAnsi="Times New Roman"/>
        </w:rPr>
      </w:pPr>
    </w:p>
    <w:p w:rsidR="00594CC3" w:rsidRDefault="005837AE" w:rsidP="00594CC3">
      <w:pPr>
        <w:widowControl/>
        <w:ind w:left="720"/>
        <w:rPr>
          <w:rFonts w:ascii="Times New Roman" w:hAnsi="Times New Roman"/>
        </w:rPr>
      </w:pPr>
      <w:r w:rsidRPr="005837AE">
        <w:rPr>
          <w:rFonts w:ascii="Times New Roman" w:hAnsi="Times New Roman"/>
        </w:rPr>
        <w:t xml:space="preserve">In response to a recommendation made during the Department’s August 2015, public hearing on the proposed rule and exemptions, and in an attempt to create estimates with a clearer empirical evidentiary basis, the Department drafted certain portions of the required disclosures, including a sample contract, the one-time disclosure to the Department, and the transition disclosure.  </w:t>
      </w:r>
      <w:r w:rsidR="00594CC3" w:rsidRPr="00594CC3">
        <w:rPr>
          <w:rFonts w:ascii="Times New Roman" w:hAnsi="Times New Roman"/>
        </w:rPr>
        <w:t>The Department’s legal staff took an average of 3 hours and 4</w:t>
      </w:r>
      <w:r w:rsidR="00BE0FF3">
        <w:rPr>
          <w:rFonts w:ascii="Times New Roman" w:hAnsi="Times New Roman"/>
        </w:rPr>
        <w:t>7</w:t>
      </w:r>
      <w:r w:rsidR="00594CC3" w:rsidRPr="00594CC3">
        <w:rPr>
          <w:rFonts w:ascii="Times New Roman" w:hAnsi="Times New Roman"/>
        </w:rPr>
        <w:t xml:space="preserve"> minutes to draft sample contracts and sample contract disclosures, 1 hour and 20 minutes to draft sample annual disclosures, and </w:t>
      </w:r>
      <w:r w:rsidR="00BE0FF3">
        <w:rPr>
          <w:rFonts w:ascii="Times New Roman" w:hAnsi="Times New Roman"/>
        </w:rPr>
        <w:t>2</w:t>
      </w:r>
      <w:r w:rsidR="00594CC3" w:rsidRPr="00594CC3">
        <w:rPr>
          <w:rFonts w:ascii="Times New Roman" w:hAnsi="Times New Roman"/>
        </w:rPr>
        <w:t xml:space="preserve"> hour</w:t>
      </w:r>
      <w:r w:rsidR="00BE0FF3">
        <w:rPr>
          <w:rFonts w:ascii="Times New Roman" w:hAnsi="Times New Roman"/>
        </w:rPr>
        <w:t>s and 5 minutes</w:t>
      </w:r>
      <w:r w:rsidR="00594CC3" w:rsidRPr="00594CC3">
        <w:rPr>
          <w:rFonts w:ascii="Times New Roman" w:hAnsi="Times New Roman"/>
        </w:rPr>
        <w:t xml:space="preserve"> to draft sample transition disclosures.  </w:t>
      </w:r>
      <w:r w:rsidR="00914036" w:rsidRPr="00914036">
        <w:rPr>
          <w:rFonts w:ascii="Times New Roman" w:hAnsi="Times New Roman"/>
        </w:rPr>
        <w:t xml:space="preserve">The Department believes that the time spent updating existing contracts and disclosures in future years would be no longer than the time necessary to create the original contracts and disclosures.  The Department did not attempt to draft the complete set of required disclosures because it expects that the amount of time necessary to draft such disclosures will vary greatly among firms.  For example, the Department did not attempt to draft sample policies and procedures, pre-transaction disclosures, disclosures regarding the principal traded assets, or confirmation slips.  The Department expects the amount of time necessary to complete these disclosures will vary significantly based on a variety of factors including the nature of a firm's compensation structure, and the extent to which a firm's policies and procedures require review and signatures by different individuals.  The Department further believes </w:t>
      </w:r>
      <w:r w:rsidR="00914036" w:rsidRPr="00914036">
        <w:rPr>
          <w:rFonts w:ascii="Times New Roman" w:hAnsi="Times New Roman"/>
        </w:rPr>
        <w:lastRenderedPageBreak/>
        <w:t xml:space="preserve">that pre-transaction disclosures will be provided orally at de </w:t>
      </w:r>
      <w:proofErr w:type="spellStart"/>
      <w:r w:rsidR="00914036" w:rsidRPr="00914036">
        <w:rPr>
          <w:rFonts w:ascii="Times New Roman" w:hAnsi="Times New Roman"/>
        </w:rPr>
        <w:t>minimis</w:t>
      </w:r>
      <w:proofErr w:type="spellEnd"/>
      <w:r w:rsidR="00914036" w:rsidRPr="00914036">
        <w:rPr>
          <w:rFonts w:ascii="Times New Roman" w:hAnsi="Times New Roman"/>
        </w:rPr>
        <w:t xml:space="preserve"> cost, facts and circumstances will vary too widely to accurately depict the disclosures regarding the principal traded assets, and providing confirmation slips is a regular and customary business practice producing de </w:t>
      </w:r>
      <w:proofErr w:type="spellStart"/>
      <w:r w:rsidR="00914036" w:rsidRPr="00914036">
        <w:rPr>
          <w:rFonts w:ascii="Times New Roman" w:hAnsi="Times New Roman"/>
        </w:rPr>
        <w:t>minimis</w:t>
      </w:r>
      <w:proofErr w:type="spellEnd"/>
      <w:r w:rsidR="00914036" w:rsidRPr="00914036">
        <w:rPr>
          <w:rFonts w:ascii="Times New Roman" w:hAnsi="Times New Roman"/>
        </w:rPr>
        <w:t xml:space="preserve"> additional burden.</w:t>
      </w:r>
    </w:p>
    <w:p w:rsidR="00D3584A" w:rsidRPr="00594CC3" w:rsidRDefault="00D3584A" w:rsidP="00594CC3">
      <w:pPr>
        <w:widowControl/>
        <w:ind w:left="720"/>
        <w:rPr>
          <w:rFonts w:ascii="Times New Roman" w:hAnsi="Times New Roman"/>
        </w:rPr>
      </w:pPr>
    </w:p>
    <w:p w:rsidR="00594CC3" w:rsidRDefault="00EA6385" w:rsidP="00594CC3">
      <w:pPr>
        <w:widowControl/>
        <w:ind w:left="720"/>
        <w:rPr>
          <w:rFonts w:ascii="Times New Roman" w:hAnsi="Times New Roman"/>
        </w:rPr>
      </w:pPr>
      <w:r w:rsidRPr="00EA6385">
        <w:rPr>
          <w:rFonts w:ascii="Times New Roman" w:hAnsi="Times New Roman"/>
        </w:rPr>
        <w:t>Considered in conjunction with the estimates provided in the proposal, t</w:t>
      </w:r>
      <w:r w:rsidR="00594CC3" w:rsidRPr="00594CC3">
        <w:rPr>
          <w:rFonts w:ascii="Times New Roman" w:hAnsi="Times New Roman"/>
        </w:rPr>
        <w:t>he Department estimates that outsourced legal assistance to draft standard contracts, contract disclosures, annual disclosures, and transition disclosures</w:t>
      </w:r>
      <w:r w:rsidR="006A7CA4">
        <w:rPr>
          <w:rFonts w:ascii="Times New Roman" w:hAnsi="Times New Roman"/>
        </w:rPr>
        <w:t>, billed at $335.00 per hour,</w:t>
      </w:r>
      <w:r w:rsidR="006A7CA4" w:rsidRPr="00541BBA">
        <w:rPr>
          <w:rStyle w:val="FootnoteReference"/>
          <w:rFonts w:ascii="Times New Roman" w:hAnsi="Times New Roman"/>
          <w:vertAlign w:val="superscript"/>
        </w:rPr>
        <w:footnoteReference w:id="34"/>
      </w:r>
      <w:r w:rsidR="00594CC3" w:rsidRPr="00594CC3">
        <w:rPr>
          <w:rFonts w:ascii="Times New Roman" w:hAnsi="Times New Roman"/>
        </w:rPr>
        <w:t xml:space="preserve"> will cost an average of $3,</w:t>
      </w:r>
      <w:r w:rsidR="00FC0D44">
        <w:rPr>
          <w:rFonts w:ascii="Times New Roman" w:hAnsi="Times New Roman"/>
        </w:rPr>
        <w:t>676</w:t>
      </w:r>
      <w:r w:rsidR="00594CC3" w:rsidRPr="00594CC3">
        <w:rPr>
          <w:rFonts w:ascii="Times New Roman" w:hAnsi="Times New Roman"/>
        </w:rPr>
        <w:t xml:space="preserve"> per fi</w:t>
      </w:r>
      <w:r w:rsidR="00D66550">
        <w:rPr>
          <w:rFonts w:ascii="Times New Roman" w:hAnsi="Times New Roman"/>
        </w:rPr>
        <w:t>nancial institution</w:t>
      </w:r>
      <w:r w:rsidR="00D41A50" w:rsidRPr="000A7689">
        <w:rPr>
          <w:rStyle w:val="FootnoteReference"/>
          <w:rFonts w:ascii="Times New Roman" w:hAnsi="Times New Roman"/>
          <w:vertAlign w:val="superscript"/>
        </w:rPr>
        <w:footnoteReference w:id="35"/>
      </w:r>
      <w:r w:rsidR="00594CC3" w:rsidRPr="00594CC3">
        <w:rPr>
          <w:rFonts w:ascii="Times New Roman" w:hAnsi="Times New Roman"/>
        </w:rPr>
        <w:t xml:space="preserve"> for a total of $2</w:t>
      </w:r>
      <w:r w:rsidR="00FC0D44">
        <w:rPr>
          <w:rFonts w:ascii="Times New Roman" w:hAnsi="Times New Roman"/>
        </w:rPr>
        <w:t>2.</w:t>
      </w:r>
      <w:r w:rsidR="003C7C8D">
        <w:rPr>
          <w:rFonts w:ascii="Times New Roman" w:hAnsi="Times New Roman"/>
        </w:rPr>
        <w:t>3</w:t>
      </w:r>
      <w:r w:rsidR="00594CC3" w:rsidRPr="00594CC3">
        <w:rPr>
          <w:rFonts w:ascii="Times New Roman" w:hAnsi="Times New Roman"/>
        </w:rPr>
        <w:t xml:space="preserve"> million during the first year.  In subsequent years, it will cost an average of $2,9</w:t>
      </w:r>
      <w:r w:rsidR="00E43018">
        <w:rPr>
          <w:rFonts w:ascii="Times New Roman" w:hAnsi="Times New Roman"/>
        </w:rPr>
        <w:t>78</w:t>
      </w:r>
      <w:r w:rsidR="00594CC3" w:rsidRPr="00594CC3">
        <w:rPr>
          <w:rFonts w:ascii="Times New Roman" w:hAnsi="Times New Roman"/>
        </w:rPr>
        <w:t xml:space="preserve"> per fi</w:t>
      </w:r>
      <w:r w:rsidR="00D66550">
        <w:rPr>
          <w:rFonts w:ascii="Times New Roman" w:hAnsi="Times New Roman"/>
        </w:rPr>
        <w:t>nancial institution</w:t>
      </w:r>
      <w:r w:rsidR="002D0CD5" w:rsidRPr="001E3508">
        <w:rPr>
          <w:rStyle w:val="FootnoteReference"/>
          <w:rFonts w:ascii="Times New Roman" w:hAnsi="Times New Roman"/>
          <w:vertAlign w:val="superscript"/>
        </w:rPr>
        <w:footnoteReference w:id="36"/>
      </w:r>
      <w:r w:rsidR="00594CC3" w:rsidRPr="00594CC3">
        <w:rPr>
          <w:rFonts w:ascii="Times New Roman" w:hAnsi="Times New Roman"/>
        </w:rPr>
        <w:t xml:space="preserve"> for a total of $18.</w:t>
      </w:r>
      <w:r w:rsidR="00E43018">
        <w:rPr>
          <w:rFonts w:ascii="Times New Roman" w:hAnsi="Times New Roman"/>
        </w:rPr>
        <w:t>1</w:t>
      </w:r>
      <w:r w:rsidR="00594CC3" w:rsidRPr="00594CC3">
        <w:rPr>
          <w:rFonts w:ascii="Times New Roman" w:hAnsi="Times New Roman"/>
        </w:rPr>
        <w:t xml:space="preserve"> million annually to update the contracts, contract disclosures, and annual disclosures.</w:t>
      </w:r>
    </w:p>
    <w:p w:rsidR="00D3584A" w:rsidRDefault="00D3584A" w:rsidP="00594CC3">
      <w:pPr>
        <w:widowControl/>
        <w:ind w:left="720"/>
        <w:rPr>
          <w:rFonts w:ascii="Times New Roman" w:hAnsi="Times New Roman"/>
        </w:rPr>
      </w:pPr>
    </w:p>
    <w:p w:rsidR="00A95BFE" w:rsidRDefault="00A95BFE" w:rsidP="00594CC3">
      <w:pPr>
        <w:widowControl/>
        <w:ind w:left="720"/>
        <w:rPr>
          <w:rFonts w:ascii="Times New Roman" w:hAnsi="Times New Roman"/>
        </w:rPr>
      </w:pPr>
      <w:r w:rsidRPr="00A95BFE">
        <w:rPr>
          <w:rFonts w:ascii="Times New Roman" w:hAnsi="Times New Roman"/>
        </w:rPr>
        <w:t>The tested disclosures were those that are generally expected to be relatively uniform across users and straight-forward.  The Department acknowledges that these estimates may understate the costs of outsourced legal assistance because the total time necessary to create all of the disclosures in the experiment was less than half of the 24 hour first year burden estimate described in the proposed PTE; however, the Department notes that the disclosures that were not tested in the experiment are those that are expected to be the most time consuming.  Thus, the Department believes that the experiment’s results are consistent with the estimates in the proposed PTE.  Importantly, in the event that these legal estimates understate the time necessary to create and update the disclosures, they do not do so at the expense of the total burden estimates because they were derived from all-inclusive costs.  Therefore, in the event that legal costs are understated, other cost estimates in this analysis would be overstated in an equal manner.</w:t>
      </w:r>
    </w:p>
    <w:p w:rsidR="00A95BFE" w:rsidRPr="00594CC3" w:rsidRDefault="00A95BFE" w:rsidP="00594CC3">
      <w:pPr>
        <w:widowControl/>
        <w:ind w:left="720"/>
        <w:rPr>
          <w:rFonts w:ascii="Times New Roman" w:hAnsi="Times New Roman"/>
        </w:rPr>
      </w:pPr>
    </w:p>
    <w:p w:rsidR="00DA6475" w:rsidRDefault="00594CC3" w:rsidP="00594CC3">
      <w:pPr>
        <w:widowControl/>
        <w:ind w:left="720"/>
        <w:rPr>
          <w:rFonts w:ascii="Times New Roman" w:hAnsi="Times New Roman"/>
        </w:rPr>
        <w:sectPr w:rsidR="00DA6475">
          <w:headerReference w:type="default" r:id="rId9"/>
          <w:footerReference w:type="default" r:id="rId10"/>
          <w:endnotePr>
            <w:numFmt w:val="decimal"/>
          </w:endnotePr>
          <w:type w:val="continuous"/>
          <w:pgSz w:w="12240" w:h="15840"/>
          <w:pgMar w:top="1354" w:right="1440" w:bottom="1440" w:left="1440" w:header="1354" w:footer="1440" w:gutter="0"/>
          <w:cols w:space="720"/>
          <w:noEndnote/>
        </w:sectPr>
      </w:pPr>
      <w:r w:rsidRPr="00594CC3">
        <w:rPr>
          <w:rFonts w:ascii="Times New Roman" w:hAnsi="Times New Roman"/>
        </w:rPr>
        <w:t xml:space="preserve">In addition to legal costs for creating the contracts and disclosures, the start-up cost estimates include the costs of implementing and updating the IT infrastructure, gathering and maintaining the records necessary to produce the various disclosures, developing policies and procedures, and any other steps necessary to ensure compliance with the conditions of the Exemption not described elsewhere.  In addition to legal costs for updating the contracts and disclosures, the ongoing cost estimates include the costs of updating the IT infrastructure, reviewing processes for gathering and maintaining the records necessary to produce the various disclosures, reviewing the policies and procedures, producing the disclosures regarding principal traded assets on request, and any other steps necessary to ensure compliance with the conditions of the exemption not </w:t>
      </w:r>
      <w:r w:rsidRPr="00594CC3">
        <w:rPr>
          <w:rFonts w:ascii="Times New Roman" w:hAnsi="Times New Roman"/>
        </w:rPr>
        <w:lastRenderedPageBreak/>
        <w:t>described elsewhere.  These costs total $1.</w:t>
      </w:r>
      <w:r w:rsidR="003C7E3F">
        <w:rPr>
          <w:rFonts w:ascii="Times New Roman" w:hAnsi="Times New Roman"/>
        </w:rPr>
        <w:t>9</w:t>
      </w:r>
      <w:r w:rsidRPr="00594CC3">
        <w:rPr>
          <w:rFonts w:ascii="Times New Roman" w:hAnsi="Times New Roman"/>
        </w:rPr>
        <w:t xml:space="preserve"> billion during the first year and $</w:t>
      </w:r>
      <w:r w:rsidR="003C7E3F">
        <w:rPr>
          <w:rFonts w:ascii="Times New Roman" w:hAnsi="Times New Roman"/>
        </w:rPr>
        <w:t>412.2</w:t>
      </w:r>
      <w:r w:rsidRPr="00594CC3">
        <w:rPr>
          <w:rFonts w:ascii="Times New Roman" w:hAnsi="Times New Roman"/>
        </w:rPr>
        <w:t xml:space="preserve"> million in subsequent years</w:t>
      </w:r>
      <w:r w:rsidR="00743472">
        <w:rPr>
          <w:rFonts w:ascii="Times New Roman" w:hAnsi="Times New Roman"/>
        </w:rPr>
        <w:t>.</w:t>
      </w:r>
    </w:p>
    <w:p w:rsidR="00594CC3" w:rsidRDefault="00594CC3" w:rsidP="00594CC3">
      <w:pPr>
        <w:widowControl/>
        <w:ind w:left="720"/>
        <w:rPr>
          <w:rFonts w:ascii="Times New Roman" w:hAnsi="Times New Roman"/>
        </w:rPr>
      </w:pPr>
    </w:p>
    <w:p w:rsidR="00594CC3" w:rsidRDefault="00594CC3" w:rsidP="008C7AA2">
      <w:pPr>
        <w:widowControl/>
        <w:ind w:left="720"/>
        <w:rPr>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2718"/>
        <w:gridCol w:w="1530"/>
        <w:gridCol w:w="1440"/>
        <w:gridCol w:w="1890"/>
        <w:gridCol w:w="1710"/>
        <w:gridCol w:w="1710"/>
        <w:gridCol w:w="1544"/>
      </w:tblGrid>
      <w:tr w:rsidR="00CF121F" w:rsidRPr="00761CC8" w:rsidTr="00164289">
        <w:tc>
          <w:tcPr>
            <w:tcW w:w="12542" w:type="dxa"/>
            <w:gridSpan w:val="7"/>
          </w:tcPr>
          <w:p w:rsidR="00CF121F" w:rsidRPr="00761CC8" w:rsidRDefault="003A5C59" w:rsidP="008C7AA2">
            <w:pPr>
              <w:widowControl/>
              <w:rPr>
                <w:rFonts w:ascii="Times New Roman" w:hAnsi="Times New Roman" w:cs="Times New Roman"/>
              </w:rPr>
            </w:pPr>
            <w:r>
              <w:rPr>
                <w:rFonts w:ascii="Times New Roman" w:hAnsi="Times New Roman" w:cs="Times New Roman"/>
              </w:rPr>
              <w:t xml:space="preserve">Service Provider </w:t>
            </w:r>
            <w:r w:rsidR="00CF121F" w:rsidRPr="00761CC8">
              <w:rPr>
                <w:rFonts w:ascii="Times New Roman" w:hAnsi="Times New Roman" w:cs="Times New Roman"/>
              </w:rPr>
              <w:t>Cost Burden Summary Table for Year 1</w:t>
            </w:r>
          </w:p>
        </w:tc>
      </w:tr>
      <w:tr w:rsidR="00613ED0" w:rsidRPr="00761CC8" w:rsidTr="00164289">
        <w:tc>
          <w:tcPr>
            <w:tcW w:w="2718" w:type="dxa"/>
          </w:tcPr>
          <w:p w:rsidR="00CF121F" w:rsidRPr="00761CC8" w:rsidRDefault="00CF121F" w:rsidP="008C7AA2">
            <w:pPr>
              <w:widowControl/>
              <w:rPr>
                <w:rFonts w:ascii="Times New Roman" w:hAnsi="Times New Roman" w:cs="Times New Roman"/>
              </w:rPr>
            </w:pPr>
          </w:p>
        </w:tc>
        <w:tc>
          <w:tcPr>
            <w:tcW w:w="153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Number of Financial Institutions</w:t>
            </w:r>
          </w:p>
        </w:tc>
        <w:tc>
          <w:tcPr>
            <w:tcW w:w="144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Itemized Legal Costs Per Firm</w:t>
            </w:r>
          </w:p>
        </w:tc>
        <w:tc>
          <w:tcPr>
            <w:tcW w:w="189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Remaining Cost Per Firm</w:t>
            </w:r>
          </w:p>
        </w:tc>
        <w:tc>
          <w:tcPr>
            <w:tcW w:w="171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Total Legal Costs</w:t>
            </w:r>
          </w:p>
        </w:tc>
        <w:tc>
          <w:tcPr>
            <w:tcW w:w="171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 xml:space="preserve">Total Remaining </w:t>
            </w:r>
            <w:r w:rsidR="00E0765B">
              <w:rPr>
                <w:rFonts w:ascii="Times New Roman" w:hAnsi="Times New Roman" w:cs="Times New Roman"/>
                <w:color w:val="000000"/>
              </w:rPr>
              <w:t xml:space="preserve">Service Provider </w:t>
            </w:r>
            <w:r w:rsidRPr="00761CC8">
              <w:rPr>
                <w:rFonts w:ascii="Times New Roman" w:hAnsi="Times New Roman" w:cs="Times New Roman"/>
                <w:color w:val="000000"/>
              </w:rPr>
              <w:t>Costs</w:t>
            </w:r>
          </w:p>
        </w:tc>
        <w:tc>
          <w:tcPr>
            <w:tcW w:w="1544"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 xml:space="preserve">Total </w:t>
            </w:r>
            <w:r w:rsidR="00E0765B">
              <w:rPr>
                <w:rFonts w:ascii="Times New Roman" w:hAnsi="Times New Roman" w:cs="Times New Roman"/>
                <w:color w:val="000000"/>
              </w:rPr>
              <w:t xml:space="preserve">Service Provider </w:t>
            </w:r>
            <w:r w:rsidRPr="00761CC8">
              <w:rPr>
                <w:rFonts w:ascii="Times New Roman" w:hAnsi="Times New Roman" w:cs="Times New Roman"/>
                <w:color w:val="000000"/>
              </w:rPr>
              <w:t>Costs</w:t>
            </w:r>
          </w:p>
        </w:tc>
      </w:tr>
      <w:tr w:rsidR="00613ED0" w:rsidRPr="00761CC8" w:rsidTr="00164289">
        <w:tc>
          <w:tcPr>
            <w:tcW w:w="2718" w:type="dxa"/>
          </w:tcPr>
          <w:p w:rsidR="00CF121F" w:rsidRPr="00761CC8" w:rsidRDefault="00CF121F" w:rsidP="008C7AA2">
            <w:pPr>
              <w:widowControl/>
              <w:rPr>
                <w:rFonts w:ascii="Times New Roman" w:hAnsi="Times New Roman" w:cs="Times New Roman"/>
              </w:rPr>
            </w:pPr>
          </w:p>
        </w:tc>
        <w:tc>
          <w:tcPr>
            <w:tcW w:w="153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(A)</w:t>
            </w:r>
          </w:p>
        </w:tc>
        <w:tc>
          <w:tcPr>
            <w:tcW w:w="144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(B)</w:t>
            </w:r>
          </w:p>
        </w:tc>
        <w:tc>
          <w:tcPr>
            <w:tcW w:w="189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(C)</w:t>
            </w:r>
          </w:p>
        </w:tc>
        <w:tc>
          <w:tcPr>
            <w:tcW w:w="171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A*B</w:t>
            </w:r>
          </w:p>
        </w:tc>
        <w:tc>
          <w:tcPr>
            <w:tcW w:w="1710"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A*C</w:t>
            </w:r>
          </w:p>
        </w:tc>
        <w:tc>
          <w:tcPr>
            <w:tcW w:w="1544" w:type="dxa"/>
            <w:vAlign w:val="bottom"/>
          </w:tcPr>
          <w:p w:rsidR="00CF121F" w:rsidRPr="00761CC8" w:rsidRDefault="00CF121F">
            <w:pPr>
              <w:jc w:val="center"/>
              <w:rPr>
                <w:rFonts w:ascii="Times New Roman" w:hAnsi="Times New Roman" w:cs="Times New Roman"/>
                <w:color w:val="000000"/>
              </w:rPr>
            </w:pPr>
            <w:r w:rsidRPr="00761CC8">
              <w:rPr>
                <w:rFonts w:ascii="Times New Roman" w:hAnsi="Times New Roman" w:cs="Times New Roman"/>
                <w:color w:val="000000"/>
              </w:rPr>
              <w:t>A*(B+C)</w:t>
            </w:r>
          </w:p>
        </w:tc>
      </w:tr>
      <w:tr w:rsidR="00613ED0" w:rsidRPr="00761CC8" w:rsidTr="00164289">
        <w:tc>
          <w:tcPr>
            <w:tcW w:w="2718" w:type="dxa"/>
          </w:tcPr>
          <w:p w:rsidR="002C681B" w:rsidRPr="00761CC8" w:rsidRDefault="002C681B" w:rsidP="008C7AA2">
            <w:pPr>
              <w:widowControl/>
              <w:rPr>
                <w:rFonts w:ascii="Times New Roman" w:hAnsi="Times New Roman" w:cs="Times New Roman"/>
              </w:rPr>
            </w:pPr>
            <w:r w:rsidRPr="00761CC8">
              <w:rPr>
                <w:rFonts w:ascii="Times New Roman" w:hAnsi="Times New Roman" w:cs="Times New Roman"/>
              </w:rPr>
              <w:t>Start-Up Costs Per Large BD</w:t>
            </w:r>
          </w:p>
        </w:tc>
        <w:tc>
          <w:tcPr>
            <w:tcW w:w="153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42</w:t>
            </w:r>
          </w:p>
        </w:tc>
        <w:tc>
          <w:tcPr>
            <w:tcW w:w="144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$3,676</w:t>
            </w:r>
          </w:p>
        </w:tc>
        <w:tc>
          <w:tcPr>
            <w:tcW w:w="1890" w:type="dxa"/>
            <w:vAlign w:val="bottom"/>
          </w:tcPr>
          <w:p w:rsidR="002C681B" w:rsidRPr="000B1430" w:rsidRDefault="002C681B">
            <w:pPr>
              <w:jc w:val="right"/>
              <w:rPr>
                <w:rFonts w:ascii="Times New Roman" w:hAnsi="Times New Roman" w:cs="Times New Roman"/>
                <w:color w:val="000000"/>
              </w:rPr>
            </w:pPr>
            <w:r w:rsidRPr="00164289">
              <w:rPr>
                <w:rFonts w:ascii="Times New Roman" w:hAnsi="Times New Roman" w:cs="Times New Roman"/>
                <w:color w:val="000000"/>
              </w:rPr>
              <w:t>$3,679,342</w:t>
            </w:r>
          </w:p>
        </w:tc>
        <w:tc>
          <w:tcPr>
            <w:tcW w:w="1710" w:type="dxa"/>
            <w:vAlign w:val="bottom"/>
          </w:tcPr>
          <w:p w:rsidR="002C681B" w:rsidRPr="00761CC8" w:rsidRDefault="002C681B" w:rsidP="005336C1">
            <w:pPr>
              <w:jc w:val="right"/>
              <w:rPr>
                <w:rFonts w:ascii="Times New Roman" w:hAnsi="Times New Roman" w:cs="Times New Roman"/>
                <w:color w:val="000000"/>
              </w:rPr>
            </w:pPr>
            <w:r w:rsidRPr="00761CC8">
              <w:rPr>
                <w:rFonts w:ascii="Times New Roman" w:hAnsi="Times New Roman" w:cs="Times New Roman"/>
                <w:color w:val="000000"/>
              </w:rPr>
              <w:t>$154,392</w:t>
            </w:r>
          </w:p>
        </w:tc>
        <w:tc>
          <w:tcPr>
            <w:tcW w:w="1710" w:type="dxa"/>
            <w:vAlign w:val="bottom"/>
          </w:tcPr>
          <w:p w:rsidR="002C681B" w:rsidRPr="00761CC8" w:rsidRDefault="002C681B" w:rsidP="000B1430">
            <w:pPr>
              <w:jc w:val="right"/>
              <w:rPr>
                <w:rFonts w:ascii="Times New Roman" w:hAnsi="Times New Roman" w:cs="Times New Roman"/>
                <w:color w:val="000000"/>
              </w:rPr>
            </w:pPr>
            <w:r w:rsidRPr="00761CC8">
              <w:rPr>
                <w:rFonts w:ascii="Times New Roman" w:hAnsi="Times New Roman" w:cs="Times New Roman"/>
                <w:color w:val="000000"/>
              </w:rPr>
              <w:t>$1</w:t>
            </w:r>
            <w:r w:rsidR="000B1430">
              <w:rPr>
                <w:rFonts w:ascii="Times New Roman" w:hAnsi="Times New Roman" w:cs="Times New Roman"/>
                <w:color w:val="000000"/>
              </w:rPr>
              <w:t>54,532,364</w:t>
            </w:r>
          </w:p>
        </w:tc>
        <w:tc>
          <w:tcPr>
            <w:tcW w:w="1544" w:type="dxa"/>
            <w:vAlign w:val="bottom"/>
          </w:tcPr>
          <w:p w:rsidR="002C681B" w:rsidRPr="00761CC8" w:rsidRDefault="002C681B" w:rsidP="006E2DEE">
            <w:pPr>
              <w:jc w:val="right"/>
              <w:rPr>
                <w:rFonts w:ascii="Times New Roman" w:hAnsi="Times New Roman" w:cs="Times New Roman"/>
                <w:color w:val="000000"/>
              </w:rPr>
            </w:pPr>
            <w:r w:rsidRPr="00761CC8">
              <w:rPr>
                <w:rFonts w:ascii="Times New Roman" w:hAnsi="Times New Roman" w:cs="Times New Roman"/>
                <w:color w:val="000000"/>
              </w:rPr>
              <w:t>$</w:t>
            </w:r>
            <w:r w:rsidR="006E2DEE">
              <w:rPr>
                <w:rFonts w:ascii="Times New Roman" w:hAnsi="Times New Roman" w:cs="Times New Roman"/>
                <w:color w:val="000000"/>
              </w:rPr>
              <w:t>154,686,756</w:t>
            </w:r>
          </w:p>
        </w:tc>
      </w:tr>
      <w:tr w:rsidR="00613ED0" w:rsidRPr="00761CC8" w:rsidTr="00164289">
        <w:tc>
          <w:tcPr>
            <w:tcW w:w="2718" w:type="dxa"/>
          </w:tcPr>
          <w:p w:rsidR="002C681B" w:rsidRPr="00761CC8" w:rsidRDefault="002C681B" w:rsidP="008C7AA2">
            <w:pPr>
              <w:widowControl/>
              <w:rPr>
                <w:rFonts w:ascii="Times New Roman" w:hAnsi="Times New Roman" w:cs="Times New Roman"/>
              </w:rPr>
            </w:pPr>
            <w:r w:rsidRPr="00761CC8">
              <w:rPr>
                <w:rFonts w:ascii="Times New Roman" w:hAnsi="Times New Roman" w:cs="Times New Roman"/>
              </w:rPr>
              <w:t>Start-Up Costs Per Large RIA</w:t>
            </w:r>
          </w:p>
        </w:tc>
        <w:tc>
          <w:tcPr>
            <w:tcW w:w="153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22</w:t>
            </w:r>
          </w:p>
        </w:tc>
        <w:tc>
          <w:tcPr>
            <w:tcW w:w="144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$3,676</w:t>
            </w:r>
          </w:p>
        </w:tc>
        <w:tc>
          <w:tcPr>
            <w:tcW w:w="1890" w:type="dxa"/>
            <w:vAlign w:val="bottom"/>
          </w:tcPr>
          <w:p w:rsidR="002C681B" w:rsidRPr="000B1430" w:rsidRDefault="002C681B">
            <w:pPr>
              <w:jc w:val="right"/>
              <w:rPr>
                <w:rFonts w:ascii="Times New Roman" w:hAnsi="Times New Roman" w:cs="Times New Roman"/>
                <w:color w:val="000000"/>
              </w:rPr>
            </w:pPr>
            <w:r w:rsidRPr="00164289">
              <w:rPr>
                <w:rFonts w:ascii="Times New Roman" w:hAnsi="Times New Roman" w:cs="Times New Roman"/>
                <w:color w:val="000000"/>
              </w:rPr>
              <w:t>$3,216,770</w:t>
            </w:r>
          </w:p>
        </w:tc>
        <w:tc>
          <w:tcPr>
            <w:tcW w:w="171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$80,872</w:t>
            </w:r>
          </w:p>
        </w:tc>
        <w:tc>
          <w:tcPr>
            <w:tcW w:w="1710" w:type="dxa"/>
            <w:vAlign w:val="bottom"/>
          </w:tcPr>
          <w:p w:rsidR="002C681B" w:rsidRPr="00761CC8" w:rsidRDefault="002C681B" w:rsidP="000B1430">
            <w:pPr>
              <w:jc w:val="right"/>
              <w:rPr>
                <w:rFonts w:ascii="Times New Roman" w:hAnsi="Times New Roman" w:cs="Times New Roman"/>
                <w:color w:val="000000"/>
              </w:rPr>
            </w:pPr>
            <w:r w:rsidRPr="00761CC8">
              <w:rPr>
                <w:rFonts w:ascii="Times New Roman" w:hAnsi="Times New Roman" w:cs="Times New Roman"/>
                <w:color w:val="000000"/>
              </w:rPr>
              <w:t>$</w:t>
            </w:r>
            <w:r w:rsidR="000B1430">
              <w:rPr>
                <w:rFonts w:ascii="Times New Roman" w:hAnsi="Times New Roman" w:cs="Times New Roman"/>
                <w:color w:val="000000"/>
              </w:rPr>
              <w:t>70,768,940</w:t>
            </w:r>
          </w:p>
        </w:tc>
        <w:tc>
          <w:tcPr>
            <w:tcW w:w="1544" w:type="dxa"/>
            <w:vAlign w:val="bottom"/>
          </w:tcPr>
          <w:p w:rsidR="002C681B" w:rsidRPr="00761CC8" w:rsidRDefault="002C681B" w:rsidP="00276C73">
            <w:pPr>
              <w:jc w:val="right"/>
              <w:rPr>
                <w:rFonts w:ascii="Times New Roman" w:hAnsi="Times New Roman" w:cs="Times New Roman"/>
                <w:color w:val="000000"/>
              </w:rPr>
            </w:pPr>
            <w:r w:rsidRPr="00761CC8">
              <w:rPr>
                <w:rFonts w:ascii="Times New Roman" w:hAnsi="Times New Roman" w:cs="Times New Roman"/>
                <w:color w:val="000000"/>
              </w:rPr>
              <w:t>$</w:t>
            </w:r>
            <w:r w:rsidR="00276C73">
              <w:rPr>
                <w:rFonts w:ascii="Times New Roman" w:hAnsi="Times New Roman" w:cs="Times New Roman"/>
                <w:color w:val="000000"/>
              </w:rPr>
              <w:t>70,849,812</w:t>
            </w:r>
          </w:p>
        </w:tc>
      </w:tr>
      <w:tr w:rsidR="00613ED0" w:rsidRPr="00761CC8" w:rsidTr="00164289">
        <w:tc>
          <w:tcPr>
            <w:tcW w:w="2718" w:type="dxa"/>
          </w:tcPr>
          <w:p w:rsidR="002C681B" w:rsidRPr="00761CC8" w:rsidRDefault="002C681B" w:rsidP="008C7AA2">
            <w:pPr>
              <w:widowControl/>
              <w:rPr>
                <w:rFonts w:ascii="Times New Roman" w:hAnsi="Times New Roman" w:cs="Times New Roman"/>
              </w:rPr>
            </w:pPr>
            <w:r w:rsidRPr="00761CC8">
              <w:rPr>
                <w:rFonts w:ascii="Times New Roman" w:hAnsi="Times New Roman" w:cs="Times New Roman"/>
              </w:rPr>
              <w:t>Start-Up Costs Per Medium BD</w:t>
            </w:r>
          </w:p>
        </w:tc>
        <w:tc>
          <w:tcPr>
            <w:tcW w:w="153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147</w:t>
            </w:r>
          </w:p>
        </w:tc>
        <w:tc>
          <w:tcPr>
            <w:tcW w:w="144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$3,676</w:t>
            </w:r>
          </w:p>
        </w:tc>
        <w:tc>
          <w:tcPr>
            <w:tcW w:w="1890" w:type="dxa"/>
            <w:vAlign w:val="bottom"/>
          </w:tcPr>
          <w:p w:rsidR="002C681B" w:rsidRPr="000B1430" w:rsidRDefault="002C681B">
            <w:pPr>
              <w:jc w:val="right"/>
              <w:rPr>
                <w:rFonts w:ascii="Times New Roman" w:hAnsi="Times New Roman" w:cs="Times New Roman"/>
                <w:color w:val="000000"/>
              </w:rPr>
            </w:pPr>
            <w:r w:rsidRPr="00164289">
              <w:rPr>
                <w:rFonts w:ascii="Times New Roman" w:hAnsi="Times New Roman" w:cs="Times New Roman"/>
                <w:color w:val="000000"/>
              </w:rPr>
              <w:t>$885,169</w:t>
            </w:r>
          </w:p>
        </w:tc>
        <w:tc>
          <w:tcPr>
            <w:tcW w:w="171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$540,372</w:t>
            </w:r>
          </w:p>
        </w:tc>
        <w:tc>
          <w:tcPr>
            <w:tcW w:w="1710" w:type="dxa"/>
            <w:vAlign w:val="bottom"/>
          </w:tcPr>
          <w:p w:rsidR="002C681B" w:rsidRPr="00761CC8" w:rsidRDefault="002C681B" w:rsidP="002F016E">
            <w:pPr>
              <w:jc w:val="right"/>
              <w:rPr>
                <w:rFonts w:ascii="Times New Roman" w:hAnsi="Times New Roman" w:cs="Times New Roman"/>
                <w:color w:val="000000"/>
              </w:rPr>
            </w:pPr>
            <w:r w:rsidRPr="00761CC8">
              <w:rPr>
                <w:rFonts w:ascii="Times New Roman" w:hAnsi="Times New Roman" w:cs="Times New Roman"/>
                <w:color w:val="000000"/>
              </w:rPr>
              <w:t>$1</w:t>
            </w:r>
            <w:r w:rsidR="002F016E">
              <w:rPr>
                <w:rFonts w:ascii="Times New Roman" w:hAnsi="Times New Roman" w:cs="Times New Roman"/>
                <w:color w:val="000000"/>
              </w:rPr>
              <w:t>30,119,843</w:t>
            </w:r>
          </w:p>
        </w:tc>
        <w:tc>
          <w:tcPr>
            <w:tcW w:w="1544" w:type="dxa"/>
            <w:vAlign w:val="bottom"/>
          </w:tcPr>
          <w:p w:rsidR="002C681B" w:rsidRPr="00761CC8" w:rsidRDefault="002C681B" w:rsidP="00276C73">
            <w:pPr>
              <w:jc w:val="right"/>
              <w:rPr>
                <w:rFonts w:ascii="Times New Roman" w:hAnsi="Times New Roman" w:cs="Times New Roman"/>
                <w:color w:val="000000"/>
              </w:rPr>
            </w:pPr>
            <w:r w:rsidRPr="00761CC8">
              <w:rPr>
                <w:rFonts w:ascii="Times New Roman" w:hAnsi="Times New Roman" w:cs="Times New Roman"/>
                <w:color w:val="000000"/>
              </w:rPr>
              <w:t>$</w:t>
            </w:r>
            <w:r w:rsidR="00276C73">
              <w:rPr>
                <w:rFonts w:ascii="Times New Roman" w:hAnsi="Times New Roman" w:cs="Times New Roman"/>
                <w:color w:val="000000"/>
              </w:rPr>
              <w:t>130,660,215</w:t>
            </w:r>
          </w:p>
        </w:tc>
      </w:tr>
      <w:tr w:rsidR="00613ED0" w:rsidRPr="00761CC8" w:rsidTr="00164289">
        <w:tc>
          <w:tcPr>
            <w:tcW w:w="2718" w:type="dxa"/>
          </w:tcPr>
          <w:p w:rsidR="002C681B" w:rsidRPr="00761CC8" w:rsidRDefault="002C681B" w:rsidP="008C7AA2">
            <w:pPr>
              <w:widowControl/>
              <w:rPr>
                <w:rFonts w:ascii="Times New Roman" w:hAnsi="Times New Roman" w:cs="Times New Roman"/>
              </w:rPr>
            </w:pPr>
            <w:r w:rsidRPr="00761CC8">
              <w:rPr>
                <w:rFonts w:ascii="Times New Roman" w:hAnsi="Times New Roman" w:cs="Times New Roman"/>
              </w:rPr>
              <w:t>Start-Up Costs Per Medium RIA</w:t>
            </w:r>
          </w:p>
        </w:tc>
        <w:tc>
          <w:tcPr>
            <w:tcW w:w="1530" w:type="dxa"/>
            <w:vAlign w:val="bottom"/>
          </w:tcPr>
          <w:p w:rsidR="002C681B" w:rsidRPr="00761CC8" w:rsidRDefault="002C681B" w:rsidP="003C7E3F">
            <w:pPr>
              <w:jc w:val="right"/>
              <w:rPr>
                <w:rFonts w:ascii="Times New Roman" w:hAnsi="Times New Roman" w:cs="Times New Roman"/>
                <w:color w:val="000000"/>
              </w:rPr>
            </w:pPr>
            <w:r w:rsidRPr="00761CC8">
              <w:rPr>
                <w:rFonts w:ascii="Times New Roman" w:hAnsi="Times New Roman" w:cs="Times New Roman"/>
                <w:color w:val="000000"/>
              </w:rPr>
              <w:t>39</w:t>
            </w:r>
            <w:r>
              <w:rPr>
                <w:rFonts w:ascii="Times New Roman" w:hAnsi="Times New Roman" w:cs="Times New Roman"/>
                <w:color w:val="000000"/>
              </w:rPr>
              <w:t>4</w:t>
            </w:r>
          </w:p>
        </w:tc>
        <w:tc>
          <w:tcPr>
            <w:tcW w:w="144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$3,676</w:t>
            </w:r>
          </w:p>
        </w:tc>
        <w:tc>
          <w:tcPr>
            <w:tcW w:w="1890" w:type="dxa"/>
            <w:vAlign w:val="bottom"/>
          </w:tcPr>
          <w:p w:rsidR="002C681B" w:rsidRPr="000B1430" w:rsidRDefault="002C681B">
            <w:pPr>
              <w:jc w:val="right"/>
              <w:rPr>
                <w:rFonts w:ascii="Times New Roman" w:hAnsi="Times New Roman" w:cs="Times New Roman"/>
                <w:color w:val="000000"/>
              </w:rPr>
            </w:pPr>
            <w:r w:rsidRPr="00164289">
              <w:rPr>
                <w:rFonts w:ascii="Times New Roman" w:hAnsi="Times New Roman" w:cs="Times New Roman"/>
                <w:color w:val="000000"/>
              </w:rPr>
              <w:t>$658,539</w:t>
            </w:r>
          </w:p>
        </w:tc>
        <w:tc>
          <w:tcPr>
            <w:tcW w:w="1710" w:type="dxa"/>
            <w:vAlign w:val="bottom"/>
          </w:tcPr>
          <w:p w:rsidR="002C681B" w:rsidRPr="00761CC8" w:rsidRDefault="002C681B" w:rsidP="00E36980">
            <w:pPr>
              <w:jc w:val="right"/>
              <w:rPr>
                <w:rFonts w:ascii="Times New Roman" w:hAnsi="Times New Roman" w:cs="Times New Roman"/>
                <w:color w:val="000000"/>
              </w:rPr>
            </w:pPr>
            <w:r w:rsidRPr="00761CC8">
              <w:rPr>
                <w:rFonts w:ascii="Times New Roman" w:hAnsi="Times New Roman" w:cs="Times New Roman"/>
                <w:color w:val="000000"/>
              </w:rPr>
              <w:t>$1,4</w:t>
            </w:r>
            <w:r w:rsidR="00E36980">
              <w:rPr>
                <w:rFonts w:ascii="Times New Roman" w:hAnsi="Times New Roman" w:cs="Times New Roman"/>
                <w:color w:val="000000"/>
              </w:rPr>
              <w:t>48,344</w:t>
            </w:r>
          </w:p>
        </w:tc>
        <w:tc>
          <w:tcPr>
            <w:tcW w:w="1710" w:type="dxa"/>
            <w:vAlign w:val="bottom"/>
          </w:tcPr>
          <w:p w:rsidR="002C681B" w:rsidRPr="00761CC8" w:rsidRDefault="002C681B" w:rsidP="002F016E">
            <w:pPr>
              <w:jc w:val="right"/>
              <w:rPr>
                <w:rFonts w:ascii="Times New Roman" w:hAnsi="Times New Roman" w:cs="Times New Roman"/>
                <w:color w:val="000000"/>
              </w:rPr>
            </w:pPr>
            <w:r w:rsidRPr="00761CC8">
              <w:rPr>
                <w:rFonts w:ascii="Times New Roman" w:hAnsi="Times New Roman" w:cs="Times New Roman"/>
                <w:color w:val="000000"/>
              </w:rPr>
              <w:t>$</w:t>
            </w:r>
            <w:r w:rsidR="002F016E">
              <w:rPr>
                <w:rFonts w:ascii="Times New Roman" w:hAnsi="Times New Roman" w:cs="Times New Roman"/>
                <w:color w:val="000000"/>
              </w:rPr>
              <w:t>259,464,366</w:t>
            </w:r>
          </w:p>
        </w:tc>
        <w:tc>
          <w:tcPr>
            <w:tcW w:w="1544" w:type="dxa"/>
            <w:vAlign w:val="bottom"/>
          </w:tcPr>
          <w:p w:rsidR="002C681B" w:rsidRPr="00761CC8" w:rsidRDefault="002C681B" w:rsidP="00276C73">
            <w:pPr>
              <w:jc w:val="right"/>
              <w:rPr>
                <w:rFonts w:ascii="Times New Roman" w:hAnsi="Times New Roman" w:cs="Times New Roman"/>
                <w:color w:val="000000"/>
              </w:rPr>
            </w:pPr>
            <w:r w:rsidRPr="00761CC8">
              <w:rPr>
                <w:rFonts w:ascii="Times New Roman" w:hAnsi="Times New Roman" w:cs="Times New Roman"/>
                <w:color w:val="000000"/>
              </w:rPr>
              <w:t>$</w:t>
            </w:r>
            <w:r w:rsidR="00276C73">
              <w:rPr>
                <w:rFonts w:ascii="Times New Roman" w:hAnsi="Times New Roman" w:cs="Times New Roman"/>
                <w:color w:val="000000"/>
              </w:rPr>
              <w:t>260,912,710</w:t>
            </w:r>
          </w:p>
        </w:tc>
      </w:tr>
      <w:tr w:rsidR="00613ED0" w:rsidRPr="00761CC8" w:rsidTr="00164289">
        <w:tc>
          <w:tcPr>
            <w:tcW w:w="2718" w:type="dxa"/>
          </w:tcPr>
          <w:p w:rsidR="002C681B" w:rsidRPr="00761CC8" w:rsidRDefault="002C681B" w:rsidP="008C7AA2">
            <w:pPr>
              <w:widowControl/>
              <w:rPr>
                <w:rFonts w:ascii="Times New Roman" w:hAnsi="Times New Roman" w:cs="Times New Roman"/>
              </w:rPr>
            </w:pPr>
            <w:r w:rsidRPr="00761CC8">
              <w:rPr>
                <w:rFonts w:ascii="Times New Roman" w:hAnsi="Times New Roman" w:cs="Times New Roman"/>
              </w:rPr>
              <w:t>Start-Up Costs Per Small BD</w:t>
            </w:r>
          </w:p>
        </w:tc>
        <w:tc>
          <w:tcPr>
            <w:tcW w:w="1530" w:type="dxa"/>
            <w:vAlign w:val="bottom"/>
          </w:tcPr>
          <w:p w:rsidR="002C681B" w:rsidRPr="00761CC8" w:rsidRDefault="002C681B" w:rsidP="003C7E3F">
            <w:pPr>
              <w:jc w:val="right"/>
              <w:rPr>
                <w:rFonts w:ascii="Times New Roman" w:hAnsi="Times New Roman" w:cs="Times New Roman"/>
                <w:color w:val="000000"/>
              </w:rPr>
            </w:pPr>
            <w:r w:rsidRPr="00761CC8">
              <w:rPr>
                <w:rFonts w:ascii="Times New Roman" w:hAnsi="Times New Roman" w:cs="Times New Roman"/>
                <w:color w:val="000000"/>
              </w:rPr>
              <w:t>2,3</w:t>
            </w:r>
            <w:r>
              <w:rPr>
                <w:rFonts w:ascii="Times New Roman" w:hAnsi="Times New Roman" w:cs="Times New Roman"/>
                <w:color w:val="000000"/>
              </w:rPr>
              <w:t>20</w:t>
            </w:r>
          </w:p>
        </w:tc>
        <w:tc>
          <w:tcPr>
            <w:tcW w:w="144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$3,676</w:t>
            </w:r>
          </w:p>
        </w:tc>
        <w:tc>
          <w:tcPr>
            <w:tcW w:w="1890" w:type="dxa"/>
            <w:vAlign w:val="bottom"/>
          </w:tcPr>
          <w:p w:rsidR="002C681B" w:rsidRPr="000B1430" w:rsidRDefault="002C681B">
            <w:pPr>
              <w:jc w:val="right"/>
              <w:rPr>
                <w:rFonts w:ascii="Times New Roman" w:hAnsi="Times New Roman" w:cs="Times New Roman"/>
                <w:color w:val="000000"/>
              </w:rPr>
            </w:pPr>
            <w:r w:rsidRPr="00164289">
              <w:rPr>
                <w:rFonts w:ascii="Times New Roman" w:hAnsi="Times New Roman" w:cs="Times New Roman"/>
                <w:color w:val="000000"/>
              </w:rPr>
              <w:t>$274,475</w:t>
            </w:r>
          </w:p>
        </w:tc>
        <w:tc>
          <w:tcPr>
            <w:tcW w:w="1710" w:type="dxa"/>
            <w:vAlign w:val="bottom"/>
          </w:tcPr>
          <w:p w:rsidR="002C681B" w:rsidRPr="00761CC8" w:rsidRDefault="002C681B" w:rsidP="00E36980">
            <w:pPr>
              <w:jc w:val="right"/>
              <w:rPr>
                <w:rFonts w:ascii="Times New Roman" w:hAnsi="Times New Roman" w:cs="Times New Roman"/>
                <w:color w:val="000000"/>
              </w:rPr>
            </w:pPr>
            <w:r w:rsidRPr="00761CC8">
              <w:rPr>
                <w:rFonts w:ascii="Times New Roman" w:hAnsi="Times New Roman" w:cs="Times New Roman"/>
                <w:color w:val="000000"/>
              </w:rPr>
              <w:t>$8,</w:t>
            </w:r>
            <w:r w:rsidR="00E36980">
              <w:rPr>
                <w:rFonts w:ascii="Times New Roman" w:hAnsi="Times New Roman" w:cs="Times New Roman"/>
                <w:color w:val="000000"/>
              </w:rPr>
              <w:t>528,320</w:t>
            </w:r>
          </w:p>
        </w:tc>
        <w:tc>
          <w:tcPr>
            <w:tcW w:w="1710" w:type="dxa"/>
            <w:vAlign w:val="bottom"/>
          </w:tcPr>
          <w:p w:rsidR="002C681B" w:rsidRPr="00761CC8" w:rsidRDefault="002C681B" w:rsidP="002F016E">
            <w:pPr>
              <w:jc w:val="right"/>
              <w:rPr>
                <w:rFonts w:ascii="Times New Roman" w:hAnsi="Times New Roman" w:cs="Times New Roman"/>
                <w:color w:val="000000"/>
              </w:rPr>
            </w:pPr>
            <w:r w:rsidRPr="00761CC8">
              <w:rPr>
                <w:rFonts w:ascii="Times New Roman" w:hAnsi="Times New Roman" w:cs="Times New Roman"/>
                <w:color w:val="000000"/>
              </w:rPr>
              <w:t>$</w:t>
            </w:r>
            <w:r w:rsidR="002F016E">
              <w:rPr>
                <w:rFonts w:ascii="Times New Roman" w:hAnsi="Times New Roman" w:cs="Times New Roman"/>
                <w:color w:val="000000"/>
              </w:rPr>
              <w:t>636,782,000</w:t>
            </w:r>
          </w:p>
        </w:tc>
        <w:tc>
          <w:tcPr>
            <w:tcW w:w="1544" w:type="dxa"/>
            <w:vAlign w:val="bottom"/>
          </w:tcPr>
          <w:p w:rsidR="002C681B" w:rsidRPr="00761CC8" w:rsidRDefault="002C681B" w:rsidP="006123B8">
            <w:pPr>
              <w:jc w:val="right"/>
              <w:rPr>
                <w:rFonts w:ascii="Times New Roman" w:hAnsi="Times New Roman" w:cs="Times New Roman"/>
                <w:color w:val="000000"/>
              </w:rPr>
            </w:pPr>
            <w:r w:rsidRPr="00761CC8">
              <w:rPr>
                <w:rFonts w:ascii="Times New Roman" w:hAnsi="Times New Roman" w:cs="Times New Roman"/>
                <w:color w:val="000000"/>
              </w:rPr>
              <w:t>$</w:t>
            </w:r>
            <w:r w:rsidR="006123B8">
              <w:rPr>
                <w:rFonts w:ascii="Times New Roman" w:hAnsi="Times New Roman" w:cs="Times New Roman"/>
                <w:color w:val="000000"/>
              </w:rPr>
              <w:t>637,056,475</w:t>
            </w:r>
          </w:p>
        </w:tc>
      </w:tr>
      <w:tr w:rsidR="00613ED0" w:rsidRPr="00761CC8" w:rsidTr="00164289">
        <w:tc>
          <w:tcPr>
            <w:tcW w:w="2718" w:type="dxa"/>
          </w:tcPr>
          <w:p w:rsidR="002C681B" w:rsidRPr="00761CC8" w:rsidRDefault="002C681B" w:rsidP="008C7AA2">
            <w:pPr>
              <w:widowControl/>
              <w:rPr>
                <w:rFonts w:ascii="Times New Roman" w:hAnsi="Times New Roman" w:cs="Times New Roman"/>
              </w:rPr>
            </w:pPr>
            <w:r w:rsidRPr="00761CC8">
              <w:rPr>
                <w:rFonts w:ascii="Times New Roman" w:hAnsi="Times New Roman" w:cs="Times New Roman"/>
              </w:rPr>
              <w:t>Start-Up Costs Per Small RIA</w:t>
            </w:r>
          </w:p>
        </w:tc>
        <w:tc>
          <w:tcPr>
            <w:tcW w:w="1530" w:type="dxa"/>
            <w:vAlign w:val="bottom"/>
          </w:tcPr>
          <w:p w:rsidR="002C681B" w:rsidRPr="00761CC8" w:rsidRDefault="002C681B" w:rsidP="003C7E3F">
            <w:pPr>
              <w:jc w:val="right"/>
              <w:rPr>
                <w:rFonts w:ascii="Times New Roman" w:hAnsi="Times New Roman" w:cs="Times New Roman"/>
                <w:color w:val="000000"/>
              </w:rPr>
            </w:pPr>
            <w:r w:rsidRPr="00761CC8">
              <w:rPr>
                <w:rFonts w:ascii="Times New Roman" w:hAnsi="Times New Roman" w:cs="Times New Roman"/>
                <w:color w:val="000000"/>
              </w:rPr>
              <w:t>3,1</w:t>
            </w:r>
            <w:r>
              <w:rPr>
                <w:rFonts w:ascii="Times New Roman" w:hAnsi="Times New Roman" w:cs="Times New Roman"/>
                <w:color w:val="000000"/>
              </w:rPr>
              <w:t>50</w:t>
            </w:r>
          </w:p>
        </w:tc>
        <w:tc>
          <w:tcPr>
            <w:tcW w:w="1440" w:type="dxa"/>
            <w:vAlign w:val="bottom"/>
          </w:tcPr>
          <w:p w:rsidR="002C681B" w:rsidRPr="00761CC8" w:rsidRDefault="002C681B">
            <w:pPr>
              <w:jc w:val="right"/>
              <w:rPr>
                <w:rFonts w:ascii="Times New Roman" w:hAnsi="Times New Roman" w:cs="Times New Roman"/>
                <w:color w:val="000000"/>
              </w:rPr>
            </w:pPr>
            <w:r w:rsidRPr="00761CC8">
              <w:rPr>
                <w:rFonts w:ascii="Times New Roman" w:hAnsi="Times New Roman" w:cs="Times New Roman"/>
                <w:color w:val="000000"/>
              </w:rPr>
              <w:t>$3,676</w:t>
            </w:r>
          </w:p>
        </w:tc>
        <w:tc>
          <w:tcPr>
            <w:tcW w:w="1890" w:type="dxa"/>
            <w:vAlign w:val="bottom"/>
          </w:tcPr>
          <w:p w:rsidR="002C681B" w:rsidRPr="000B1430" w:rsidRDefault="002C681B">
            <w:pPr>
              <w:jc w:val="right"/>
              <w:rPr>
                <w:rFonts w:ascii="Times New Roman" w:hAnsi="Times New Roman" w:cs="Times New Roman"/>
                <w:color w:val="000000"/>
              </w:rPr>
            </w:pPr>
            <w:r w:rsidRPr="00164289">
              <w:rPr>
                <w:rFonts w:ascii="Times New Roman" w:hAnsi="Times New Roman" w:cs="Times New Roman"/>
                <w:color w:val="000000"/>
              </w:rPr>
              <w:t>$215,767</w:t>
            </w:r>
          </w:p>
        </w:tc>
        <w:tc>
          <w:tcPr>
            <w:tcW w:w="1710" w:type="dxa"/>
            <w:vAlign w:val="bottom"/>
          </w:tcPr>
          <w:p w:rsidR="002C681B" w:rsidRPr="00761CC8" w:rsidRDefault="002C681B" w:rsidP="00E36980">
            <w:pPr>
              <w:jc w:val="right"/>
              <w:rPr>
                <w:rFonts w:ascii="Times New Roman" w:hAnsi="Times New Roman" w:cs="Times New Roman"/>
                <w:color w:val="000000"/>
              </w:rPr>
            </w:pPr>
            <w:r w:rsidRPr="00761CC8">
              <w:rPr>
                <w:rFonts w:ascii="Times New Roman" w:hAnsi="Times New Roman" w:cs="Times New Roman"/>
                <w:color w:val="000000"/>
              </w:rPr>
              <w:t>$11,5</w:t>
            </w:r>
            <w:r w:rsidR="00E36980">
              <w:rPr>
                <w:rFonts w:ascii="Times New Roman" w:hAnsi="Times New Roman" w:cs="Times New Roman"/>
                <w:color w:val="000000"/>
              </w:rPr>
              <w:t>79,400</w:t>
            </w:r>
          </w:p>
        </w:tc>
        <w:tc>
          <w:tcPr>
            <w:tcW w:w="1710" w:type="dxa"/>
            <w:vAlign w:val="bottom"/>
          </w:tcPr>
          <w:p w:rsidR="002C681B" w:rsidRPr="00761CC8" w:rsidRDefault="002C681B" w:rsidP="006E2DEE">
            <w:pPr>
              <w:jc w:val="right"/>
              <w:rPr>
                <w:rFonts w:ascii="Times New Roman" w:hAnsi="Times New Roman" w:cs="Times New Roman"/>
                <w:color w:val="000000"/>
              </w:rPr>
            </w:pPr>
            <w:r w:rsidRPr="00761CC8">
              <w:rPr>
                <w:rFonts w:ascii="Times New Roman" w:hAnsi="Times New Roman" w:cs="Times New Roman"/>
                <w:color w:val="000000"/>
              </w:rPr>
              <w:t>$</w:t>
            </w:r>
            <w:r w:rsidR="006E2DEE">
              <w:rPr>
                <w:rFonts w:ascii="Times New Roman" w:hAnsi="Times New Roman" w:cs="Times New Roman"/>
                <w:color w:val="000000"/>
              </w:rPr>
              <w:t>679,666,050</w:t>
            </w:r>
          </w:p>
        </w:tc>
        <w:tc>
          <w:tcPr>
            <w:tcW w:w="1544" w:type="dxa"/>
            <w:vAlign w:val="bottom"/>
          </w:tcPr>
          <w:p w:rsidR="002C681B" w:rsidRPr="00761CC8" w:rsidRDefault="002C681B" w:rsidP="006123B8">
            <w:pPr>
              <w:jc w:val="right"/>
              <w:rPr>
                <w:rFonts w:ascii="Times New Roman" w:hAnsi="Times New Roman" w:cs="Times New Roman"/>
                <w:color w:val="000000"/>
              </w:rPr>
            </w:pPr>
            <w:r w:rsidRPr="00761CC8">
              <w:rPr>
                <w:rFonts w:ascii="Times New Roman" w:hAnsi="Times New Roman" w:cs="Times New Roman"/>
                <w:color w:val="000000"/>
              </w:rPr>
              <w:t>$</w:t>
            </w:r>
            <w:r w:rsidR="006123B8">
              <w:rPr>
                <w:rFonts w:ascii="Times New Roman" w:hAnsi="Times New Roman" w:cs="Times New Roman"/>
                <w:color w:val="000000"/>
              </w:rPr>
              <w:t>679,881,817</w:t>
            </w:r>
          </w:p>
        </w:tc>
      </w:tr>
      <w:tr w:rsidR="00613ED0" w:rsidRPr="00761CC8" w:rsidTr="00164289">
        <w:tc>
          <w:tcPr>
            <w:tcW w:w="2718" w:type="dxa"/>
          </w:tcPr>
          <w:p w:rsidR="00CF121F" w:rsidRPr="00761CC8" w:rsidRDefault="00CF121F" w:rsidP="008C7AA2">
            <w:pPr>
              <w:widowControl/>
              <w:rPr>
                <w:rFonts w:ascii="Times New Roman" w:hAnsi="Times New Roman" w:cs="Times New Roman"/>
              </w:rPr>
            </w:pPr>
            <w:r w:rsidRPr="00761CC8">
              <w:rPr>
                <w:rFonts w:ascii="Times New Roman" w:hAnsi="Times New Roman" w:cs="Times New Roman"/>
              </w:rPr>
              <w:t>Total</w:t>
            </w:r>
          </w:p>
        </w:tc>
        <w:tc>
          <w:tcPr>
            <w:tcW w:w="1530" w:type="dxa"/>
            <w:vAlign w:val="bottom"/>
          </w:tcPr>
          <w:p w:rsidR="00CF121F" w:rsidRPr="00761CC8" w:rsidRDefault="00CF121F">
            <w:pPr>
              <w:jc w:val="right"/>
              <w:rPr>
                <w:rFonts w:ascii="Times New Roman" w:hAnsi="Times New Roman" w:cs="Times New Roman"/>
                <w:color w:val="000000"/>
              </w:rPr>
            </w:pPr>
            <w:r w:rsidRPr="00761CC8">
              <w:rPr>
                <w:rFonts w:ascii="Times New Roman" w:hAnsi="Times New Roman" w:cs="Times New Roman"/>
                <w:color w:val="000000"/>
              </w:rPr>
              <w:t>6,000</w:t>
            </w:r>
          </w:p>
        </w:tc>
        <w:tc>
          <w:tcPr>
            <w:tcW w:w="1440" w:type="dxa"/>
            <w:vAlign w:val="bottom"/>
          </w:tcPr>
          <w:p w:rsidR="00CF121F" w:rsidRPr="00761CC8" w:rsidRDefault="00CF121F">
            <w:pPr>
              <w:rPr>
                <w:rFonts w:ascii="Times New Roman" w:hAnsi="Times New Roman" w:cs="Times New Roman"/>
                <w:color w:val="000000"/>
              </w:rPr>
            </w:pPr>
          </w:p>
        </w:tc>
        <w:tc>
          <w:tcPr>
            <w:tcW w:w="1890" w:type="dxa"/>
            <w:vAlign w:val="bottom"/>
          </w:tcPr>
          <w:p w:rsidR="00CF121F" w:rsidRPr="00E36980" w:rsidRDefault="00CF121F">
            <w:pPr>
              <w:rPr>
                <w:rFonts w:ascii="Times New Roman" w:hAnsi="Times New Roman" w:cs="Times New Roman"/>
                <w:color w:val="000000"/>
              </w:rPr>
            </w:pPr>
          </w:p>
        </w:tc>
        <w:tc>
          <w:tcPr>
            <w:tcW w:w="1710" w:type="dxa"/>
            <w:vAlign w:val="bottom"/>
          </w:tcPr>
          <w:p w:rsidR="00CF121F" w:rsidRPr="00761CC8" w:rsidRDefault="00CF121F" w:rsidP="003C7E3F">
            <w:pPr>
              <w:jc w:val="right"/>
              <w:rPr>
                <w:rFonts w:ascii="Times New Roman" w:hAnsi="Times New Roman" w:cs="Times New Roman"/>
                <w:color w:val="000000"/>
              </w:rPr>
            </w:pPr>
            <w:r w:rsidRPr="00761CC8">
              <w:rPr>
                <w:rFonts w:ascii="Times New Roman" w:hAnsi="Times New Roman" w:cs="Times New Roman"/>
                <w:color w:val="000000"/>
              </w:rPr>
              <w:t>$22</w:t>
            </w:r>
            <w:r w:rsidR="00761CC8">
              <w:rPr>
                <w:rFonts w:ascii="Times New Roman" w:hAnsi="Times New Roman" w:cs="Times New Roman"/>
                <w:color w:val="000000"/>
              </w:rPr>
              <w:t>.</w:t>
            </w:r>
            <w:r w:rsidR="003C7E3F">
              <w:rPr>
                <w:rFonts w:ascii="Times New Roman" w:hAnsi="Times New Roman" w:cs="Times New Roman"/>
                <w:color w:val="000000"/>
              </w:rPr>
              <w:t>3</w:t>
            </w:r>
            <w:r w:rsidR="00761CC8">
              <w:rPr>
                <w:rFonts w:ascii="Times New Roman" w:hAnsi="Times New Roman" w:cs="Times New Roman"/>
                <w:color w:val="000000"/>
              </w:rPr>
              <w:t xml:space="preserve"> million</w:t>
            </w:r>
          </w:p>
        </w:tc>
        <w:tc>
          <w:tcPr>
            <w:tcW w:w="1710" w:type="dxa"/>
            <w:vAlign w:val="bottom"/>
          </w:tcPr>
          <w:p w:rsidR="00CF121F" w:rsidRPr="00761CC8" w:rsidRDefault="00CF121F" w:rsidP="002C681B">
            <w:pPr>
              <w:jc w:val="right"/>
              <w:rPr>
                <w:rFonts w:ascii="Times New Roman" w:hAnsi="Times New Roman" w:cs="Times New Roman"/>
                <w:color w:val="000000"/>
              </w:rPr>
            </w:pPr>
            <w:r w:rsidRPr="00761CC8">
              <w:rPr>
                <w:rFonts w:ascii="Times New Roman" w:hAnsi="Times New Roman" w:cs="Times New Roman"/>
                <w:color w:val="000000"/>
              </w:rPr>
              <w:t>$1</w:t>
            </w:r>
            <w:r w:rsidR="00761CC8">
              <w:rPr>
                <w:rFonts w:ascii="Times New Roman" w:hAnsi="Times New Roman" w:cs="Times New Roman"/>
                <w:color w:val="000000"/>
              </w:rPr>
              <w:t>.</w:t>
            </w:r>
            <w:r w:rsidR="002C681B">
              <w:rPr>
                <w:rFonts w:ascii="Times New Roman" w:hAnsi="Times New Roman" w:cs="Times New Roman"/>
                <w:color w:val="000000"/>
              </w:rPr>
              <w:t>9</w:t>
            </w:r>
            <w:r w:rsidR="00761CC8">
              <w:rPr>
                <w:rFonts w:ascii="Times New Roman" w:hAnsi="Times New Roman" w:cs="Times New Roman"/>
                <w:color w:val="000000"/>
              </w:rPr>
              <w:t xml:space="preserve"> billion</w:t>
            </w:r>
          </w:p>
        </w:tc>
        <w:tc>
          <w:tcPr>
            <w:tcW w:w="1544" w:type="dxa"/>
            <w:vAlign w:val="bottom"/>
          </w:tcPr>
          <w:p w:rsidR="00CF121F" w:rsidRPr="00761CC8" w:rsidRDefault="00CF121F" w:rsidP="002C681B">
            <w:pPr>
              <w:jc w:val="right"/>
              <w:rPr>
                <w:rFonts w:ascii="Times New Roman" w:hAnsi="Times New Roman" w:cs="Times New Roman"/>
                <w:color w:val="000000"/>
              </w:rPr>
            </w:pPr>
            <w:r w:rsidRPr="00761CC8">
              <w:rPr>
                <w:rFonts w:ascii="Times New Roman" w:hAnsi="Times New Roman" w:cs="Times New Roman"/>
                <w:color w:val="000000"/>
              </w:rPr>
              <w:t>$</w:t>
            </w:r>
            <w:r w:rsidR="002C681B">
              <w:rPr>
                <w:rFonts w:ascii="Times New Roman" w:hAnsi="Times New Roman" w:cs="Times New Roman"/>
                <w:color w:val="000000"/>
              </w:rPr>
              <w:t>2.0</w:t>
            </w:r>
            <w:r w:rsidR="00761CC8">
              <w:rPr>
                <w:rFonts w:ascii="Times New Roman" w:hAnsi="Times New Roman" w:cs="Times New Roman"/>
                <w:color w:val="000000"/>
              </w:rPr>
              <w:t xml:space="preserve"> billion</w:t>
            </w:r>
          </w:p>
        </w:tc>
      </w:tr>
    </w:tbl>
    <w:p w:rsidR="00F8399B" w:rsidRDefault="00F8399B" w:rsidP="008C7AA2">
      <w:pPr>
        <w:widowControl/>
        <w:ind w:left="720"/>
        <w:rPr>
          <w:rFonts w:ascii="Times New Roman" w:hAnsi="Times New Roman"/>
        </w:rPr>
      </w:pPr>
      <w:r>
        <w:rPr>
          <w:rFonts w:ascii="Times New Roman" w:hAnsi="Times New Roman"/>
        </w:rPr>
        <w:br w:type="page"/>
      </w:r>
    </w:p>
    <w:p w:rsidR="00DA6475" w:rsidRDefault="00DA6475" w:rsidP="008C7AA2">
      <w:pPr>
        <w:widowControl/>
        <w:ind w:left="720"/>
        <w:rPr>
          <w:rFonts w:ascii="Times New Roman" w:hAnsi="Times New Roman"/>
        </w:rPr>
      </w:pPr>
    </w:p>
    <w:tbl>
      <w:tblPr>
        <w:tblStyle w:val="TableGrid"/>
        <w:tblW w:w="0" w:type="auto"/>
        <w:tblInd w:w="720" w:type="dxa"/>
        <w:tblLayout w:type="fixed"/>
        <w:tblLook w:val="04A0" w:firstRow="1" w:lastRow="0" w:firstColumn="1" w:lastColumn="0" w:noHBand="0" w:noVBand="1"/>
      </w:tblPr>
      <w:tblGrid>
        <w:gridCol w:w="2718"/>
        <w:gridCol w:w="1530"/>
        <w:gridCol w:w="1440"/>
        <w:gridCol w:w="1890"/>
        <w:gridCol w:w="1710"/>
        <w:gridCol w:w="1710"/>
        <w:gridCol w:w="1544"/>
      </w:tblGrid>
      <w:tr w:rsidR="00836D26" w:rsidRPr="004A50B4" w:rsidTr="00164289">
        <w:tc>
          <w:tcPr>
            <w:tcW w:w="12542" w:type="dxa"/>
            <w:gridSpan w:val="7"/>
          </w:tcPr>
          <w:p w:rsidR="00836D26" w:rsidRPr="004A50B4" w:rsidRDefault="003A5C59" w:rsidP="00836D26">
            <w:pPr>
              <w:widowControl/>
              <w:rPr>
                <w:rFonts w:ascii="Times New Roman" w:hAnsi="Times New Roman" w:cs="Times New Roman"/>
              </w:rPr>
            </w:pPr>
            <w:r>
              <w:rPr>
                <w:rFonts w:ascii="Times New Roman" w:hAnsi="Times New Roman" w:cs="Times New Roman"/>
              </w:rPr>
              <w:t xml:space="preserve">Service Provider </w:t>
            </w:r>
            <w:r w:rsidR="00836D26" w:rsidRPr="004A50B4">
              <w:rPr>
                <w:rFonts w:ascii="Times New Roman" w:hAnsi="Times New Roman" w:cs="Times New Roman"/>
              </w:rPr>
              <w:t>Cost Burden Summary Table for Years 2 and 3</w:t>
            </w:r>
          </w:p>
        </w:tc>
      </w:tr>
      <w:tr w:rsidR="00376183" w:rsidRPr="004A50B4" w:rsidTr="00376183">
        <w:tc>
          <w:tcPr>
            <w:tcW w:w="2718" w:type="dxa"/>
          </w:tcPr>
          <w:p w:rsidR="00E0765B" w:rsidRPr="004A50B4" w:rsidRDefault="00E0765B" w:rsidP="0030040C">
            <w:pPr>
              <w:widowControl/>
              <w:rPr>
                <w:rFonts w:ascii="Times New Roman" w:hAnsi="Times New Roman" w:cs="Times New Roman"/>
              </w:rPr>
            </w:pPr>
          </w:p>
        </w:tc>
        <w:tc>
          <w:tcPr>
            <w:tcW w:w="153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Number of Financial Institutions</w:t>
            </w:r>
          </w:p>
        </w:tc>
        <w:tc>
          <w:tcPr>
            <w:tcW w:w="144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Itemized Legal Costs Per Firm</w:t>
            </w:r>
          </w:p>
        </w:tc>
        <w:tc>
          <w:tcPr>
            <w:tcW w:w="189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Remaining Cost Per Firm</w:t>
            </w:r>
          </w:p>
        </w:tc>
        <w:tc>
          <w:tcPr>
            <w:tcW w:w="171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Total Legal Costs</w:t>
            </w:r>
          </w:p>
        </w:tc>
        <w:tc>
          <w:tcPr>
            <w:tcW w:w="1710" w:type="dxa"/>
            <w:vAlign w:val="bottom"/>
          </w:tcPr>
          <w:p w:rsidR="00E0765B" w:rsidRPr="00761CC8" w:rsidRDefault="00E0765B" w:rsidP="0030040C">
            <w:pPr>
              <w:jc w:val="center"/>
              <w:rPr>
                <w:rFonts w:ascii="Times New Roman" w:hAnsi="Times New Roman" w:cs="Times New Roman"/>
                <w:color w:val="000000"/>
              </w:rPr>
            </w:pPr>
            <w:r w:rsidRPr="00761CC8">
              <w:rPr>
                <w:rFonts w:ascii="Times New Roman" w:hAnsi="Times New Roman" w:cs="Times New Roman"/>
                <w:color w:val="000000"/>
              </w:rPr>
              <w:t xml:space="preserve">Total Remaining </w:t>
            </w:r>
            <w:r>
              <w:rPr>
                <w:rFonts w:ascii="Times New Roman" w:hAnsi="Times New Roman" w:cs="Times New Roman"/>
                <w:color w:val="000000"/>
              </w:rPr>
              <w:t xml:space="preserve">Service Provider </w:t>
            </w:r>
            <w:r w:rsidRPr="00761CC8">
              <w:rPr>
                <w:rFonts w:ascii="Times New Roman" w:hAnsi="Times New Roman" w:cs="Times New Roman"/>
                <w:color w:val="000000"/>
              </w:rPr>
              <w:t>Costs</w:t>
            </w:r>
          </w:p>
        </w:tc>
        <w:tc>
          <w:tcPr>
            <w:tcW w:w="1544" w:type="dxa"/>
            <w:vAlign w:val="bottom"/>
          </w:tcPr>
          <w:p w:rsidR="00E0765B" w:rsidRPr="00761CC8" w:rsidRDefault="00E0765B" w:rsidP="0030040C">
            <w:pPr>
              <w:jc w:val="center"/>
              <w:rPr>
                <w:rFonts w:ascii="Times New Roman" w:hAnsi="Times New Roman" w:cs="Times New Roman"/>
                <w:color w:val="000000"/>
              </w:rPr>
            </w:pPr>
            <w:r w:rsidRPr="00761CC8">
              <w:rPr>
                <w:rFonts w:ascii="Times New Roman" w:hAnsi="Times New Roman" w:cs="Times New Roman"/>
                <w:color w:val="000000"/>
              </w:rPr>
              <w:t xml:space="preserve">Total </w:t>
            </w:r>
            <w:r>
              <w:rPr>
                <w:rFonts w:ascii="Times New Roman" w:hAnsi="Times New Roman" w:cs="Times New Roman"/>
                <w:color w:val="000000"/>
              </w:rPr>
              <w:t xml:space="preserve">Service Provider </w:t>
            </w:r>
            <w:r w:rsidRPr="00761CC8">
              <w:rPr>
                <w:rFonts w:ascii="Times New Roman" w:hAnsi="Times New Roman" w:cs="Times New Roman"/>
                <w:color w:val="000000"/>
              </w:rPr>
              <w:t>Costs</w:t>
            </w:r>
          </w:p>
        </w:tc>
      </w:tr>
      <w:tr w:rsidR="00376183" w:rsidRPr="004A50B4" w:rsidTr="00376183">
        <w:tc>
          <w:tcPr>
            <w:tcW w:w="2718" w:type="dxa"/>
          </w:tcPr>
          <w:p w:rsidR="00E0765B" w:rsidRPr="004A50B4" w:rsidRDefault="00E0765B" w:rsidP="0030040C">
            <w:pPr>
              <w:widowControl/>
              <w:rPr>
                <w:rFonts w:ascii="Times New Roman" w:hAnsi="Times New Roman" w:cs="Times New Roman"/>
              </w:rPr>
            </w:pPr>
          </w:p>
        </w:tc>
        <w:tc>
          <w:tcPr>
            <w:tcW w:w="153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(A)</w:t>
            </w:r>
          </w:p>
        </w:tc>
        <w:tc>
          <w:tcPr>
            <w:tcW w:w="144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(B)</w:t>
            </w:r>
          </w:p>
        </w:tc>
        <w:tc>
          <w:tcPr>
            <w:tcW w:w="189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(C)</w:t>
            </w:r>
          </w:p>
        </w:tc>
        <w:tc>
          <w:tcPr>
            <w:tcW w:w="171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A*B</w:t>
            </w:r>
          </w:p>
        </w:tc>
        <w:tc>
          <w:tcPr>
            <w:tcW w:w="1710"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A*C</w:t>
            </w:r>
          </w:p>
        </w:tc>
        <w:tc>
          <w:tcPr>
            <w:tcW w:w="1544" w:type="dxa"/>
            <w:vAlign w:val="bottom"/>
          </w:tcPr>
          <w:p w:rsidR="00E0765B" w:rsidRPr="004A50B4" w:rsidRDefault="00E0765B" w:rsidP="0030040C">
            <w:pPr>
              <w:jc w:val="center"/>
              <w:rPr>
                <w:rFonts w:ascii="Times New Roman" w:hAnsi="Times New Roman" w:cs="Times New Roman"/>
                <w:color w:val="000000"/>
              </w:rPr>
            </w:pPr>
            <w:r w:rsidRPr="004A50B4">
              <w:rPr>
                <w:rFonts w:ascii="Times New Roman" w:hAnsi="Times New Roman" w:cs="Times New Roman"/>
                <w:color w:val="000000"/>
              </w:rPr>
              <w:t>A*(B+C)</w:t>
            </w:r>
          </w:p>
        </w:tc>
      </w:tr>
      <w:tr w:rsidR="00376183" w:rsidRPr="004A50B4" w:rsidTr="00376183">
        <w:tc>
          <w:tcPr>
            <w:tcW w:w="2718" w:type="dxa"/>
            <w:vAlign w:val="bottom"/>
          </w:tcPr>
          <w:p w:rsidR="00655B2A" w:rsidRPr="004A50B4" w:rsidRDefault="00655B2A">
            <w:pPr>
              <w:rPr>
                <w:rFonts w:ascii="Times New Roman" w:hAnsi="Times New Roman" w:cs="Times New Roman"/>
                <w:color w:val="000000"/>
              </w:rPr>
            </w:pPr>
            <w:r w:rsidRPr="004A50B4">
              <w:rPr>
                <w:rFonts w:ascii="Times New Roman" w:hAnsi="Times New Roman" w:cs="Times New Roman"/>
                <w:color w:val="000000"/>
              </w:rPr>
              <w:t>Ongoing Costs Per Large BD</w:t>
            </w:r>
          </w:p>
        </w:tc>
        <w:tc>
          <w:tcPr>
            <w:tcW w:w="153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42</w:t>
            </w:r>
          </w:p>
        </w:tc>
        <w:tc>
          <w:tcPr>
            <w:tcW w:w="144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$2,978</w:t>
            </w:r>
          </w:p>
        </w:tc>
        <w:tc>
          <w:tcPr>
            <w:tcW w:w="1890" w:type="dxa"/>
            <w:vAlign w:val="bottom"/>
          </w:tcPr>
          <w:p w:rsidR="00655B2A" w:rsidRPr="003C6398" w:rsidRDefault="00655B2A">
            <w:pPr>
              <w:jc w:val="right"/>
              <w:rPr>
                <w:rFonts w:ascii="Times New Roman" w:hAnsi="Times New Roman" w:cs="Times New Roman"/>
                <w:color w:val="000000"/>
              </w:rPr>
            </w:pPr>
            <w:r w:rsidRPr="00164289">
              <w:rPr>
                <w:rFonts w:ascii="Times New Roman" w:hAnsi="Times New Roman" w:cs="Times New Roman"/>
                <w:color w:val="000000"/>
              </w:rPr>
              <w:t>$915,360</w:t>
            </w:r>
          </w:p>
        </w:tc>
        <w:tc>
          <w:tcPr>
            <w:tcW w:w="171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$125,076</w:t>
            </w:r>
          </w:p>
        </w:tc>
        <w:tc>
          <w:tcPr>
            <w:tcW w:w="1710" w:type="dxa"/>
            <w:vAlign w:val="bottom"/>
          </w:tcPr>
          <w:p w:rsidR="00655B2A" w:rsidRPr="004A50B4" w:rsidRDefault="00655B2A" w:rsidP="008B1D05">
            <w:pPr>
              <w:jc w:val="right"/>
              <w:rPr>
                <w:rFonts w:ascii="Times New Roman" w:hAnsi="Times New Roman" w:cs="Times New Roman"/>
                <w:color w:val="000000"/>
              </w:rPr>
            </w:pPr>
            <w:r w:rsidRPr="004A50B4">
              <w:rPr>
                <w:rFonts w:ascii="Times New Roman" w:hAnsi="Times New Roman" w:cs="Times New Roman"/>
                <w:color w:val="000000"/>
              </w:rPr>
              <w:t>$</w:t>
            </w:r>
            <w:r w:rsidR="008B1D05">
              <w:rPr>
                <w:rFonts w:ascii="Times New Roman" w:hAnsi="Times New Roman" w:cs="Times New Roman"/>
                <w:color w:val="000000"/>
              </w:rPr>
              <w:t>38,445,120</w:t>
            </w:r>
          </w:p>
        </w:tc>
        <w:tc>
          <w:tcPr>
            <w:tcW w:w="1544" w:type="dxa"/>
            <w:vAlign w:val="bottom"/>
          </w:tcPr>
          <w:p w:rsidR="00655B2A" w:rsidRPr="004A50B4" w:rsidRDefault="00655B2A" w:rsidP="0039258A">
            <w:pPr>
              <w:jc w:val="right"/>
              <w:rPr>
                <w:rFonts w:ascii="Times New Roman" w:hAnsi="Times New Roman" w:cs="Times New Roman"/>
                <w:color w:val="000000"/>
              </w:rPr>
            </w:pPr>
            <w:r w:rsidRPr="004A50B4">
              <w:rPr>
                <w:rFonts w:ascii="Times New Roman" w:hAnsi="Times New Roman" w:cs="Times New Roman"/>
                <w:color w:val="000000"/>
              </w:rPr>
              <w:t>$</w:t>
            </w:r>
            <w:r w:rsidR="0039258A">
              <w:rPr>
                <w:rFonts w:ascii="Times New Roman" w:hAnsi="Times New Roman" w:cs="Times New Roman"/>
                <w:color w:val="000000"/>
              </w:rPr>
              <w:t>38,570,196</w:t>
            </w:r>
          </w:p>
        </w:tc>
      </w:tr>
      <w:tr w:rsidR="00376183" w:rsidRPr="004A50B4" w:rsidTr="00376183">
        <w:tc>
          <w:tcPr>
            <w:tcW w:w="2718" w:type="dxa"/>
            <w:vAlign w:val="bottom"/>
          </w:tcPr>
          <w:p w:rsidR="00655B2A" w:rsidRPr="004A50B4" w:rsidRDefault="00655B2A">
            <w:pPr>
              <w:rPr>
                <w:rFonts w:ascii="Times New Roman" w:hAnsi="Times New Roman" w:cs="Times New Roman"/>
                <w:color w:val="000000"/>
              </w:rPr>
            </w:pPr>
            <w:r w:rsidRPr="004A50B4">
              <w:rPr>
                <w:rFonts w:ascii="Times New Roman" w:hAnsi="Times New Roman" w:cs="Times New Roman"/>
                <w:color w:val="000000"/>
              </w:rPr>
              <w:t>Ongoing Costs Per Large RIA</w:t>
            </w:r>
          </w:p>
        </w:tc>
        <w:tc>
          <w:tcPr>
            <w:tcW w:w="153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22</w:t>
            </w:r>
          </w:p>
        </w:tc>
        <w:tc>
          <w:tcPr>
            <w:tcW w:w="144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$2,978</w:t>
            </w:r>
          </w:p>
        </w:tc>
        <w:tc>
          <w:tcPr>
            <w:tcW w:w="1890" w:type="dxa"/>
            <w:vAlign w:val="bottom"/>
          </w:tcPr>
          <w:p w:rsidR="00655B2A" w:rsidRPr="003C6398" w:rsidRDefault="00655B2A">
            <w:pPr>
              <w:jc w:val="right"/>
              <w:rPr>
                <w:rFonts w:ascii="Times New Roman" w:hAnsi="Times New Roman" w:cs="Times New Roman"/>
                <w:color w:val="000000"/>
              </w:rPr>
            </w:pPr>
            <w:r w:rsidRPr="00164289">
              <w:rPr>
                <w:rFonts w:ascii="Times New Roman" w:hAnsi="Times New Roman" w:cs="Times New Roman"/>
                <w:color w:val="000000"/>
              </w:rPr>
              <w:t>$800,020</w:t>
            </w:r>
          </w:p>
        </w:tc>
        <w:tc>
          <w:tcPr>
            <w:tcW w:w="171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$65,516</w:t>
            </w:r>
          </w:p>
        </w:tc>
        <w:tc>
          <w:tcPr>
            <w:tcW w:w="1710" w:type="dxa"/>
            <w:vAlign w:val="bottom"/>
          </w:tcPr>
          <w:p w:rsidR="00655B2A" w:rsidRPr="004A50B4" w:rsidRDefault="00655B2A" w:rsidP="008B1D05">
            <w:pPr>
              <w:jc w:val="right"/>
              <w:rPr>
                <w:rFonts w:ascii="Times New Roman" w:hAnsi="Times New Roman" w:cs="Times New Roman"/>
                <w:color w:val="000000"/>
              </w:rPr>
            </w:pPr>
            <w:r w:rsidRPr="004A50B4">
              <w:rPr>
                <w:rFonts w:ascii="Times New Roman" w:hAnsi="Times New Roman" w:cs="Times New Roman"/>
                <w:color w:val="000000"/>
              </w:rPr>
              <w:t>$</w:t>
            </w:r>
            <w:r w:rsidR="008B1D05">
              <w:rPr>
                <w:rFonts w:ascii="Times New Roman" w:hAnsi="Times New Roman" w:cs="Times New Roman"/>
                <w:color w:val="000000"/>
              </w:rPr>
              <w:t>1</w:t>
            </w:r>
            <w:r w:rsidRPr="004A50B4">
              <w:rPr>
                <w:rFonts w:ascii="Times New Roman" w:hAnsi="Times New Roman" w:cs="Times New Roman"/>
                <w:color w:val="000000"/>
              </w:rPr>
              <w:t>7,</w:t>
            </w:r>
            <w:r w:rsidR="008B1D05">
              <w:rPr>
                <w:rFonts w:ascii="Times New Roman" w:hAnsi="Times New Roman" w:cs="Times New Roman"/>
                <w:color w:val="000000"/>
              </w:rPr>
              <w:t>600,440</w:t>
            </w:r>
          </w:p>
        </w:tc>
        <w:tc>
          <w:tcPr>
            <w:tcW w:w="1544" w:type="dxa"/>
            <w:vAlign w:val="bottom"/>
          </w:tcPr>
          <w:p w:rsidR="00655B2A" w:rsidRPr="004A50B4" w:rsidRDefault="00655B2A" w:rsidP="0039258A">
            <w:pPr>
              <w:jc w:val="right"/>
              <w:rPr>
                <w:rFonts w:ascii="Times New Roman" w:hAnsi="Times New Roman" w:cs="Times New Roman"/>
                <w:color w:val="000000"/>
              </w:rPr>
            </w:pPr>
            <w:r w:rsidRPr="004A50B4">
              <w:rPr>
                <w:rFonts w:ascii="Times New Roman" w:hAnsi="Times New Roman" w:cs="Times New Roman"/>
                <w:color w:val="000000"/>
              </w:rPr>
              <w:t>$</w:t>
            </w:r>
            <w:r w:rsidR="0039258A">
              <w:rPr>
                <w:rFonts w:ascii="Times New Roman" w:hAnsi="Times New Roman" w:cs="Times New Roman"/>
                <w:color w:val="000000"/>
              </w:rPr>
              <w:t>1</w:t>
            </w:r>
            <w:r w:rsidRPr="004A50B4">
              <w:rPr>
                <w:rFonts w:ascii="Times New Roman" w:hAnsi="Times New Roman" w:cs="Times New Roman"/>
                <w:color w:val="000000"/>
              </w:rPr>
              <w:t>7,</w:t>
            </w:r>
            <w:r w:rsidR="0039258A">
              <w:rPr>
                <w:rFonts w:ascii="Times New Roman" w:hAnsi="Times New Roman" w:cs="Times New Roman"/>
                <w:color w:val="000000"/>
              </w:rPr>
              <w:t>665,956</w:t>
            </w:r>
          </w:p>
        </w:tc>
      </w:tr>
      <w:tr w:rsidR="00376183" w:rsidRPr="004A50B4" w:rsidTr="00376183">
        <w:tc>
          <w:tcPr>
            <w:tcW w:w="2718" w:type="dxa"/>
            <w:vAlign w:val="bottom"/>
          </w:tcPr>
          <w:p w:rsidR="00655B2A" w:rsidRPr="004A50B4" w:rsidRDefault="00655B2A">
            <w:pPr>
              <w:rPr>
                <w:rFonts w:ascii="Times New Roman" w:hAnsi="Times New Roman" w:cs="Times New Roman"/>
                <w:color w:val="000000"/>
              </w:rPr>
            </w:pPr>
            <w:r w:rsidRPr="004A50B4">
              <w:rPr>
                <w:rFonts w:ascii="Times New Roman" w:hAnsi="Times New Roman" w:cs="Times New Roman"/>
                <w:color w:val="000000"/>
              </w:rPr>
              <w:t>Ongoing Costs Per Medium BD</w:t>
            </w:r>
          </w:p>
        </w:tc>
        <w:tc>
          <w:tcPr>
            <w:tcW w:w="153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147</w:t>
            </w:r>
          </w:p>
        </w:tc>
        <w:tc>
          <w:tcPr>
            <w:tcW w:w="144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$2,978</w:t>
            </w:r>
          </w:p>
        </w:tc>
        <w:tc>
          <w:tcPr>
            <w:tcW w:w="1890" w:type="dxa"/>
            <w:vAlign w:val="bottom"/>
          </w:tcPr>
          <w:p w:rsidR="00655B2A" w:rsidRPr="003C6398" w:rsidRDefault="00655B2A">
            <w:pPr>
              <w:jc w:val="right"/>
              <w:rPr>
                <w:rFonts w:ascii="Times New Roman" w:hAnsi="Times New Roman" w:cs="Times New Roman"/>
                <w:color w:val="000000"/>
              </w:rPr>
            </w:pPr>
            <w:r w:rsidRPr="00164289">
              <w:rPr>
                <w:rFonts w:ascii="Times New Roman" w:hAnsi="Times New Roman" w:cs="Times New Roman"/>
                <w:color w:val="000000"/>
              </w:rPr>
              <w:t>$189,413</w:t>
            </w:r>
          </w:p>
        </w:tc>
        <w:tc>
          <w:tcPr>
            <w:tcW w:w="171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$437,766</w:t>
            </w:r>
          </w:p>
        </w:tc>
        <w:tc>
          <w:tcPr>
            <w:tcW w:w="1710" w:type="dxa"/>
            <w:vAlign w:val="bottom"/>
          </w:tcPr>
          <w:p w:rsidR="00655B2A" w:rsidRPr="004A50B4" w:rsidRDefault="00655B2A" w:rsidP="008B1D05">
            <w:pPr>
              <w:jc w:val="right"/>
              <w:rPr>
                <w:rFonts w:ascii="Times New Roman" w:hAnsi="Times New Roman" w:cs="Times New Roman"/>
                <w:color w:val="000000"/>
              </w:rPr>
            </w:pPr>
            <w:r w:rsidRPr="004A50B4">
              <w:rPr>
                <w:rFonts w:ascii="Times New Roman" w:hAnsi="Times New Roman" w:cs="Times New Roman"/>
                <w:color w:val="000000"/>
              </w:rPr>
              <w:t>$</w:t>
            </w:r>
            <w:r w:rsidR="008B1D05">
              <w:rPr>
                <w:rFonts w:ascii="Times New Roman" w:hAnsi="Times New Roman" w:cs="Times New Roman"/>
                <w:color w:val="000000"/>
              </w:rPr>
              <w:t>27,843,711</w:t>
            </w:r>
          </w:p>
        </w:tc>
        <w:tc>
          <w:tcPr>
            <w:tcW w:w="1544" w:type="dxa"/>
            <w:vAlign w:val="bottom"/>
          </w:tcPr>
          <w:p w:rsidR="00655B2A" w:rsidRPr="004A50B4" w:rsidRDefault="00655B2A" w:rsidP="0039258A">
            <w:pPr>
              <w:jc w:val="right"/>
              <w:rPr>
                <w:rFonts w:ascii="Times New Roman" w:hAnsi="Times New Roman" w:cs="Times New Roman"/>
                <w:color w:val="000000"/>
              </w:rPr>
            </w:pPr>
            <w:r w:rsidRPr="004A50B4">
              <w:rPr>
                <w:rFonts w:ascii="Times New Roman" w:hAnsi="Times New Roman" w:cs="Times New Roman"/>
                <w:color w:val="000000"/>
              </w:rPr>
              <w:t>$</w:t>
            </w:r>
            <w:r w:rsidR="0039258A">
              <w:rPr>
                <w:rFonts w:ascii="Times New Roman" w:hAnsi="Times New Roman" w:cs="Times New Roman"/>
                <w:color w:val="000000"/>
              </w:rPr>
              <w:t>28,281,477</w:t>
            </w:r>
          </w:p>
        </w:tc>
      </w:tr>
      <w:tr w:rsidR="00376183" w:rsidRPr="004A50B4" w:rsidTr="00376183">
        <w:tc>
          <w:tcPr>
            <w:tcW w:w="2718" w:type="dxa"/>
            <w:vAlign w:val="bottom"/>
          </w:tcPr>
          <w:p w:rsidR="00655B2A" w:rsidRPr="004A50B4" w:rsidRDefault="00655B2A">
            <w:pPr>
              <w:rPr>
                <w:rFonts w:ascii="Times New Roman" w:hAnsi="Times New Roman" w:cs="Times New Roman"/>
                <w:color w:val="000000"/>
              </w:rPr>
            </w:pPr>
            <w:r w:rsidRPr="004A50B4">
              <w:rPr>
                <w:rFonts w:ascii="Times New Roman" w:hAnsi="Times New Roman" w:cs="Times New Roman"/>
                <w:color w:val="000000"/>
              </w:rPr>
              <w:t>Ongoing Costs Per Medium RIA</w:t>
            </w:r>
          </w:p>
        </w:tc>
        <w:tc>
          <w:tcPr>
            <w:tcW w:w="1530" w:type="dxa"/>
            <w:vAlign w:val="bottom"/>
          </w:tcPr>
          <w:p w:rsidR="00655B2A" w:rsidRPr="004A50B4" w:rsidRDefault="00655B2A" w:rsidP="003C7E3F">
            <w:pPr>
              <w:jc w:val="right"/>
              <w:rPr>
                <w:rFonts w:ascii="Times New Roman" w:hAnsi="Times New Roman" w:cs="Times New Roman"/>
                <w:color w:val="000000"/>
              </w:rPr>
            </w:pPr>
            <w:r w:rsidRPr="004A50B4">
              <w:rPr>
                <w:rFonts w:ascii="Times New Roman" w:hAnsi="Times New Roman" w:cs="Times New Roman"/>
                <w:color w:val="000000"/>
              </w:rPr>
              <w:t>39</w:t>
            </w:r>
            <w:r>
              <w:rPr>
                <w:rFonts w:ascii="Times New Roman" w:hAnsi="Times New Roman" w:cs="Times New Roman"/>
                <w:color w:val="000000"/>
              </w:rPr>
              <w:t>4</w:t>
            </w:r>
          </w:p>
        </w:tc>
        <w:tc>
          <w:tcPr>
            <w:tcW w:w="144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$2,978</w:t>
            </w:r>
          </w:p>
        </w:tc>
        <w:tc>
          <w:tcPr>
            <w:tcW w:w="1890" w:type="dxa"/>
            <w:vAlign w:val="bottom"/>
          </w:tcPr>
          <w:p w:rsidR="00655B2A" w:rsidRPr="003C6398" w:rsidRDefault="00655B2A">
            <w:pPr>
              <w:jc w:val="right"/>
              <w:rPr>
                <w:rFonts w:ascii="Times New Roman" w:hAnsi="Times New Roman" w:cs="Times New Roman"/>
                <w:color w:val="000000"/>
              </w:rPr>
            </w:pPr>
            <w:r w:rsidRPr="00164289">
              <w:rPr>
                <w:rFonts w:ascii="Times New Roman" w:hAnsi="Times New Roman" w:cs="Times New Roman"/>
                <w:color w:val="000000"/>
              </w:rPr>
              <w:t>$140,359</w:t>
            </w:r>
          </w:p>
        </w:tc>
        <w:tc>
          <w:tcPr>
            <w:tcW w:w="1710" w:type="dxa"/>
            <w:vAlign w:val="bottom"/>
          </w:tcPr>
          <w:p w:rsidR="00655B2A" w:rsidRPr="004A50B4" w:rsidRDefault="00655B2A" w:rsidP="003C6398">
            <w:pPr>
              <w:jc w:val="right"/>
              <w:rPr>
                <w:rFonts w:ascii="Times New Roman" w:hAnsi="Times New Roman" w:cs="Times New Roman"/>
                <w:color w:val="000000"/>
              </w:rPr>
            </w:pPr>
            <w:r w:rsidRPr="004A50B4">
              <w:rPr>
                <w:rFonts w:ascii="Times New Roman" w:hAnsi="Times New Roman" w:cs="Times New Roman"/>
                <w:color w:val="000000"/>
              </w:rPr>
              <w:t>$1,1</w:t>
            </w:r>
            <w:r w:rsidR="003C6398">
              <w:rPr>
                <w:rFonts w:ascii="Times New Roman" w:hAnsi="Times New Roman" w:cs="Times New Roman"/>
                <w:color w:val="000000"/>
              </w:rPr>
              <w:t>73,332</w:t>
            </w:r>
          </w:p>
        </w:tc>
        <w:tc>
          <w:tcPr>
            <w:tcW w:w="1710" w:type="dxa"/>
            <w:vAlign w:val="bottom"/>
          </w:tcPr>
          <w:p w:rsidR="00655B2A" w:rsidRPr="004A50B4" w:rsidRDefault="00655B2A" w:rsidP="008B1D05">
            <w:pPr>
              <w:jc w:val="right"/>
              <w:rPr>
                <w:rFonts w:ascii="Times New Roman" w:hAnsi="Times New Roman" w:cs="Times New Roman"/>
                <w:color w:val="000000"/>
              </w:rPr>
            </w:pPr>
            <w:r w:rsidRPr="004A50B4">
              <w:rPr>
                <w:rFonts w:ascii="Times New Roman" w:hAnsi="Times New Roman" w:cs="Times New Roman"/>
                <w:color w:val="000000"/>
              </w:rPr>
              <w:t>$</w:t>
            </w:r>
            <w:r w:rsidR="008B1D05">
              <w:rPr>
                <w:rFonts w:ascii="Times New Roman" w:hAnsi="Times New Roman" w:cs="Times New Roman"/>
                <w:color w:val="000000"/>
              </w:rPr>
              <w:t>55,301,446</w:t>
            </w:r>
          </w:p>
        </w:tc>
        <w:tc>
          <w:tcPr>
            <w:tcW w:w="1544" w:type="dxa"/>
            <w:vAlign w:val="bottom"/>
          </w:tcPr>
          <w:p w:rsidR="00655B2A" w:rsidRPr="004A50B4" w:rsidRDefault="00655B2A" w:rsidP="0039258A">
            <w:pPr>
              <w:jc w:val="right"/>
              <w:rPr>
                <w:rFonts w:ascii="Times New Roman" w:hAnsi="Times New Roman" w:cs="Times New Roman"/>
                <w:color w:val="000000"/>
              </w:rPr>
            </w:pPr>
            <w:r w:rsidRPr="004A50B4">
              <w:rPr>
                <w:rFonts w:ascii="Times New Roman" w:hAnsi="Times New Roman" w:cs="Times New Roman"/>
                <w:color w:val="000000"/>
              </w:rPr>
              <w:t>$</w:t>
            </w:r>
            <w:r w:rsidR="0039258A">
              <w:rPr>
                <w:rFonts w:ascii="Times New Roman" w:hAnsi="Times New Roman" w:cs="Times New Roman"/>
                <w:color w:val="000000"/>
              </w:rPr>
              <w:t>56,474,778</w:t>
            </w:r>
          </w:p>
        </w:tc>
      </w:tr>
      <w:tr w:rsidR="00376183" w:rsidRPr="004A50B4" w:rsidTr="00376183">
        <w:tc>
          <w:tcPr>
            <w:tcW w:w="2718" w:type="dxa"/>
            <w:vAlign w:val="bottom"/>
          </w:tcPr>
          <w:p w:rsidR="00655B2A" w:rsidRPr="004A50B4" w:rsidRDefault="00655B2A">
            <w:pPr>
              <w:rPr>
                <w:rFonts w:ascii="Times New Roman" w:hAnsi="Times New Roman" w:cs="Times New Roman"/>
                <w:color w:val="000000"/>
              </w:rPr>
            </w:pPr>
            <w:r w:rsidRPr="004A50B4">
              <w:rPr>
                <w:rFonts w:ascii="Times New Roman" w:hAnsi="Times New Roman" w:cs="Times New Roman"/>
                <w:color w:val="000000"/>
              </w:rPr>
              <w:t>Ongoing Costs Per Small BD</w:t>
            </w:r>
          </w:p>
        </w:tc>
        <w:tc>
          <w:tcPr>
            <w:tcW w:w="1530" w:type="dxa"/>
            <w:vAlign w:val="bottom"/>
          </w:tcPr>
          <w:p w:rsidR="00655B2A" w:rsidRPr="004A50B4" w:rsidRDefault="00655B2A" w:rsidP="003C7E3F">
            <w:pPr>
              <w:jc w:val="right"/>
              <w:rPr>
                <w:rFonts w:ascii="Times New Roman" w:hAnsi="Times New Roman" w:cs="Times New Roman"/>
                <w:color w:val="000000"/>
              </w:rPr>
            </w:pPr>
            <w:r w:rsidRPr="004A50B4">
              <w:rPr>
                <w:rFonts w:ascii="Times New Roman" w:hAnsi="Times New Roman" w:cs="Times New Roman"/>
                <w:color w:val="000000"/>
              </w:rPr>
              <w:t>2,3</w:t>
            </w:r>
            <w:r>
              <w:rPr>
                <w:rFonts w:ascii="Times New Roman" w:hAnsi="Times New Roman" w:cs="Times New Roman"/>
                <w:color w:val="000000"/>
              </w:rPr>
              <w:t>20</w:t>
            </w:r>
          </w:p>
        </w:tc>
        <w:tc>
          <w:tcPr>
            <w:tcW w:w="144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$2,978</w:t>
            </w:r>
          </w:p>
        </w:tc>
        <w:tc>
          <w:tcPr>
            <w:tcW w:w="1890" w:type="dxa"/>
            <w:vAlign w:val="bottom"/>
          </w:tcPr>
          <w:p w:rsidR="00655B2A" w:rsidRPr="003C6398" w:rsidRDefault="00655B2A">
            <w:pPr>
              <w:jc w:val="right"/>
              <w:rPr>
                <w:rFonts w:ascii="Times New Roman" w:hAnsi="Times New Roman" w:cs="Times New Roman"/>
                <w:color w:val="000000"/>
              </w:rPr>
            </w:pPr>
            <w:r w:rsidRPr="00164289">
              <w:rPr>
                <w:rFonts w:ascii="Times New Roman" w:hAnsi="Times New Roman" w:cs="Times New Roman"/>
                <w:color w:val="000000"/>
              </w:rPr>
              <w:t>$57,228</w:t>
            </w:r>
          </w:p>
        </w:tc>
        <w:tc>
          <w:tcPr>
            <w:tcW w:w="1710" w:type="dxa"/>
            <w:vAlign w:val="bottom"/>
          </w:tcPr>
          <w:p w:rsidR="00655B2A" w:rsidRPr="004A50B4" w:rsidRDefault="00655B2A" w:rsidP="003C6398">
            <w:pPr>
              <w:jc w:val="right"/>
              <w:rPr>
                <w:rFonts w:ascii="Times New Roman" w:hAnsi="Times New Roman" w:cs="Times New Roman"/>
                <w:color w:val="000000"/>
              </w:rPr>
            </w:pPr>
            <w:r w:rsidRPr="004A50B4">
              <w:rPr>
                <w:rFonts w:ascii="Times New Roman" w:hAnsi="Times New Roman" w:cs="Times New Roman"/>
                <w:color w:val="000000"/>
              </w:rPr>
              <w:t>$6,9</w:t>
            </w:r>
            <w:r w:rsidR="003C6398">
              <w:rPr>
                <w:rFonts w:ascii="Times New Roman" w:hAnsi="Times New Roman" w:cs="Times New Roman"/>
                <w:color w:val="000000"/>
              </w:rPr>
              <w:t>08,960</w:t>
            </w:r>
          </w:p>
        </w:tc>
        <w:tc>
          <w:tcPr>
            <w:tcW w:w="1710" w:type="dxa"/>
            <w:vAlign w:val="bottom"/>
          </w:tcPr>
          <w:p w:rsidR="00655B2A" w:rsidRPr="004A50B4" w:rsidRDefault="00655B2A" w:rsidP="008B1D05">
            <w:pPr>
              <w:jc w:val="right"/>
              <w:rPr>
                <w:rFonts w:ascii="Times New Roman" w:hAnsi="Times New Roman" w:cs="Times New Roman"/>
                <w:color w:val="000000"/>
              </w:rPr>
            </w:pPr>
            <w:r w:rsidRPr="004A50B4">
              <w:rPr>
                <w:rFonts w:ascii="Times New Roman" w:hAnsi="Times New Roman" w:cs="Times New Roman"/>
                <w:color w:val="000000"/>
              </w:rPr>
              <w:t>$</w:t>
            </w:r>
            <w:r w:rsidR="008B1D05">
              <w:rPr>
                <w:rFonts w:ascii="Times New Roman" w:hAnsi="Times New Roman" w:cs="Times New Roman"/>
                <w:color w:val="000000"/>
              </w:rPr>
              <w:t>132,768,960</w:t>
            </w:r>
          </w:p>
        </w:tc>
        <w:tc>
          <w:tcPr>
            <w:tcW w:w="1544" w:type="dxa"/>
            <w:vAlign w:val="bottom"/>
          </w:tcPr>
          <w:p w:rsidR="00655B2A" w:rsidRPr="004A50B4" w:rsidRDefault="00655B2A" w:rsidP="00172AB3">
            <w:pPr>
              <w:jc w:val="right"/>
              <w:rPr>
                <w:rFonts w:ascii="Times New Roman" w:hAnsi="Times New Roman" w:cs="Times New Roman"/>
                <w:color w:val="000000"/>
              </w:rPr>
            </w:pPr>
            <w:r w:rsidRPr="004A50B4">
              <w:rPr>
                <w:rFonts w:ascii="Times New Roman" w:hAnsi="Times New Roman" w:cs="Times New Roman"/>
                <w:color w:val="000000"/>
              </w:rPr>
              <w:t>$13</w:t>
            </w:r>
            <w:r w:rsidR="00172AB3">
              <w:rPr>
                <w:rFonts w:ascii="Times New Roman" w:hAnsi="Times New Roman" w:cs="Times New Roman"/>
                <w:color w:val="000000"/>
              </w:rPr>
              <w:t>9,677,920</w:t>
            </w:r>
          </w:p>
        </w:tc>
      </w:tr>
      <w:tr w:rsidR="00376183" w:rsidRPr="004A50B4" w:rsidTr="00376183">
        <w:tc>
          <w:tcPr>
            <w:tcW w:w="2718" w:type="dxa"/>
            <w:vAlign w:val="bottom"/>
          </w:tcPr>
          <w:p w:rsidR="00655B2A" w:rsidRPr="004A50B4" w:rsidRDefault="00655B2A">
            <w:pPr>
              <w:rPr>
                <w:rFonts w:ascii="Times New Roman" w:hAnsi="Times New Roman" w:cs="Times New Roman"/>
                <w:color w:val="000000"/>
              </w:rPr>
            </w:pPr>
            <w:r w:rsidRPr="004A50B4">
              <w:rPr>
                <w:rFonts w:ascii="Times New Roman" w:hAnsi="Times New Roman" w:cs="Times New Roman"/>
                <w:color w:val="000000"/>
              </w:rPr>
              <w:t>Ongoing Costs Per Small RIA</w:t>
            </w:r>
          </w:p>
        </w:tc>
        <w:tc>
          <w:tcPr>
            <w:tcW w:w="1530" w:type="dxa"/>
            <w:vAlign w:val="bottom"/>
          </w:tcPr>
          <w:p w:rsidR="00655B2A" w:rsidRPr="004A50B4" w:rsidRDefault="00655B2A" w:rsidP="003C7E3F">
            <w:pPr>
              <w:jc w:val="right"/>
              <w:rPr>
                <w:rFonts w:ascii="Times New Roman" w:hAnsi="Times New Roman" w:cs="Times New Roman"/>
                <w:color w:val="000000"/>
              </w:rPr>
            </w:pPr>
            <w:r w:rsidRPr="004A50B4">
              <w:rPr>
                <w:rFonts w:ascii="Times New Roman" w:hAnsi="Times New Roman" w:cs="Times New Roman"/>
                <w:color w:val="000000"/>
              </w:rPr>
              <w:t>3,1</w:t>
            </w:r>
            <w:r>
              <w:rPr>
                <w:rFonts w:ascii="Times New Roman" w:hAnsi="Times New Roman" w:cs="Times New Roman"/>
                <w:color w:val="000000"/>
              </w:rPr>
              <w:t>50</w:t>
            </w:r>
          </w:p>
        </w:tc>
        <w:tc>
          <w:tcPr>
            <w:tcW w:w="1440" w:type="dxa"/>
            <w:vAlign w:val="bottom"/>
          </w:tcPr>
          <w:p w:rsidR="00655B2A" w:rsidRPr="004A50B4" w:rsidRDefault="00655B2A">
            <w:pPr>
              <w:jc w:val="right"/>
              <w:rPr>
                <w:rFonts w:ascii="Times New Roman" w:hAnsi="Times New Roman" w:cs="Times New Roman"/>
                <w:color w:val="000000"/>
              </w:rPr>
            </w:pPr>
            <w:r w:rsidRPr="004A50B4">
              <w:rPr>
                <w:rFonts w:ascii="Times New Roman" w:hAnsi="Times New Roman" w:cs="Times New Roman"/>
                <w:color w:val="000000"/>
              </w:rPr>
              <w:t>$2,978</w:t>
            </w:r>
          </w:p>
        </w:tc>
        <w:tc>
          <w:tcPr>
            <w:tcW w:w="1890" w:type="dxa"/>
            <w:vAlign w:val="bottom"/>
          </w:tcPr>
          <w:p w:rsidR="00655B2A" w:rsidRPr="003C6398" w:rsidRDefault="00655B2A">
            <w:pPr>
              <w:jc w:val="right"/>
              <w:rPr>
                <w:rFonts w:ascii="Times New Roman" w:hAnsi="Times New Roman" w:cs="Times New Roman"/>
                <w:color w:val="000000"/>
              </w:rPr>
            </w:pPr>
            <w:r w:rsidRPr="00164289">
              <w:rPr>
                <w:rFonts w:ascii="Times New Roman" w:hAnsi="Times New Roman" w:cs="Times New Roman"/>
                <w:color w:val="000000"/>
              </w:rPr>
              <w:t>$44,521</w:t>
            </w:r>
          </w:p>
        </w:tc>
        <w:tc>
          <w:tcPr>
            <w:tcW w:w="1710" w:type="dxa"/>
            <w:vAlign w:val="bottom"/>
          </w:tcPr>
          <w:p w:rsidR="00655B2A" w:rsidRPr="004A50B4" w:rsidRDefault="00655B2A" w:rsidP="003C6398">
            <w:pPr>
              <w:jc w:val="right"/>
              <w:rPr>
                <w:rFonts w:ascii="Times New Roman" w:hAnsi="Times New Roman" w:cs="Times New Roman"/>
                <w:color w:val="000000"/>
              </w:rPr>
            </w:pPr>
            <w:r w:rsidRPr="004A50B4">
              <w:rPr>
                <w:rFonts w:ascii="Times New Roman" w:hAnsi="Times New Roman" w:cs="Times New Roman"/>
                <w:color w:val="000000"/>
              </w:rPr>
              <w:t>$9,3</w:t>
            </w:r>
            <w:r w:rsidR="003C6398">
              <w:rPr>
                <w:rFonts w:ascii="Times New Roman" w:hAnsi="Times New Roman" w:cs="Times New Roman"/>
                <w:color w:val="000000"/>
              </w:rPr>
              <w:t>80,700</w:t>
            </w:r>
          </w:p>
        </w:tc>
        <w:tc>
          <w:tcPr>
            <w:tcW w:w="1710" w:type="dxa"/>
            <w:vAlign w:val="bottom"/>
          </w:tcPr>
          <w:p w:rsidR="00655B2A" w:rsidRPr="004A50B4" w:rsidRDefault="00655B2A" w:rsidP="0039258A">
            <w:pPr>
              <w:jc w:val="right"/>
              <w:rPr>
                <w:rFonts w:ascii="Times New Roman" w:hAnsi="Times New Roman" w:cs="Times New Roman"/>
                <w:color w:val="000000"/>
              </w:rPr>
            </w:pPr>
            <w:r w:rsidRPr="004A50B4">
              <w:rPr>
                <w:rFonts w:ascii="Times New Roman" w:hAnsi="Times New Roman" w:cs="Times New Roman"/>
                <w:color w:val="000000"/>
              </w:rPr>
              <w:t>$</w:t>
            </w:r>
            <w:r w:rsidR="0039258A">
              <w:rPr>
                <w:rFonts w:ascii="Times New Roman" w:hAnsi="Times New Roman" w:cs="Times New Roman"/>
                <w:color w:val="000000"/>
              </w:rPr>
              <w:t>140,241,150</w:t>
            </w:r>
          </w:p>
        </w:tc>
        <w:tc>
          <w:tcPr>
            <w:tcW w:w="1544" w:type="dxa"/>
            <w:vAlign w:val="bottom"/>
          </w:tcPr>
          <w:p w:rsidR="00655B2A" w:rsidRPr="004A50B4" w:rsidRDefault="00655B2A" w:rsidP="00172AB3">
            <w:pPr>
              <w:jc w:val="right"/>
              <w:rPr>
                <w:rFonts w:ascii="Times New Roman" w:hAnsi="Times New Roman" w:cs="Times New Roman"/>
                <w:color w:val="000000"/>
              </w:rPr>
            </w:pPr>
            <w:r w:rsidRPr="004A50B4">
              <w:rPr>
                <w:rFonts w:ascii="Times New Roman" w:hAnsi="Times New Roman" w:cs="Times New Roman"/>
                <w:color w:val="000000"/>
              </w:rPr>
              <w:t>$</w:t>
            </w:r>
            <w:r w:rsidR="00172AB3">
              <w:rPr>
                <w:rFonts w:ascii="Times New Roman" w:hAnsi="Times New Roman" w:cs="Times New Roman"/>
                <w:color w:val="000000"/>
              </w:rPr>
              <w:t>149,621,850</w:t>
            </w:r>
          </w:p>
        </w:tc>
      </w:tr>
      <w:tr w:rsidR="00376183" w:rsidRPr="004A50B4" w:rsidTr="00376183">
        <w:tc>
          <w:tcPr>
            <w:tcW w:w="2718" w:type="dxa"/>
          </w:tcPr>
          <w:p w:rsidR="00E0765B" w:rsidRPr="004A50B4" w:rsidRDefault="00E0765B" w:rsidP="0030040C">
            <w:pPr>
              <w:widowControl/>
              <w:rPr>
                <w:rFonts w:ascii="Times New Roman" w:hAnsi="Times New Roman" w:cs="Times New Roman"/>
              </w:rPr>
            </w:pPr>
            <w:r w:rsidRPr="004A50B4">
              <w:rPr>
                <w:rFonts w:ascii="Times New Roman" w:hAnsi="Times New Roman" w:cs="Times New Roman"/>
              </w:rPr>
              <w:t>Total</w:t>
            </w:r>
          </w:p>
        </w:tc>
        <w:tc>
          <w:tcPr>
            <w:tcW w:w="1530" w:type="dxa"/>
            <w:vAlign w:val="bottom"/>
          </w:tcPr>
          <w:p w:rsidR="00E0765B" w:rsidRPr="004A50B4" w:rsidRDefault="00E0765B">
            <w:pPr>
              <w:jc w:val="right"/>
              <w:rPr>
                <w:rFonts w:ascii="Times New Roman" w:hAnsi="Times New Roman" w:cs="Times New Roman"/>
                <w:color w:val="000000"/>
              </w:rPr>
            </w:pPr>
            <w:r w:rsidRPr="004A50B4">
              <w:rPr>
                <w:rFonts w:ascii="Times New Roman" w:hAnsi="Times New Roman" w:cs="Times New Roman"/>
                <w:color w:val="000000"/>
              </w:rPr>
              <w:t>6,000</w:t>
            </w:r>
          </w:p>
        </w:tc>
        <w:tc>
          <w:tcPr>
            <w:tcW w:w="1440" w:type="dxa"/>
            <w:vAlign w:val="bottom"/>
          </w:tcPr>
          <w:p w:rsidR="00E0765B" w:rsidRPr="004A50B4" w:rsidRDefault="00E0765B">
            <w:pPr>
              <w:rPr>
                <w:rFonts w:ascii="Times New Roman" w:hAnsi="Times New Roman" w:cs="Times New Roman"/>
                <w:color w:val="000000"/>
              </w:rPr>
            </w:pPr>
          </w:p>
        </w:tc>
        <w:tc>
          <w:tcPr>
            <w:tcW w:w="1890" w:type="dxa"/>
            <w:vAlign w:val="bottom"/>
          </w:tcPr>
          <w:p w:rsidR="00E0765B" w:rsidRPr="004A50B4" w:rsidRDefault="00E0765B">
            <w:pPr>
              <w:rPr>
                <w:rFonts w:ascii="Times New Roman" w:hAnsi="Times New Roman" w:cs="Times New Roman"/>
                <w:color w:val="000000"/>
              </w:rPr>
            </w:pPr>
          </w:p>
        </w:tc>
        <w:tc>
          <w:tcPr>
            <w:tcW w:w="1710" w:type="dxa"/>
            <w:vAlign w:val="bottom"/>
          </w:tcPr>
          <w:p w:rsidR="00E0765B" w:rsidRPr="004A50B4" w:rsidRDefault="00E0765B" w:rsidP="004A50B4">
            <w:pPr>
              <w:jc w:val="right"/>
              <w:rPr>
                <w:rFonts w:ascii="Times New Roman" w:hAnsi="Times New Roman" w:cs="Times New Roman"/>
                <w:color w:val="000000"/>
              </w:rPr>
            </w:pPr>
            <w:r w:rsidRPr="004A50B4">
              <w:rPr>
                <w:rFonts w:ascii="Times New Roman" w:hAnsi="Times New Roman" w:cs="Times New Roman"/>
                <w:color w:val="000000"/>
              </w:rPr>
              <w:t>$18.1 million</w:t>
            </w:r>
          </w:p>
        </w:tc>
        <w:tc>
          <w:tcPr>
            <w:tcW w:w="1710" w:type="dxa"/>
            <w:vAlign w:val="bottom"/>
          </w:tcPr>
          <w:p w:rsidR="00E0765B" w:rsidRPr="004A50B4" w:rsidRDefault="00E0765B" w:rsidP="00655B2A">
            <w:pPr>
              <w:jc w:val="right"/>
              <w:rPr>
                <w:rFonts w:ascii="Times New Roman" w:hAnsi="Times New Roman" w:cs="Times New Roman"/>
                <w:color w:val="000000"/>
              </w:rPr>
            </w:pPr>
            <w:r w:rsidRPr="004A50B4">
              <w:rPr>
                <w:rFonts w:ascii="Times New Roman" w:hAnsi="Times New Roman" w:cs="Times New Roman"/>
                <w:color w:val="000000"/>
              </w:rPr>
              <w:t>$</w:t>
            </w:r>
            <w:r w:rsidR="00655B2A">
              <w:rPr>
                <w:rFonts w:ascii="Times New Roman" w:hAnsi="Times New Roman" w:cs="Times New Roman"/>
                <w:color w:val="000000"/>
              </w:rPr>
              <w:t>412.2</w:t>
            </w:r>
            <w:r w:rsidRPr="004A50B4">
              <w:rPr>
                <w:rFonts w:ascii="Times New Roman" w:hAnsi="Times New Roman" w:cs="Times New Roman"/>
                <w:color w:val="000000"/>
              </w:rPr>
              <w:t xml:space="preserve"> million</w:t>
            </w:r>
          </w:p>
        </w:tc>
        <w:tc>
          <w:tcPr>
            <w:tcW w:w="1544" w:type="dxa"/>
            <w:vAlign w:val="bottom"/>
          </w:tcPr>
          <w:p w:rsidR="00E0765B" w:rsidRPr="004A50B4" w:rsidRDefault="00E0765B" w:rsidP="00655B2A">
            <w:pPr>
              <w:jc w:val="right"/>
              <w:rPr>
                <w:rFonts w:ascii="Times New Roman" w:hAnsi="Times New Roman" w:cs="Times New Roman"/>
                <w:color w:val="000000"/>
              </w:rPr>
            </w:pPr>
            <w:r w:rsidRPr="004A50B4">
              <w:rPr>
                <w:rFonts w:ascii="Times New Roman" w:hAnsi="Times New Roman" w:cs="Times New Roman"/>
                <w:color w:val="000000"/>
              </w:rPr>
              <w:t>$</w:t>
            </w:r>
            <w:r w:rsidR="00655B2A">
              <w:rPr>
                <w:rFonts w:ascii="Times New Roman" w:hAnsi="Times New Roman" w:cs="Times New Roman"/>
                <w:color w:val="000000"/>
              </w:rPr>
              <w:t>430</w:t>
            </w:r>
            <w:r w:rsidRPr="004A50B4">
              <w:rPr>
                <w:rFonts w:ascii="Times New Roman" w:hAnsi="Times New Roman" w:cs="Times New Roman"/>
                <w:color w:val="000000"/>
              </w:rPr>
              <w:t>.3 million</w:t>
            </w:r>
          </w:p>
        </w:tc>
      </w:tr>
    </w:tbl>
    <w:p w:rsidR="00836D26" w:rsidRDefault="00836D26" w:rsidP="008C7AA2">
      <w:pPr>
        <w:widowControl/>
        <w:ind w:left="720"/>
        <w:rPr>
          <w:rFonts w:ascii="Times New Roman" w:hAnsi="Times New Roman"/>
        </w:rPr>
        <w:sectPr w:rsidR="00836D26" w:rsidSect="00DA6475">
          <w:endnotePr>
            <w:numFmt w:val="decimal"/>
          </w:endnotePr>
          <w:pgSz w:w="15840" w:h="12240" w:orient="landscape"/>
          <w:pgMar w:top="1440" w:right="1354" w:bottom="1440" w:left="1440" w:header="1354" w:footer="1440" w:gutter="0"/>
          <w:cols w:space="720"/>
          <w:noEndnote/>
          <w:docGrid w:linePitch="326"/>
        </w:sectPr>
      </w:pPr>
    </w:p>
    <w:p w:rsidR="00D80E55" w:rsidRDefault="00D80E55" w:rsidP="008C7AA2">
      <w:pPr>
        <w:widowControl/>
        <w:ind w:left="720"/>
        <w:rPr>
          <w:rFonts w:ascii="Times New Roman" w:hAnsi="Times New Roman"/>
        </w:rPr>
      </w:pPr>
    </w:p>
    <w:p w:rsidR="00D80E55" w:rsidRPr="00235B48" w:rsidRDefault="00D80E55" w:rsidP="008C7AA2">
      <w:pPr>
        <w:widowControl/>
        <w:ind w:left="720"/>
        <w:rPr>
          <w:rFonts w:ascii="Times New Roman" w:hAnsi="Times New Roman"/>
        </w:rPr>
      </w:pPr>
    </w:p>
    <w:p w:rsidR="00213639" w:rsidRDefault="008077F6" w:rsidP="00213639">
      <w:pPr>
        <w:ind w:left="720"/>
        <w:rPr>
          <w:rFonts w:ascii="Times New Roman" w:eastAsia="MS Mincho" w:hAnsi="Times New Roman"/>
        </w:rPr>
      </w:pPr>
      <w:r>
        <w:rPr>
          <w:rFonts w:ascii="Times New Roman" w:eastAsia="MS Mincho" w:hAnsi="Times New Roman"/>
        </w:rPr>
        <w:t xml:space="preserve">In addition to service provider costs, </w:t>
      </w:r>
      <w:r w:rsidR="00E7270B">
        <w:rPr>
          <w:rFonts w:ascii="Times New Roman" w:eastAsia="MS Mincho" w:hAnsi="Times New Roman"/>
        </w:rPr>
        <w:t>respondents will also incur cost burden associated with the distribution of disclosures.</w:t>
      </w:r>
      <w:r w:rsidR="00213639">
        <w:rPr>
          <w:rFonts w:ascii="Times New Roman" w:eastAsia="MS Mincho" w:hAnsi="Times New Roman"/>
        </w:rPr>
        <w:t xml:space="preserve">  </w:t>
      </w:r>
      <w:r w:rsidR="00B4177A">
        <w:rPr>
          <w:rFonts w:ascii="Times New Roman" w:eastAsia="MS Mincho" w:hAnsi="Times New Roman"/>
        </w:rPr>
        <w:t xml:space="preserve">Electronic distribution </w:t>
      </w:r>
      <w:r w:rsidR="008906A3">
        <w:rPr>
          <w:rFonts w:ascii="Times New Roman" w:eastAsia="MS Mincho" w:hAnsi="Times New Roman"/>
        </w:rPr>
        <w:t>is</w:t>
      </w:r>
      <w:r w:rsidR="00B4177A">
        <w:rPr>
          <w:rFonts w:ascii="Times New Roman" w:eastAsia="MS Mincho" w:hAnsi="Times New Roman"/>
        </w:rPr>
        <w:t xml:space="preserve"> assume</w:t>
      </w:r>
      <w:r w:rsidR="00A7150D">
        <w:rPr>
          <w:rFonts w:ascii="Times New Roman" w:eastAsia="MS Mincho" w:hAnsi="Times New Roman"/>
        </w:rPr>
        <w:t>d</w:t>
      </w:r>
      <w:r w:rsidR="00B4177A">
        <w:rPr>
          <w:rFonts w:ascii="Times New Roman" w:eastAsia="MS Mincho" w:hAnsi="Times New Roman"/>
        </w:rPr>
        <w:t xml:space="preserve"> to result in a de </w:t>
      </w:r>
      <w:proofErr w:type="spellStart"/>
      <w:r w:rsidR="00B4177A">
        <w:rPr>
          <w:rFonts w:ascii="Times New Roman" w:eastAsia="MS Mincho" w:hAnsi="Times New Roman"/>
        </w:rPr>
        <w:t>minimis</w:t>
      </w:r>
      <w:proofErr w:type="spellEnd"/>
      <w:r w:rsidR="00B4177A">
        <w:rPr>
          <w:rFonts w:ascii="Times New Roman" w:eastAsia="MS Mincho" w:hAnsi="Times New Roman"/>
        </w:rPr>
        <w:t xml:space="preserve"> cost.</w:t>
      </w:r>
      <w:r w:rsidR="00E7270B">
        <w:rPr>
          <w:rFonts w:ascii="Times New Roman" w:eastAsia="MS Mincho" w:hAnsi="Times New Roman"/>
        </w:rPr>
        <w:t xml:space="preserve">  Paper distribution will incur costs at a rate of $0.05 per page of materials costs and $0.49 per disclosure in postage costs.</w:t>
      </w:r>
    </w:p>
    <w:p w:rsidR="00213639" w:rsidRDefault="00213639" w:rsidP="00213639">
      <w:pPr>
        <w:ind w:left="720"/>
        <w:rPr>
          <w:rFonts w:ascii="Times New Roman" w:eastAsia="MS Mincho" w:hAnsi="Times New Roman"/>
        </w:rPr>
      </w:pPr>
    </w:p>
    <w:p w:rsidR="00A246C4" w:rsidRDefault="004E6238" w:rsidP="008C7AA2">
      <w:pPr>
        <w:widowControl/>
        <w:ind w:left="720"/>
        <w:rPr>
          <w:rFonts w:ascii="Times New Roman" w:hAnsi="Times New Roman"/>
        </w:rPr>
      </w:pPr>
      <w:r>
        <w:rPr>
          <w:rFonts w:ascii="Times New Roman" w:hAnsi="Times New Roman"/>
        </w:rPr>
        <w:t xml:space="preserve">As discussed in question 12, the Department estimates that </w:t>
      </w:r>
      <w:r w:rsidR="00C21020">
        <w:rPr>
          <w:rFonts w:ascii="Times New Roman" w:hAnsi="Times New Roman"/>
        </w:rPr>
        <w:t xml:space="preserve">respondents will </w:t>
      </w:r>
      <w:r w:rsidR="00F73043">
        <w:rPr>
          <w:rFonts w:ascii="Times New Roman" w:hAnsi="Times New Roman"/>
        </w:rPr>
        <w:t xml:space="preserve">mail </w:t>
      </w:r>
      <w:r w:rsidR="00D135B7">
        <w:rPr>
          <w:rFonts w:ascii="Times New Roman" w:hAnsi="Times New Roman"/>
        </w:rPr>
        <w:t>1.</w:t>
      </w:r>
      <w:r w:rsidR="00376183">
        <w:rPr>
          <w:rFonts w:ascii="Times New Roman" w:hAnsi="Times New Roman"/>
        </w:rPr>
        <w:t>2</w:t>
      </w:r>
      <w:r w:rsidR="00D135B7">
        <w:rPr>
          <w:rFonts w:ascii="Times New Roman" w:hAnsi="Times New Roman"/>
        </w:rPr>
        <w:t xml:space="preserve"> million 3-page paper transition disclosures during the first year; </w:t>
      </w:r>
      <w:r w:rsidR="00B2037F">
        <w:rPr>
          <w:rFonts w:ascii="Times New Roman" w:hAnsi="Times New Roman"/>
        </w:rPr>
        <w:t>1.</w:t>
      </w:r>
      <w:r w:rsidR="00CF2B03">
        <w:rPr>
          <w:rFonts w:ascii="Times New Roman" w:hAnsi="Times New Roman"/>
        </w:rPr>
        <w:t>4</w:t>
      </w:r>
      <w:r w:rsidR="00B2037F">
        <w:rPr>
          <w:rFonts w:ascii="Times New Roman" w:hAnsi="Times New Roman"/>
        </w:rPr>
        <w:t xml:space="preserve"> million 15-page paper contract disclosures and contracts during the first year and 2</w:t>
      </w:r>
      <w:r w:rsidR="00CF2B03">
        <w:rPr>
          <w:rFonts w:ascii="Times New Roman" w:hAnsi="Times New Roman"/>
        </w:rPr>
        <w:t>76</w:t>
      </w:r>
      <w:r w:rsidR="00B2037F">
        <w:rPr>
          <w:rFonts w:ascii="Times New Roman" w:hAnsi="Times New Roman"/>
        </w:rPr>
        <w:t>,000 15-page paper contract disclosures and contracts in subsequent years</w:t>
      </w:r>
      <w:r w:rsidR="00D135B7">
        <w:rPr>
          <w:rFonts w:ascii="Times New Roman" w:hAnsi="Times New Roman"/>
        </w:rPr>
        <w:t xml:space="preserve">; </w:t>
      </w:r>
      <w:r w:rsidR="00C32A1D">
        <w:rPr>
          <w:rFonts w:ascii="Times New Roman" w:hAnsi="Times New Roman"/>
        </w:rPr>
        <w:t>1.</w:t>
      </w:r>
      <w:r w:rsidR="000D5BF6">
        <w:rPr>
          <w:rFonts w:ascii="Times New Roman" w:hAnsi="Times New Roman"/>
        </w:rPr>
        <w:t>4</w:t>
      </w:r>
      <w:r w:rsidR="00C32A1D">
        <w:rPr>
          <w:rFonts w:ascii="Times New Roman" w:hAnsi="Times New Roman"/>
        </w:rPr>
        <w:t xml:space="preserve"> million 2-page paper annual disclosures during the second year and all subsequent years; and 34,000 5-page paper detailed disclosures during the second year and all subsequent years.</w:t>
      </w:r>
      <w:r w:rsidR="00F73043">
        <w:rPr>
          <w:rFonts w:ascii="Times New Roman" w:hAnsi="Times New Roman"/>
        </w:rPr>
        <w:t xml:space="preserve">  </w:t>
      </w:r>
      <w:r w:rsidR="005C6D5B">
        <w:rPr>
          <w:rFonts w:ascii="Times New Roman" w:hAnsi="Times New Roman"/>
        </w:rPr>
        <w:t>Therefore, respondents will incur a materials and postage cost of $</w:t>
      </w:r>
      <w:r w:rsidR="00904FA1">
        <w:rPr>
          <w:rFonts w:ascii="Times New Roman" w:hAnsi="Times New Roman"/>
        </w:rPr>
        <w:t>2.</w:t>
      </w:r>
      <w:r w:rsidR="00930F9A">
        <w:rPr>
          <w:rFonts w:ascii="Times New Roman" w:hAnsi="Times New Roman"/>
        </w:rPr>
        <w:t>5</w:t>
      </w:r>
      <w:r w:rsidR="00904FA1">
        <w:rPr>
          <w:rFonts w:ascii="Times New Roman" w:hAnsi="Times New Roman"/>
        </w:rPr>
        <w:t xml:space="preserve"> million during the first year</w:t>
      </w:r>
      <w:r w:rsidR="00B9777D" w:rsidRPr="005A37AE">
        <w:rPr>
          <w:rStyle w:val="FootnoteReference"/>
          <w:rFonts w:ascii="Times New Roman" w:hAnsi="Times New Roman"/>
          <w:vertAlign w:val="superscript"/>
        </w:rPr>
        <w:footnoteReference w:id="37"/>
      </w:r>
      <w:r w:rsidR="00904FA1">
        <w:rPr>
          <w:rFonts w:ascii="Times New Roman" w:hAnsi="Times New Roman"/>
        </w:rPr>
        <w:t xml:space="preserve"> and </w:t>
      </w:r>
      <w:r w:rsidR="00E47FB2">
        <w:rPr>
          <w:rFonts w:ascii="Times New Roman" w:hAnsi="Times New Roman"/>
        </w:rPr>
        <w:t>$1.</w:t>
      </w:r>
      <w:r w:rsidR="00F131DB">
        <w:rPr>
          <w:rFonts w:ascii="Times New Roman" w:hAnsi="Times New Roman"/>
        </w:rPr>
        <w:t>2</w:t>
      </w:r>
      <w:r w:rsidR="00E47FB2">
        <w:rPr>
          <w:rFonts w:ascii="Times New Roman" w:hAnsi="Times New Roman"/>
        </w:rPr>
        <w:t xml:space="preserve"> million during subsequent years.</w:t>
      </w:r>
      <w:r w:rsidR="005A37AE" w:rsidRPr="006C624B">
        <w:rPr>
          <w:rStyle w:val="FootnoteReference"/>
          <w:rFonts w:ascii="Times New Roman" w:hAnsi="Times New Roman"/>
          <w:vertAlign w:val="superscript"/>
        </w:rPr>
        <w:footnoteReference w:id="38"/>
      </w:r>
    </w:p>
    <w:p w:rsidR="00E47FB2" w:rsidRDefault="00E47FB2" w:rsidP="008C7AA2">
      <w:pPr>
        <w:widowControl/>
        <w:ind w:left="720"/>
        <w:rPr>
          <w:rFonts w:ascii="Times New Roman" w:hAnsi="Times New Roman"/>
        </w:rPr>
      </w:pPr>
    </w:p>
    <w:p w:rsidR="00E47FB2" w:rsidRDefault="00E47FB2" w:rsidP="008C7AA2">
      <w:pPr>
        <w:widowControl/>
        <w:ind w:left="720"/>
        <w:rPr>
          <w:rFonts w:ascii="Times New Roman" w:hAnsi="Times New Roman"/>
          <w:u w:val="single"/>
        </w:rPr>
      </w:pPr>
      <w:r>
        <w:rPr>
          <w:rFonts w:ascii="Times New Roman" w:hAnsi="Times New Roman"/>
          <w:u w:val="single"/>
        </w:rPr>
        <w:t>Summary</w:t>
      </w:r>
    </w:p>
    <w:p w:rsidR="00E47FB2" w:rsidRPr="00E47FB2" w:rsidRDefault="00CA5D08" w:rsidP="008C7AA2">
      <w:pPr>
        <w:widowControl/>
        <w:ind w:left="720"/>
        <w:rPr>
          <w:rFonts w:ascii="Times New Roman" w:hAnsi="Times New Roman"/>
        </w:rPr>
      </w:pPr>
      <w:r>
        <w:rPr>
          <w:rFonts w:ascii="Times New Roman" w:hAnsi="Times New Roman"/>
        </w:rPr>
        <w:t xml:space="preserve">The total cost burden for the information collections in this exemption, including </w:t>
      </w:r>
      <w:r w:rsidR="00FB63A1">
        <w:rPr>
          <w:rFonts w:ascii="Times New Roman" w:hAnsi="Times New Roman"/>
        </w:rPr>
        <w:t xml:space="preserve">outside legal assistance, other </w:t>
      </w:r>
      <w:r>
        <w:rPr>
          <w:rFonts w:ascii="Times New Roman" w:hAnsi="Times New Roman"/>
        </w:rPr>
        <w:t xml:space="preserve">service provider </w:t>
      </w:r>
      <w:r w:rsidR="00FB63A1">
        <w:rPr>
          <w:rFonts w:ascii="Times New Roman" w:hAnsi="Times New Roman"/>
        </w:rPr>
        <w:t>assistance,</w:t>
      </w:r>
      <w:r>
        <w:rPr>
          <w:rFonts w:ascii="Times New Roman" w:hAnsi="Times New Roman"/>
        </w:rPr>
        <w:t xml:space="preserve"> and materials and postage costs, is $</w:t>
      </w:r>
      <w:r w:rsidR="00930F9A">
        <w:rPr>
          <w:rFonts w:ascii="Times New Roman" w:hAnsi="Times New Roman"/>
        </w:rPr>
        <w:t>2.0</w:t>
      </w:r>
      <w:r>
        <w:rPr>
          <w:rFonts w:ascii="Times New Roman" w:hAnsi="Times New Roman"/>
        </w:rPr>
        <w:t xml:space="preserve"> billion during the first year</w:t>
      </w:r>
      <w:r w:rsidR="001F0661" w:rsidRPr="00E0765B">
        <w:rPr>
          <w:rStyle w:val="FootnoteReference"/>
          <w:rFonts w:ascii="Times New Roman" w:hAnsi="Times New Roman"/>
          <w:vertAlign w:val="superscript"/>
        </w:rPr>
        <w:footnoteReference w:id="39"/>
      </w:r>
      <w:r>
        <w:rPr>
          <w:rFonts w:ascii="Times New Roman" w:hAnsi="Times New Roman"/>
        </w:rPr>
        <w:t xml:space="preserve"> and </w:t>
      </w:r>
      <w:r w:rsidR="00FB63A1">
        <w:rPr>
          <w:rFonts w:ascii="Times New Roman" w:hAnsi="Times New Roman"/>
        </w:rPr>
        <w:t>$</w:t>
      </w:r>
      <w:r w:rsidR="00930F9A">
        <w:rPr>
          <w:rFonts w:ascii="Times New Roman" w:hAnsi="Times New Roman"/>
        </w:rPr>
        <w:t>431.5</w:t>
      </w:r>
      <w:r w:rsidR="00FB63A1">
        <w:rPr>
          <w:rFonts w:ascii="Times New Roman" w:hAnsi="Times New Roman"/>
        </w:rPr>
        <w:t xml:space="preserve"> million during subsequent years.</w:t>
      </w:r>
      <w:r w:rsidR="00E0765B" w:rsidRPr="00B16722">
        <w:rPr>
          <w:rStyle w:val="FootnoteReference"/>
          <w:rFonts w:ascii="Times New Roman" w:hAnsi="Times New Roman"/>
          <w:vertAlign w:val="superscript"/>
        </w:rPr>
        <w:footnoteReference w:id="40"/>
      </w:r>
      <w:r w:rsidR="002277D0">
        <w:rPr>
          <w:rFonts w:ascii="Times New Roman" w:hAnsi="Times New Roman"/>
        </w:rPr>
        <w:t xml:space="preserve">  For purposes of reginfo.gov database entries the burden has been annualized over the three-year approval the DOL seeks to $</w:t>
      </w:r>
      <w:r w:rsidR="00930F9A">
        <w:rPr>
          <w:rFonts w:ascii="Times New Roman" w:hAnsi="Times New Roman"/>
        </w:rPr>
        <w:t>939.7</w:t>
      </w:r>
      <w:r w:rsidR="002277D0">
        <w:rPr>
          <w:rFonts w:ascii="Times New Roman" w:hAnsi="Times New Roman"/>
        </w:rPr>
        <w:t xml:space="preserve"> million (rounded) per year.</w:t>
      </w:r>
    </w:p>
    <w:p w:rsidR="00AF6A04" w:rsidRPr="00235B48" w:rsidRDefault="00AF6A04" w:rsidP="008C7AA2">
      <w:pPr>
        <w:widowControl/>
        <w:ind w:left="720"/>
        <w:rPr>
          <w:rFonts w:ascii="Times New Roman" w:hAnsi="Times New Roman"/>
        </w:rPr>
      </w:pPr>
    </w:p>
    <w:p w:rsidR="00F3670F" w:rsidRPr="00235B48" w:rsidRDefault="00F3670F" w:rsidP="00235B48">
      <w:pPr>
        <w:pStyle w:val="Quick1"/>
        <w:widowControl/>
        <w:tabs>
          <w:tab w:val="left" w:pos="-1440"/>
          <w:tab w:val="num" w:pos="720"/>
        </w:tabs>
        <w:rPr>
          <w:rFonts w:ascii="Times New Roman" w:hAnsi="Times New Roman"/>
          <w:i/>
          <w:iCs/>
          <w:sz w:val="20"/>
          <w:szCs w:val="20"/>
        </w:rPr>
      </w:pPr>
      <w:r w:rsidRPr="00235B48">
        <w:rPr>
          <w:rFonts w:ascii="Times New Roman" w:hAnsi="Times New Roman"/>
          <w:i/>
          <w:i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7C13" w:rsidRPr="00235B48" w:rsidRDefault="00C97C13" w:rsidP="008C7AA2">
      <w:pPr>
        <w:pStyle w:val="Quick1"/>
        <w:widowControl/>
        <w:numPr>
          <w:ilvl w:val="0"/>
          <w:numId w:val="0"/>
        </w:numPr>
        <w:tabs>
          <w:tab w:val="left" w:pos="-1440"/>
        </w:tabs>
        <w:ind w:left="720"/>
        <w:rPr>
          <w:rFonts w:ascii="Times New Roman" w:hAnsi="Times New Roman"/>
          <w:i/>
          <w:iCs/>
          <w:sz w:val="20"/>
          <w:szCs w:val="20"/>
        </w:rPr>
      </w:pPr>
    </w:p>
    <w:p w:rsidR="00BE3D72" w:rsidRDefault="00DD0EA7" w:rsidP="008C7AA2">
      <w:pPr>
        <w:widowControl/>
        <w:ind w:left="720"/>
        <w:rPr>
          <w:rFonts w:ascii="Times New Roman" w:hAnsi="Times New Roman"/>
        </w:rPr>
      </w:pPr>
      <w:r>
        <w:rPr>
          <w:rFonts w:ascii="Times New Roman" w:hAnsi="Times New Roman"/>
        </w:rPr>
        <w:t>No cost to the Federal Government.</w:t>
      </w:r>
    </w:p>
    <w:p w:rsidR="003D5BAC" w:rsidRPr="00235B48" w:rsidRDefault="003D5BAC"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15.</w:t>
      </w:r>
      <w:r w:rsidRPr="00235B48">
        <w:rPr>
          <w:rFonts w:ascii="Times New Roman" w:hAnsi="Times New Roman"/>
        </w:rPr>
        <w:tab/>
      </w:r>
      <w:r w:rsidRPr="00235B48">
        <w:rPr>
          <w:rFonts w:ascii="Times New Roman" w:hAnsi="Times New Roman"/>
          <w:i/>
          <w:iCs/>
          <w:sz w:val="20"/>
          <w:szCs w:val="20"/>
        </w:rPr>
        <w:t>Explain the reasons for any program changes or adjustments reported in Items 13 or 14.</w:t>
      </w:r>
    </w:p>
    <w:p w:rsidR="00F3670F" w:rsidRPr="00235B48" w:rsidRDefault="00F3670F" w:rsidP="008C7AA2">
      <w:pPr>
        <w:widowControl/>
        <w:ind w:left="720"/>
        <w:rPr>
          <w:rFonts w:ascii="Times New Roman" w:hAnsi="Times New Roman"/>
        </w:rPr>
      </w:pPr>
    </w:p>
    <w:p w:rsidR="00BE3D72" w:rsidRDefault="008B58EC" w:rsidP="008C7AA2">
      <w:pPr>
        <w:widowControl/>
        <w:ind w:left="720"/>
        <w:rPr>
          <w:rFonts w:ascii="Times New Roman" w:hAnsi="Times New Roman"/>
        </w:rPr>
      </w:pPr>
      <w:r>
        <w:rPr>
          <w:rFonts w:ascii="Times New Roman" w:hAnsi="Times New Roman"/>
        </w:rPr>
        <w:t>This is a new information collection</w:t>
      </w:r>
      <w:r w:rsidR="003D5BAC">
        <w:rPr>
          <w:rFonts w:ascii="Times New Roman" w:hAnsi="Times New Roman"/>
        </w:rPr>
        <w:t>.</w:t>
      </w:r>
    </w:p>
    <w:p w:rsidR="003D5BAC" w:rsidRPr="00235B48" w:rsidRDefault="003D5BAC" w:rsidP="008C7AA2">
      <w:pPr>
        <w:widowControl/>
        <w:ind w:left="720"/>
        <w:rPr>
          <w:rFonts w:ascii="Times New Roman" w:hAnsi="Times New Roman"/>
        </w:rPr>
      </w:pPr>
    </w:p>
    <w:p w:rsidR="00F3670F" w:rsidRPr="00235B48" w:rsidRDefault="00F3670F" w:rsidP="00235B48">
      <w:pPr>
        <w:widowControl/>
        <w:tabs>
          <w:tab w:val="left" w:pos="-1440"/>
        </w:tabs>
        <w:ind w:left="720" w:hanging="720"/>
        <w:rPr>
          <w:rFonts w:ascii="Times New Roman" w:hAnsi="Times New Roman"/>
          <w:i/>
          <w:iCs/>
          <w:sz w:val="20"/>
          <w:szCs w:val="20"/>
        </w:rPr>
      </w:pPr>
      <w:r w:rsidRPr="00235B48">
        <w:rPr>
          <w:rFonts w:ascii="Times New Roman" w:hAnsi="Times New Roman"/>
        </w:rPr>
        <w:t>16.</w:t>
      </w:r>
      <w:r w:rsidRPr="00235B48">
        <w:rPr>
          <w:rFonts w:ascii="Times New Roman" w:hAnsi="Times New Roman"/>
        </w:rPr>
        <w:tab/>
      </w:r>
      <w:r w:rsidRPr="00235B48">
        <w:rPr>
          <w:rFonts w:ascii="Times New Roman" w:hAnsi="Times New Roman"/>
          <w:i/>
          <w:iCs/>
          <w:sz w:val="20"/>
          <w:szCs w:val="20"/>
        </w:rPr>
        <w:t xml:space="preserve">For collections of information whose results will be published, outline plans for tabulation, and publication.  Address any complex analytical techniques that will be used.  Provide the time schedule for </w:t>
      </w:r>
      <w:r w:rsidRPr="00235B48">
        <w:rPr>
          <w:rFonts w:ascii="Times New Roman" w:hAnsi="Times New Roman"/>
          <w:i/>
          <w:iCs/>
          <w:sz w:val="20"/>
          <w:szCs w:val="20"/>
        </w:rPr>
        <w:lastRenderedPageBreak/>
        <w:t>the entire project, including beginning and ending dates of the collection of information, completion of report, publication dates, and other actions.</w:t>
      </w:r>
    </w:p>
    <w:p w:rsidR="00586B52" w:rsidRPr="00176829" w:rsidRDefault="00586B52" w:rsidP="00176829">
      <w:pPr>
        <w:ind w:left="720"/>
        <w:rPr>
          <w:rFonts w:ascii="Times New Roman" w:hAnsi="Times New Roman"/>
        </w:rPr>
      </w:pPr>
    </w:p>
    <w:p w:rsidR="00586B52" w:rsidRPr="00176829" w:rsidRDefault="00586B52" w:rsidP="00176829">
      <w:pPr>
        <w:ind w:left="720"/>
        <w:rPr>
          <w:rFonts w:ascii="Times New Roman" w:hAnsi="Times New Roman"/>
        </w:rPr>
      </w:pPr>
      <w:r w:rsidRPr="00176829">
        <w:rPr>
          <w:rFonts w:ascii="Times New Roman" w:hAnsi="Times New Roman"/>
        </w:rPr>
        <w:t>There are no plans to publish results of this information collection.</w:t>
      </w:r>
    </w:p>
    <w:p w:rsidR="00BE3D72" w:rsidRPr="00176829" w:rsidRDefault="00BE3D72" w:rsidP="00176829">
      <w:pPr>
        <w:ind w:left="720"/>
        <w:rPr>
          <w:rFonts w:ascii="Times New Roman" w:hAnsi="Times New Roman"/>
        </w:rPr>
      </w:pPr>
    </w:p>
    <w:p w:rsidR="00F3670F" w:rsidRPr="00235B48" w:rsidRDefault="00F3670F" w:rsidP="00235B48">
      <w:pPr>
        <w:widowControl/>
        <w:numPr>
          <w:ilvl w:val="0"/>
          <w:numId w:val="5"/>
        </w:numPr>
        <w:tabs>
          <w:tab w:val="clear" w:pos="720"/>
          <w:tab w:val="left" w:pos="-1440"/>
        </w:tabs>
        <w:ind w:hanging="630"/>
        <w:rPr>
          <w:rFonts w:ascii="Times New Roman" w:hAnsi="Times New Roman"/>
          <w:i/>
          <w:iCs/>
          <w:sz w:val="20"/>
          <w:szCs w:val="20"/>
        </w:rPr>
      </w:pPr>
      <w:r w:rsidRPr="00235B48">
        <w:rPr>
          <w:rFonts w:ascii="Times New Roman" w:hAnsi="Times New Roman"/>
          <w:i/>
          <w:iCs/>
          <w:sz w:val="20"/>
          <w:szCs w:val="20"/>
        </w:rPr>
        <w:t>If seeking approval to not display the expiration date for OMB approval of the information collection, explain the reasons that display would be inappropriate.</w:t>
      </w:r>
    </w:p>
    <w:p w:rsidR="00CC65B0" w:rsidRPr="00235B48" w:rsidRDefault="00CC65B0" w:rsidP="00176829">
      <w:pPr>
        <w:widowControl/>
        <w:tabs>
          <w:tab w:val="left" w:pos="-1440"/>
        </w:tabs>
        <w:ind w:left="720"/>
        <w:rPr>
          <w:rFonts w:ascii="Times New Roman" w:hAnsi="Times New Roman"/>
          <w:i/>
          <w:iCs/>
          <w:sz w:val="20"/>
          <w:szCs w:val="20"/>
        </w:rPr>
      </w:pPr>
    </w:p>
    <w:p w:rsidR="0098013F" w:rsidRDefault="0098013F" w:rsidP="00176829">
      <w:pPr>
        <w:ind w:left="720"/>
        <w:rPr>
          <w:rFonts w:ascii="Times New Roman" w:hAnsi="Times New Roman"/>
        </w:rPr>
      </w:pPr>
      <w:r>
        <w:rPr>
          <w:rFonts w:ascii="Times New Roman" w:hAnsi="Times New Roman"/>
        </w:rPr>
        <w:t>The collection of information will display a currently valid OMB control number.</w:t>
      </w:r>
    </w:p>
    <w:p w:rsidR="00475204" w:rsidRPr="00235B48" w:rsidRDefault="00475204" w:rsidP="00176829">
      <w:pPr>
        <w:widowControl/>
        <w:tabs>
          <w:tab w:val="left" w:pos="-1440"/>
        </w:tabs>
        <w:ind w:left="720"/>
        <w:rPr>
          <w:rFonts w:ascii="Times New Roman" w:hAnsi="Times New Roman"/>
          <w:i/>
          <w:iCs/>
          <w:sz w:val="20"/>
          <w:szCs w:val="20"/>
        </w:rPr>
      </w:pPr>
    </w:p>
    <w:p w:rsidR="00F3670F" w:rsidRPr="00235B48" w:rsidRDefault="00F3670F" w:rsidP="00235B48">
      <w:pPr>
        <w:widowControl/>
        <w:tabs>
          <w:tab w:val="left" w:pos="-1440"/>
        </w:tabs>
        <w:ind w:left="720" w:hanging="720"/>
        <w:rPr>
          <w:rFonts w:ascii="Times New Roman" w:hAnsi="Times New Roman"/>
          <w:i/>
          <w:iCs/>
        </w:rPr>
      </w:pPr>
      <w:r w:rsidRPr="00235B48">
        <w:rPr>
          <w:rFonts w:ascii="Times New Roman" w:hAnsi="Times New Roman"/>
        </w:rPr>
        <w:t>18.</w:t>
      </w:r>
      <w:r w:rsidRPr="00235B48">
        <w:rPr>
          <w:rFonts w:ascii="Times New Roman" w:hAnsi="Times New Roman"/>
        </w:rPr>
        <w:tab/>
      </w:r>
      <w:r w:rsidRPr="00235B48">
        <w:rPr>
          <w:rFonts w:ascii="Times New Roman" w:hAnsi="Times New Roman"/>
          <w:i/>
          <w:iCs/>
          <w:sz w:val="20"/>
          <w:szCs w:val="20"/>
        </w:rPr>
        <w:t>Explain each exception to the certification statement identified in Item 19, "Certification for Paperwork Reduction Act Submission</w:t>
      </w:r>
      <w:r w:rsidR="008963C3">
        <w:rPr>
          <w:rFonts w:ascii="Times New Roman" w:hAnsi="Times New Roman"/>
          <w:i/>
          <w:iCs/>
          <w:sz w:val="20"/>
          <w:szCs w:val="20"/>
        </w:rPr>
        <w:t>.</w:t>
      </w:r>
      <w:r w:rsidRPr="00235B48">
        <w:rPr>
          <w:rFonts w:ascii="Times New Roman" w:hAnsi="Times New Roman"/>
          <w:i/>
          <w:iCs/>
          <w:sz w:val="20"/>
          <w:szCs w:val="20"/>
        </w:rPr>
        <w:t>"</w:t>
      </w:r>
    </w:p>
    <w:p w:rsidR="00F3670F" w:rsidRPr="00235B48" w:rsidRDefault="00F3670F" w:rsidP="00176829">
      <w:pPr>
        <w:widowControl/>
        <w:ind w:left="720"/>
        <w:rPr>
          <w:rFonts w:ascii="Times New Roman" w:hAnsi="Times New Roman"/>
        </w:rPr>
      </w:pPr>
    </w:p>
    <w:p w:rsidR="00586B52" w:rsidRDefault="00586B52" w:rsidP="00176829">
      <w:pPr>
        <w:widowControl/>
        <w:ind w:left="720"/>
        <w:rPr>
          <w:rFonts w:ascii="Times New Roman" w:hAnsi="Times New Roman"/>
        </w:rPr>
      </w:pPr>
      <w:proofErr w:type="gramStart"/>
      <w:r w:rsidRPr="00235B48">
        <w:rPr>
          <w:rFonts w:ascii="Times New Roman" w:hAnsi="Times New Roman"/>
        </w:rPr>
        <w:t>None.</w:t>
      </w:r>
      <w:proofErr w:type="gramEnd"/>
    </w:p>
    <w:p w:rsidR="00475204" w:rsidRDefault="00475204" w:rsidP="00176829">
      <w:pPr>
        <w:widowControl/>
        <w:ind w:left="720"/>
        <w:rPr>
          <w:rFonts w:ascii="Times New Roman" w:hAnsi="Times New Roman"/>
        </w:rPr>
      </w:pPr>
    </w:p>
    <w:p w:rsidR="00475204" w:rsidRDefault="00475204" w:rsidP="00475204">
      <w:pPr>
        <w:widowControl/>
        <w:outlineLvl w:val="0"/>
        <w:rPr>
          <w:rFonts w:ascii="Times New Roman" w:hAnsi="Times New Roman"/>
          <w:bCs/>
        </w:rPr>
      </w:pPr>
      <w:r>
        <w:rPr>
          <w:rFonts w:ascii="Times New Roman" w:hAnsi="Times New Roman"/>
          <w:b/>
          <w:bCs/>
        </w:rPr>
        <w:t>B</w:t>
      </w:r>
      <w:r w:rsidRPr="00235B48">
        <w:rPr>
          <w:rFonts w:ascii="Times New Roman" w:hAnsi="Times New Roman"/>
          <w:b/>
          <w:bCs/>
        </w:rPr>
        <w:t xml:space="preserve">.  </w:t>
      </w:r>
      <w:r>
        <w:rPr>
          <w:rFonts w:ascii="Times New Roman" w:hAnsi="Times New Roman"/>
          <w:b/>
          <w:bCs/>
        </w:rPr>
        <w:t>Statistical Methods</w:t>
      </w:r>
    </w:p>
    <w:p w:rsidR="00475204" w:rsidRDefault="00475204" w:rsidP="00176829">
      <w:pPr>
        <w:widowControl/>
        <w:ind w:left="720"/>
        <w:outlineLvl w:val="0"/>
        <w:rPr>
          <w:rFonts w:ascii="Times New Roman" w:hAnsi="Times New Roman"/>
          <w:bCs/>
        </w:rPr>
      </w:pPr>
    </w:p>
    <w:p w:rsidR="00475204" w:rsidRPr="00475204" w:rsidRDefault="00475204" w:rsidP="00176829">
      <w:pPr>
        <w:widowControl/>
        <w:ind w:left="720"/>
        <w:outlineLvl w:val="0"/>
        <w:rPr>
          <w:rFonts w:ascii="Times New Roman" w:hAnsi="Times New Roman"/>
        </w:rPr>
      </w:pPr>
      <w:r>
        <w:rPr>
          <w:rFonts w:ascii="Times New Roman" w:hAnsi="Times New Roman"/>
          <w:bCs/>
        </w:rPr>
        <w:t>This information collection does not employ statistical methods.</w:t>
      </w:r>
    </w:p>
    <w:p w:rsidR="00475204" w:rsidRPr="00235B48" w:rsidRDefault="00475204" w:rsidP="00176829">
      <w:pPr>
        <w:widowControl/>
        <w:ind w:left="720"/>
        <w:rPr>
          <w:rFonts w:ascii="Times New Roman" w:hAnsi="Times New Roman"/>
        </w:rPr>
      </w:pPr>
    </w:p>
    <w:sectPr w:rsidR="00475204" w:rsidRPr="00235B48" w:rsidSect="00DA6475">
      <w:endnotePr>
        <w:numFmt w:val="decimal"/>
      </w:endnotePr>
      <w:pgSz w:w="12240" w:h="15840"/>
      <w:pgMar w:top="1354" w:right="1440" w:bottom="1440" w:left="1440" w:header="1354"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06A" w:rsidRDefault="00FF106A">
      <w:r>
        <w:separator/>
      </w:r>
    </w:p>
  </w:endnote>
  <w:endnote w:type="continuationSeparator" w:id="0">
    <w:p w:rsidR="00FF106A" w:rsidRDefault="00FF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6A" w:rsidRPr="00164289" w:rsidRDefault="00FF106A" w:rsidP="00541F6D">
    <w:pPr>
      <w:pStyle w:val="Footer"/>
      <w:jc w:val="center"/>
      <w:rPr>
        <w:rFonts w:ascii="Times New Roman" w:hAnsi="Times New Roman"/>
      </w:rPr>
    </w:pPr>
    <w:r w:rsidRPr="00164289">
      <w:rPr>
        <w:rFonts w:ascii="Times New Roman" w:hAnsi="Times New Roman"/>
      </w:rPr>
      <w:fldChar w:fldCharType="begin"/>
    </w:r>
    <w:r w:rsidRPr="00164289">
      <w:rPr>
        <w:rFonts w:ascii="Times New Roman" w:hAnsi="Times New Roman"/>
      </w:rPr>
      <w:instrText xml:space="preserve"> PAGE   \* MERGEFORMAT </w:instrText>
    </w:r>
    <w:r w:rsidRPr="00164289">
      <w:rPr>
        <w:rFonts w:ascii="Times New Roman" w:hAnsi="Times New Roman"/>
      </w:rPr>
      <w:fldChar w:fldCharType="separate"/>
    </w:r>
    <w:r w:rsidR="00725FA2">
      <w:rPr>
        <w:rFonts w:ascii="Times New Roman" w:hAnsi="Times New Roman"/>
        <w:noProof/>
      </w:rPr>
      <w:t>7</w:t>
    </w:r>
    <w:r w:rsidRPr="00164289">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06A" w:rsidRDefault="00FF106A">
      <w:r>
        <w:separator/>
      </w:r>
    </w:p>
  </w:footnote>
  <w:footnote w:type="continuationSeparator" w:id="0">
    <w:p w:rsidR="00FF106A" w:rsidRDefault="00FF106A">
      <w:r>
        <w:continuationSeparator/>
      </w:r>
    </w:p>
  </w:footnote>
  <w:footnote w:id="1">
    <w:p w:rsidR="00FF106A" w:rsidRPr="00B20D7B" w:rsidRDefault="00FF106A" w:rsidP="00C94150">
      <w:pPr>
        <w:pStyle w:val="FootnoteText"/>
        <w:rPr>
          <w:rFonts w:ascii="Times New Roman" w:eastAsiaTheme="minorHAnsi" w:hAnsi="Times New Roman"/>
        </w:rPr>
      </w:pPr>
      <w:r w:rsidRPr="00B20D7B">
        <w:rPr>
          <w:rStyle w:val="FootnoteReference"/>
          <w:rFonts w:ascii="Times New Roman" w:eastAsiaTheme="majorEastAsia" w:hAnsi="Times New Roman"/>
          <w:vertAlign w:val="superscript"/>
        </w:rPr>
        <w:footnoteRef/>
      </w:r>
      <w:r w:rsidRPr="00B20D7B">
        <w:rPr>
          <w:rFonts w:ascii="Times New Roman" w:hAnsi="Times New Roman"/>
        </w:rPr>
        <w:t xml:space="preserve"> Regulations at 29 CFR </w:t>
      </w:r>
      <w:proofErr w:type="gramStart"/>
      <w:r w:rsidRPr="00B20D7B">
        <w:rPr>
          <w:rFonts w:ascii="Times New Roman" w:hAnsi="Times New Roman"/>
        </w:rPr>
        <w:t>section</w:t>
      </w:r>
      <w:proofErr w:type="gramEnd"/>
      <w:r w:rsidRPr="00B20D7B">
        <w:rPr>
          <w:rFonts w:ascii="Times New Roman" w:hAnsi="Times New Roman"/>
        </w:rPr>
        <w:t xml:space="preserve"> 2570.30 to 2570.52 describe the procedures for applying for an administrative exemption under ERISA.  Code section 4975(c</w:t>
      </w:r>
      <w:proofErr w:type="gramStart"/>
      <w:r w:rsidRPr="00B20D7B">
        <w:rPr>
          <w:rFonts w:ascii="Times New Roman" w:hAnsi="Times New Roman"/>
        </w:rPr>
        <w:t>)(</w:t>
      </w:r>
      <w:proofErr w:type="gramEnd"/>
      <w:r w:rsidRPr="00B20D7B">
        <w:rPr>
          <w:rFonts w:ascii="Times New Roman" w:hAnsi="Times New Roman"/>
        </w:rPr>
        <w:t xml:space="preserve">2) authorizes the Secretary of the Treasury to grant exemptions from the parallel prohibited transaction provisions of the Code.  </w:t>
      </w:r>
      <w:r w:rsidRPr="00B20D7B">
        <w:rPr>
          <w:rFonts w:ascii="Times New Roman" w:eastAsiaTheme="minorHAnsi" w:hAnsi="Times New Roman"/>
        </w:rPr>
        <w:t>Reorganization Plan No. 4 of 1978 (5 U.S.C. app. at 214 (2000)) generally transferred the authority of the Secretary of the Treasury to issue administrative exemptions under Code section 4975 to the Secretary of Labor.</w:t>
      </w:r>
    </w:p>
  </w:footnote>
  <w:footnote w:id="2">
    <w:p w:rsidR="00FF106A" w:rsidRPr="00041FFB" w:rsidRDefault="00FF106A">
      <w:pPr>
        <w:pStyle w:val="FootnoteText"/>
        <w:rPr>
          <w:rFonts w:ascii="Times New Roman" w:hAnsi="Times New Roman"/>
        </w:rPr>
      </w:pPr>
      <w:r w:rsidRPr="00041FFB">
        <w:rPr>
          <w:rStyle w:val="FootnoteReference"/>
          <w:rFonts w:ascii="Times New Roman" w:hAnsi="Times New Roman"/>
          <w:vertAlign w:val="superscript"/>
        </w:rPr>
        <w:footnoteRef/>
      </w:r>
      <w:r w:rsidRPr="00041FFB">
        <w:rPr>
          <w:rFonts w:ascii="Times New Roman" w:hAnsi="Times New Roman"/>
        </w:rPr>
        <w:t xml:space="preserve"> </w:t>
      </w:r>
      <w:r w:rsidRPr="00DF3CAA">
        <w:rPr>
          <w:rFonts w:ascii="Times New Roman" w:hAnsi="Times New Roman"/>
        </w:rPr>
        <w:t>This number is calculated by adding the 13% of load mutual funds in 401(k) plans according to Figure A2 and the 11% of 12b-1 fees in &gt;.0 to 0.25 of 401(k) Stock Mutual Fund Assets in Figure A6 both of ICI Research Perspective, Vol. 21 No.3 of August 2015</w:t>
      </w:r>
    </w:p>
  </w:footnote>
  <w:footnote w:id="3">
    <w:p w:rsidR="00FF106A" w:rsidRPr="00D6108E" w:rsidRDefault="00FF106A">
      <w:pPr>
        <w:pStyle w:val="FootnoteText"/>
        <w:rPr>
          <w:rFonts w:ascii="Times New Roman" w:hAnsi="Times New Roman"/>
        </w:rPr>
      </w:pPr>
      <w:r w:rsidRPr="00D6108E">
        <w:rPr>
          <w:rStyle w:val="FootnoteReference"/>
          <w:rFonts w:ascii="Times New Roman" w:hAnsi="Times New Roman"/>
          <w:vertAlign w:val="superscript"/>
        </w:rPr>
        <w:footnoteRef/>
      </w:r>
      <w:r w:rsidRPr="00D6108E">
        <w:rPr>
          <w:rFonts w:ascii="Times New Roman" w:hAnsi="Times New Roman"/>
        </w:rPr>
        <w:t xml:space="preserve"> </w:t>
      </w:r>
      <w:r w:rsidRPr="00E676B3">
        <w:rPr>
          <w:rFonts w:ascii="Times New Roman" w:hAnsi="Times New Roman"/>
        </w:rPr>
        <w:t xml:space="preserve">Figure A15 of ICI's February 2016 Appendix:  Additional Data on IRA Ownership in 2015 states that 82 percent of traditional IRAs with rollovers are held by investment professionals.  </w:t>
      </w:r>
      <w:r w:rsidRPr="00473752">
        <w:rPr>
          <w:rFonts w:ascii="Times New Roman" w:hAnsi="Times New Roman"/>
        </w:rPr>
        <w:t xml:space="preserve">This number was revised downward to reflect IRAs held by Insurance Companies and RIAs that would not </w:t>
      </w:r>
      <w:r>
        <w:rPr>
          <w:rFonts w:ascii="Times New Roman" w:hAnsi="Times New Roman"/>
        </w:rPr>
        <w:t xml:space="preserve">need to seek </w:t>
      </w:r>
      <w:proofErr w:type="spellStart"/>
      <w:r>
        <w:rPr>
          <w:rFonts w:ascii="Times New Roman" w:hAnsi="Times New Roman"/>
        </w:rPr>
        <w:t>exemptive</w:t>
      </w:r>
      <w:proofErr w:type="spellEnd"/>
      <w:r>
        <w:rPr>
          <w:rFonts w:ascii="Times New Roman" w:hAnsi="Times New Roman"/>
        </w:rPr>
        <w:t xml:space="preserve"> relief.</w:t>
      </w:r>
    </w:p>
  </w:footnote>
  <w:footnote w:id="4">
    <w:p w:rsidR="00FF106A" w:rsidRPr="00E60A1A" w:rsidRDefault="00FF106A" w:rsidP="00C31E44">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vertAlign w:val="superscript"/>
        </w:rPr>
        <w:t xml:space="preserve"> </w:t>
      </w:r>
      <w:r>
        <w:rPr>
          <w:rFonts w:ascii="Times New Roman" w:hAnsi="Times New Roman"/>
        </w:rPr>
        <w:t>44</w:t>
      </w:r>
      <w:r w:rsidRPr="00E60A1A">
        <w:rPr>
          <w:rFonts w:ascii="Times New Roman" w:hAnsi="Times New Roman"/>
        </w:rPr>
        <w:t xml:space="preserve">,000 DB plans x 20 percent </w:t>
      </w:r>
      <w:r>
        <w:rPr>
          <w:rFonts w:ascii="Times New Roman" w:hAnsi="Times New Roman"/>
        </w:rPr>
        <w:t xml:space="preserve">x 10 percent </w:t>
      </w:r>
      <w:r w:rsidRPr="00E60A1A">
        <w:rPr>
          <w:rFonts w:ascii="Times New Roman" w:hAnsi="Times New Roman"/>
        </w:rPr>
        <w:t xml:space="preserve">= </w:t>
      </w:r>
      <w:r>
        <w:rPr>
          <w:rFonts w:ascii="Times New Roman" w:hAnsi="Times New Roman"/>
        </w:rPr>
        <w:t>900</w:t>
      </w:r>
      <w:r w:rsidRPr="00E60A1A">
        <w:rPr>
          <w:rFonts w:ascii="Times New Roman" w:hAnsi="Times New Roman"/>
        </w:rPr>
        <w:t xml:space="preserve"> DB plans engaging in transactions.</w:t>
      </w:r>
    </w:p>
  </w:footnote>
  <w:footnote w:id="5">
    <w:p w:rsidR="00FF106A" w:rsidRPr="00E60A1A" w:rsidRDefault="00FF106A" w:rsidP="00C31E44">
      <w:pPr>
        <w:pStyle w:val="FootnoteText"/>
        <w:rPr>
          <w:rFonts w:ascii="Times New Roman" w:hAnsi="Times New Roman"/>
        </w:rPr>
      </w:pPr>
      <w:r w:rsidRPr="004D5A1F">
        <w:rPr>
          <w:rStyle w:val="FootnoteReference"/>
          <w:rFonts w:ascii="Times New Roman" w:hAnsi="Times New Roman"/>
          <w:vertAlign w:val="superscript"/>
        </w:rPr>
        <w:footnoteRef/>
      </w:r>
      <w:r w:rsidRPr="004D5A1F">
        <w:rPr>
          <w:rFonts w:ascii="Times New Roman" w:hAnsi="Times New Roman"/>
          <w:vertAlign w:val="superscript"/>
        </w:rPr>
        <w:t xml:space="preserve"> </w:t>
      </w:r>
      <w:r w:rsidRPr="00E60A1A">
        <w:rPr>
          <w:rFonts w:ascii="Times New Roman" w:hAnsi="Times New Roman"/>
        </w:rPr>
        <w:t>1</w:t>
      </w:r>
      <w:r>
        <w:rPr>
          <w:rFonts w:ascii="Times New Roman" w:hAnsi="Times New Roman"/>
        </w:rPr>
        <w:t>19</w:t>
      </w:r>
      <w:r w:rsidRPr="00E60A1A">
        <w:rPr>
          <w:rFonts w:ascii="Times New Roman" w:hAnsi="Times New Roman"/>
        </w:rPr>
        <w:t xml:space="preserve">,000 DC plans x </w:t>
      </w:r>
      <w:r>
        <w:rPr>
          <w:rFonts w:ascii="Times New Roman" w:hAnsi="Times New Roman"/>
        </w:rPr>
        <w:t>24</w:t>
      </w:r>
      <w:r w:rsidRPr="00E60A1A">
        <w:rPr>
          <w:rFonts w:ascii="Times New Roman" w:hAnsi="Times New Roman"/>
        </w:rPr>
        <w:t xml:space="preserve"> percent</w:t>
      </w:r>
      <w:r>
        <w:rPr>
          <w:rFonts w:ascii="Times New Roman" w:hAnsi="Times New Roman"/>
        </w:rPr>
        <w:t xml:space="preserve"> x 10 </w:t>
      </w:r>
      <w:proofErr w:type="gramStart"/>
      <w:r>
        <w:rPr>
          <w:rFonts w:ascii="Times New Roman" w:hAnsi="Times New Roman"/>
        </w:rPr>
        <w:t xml:space="preserve">percent </w:t>
      </w:r>
      <w:r w:rsidRPr="00E60A1A">
        <w:rPr>
          <w:rFonts w:ascii="Times New Roman" w:hAnsi="Times New Roman"/>
        </w:rPr>
        <w:t xml:space="preserve"> =</w:t>
      </w:r>
      <w:proofErr w:type="gramEnd"/>
      <w:r w:rsidRPr="00E60A1A">
        <w:rPr>
          <w:rFonts w:ascii="Times New Roman" w:hAnsi="Times New Roman"/>
        </w:rPr>
        <w:t xml:space="preserve"> </w:t>
      </w:r>
      <w:r>
        <w:rPr>
          <w:rFonts w:ascii="Times New Roman" w:hAnsi="Times New Roman"/>
        </w:rPr>
        <w:t>3</w:t>
      </w:r>
      <w:r w:rsidRPr="00E60A1A">
        <w:rPr>
          <w:rFonts w:ascii="Times New Roman" w:hAnsi="Times New Roman"/>
        </w:rPr>
        <w:t>,000 DC plans engaging in transactions.</w:t>
      </w:r>
    </w:p>
  </w:footnote>
  <w:footnote w:id="6">
    <w:p w:rsidR="00FF106A" w:rsidRPr="00E60A1A" w:rsidRDefault="00FF106A" w:rsidP="00C31E44">
      <w:pPr>
        <w:pStyle w:val="FootnoteText"/>
        <w:rPr>
          <w:rFonts w:ascii="Times New Roman" w:hAnsi="Times New Roman"/>
        </w:rPr>
      </w:pPr>
      <w:r w:rsidRPr="004D5A1F">
        <w:rPr>
          <w:rStyle w:val="FootnoteReference"/>
          <w:rFonts w:ascii="Times New Roman" w:hAnsi="Times New Roman"/>
          <w:vertAlign w:val="superscript"/>
        </w:rPr>
        <w:footnoteRef/>
      </w:r>
      <w:r w:rsidRPr="00E60A1A">
        <w:rPr>
          <w:rFonts w:ascii="Times New Roman" w:hAnsi="Times New Roman"/>
        </w:rPr>
        <w:t xml:space="preserve"> 6</w:t>
      </w:r>
      <w:r>
        <w:rPr>
          <w:rFonts w:ascii="Times New Roman" w:hAnsi="Times New Roman"/>
        </w:rPr>
        <w:t>9.9</w:t>
      </w:r>
      <w:r w:rsidRPr="00E60A1A">
        <w:rPr>
          <w:rFonts w:ascii="Times New Roman" w:hAnsi="Times New Roman"/>
        </w:rPr>
        <w:t xml:space="preserve"> million DC plan participants x </w:t>
      </w:r>
      <w:r>
        <w:rPr>
          <w:rFonts w:ascii="Times New Roman" w:hAnsi="Times New Roman"/>
        </w:rPr>
        <w:t>24</w:t>
      </w:r>
      <w:r w:rsidRPr="00E60A1A">
        <w:rPr>
          <w:rFonts w:ascii="Times New Roman" w:hAnsi="Times New Roman"/>
        </w:rPr>
        <w:t xml:space="preserve"> percent x 6.</w:t>
      </w:r>
      <w:r>
        <w:rPr>
          <w:rFonts w:ascii="Times New Roman" w:hAnsi="Times New Roman"/>
        </w:rPr>
        <w:t>42</w:t>
      </w:r>
      <w:r w:rsidRPr="00E60A1A">
        <w:rPr>
          <w:rFonts w:ascii="Times New Roman" w:hAnsi="Times New Roman"/>
        </w:rPr>
        <w:t xml:space="preserve"> percent </w:t>
      </w:r>
      <w:r>
        <w:rPr>
          <w:rFonts w:ascii="Times New Roman" w:hAnsi="Times New Roman"/>
        </w:rPr>
        <w:t xml:space="preserve">x 1 percent </w:t>
      </w:r>
      <w:r w:rsidRPr="00E60A1A">
        <w:rPr>
          <w:rFonts w:ascii="Times New Roman" w:hAnsi="Times New Roman"/>
        </w:rPr>
        <w:t>= 1</w:t>
      </w:r>
      <w:r>
        <w:rPr>
          <w:rFonts w:ascii="Times New Roman" w:hAnsi="Times New Roman"/>
        </w:rPr>
        <w:t>1,000</w:t>
      </w:r>
      <w:r w:rsidRPr="00E60A1A">
        <w:rPr>
          <w:rFonts w:ascii="Times New Roman" w:hAnsi="Times New Roman"/>
        </w:rPr>
        <w:t xml:space="preserve"> DC plan participants engaging in transactions.</w:t>
      </w:r>
    </w:p>
  </w:footnote>
  <w:footnote w:id="7">
    <w:p w:rsidR="00FF106A" w:rsidRPr="00E60A1A" w:rsidRDefault="00FF106A" w:rsidP="00C31E44">
      <w:pPr>
        <w:pStyle w:val="FootnoteText"/>
        <w:rPr>
          <w:rFonts w:ascii="Times New Roman" w:hAnsi="Times New Roman"/>
        </w:rPr>
      </w:pPr>
      <w:r w:rsidRPr="004D5A1F">
        <w:rPr>
          <w:rStyle w:val="FootnoteReference"/>
          <w:rFonts w:ascii="Times New Roman" w:hAnsi="Times New Roman"/>
          <w:vertAlign w:val="superscript"/>
        </w:rPr>
        <w:footnoteRef/>
      </w:r>
      <w:r w:rsidRPr="00E60A1A">
        <w:rPr>
          <w:rFonts w:ascii="Times New Roman" w:hAnsi="Times New Roman"/>
        </w:rPr>
        <w:t xml:space="preserve"> </w:t>
      </w:r>
      <w:r>
        <w:rPr>
          <w:rFonts w:ascii="Times New Roman" w:hAnsi="Times New Roman"/>
        </w:rPr>
        <w:t>54.4 million IRAs x 45 percent x 10 percent = 2.4 million IRAs engaging in transactions.</w:t>
      </w:r>
    </w:p>
  </w:footnote>
  <w:footnote w:id="8">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One commenter questioned the basis for the Department’s assumption regarding the number of Financial Institutions likely to use the exemption.  According to the "2015 Investment Management Compliance Testing Survey", Investment Adviser Association, 63 percent of Registered Investment Advisers service ERISA-covered plans and IRAs.  The Department assumes that a similar share of small and medium broker-dealers service ERISA-covered plans and IRAs and that all large broker-dealers service ERISA-covered plans and IRAs.  Additionally, the Department assumed that RIAs that that engage in principal transactions would need to seek </w:t>
      </w:r>
      <w:proofErr w:type="spellStart"/>
      <w:r w:rsidRPr="00541BBA">
        <w:rPr>
          <w:rFonts w:ascii="Times New Roman" w:hAnsi="Times New Roman"/>
        </w:rPr>
        <w:t>exemptive</w:t>
      </w:r>
      <w:proofErr w:type="spellEnd"/>
      <w:r w:rsidRPr="00541BBA">
        <w:rPr>
          <w:rFonts w:ascii="Times New Roman" w:hAnsi="Times New Roman"/>
        </w:rPr>
        <w:t xml:space="preserve"> relief.  </w:t>
      </w:r>
      <w:r w:rsidR="0086166F" w:rsidRPr="0086166F">
        <w:rPr>
          <w:rFonts w:ascii="Times New Roman" w:hAnsi="Times New Roman"/>
        </w:rPr>
        <w:t>Further, according to Hung et al. (2008) (see regulatory impact analysis for complete citation), approximately 13 percent of RIAs report receiving commissions.</w:t>
      </w:r>
      <w:r w:rsidRPr="00541BBA">
        <w:rPr>
          <w:rFonts w:ascii="Times New Roman" w:hAnsi="Times New Roman"/>
        </w:rPr>
        <w:t xml:space="preserve">  Additionally, 20 percent of RIAs report receiving performance based fees; however, at least 60 percent of these RIAs are likely to be hedge funds.  Therefore, as much as 8 percent of RIAs providing investment advice receive performance based fees.  Combining the 8 percent of RIAs receiving performance based fees with the 13 percent of RIAs receiving commissions produces a conservative estimate of 21 percent of RIAs that might need to seek </w:t>
      </w:r>
      <w:proofErr w:type="spellStart"/>
      <w:r w:rsidRPr="00541BBA">
        <w:rPr>
          <w:rFonts w:ascii="Times New Roman" w:hAnsi="Times New Roman"/>
        </w:rPr>
        <w:t>exemptive</w:t>
      </w:r>
      <w:proofErr w:type="spellEnd"/>
      <w:r w:rsidRPr="00541BBA">
        <w:rPr>
          <w:rFonts w:ascii="Times New Roman" w:hAnsi="Times New Roman"/>
        </w:rPr>
        <w:t xml:space="preserve"> relief.  Although the Department believes that very few RIAs that are not also BDs engage in Principal Transactions, its data to support this belief is limited, so the Department is conservatively assuming that the same RIAs that receive performance-based fees and commissions are the types of RIAs that might engage in Principal Transactions.  Therefore, the Department estimates that approximately 6,000 BDs and RIAs could use the Exemption.</w:t>
      </w:r>
    </w:p>
  </w:footnote>
  <w:footnote w:id="9">
    <w:p w:rsidR="00FF106A" w:rsidRPr="00A21814" w:rsidRDefault="00FF106A">
      <w:pPr>
        <w:pStyle w:val="FootnoteText"/>
        <w:rPr>
          <w:rFonts w:ascii="Times New Roman" w:hAnsi="Times New Roman"/>
        </w:rPr>
      </w:pPr>
      <w:r w:rsidRPr="00612F60">
        <w:rPr>
          <w:rStyle w:val="FootnoteReference"/>
          <w:rFonts w:ascii="Times New Roman" w:hAnsi="Times New Roman"/>
          <w:vertAlign w:val="superscript"/>
        </w:rPr>
        <w:footnoteRef/>
      </w:r>
      <w:r w:rsidRPr="00A21814">
        <w:rPr>
          <w:rFonts w:ascii="Times New Roman" w:hAnsi="Times New Roman"/>
        </w:rPr>
        <w:t xml:space="preserve"> According to a</w:t>
      </w:r>
      <w:r>
        <w:rPr>
          <w:rFonts w:ascii="Times New Roman" w:hAnsi="Times New Roman"/>
        </w:rPr>
        <w:t>n</w:t>
      </w:r>
      <w:r w:rsidRPr="00A21814">
        <w:rPr>
          <w:rFonts w:ascii="Times New Roman" w:hAnsi="Times New Roman"/>
        </w:rPr>
        <w:t xml:space="preserve"> analysis of Form 5500 Schedule C data </w:t>
      </w:r>
      <w:r>
        <w:rPr>
          <w:rFonts w:ascii="Times New Roman" w:hAnsi="Times New Roman"/>
        </w:rPr>
        <w:t xml:space="preserve">conducted by </w:t>
      </w:r>
      <w:proofErr w:type="spellStart"/>
      <w:r>
        <w:rPr>
          <w:rFonts w:ascii="Times New Roman" w:hAnsi="Times New Roman"/>
        </w:rPr>
        <w:t>Brightscope</w:t>
      </w:r>
      <w:proofErr w:type="spellEnd"/>
      <w:r>
        <w:rPr>
          <w:rFonts w:ascii="Times New Roman" w:hAnsi="Times New Roman"/>
        </w:rPr>
        <w:t xml:space="preserve">, Inc. and </w:t>
      </w:r>
      <w:r w:rsidRPr="00A21814">
        <w:rPr>
          <w:rFonts w:ascii="Times New Roman" w:hAnsi="Times New Roman"/>
        </w:rPr>
        <w:t>provided to the Department, 66,962 plans reported advisers in 2012, 22,302 plans changed advisers from 2012 to 2013, and 16,196 plans changed advisers from 2013 to 2014.  [(22,302 + 16,196)/2] / 66,962 = 28.7 percent</w:t>
      </w:r>
    </w:p>
  </w:footnote>
  <w:footnote w:id="10">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2012 </w:t>
      </w:r>
      <w:proofErr w:type="spellStart"/>
      <w:r w:rsidRPr="00541BBA">
        <w:rPr>
          <w:rFonts w:ascii="Times New Roman" w:hAnsi="Times New Roman"/>
        </w:rPr>
        <w:t>Cerulli</w:t>
      </w:r>
      <w:proofErr w:type="spellEnd"/>
      <w:r w:rsidRPr="00541BBA">
        <w:rPr>
          <w:rFonts w:ascii="Times New Roman" w:hAnsi="Times New Roman"/>
        </w:rPr>
        <w:t xml:space="preserve"> data shows that 20 percent of households opened a new account as a result of a new contact. See page 118 of Retail Investor Advice Relationships 2012.</w:t>
      </w:r>
    </w:p>
  </w:footnote>
  <w:footnote w:id="11">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900 DB plans + 3,000 DC plans that do not allow participants to direct investments + 1</w:t>
      </w:r>
      <w:r>
        <w:rPr>
          <w:rFonts w:ascii="Times New Roman" w:hAnsi="Times New Roman"/>
        </w:rPr>
        <w:t>1</w:t>
      </w:r>
      <w:r w:rsidRPr="00541BBA">
        <w:rPr>
          <w:rFonts w:ascii="Times New Roman" w:hAnsi="Times New Roman"/>
        </w:rPr>
        <w:t>,000 DC plan participants = 14,000 ERISA Plan Investors</w:t>
      </w:r>
    </w:p>
  </w:footnote>
  <w:footnote w:id="12">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According to data from the National Telecommunications and Information Agency (NTIA), 33.4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 out that are automatically enrolled (for a total of 28.1 percent receiving electronic disclosure at work).  Additionally, the NTIA reports that 38.9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23.7 percent receiving electronic disclosure outside of work).  Combining the 28.1 percent who receive electronic disclosure at work with the 23.7 percent who receive electronic disclosure outside of work produces a total of 51.8 percent who will receive electronic disclosure overall</w:t>
      </w:r>
    </w:p>
  </w:footnote>
  <w:footnote w:id="13">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According to data from the NTIA, 72.4 percent of individuals age 25 and older have access to the internet.  According to a Pew Research Center survey, 61 percent of internet users use online banking, which is used as the proxy for the number of internet users who will opt in for electronic disclosure.  Combining these data produces an estimate of 44.1 percent of individuals who will receive electronic disclosures.</w:t>
      </w:r>
    </w:p>
  </w:footnote>
  <w:footnote w:id="14">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(14,000 ERISA Plan Investors x 48.2 percent paper) + (2.2 million IRA</w:t>
      </w:r>
      <w:r>
        <w:rPr>
          <w:rFonts w:ascii="Times New Roman" w:hAnsi="Times New Roman"/>
        </w:rPr>
        <w:t>s</w:t>
      </w:r>
      <w:r w:rsidRPr="00541BBA">
        <w:rPr>
          <w:rFonts w:ascii="Times New Roman" w:hAnsi="Times New Roman"/>
        </w:rPr>
        <w:t xml:space="preserve"> and non-ERISA Plan Investors x 55.9 percent paper</w:t>
      </w:r>
      <w:r>
        <w:rPr>
          <w:rFonts w:ascii="Times New Roman" w:hAnsi="Times New Roman"/>
        </w:rPr>
        <w:t>)</w:t>
      </w:r>
      <w:r w:rsidRPr="00541BBA">
        <w:rPr>
          <w:rFonts w:ascii="Times New Roman" w:hAnsi="Times New Roman"/>
        </w:rPr>
        <w:t xml:space="preserve"> = 1.1 million </w:t>
      </w:r>
      <w:r>
        <w:rPr>
          <w:rFonts w:ascii="Times New Roman" w:hAnsi="Times New Roman"/>
        </w:rPr>
        <w:t xml:space="preserve">paper </w:t>
      </w:r>
      <w:r w:rsidRPr="00541BBA">
        <w:rPr>
          <w:rFonts w:ascii="Times New Roman" w:hAnsi="Times New Roman"/>
        </w:rPr>
        <w:t>transition disclosures</w:t>
      </w:r>
    </w:p>
  </w:footnote>
  <w:footnote w:id="15">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sidR="00781BA6" w:rsidRPr="00781BA6">
        <w:rPr>
          <w:rFonts w:ascii="Times New Roman" w:hAnsi="Times New Roman"/>
        </w:rPr>
        <w:t>One commenter questioned the basis for this estimate.  The Department worked with clerical staff to determine that most notices and disclosures can be printed and prepared for mailing in less than one minute per disclosure.  Therefore, an estimate of two minutes per disclosure is a conservative estimate.</w:t>
      </w:r>
    </w:p>
  </w:footnote>
  <w:footnote w:id="16">
    <w:p w:rsidR="00FF106A" w:rsidRPr="00305DC0" w:rsidRDefault="00FF106A" w:rsidP="00FD789C">
      <w:pPr>
        <w:pStyle w:val="FootnoteText"/>
        <w:rPr>
          <w:rFonts w:ascii="Times New Roman" w:hAnsi="Times New Roman"/>
        </w:rPr>
      </w:pPr>
      <w:r w:rsidRPr="00305DC0">
        <w:rPr>
          <w:rStyle w:val="FootnoteReference"/>
          <w:rFonts w:ascii="Times New Roman" w:hAnsi="Times New Roman"/>
          <w:vertAlign w:val="superscript"/>
        </w:rPr>
        <w:footnoteRef/>
      </w:r>
      <w:r w:rsidRPr="00305DC0">
        <w:rPr>
          <w:rStyle w:val="FootnoteReference"/>
          <w:rFonts w:ascii="Times New Roman" w:hAnsi="Times New Roman"/>
        </w:rPr>
        <w:t xml:space="preserve"> </w:t>
      </w:r>
      <w:r w:rsidR="00D67C69" w:rsidRPr="00D67C69">
        <w:rPr>
          <w:rFonts w:ascii="Times New Roman" w:hAnsi="Times New Roman"/>
        </w:rPr>
        <w:t xml:space="preserve">For a description of the Department’s methodology for calculating wage rates, see </w:t>
      </w:r>
      <w:r w:rsidR="00A7023E" w:rsidRPr="00A7023E">
        <w:rPr>
          <w:rFonts w:ascii="Times New Roman" w:hAnsi="Times New Roman"/>
        </w:rPr>
        <w:t>http://www.dol.gov/ebsa/pdf/labor-cost-inputs-used-in-ebsa-opr-ria-and-pra-burden-calculations-march-2016.pdf</w:t>
      </w:r>
      <w:r w:rsidR="00D67C69" w:rsidRPr="00D67C69">
        <w:rPr>
          <w:rFonts w:ascii="Times New Roman" w:hAnsi="Times New Roman"/>
        </w:rPr>
        <w:t>.  The Department’s methodology for calculating the overhead cost input of its wage rates was adjusted from the proposed PTE to the final PTE.  In the proposed PTE, the Department based its overhead cost estimates on longstanding internal EBSA calculations for the cost of overhead.  In response to a public comment stating that the overhead cost estimates were too low and without any supporting evidence, the Department incorporated published US Census Bureau survey data on overhead costs into its wage rate estimates.</w:t>
      </w:r>
    </w:p>
  </w:footnote>
  <w:footnote w:id="17">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1.</w:t>
      </w:r>
      <w:r>
        <w:rPr>
          <w:rFonts w:ascii="Times New Roman" w:hAnsi="Times New Roman"/>
        </w:rPr>
        <w:t>2</w:t>
      </w:r>
      <w:r w:rsidRPr="00541BBA">
        <w:rPr>
          <w:rFonts w:ascii="Times New Roman" w:hAnsi="Times New Roman"/>
        </w:rPr>
        <w:t xml:space="preserve"> million paper </w:t>
      </w:r>
      <w:r>
        <w:rPr>
          <w:rFonts w:ascii="Times New Roman" w:hAnsi="Times New Roman"/>
        </w:rPr>
        <w:t xml:space="preserve">transition </w:t>
      </w:r>
      <w:r w:rsidRPr="00541BBA">
        <w:rPr>
          <w:rFonts w:ascii="Times New Roman" w:hAnsi="Times New Roman"/>
        </w:rPr>
        <w:t xml:space="preserve">disclosures x 2 minutes per disclosure = </w:t>
      </w:r>
      <w:r>
        <w:rPr>
          <w:rFonts w:ascii="Times New Roman" w:hAnsi="Times New Roman"/>
        </w:rPr>
        <w:t>40</w:t>
      </w:r>
      <w:r w:rsidRPr="00541BBA">
        <w:rPr>
          <w:rFonts w:ascii="Times New Roman" w:hAnsi="Times New Roman"/>
        </w:rPr>
        <w:t>,000 hours</w:t>
      </w:r>
    </w:p>
  </w:footnote>
  <w:footnote w:id="18">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40</w:t>
      </w:r>
      <w:r w:rsidRPr="00541BBA">
        <w:rPr>
          <w:rFonts w:ascii="Times New Roman" w:hAnsi="Times New Roman"/>
        </w:rPr>
        <w:t>,000 hours x $55.</w:t>
      </w:r>
      <w:r>
        <w:rPr>
          <w:rFonts w:ascii="Times New Roman" w:hAnsi="Times New Roman"/>
        </w:rPr>
        <w:t>21</w:t>
      </w:r>
      <w:r w:rsidRPr="00541BBA">
        <w:rPr>
          <w:rFonts w:ascii="Times New Roman" w:hAnsi="Times New Roman"/>
        </w:rPr>
        <w:t xml:space="preserve"> per hour - $2.</w:t>
      </w:r>
      <w:r>
        <w:rPr>
          <w:rFonts w:ascii="Times New Roman" w:hAnsi="Times New Roman"/>
        </w:rPr>
        <w:t>2</w:t>
      </w:r>
      <w:r w:rsidRPr="00541BBA">
        <w:rPr>
          <w:rFonts w:ascii="Times New Roman" w:hAnsi="Times New Roman"/>
        </w:rPr>
        <w:t xml:space="preserve"> million</w:t>
      </w:r>
    </w:p>
  </w:footnote>
  <w:footnote w:id="19">
    <w:p w:rsidR="00FF106A" w:rsidRPr="00FA3A54" w:rsidRDefault="00FF106A">
      <w:pPr>
        <w:pStyle w:val="FootnoteText"/>
        <w:rPr>
          <w:rFonts w:ascii="Times New Roman" w:hAnsi="Times New Roman"/>
        </w:rPr>
      </w:pPr>
      <w:r w:rsidRPr="00FA3A54">
        <w:rPr>
          <w:rStyle w:val="FootnoteReference"/>
          <w:rFonts w:ascii="Times New Roman" w:hAnsi="Times New Roman"/>
          <w:vertAlign w:val="superscript"/>
        </w:rPr>
        <w:footnoteRef/>
      </w:r>
      <w:r w:rsidRPr="00FA3A54">
        <w:rPr>
          <w:rFonts w:ascii="Times New Roman" w:hAnsi="Times New Roman"/>
        </w:rPr>
        <w:t xml:space="preserve"> 14,000 ERISA Plan Investors x 28.7 percent entering new advisory relationships = 4,000 ERISA Plan Investors entering new relationships with advisers </w:t>
      </w:r>
    </w:p>
  </w:footnote>
  <w:footnote w:id="20">
    <w:p w:rsidR="00FF106A" w:rsidRPr="00206567" w:rsidRDefault="00FF106A">
      <w:pPr>
        <w:pStyle w:val="FootnoteText"/>
        <w:rPr>
          <w:rFonts w:ascii="Times New Roman" w:hAnsi="Times New Roman"/>
        </w:rPr>
      </w:pPr>
      <w:r w:rsidRPr="00206567">
        <w:rPr>
          <w:rStyle w:val="FootnoteReference"/>
          <w:rFonts w:ascii="Times New Roman" w:hAnsi="Times New Roman"/>
          <w:vertAlign w:val="superscript"/>
        </w:rPr>
        <w:footnoteRef/>
      </w:r>
      <w:r w:rsidRPr="00206567">
        <w:rPr>
          <w:rFonts w:ascii="Times New Roman" w:hAnsi="Times New Roman"/>
        </w:rPr>
        <w:t xml:space="preserve"> 2.</w:t>
      </w:r>
      <w:r>
        <w:rPr>
          <w:rFonts w:ascii="Times New Roman" w:hAnsi="Times New Roman"/>
        </w:rPr>
        <w:t>4</w:t>
      </w:r>
      <w:r w:rsidRPr="00206567">
        <w:rPr>
          <w:rFonts w:ascii="Times New Roman" w:hAnsi="Times New Roman"/>
        </w:rPr>
        <w:t xml:space="preserve"> million IRAs and non-ERISA Plan Investors x 20 percent entering new advisory relationships = 4</w:t>
      </w:r>
      <w:r>
        <w:rPr>
          <w:rFonts w:ascii="Times New Roman" w:hAnsi="Times New Roman"/>
        </w:rPr>
        <w:t>90</w:t>
      </w:r>
      <w:r w:rsidRPr="00206567">
        <w:rPr>
          <w:rFonts w:ascii="Times New Roman" w:hAnsi="Times New Roman"/>
        </w:rPr>
        <w:t>,000 IRAs and non-ERISA Plan Investors entering new relationships with advisers</w:t>
      </w:r>
    </w:p>
  </w:footnote>
  <w:footnote w:id="21">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(14,000 ERISA Plan Investors x 48.2 percent paper) + (2.</w:t>
      </w:r>
      <w:r>
        <w:rPr>
          <w:rFonts w:ascii="Times New Roman" w:hAnsi="Times New Roman"/>
        </w:rPr>
        <w:t>4</w:t>
      </w:r>
      <w:r w:rsidRPr="00541BBA">
        <w:rPr>
          <w:rFonts w:ascii="Times New Roman" w:hAnsi="Times New Roman"/>
        </w:rPr>
        <w:t xml:space="preserve"> million IRA</w:t>
      </w:r>
      <w:r>
        <w:rPr>
          <w:rFonts w:ascii="Times New Roman" w:hAnsi="Times New Roman"/>
        </w:rPr>
        <w:t>s</w:t>
      </w:r>
      <w:r w:rsidRPr="00541BBA">
        <w:rPr>
          <w:rFonts w:ascii="Times New Roman" w:hAnsi="Times New Roman"/>
        </w:rPr>
        <w:t xml:space="preserve"> and non-ERISA Plan Investors x 55.9 percent paper</w:t>
      </w:r>
      <w:r>
        <w:rPr>
          <w:rFonts w:ascii="Times New Roman" w:hAnsi="Times New Roman"/>
        </w:rPr>
        <w:t xml:space="preserve">) </w:t>
      </w:r>
      <w:r w:rsidRPr="00541BBA">
        <w:rPr>
          <w:rFonts w:ascii="Times New Roman" w:hAnsi="Times New Roman"/>
        </w:rPr>
        <w:t xml:space="preserve"> = 1.</w:t>
      </w:r>
      <w:r>
        <w:rPr>
          <w:rFonts w:ascii="Times New Roman" w:hAnsi="Times New Roman"/>
        </w:rPr>
        <w:t>4</w:t>
      </w:r>
      <w:r w:rsidRPr="00541BBA">
        <w:rPr>
          <w:rFonts w:ascii="Times New Roman" w:hAnsi="Times New Roman"/>
        </w:rPr>
        <w:t xml:space="preserve"> million paper contract disclosures and contracts</w:t>
      </w:r>
    </w:p>
  </w:footnote>
  <w:footnote w:id="22">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(4,000 ERISA Plan Investors x 48.2 percent paper) + (4</w:t>
      </w:r>
      <w:r>
        <w:rPr>
          <w:rFonts w:ascii="Times New Roman" w:hAnsi="Times New Roman"/>
        </w:rPr>
        <w:t>90</w:t>
      </w:r>
      <w:r w:rsidRPr="00541BBA">
        <w:rPr>
          <w:rFonts w:ascii="Times New Roman" w:hAnsi="Times New Roman"/>
        </w:rPr>
        <w:t>,000 IRAs and non-ERISA Plan Investors x 55.9 percent paper) = 2</w:t>
      </w:r>
      <w:r>
        <w:rPr>
          <w:rFonts w:ascii="Times New Roman" w:hAnsi="Times New Roman"/>
        </w:rPr>
        <w:t>76</w:t>
      </w:r>
      <w:r w:rsidRPr="00541BBA">
        <w:rPr>
          <w:rFonts w:ascii="Times New Roman" w:hAnsi="Times New Roman"/>
        </w:rPr>
        <w:t>,000 paper contract disclosures and contracts</w:t>
      </w:r>
    </w:p>
  </w:footnote>
  <w:footnote w:id="23">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1.</w:t>
      </w:r>
      <w:r>
        <w:rPr>
          <w:rFonts w:ascii="Times New Roman" w:hAnsi="Times New Roman"/>
        </w:rPr>
        <w:t>4</w:t>
      </w:r>
      <w:r w:rsidRPr="00541BBA">
        <w:rPr>
          <w:rFonts w:ascii="Times New Roman" w:hAnsi="Times New Roman"/>
        </w:rPr>
        <w:t xml:space="preserve"> million paper contract disclosures and contracts x 2 minutes per contract or disclosure = 4</w:t>
      </w:r>
      <w:r>
        <w:rPr>
          <w:rFonts w:ascii="Times New Roman" w:hAnsi="Times New Roman"/>
        </w:rPr>
        <w:t>6</w:t>
      </w:r>
      <w:r w:rsidRPr="00541BBA">
        <w:rPr>
          <w:rFonts w:ascii="Times New Roman" w:hAnsi="Times New Roman"/>
        </w:rPr>
        <w:t>,000 hours</w:t>
      </w:r>
    </w:p>
  </w:footnote>
  <w:footnote w:id="24">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4</w:t>
      </w:r>
      <w:r>
        <w:rPr>
          <w:rFonts w:ascii="Times New Roman" w:hAnsi="Times New Roman"/>
        </w:rPr>
        <w:t>6</w:t>
      </w:r>
      <w:r w:rsidRPr="00541BBA">
        <w:rPr>
          <w:rFonts w:ascii="Times New Roman" w:hAnsi="Times New Roman"/>
        </w:rPr>
        <w:t>,000 hours x $55.</w:t>
      </w:r>
      <w:r>
        <w:rPr>
          <w:rFonts w:ascii="Times New Roman" w:hAnsi="Times New Roman"/>
        </w:rPr>
        <w:t>21</w:t>
      </w:r>
      <w:r w:rsidRPr="00541BBA">
        <w:rPr>
          <w:rFonts w:ascii="Times New Roman" w:hAnsi="Times New Roman"/>
        </w:rPr>
        <w:t xml:space="preserve"> per hour = $2.</w:t>
      </w:r>
      <w:r>
        <w:rPr>
          <w:rFonts w:ascii="Times New Roman" w:hAnsi="Times New Roman"/>
        </w:rPr>
        <w:t>5</w:t>
      </w:r>
      <w:r w:rsidRPr="00541BBA">
        <w:rPr>
          <w:rFonts w:ascii="Times New Roman" w:hAnsi="Times New Roman"/>
        </w:rPr>
        <w:t xml:space="preserve"> million</w:t>
      </w:r>
    </w:p>
  </w:footnote>
  <w:footnote w:id="25">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2</w:t>
      </w:r>
      <w:r>
        <w:rPr>
          <w:rFonts w:ascii="Times New Roman" w:hAnsi="Times New Roman"/>
        </w:rPr>
        <w:t>76</w:t>
      </w:r>
      <w:r w:rsidRPr="00541BBA">
        <w:rPr>
          <w:rFonts w:ascii="Times New Roman" w:hAnsi="Times New Roman"/>
        </w:rPr>
        <w:t xml:space="preserve">,000 paper contract disclosures and contracts x 2 minutes per contract or disclosure = </w:t>
      </w:r>
      <w:r>
        <w:rPr>
          <w:rFonts w:ascii="Times New Roman" w:hAnsi="Times New Roman"/>
        </w:rPr>
        <w:t>9</w:t>
      </w:r>
      <w:r w:rsidRPr="00541BBA">
        <w:rPr>
          <w:rFonts w:ascii="Times New Roman" w:hAnsi="Times New Roman"/>
        </w:rPr>
        <w:t>,000 hours</w:t>
      </w:r>
    </w:p>
  </w:footnote>
  <w:footnote w:id="26">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Pr>
          <w:rFonts w:ascii="Times New Roman" w:hAnsi="Times New Roman"/>
        </w:rPr>
        <w:t>9</w:t>
      </w:r>
      <w:r w:rsidRPr="00541BBA">
        <w:rPr>
          <w:rFonts w:ascii="Times New Roman" w:hAnsi="Times New Roman"/>
        </w:rPr>
        <w:t>,000 hours x $55.</w:t>
      </w:r>
      <w:r>
        <w:rPr>
          <w:rFonts w:ascii="Times New Roman" w:hAnsi="Times New Roman"/>
        </w:rPr>
        <w:t>21</w:t>
      </w:r>
      <w:r w:rsidRPr="00541BBA">
        <w:rPr>
          <w:rFonts w:ascii="Times New Roman" w:hAnsi="Times New Roman"/>
        </w:rPr>
        <w:t xml:space="preserve"> per hour = $</w:t>
      </w:r>
      <w:r>
        <w:rPr>
          <w:rFonts w:ascii="Times New Roman" w:hAnsi="Times New Roman"/>
        </w:rPr>
        <w:t>508</w:t>
      </w:r>
      <w:r w:rsidRPr="00541BBA">
        <w:rPr>
          <w:rFonts w:ascii="Times New Roman" w:hAnsi="Times New Roman"/>
        </w:rPr>
        <w:t>,000</w:t>
      </w:r>
    </w:p>
  </w:footnote>
  <w:footnote w:id="27">
    <w:p w:rsidR="00FF106A" w:rsidRPr="00365672" w:rsidRDefault="00FF106A">
      <w:pPr>
        <w:pStyle w:val="FootnoteText"/>
        <w:rPr>
          <w:rFonts w:ascii="Times New Roman" w:hAnsi="Times New Roman"/>
        </w:rPr>
      </w:pPr>
      <w:r w:rsidRPr="00365672">
        <w:rPr>
          <w:rStyle w:val="FootnoteReference"/>
          <w:rFonts w:ascii="Times New Roman" w:hAnsi="Times New Roman"/>
          <w:vertAlign w:val="superscript"/>
        </w:rPr>
        <w:footnoteRef/>
      </w:r>
      <w:r w:rsidRPr="00365672">
        <w:rPr>
          <w:rFonts w:ascii="Times New Roman" w:hAnsi="Times New Roman"/>
        </w:rPr>
        <w:t xml:space="preserve"> 900 DB plans + 3,000 DC plans that do not allow participants to direct investments + 10,000 DC plan participants + 2.</w:t>
      </w:r>
      <w:r>
        <w:rPr>
          <w:rFonts w:ascii="Times New Roman" w:hAnsi="Times New Roman"/>
        </w:rPr>
        <w:t>4</w:t>
      </w:r>
      <w:r w:rsidRPr="00365672">
        <w:rPr>
          <w:rFonts w:ascii="Times New Roman" w:hAnsi="Times New Roman"/>
        </w:rPr>
        <w:t xml:space="preserve"> million IRAs and non-ERISA Plan Investors = 2.</w:t>
      </w:r>
      <w:r>
        <w:rPr>
          <w:rFonts w:ascii="Times New Roman" w:hAnsi="Times New Roman"/>
        </w:rPr>
        <w:t>5</w:t>
      </w:r>
      <w:r w:rsidRPr="00365672">
        <w:rPr>
          <w:rFonts w:ascii="Times New Roman" w:hAnsi="Times New Roman"/>
        </w:rPr>
        <w:t xml:space="preserve"> million Retirement Investors for ERISA plans, IRAs, and non-ERISA plans</w:t>
      </w:r>
    </w:p>
  </w:footnote>
  <w:footnote w:id="28">
    <w:p w:rsidR="00FF106A" w:rsidRPr="00B53087" w:rsidRDefault="00FF106A">
      <w:pPr>
        <w:pStyle w:val="FootnoteText"/>
        <w:rPr>
          <w:rFonts w:ascii="Times New Roman" w:hAnsi="Times New Roman"/>
        </w:rPr>
      </w:pPr>
      <w:r w:rsidRPr="00B53087">
        <w:rPr>
          <w:rStyle w:val="FootnoteReference"/>
          <w:rFonts w:ascii="Times New Roman" w:hAnsi="Times New Roman"/>
          <w:vertAlign w:val="superscript"/>
        </w:rPr>
        <w:footnoteRef/>
      </w:r>
      <w:r w:rsidRPr="00B53087">
        <w:rPr>
          <w:rFonts w:ascii="Times New Roman" w:hAnsi="Times New Roman"/>
        </w:rPr>
        <w:t xml:space="preserve"> (14,000 ERISA Plan Investors x 48.2 percent paper) + (2.</w:t>
      </w:r>
      <w:r>
        <w:rPr>
          <w:rFonts w:ascii="Times New Roman" w:hAnsi="Times New Roman"/>
        </w:rPr>
        <w:t>4</w:t>
      </w:r>
      <w:r w:rsidRPr="00B53087">
        <w:rPr>
          <w:rFonts w:ascii="Times New Roman" w:hAnsi="Times New Roman"/>
        </w:rPr>
        <w:t xml:space="preserve"> million IRAs and non-ERISA Plan Investors x 55.9 percent paper)  = 1.</w:t>
      </w:r>
      <w:r>
        <w:rPr>
          <w:rFonts w:ascii="Times New Roman" w:hAnsi="Times New Roman"/>
        </w:rPr>
        <w:t>4</w:t>
      </w:r>
      <w:r w:rsidRPr="00B53087">
        <w:rPr>
          <w:rFonts w:ascii="Times New Roman" w:hAnsi="Times New Roman"/>
        </w:rPr>
        <w:t xml:space="preserve"> million paper annual disclosures</w:t>
      </w:r>
    </w:p>
  </w:footnote>
  <w:footnote w:id="29">
    <w:p w:rsidR="00FF106A" w:rsidRPr="00AC27CD" w:rsidRDefault="00FF106A">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1.</w:t>
      </w:r>
      <w:r>
        <w:rPr>
          <w:rFonts w:ascii="Times New Roman" w:hAnsi="Times New Roman"/>
        </w:rPr>
        <w:t>4</w:t>
      </w:r>
      <w:r w:rsidRPr="00AC27CD">
        <w:rPr>
          <w:rFonts w:ascii="Times New Roman" w:hAnsi="Times New Roman"/>
        </w:rPr>
        <w:t xml:space="preserve"> million paper annual disclosures x 2 minutes per disclosure = 4</w:t>
      </w:r>
      <w:r>
        <w:rPr>
          <w:rFonts w:ascii="Times New Roman" w:hAnsi="Times New Roman"/>
        </w:rPr>
        <w:t>6</w:t>
      </w:r>
      <w:r w:rsidRPr="00AC27CD">
        <w:rPr>
          <w:rFonts w:ascii="Times New Roman" w:hAnsi="Times New Roman"/>
        </w:rPr>
        <w:t>,000 hours</w:t>
      </w:r>
    </w:p>
  </w:footnote>
  <w:footnote w:id="30">
    <w:p w:rsidR="00FF106A" w:rsidRPr="00AC27CD" w:rsidRDefault="00FF106A">
      <w:pPr>
        <w:pStyle w:val="FootnoteText"/>
        <w:rPr>
          <w:rFonts w:ascii="Times New Roman" w:hAnsi="Times New Roman"/>
        </w:rPr>
      </w:pPr>
      <w:r w:rsidRPr="00AC27CD">
        <w:rPr>
          <w:rStyle w:val="FootnoteReference"/>
          <w:rFonts w:ascii="Times New Roman" w:hAnsi="Times New Roman"/>
          <w:vertAlign w:val="superscript"/>
        </w:rPr>
        <w:footnoteRef/>
      </w:r>
      <w:r w:rsidRPr="00AC27CD">
        <w:rPr>
          <w:rFonts w:ascii="Times New Roman" w:hAnsi="Times New Roman"/>
        </w:rPr>
        <w:t xml:space="preserve"> 4</w:t>
      </w:r>
      <w:r w:rsidR="00F83708">
        <w:rPr>
          <w:rFonts w:ascii="Times New Roman" w:hAnsi="Times New Roman"/>
        </w:rPr>
        <w:t>6</w:t>
      </w:r>
      <w:r w:rsidRPr="00AC27CD">
        <w:rPr>
          <w:rFonts w:ascii="Times New Roman" w:hAnsi="Times New Roman"/>
        </w:rPr>
        <w:t>,000 hours x $55.</w:t>
      </w:r>
      <w:r w:rsidR="00F83708">
        <w:rPr>
          <w:rFonts w:ascii="Times New Roman" w:hAnsi="Times New Roman"/>
        </w:rPr>
        <w:t>21</w:t>
      </w:r>
      <w:r w:rsidRPr="00AC27CD">
        <w:rPr>
          <w:rFonts w:ascii="Times New Roman" w:hAnsi="Times New Roman"/>
        </w:rPr>
        <w:t xml:space="preserve"> per hour = $2.</w:t>
      </w:r>
      <w:r w:rsidR="00F83708">
        <w:rPr>
          <w:rFonts w:ascii="Times New Roman" w:hAnsi="Times New Roman"/>
        </w:rPr>
        <w:t>5</w:t>
      </w:r>
      <w:r w:rsidRPr="00AC27CD">
        <w:rPr>
          <w:rFonts w:ascii="Times New Roman" w:hAnsi="Times New Roman"/>
        </w:rPr>
        <w:t xml:space="preserve"> million</w:t>
      </w:r>
    </w:p>
  </w:footnote>
  <w:footnote w:id="31">
    <w:p w:rsidR="00FF106A" w:rsidRPr="00C812D5" w:rsidRDefault="00FF106A">
      <w:pPr>
        <w:pStyle w:val="FootnoteText"/>
        <w:rPr>
          <w:rFonts w:ascii="Times New Roman" w:hAnsi="Times New Roman"/>
        </w:rPr>
      </w:pPr>
      <w:r w:rsidRPr="00C812D5">
        <w:rPr>
          <w:rStyle w:val="FootnoteReference"/>
          <w:rFonts w:ascii="Times New Roman" w:hAnsi="Times New Roman"/>
          <w:vertAlign w:val="superscript"/>
        </w:rPr>
        <w:footnoteRef/>
      </w:r>
      <w:r w:rsidRPr="00C812D5">
        <w:rPr>
          <w:rFonts w:ascii="Times New Roman" w:hAnsi="Times New Roman"/>
        </w:rPr>
        <w:t xml:space="preserve"> </w:t>
      </w:r>
      <w:r>
        <w:rPr>
          <w:rFonts w:ascii="Times New Roman" w:hAnsi="Times New Roman"/>
        </w:rPr>
        <w:t>(</w:t>
      </w:r>
      <w:r w:rsidRPr="00C812D5">
        <w:rPr>
          <w:rFonts w:ascii="Times New Roman" w:hAnsi="Times New Roman"/>
        </w:rPr>
        <w:t>6,000 Financial Institutions using exemption x 10 requests per</w:t>
      </w:r>
      <w:r>
        <w:rPr>
          <w:rFonts w:ascii="Times New Roman" w:hAnsi="Times New Roman"/>
        </w:rPr>
        <w:t xml:space="preserve"> year) *((</w:t>
      </w:r>
      <w:r w:rsidRPr="00C05ED1">
        <w:rPr>
          <w:rFonts w:ascii="Times New Roman" w:hAnsi="Times New Roman"/>
        </w:rPr>
        <w:t>(14,000 ERISA Plan Investors x 48.2 percent paper) + (2.</w:t>
      </w:r>
      <w:r w:rsidR="00F83708">
        <w:rPr>
          <w:rFonts w:ascii="Times New Roman" w:hAnsi="Times New Roman"/>
        </w:rPr>
        <w:t>4</w:t>
      </w:r>
      <w:r w:rsidRPr="00C05ED1">
        <w:rPr>
          <w:rFonts w:ascii="Times New Roman" w:hAnsi="Times New Roman"/>
        </w:rPr>
        <w:t xml:space="preserve"> million IRAs and non-ERISA Plan Investors x 55.9 percent paper)</w:t>
      </w:r>
      <w:r>
        <w:rPr>
          <w:rFonts w:ascii="Times New Roman" w:hAnsi="Times New Roman"/>
        </w:rPr>
        <w:t>) / (14,000 ERISA Plan Investors + 2.</w:t>
      </w:r>
      <w:r w:rsidR="00F83708">
        <w:rPr>
          <w:rFonts w:ascii="Times New Roman" w:hAnsi="Times New Roman"/>
        </w:rPr>
        <w:t>4</w:t>
      </w:r>
      <w:r>
        <w:rPr>
          <w:rFonts w:ascii="Times New Roman" w:hAnsi="Times New Roman"/>
        </w:rPr>
        <w:t xml:space="preserve"> million IRAs and non-ERISA Plan Investors)) = 34,000 detailed disclosures on paper</w:t>
      </w:r>
    </w:p>
  </w:footnote>
  <w:footnote w:id="32">
    <w:p w:rsidR="00FF106A" w:rsidRPr="002E3A96" w:rsidRDefault="00FF106A">
      <w:pPr>
        <w:pStyle w:val="FootnoteText"/>
        <w:rPr>
          <w:rFonts w:ascii="Times New Roman" w:hAnsi="Times New Roman"/>
        </w:rPr>
      </w:pPr>
      <w:r w:rsidRPr="002E3A96">
        <w:rPr>
          <w:rStyle w:val="FootnoteReference"/>
          <w:rFonts w:ascii="Times New Roman" w:hAnsi="Times New Roman"/>
          <w:vertAlign w:val="superscript"/>
        </w:rPr>
        <w:footnoteRef/>
      </w:r>
      <w:r w:rsidRPr="002E3A96">
        <w:rPr>
          <w:rFonts w:ascii="Times New Roman" w:hAnsi="Times New Roman"/>
        </w:rPr>
        <w:t xml:space="preserve"> 34,000 detailed disclosures on paper x 2 minutes per disclosure = 1,000 hours</w:t>
      </w:r>
    </w:p>
  </w:footnote>
  <w:footnote w:id="33">
    <w:p w:rsidR="00FF106A" w:rsidRPr="002E3A96" w:rsidRDefault="00FF106A">
      <w:pPr>
        <w:pStyle w:val="FootnoteText"/>
        <w:rPr>
          <w:rFonts w:ascii="Times New Roman" w:hAnsi="Times New Roman"/>
        </w:rPr>
      </w:pPr>
      <w:r w:rsidRPr="002E3A96">
        <w:rPr>
          <w:rStyle w:val="FootnoteReference"/>
          <w:rFonts w:ascii="Times New Roman" w:hAnsi="Times New Roman"/>
          <w:vertAlign w:val="superscript"/>
        </w:rPr>
        <w:footnoteRef/>
      </w:r>
      <w:r w:rsidRPr="002E3A96">
        <w:rPr>
          <w:rFonts w:ascii="Times New Roman" w:hAnsi="Times New Roman"/>
        </w:rPr>
        <w:t xml:space="preserve"> 1,000 hours x $55.</w:t>
      </w:r>
      <w:r w:rsidR="00C607C1">
        <w:rPr>
          <w:rFonts w:ascii="Times New Roman" w:hAnsi="Times New Roman"/>
        </w:rPr>
        <w:t>21</w:t>
      </w:r>
      <w:r w:rsidRPr="002E3A96">
        <w:rPr>
          <w:rFonts w:ascii="Times New Roman" w:hAnsi="Times New Roman"/>
        </w:rPr>
        <w:t xml:space="preserve"> per hour = $6</w:t>
      </w:r>
      <w:r w:rsidR="00C607C1">
        <w:rPr>
          <w:rFonts w:ascii="Times New Roman" w:hAnsi="Times New Roman"/>
        </w:rPr>
        <w:t>2</w:t>
      </w:r>
      <w:r w:rsidRPr="002E3A96">
        <w:rPr>
          <w:rFonts w:ascii="Times New Roman" w:hAnsi="Times New Roman"/>
        </w:rPr>
        <w:t>,000</w:t>
      </w:r>
    </w:p>
  </w:footnote>
  <w:footnote w:id="34">
    <w:p w:rsidR="00FF106A" w:rsidRPr="00541BBA" w:rsidRDefault="00FF106A">
      <w:pPr>
        <w:pStyle w:val="FootnoteText"/>
        <w:rPr>
          <w:rFonts w:ascii="Times New Roman" w:hAnsi="Times New Roman"/>
        </w:rPr>
      </w:pPr>
      <w:r w:rsidRPr="00541BBA">
        <w:rPr>
          <w:rStyle w:val="FootnoteReference"/>
          <w:rFonts w:ascii="Times New Roman" w:hAnsi="Times New Roman"/>
          <w:vertAlign w:val="superscript"/>
        </w:rPr>
        <w:footnoteRef/>
      </w:r>
      <w:r w:rsidRPr="00541BBA">
        <w:rPr>
          <w:rFonts w:ascii="Times New Roman" w:hAnsi="Times New Roman"/>
        </w:rPr>
        <w:t xml:space="preserve"> </w:t>
      </w:r>
      <w:r w:rsidRPr="00B25DD0">
        <w:rPr>
          <w:rFonts w:ascii="Times New Roman" w:hAnsi="Times New Roman"/>
        </w:rPr>
        <w:t xml:space="preserve">This rate is the average of the hourly rate of an attorney with 4-7 years of experience and an attorney with 8-10 years of experience, taken from the </w:t>
      </w:r>
      <w:proofErr w:type="spellStart"/>
      <w:r w:rsidRPr="00B25DD0">
        <w:rPr>
          <w:rFonts w:ascii="Times New Roman" w:hAnsi="Times New Roman"/>
        </w:rPr>
        <w:t>Laffey</w:t>
      </w:r>
      <w:proofErr w:type="spellEnd"/>
      <w:r w:rsidRPr="00B25DD0">
        <w:rPr>
          <w:rFonts w:ascii="Times New Roman" w:hAnsi="Times New Roman"/>
        </w:rPr>
        <w:t xml:space="preserve"> Matrix.  See http://www.justice.gov/sites/default/files/usao-dc/legacy/2014/07/14/Laffey%20Matrix_2014-2015.pdf</w:t>
      </w:r>
    </w:p>
  </w:footnote>
  <w:footnote w:id="35">
    <w:p w:rsidR="00FF106A" w:rsidRPr="000A7689" w:rsidRDefault="00FF106A">
      <w:pPr>
        <w:pStyle w:val="FootnoteText"/>
        <w:rPr>
          <w:rFonts w:ascii="Times New Roman" w:hAnsi="Times New Roman"/>
        </w:rPr>
      </w:pPr>
      <w:r w:rsidRPr="000A7689">
        <w:rPr>
          <w:rStyle w:val="FootnoteReference"/>
          <w:rFonts w:ascii="Times New Roman" w:hAnsi="Times New Roman"/>
          <w:vertAlign w:val="superscript"/>
        </w:rPr>
        <w:footnoteRef/>
      </w:r>
      <w:r w:rsidRPr="000A7689">
        <w:rPr>
          <w:rFonts w:ascii="Times New Roman" w:hAnsi="Times New Roman"/>
        </w:rPr>
        <w:t xml:space="preserve"> (3 hours and 47 minutes to draft contracts and contract disclosures + 1 hour and 20 minutes to draft annual disclosures + 2 hours and 5 minutes to draft transition disclosures) x $335.00 per hour = $3,676</w:t>
      </w:r>
    </w:p>
  </w:footnote>
  <w:footnote w:id="36">
    <w:p w:rsidR="00FF106A" w:rsidRPr="002D0CD5" w:rsidRDefault="00FF106A">
      <w:pPr>
        <w:pStyle w:val="FootnoteText"/>
        <w:rPr>
          <w:rFonts w:ascii="Times New Roman" w:hAnsi="Times New Roman"/>
        </w:rPr>
      </w:pPr>
      <w:r w:rsidRPr="002D0CD5">
        <w:rPr>
          <w:rStyle w:val="FootnoteReference"/>
          <w:rFonts w:ascii="Times New Roman" w:hAnsi="Times New Roman"/>
          <w:vertAlign w:val="superscript"/>
        </w:rPr>
        <w:footnoteRef/>
      </w:r>
      <w:r w:rsidRPr="002D0CD5">
        <w:rPr>
          <w:rFonts w:ascii="Times New Roman" w:hAnsi="Times New Roman"/>
        </w:rPr>
        <w:t xml:space="preserve"> (3 hours and 47 minutes to update contracts and contract disclosures + 1 hour and 20 minutes to update annual disclosures) x </w:t>
      </w:r>
      <w:r>
        <w:rPr>
          <w:rFonts w:ascii="Times New Roman" w:hAnsi="Times New Roman"/>
        </w:rPr>
        <w:t xml:space="preserve">$335.00 per hour = </w:t>
      </w:r>
      <w:r w:rsidRPr="002D0CD5">
        <w:rPr>
          <w:rFonts w:ascii="Times New Roman" w:hAnsi="Times New Roman"/>
        </w:rPr>
        <w:t>$2,978</w:t>
      </w:r>
    </w:p>
  </w:footnote>
  <w:footnote w:id="37">
    <w:p w:rsidR="00FF106A" w:rsidRPr="00CF7656" w:rsidRDefault="00FF106A">
      <w:pPr>
        <w:pStyle w:val="FootnoteText"/>
        <w:rPr>
          <w:rFonts w:ascii="Times New Roman" w:hAnsi="Times New Roman"/>
        </w:rPr>
      </w:pPr>
      <w:r w:rsidRPr="00CF7656">
        <w:rPr>
          <w:rStyle w:val="FootnoteReference"/>
          <w:rFonts w:ascii="Times New Roman" w:hAnsi="Times New Roman"/>
          <w:vertAlign w:val="superscript"/>
        </w:rPr>
        <w:footnoteRef/>
      </w:r>
      <w:r w:rsidRPr="00CF7656">
        <w:rPr>
          <w:rFonts w:ascii="Times New Roman" w:hAnsi="Times New Roman"/>
        </w:rPr>
        <w:t xml:space="preserve"> </w:t>
      </w:r>
      <w:r>
        <w:rPr>
          <w:rFonts w:ascii="Times New Roman" w:hAnsi="Times New Roman"/>
        </w:rPr>
        <w:t>(</w:t>
      </w:r>
      <w:r w:rsidRPr="00CF7656">
        <w:rPr>
          <w:rFonts w:ascii="Times New Roman" w:hAnsi="Times New Roman"/>
        </w:rPr>
        <w:t>1.</w:t>
      </w:r>
      <w:r w:rsidR="000D5BF6">
        <w:rPr>
          <w:rFonts w:ascii="Times New Roman" w:hAnsi="Times New Roman"/>
        </w:rPr>
        <w:t>2</w:t>
      </w:r>
      <w:r w:rsidRPr="00CF7656">
        <w:rPr>
          <w:rFonts w:ascii="Times New Roman" w:hAnsi="Times New Roman"/>
        </w:rPr>
        <w:t xml:space="preserve"> million paper transition disclosures x </w:t>
      </w:r>
      <w:r>
        <w:rPr>
          <w:rFonts w:ascii="Times New Roman" w:hAnsi="Times New Roman"/>
        </w:rPr>
        <w:t>(</w:t>
      </w:r>
      <w:r w:rsidRPr="00CF7656">
        <w:rPr>
          <w:rFonts w:ascii="Times New Roman" w:hAnsi="Times New Roman"/>
        </w:rPr>
        <w:t>(3 pages x $0.05 per page</w:t>
      </w:r>
      <w:r>
        <w:rPr>
          <w:rFonts w:ascii="Times New Roman" w:hAnsi="Times New Roman"/>
        </w:rPr>
        <w:t>) + $0.49 postage)) + (1.</w:t>
      </w:r>
      <w:r w:rsidR="000D5BF6">
        <w:rPr>
          <w:rFonts w:ascii="Times New Roman" w:hAnsi="Times New Roman"/>
        </w:rPr>
        <w:t>4</w:t>
      </w:r>
      <w:r>
        <w:rPr>
          <w:rFonts w:ascii="Times New Roman" w:hAnsi="Times New Roman"/>
        </w:rPr>
        <w:t xml:space="preserve"> million paper contract disclosures and contracts x (15 pages x $0.05 per page) + $0.49 postage))  = $2.</w:t>
      </w:r>
      <w:r w:rsidR="00930F9A">
        <w:rPr>
          <w:rFonts w:ascii="Times New Roman" w:hAnsi="Times New Roman"/>
        </w:rPr>
        <w:t>5</w:t>
      </w:r>
      <w:r>
        <w:rPr>
          <w:rFonts w:ascii="Times New Roman" w:hAnsi="Times New Roman"/>
        </w:rPr>
        <w:t xml:space="preserve"> million</w:t>
      </w:r>
    </w:p>
  </w:footnote>
  <w:footnote w:id="38">
    <w:p w:rsidR="00FF106A" w:rsidRPr="005A37AE" w:rsidRDefault="00FF106A">
      <w:pPr>
        <w:pStyle w:val="FootnoteText"/>
        <w:rPr>
          <w:rFonts w:ascii="Times New Roman" w:hAnsi="Times New Roman"/>
        </w:rPr>
      </w:pPr>
      <w:r w:rsidRPr="005A37AE">
        <w:rPr>
          <w:rStyle w:val="FootnoteReference"/>
          <w:rFonts w:ascii="Times New Roman" w:hAnsi="Times New Roman"/>
          <w:vertAlign w:val="superscript"/>
        </w:rPr>
        <w:footnoteRef/>
      </w:r>
      <w:r w:rsidRPr="005A37AE">
        <w:rPr>
          <w:rFonts w:ascii="Times New Roman" w:hAnsi="Times New Roman"/>
        </w:rPr>
        <w:t xml:space="preserve"> (2</w:t>
      </w:r>
      <w:r w:rsidR="00F131DB">
        <w:rPr>
          <w:rFonts w:ascii="Times New Roman" w:hAnsi="Times New Roman"/>
        </w:rPr>
        <w:t>76</w:t>
      </w:r>
      <w:r w:rsidRPr="005A37AE">
        <w:rPr>
          <w:rFonts w:ascii="Times New Roman" w:hAnsi="Times New Roman"/>
        </w:rPr>
        <w:t xml:space="preserve">,000 paper contract disclosures and contracts x (15 pages x $0.05 per page) + $0.49 postage)) + </w:t>
      </w:r>
      <w:r>
        <w:rPr>
          <w:rFonts w:ascii="Times New Roman" w:hAnsi="Times New Roman"/>
        </w:rPr>
        <w:t>(1.</w:t>
      </w:r>
      <w:r w:rsidR="000D5BF6">
        <w:rPr>
          <w:rFonts w:ascii="Times New Roman" w:hAnsi="Times New Roman"/>
        </w:rPr>
        <w:t>4</w:t>
      </w:r>
      <w:r>
        <w:rPr>
          <w:rFonts w:ascii="Times New Roman" w:hAnsi="Times New Roman"/>
        </w:rPr>
        <w:t xml:space="preserve"> million paper annual disclosures x (2 pages x $0.05 per page) + $0.49 postage)) + (34,000 paper detailed disclosures x (5 pages x $0.05 per page) + $0.49 postage)) = $1.</w:t>
      </w:r>
      <w:r w:rsidR="00930F9A">
        <w:rPr>
          <w:rFonts w:ascii="Times New Roman" w:hAnsi="Times New Roman"/>
        </w:rPr>
        <w:t>2</w:t>
      </w:r>
      <w:r>
        <w:rPr>
          <w:rFonts w:ascii="Times New Roman" w:hAnsi="Times New Roman"/>
        </w:rPr>
        <w:t xml:space="preserve"> million</w:t>
      </w:r>
    </w:p>
  </w:footnote>
  <w:footnote w:id="39">
    <w:p w:rsidR="00FF106A" w:rsidRPr="00055F7A" w:rsidRDefault="00FF106A">
      <w:pPr>
        <w:pStyle w:val="FootnoteText"/>
        <w:rPr>
          <w:rFonts w:ascii="Times New Roman" w:hAnsi="Times New Roman"/>
        </w:rPr>
      </w:pPr>
      <w:r w:rsidRPr="00055F7A">
        <w:rPr>
          <w:rStyle w:val="FootnoteReference"/>
          <w:rFonts w:ascii="Times New Roman" w:hAnsi="Times New Roman"/>
          <w:vertAlign w:val="superscript"/>
        </w:rPr>
        <w:footnoteRef/>
      </w:r>
      <w:r w:rsidRPr="00055F7A">
        <w:rPr>
          <w:rFonts w:ascii="Times New Roman" w:hAnsi="Times New Roman"/>
        </w:rPr>
        <w:t xml:space="preserve"> $</w:t>
      </w:r>
      <w:r w:rsidR="00164289">
        <w:rPr>
          <w:rFonts w:ascii="Times New Roman" w:hAnsi="Times New Roman"/>
        </w:rPr>
        <w:t>2.0</w:t>
      </w:r>
      <w:r w:rsidRPr="00055F7A">
        <w:rPr>
          <w:rFonts w:ascii="Times New Roman" w:hAnsi="Times New Roman"/>
        </w:rPr>
        <w:t xml:space="preserve"> billion service provider costs + $2.</w:t>
      </w:r>
      <w:r w:rsidR="00164289">
        <w:rPr>
          <w:rFonts w:ascii="Times New Roman" w:hAnsi="Times New Roman"/>
        </w:rPr>
        <w:t>5</w:t>
      </w:r>
      <w:r w:rsidRPr="00055F7A">
        <w:rPr>
          <w:rFonts w:ascii="Times New Roman" w:hAnsi="Times New Roman"/>
        </w:rPr>
        <w:t xml:space="preserve"> million materials and postage costs = $</w:t>
      </w:r>
      <w:r w:rsidR="00164289">
        <w:rPr>
          <w:rFonts w:ascii="Times New Roman" w:hAnsi="Times New Roman"/>
        </w:rPr>
        <w:t>2.0</w:t>
      </w:r>
      <w:r w:rsidRPr="00055F7A">
        <w:rPr>
          <w:rFonts w:ascii="Times New Roman" w:hAnsi="Times New Roman"/>
        </w:rPr>
        <w:t xml:space="preserve"> billion total costs</w:t>
      </w:r>
    </w:p>
  </w:footnote>
  <w:footnote w:id="40">
    <w:p w:rsidR="00FF106A" w:rsidRPr="00055F7A" w:rsidRDefault="00FF106A">
      <w:pPr>
        <w:pStyle w:val="FootnoteText"/>
        <w:rPr>
          <w:rFonts w:ascii="Times New Roman" w:hAnsi="Times New Roman"/>
        </w:rPr>
      </w:pPr>
      <w:r w:rsidRPr="00055F7A">
        <w:rPr>
          <w:rStyle w:val="FootnoteReference"/>
          <w:rFonts w:ascii="Times New Roman" w:hAnsi="Times New Roman"/>
          <w:vertAlign w:val="superscript"/>
        </w:rPr>
        <w:footnoteRef/>
      </w:r>
      <w:r w:rsidRPr="00055F7A">
        <w:rPr>
          <w:rFonts w:ascii="Times New Roman" w:hAnsi="Times New Roman"/>
        </w:rPr>
        <w:t xml:space="preserve"> $</w:t>
      </w:r>
      <w:r w:rsidR="00164289">
        <w:rPr>
          <w:rFonts w:ascii="Times New Roman" w:hAnsi="Times New Roman"/>
        </w:rPr>
        <w:t>430.3</w:t>
      </w:r>
      <w:r w:rsidRPr="00055F7A">
        <w:rPr>
          <w:rFonts w:ascii="Times New Roman" w:hAnsi="Times New Roman"/>
        </w:rPr>
        <w:t xml:space="preserve"> million service provider costs + $1.</w:t>
      </w:r>
      <w:r w:rsidR="00164289">
        <w:rPr>
          <w:rFonts w:ascii="Times New Roman" w:hAnsi="Times New Roman"/>
        </w:rPr>
        <w:t>2</w:t>
      </w:r>
      <w:r w:rsidRPr="00055F7A">
        <w:rPr>
          <w:rFonts w:ascii="Times New Roman" w:hAnsi="Times New Roman"/>
        </w:rPr>
        <w:t xml:space="preserve"> million materials and postage costs = $</w:t>
      </w:r>
      <w:r w:rsidR="00164289">
        <w:rPr>
          <w:rFonts w:ascii="Times New Roman" w:hAnsi="Times New Roman"/>
        </w:rPr>
        <w:t>431.5</w:t>
      </w:r>
      <w:r w:rsidRPr="00055F7A">
        <w:rPr>
          <w:rFonts w:ascii="Times New Roman" w:hAnsi="Times New Roman"/>
        </w:rPr>
        <w:t xml:space="preserve"> million total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6A" w:rsidRPr="005E3C47" w:rsidRDefault="00FF106A" w:rsidP="005E3C47">
    <w:pPr>
      <w:pStyle w:val="Heading1"/>
      <w:spacing w:before="0"/>
      <w:jc w:val="right"/>
      <w:rPr>
        <w:rFonts w:ascii="Times New Roman" w:hAnsi="Times New Roman" w:cs="Times New Roman"/>
        <w:color w:val="auto"/>
        <w:sz w:val="20"/>
        <w:szCs w:val="20"/>
      </w:rPr>
    </w:pPr>
    <w:r>
      <w:rPr>
        <w:rFonts w:ascii="Times New Roman" w:hAnsi="Times New Roman" w:cs="Times New Roman"/>
        <w:color w:val="auto"/>
        <w:sz w:val="20"/>
        <w:szCs w:val="20"/>
      </w:rPr>
      <w:t xml:space="preserve">Prohibited Transaction </w:t>
    </w:r>
    <w:r w:rsidRPr="005E3C47">
      <w:rPr>
        <w:rFonts w:ascii="Times New Roman" w:hAnsi="Times New Roman" w:cs="Times New Roman"/>
        <w:color w:val="auto"/>
        <w:sz w:val="20"/>
        <w:szCs w:val="20"/>
      </w:rPr>
      <w:t>Class Exemption for Principal Transactions</w:t>
    </w:r>
  </w:p>
  <w:p w:rsidR="00FF106A" w:rsidRPr="005E3C47" w:rsidRDefault="00FF106A" w:rsidP="005E3C47">
    <w:pPr>
      <w:pStyle w:val="Heading1"/>
      <w:spacing w:before="0"/>
      <w:jc w:val="right"/>
      <w:rPr>
        <w:rFonts w:ascii="Times New Roman" w:hAnsi="Times New Roman" w:cs="Times New Roman"/>
        <w:color w:val="auto"/>
        <w:sz w:val="20"/>
        <w:szCs w:val="20"/>
      </w:rPr>
    </w:pPr>
    <w:r>
      <w:rPr>
        <w:rFonts w:ascii="Times New Roman" w:hAnsi="Times New Roman" w:cs="Times New Roman"/>
        <w:color w:val="auto"/>
        <w:sz w:val="20"/>
        <w:szCs w:val="20"/>
      </w:rPr>
      <w:t xml:space="preserve">OMB Control Number </w:t>
    </w:r>
    <w:r w:rsidRPr="005E3C47">
      <w:rPr>
        <w:rFonts w:ascii="Times New Roman" w:hAnsi="Times New Roman" w:cs="Times New Roman"/>
        <w:color w:val="auto"/>
        <w:sz w:val="20"/>
        <w:szCs w:val="20"/>
      </w:rPr>
      <w:t>1210-</w:t>
    </w:r>
    <w:r>
      <w:rPr>
        <w:rFonts w:ascii="Times New Roman" w:hAnsi="Times New Roman" w:cs="Times New Roman"/>
        <w:color w:val="auto"/>
        <w:sz w:val="20"/>
        <w:szCs w:val="20"/>
      </w:rPr>
      <w:t>0157</w:t>
    </w:r>
  </w:p>
  <w:p w:rsidR="00FF106A" w:rsidRPr="00AC2A80" w:rsidRDefault="0087030C" w:rsidP="005E3C47">
    <w:pPr>
      <w:pStyle w:val="Heading1"/>
      <w:spacing w:before="0"/>
      <w:jc w:val="right"/>
      <w:rPr>
        <w:rFonts w:ascii="Times New Roman" w:hAnsi="Times New Roman"/>
        <w:b w:val="0"/>
        <w:sz w:val="20"/>
        <w:szCs w:val="20"/>
      </w:rPr>
    </w:pPr>
    <w:r>
      <w:rPr>
        <w:rFonts w:ascii="Times New Roman" w:hAnsi="Times New Roman" w:cs="Times New Roman"/>
        <w:color w:val="auto"/>
        <w:sz w:val="20"/>
        <w:szCs w:val="20"/>
      </w:rPr>
      <w:t>April</w:t>
    </w:r>
    <w:r w:rsidR="00FF106A">
      <w:rPr>
        <w:rFonts w:ascii="Times New Roman" w:hAnsi="Times New Roman" w:cs="Times New Roman"/>
        <w:color w:val="auto"/>
        <w:sz w:val="20"/>
        <w:szCs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314E3576"/>
    <w:multiLevelType w:val="hybridMultilevel"/>
    <w:tmpl w:val="36E8B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ED41FC"/>
    <w:multiLevelType w:val="hybridMultilevel"/>
    <w:tmpl w:val="5D54F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306455"/>
    <w:multiLevelType w:val="hybridMultilevel"/>
    <w:tmpl w:val="8524549C"/>
    <w:lvl w:ilvl="0" w:tplc="7ECCDB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0F52F4"/>
    <w:multiLevelType w:val="hybridMultilevel"/>
    <w:tmpl w:val="5EEC0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D800A9"/>
    <w:multiLevelType w:val="hybridMultilevel"/>
    <w:tmpl w:val="D69C9702"/>
    <w:lvl w:ilvl="0" w:tplc="33909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3"/>
  </w:num>
  <w:num w:numId="6">
    <w:abstractNumId w:val="1"/>
  </w:num>
  <w:num w:numId="7">
    <w:abstractNumId w:val="2"/>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B2"/>
    <w:rsid w:val="000015B7"/>
    <w:rsid w:val="000058FE"/>
    <w:rsid w:val="00011926"/>
    <w:rsid w:val="000119A5"/>
    <w:rsid w:val="00012032"/>
    <w:rsid w:val="0001285F"/>
    <w:rsid w:val="00025932"/>
    <w:rsid w:val="00037A15"/>
    <w:rsid w:val="0004199C"/>
    <w:rsid w:val="00041FFB"/>
    <w:rsid w:val="00042AE8"/>
    <w:rsid w:val="00043E2A"/>
    <w:rsid w:val="000509B4"/>
    <w:rsid w:val="00051D8E"/>
    <w:rsid w:val="00051F87"/>
    <w:rsid w:val="00054E7F"/>
    <w:rsid w:val="00055F7A"/>
    <w:rsid w:val="00056CFD"/>
    <w:rsid w:val="00060955"/>
    <w:rsid w:val="000610AB"/>
    <w:rsid w:val="00065593"/>
    <w:rsid w:val="00071C3E"/>
    <w:rsid w:val="000746C8"/>
    <w:rsid w:val="0007492B"/>
    <w:rsid w:val="000805FE"/>
    <w:rsid w:val="00081718"/>
    <w:rsid w:val="00086E08"/>
    <w:rsid w:val="000914C5"/>
    <w:rsid w:val="0009166F"/>
    <w:rsid w:val="00092D41"/>
    <w:rsid w:val="000930A5"/>
    <w:rsid w:val="00094022"/>
    <w:rsid w:val="00094534"/>
    <w:rsid w:val="00095D21"/>
    <w:rsid w:val="000A6362"/>
    <w:rsid w:val="000A745A"/>
    <w:rsid w:val="000A7689"/>
    <w:rsid w:val="000A7EF3"/>
    <w:rsid w:val="000B1430"/>
    <w:rsid w:val="000B2A59"/>
    <w:rsid w:val="000B6218"/>
    <w:rsid w:val="000C6C76"/>
    <w:rsid w:val="000D1ED8"/>
    <w:rsid w:val="000D4E21"/>
    <w:rsid w:val="000D4E90"/>
    <w:rsid w:val="000D5BF6"/>
    <w:rsid w:val="000E1156"/>
    <w:rsid w:val="000E16CC"/>
    <w:rsid w:val="000E3E6A"/>
    <w:rsid w:val="000E6C88"/>
    <w:rsid w:val="000F1E7F"/>
    <w:rsid w:val="000F21D3"/>
    <w:rsid w:val="000F27E6"/>
    <w:rsid w:val="000F2E82"/>
    <w:rsid w:val="000F6241"/>
    <w:rsid w:val="000F7F3C"/>
    <w:rsid w:val="001002F4"/>
    <w:rsid w:val="001022EF"/>
    <w:rsid w:val="00104FD7"/>
    <w:rsid w:val="00112080"/>
    <w:rsid w:val="00115A07"/>
    <w:rsid w:val="00120F59"/>
    <w:rsid w:val="00122D70"/>
    <w:rsid w:val="00130F98"/>
    <w:rsid w:val="00135B22"/>
    <w:rsid w:val="00135D3F"/>
    <w:rsid w:val="00136B72"/>
    <w:rsid w:val="0013799A"/>
    <w:rsid w:val="00144C68"/>
    <w:rsid w:val="00144D89"/>
    <w:rsid w:val="00155909"/>
    <w:rsid w:val="00164289"/>
    <w:rsid w:val="0016793C"/>
    <w:rsid w:val="00172AB3"/>
    <w:rsid w:val="00176315"/>
    <w:rsid w:val="00176829"/>
    <w:rsid w:val="00181389"/>
    <w:rsid w:val="001839F6"/>
    <w:rsid w:val="00184544"/>
    <w:rsid w:val="001845AE"/>
    <w:rsid w:val="00190554"/>
    <w:rsid w:val="00190A4A"/>
    <w:rsid w:val="001938A5"/>
    <w:rsid w:val="00197DFC"/>
    <w:rsid w:val="001A083E"/>
    <w:rsid w:val="001A241A"/>
    <w:rsid w:val="001A4D0B"/>
    <w:rsid w:val="001B1D9C"/>
    <w:rsid w:val="001B2F9D"/>
    <w:rsid w:val="001B43C1"/>
    <w:rsid w:val="001C0621"/>
    <w:rsid w:val="001C3781"/>
    <w:rsid w:val="001D03FD"/>
    <w:rsid w:val="001D11ED"/>
    <w:rsid w:val="001D2253"/>
    <w:rsid w:val="001D69A5"/>
    <w:rsid w:val="001E3508"/>
    <w:rsid w:val="001E5C16"/>
    <w:rsid w:val="001F0661"/>
    <w:rsid w:val="001F5CAB"/>
    <w:rsid w:val="001F6BF2"/>
    <w:rsid w:val="00201863"/>
    <w:rsid w:val="002043DF"/>
    <w:rsid w:val="00206567"/>
    <w:rsid w:val="00212870"/>
    <w:rsid w:val="00213639"/>
    <w:rsid w:val="0021698D"/>
    <w:rsid w:val="00222C8B"/>
    <w:rsid w:val="002250F1"/>
    <w:rsid w:val="002277D0"/>
    <w:rsid w:val="002310DB"/>
    <w:rsid w:val="00231339"/>
    <w:rsid w:val="00231511"/>
    <w:rsid w:val="002333CB"/>
    <w:rsid w:val="00234C7A"/>
    <w:rsid w:val="00235B48"/>
    <w:rsid w:val="002417AA"/>
    <w:rsid w:val="0024351B"/>
    <w:rsid w:val="00250573"/>
    <w:rsid w:val="002545B7"/>
    <w:rsid w:val="002552C1"/>
    <w:rsid w:val="00256A19"/>
    <w:rsid w:val="0026076E"/>
    <w:rsid w:val="002661BF"/>
    <w:rsid w:val="00266850"/>
    <w:rsid w:val="00266C59"/>
    <w:rsid w:val="0027458F"/>
    <w:rsid w:val="00274E41"/>
    <w:rsid w:val="00276C73"/>
    <w:rsid w:val="0028196C"/>
    <w:rsid w:val="00281E9E"/>
    <w:rsid w:val="002822D6"/>
    <w:rsid w:val="00283DF2"/>
    <w:rsid w:val="00284261"/>
    <w:rsid w:val="0028468D"/>
    <w:rsid w:val="002919E4"/>
    <w:rsid w:val="002969C3"/>
    <w:rsid w:val="002A04C6"/>
    <w:rsid w:val="002A36A8"/>
    <w:rsid w:val="002A49B1"/>
    <w:rsid w:val="002B0A04"/>
    <w:rsid w:val="002B0F51"/>
    <w:rsid w:val="002B5479"/>
    <w:rsid w:val="002B7393"/>
    <w:rsid w:val="002C22D7"/>
    <w:rsid w:val="002C2C42"/>
    <w:rsid w:val="002C681B"/>
    <w:rsid w:val="002D0CD5"/>
    <w:rsid w:val="002D55FC"/>
    <w:rsid w:val="002E0092"/>
    <w:rsid w:val="002E0494"/>
    <w:rsid w:val="002E2880"/>
    <w:rsid w:val="002E36D9"/>
    <w:rsid w:val="002E3719"/>
    <w:rsid w:val="002E3A96"/>
    <w:rsid w:val="002E4653"/>
    <w:rsid w:val="002F016E"/>
    <w:rsid w:val="002F68BF"/>
    <w:rsid w:val="0030040C"/>
    <w:rsid w:val="00300D26"/>
    <w:rsid w:val="003079FF"/>
    <w:rsid w:val="00310B99"/>
    <w:rsid w:val="003173F9"/>
    <w:rsid w:val="003227CD"/>
    <w:rsid w:val="00323523"/>
    <w:rsid w:val="00333A5F"/>
    <w:rsid w:val="00341105"/>
    <w:rsid w:val="00343898"/>
    <w:rsid w:val="00346D15"/>
    <w:rsid w:val="0034754B"/>
    <w:rsid w:val="0034785F"/>
    <w:rsid w:val="00360DC4"/>
    <w:rsid w:val="00365672"/>
    <w:rsid w:val="00367BDB"/>
    <w:rsid w:val="00370538"/>
    <w:rsid w:val="00376183"/>
    <w:rsid w:val="00376BB9"/>
    <w:rsid w:val="00380BF3"/>
    <w:rsid w:val="003838AE"/>
    <w:rsid w:val="0038552B"/>
    <w:rsid w:val="00385CFC"/>
    <w:rsid w:val="00386402"/>
    <w:rsid w:val="00386949"/>
    <w:rsid w:val="00391361"/>
    <w:rsid w:val="0039258A"/>
    <w:rsid w:val="00392ADD"/>
    <w:rsid w:val="00395E66"/>
    <w:rsid w:val="003A5C59"/>
    <w:rsid w:val="003A7E06"/>
    <w:rsid w:val="003B178A"/>
    <w:rsid w:val="003B35C2"/>
    <w:rsid w:val="003B3904"/>
    <w:rsid w:val="003B6A8D"/>
    <w:rsid w:val="003B7337"/>
    <w:rsid w:val="003C3006"/>
    <w:rsid w:val="003C301A"/>
    <w:rsid w:val="003C6011"/>
    <w:rsid w:val="003C6398"/>
    <w:rsid w:val="003C7C8D"/>
    <w:rsid w:val="003C7E3F"/>
    <w:rsid w:val="003D0762"/>
    <w:rsid w:val="003D128F"/>
    <w:rsid w:val="003D4D30"/>
    <w:rsid w:val="003D5BAC"/>
    <w:rsid w:val="003E04C1"/>
    <w:rsid w:val="003E0FAC"/>
    <w:rsid w:val="003E28F6"/>
    <w:rsid w:val="003E2DF5"/>
    <w:rsid w:val="003E55CE"/>
    <w:rsid w:val="003F1813"/>
    <w:rsid w:val="003F3113"/>
    <w:rsid w:val="003F39BE"/>
    <w:rsid w:val="004019DF"/>
    <w:rsid w:val="00404CB3"/>
    <w:rsid w:val="00405086"/>
    <w:rsid w:val="00410C54"/>
    <w:rsid w:val="00411EE2"/>
    <w:rsid w:val="00413FB3"/>
    <w:rsid w:val="004158FF"/>
    <w:rsid w:val="004275D4"/>
    <w:rsid w:val="00431EE1"/>
    <w:rsid w:val="00433300"/>
    <w:rsid w:val="0043451E"/>
    <w:rsid w:val="00460B26"/>
    <w:rsid w:val="0046549A"/>
    <w:rsid w:val="00473752"/>
    <w:rsid w:val="00475204"/>
    <w:rsid w:val="0047771D"/>
    <w:rsid w:val="00484B84"/>
    <w:rsid w:val="00485586"/>
    <w:rsid w:val="00491F77"/>
    <w:rsid w:val="0049266B"/>
    <w:rsid w:val="004942DB"/>
    <w:rsid w:val="00496D3E"/>
    <w:rsid w:val="004A1994"/>
    <w:rsid w:val="004A2001"/>
    <w:rsid w:val="004A50B4"/>
    <w:rsid w:val="004A57CF"/>
    <w:rsid w:val="004A6561"/>
    <w:rsid w:val="004A7ED5"/>
    <w:rsid w:val="004B0755"/>
    <w:rsid w:val="004B1AB8"/>
    <w:rsid w:val="004B2862"/>
    <w:rsid w:val="004C426A"/>
    <w:rsid w:val="004C4E6D"/>
    <w:rsid w:val="004C5FBF"/>
    <w:rsid w:val="004C7172"/>
    <w:rsid w:val="004D0A40"/>
    <w:rsid w:val="004D1676"/>
    <w:rsid w:val="004D2F52"/>
    <w:rsid w:val="004D4AA4"/>
    <w:rsid w:val="004D4B58"/>
    <w:rsid w:val="004D5A1F"/>
    <w:rsid w:val="004D6212"/>
    <w:rsid w:val="004E140A"/>
    <w:rsid w:val="004E2E93"/>
    <w:rsid w:val="004E3994"/>
    <w:rsid w:val="004E3DC1"/>
    <w:rsid w:val="004E6238"/>
    <w:rsid w:val="004E7FEE"/>
    <w:rsid w:val="004F0204"/>
    <w:rsid w:val="004F0BF2"/>
    <w:rsid w:val="004F3568"/>
    <w:rsid w:val="00500B6C"/>
    <w:rsid w:val="00501E5E"/>
    <w:rsid w:val="005020A4"/>
    <w:rsid w:val="0050232D"/>
    <w:rsid w:val="005077F2"/>
    <w:rsid w:val="005168C3"/>
    <w:rsid w:val="00517936"/>
    <w:rsid w:val="005204A9"/>
    <w:rsid w:val="005222C3"/>
    <w:rsid w:val="005251EF"/>
    <w:rsid w:val="00532368"/>
    <w:rsid w:val="005323FF"/>
    <w:rsid w:val="00532A23"/>
    <w:rsid w:val="005336C1"/>
    <w:rsid w:val="00534F76"/>
    <w:rsid w:val="005362AC"/>
    <w:rsid w:val="00537318"/>
    <w:rsid w:val="0053789C"/>
    <w:rsid w:val="00540DA6"/>
    <w:rsid w:val="00541BBA"/>
    <w:rsid w:val="00541F6D"/>
    <w:rsid w:val="005438AF"/>
    <w:rsid w:val="005459DF"/>
    <w:rsid w:val="00546544"/>
    <w:rsid w:val="0055576B"/>
    <w:rsid w:val="00565446"/>
    <w:rsid w:val="005657B3"/>
    <w:rsid w:val="00566282"/>
    <w:rsid w:val="00566FEB"/>
    <w:rsid w:val="005721D9"/>
    <w:rsid w:val="00576D67"/>
    <w:rsid w:val="005837AE"/>
    <w:rsid w:val="005844D9"/>
    <w:rsid w:val="00585452"/>
    <w:rsid w:val="005869AC"/>
    <w:rsid w:val="00586B52"/>
    <w:rsid w:val="00586F18"/>
    <w:rsid w:val="0058745F"/>
    <w:rsid w:val="00587693"/>
    <w:rsid w:val="00592AEB"/>
    <w:rsid w:val="00594CC3"/>
    <w:rsid w:val="00594E1F"/>
    <w:rsid w:val="005954F9"/>
    <w:rsid w:val="00596F4F"/>
    <w:rsid w:val="00596F84"/>
    <w:rsid w:val="005A0FA1"/>
    <w:rsid w:val="005A37AE"/>
    <w:rsid w:val="005B4A8D"/>
    <w:rsid w:val="005C24D3"/>
    <w:rsid w:val="005C47EC"/>
    <w:rsid w:val="005C6D5B"/>
    <w:rsid w:val="005D1F07"/>
    <w:rsid w:val="005D5497"/>
    <w:rsid w:val="005D7217"/>
    <w:rsid w:val="005E2587"/>
    <w:rsid w:val="005E3C47"/>
    <w:rsid w:val="005E3E87"/>
    <w:rsid w:val="005E629A"/>
    <w:rsid w:val="005F1F4C"/>
    <w:rsid w:val="005F26D0"/>
    <w:rsid w:val="005F33D3"/>
    <w:rsid w:val="005F5FB4"/>
    <w:rsid w:val="00604BF2"/>
    <w:rsid w:val="006123B8"/>
    <w:rsid w:val="00612F60"/>
    <w:rsid w:val="00613ED0"/>
    <w:rsid w:val="0061694F"/>
    <w:rsid w:val="00622521"/>
    <w:rsid w:val="00631196"/>
    <w:rsid w:val="00636372"/>
    <w:rsid w:val="00636752"/>
    <w:rsid w:val="00643355"/>
    <w:rsid w:val="00643B92"/>
    <w:rsid w:val="006440F3"/>
    <w:rsid w:val="006464FA"/>
    <w:rsid w:val="00650AEF"/>
    <w:rsid w:val="00651AF8"/>
    <w:rsid w:val="00652808"/>
    <w:rsid w:val="00655B2A"/>
    <w:rsid w:val="00657E1F"/>
    <w:rsid w:val="006615E9"/>
    <w:rsid w:val="00664FF4"/>
    <w:rsid w:val="00667A08"/>
    <w:rsid w:val="00673855"/>
    <w:rsid w:val="00674C2D"/>
    <w:rsid w:val="00675F93"/>
    <w:rsid w:val="00676AF1"/>
    <w:rsid w:val="00694421"/>
    <w:rsid w:val="006A0C25"/>
    <w:rsid w:val="006A4D80"/>
    <w:rsid w:val="006A7CA4"/>
    <w:rsid w:val="006B016A"/>
    <w:rsid w:val="006B04B4"/>
    <w:rsid w:val="006C4505"/>
    <w:rsid w:val="006C624B"/>
    <w:rsid w:val="006D450E"/>
    <w:rsid w:val="006E2DEE"/>
    <w:rsid w:val="006E5AB3"/>
    <w:rsid w:val="006E6E49"/>
    <w:rsid w:val="006E74CB"/>
    <w:rsid w:val="006F03AE"/>
    <w:rsid w:val="0070488A"/>
    <w:rsid w:val="00704958"/>
    <w:rsid w:val="00704BE1"/>
    <w:rsid w:val="007050A5"/>
    <w:rsid w:val="00710C3E"/>
    <w:rsid w:val="00711A8C"/>
    <w:rsid w:val="0071503F"/>
    <w:rsid w:val="00725FA2"/>
    <w:rsid w:val="0072794F"/>
    <w:rsid w:val="00727E16"/>
    <w:rsid w:val="00730E1B"/>
    <w:rsid w:val="00734BC2"/>
    <w:rsid w:val="00735804"/>
    <w:rsid w:val="00736919"/>
    <w:rsid w:val="007400C9"/>
    <w:rsid w:val="00741980"/>
    <w:rsid w:val="00743472"/>
    <w:rsid w:val="00745E4A"/>
    <w:rsid w:val="00746709"/>
    <w:rsid w:val="00747506"/>
    <w:rsid w:val="00747797"/>
    <w:rsid w:val="007528CB"/>
    <w:rsid w:val="00754043"/>
    <w:rsid w:val="007564B8"/>
    <w:rsid w:val="00761CC8"/>
    <w:rsid w:val="00766E59"/>
    <w:rsid w:val="00766E66"/>
    <w:rsid w:val="00774B18"/>
    <w:rsid w:val="00780942"/>
    <w:rsid w:val="0078184A"/>
    <w:rsid w:val="00781BA6"/>
    <w:rsid w:val="00796026"/>
    <w:rsid w:val="007A3257"/>
    <w:rsid w:val="007B7120"/>
    <w:rsid w:val="007C054E"/>
    <w:rsid w:val="007C274F"/>
    <w:rsid w:val="007C30F2"/>
    <w:rsid w:val="007C3945"/>
    <w:rsid w:val="007D38E6"/>
    <w:rsid w:val="007D625F"/>
    <w:rsid w:val="007F2856"/>
    <w:rsid w:val="007F3BC7"/>
    <w:rsid w:val="007F4287"/>
    <w:rsid w:val="007F72A5"/>
    <w:rsid w:val="007F7B14"/>
    <w:rsid w:val="007F7B15"/>
    <w:rsid w:val="00800506"/>
    <w:rsid w:val="00803F5A"/>
    <w:rsid w:val="008077F6"/>
    <w:rsid w:val="00814905"/>
    <w:rsid w:val="0081683B"/>
    <w:rsid w:val="00816F97"/>
    <w:rsid w:val="00817C13"/>
    <w:rsid w:val="0082305C"/>
    <w:rsid w:val="008323C7"/>
    <w:rsid w:val="0083467F"/>
    <w:rsid w:val="00836D26"/>
    <w:rsid w:val="00837B42"/>
    <w:rsid w:val="00844F16"/>
    <w:rsid w:val="0084733D"/>
    <w:rsid w:val="00852B3F"/>
    <w:rsid w:val="00853760"/>
    <w:rsid w:val="008541F9"/>
    <w:rsid w:val="0086166F"/>
    <w:rsid w:val="008652FF"/>
    <w:rsid w:val="008658D1"/>
    <w:rsid w:val="00865F7C"/>
    <w:rsid w:val="0087030C"/>
    <w:rsid w:val="00880A63"/>
    <w:rsid w:val="00884E68"/>
    <w:rsid w:val="008906A3"/>
    <w:rsid w:val="008928DE"/>
    <w:rsid w:val="00892A6C"/>
    <w:rsid w:val="008963C3"/>
    <w:rsid w:val="008A1939"/>
    <w:rsid w:val="008A31BA"/>
    <w:rsid w:val="008A32B2"/>
    <w:rsid w:val="008A355B"/>
    <w:rsid w:val="008A3633"/>
    <w:rsid w:val="008A3CC6"/>
    <w:rsid w:val="008A6413"/>
    <w:rsid w:val="008A69B2"/>
    <w:rsid w:val="008A7561"/>
    <w:rsid w:val="008B0FAE"/>
    <w:rsid w:val="008B1015"/>
    <w:rsid w:val="008B1D05"/>
    <w:rsid w:val="008B2372"/>
    <w:rsid w:val="008B2E07"/>
    <w:rsid w:val="008B58EC"/>
    <w:rsid w:val="008C104D"/>
    <w:rsid w:val="008C331B"/>
    <w:rsid w:val="008C3A3F"/>
    <w:rsid w:val="008C539D"/>
    <w:rsid w:val="008C5AED"/>
    <w:rsid w:val="008C6970"/>
    <w:rsid w:val="008C7AA2"/>
    <w:rsid w:val="008D7ED8"/>
    <w:rsid w:val="0090264B"/>
    <w:rsid w:val="009029D5"/>
    <w:rsid w:val="0090313C"/>
    <w:rsid w:val="00904FA1"/>
    <w:rsid w:val="00911B00"/>
    <w:rsid w:val="00914036"/>
    <w:rsid w:val="009242EE"/>
    <w:rsid w:val="00925978"/>
    <w:rsid w:val="00930C60"/>
    <w:rsid w:val="00930F9A"/>
    <w:rsid w:val="00935F21"/>
    <w:rsid w:val="00936E77"/>
    <w:rsid w:val="009373DF"/>
    <w:rsid w:val="00941BFC"/>
    <w:rsid w:val="00942207"/>
    <w:rsid w:val="00943C58"/>
    <w:rsid w:val="00943F75"/>
    <w:rsid w:val="009535E2"/>
    <w:rsid w:val="0095653D"/>
    <w:rsid w:val="00966838"/>
    <w:rsid w:val="009713B1"/>
    <w:rsid w:val="0097255B"/>
    <w:rsid w:val="00974027"/>
    <w:rsid w:val="0098013F"/>
    <w:rsid w:val="0098061F"/>
    <w:rsid w:val="00984598"/>
    <w:rsid w:val="0099137A"/>
    <w:rsid w:val="0099485F"/>
    <w:rsid w:val="00996C89"/>
    <w:rsid w:val="009B0FF6"/>
    <w:rsid w:val="009B385B"/>
    <w:rsid w:val="009B4EB0"/>
    <w:rsid w:val="009C10CA"/>
    <w:rsid w:val="009C1E77"/>
    <w:rsid w:val="009E5804"/>
    <w:rsid w:val="009E586B"/>
    <w:rsid w:val="009F04F5"/>
    <w:rsid w:val="009F6B2C"/>
    <w:rsid w:val="00A01E12"/>
    <w:rsid w:val="00A03F84"/>
    <w:rsid w:val="00A05EBE"/>
    <w:rsid w:val="00A16D64"/>
    <w:rsid w:val="00A21814"/>
    <w:rsid w:val="00A240FC"/>
    <w:rsid w:val="00A246C4"/>
    <w:rsid w:val="00A251C4"/>
    <w:rsid w:val="00A251EB"/>
    <w:rsid w:val="00A26D30"/>
    <w:rsid w:val="00A3143A"/>
    <w:rsid w:val="00A3211B"/>
    <w:rsid w:val="00A34400"/>
    <w:rsid w:val="00A35ABD"/>
    <w:rsid w:val="00A44B96"/>
    <w:rsid w:val="00A54C32"/>
    <w:rsid w:val="00A553F7"/>
    <w:rsid w:val="00A57917"/>
    <w:rsid w:val="00A57A32"/>
    <w:rsid w:val="00A6617D"/>
    <w:rsid w:val="00A7023E"/>
    <w:rsid w:val="00A70462"/>
    <w:rsid w:val="00A7150D"/>
    <w:rsid w:val="00A72BCB"/>
    <w:rsid w:val="00A80E41"/>
    <w:rsid w:val="00A834CA"/>
    <w:rsid w:val="00A8441D"/>
    <w:rsid w:val="00A84520"/>
    <w:rsid w:val="00A85B87"/>
    <w:rsid w:val="00A9418B"/>
    <w:rsid w:val="00A95BFE"/>
    <w:rsid w:val="00A963F4"/>
    <w:rsid w:val="00AA0D37"/>
    <w:rsid w:val="00AA5E8B"/>
    <w:rsid w:val="00AA783F"/>
    <w:rsid w:val="00AB25C5"/>
    <w:rsid w:val="00AB5080"/>
    <w:rsid w:val="00AC27CD"/>
    <w:rsid w:val="00AC2A80"/>
    <w:rsid w:val="00AC734E"/>
    <w:rsid w:val="00AD4CF8"/>
    <w:rsid w:val="00AD64BE"/>
    <w:rsid w:val="00AD7FB5"/>
    <w:rsid w:val="00AE36F8"/>
    <w:rsid w:val="00AF2FF3"/>
    <w:rsid w:val="00AF6A04"/>
    <w:rsid w:val="00B00477"/>
    <w:rsid w:val="00B023CE"/>
    <w:rsid w:val="00B0424E"/>
    <w:rsid w:val="00B049D4"/>
    <w:rsid w:val="00B052DC"/>
    <w:rsid w:val="00B06B58"/>
    <w:rsid w:val="00B12F80"/>
    <w:rsid w:val="00B15955"/>
    <w:rsid w:val="00B15B88"/>
    <w:rsid w:val="00B16722"/>
    <w:rsid w:val="00B16F95"/>
    <w:rsid w:val="00B1769B"/>
    <w:rsid w:val="00B178D0"/>
    <w:rsid w:val="00B2037F"/>
    <w:rsid w:val="00B20D7B"/>
    <w:rsid w:val="00B212CF"/>
    <w:rsid w:val="00B218F7"/>
    <w:rsid w:val="00B25B3E"/>
    <w:rsid w:val="00B25DD0"/>
    <w:rsid w:val="00B27604"/>
    <w:rsid w:val="00B30B53"/>
    <w:rsid w:val="00B30D8B"/>
    <w:rsid w:val="00B30F7E"/>
    <w:rsid w:val="00B32948"/>
    <w:rsid w:val="00B32B37"/>
    <w:rsid w:val="00B33546"/>
    <w:rsid w:val="00B36996"/>
    <w:rsid w:val="00B37D15"/>
    <w:rsid w:val="00B4177A"/>
    <w:rsid w:val="00B41D75"/>
    <w:rsid w:val="00B41FAA"/>
    <w:rsid w:val="00B42D87"/>
    <w:rsid w:val="00B43094"/>
    <w:rsid w:val="00B430C0"/>
    <w:rsid w:val="00B45447"/>
    <w:rsid w:val="00B478AB"/>
    <w:rsid w:val="00B53087"/>
    <w:rsid w:val="00B53A5A"/>
    <w:rsid w:val="00B5494E"/>
    <w:rsid w:val="00B567A5"/>
    <w:rsid w:val="00B6305C"/>
    <w:rsid w:val="00B66FEA"/>
    <w:rsid w:val="00B677AF"/>
    <w:rsid w:val="00B70530"/>
    <w:rsid w:val="00B716D8"/>
    <w:rsid w:val="00B726EC"/>
    <w:rsid w:val="00B76E2A"/>
    <w:rsid w:val="00B809B0"/>
    <w:rsid w:val="00B822C3"/>
    <w:rsid w:val="00B82B09"/>
    <w:rsid w:val="00B84D72"/>
    <w:rsid w:val="00B876B7"/>
    <w:rsid w:val="00B87BEC"/>
    <w:rsid w:val="00B902DD"/>
    <w:rsid w:val="00B91FD7"/>
    <w:rsid w:val="00B93CE2"/>
    <w:rsid w:val="00B940F4"/>
    <w:rsid w:val="00B94333"/>
    <w:rsid w:val="00B9777D"/>
    <w:rsid w:val="00BA4E05"/>
    <w:rsid w:val="00BB0AD5"/>
    <w:rsid w:val="00BB3E9A"/>
    <w:rsid w:val="00BB425A"/>
    <w:rsid w:val="00BB705E"/>
    <w:rsid w:val="00BB7EDC"/>
    <w:rsid w:val="00BC098D"/>
    <w:rsid w:val="00BC49EF"/>
    <w:rsid w:val="00BC5224"/>
    <w:rsid w:val="00BE0F70"/>
    <w:rsid w:val="00BE0FF3"/>
    <w:rsid w:val="00BE1992"/>
    <w:rsid w:val="00BE3D72"/>
    <w:rsid w:val="00BE4C4D"/>
    <w:rsid w:val="00BF0CE7"/>
    <w:rsid w:val="00BF1CD2"/>
    <w:rsid w:val="00C05ED1"/>
    <w:rsid w:val="00C125AA"/>
    <w:rsid w:val="00C15213"/>
    <w:rsid w:val="00C21020"/>
    <w:rsid w:val="00C21EBA"/>
    <w:rsid w:val="00C26293"/>
    <w:rsid w:val="00C26D7D"/>
    <w:rsid w:val="00C3144F"/>
    <w:rsid w:val="00C316C2"/>
    <w:rsid w:val="00C31E44"/>
    <w:rsid w:val="00C32A1D"/>
    <w:rsid w:val="00C46024"/>
    <w:rsid w:val="00C46C5B"/>
    <w:rsid w:val="00C4718C"/>
    <w:rsid w:val="00C5238B"/>
    <w:rsid w:val="00C526EA"/>
    <w:rsid w:val="00C607C1"/>
    <w:rsid w:val="00C63739"/>
    <w:rsid w:val="00C63A3C"/>
    <w:rsid w:val="00C63B22"/>
    <w:rsid w:val="00C643A4"/>
    <w:rsid w:val="00C71AAD"/>
    <w:rsid w:val="00C72C15"/>
    <w:rsid w:val="00C766EF"/>
    <w:rsid w:val="00C769C8"/>
    <w:rsid w:val="00C812D5"/>
    <w:rsid w:val="00C930DF"/>
    <w:rsid w:val="00C94150"/>
    <w:rsid w:val="00C96110"/>
    <w:rsid w:val="00C97C13"/>
    <w:rsid w:val="00CA03AF"/>
    <w:rsid w:val="00CA27E7"/>
    <w:rsid w:val="00CA3C66"/>
    <w:rsid w:val="00CA45BD"/>
    <w:rsid w:val="00CA5955"/>
    <w:rsid w:val="00CA5D08"/>
    <w:rsid w:val="00CA668A"/>
    <w:rsid w:val="00CB67AA"/>
    <w:rsid w:val="00CC1D7C"/>
    <w:rsid w:val="00CC1DEE"/>
    <w:rsid w:val="00CC4651"/>
    <w:rsid w:val="00CC65B0"/>
    <w:rsid w:val="00CC6822"/>
    <w:rsid w:val="00CC6E29"/>
    <w:rsid w:val="00CD2D02"/>
    <w:rsid w:val="00CD3CF7"/>
    <w:rsid w:val="00CD4FCF"/>
    <w:rsid w:val="00CD50B2"/>
    <w:rsid w:val="00CE1A6B"/>
    <w:rsid w:val="00CE3F9C"/>
    <w:rsid w:val="00CE53D1"/>
    <w:rsid w:val="00CF121F"/>
    <w:rsid w:val="00CF2B03"/>
    <w:rsid w:val="00CF303B"/>
    <w:rsid w:val="00CF7656"/>
    <w:rsid w:val="00D03332"/>
    <w:rsid w:val="00D03880"/>
    <w:rsid w:val="00D04E46"/>
    <w:rsid w:val="00D07637"/>
    <w:rsid w:val="00D1214D"/>
    <w:rsid w:val="00D135B7"/>
    <w:rsid w:val="00D16AA8"/>
    <w:rsid w:val="00D203BF"/>
    <w:rsid w:val="00D319C5"/>
    <w:rsid w:val="00D3584A"/>
    <w:rsid w:val="00D40EA5"/>
    <w:rsid w:val="00D41A50"/>
    <w:rsid w:val="00D4346A"/>
    <w:rsid w:val="00D5010A"/>
    <w:rsid w:val="00D51284"/>
    <w:rsid w:val="00D52364"/>
    <w:rsid w:val="00D6108E"/>
    <w:rsid w:val="00D66550"/>
    <w:rsid w:val="00D6678C"/>
    <w:rsid w:val="00D67C69"/>
    <w:rsid w:val="00D708CA"/>
    <w:rsid w:val="00D71EE1"/>
    <w:rsid w:val="00D80E55"/>
    <w:rsid w:val="00D80EE0"/>
    <w:rsid w:val="00D867A7"/>
    <w:rsid w:val="00D901EB"/>
    <w:rsid w:val="00D92622"/>
    <w:rsid w:val="00D932F2"/>
    <w:rsid w:val="00D95691"/>
    <w:rsid w:val="00D96436"/>
    <w:rsid w:val="00DA0512"/>
    <w:rsid w:val="00DA2152"/>
    <w:rsid w:val="00DA6475"/>
    <w:rsid w:val="00DA764F"/>
    <w:rsid w:val="00DB44F8"/>
    <w:rsid w:val="00DB749C"/>
    <w:rsid w:val="00DC01B8"/>
    <w:rsid w:val="00DC0931"/>
    <w:rsid w:val="00DC1D78"/>
    <w:rsid w:val="00DC2CF5"/>
    <w:rsid w:val="00DC3D7D"/>
    <w:rsid w:val="00DC4BF8"/>
    <w:rsid w:val="00DC5E36"/>
    <w:rsid w:val="00DD0EA7"/>
    <w:rsid w:val="00DD1D6A"/>
    <w:rsid w:val="00DD4924"/>
    <w:rsid w:val="00DE306F"/>
    <w:rsid w:val="00DF22B6"/>
    <w:rsid w:val="00DF3CAA"/>
    <w:rsid w:val="00DF4490"/>
    <w:rsid w:val="00DF78C8"/>
    <w:rsid w:val="00E00958"/>
    <w:rsid w:val="00E0308C"/>
    <w:rsid w:val="00E0765B"/>
    <w:rsid w:val="00E07A95"/>
    <w:rsid w:val="00E11B86"/>
    <w:rsid w:val="00E12855"/>
    <w:rsid w:val="00E21DC2"/>
    <w:rsid w:val="00E24F87"/>
    <w:rsid w:val="00E306C6"/>
    <w:rsid w:val="00E32E5D"/>
    <w:rsid w:val="00E36980"/>
    <w:rsid w:val="00E36C58"/>
    <w:rsid w:val="00E37ECE"/>
    <w:rsid w:val="00E42667"/>
    <w:rsid w:val="00E43018"/>
    <w:rsid w:val="00E43F00"/>
    <w:rsid w:val="00E44A3F"/>
    <w:rsid w:val="00E44D06"/>
    <w:rsid w:val="00E45C97"/>
    <w:rsid w:val="00E47FB2"/>
    <w:rsid w:val="00E562C3"/>
    <w:rsid w:val="00E56F96"/>
    <w:rsid w:val="00E60A1A"/>
    <w:rsid w:val="00E63497"/>
    <w:rsid w:val="00E640B0"/>
    <w:rsid w:val="00E6758C"/>
    <w:rsid w:val="00E676B3"/>
    <w:rsid w:val="00E67B4B"/>
    <w:rsid w:val="00E7270B"/>
    <w:rsid w:val="00E733BA"/>
    <w:rsid w:val="00E82ED7"/>
    <w:rsid w:val="00E836C9"/>
    <w:rsid w:val="00E878C9"/>
    <w:rsid w:val="00E90EEB"/>
    <w:rsid w:val="00E95063"/>
    <w:rsid w:val="00E97172"/>
    <w:rsid w:val="00E97EE1"/>
    <w:rsid w:val="00E97FA3"/>
    <w:rsid w:val="00EA0903"/>
    <w:rsid w:val="00EA6385"/>
    <w:rsid w:val="00EA6BD3"/>
    <w:rsid w:val="00EB26F3"/>
    <w:rsid w:val="00EB4577"/>
    <w:rsid w:val="00EB5B3C"/>
    <w:rsid w:val="00EB650E"/>
    <w:rsid w:val="00EC2D78"/>
    <w:rsid w:val="00EC69FC"/>
    <w:rsid w:val="00EC7FE6"/>
    <w:rsid w:val="00ED39CD"/>
    <w:rsid w:val="00ED7B18"/>
    <w:rsid w:val="00EE2131"/>
    <w:rsid w:val="00EE29BE"/>
    <w:rsid w:val="00EF0027"/>
    <w:rsid w:val="00EF1C13"/>
    <w:rsid w:val="00EF459B"/>
    <w:rsid w:val="00F00FBA"/>
    <w:rsid w:val="00F068D3"/>
    <w:rsid w:val="00F07264"/>
    <w:rsid w:val="00F10C97"/>
    <w:rsid w:val="00F131DB"/>
    <w:rsid w:val="00F134A0"/>
    <w:rsid w:val="00F17AFA"/>
    <w:rsid w:val="00F21885"/>
    <w:rsid w:val="00F21BF0"/>
    <w:rsid w:val="00F22C0B"/>
    <w:rsid w:val="00F2439E"/>
    <w:rsid w:val="00F24D6C"/>
    <w:rsid w:val="00F26EAE"/>
    <w:rsid w:val="00F34871"/>
    <w:rsid w:val="00F3670F"/>
    <w:rsid w:val="00F368A3"/>
    <w:rsid w:val="00F370BB"/>
    <w:rsid w:val="00F446D0"/>
    <w:rsid w:val="00F44934"/>
    <w:rsid w:val="00F50B19"/>
    <w:rsid w:val="00F607DC"/>
    <w:rsid w:val="00F621D9"/>
    <w:rsid w:val="00F63D5F"/>
    <w:rsid w:val="00F657AC"/>
    <w:rsid w:val="00F72121"/>
    <w:rsid w:val="00F73043"/>
    <w:rsid w:val="00F82B08"/>
    <w:rsid w:val="00F83708"/>
    <w:rsid w:val="00F8399B"/>
    <w:rsid w:val="00F84482"/>
    <w:rsid w:val="00F849EE"/>
    <w:rsid w:val="00F860B9"/>
    <w:rsid w:val="00F90C32"/>
    <w:rsid w:val="00FA2D27"/>
    <w:rsid w:val="00FA3A54"/>
    <w:rsid w:val="00FA43FE"/>
    <w:rsid w:val="00FB63A1"/>
    <w:rsid w:val="00FC0D44"/>
    <w:rsid w:val="00FC0F2B"/>
    <w:rsid w:val="00FC13C9"/>
    <w:rsid w:val="00FC5AF1"/>
    <w:rsid w:val="00FD3378"/>
    <w:rsid w:val="00FD5245"/>
    <w:rsid w:val="00FD789C"/>
    <w:rsid w:val="00FE0E11"/>
    <w:rsid w:val="00FE2A5A"/>
    <w:rsid w:val="00FE3018"/>
    <w:rsid w:val="00FE3D13"/>
    <w:rsid w:val="00FE6BC3"/>
    <w:rsid w:val="00FF0A51"/>
    <w:rsid w:val="00FF106A"/>
    <w:rsid w:val="00FF31CB"/>
    <w:rsid w:val="00FF3CCB"/>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43"/>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E3C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ListParagraph">
    <w:name w:val="List Paragraph"/>
    <w:basedOn w:val="Normal"/>
    <w:uiPriority w:val="34"/>
    <w:qFormat/>
    <w:rsid w:val="00C769C8"/>
    <w:pPr>
      <w:ind w:left="720"/>
    </w:pPr>
  </w:style>
  <w:style w:type="character" w:customStyle="1" w:styleId="FootnoteTextChar">
    <w:name w:val="Footnote Text Char"/>
    <w:link w:val="FootnoteText"/>
    <w:uiPriority w:val="99"/>
    <w:semiHidden/>
    <w:rsid w:val="00C94150"/>
    <w:rPr>
      <w:rFonts w:ascii="Courier" w:hAnsi="Courier"/>
    </w:rPr>
  </w:style>
  <w:style w:type="character" w:customStyle="1" w:styleId="Heading1Char">
    <w:name w:val="Heading 1 Char"/>
    <w:basedOn w:val="DefaultParagraphFont"/>
    <w:link w:val="Heading1"/>
    <w:rsid w:val="005E3C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E4C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5DD0"/>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043"/>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E3C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paragraph" w:styleId="ListParagraph">
    <w:name w:val="List Paragraph"/>
    <w:basedOn w:val="Normal"/>
    <w:uiPriority w:val="34"/>
    <w:qFormat/>
    <w:rsid w:val="00C769C8"/>
    <w:pPr>
      <w:ind w:left="720"/>
    </w:pPr>
  </w:style>
  <w:style w:type="character" w:customStyle="1" w:styleId="FootnoteTextChar">
    <w:name w:val="Footnote Text Char"/>
    <w:link w:val="FootnoteText"/>
    <w:uiPriority w:val="99"/>
    <w:semiHidden/>
    <w:rsid w:val="00C94150"/>
    <w:rPr>
      <w:rFonts w:ascii="Courier" w:hAnsi="Courier"/>
    </w:rPr>
  </w:style>
  <w:style w:type="character" w:customStyle="1" w:styleId="Heading1Char">
    <w:name w:val="Heading 1 Char"/>
    <w:basedOn w:val="DefaultParagraphFont"/>
    <w:link w:val="Heading1"/>
    <w:rsid w:val="005E3C4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E4C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5DD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6234">
      <w:bodyDiv w:val="1"/>
      <w:marLeft w:val="0"/>
      <w:marRight w:val="0"/>
      <w:marTop w:val="0"/>
      <w:marBottom w:val="0"/>
      <w:divBdr>
        <w:top w:val="none" w:sz="0" w:space="0" w:color="auto"/>
        <w:left w:val="none" w:sz="0" w:space="0" w:color="auto"/>
        <w:bottom w:val="none" w:sz="0" w:space="0" w:color="auto"/>
        <w:right w:val="none" w:sz="0" w:space="0" w:color="auto"/>
      </w:divBdr>
    </w:div>
    <w:div w:id="620502689">
      <w:bodyDiv w:val="1"/>
      <w:marLeft w:val="0"/>
      <w:marRight w:val="0"/>
      <w:marTop w:val="0"/>
      <w:marBottom w:val="0"/>
      <w:divBdr>
        <w:top w:val="none" w:sz="0" w:space="0" w:color="auto"/>
        <w:left w:val="none" w:sz="0" w:space="0" w:color="auto"/>
        <w:bottom w:val="none" w:sz="0" w:space="0" w:color="auto"/>
        <w:right w:val="none" w:sz="0" w:space="0" w:color="auto"/>
      </w:divBdr>
    </w:div>
    <w:div w:id="1350717595">
      <w:bodyDiv w:val="1"/>
      <w:marLeft w:val="0"/>
      <w:marRight w:val="0"/>
      <w:marTop w:val="0"/>
      <w:marBottom w:val="0"/>
      <w:divBdr>
        <w:top w:val="none" w:sz="0" w:space="0" w:color="auto"/>
        <w:left w:val="none" w:sz="0" w:space="0" w:color="auto"/>
        <w:bottom w:val="none" w:sz="0" w:space="0" w:color="auto"/>
        <w:right w:val="none" w:sz="0" w:space="0" w:color="auto"/>
      </w:divBdr>
    </w:div>
    <w:div w:id="1777170205">
      <w:bodyDiv w:val="1"/>
      <w:marLeft w:val="0"/>
      <w:marRight w:val="0"/>
      <w:marTop w:val="0"/>
      <w:marBottom w:val="0"/>
      <w:divBdr>
        <w:top w:val="none" w:sz="0" w:space="0" w:color="auto"/>
        <w:left w:val="none" w:sz="0" w:space="0" w:color="auto"/>
        <w:bottom w:val="none" w:sz="0" w:space="0" w:color="auto"/>
        <w:right w:val="none" w:sz="0" w:space="0" w:color="auto"/>
      </w:divBdr>
    </w:div>
    <w:div w:id="204146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EFDDE-1853-4D18-A1F9-802A1790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6436</Words>
  <Characters>37357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43706</CharactersWithSpaces>
  <SharedDoc>false</SharedDoc>
  <HLinks>
    <vt:vector size="6" baseType="variant">
      <vt:variant>
        <vt:i4>6946908</vt:i4>
      </vt:variant>
      <vt:variant>
        <vt:i4>0</vt:i4>
      </vt:variant>
      <vt:variant>
        <vt:i4>0</vt:i4>
      </vt:variant>
      <vt:variant>
        <vt:i4>5</vt:i4>
      </vt:variant>
      <vt:variant>
        <vt:lpwstr>http://www.bls.gov/news.release/archives/empsit_07032014.pdf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Beckmann, Allan - EBSA</cp:lastModifiedBy>
  <cp:revision>4</cp:revision>
  <cp:lastPrinted>2016-03-01T20:58:00Z</cp:lastPrinted>
  <dcterms:created xsi:type="dcterms:W3CDTF">2016-04-01T18:19:00Z</dcterms:created>
  <dcterms:modified xsi:type="dcterms:W3CDTF">2016-04-05T14:49:00Z</dcterms:modified>
</cp:coreProperties>
</file>