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900E" w14:textId="42F2A1DF" w:rsidR="008A1105" w:rsidRDefault="008A1105" w:rsidP="00E4252D">
      <w:pPr>
        <w:pStyle w:val="NormalSS"/>
        <w:pageBreakBefore/>
        <w:spacing w:before="2640" w:after="0"/>
        <w:ind w:firstLine="0"/>
        <w:jc w:val="center"/>
        <w:rPr>
          <w:rFonts w:ascii="Arial Black" w:hAnsi="Arial Black"/>
          <w:caps/>
          <w:sz w:val="22"/>
        </w:rPr>
      </w:pPr>
      <w:bookmarkStart w:id="0" w:name="_GoBack"/>
      <w:bookmarkEnd w:id="0"/>
    </w:p>
    <w:p w14:paraId="7138BD0D" w14:textId="3D485A83" w:rsidR="00E4252D" w:rsidRPr="00E4252D" w:rsidRDefault="00E4252D" w:rsidP="00E4252D">
      <w:pPr>
        <w:pStyle w:val="MarkforAttachmentTitle"/>
        <w:spacing w:before="0" w:after="0"/>
      </w:pPr>
      <w:bookmarkStart w:id="1" w:name="AttLetter"/>
      <w:bookmarkEnd w:id="1"/>
      <w:r>
        <w:t>INSTRUMENT 1</w:t>
      </w:r>
      <w:r>
        <w:br/>
      </w:r>
      <w:r>
        <w:br/>
      </w:r>
      <w:bookmarkStart w:id="2" w:name="AttTitle"/>
      <w:bookmarkEnd w:id="2"/>
      <w:r>
        <w:t>TOPIC GUIDE FOR STAFF AND STAKEHOLDER INTERVIEWS</w:t>
      </w:r>
    </w:p>
    <w:p w14:paraId="7ED4C0BA" w14:textId="7669C6C2" w:rsidR="00E4252D" w:rsidRDefault="00E4252D">
      <w:pPr>
        <w:spacing w:after="240" w:line="240" w:lineRule="auto"/>
        <w:ind w:firstLine="0"/>
      </w:pPr>
      <w:r>
        <w:br w:type="page"/>
      </w:r>
    </w:p>
    <w:p w14:paraId="52FB0459" w14:textId="77777777" w:rsidR="00E4252D" w:rsidRDefault="00E4252D" w:rsidP="00E4252D">
      <w:pPr>
        <w:pStyle w:val="NormalSS"/>
      </w:pPr>
    </w:p>
    <w:p w14:paraId="1BC52D5B" w14:textId="4FB4D022" w:rsidR="00E4252D" w:rsidRPr="00E4252D" w:rsidRDefault="00E4252D" w:rsidP="00E4252D">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3FB69B60" w14:textId="77777777" w:rsidR="00E4252D" w:rsidRDefault="00E4252D" w:rsidP="00E4252D">
      <w:pPr>
        <w:pStyle w:val="NormalSS"/>
        <w:sectPr w:rsidR="00E4252D" w:rsidSect="000E4C3F">
          <w:headerReference w:type="default" r:id="rId11"/>
          <w:footerReference w:type="default" r:id="rId12"/>
          <w:pgSz w:w="12240" w:h="15840"/>
          <w:pgMar w:top="1440" w:right="1440" w:bottom="1440" w:left="1440" w:header="720" w:footer="720" w:gutter="0"/>
          <w:cols w:space="720"/>
          <w:docGrid w:linePitch="360"/>
        </w:sectPr>
      </w:pPr>
    </w:p>
    <w:p w14:paraId="6F51FA47" w14:textId="38EEE43C" w:rsidR="008F28BF" w:rsidRPr="00212AF7" w:rsidRDefault="00330A3C" w:rsidP="00330A3C">
      <w:pPr>
        <w:pStyle w:val="MarkforExhibitTitle"/>
        <w:jc w:val="center"/>
      </w:pPr>
      <w:r>
        <w:lastRenderedPageBreak/>
        <w:t>STREAMS</w:t>
      </w:r>
    </w:p>
    <w:p w14:paraId="36FB7A31" w14:textId="7DBBB7AF" w:rsidR="008F28BF" w:rsidRPr="00212AF7" w:rsidRDefault="00330A3C" w:rsidP="004A5071">
      <w:pPr>
        <w:pStyle w:val="MarkforExhibitTitle"/>
        <w:spacing w:after="240"/>
        <w:jc w:val="center"/>
      </w:pPr>
      <w:r>
        <w:t xml:space="preserve">TOPIC </w:t>
      </w:r>
      <w:r w:rsidRPr="00212AF7">
        <w:t xml:space="preserve">GUIDE FOR </w:t>
      </w:r>
      <w:r>
        <w:t>PROCESS STUDY STAFF AND STAKEHOLDER INTERVIEWS</w:t>
      </w:r>
    </w:p>
    <w:p w14:paraId="3FCD9379" w14:textId="0126E219" w:rsidR="00D117FA" w:rsidRPr="004A5071" w:rsidRDefault="008F28BF" w:rsidP="004A5071">
      <w:pPr>
        <w:pStyle w:val="NormalSS"/>
      </w:pPr>
      <w:r w:rsidRPr="004A5071">
        <w:t xml:space="preserve">The </w:t>
      </w:r>
      <w:r w:rsidR="008A1105" w:rsidRPr="004A5071">
        <w:t>STREAMS process study</w:t>
      </w:r>
      <w:r w:rsidRPr="004A5071">
        <w:t xml:space="preserve"> will include </w:t>
      </w:r>
      <w:r w:rsidR="008A1105" w:rsidRPr="004A5071">
        <w:t xml:space="preserve">semi-structured interviews with staff and stakeholders for the HMRE programs selected to participate. </w:t>
      </w:r>
      <w:r w:rsidR="00D117FA" w:rsidRPr="004A5071">
        <w:t xml:space="preserve">This topic guide identifies the range of topics that will be covered during interviews. The guide will be used to develop respondent-specific guides that include only topics relevant to particular types of staff and stakeholders. Respondent-specific guides will also convert topics to questions that will be asked during interviews. </w:t>
      </w:r>
    </w:p>
    <w:p w14:paraId="4B0C7ED6" w14:textId="5024ECF5" w:rsidR="00B22DAA" w:rsidRDefault="008A1105" w:rsidP="004A5071">
      <w:pPr>
        <w:pStyle w:val="NormalSS"/>
      </w:pPr>
      <w:r w:rsidRPr="004A5071">
        <w:t xml:space="preserve">Most interviews will be conducted during a </w:t>
      </w:r>
      <w:r w:rsidR="008F28BF" w:rsidRPr="004A5071">
        <w:t xml:space="preserve">multi-day </w:t>
      </w:r>
      <w:r w:rsidRPr="004A5071">
        <w:t>site visit</w:t>
      </w:r>
      <w:r w:rsidR="008F28BF" w:rsidRPr="004A5071">
        <w:t xml:space="preserve"> to each participating program. Visits will occur </w:t>
      </w:r>
      <w:r w:rsidRPr="004A5071">
        <w:t>approximately half-way through enrollment for STREAMS</w:t>
      </w:r>
      <w:r w:rsidR="008F28BF" w:rsidRPr="004A5071">
        <w:t>. Administrative and supervisory personnel and staff who have direct interaction with participants will be interviewed</w:t>
      </w:r>
      <w:r w:rsidRPr="004A5071">
        <w:t xml:space="preserve"> as well as representatives of partner agencies and other stakeholders</w:t>
      </w:r>
      <w:r w:rsidR="008F28BF" w:rsidRPr="004A5071">
        <w:t xml:space="preserve">. Interviews will be either one-on-one or small group, depending on staffing structure, roles, and the number of individuals in a role. </w:t>
      </w:r>
      <w:r w:rsidR="00D117FA" w:rsidRPr="004A5071">
        <w:t xml:space="preserve">Interviews will last </w:t>
      </w:r>
      <w:r w:rsidR="004937DA">
        <w:t xml:space="preserve">one hour, on average. </w:t>
      </w:r>
    </w:p>
    <w:p w14:paraId="33A3577C" w14:textId="77777777" w:rsidR="00B22DAA" w:rsidRDefault="00B22DAA">
      <w:pPr>
        <w:spacing w:after="240" w:line="240" w:lineRule="auto"/>
        <w:ind w:firstLine="0"/>
      </w:pPr>
      <w:r>
        <w:br w:type="page"/>
      </w:r>
    </w:p>
    <w:p w14:paraId="139E8BBD" w14:textId="77777777" w:rsidR="00DD20CC" w:rsidRDefault="0053091A" w:rsidP="00DD20CC">
      <w:pPr>
        <w:pStyle w:val="NormalSS"/>
        <w:jc w:val="right"/>
        <w:rPr>
          <w:sz w:val="20"/>
        </w:rPr>
      </w:pPr>
      <w:r w:rsidRPr="0053091A">
        <w:rPr>
          <w:noProof/>
          <w:sz w:val="20"/>
        </w:rPr>
        <w:lastRenderedPageBreak/>
        <w:drawing>
          <wp:inline distT="0" distB="0" distL="0" distR="0" wp14:anchorId="3BDFC902" wp14:editId="132F2B58">
            <wp:extent cx="1487805" cy="1016635"/>
            <wp:effectExtent l="0" t="0" r="0" b="0"/>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inline>
        </w:drawing>
      </w:r>
    </w:p>
    <w:p w14:paraId="64B307D6" w14:textId="4463910D" w:rsidR="00B22DAA" w:rsidRPr="0053091A" w:rsidRDefault="00B22DAA" w:rsidP="00DD20CC">
      <w:pPr>
        <w:pStyle w:val="NormalSS"/>
        <w:spacing w:after="0"/>
        <w:jc w:val="right"/>
        <w:rPr>
          <w:sz w:val="20"/>
        </w:rPr>
      </w:pPr>
      <w:r w:rsidRPr="0053091A">
        <w:rPr>
          <w:sz w:val="20"/>
        </w:rPr>
        <w:t>OMB #:XXX-XXXX</w:t>
      </w:r>
    </w:p>
    <w:p w14:paraId="43407C33" w14:textId="016FF814" w:rsidR="00B22DAA" w:rsidRPr="0053091A" w:rsidRDefault="00B22DAA" w:rsidP="00DD20CC">
      <w:pPr>
        <w:pStyle w:val="NormalSS"/>
        <w:spacing w:after="0"/>
        <w:jc w:val="right"/>
        <w:rPr>
          <w:sz w:val="20"/>
        </w:rPr>
      </w:pPr>
      <w:r w:rsidRPr="0053091A">
        <w:rPr>
          <w:sz w:val="20"/>
        </w:rPr>
        <w:t>EXPIRATION: XX-XX-XXXX</w:t>
      </w:r>
    </w:p>
    <w:p w14:paraId="2CA95B4D" w14:textId="4023C8D1" w:rsidR="00B22DAA" w:rsidRDefault="00B22DAA" w:rsidP="004A5071">
      <w:pPr>
        <w:pStyle w:val="NormalSS"/>
      </w:pPr>
    </w:p>
    <w:tbl>
      <w:tblPr>
        <w:tblpPr w:leftFromText="180" w:rightFromText="180" w:vertAnchor="text" w:horzAnchor="margin" w:tblpY="402"/>
        <w:tblW w:w="0" w:type="auto"/>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53091A" w:rsidRPr="00B22DAA" w14:paraId="1EBED314" w14:textId="77777777" w:rsidTr="0053091A">
        <w:trPr>
          <w:gridAfter w:val="1"/>
          <w:wAfter w:w="23" w:type="dxa"/>
        </w:trPr>
        <w:tc>
          <w:tcPr>
            <w:tcW w:w="9324" w:type="dxa"/>
            <w:tcBorders>
              <w:top w:val="nil"/>
              <w:left w:val="nil"/>
              <w:bottom w:val="nil"/>
              <w:right w:val="nil"/>
            </w:tcBorders>
            <w:shd w:val="clear" w:color="auto" w:fill="E8E8E8"/>
            <w:tcMar>
              <w:top w:w="58" w:type="dxa"/>
              <w:bottom w:w="58" w:type="dxa"/>
            </w:tcMar>
            <w:vAlign w:val="center"/>
          </w:tcPr>
          <w:p w14:paraId="6C3BB3D0" w14:textId="77777777" w:rsidR="0053091A" w:rsidRPr="00B22DAA" w:rsidRDefault="0053091A" w:rsidP="0053091A">
            <w:pPr>
              <w:spacing w:after="240" w:line="240" w:lineRule="auto"/>
              <w:ind w:firstLine="0"/>
              <w:jc w:val="center"/>
              <w:rPr>
                <w:rFonts w:ascii="Arial Black" w:hAnsi="Arial Black" w:cs="Arial"/>
                <w:sz w:val="36"/>
                <w:szCs w:val="40"/>
              </w:rPr>
            </w:pPr>
            <w:r w:rsidRPr="00B22DAA">
              <w:rPr>
                <w:rFonts w:ascii="Arial Black" w:hAnsi="Arial Black" w:cs="Arial"/>
                <w:sz w:val="36"/>
                <w:szCs w:val="40"/>
              </w:rPr>
              <w:t>Strengthening Relationship Education and Marriage Services (STREAMS)</w:t>
            </w:r>
          </w:p>
          <w:p w14:paraId="496E123F" w14:textId="77777777" w:rsidR="0053091A" w:rsidRPr="00B22DAA" w:rsidRDefault="0053091A" w:rsidP="0053091A">
            <w:pPr>
              <w:spacing w:line="240" w:lineRule="auto"/>
              <w:ind w:firstLine="0"/>
              <w:jc w:val="center"/>
              <w:rPr>
                <w:rFonts w:ascii="Arial Black" w:hAnsi="Arial Black" w:cs="Arial"/>
                <w:i/>
                <w:sz w:val="40"/>
                <w:szCs w:val="40"/>
              </w:rPr>
            </w:pPr>
            <w:r>
              <w:rPr>
                <w:rFonts w:ascii="Arial Black" w:hAnsi="Arial Black" w:cs="Arial"/>
                <w:i/>
                <w:sz w:val="32"/>
                <w:szCs w:val="40"/>
              </w:rPr>
              <w:t>Staff and Stakeholder Interviews</w:t>
            </w:r>
          </w:p>
        </w:tc>
      </w:tr>
      <w:tr w:rsidR="0053091A" w:rsidRPr="00B22DAA" w14:paraId="2A39BDDA" w14:textId="77777777" w:rsidTr="0053091A">
        <w:trPr>
          <w:trHeight w:val="3843"/>
        </w:trPr>
        <w:tc>
          <w:tcPr>
            <w:tcW w:w="9347" w:type="dxa"/>
            <w:gridSpan w:val="2"/>
            <w:tcBorders>
              <w:top w:val="nil"/>
              <w:left w:val="nil"/>
              <w:right w:val="nil"/>
            </w:tcBorders>
            <w:shd w:val="clear" w:color="auto" w:fill="E8E8E8"/>
          </w:tcPr>
          <w:p w14:paraId="19B47817" w14:textId="77777777" w:rsidR="0053091A" w:rsidRPr="00B22DAA" w:rsidRDefault="0053091A" w:rsidP="0053091A">
            <w:pPr>
              <w:tabs>
                <w:tab w:val="left" w:pos="-1440"/>
                <w:tab w:val="left" w:pos="-720"/>
                <w:tab w:val="left" w:pos="0"/>
              </w:tabs>
              <w:spacing w:before="120" w:line="240" w:lineRule="auto"/>
              <w:ind w:firstLine="0"/>
              <w:jc w:val="center"/>
              <w:rPr>
                <w:rFonts w:ascii="Arial Black" w:hAnsi="Arial Black" w:cs="Arial"/>
                <w:sz w:val="22"/>
                <w:szCs w:val="28"/>
              </w:rPr>
            </w:pPr>
            <w:r w:rsidRPr="00B22DAA">
              <w:rPr>
                <w:rFonts w:ascii="Arial Black" w:hAnsi="Arial Black" w:cs="Arial"/>
                <w:sz w:val="22"/>
                <w:szCs w:val="28"/>
              </w:rPr>
              <w:t>GENERAL INSTRUCTIONS</w:t>
            </w:r>
          </w:p>
          <w:p w14:paraId="3B6FCB52" w14:textId="12AB0651" w:rsidR="0053091A" w:rsidRDefault="0053091A" w:rsidP="0053091A">
            <w:pPr>
              <w:tabs>
                <w:tab w:val="left" w:pos="-1440"/>
                <w:tab w:val="left" w:pos="-720"/>
                <w:tab w:val="left" w:pos="0"/>
              </w:tabs>
              <w:spacing w:before="240" w:line="240" w:lineRule="auto"/>
              <w:ind w:firstLine="0"/>
              <w:jc w:val="both"/>
              <w:rPr>
                <w:rFonts w:ascii="Arial" w:hAnsi="Arial" w:cs="Arial"/>
                <w:sz w:val="22"/>
                <w:szCs w:val="22"/>
              </w:rPr>
            </w:pPr>
            <w:r w:rsidRPr="00B22DAA">
              <w:rPr>
                <w:rFonts w:ascii="Arial" w:hAnsi="Arial" w:cs="Arial"/>
                <w:sz w:val="22"/>
                <w:szCs w:val="22"/>
              </w:rPr>
              <w:t xml:space="preserve">Thank you for </w:t>
            </w:r>
            <w:r>
              <w:rPr>
                <w:rFonts w:ascii="Arial" w:hAnsi="Arial" w:cs="Arial"/>
                <w:sz w:val="22"/>
                <w:szCs w:val="22"/>
              </w:rPr>
              <w:t>speaking with me today</w:t>
            </w:r>
            <w:r w:rsidRPr="00B22DAA">
              <w:rPr>
                <w:rFonts w:ascii="Arial" w:hAnsi="Arial" w:cs="Arial"/>
                <w:sz w:val="22"/>
                <w:szCs w:val="22"/>
              </w:rPr>
              <w:t xml:space="preserve">. </w:t>
            </w:r>
            <w:r>
              <w:rPr>
                <w:rFonts w:ascii="Arial" w:hAnsi="Arial" w:cs="Arial"/>
                <w:sz w:val="22"/>
                <w:szCs w:val="22"/>
              </w:rPr>
              <w:t>On behalf of the U.S. Department of Health and Human Services (HHS), we are interviewing staff at each STREAMS evaluation site.</w:t>
            </w:r>
            <w:r w:rsidRPr="00B22DAA">
              <w:rPr>
                <w:rFonts w:ascii="Arial" w:hAnsi="Arial" w:cs="Arial"/>
                <w:sz w:val="22"/>
                <w:szCs w:val="22"/>
              </w:rPr>
              <w:t xml:space="preserve"> </w:t>
            </w:r>
            <w:r>
              <w:rPr>
                <w:rFonts w:ascii="Arial" w:hAnsi="Arial" w:cs="Arial"/>
                <w:sz w:val="22"/>
                <w:szCs w:val="22"/>
              </w:rPr>
              <w:t xml:space="preserve">The purpose of this interview is to learn how your HMRE program operates, your role in the program, and your experiences with the program. Your participation will help HHS learn how to better provide </w:t>
            </w:r>
            <w:r w:rsidR="00A03674">
              <w:rPr>
                <w:rFonts w:ascii="Arial" w:hAnsi="Arial" w:cs="Arial"/>
                <w:sz w:val="22"/>
                <w:szCs w:val="22"/>
              </w:rPr>
              <w:t xml:space="preserve">HMRE </w:t>
            </w:r>
            <w:r>
              <w:rPr>
                <w:rFonts w:ascii="Arial" w:hAnsi="Arial" w:cs="Arial"/>
                <w:sz w:val="22"/>
                <w:szCs w:val="22"/>
              </w:rPr>
              <w:t xml:space="preserve"> services.</w:t>
            </w:r>
          </w:p>
          <w:p w14:paraId="4AD7CEC6" w14:textId="77777777" w:rsidR="0053091A" w:rsidRPr="00B22DAA" w:rsidRDefault="0053091A" w:rsidP="0053091A">
            <w:pPr>
              <w:tabs>
                <w:tab w:val="left" w:pos="-1440"/>
                <w:tab w:val="left" w:pos="-720"/>
                <w:tab w:val="left" w:pos="0"/>
              </w:tabs>
              <w:spacing w:before="240" w:line="240" w:lineRule="auto"/>
              <w:ind w:firstLine="0"/>
              <w:jc w:val="both"/>
              <w:rPr>
                <w:rFonts w:ascii="Arial" w:hAnsi="Arial" w:cs="Arial"/>
                <w:bCs/>
                <w:sz w:val="22"/>
                <w:szCs w:val="22"/>
              </w:rPr>
            </w:pPr>
            <w:r>
              <w:rPr>
                <w:rFonts w:ascii="Arial" w:hAnsi="Arial" w:cs="Arial"/>
                <w:sz w:val="22"/>
                <w:szCs w:val="22"/>
              </w:rPr>
              <w:t xml:space="preserve">Your </w:t>
            </w:r>
            <w:r w:rsidRPr="00B22DAA">
              <w:rPr>
                <w:rFonts w:ascii="Arial" w:hAnsi="Arial" w:cs="Arial"/>
                <w:sz w:val="22"/>
                <w:szCs w:val="22"/>
              </w:rPr>
              <w:t xml:space="preserve">name will not </w:t>
            </w:r>
            <w:r>
              <w:rPr>
                <w:rFonts w:ascii="Arial" w:hAnsi="Arial" w:cs="Arial"/>
                <w:sz w:val="22"/>
                <w:szCs w:val="22"/>
              </w:rPr>
              <w:t>shared</w:t>
            </w:r>
            <w:r w:rsidRPr="00B22DAA">
              <w:rPr>
                <w:rFonts w:ascii="Arial" w:hAnsi="Arial" w:cs="Arial"/>
                <w:sz w:val="22"/>
                <w:szCs w:val="22"/>
              </w:rPr>
              <w:t xml:space="preserve"> </w:t>
            </w:r>
            <w:r>
              <w:rPr>
                <w:rFonts w:ascii="Arial" w:hAnsi="Arial" w:cs="Arial"/>
                <w:sz w:val="22"/>
                <w:szCs w:val="22"/>
              </w:rPr>
              <w:t xml:space="preserve">in our reports or any other publications resulting from this study, </w:t>
            </w:r>
            <w:r w:rsidRPr="00B22DAA">
              <w:rPr>
                <w:rFonts w:ascii="Arial" w:hAnsi="Arial" w:cs="Arial"/>
                <w:sz w:val="22"/>
                <w:szCs w:val="22"/>
              </w:rPr>
              <w:t xml:space="preserve">and your responses will remain private to the extent permitted by law. </w:t>
            </w:r>
            <w:r w:rsidRPr="00B22DAA">
              <w:rPr>
                <w:rFonts w:ascii="Arial" w:hAnsi="Arial" w:cs="Arial"/>
                <w:bCs/>
                <w:sz w:val="22"/>
                <w:szCs w:val="22"/>
              </w:rPr>
              <w:t>We want you to know that:</w:t>
            </w:r>
          </w:p>
          <w:p w14:paraId="54244E6E" w14:textId="77777777" w:rsidR="0053091A" w:rsidRPr="00B22DAA" w:rsidRDefault="0053091A" w:rsidP="0053091A">
            <w:pPr>
              <w:tabs>
                <w:tab w:val="left" w:pos="-1440"/>
                <w:tab w:val="left" w:pos="-720"/>
                <w:tab w:val="left" w:pos="0"/>
              </w:tabs>
              <w:spacing w:before="240" w:line="240" w:lineRule="auto"/>
              <w:ind w:left="432" w:hanging="432"/>
              <w:jc w:val="both"/>
              <w:rPr>
                <w:rFonts w:ascii="Arial" w:hAnsi="Arial" w:cs="Arial"/>
                <w:bCs/>
                <w:sz w:val="22"/>
                <w:szCs w:val="22"/>
              </w:rPr>
            </w:pPr>
            <w:r w:rsidRPr="00B22DAA">
              <w:rPr>
                <w:rFonts w:ascii="Arial" w:hAnsi="Arial" w:cs="Arial"/>
                <w:bCs/>
                <w:sz w:val="22"/>
                <w:szCs w:val="22"/>
              </w:rPr>
              <w:t>1.</w:t>
            </w:r>
            <w:r w:rsidRPr="00B22DAA">
              <w:rPr>
                <w:rFonts w:ascii="Arial" w:hAnsi="Arial" w:cs="Arial"/>
                <w:bCs/>
                <w:sz w:val="22"/>
                <w:szCs w:val="22"/>
              </w:rPr>
              <w:tab/>
              <w:t xml:space="preserve">Your participation in this </w:t>
            </w:r>
            <w:r>
              <w:rPr>
                <w:rFonts w:ascii="Arial" w:hAnsi="Arial" w:cs="Arial"/>
                <w:bCs/>
                <w:sz w:val="22"/>
                <w:szCs w:val="22"/>
              </w:rPr>
              <w:t>interview</w:t>
            </w:r>
            <w:r w:rsidRPr="00B22DAA">
              <w:rPr>
                <w:rFonts w:ascii="Arial" w:hAnsi="Arial" w:cs="Arial"/>
                <w:bCs/>
                <w:sz w:val="22"/>
                <w:szCs w:val="22"/>
              </w:rPr>
              <w:t xml:space="preserve"> is voluntary.</w:t>
            </w:r>
          </w:p>
          <w:p w14:paraId="0FE1BD43" w14:textId="023ED186" w:rsidR="0053091A" w:rsidRPr="00B22DAA" w:rsidRDefault="0053091A" w:rsidP="0053091A">
            <w:pPr>
              <w:tabs>
                <w:tab w:val="left" w:pos="-1440"/>
                <w:tab w:val="left" w:pos="-720"/>
                <w:tab w:val="left" w:pos="0"/>
              </w:tabs>
              <w:spacing w:before="240" w:line="240" w:lineRule="auto"/>
              <w:ind w:left="432" w:hanging="432"/>
              <w:jc w:val="both"/>
              <w:rPr>
                <w:rFonts w:ascii="Arial" w:hAnsi="Arial" w:cs="Arial"/>
                <w:bCs/>
                <w:sz w:val="22"/>
                <w:szCs w:val="22"/>
              </w:rPr>
            </w:pPr>
            <w:r w:rsidRPr="00B22DAA">
              <w:rPr>
                <w:rFonts w:ascii="Arial" w:hAnsi="Arial" w:cs="Arial"/>
                <w:bCs/>
                <w:sz w:val="22"/>
                <w:szCs w:val="22"/>
              </w:rPr>
              <w:t>2.</w:t>
            </w:r>
            <w:r>
              <w:rPr>
                <w:rFonts w:ascii="Arial" w:hAnsi="Arial" w:cs="Arial"/>
                <w:bCs/>
                <w:sz w:val="22"/>
                <w:szCs w:val="22"/>
              </w:rPr>
              <w:t xml:space="preserve">    The </w:t>
            </w:r>
            <w:r w:rsidR="00337B74">
              <w:rPr>
                <w:rFonts w:ascii="Arial" w:hAnsi="Arial" w:cs="Arial"/>
                <w:bCs/>
                <w:sz w:val="22"/>
                <w:szCs w:val="22"/>
              </w:rPr>
              <w:t>interview</w:t>
            </w:r>
            <w:r>
              <w:rPr>
                <w:rFonts w:ascii="Arial" w:hAnsi="Arial" w:cs="Arial"/>
                <w:bCs/>
                <w:sz w:val="22"/>
                <w:szCs w:val="22"/>
              </w:rPr>
              <w:t xml:space="preserve"> will take about 6</w:t>
            </w:r>
            <w:r w:rsidRPr="00B22DAA">
              <w:rPr>
                <w:rFonts w:ascii="Arial" w:hAnsi="Arial" w:cs="Arial"/>
                <w:bCs/>
                <w:sz w:val="22"/>
                <w:szCs w:val="22"/>
              </w:rPr>
              <w:t xml:space="preserve">0 minutes to complete. </w:t>
            </w:r>
          </w:p>
          <w:p w14:paraId="62266B03" w14:textId="77777777" w:rsidR="0053091A" w:rsidRPr="00B22DAA" w:rsidRDefault="0053091A" w:rsidP="0053091A">
            <w:pPr>
              <w:tabs>
                <w:tab w:val="left" w:pos="-1440"/>
                <w:tab w:val="left" w:pos="-720"/>
                <w:tab w:val="left" w:pos="0"/>
              </w:tabs>
              <w:spacing w:before="240" w:line="240" w:lineRule="auto"/>
              <w:ind w:left="432" w:hanging="432"/>
              <w:jc w:val="both"/>
              <w:rPr>
                <w:rFonts w:ascii="Arial" w:hAnsi="Arial" w:cs="Arial"/>
                <w:bCs/>
                <w:sz w:val="22"/>
                <w:szCs w:val="22"/>
              </w:rPr>
            </w:pPr>
            <w:r w:rsidRPr="00B22DAA">
              <w:rPr>
                <w:rFonts w:ascii="Arial" w:hAnsi="Arial" w:cs="Arial"/>
                <w:bCs/>
                <w:sz w:val="22"/>
                <w:szCs w:val="22"/>
              </w:rPr>
              <w:t>3.</w:t>
            </w:r>
            <w:r w:rsidRPr="00B22DAA">
              <w:rPr>
                <w:rFonts w:ascii="Arial" w:hAnsi="Arial" w:cs="Arial"/>
                <w:bCs/>
                <w:sz w:val="22"/>
                <w:szCs w:val="22"/>
              </w:rPr>
              <w:tab/>
              <w:t>We hope that you will answer all the questions, but you may skip any questions you do not wish to answer.</w:t>
            </w:r>
          </w:p>
          <w:p w14:paraId="76E42A5A" w14:textId="77777777" w:rsidR="0053091A" w:rsidRPr="00B22DAA" w:rsidRDefault="0053091A" w:rsidP="0053091A">
            <w:pPr>
              <w:tabs>
                <w:tab w:val="left" w:pos="-1440"/>
                <w:tab w:val="left" w:pos="-720"/>
                <w:tab w:val="left" w:pos="0"/>
              </w:tabs>
              <w:spacing w:before="240" w:after="120" w:line="240" w:lineRule="auto"/>
              <w:ind w:left="432" w:hanging="432"/>
              <w:jc w:val="both"/>
              <w:rPr>
                <w:rFonts w:ascii="Arial" w:hAnsi="Arial" w:cs="Arial"/>
                <w:bCs/>
                <w:sz w:val="22"/>
                <w:szCs w:val="22"/>
              </w:rPr>
            </w:pPr>
            <w:r w:rsidRPr="00B22DAA">
              <w:rPr>
                <w:rFonts w:ascii="Arial" w:hAnsi="Arial" w:cs="Arial"/>
                <w:bCs/>
                <w:sz w:val="22"/>
                <w:szCs w:val="22"/>
              </w:rPr>
              <w:t>4.</w:t>
            </w:r>
            <w:r w:rsidRPr="00B22DAA">
              <w:rPr>
                <w:rFonts w:ascii="Arial" w:hAnsi="Arial" w:cs="Arial"/>
                <w:bCs/>
                <w:sz w:val="22"/>
                <w:szCs w:val="22"/>
              </w:rPr>
              <w:tab/>
              <w:t>The answers you give will be kept private to the extent permitted by law.</w:t>
            </w:r>
          </w:p>
        </w:tc>
      </w:tr>
    </w:tbl>
    <w:p w14:paraId="247A8F33" w14:textId="08720E7E" w:rsidR="00C748C5" w:rsidRDefault="00DD20CC">
      <w:pPr>
        <w:spacing w:after="240" w:line="240" w:lineRule="auto"/>
        <w:ind w:firstLine="0"/>
      </w:pPr>
      <w:r>
        <w:rPr>
          <w:noProof/>
        </w:rPr>
        <mc:AlternateContent>
          <mc:Choice Requires="wps">
            <w:drawing>
              <wp:anchor distT="0" distB="0" distL="114300" distR="114300" simplePos="0" relativeHeight="251664896" behindDoc="0" locked="0" layoutInCell="1" allowOverlap="1" wp14:anchorId="20A3E525" wp14:editId="71DB94B6">
                <wp:simplePos x="0" y="0"/>
                <wp:positionH relativeFrom="page">
                  <wp:posOffset>933450</wp:posOffset>
                </wp:positionH>
                <wp:positionV relativeFrom="paragraph">
                  <wp:posOffset>5286417</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6C865" w14:textId="77777777" w:rsidR="00C748C5" w:rsidRDefault="00C748C5" w:rsidP="00C748C5">
                            <w:pPr>
                              <w:pStyle w:val="CM116"/>
                              <w:jc w:val="center"/>
                              <w:rPr>
                                <w:rFonts w:ascii="Arial" w:hAnsi="Arial" w:cs="Arial"/>
                                <w:sz w:val="16"/>
                                <w:szCs w:val="16"/>
                              </w:rPr>
                            </w:pPr>
                            <w:r>
                              <w:rPr>
                                <w:rFonts w:ascii="Arial" w:hAnsi="Arial" w:cs="Arial"/>
                                <w:sz w:val="16"/>
                                <w:szCs w:val="16"/>
                              </w:rPr>
                              <w:t>THE PAPERWORK REDUCTION ACT OF 1995</w:t>
                            </w:r>
                          </w:p>
                          <w:p w14:paraId="2272BF82" w14:textId="71CACC38" w:rsidR="00C748C5" w:rsidRDefault="00C748C5" w:rsidP="00C748C5">
                            <w:pPr>
                              <w:spacing w:line="240" w:lineRule="auto"/>
                              <w:jc w:val="center"/>
                            </w:pPr>
                            <w:r>
                              <w:rPr>
                                <w:color w:val="000000" w:themeColor="text1"/>
                                <w:sz w:val="16"/>
                                <w:szCs w:val="16"/>
                              </w:rPr>
                              <w:t xml:space="preserve">Public reporting burden for this collection of information is estimated to average </w:t>
                            </w:r>
                            <w:r w:rsidR="00337B74">
                              <w:rPr>
                                <w:color w:val="000000" w:themeColor="text1"/>
                                <w:sz w:val="16"/>
                                <w:szCs w:val="16"/>
                              </w:rPr>
                              <w:t>6</w:t>
                            </w:r>
                            <w:r>
                              <w:rPr>
                                <w:color w:val="000000" w:themeColor="text1"/>
                                <w:sz w:val="16"/>
                                <w:szCs w:val="16"/>
                              </w:rPr>
                              <w:t xml:space="preserve">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w:t>
                            </w:r>
                            <w:r w:rsidR="00337B74">
                              <w:rPr>
                                <w:color w:val="000000" w:themeColor="text1"/>
                                <w:sz w:val="16"/>
                                <w:szCs w:val="16"/>
                              </w:rPr>
                              <w:t xml:space="preserve">study </w:t>
                            </w:r>
                            <w:r>
                              <w:rPr>
                                <w:color w:val="000000" w:themeColor="text1"/>
                                <w:sz w:val="16"/>
                                <w:szCs w:val="16"/>
                              </w:rPr>
                              <w:t>will be used to document how programs receiving HMRF grant funding operate and describe participant outcomes. The data gathered will allow ACF to better monitor grantee progress and performance.</w:t>
                            </w:r>
                            <w:r>
                              <w:rPr>
                                <w:rFonts w:ascii="Calibri" w:eastAsiaTheme="minorHAnsi" w:hAnsi="Calibri"/>
                                <w:sz w:val="16"/>
                                <w:szCs w:val="16"/>
                              </w:rPr>
                              <w:t xml:space="preserve"> </w:t>
                            </w:r>
                            <w:r>
                              <w:rPr>
                                <w:color w:val="000000" w:themeColor="text1"/>
                                <w:sz w:val="16"/>
                                <w:szCs w:val="16"/>
                              </w:rPr>
                              <w:t>In accordance with the requirements of the Privacy Act of 1974, as amended (</w:t>
                            </w:r>
                            <w:hyperlink r:id="rId15"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6" w:tgtFrame="_blank" w:history="1">
                              <w:r>
                                <w:rPr>
                                  <w:rStyle w:val="Hyperlink"/>
                                  <w:sz w:val="16"/>
                                  <w:szCs w:val="16"/>
                                </w:rPr>
                                <w:t>80 FR 17893</w:t>
                              </w:r>
                            </w:hyperlink>
                            <w:r>
                              <w:rPr>
                                <w:color w:val="000000" w:themeColor="text1"/>
                                <w:sz w:val="16"/>
                                <w:szCs w:val="16"/>
                              </w:rPr>
                              <w:t>) announced the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A3E525" id="Rectangle 1" o:spid="_x0000_s1026" style="position:absolute;margin-left:73.5pt;margin-top:416.25pt;width:463.5pt;height:8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" fillcolor="white [3201]" strokecolor="black [3213]" strokeweight=".25pt">
                <v:textbox>
                  <w:txbxContent>
                    <w:p w14:paraId="7CF6C865" w14:textId="77777777" w:rsidR="00C748C5" w:rsidRDefault="00C748C5" w:rsidP="00C748C5">
                      <w:pPr>
                        <w:pStyle w:val="CM116"/>
                        <w:jc w:val="center"/>
                        <w:rPr>
                          <w:rFonts w:ascii="Arial" w:hAnsi="Arial" w:cs="Arial"/>
                          <w:sz w:val="16"/>
                          <w:szCs w:val="16"/>
                        </w:rPr>
                      </w:pPr>
                      <w:r>
                        <w:rPr>
                          <w:rFonts w:ascii="Arial" w:hAnsi="Arial" w:cs="Arial"/>
                          <w:sz w:val="16"/>
                          <w:szCs w:val="16"/>
                        </w:rPr>
                        <w:t>THE PAPERWORK REDUCTION ACT OF 1995</w:t>
                      </w:r>
                    </w:p>
                    <w:p w14:paraId="2272BF82" w14:textId="71CACC38" w:rsidR="00C748C5" w:rsidRDefault="00C748C5" w:rsidP="00C748C5">
                      <w:pPr>
                        <w:spacing w:line="240" w:lineRule="auto"/>
                        <w:jc w:val="center"/>
                      </w:pPr>
                      <w:r>
                        <w:rPr>
                          <w:color w:val="000000" w:themeColor="text1"/>
                          <w:sz w:val="16"/>
                          <w:szCs w:val="16"/>
                        </w:rPr>
                        <w:t xml:space="preserve">Public reporting burden for this collection of information is estimated to average </w:t>
                      </w:r>
                      <w:r w:rsidR="00337B74">
                        <w:rPr>
                          <w:color w:val="000000" w:themeColor="text1"/>
                          <w:sz w:val="16"/>
                          <w:szCs w:val="16"/>
                        </w:rPr>
                        <w:t>6</w:t>
                      </w:r>
                      <w:r>
                        <w:rPr>
                          <w:color w:val="000000" w:themeColor="text1"/>
                          <w:sz w:val="16"/>
                          <w:szCs w:val="16"/>
                        </w:rPr>
                        <w:t xml:space="preserve">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w:t>
                      </w:r>
                      <w:r w:rsidR="00337B74">
                        <w:rPr>
                          <w:color w:val="000000" w:themeColor="text1"/>
                          <w:sz w:val="16"/>
                          <w:szCs w:val="16"/>
                        </w:rPr>
                        <w:t xml:space="preserve">study </w:t>
                      </w:r>
                      <w:r>
                        <w:rPr>
                          <w:color w:val="000000" w:themeColor="text1"/>
                          <w:sz w:val="16"/>
                          <w:szCs w:val="16"/>
                        </w:rPr>
                        <w:t>will be used to document how programs receiving HMRF grant funding operate and describe participant outcomes. The data gathered will allow ACF to better monitor grantee progress and performance.</w:t>
                      </w:r>
                      <w:r>
                        <w:rPr>
                          <w:rFonts w:ascii="Calibri" w:eastAsiaTheme="minorHAnsi" w:hAnsi="Calibri"/>
                          <w:sz w:val="16"/>
                          <w:szCs w:val="16"/>
                        </w:rPr>
                        <w:t xml:space="preserve"> </w:t>
                      </w:r>
                      <w:r>
                        <w:rPr>
                          <w:color w:val="000000" w:themeColor="text1"/>
                          <w:sz w:val="16"/>
                          <w:szCs w:val="16"/>
                        </w:rPr>
                        <w:t>In accordance with the requirements of the Privacy Act of 1974, as amended (</w:t>
                      </w:r>
                      <w:hyperlink r:id="rId17"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8" w:tgtFrame="_blank" w:history="1">
                        <w:r>
                          <w:rPr>
                            <w:rStyle w:val="Hyperlink"/>
                            <w:sz w:val="16"/>
                            <w:szCs w:val="16"/>
                          </w:rPr>
                          <w:t>80 FR 17893</w:t>
                        </w:r>
                      </w:hyperlink>
                      <w:r>
                        <w:rPr>
                          <w:color w:val="000000" w:themeColor="text1"/>
                          <w:sz w:val="16"/>
                          <w:szCs w:val="16"/>
                        </w:rPr>
                        <w:t>) announced the system.</w:t>
                      </w:r>
                    </w:p>
                  </w:txbxContent>
                </v:textbox>
                <w10:wrap anchorx="page"/>
              </v:rect>
            </w:pict>
          </mc:Fallback>
        </mc:AlternateContent>
      </w:r>
      <w:r w:rsidR="00B22DAA">
        <w:br w:type="page"/>
      </w:r>
    </w:p>
    <w:p w14:paraId="3633D87C" w14:textId="77777777" w:rsidR="00B22DAA" w:rsidRPr="004A5071" w:rsidRDefault="00B22DAA" w:rsidP="004A5071">
      <w:pPr>
        <w:pStyle w:val="NormalSS"/>
      </w:pPr>
    </w:p>
    <w:tbl>
      <w:tblPr>
        <w:tblStyle w:val="TableGrid"/>
        <w:tblW w:w="5000" w:type="pct"/>
        <w:tblLook w:val="04A0" w:firstRow="1" w:lastRow="0" w:firstColumn="1" w:lastColumn="0" w:noHBand="0" w:noVBand="1"/>
      </w:tblPr>
      <w:tblGrid>
        <w:gridCol w:w="2425"/>
        <w:gridCol w:w="6925"/>
      </w:tblGrid>
      <w:tr w:rsidR="008F28BF" w:rsidRPr="000B2780" w14:paraId="10AC09B5" w14:textId="77777777" w:rsidTr="004A5071">
        <w:trPr>
          <w:cantSplit/>
          <w:trHeight w:val="350"/>
          <w:tblHeader/>
        </w:trPr>
        <w:tc>
          <w:tcPr>
            <w:tcW w:w="1297" w:type="pct"/>
            <w:shd w:val="clear" w:color="auto" w:fill="6C6F70"/>
            <w:vAlign w:val="bottom"/>
          </w:tcPr>
          <w:p w14:paraId="4DF4A9BF" w14:textId="7314EB45" w:rsidR="008F28BF" w:rsidRPr="00337FA6" w:rsidRDefault="008F28BF" w:rsidP="004A5071">
            <w:pPr>
              <w:pStyle w:val="TableHeaderLeft"/>
            </w:pPr>
            <w:r w:rsidRPr="00337FA6">
              <w:t>Construct</w:t>
            </w:r>
          </w:p>
        </w:tc>
        <w:tc>
          <w:tcPr>
            <w:tcW w:w="3703" w:type="pct"/>
            <w:shd w:val="clear" w:color="auto" w:fill="6C6F70"/>
            <w:vAlign w:val="bottom"/>
          </w:tcPr>
          <w:p w14:paraId="3E20F035" w14:textId="77777777" w:rsidR="008F28BF" w:rsidRPr="00337FA6" w:rsidRDefault="008F28BF" w:rsidP="004A5071">
            <w:pPr>
              <w:pStyle w:val="TableHeaderCenter"/>
            </w:pPr>
            <w:r w:rsidRPr="00337FA6">
              <w:t>Site Visit Interview Topic</w:t>
            </w:r>
          </w:p>
        </w:tc>
      </w:tr>
      <w:tr w:rsidR="008F28BF" w:rsidRPr="000B2780" w14:paraId="33C81366" w14:textId="77777777" w:rsidTr="004A5071">
        <w:trPr>
          <w:cantSplit/>
          <w:trHeight w:val="188"/>
        </w:trPr>
        <w:tc>
          <w:tcPr>
            <w:tcW w:w="5000" w:type="pct"/>
            <w:gridSpan w:val="2"/>
            <w:shd w:val="clear" w:color="auto" w:fill="D9D9D9"/>
            <w:vAlign w:val="center"/>
          </w:tcPr>
          <w:p w14:paraId="32FD202C" w14:textId="77777777" w:rsidR="008F28BF" w:rsidRPr="004A5071" w:rsidRDefault="008F28BF" w:rsidP="004A5071">
            <w:pPr>
              <w:pStyle w:val="TableHeaderCenter"/>
              <w:rPr>
                <w:color w:val="auto"/>
              </w:rPr>
            </w:pPr>
            <w:r w:rsidRPr="004A5071">
              <w:rPr>
                <w:color w:val="auto"/>
              </w:rPr>
              <w:t>Implementation Drivers: Competency Drivers</w:t>
            </w:r>
          </w:p>
        </w:tc>
      </w:tr>
      <w:tr w:rsidR="004A5071" w:rsidRPr="000B2780" w14:paraId="012E00FC" w14:textId="77777777" w:rsidTr="004A5071">
        <w:trPr>
          <w:cantSplit/>
          <w:trHeight w:val="206"/>
        </w:trPr>
        <w:tc>
          <w:tcPr>
            <w:tcW w:w="5000" w:type="pct"/>
            <w:gridSpan w:val="2"/>
          </w:tcPr>
          <w:p w14:paraId="2A47023F" w14:textId="7559FC4E" w:rsidR="004A5071" w:rsidRPr="004A5071" w:rsidRDefault="004A5071" w:rsidP="004A5071">
            <w:pPr>
              <w:pStyle w:val="TableText"/>
              <w:spacing w:before="60" w:after="60"/>
              <w:rPr>
                <w:i/>
              </w:rPr>
            </w:pPr>
            <w:r w:rsidRPr="004A5071">
              <w:rPr>
                <w:i/>
              </w:rPr>
              <w:t>Staff Recruitment and Selection</w:t>
            </w:r>
          </w:p>
        </w:tc>
      </w:tr>
      <w:tr w:rsidR="008F28BF" w:rsidRPr="000B2780" w14:paraId="355ABC50" w14:textId="77777777" w:rsidTr="004A5071">
        <w:trPr>
          <w:cantSplit/>
        </w:trPr>
        <w:tc>
          <w:tcPr>
            <w:tcW w:w="1297" w:type="pct"/>
          </w:tcPr>
          <w:p w14:paraId="5CE86BB5" w14:textId="19172220" w:rsidR="008F28BF" w:rsidRPr="004A5071" w:rsidRDefault="008F28BF" w:rsidP="004A5071">
            <w:pPr>
              <w:pStyle w:val="TableText"/>
              <w:spacing w:before="60" w:after="60"/>
            </w:pPr>
            <w:r w:rsidRPr="004A5071">
              <w:t>Specification of staff skills and abilities</w:t>
            </w:r>
            <w:r w:rsidR="00C06DAD" w:rsidRPr="004A5071">
              <w:t xml:space="preserve"> and selection criteria</w:t>
            </w:r>
          </w:p>
        </w:tc>
        <w:tc>
          <w:tcPr>
            <w:tcW w:w="3703" w:type="pct"/>
          </w:tcPr>
          <w:p w14:paraId="5B78E661" w14:textId="4920F87F" w:rsidR="008F28BF" w:rsidRPr="004A5071" w:rsidRDefault="008F5623" w:rsidP="004A5071">
            <w:pPr>
              <w:pStyle w:val="TableText"/>
              <w:spacing w:before="60" w:after="60"/>
            </w:pPr>
            <w:r w:rsidRPr="004A5071">
              <w:t>Required staff s</w:t>
            </w:r>
            <w:r w:rsidR="008F28BF" w:rsidRPr="004A5071">
              <w:t>kills and abilities; pre-requisites for employment</w:t>
            </w:r>
          </w:p>
          <w:p w14:paraId="2784F640" w14:textId="3701D3E9" w:rsidR="008F28BF" w:rsidRPr="004A5071" w:rsidRDefault="005E2AC2" w:rsidP="004A5071">
            <w:pPr>
              <w:pStyle w:val="TableText"/>
              <w:spacing w:before="60" w:after="60"/>
            </w:pPr>
            <w:r w:rsidRPr="004A5071">
              <w:t>E</w:t>
            </w:r>
            <w:r w:rsidR="008F28BF" w:rsidRPr="004A5071">
              <w:t xml:space="preserve">xtent to which job descriptions </w:t>
            </w:r>
            <w:r w:rsidRPr="004A5071">
              <w:t>define required skills</w:t>
            </w:r>
            <w:r w:rsidR="008F5623" w:rsidRPr="004A5071">
              <w:t>,</w:t>
            </w:r>
            <w:r w:rsidRPr="004A5071">
              <w:t xml:space="preserve"> abilities</w:t>
            </w:r>
            <w:r w:rsidR="008F5623" w:rsidRPr="004A5071">
              <w:t>,</w:t>
            </w:r>
            <w:r w:rsidRPr="004A5071">
              <w:t xml:space="preserve"> and </w:t>
            </w:r>
            <w:r w:rsidR="008F5623" w:rsidRPr="004A5071">
              <w:t xml:space="preserve">staff </w:t>
            </w:r>
            <w:r w:rsidR="008F28BF" w:rsidRPr="004A5071">
              <w:t xml:space="preserve">expectations </w:t>
            </w:r>
          </w:p>
          <w:p w14:paraId="482B048F" w14:textId="7ED01BC1" w:rsidR="00C06DAD" w:rsidRPr="004A5071" w:rsidRDefault="00C06DAD" w:rsidP="004A5071">
            <w:pPr>
              <w:pStyle w:val="TableText"/>
              <w:spacing w:before="60" w:after="60"/>
            </w:pPr>
            <w:r w:rsidRPr="004A5071">
              <w:t>Prioritization of skills and abilities when selecting candidates</w:t>
            </w:r>
          </w:p>
        </w:tc>
      </w:tr>
      <w:tr w:rsidR="00C06DAD" w:rsidRPr="000B2780" w14:paraId="3C8BB28E" w14:textId="77777777" w:rsidTr="004A5071">
        <w:trPr>
          <w:cantSplit/>
        </w:trPr>
        <w:tc>
          <w:tcPr>
            <w:tcW w:w="1297" w:type="pct"/>
          </w:tcPr>
          <w:p w14:paraId="7FB31F0B" w14:textId="564DB878" w:rsidR="00C06DAD" w:rsidRPr="004A5071" w:rsidRDefault="00C06DAD" w:rsidP="004A5071">
            <w:pPr>
              <w:pStyle w:val="TableText"/>
              <w:spacing w:before="60" w:after="60"/>
            </w:pPr>
            <w:r w:rsidRPr="004A5071">
              <w:t>Method for recruiting candidates</w:t>
            </w:r>
          </w:p>
        </w:tc>
        <w:tc>
          <w:tcPr>
            <w:tcW w:w="3703" w:type="pct"/>
          </w:tcPr>
          <w:p w14:paraId="21013A08" w14:textId="77777777" w:rsidR="00C06DAD" w:rsidRPr="004A5071" w:rsidRDefault="00C06DAD" w:rsidP="004A5071">
            <w:pPr>
              <w:pStyle w:val="TableText"/>
              <w:spacing w:before="60" w:after="60"/>
            </w:pPr>
            <w:r w:rsidRPr="004A5071">
              <w:t>Process for identifying candidates to fill program positions</w:t>
            </w:r>
          </w:p>
          <w:p w14:paraId="40C5DEAD" w14:textId="77777777" w:rsidR="00C06DAD" w:rsidRPr="004A5071" w:rsidRDefault="00C06DAD" w:rsidP="004A5071">
            <w:pPr>
              <w:pStyle w:val="TableText"/>
              <w:spacing w:before="60" w:after="60"/>
            </w:pPr>
            <w:r w:rsidRPr="004A5071">
              <w:t>Sources for advertising open positions</w:t>
            </w:r>
          </w:p>
          <w:p w14:paraId="15BADBB7" w14:textId="01FC6BA5" w:rsidR="001F01E4" w:rsidRPr="004A5071" w:rsidRDefault="001F01E4" w:rsidP="004A5071">
            <w:pPr>
              <w:pStyle w:val="TableText"/>
              <w:spacing w:before="60" w:after="60"/>
            </w:pPr>
            <w:r w:rsidRPr="004A5071">
              <w:t>Challenges recruiting candidates</w:t>
            </w:r>
          </w:p>
        </w:tc>
      </w:tr>
      <w:tr w:rsidR="008F28BF" w:rsidRPr="000B2780" w14:paraId="2D9BC832" w14:textId="77777777" w:rsidTr="004A5071">
        <w:trPr>
          <w:cantSplit/>
        </w:trPr>
        <w:tc>
          <w:tcPr>
            <w:tcW w:w="1297" w:type="pct"/>
          </w:tcPr>
          <w:p w14:paraId="74F72525" w14:textId="77777777" w:rsidR="008F28BF" w:rsidRPr="004A5071" w:rsidRDefault="008F28BF" w:rsidP="004A5071">
            <w:pPr>
              <w:pStyle w:val="TableText"/>
              <w:spacing w:before="60" w:after="60"/>
            </w:pPr>
            <w:r w:rsidRPr="004A5071">
              <w:t>Staff responsible for recruitment and selection</w:t>
            </w:r>
          </w:p>
        </w:tc>
        <w:tc>
          <w:tcPr>
            <w:tcW w:w="3703" w:type="pct"/>
          </w:tcPr>
          <w:p w14:paraId="485905B6" w14:textId="04B6B48A" w:rsidR="008F28BF" w:rsidRPr="004A5071" w:rsidRDefault="008F28BF" w:rsidP="004A5071">
            <w:pPr>
              <w:pStyle w:val="TableText"/>
              <w:spacing w:before="60" w:after="60"/>
            </w:pPr>
            <w:r w:rsidRPr="004A5071">
              <w:t>Lead person responsible for coordinating staff recruitment and selection</w:t>
            </w:r>
          </w:p>
          <w:p w14:paraId="1A3CE7F8" w14:textId="7038C0CF" w:rsidR="008F28BF" w:rsidRPr="004A5071" w:rsidRDefault="008F28BF" w:rsidP="004A5071">
            <w:pPr>
              <w:pStyle w:val="TableText"/>
              <w:spacing w:before="60" w:after="60"/>
            </w:pPr>
            <w:r w:rsidRPr="004A5071">
              <w:t>Challenges</w:t>
            </w:r>
            <w:r w:rsidR="00B72C80" w:rsidRPr="004A5071">
              <w:t xml:space="preserve"> coordinating staff recruitment and selection</w:t>
            </w:r>
          </w:p>
        </w:tc>
      </w:tr>
      <w:tr w:rsidR="008F28BF" w:rsidRPr="000B2780" w14:paraId="2D3D26C9" w14:textId="77777777" w:rsidTr="004A5071">
        <w:trPr>
          <w:cantSplit/>
        </w:trPr>
        <w:tc>
          <w:tcPr>
            <w:tcW w:w="1297" w:type="pct"/>
          </w:tcPr>
          <w:p w14:paraId="4C5BFB5B" w14:textId="77777777" w:rsidR="008F28BF" w:rsidRPr="004A5071" w:rsidRDefault="008F28BF" w:rsidP="004A5071">
            <w:pPr>
              <w:pStyle w:val="TableText"/>
              <w:spacing w:before="60" w:after="60"/>
            </w:pPr>
            <w:r w:rsidRPr="004A5071">
              <w:t>Process and protocols for interviewing candidates</w:t>
            </w:r>
          </w:p>
        </w:tc>
        <w:tc>
          <w:tcPr>
            <w:tcW w:w="3703" w:type="pct"/>
          </w:tcPr>
          <w:p w14:paraId="7FC6C00D" w14:textId="4C49CB9F" w:rsidR="008F28BF" w:rsidRPr="004A5071" w:rsidRDefault="00B72C80" w:rsidP="004A5071">
            <w:pPr>
              <w:pStyle w:val="TableText"/>
              <w:spacing w:before="60" w:after="60"/>
            </w:pPr>
            <w:r w:rsidRPr="004A5071">
              <w:t>Process for identifying</w:t>
            </w:r>
            <w:r w:rsidR="008F28BF" w:rsidRPr="004A5071">
              <w:t xml:space="preserve"> interviewers who </w:t>
            </w:r>
            <w:r w:rsidR="005E2AC2" w:rsidRPr="004A5071">
              <w:t xml:space="preserve">can </w:t>
            </w:r>
            <w:r w:rsidR="008F28BF" w:rsidRPr="004A5071">
              <w:t>assess applicant knowledge, skills, and abilities</w:t>
            </w:r>
          </w:p>
          <w:p w14:paraId="06C2A571" w14:textId="6C066338" w:rsidR="008F28BF" w:rsidRPr="004A5071" w:rsidRDefault="008F5623" w:rsidP="004A5071">
            <w:pPr>
              <w:pStyle w:val="TableText"/>
              <w:spacing w:before="60" w:after="60"/>
            </w:pPr>
            <w:r w:rsidRPr="004A5071">
              <w:t>I</w:t>
            </w:r>
            <w:r w:rsidR="008F28BF" w:rsidRPr="004A5071">
              <w:t>nterview protocol</w:t>
            </w:r>
            <w:r w:rsidRPr="004A5071">
              <w:t xml:space="preserve"> content</w:t>
            </w:r>
            <w:r w:rsidR="001342C5" w:rsidRPr="004A5071">
              <w:t xml:space="preserve">, </w:t>
            </w:r>
            <w:r w:rsidRPr="004A5071">
              <w:t>including:</w:t>
            </w:r>
            <w:r w:rsidR="001342C5" w:rsidRPr="004A5071">
              <w:t xml:space="preserve"> </w:t>
            </w:r>
          </w:p>
          <w:p w14:paraId="7451971F" w14:textId="5296CFCE" w:rsidR="008F28BF" w:rsidRPr="004A5071" w:rsidRDefault="008F5623" w:rsidP="004A5071">
            <w:pPr>
              <w:pStyle w:val="TableText"/>
              <w:numPr>
                <w:ilvl w:val="0"/>
                <w:numId w:val="47"/>
              </w:numPr>
              <w:spacing w:before="60" w:after="60"/>
              <w:ind w:left="342"/>
            </w:pPr>
            <w:r w:rsidRPr="004A5071">
              <w:t>A</w:t>
            </w:r>
            <w:r w:rsidR="008F28BF" w:rsidRPr="004A5071">
              <w:t xml:space="preserve">ssessment of </w:t>
            </w:r>
            <w:r w:rsidRPr="004A5071">
              <w:t>required</w:t>
            </w:r>
            <w:r w:rsidR="008F28BF" w:rsidRPr="004A5071">
              <w:t xml:space="preserve"> skills</w:t>
            </w:r>
            <w:r w:rsidR="00E005C2" w:rsidRPr="004A5071">
              <w:t xml:space="preserve"> and capacity to complete job responsibilities</w:t>
            </w:r>
          </w:p>
          <w:p w14:paraId="61A05EC9" w14:textId="1512BA0A" w:rsidR="008F28BF" w:rsidRPr="004A5071" w:rsidRDefault="008F28BF" w:rsidP="004A5071">
            <w:pPr>
              <w:pStyle w:val="TableText"/>
              <w:numPr>
                <w:ilvl w:val="0"/>
                <w:numId w:val="47"/>
              </w:numPr>
              <w:spacing w:before="60" w:after="60"/>
              <w:ind w:left="342"/>
            </w:pPr>
            <w:r w:rsidRPr="004A5071">
              <w:t>Assessment of applicant’s ability to receive feedback professionally</w:t>
            </w:r>
            <w:r w:rsidR="005E2AC2" w:rsidRPr="004A5071">
              <w:t xml:space="preserve"> and use it for </w:t>
            </w:r>
            <w:r w:rsidR="001342C5" w:rsidRPr="004A5071">
              <w:t>improvement</w:t>
            </w:r>
          </w:p>
          <w:p w14:paraId="60612646" w14:textId="15FD4BC5" w:rsidR="008F28BF" w:rsidRPr="004A5071" w:rsidRDefault="008F28BF" w:rsidP="004A5071">
            <w:pPr>
              <w:pStyle w:val="TableText"/>
              <w:spacing w:before="60" w:after="60"/>
            </w:pPr>
            <w:r w:rsidRPr="004A5071">
              <w:t xml:space="preserve">Process for </w:t>
            </w:r>
            <w:r w:rsidR="001578A3" w:rsidRPr="004A5071">
              <w:t>monitoring</w:t>
            </w:r>
            <w:r w:rsidRPr="004A5071">
              <w:t xml:space="preserve"> adherence to the interview protocol</w:t>
            </w:r>
          </w:p>
          <w:p w14:paraId="0A0642CB" w14:textId="16E800E8" w:rsidR="008F28BF" w:rsidRPr="004A5071" w:rsidRDefault="00235694" w:rsidP="004A5071">
            <w:pPr>
              <w:pStyle w:val="TableText"/>
              <w:spacing w:before="60" w:after="60"/>
            </w:pPr>
            <w:r w:rsidRPr="004A5071">
              <w:t xml:space="preserve">Extent to which </w:t>
            </w:r>
            <w:r w:rsidR="006B07B3" w:rsidRPr="004A5071">
              <w:t xml:space="preserve">program uses </w:t>
            </w:r>
            <w:r w:rsidR="008F28BF" w:rsidRPr="004A5071">
              <w:t>training</w:t>
            </w:r>
            <w:r w:rsidRPr="004A5071">
              <w:t>,</w:t>
            </w:r>
            <w:r w:rsidR="008F28BF" w:rsidRPr="004A5071">
              <w:t xml:space="preserve"> turnover,</w:t>
            </w:r>
            <w:r w:rsidRPr="004A5071">
              <w:t xml:space="preserve"> and</w:t>
            </w:r>
            <w:r w:rsidR="008F28BF" w:rsidRPr="004A5071">
              <w:t xml:space="preserve"> fidelity data and exit interview</w:t>
            </w:r>
            <w:r w:rsidR="00C06DAD" w:rsidRPr="004A5071">
              <w:t>s</w:t>
            </w:r>
            <w:r w:rsidR="008F28BF" w:rsidRPr="004A5071">
              <w:t xml:space="preserve"> to assess the effectiveness of staff selection</w:t>
            </w:r>
          </w:p>
        </w:tc>
      </w:tr>
      <w:tr w:rsidR="004A5071" w:rsidRPr="000B2780" w14:paraId="3F02F66A" w14:textId="77777777" w:rsidTr="004A5071">
        <w:trPr>
          <w:cantSplit/>
        </w:trPr>
        <w:tc>
          <w:tcPr>
            <w:tcW w:w="5000" w:type="pct"/>
            <w:gridSpan w:val="2"/>
          </w:tcPr>
          <w:p w14:paraId="5CBC4DD6" w14:textId="50CF01B6" w:rsidR="004A5071" w:rsidRPr="004A5071" w:rsidRDefault="004A5071" w:rsidP="004A5071">
            <w:pPr>
              <w:pStyle w:val="TableText"/>
              <w:pageBreakBefore/>
              <w:spacing w:before="60" w:after="60"/>
              <w:rPr>
                <w:i/>
              </w:rPr>
            </w:pPr>
            <w:r w:rsidRPr="004A5071">
              <w:rPr>
                <w:i/>
              </w:rPr>
              <w:lastRenderedPageBreak/>
              <w:t>Training</w:t>
            </w:r>
          </w:p>
        </w:tc>
      </w:tr>
      <w:tr w:rsidR="008F28BF" w:rsidRPr="000B2780" w14:paraId="091AC9A7" w14:textId="77777777" w:rsidTr="004A5071">
        <w:trPr>
          <w:cantSplit/>
        </w:trPr>
        <w:tc>
          <w:tcPr>
            <w:tcW w:w="1297" w:type="pct"/>
          </w:tcPr>
          <w:p w14:paraId="6FB41B05" w14:textId="2B8C6815" w:rsidR="008F28BF" w:rsidRPr="004A5071" w:rsidRDefault="008F28BF" w:rsidP="004A5071">
            <w:pPr>
              <w:pStyle w:val="TableText"/>
              <w:spacing w:before="60" w:after="60"/>
            </w:pPr>
            <w:r w:rsidRPr="004A5071">
              <w:t xml:space="preserve">Focus of content covered during training </w:t>
            </w:r>
            <w:r w:rsidR="00CF610A" w:rsidRPr="004A5071">
              <w:t xml:space="preserve">and </w:t>
            </w:r>
            <w:r w:rsidRPr="004A5071">
              <w:t>regularity of training</w:t>
            </w:r>
            <w:r w:rsidR="00CF610A" w:rsidRPr="004A5071">
              <w:t xml:space="preserve"> </w:t>
            </w:r>
          </w:p>
        </w:tc>
        <w:tc>
          <w:tcPr>
            <w:tcW w:w="3703" w:type="pct"/>
          </w:tcPr>
          <w:p w14:paraId="37715A10" w14:textId="502EE3A7" w:rsidR="00235694" w:rsidRPr="004A5071" w:rsidRDefault="006B07B3" w:rsidP="004A5071">
            <w:pPr>
              <w:pStyle w:val="TableText"/>
              <w:spacing w:before="60" w:after="60"/>
            </w:pPr>
            <w:r w:rsidRPr="004A5071">
              <w:t>T</w:t>
            </w:r>
            <w:r w:rsidR="00235694" w:rsidRPr="004A5071">
              <w:t xml:space="preserve">raining </w:t>
            </w:r>
            <w:r w:rsidRPr="004A5071">
              <w:t xml:space="preserve">content, </w:t>
            </w:r>
            <w:r w:rsidR="00235694" w:rsidRPr="004A5071">
              <w:t>includ</w:t>
            </w:r>
            <w:r w:rsidRPr="004A5071">
              <w:t>ing</w:t>
            </w:r>
            <w:r w:rsidR="00235694" w:rsidRPr="004A5071">
              <w:t>:</w:t>
            </w:r>
          </w:p>
          <w:p w14:paraId="6B7D78D6" w14:textId="4EB5370F" w:rsidR="008F28BF" w:rsidRPr="004A5071" w:rsidRDefault="00235694" w:rsidP="00CA515A">
            <w:pPr>
              <w:pStyle w:val="TableText"/>
              <w:numPr>
                <w:ilvl w:val="0"/>
                <w:numId w:val="47"/>
              </w:numPr>
              <w:spacing w:before="60" w:after="60"/>
              <w:ind w:left="342"/>
            </w:pPr>
            <w:r w:rsidRPr="004A5071">
              <w:t>H</w:t>
            </w:r>
            <w:r w:rsidR="008F28BF" w:rsidRPr="004A5071">
              <w:t>istory, theory, philosophy, and values of the program</w:t>
            </w:r>
          </w:p>
          <w:p w14:paraId="4791AAD8" w14:textId="190E084D" w:rsidR="008F28BF" w:rsidRPr="004A5071" w:rsidRDefault="00235694" w:rsidP="00CA515A">
            <w:pPr>
              <w:pStyle w:val="TableText"/>
              <w:numPr>
                <w:ilvl w:val="0"/>
                <w:numId w:val="47"/>
              </w:numPr>
              <w:spacing w:before="60" w:after="60"/>
              <w:ind w:left="342"/>
            </w:pPr>
            <w:r w:rsidRPr="004A5071">
              <w:t xml:space="preserve">Instruction on </w:t>
            </w:r>
            <w:r w:rsidR="008F28BF" w:rsidRPr="004A5071">
              <w:t>delivering curricula</w:t>
            </w:r>
          </w:p>
          <w:p w14:paraId="24EDBAE5" w14:textId="31E04FCA" w:rsidR="00235694" w:rsidRPr="004A5071" w:rsidRDefault="00235694" w:rsidP="00CA515A">
            <w:pPr>
              <w:pStyle w:val="TableText"/>
              <w:numPr>
                <w:ilvl w:val="0"/>
                <w:numId w:val="47"/>
              </w:numPr>
              <w:spacing w:before="60" w:after="60"/>
              <w:ind w:left="342"/>
            </w:pPr>
            <w:r w:rsidRPr="004A5071">
              <w:t>Opportunities to practice new skills (role plays</w:t>
            </w:r>
            <w:r w:rsidR="006B07B3" w:rsidRPr="004A5071">
              <w:t>, teach backs</w:t>
            </w:r>
            <w:r w:rsidRPr="004A5071">
              <w:t>) and receive feedback</w:t>
            </w:r>
          </w:p>
          <w:p w14:paraId="42887C71" w14:textId="6040B49B" w:rsidR="00A71AA8" w:rsidRPr="004A5071" w:rsidRDefault="008F28BF" w:rsidP="004A5071">
            <w:pPr>
              <w:pStyle w:val="TableText"/>
              <w:spacing w:before="60" w:after="60"/>
            </w:pPr>
            <w:r w:rsidRPr="004A5071">
              <w:t xml:space="preserve">Timing </w:t>
            </w:r>
            <w:r w:rsidR="00235694" w:rsidRPr="004A5071">
              <w:t xml:space="preserve">and frequency </w:t>
            </w:r>
            <w:r w:rsidRPr="004A5071">
              <w:t>of initial and on-going training</w:t>
            </w:r>
            <w:r w:rsidR="00235694" w:rsidRPr="004A5071">
              <w:t>;</w:t>
            </w:r>
            <w:r w:rsidRPr="004A5071">
              <w:t xml:space="preserve"> availability of booster training sessions</w:t>
            </w:r>
          </w:p>
        </w:tc>
      </w:tr>
      <w:tr w:rsidR="008F28BF" w:rsidRPr="000B2780" w14:paraId="2A9D07DC" w14:textId="77777777" w:rsidTr="004A5071">
        <w:trPr>
          <w:cantSplit/>
        </w:trPr>
        <w:tc>
          <w:tcPr>
            <w:tcW w:w="1297" w:type="pct"/>
          </w:tcPr>
          <w:p w14:paraId="63B6D3E6" w14:textId="21B63869" w:rsidR="008F28BF" w:rsidRPr="004A5071" w:rsidRDefault="008F28BF" w:rsidP="004A5071">
            <w:pPr>
              <w:pStyle w:val="TableText"/>
              <w:spacing w:before="60" w:after="60"/>
            </w:pPr>
            <w:r w:rsidRPr="004A5071">
              <w:t>Staff or agencies responsible for ensuring implementers receive training</w:t>
            </w:r>
          </w:p>
        </w:tc>
        <w:tc>
          <w:tcPr>
            <w:tcW w:w="3703" w:type="pct"/>
          </w:tcPr>
          <w:p w14:paraId="77EBFC49" w14:textId="56AA35FA" w:rsidR="008F28BF" w:rsidRPr="004A5071" w:rsidRDefault="008F28BF" w:rsidP="004A5071">
            <w:pPr>
              <w:pStyle w:val="TableText"/>
              <w:spacing w:before="60" w:after="60"/>
            </w:pPr>
            <w:r w:rsidRPr="004A5071">
              <w:t>Lead person responsible for coordinating training</w:t>
            </w:r>
          </w:p>
          <w:p w14:paraId="333A85A4" w14:textId="30BE5AC8" w:rsidR="008F28BF" w:rsidRPr="004A5071" w:rsidRDefault="008F28BF" w:rsidP="004A5071">
            <w:pPr>
              <w:pStyle w:val="TableText"/>
              <w:spacing w:before="60" w:after="60"/>
            </w:pPr>
            <w:r w:rsidRPr="004A5071">
              <w:t xml:space="preserve">Challenges </w:t>
            </w:r>
            <w:r w:rsidR="002D051A" w:rsidRPr="004A5071">
              <w:t xml:space="preserve">to </w:t>
            </w:r>
            <w:r w:rsidR="00CF610A" w:rsidRPr="004A5071">
              <w:t xml:space="preserve">ensuring regular training occurs </w:t>
            </w:r>
          </w:p>
          <w:p w14:paraId="6725A7A3" w14:textId="6B9627ED" w:rsidR="008F28BF" w:rsidRPr="004A5071" w:rsidRDefault="002D051A" w:rsidP="004A5071">
            <w:pPr>
              <w:pStyle w:val="TableText"/>
              <w:spacing w:before="60" w:after="60"/>
            </w:pPr>
            <w:r w:rsidRPr="004A5071">
              <w:t>I</w:t>
            </w:r>
            <w:r w:rsidR="00B72C80" w:rsidRPr="004A5071">
              <w:t>dentifying</w:t>
            </w:r>
            <w:r w:rsidR="008F28BF" w:rsidRPr="004A5071">
              <w:t xml:space="preserve"> train</w:t>
            </w:r>
            <w:r w:rsidRPr="004A5071">
              <w:t>ers</w:t>
            </w:r>
            <w:r w:rsidR="008F28BF" w:rsidRPr="004A5071">
              <w:t xml:space="preserve">; </w:t>
            </w:r>
            <w:r w:rsidRPr="004A5071">
              <w:t xml:space="preserve">trainer </w:t>
            </w:r>
            <w:r w:rsidR="008F28BF" w:rsidRPr="004A5071">
              <w:t>qualifications</w:t>
            </w:r>
          </w:p>
        </w:tc>
      </w:tr>
      <w:tr w:rsidR="008F28BF" w:rsidRPr="000B2780" w14:paraId="2BAE7890" w14:textId="77777777" w:rsidTr="004A5071">
        <w:trPr>
          <w:cantSplit/>
        </w:trPr>
        <w:tc>
          <w:tcPr>
            <w:tcW w:w="1297" w:type="pct"/>
          </w:tcPr>
          <w:p w14:paraId="65434F1F" w14:textId="77777777" w:rsidR="008F28BF" w:rsidRPr="004A5071" w:rsidRDefault="008F28BF" w:rsidP="004A5071">
            <w:pPr>
              <w:pStyle w:val="TableText"/>
              <w:spacing w:before="60" w:after="60"/>
            </w:pPr>
            <w:r w:rsidRPr="004A5071">
              <w:t xml:space="preserve">Collection and use of training data </w:t>
            </w:r>
          </w:p>
        </w:tc>
        <w:tc>
          <w:tcPr>
            <w:tcW w:w="3703" w:type="pct"/>
          </w:tcPr>
          <w:p w14:paraId="623F4E0C" w14:textId="7A86A99A" w:rsidR="008F28BF" w:rsidRPr="004A5071" w:rsidRDefault="002D051A" w:rsidP="004A5071">
            <w:pPr>
              <w:pStyle w:val="TableText"/>
              <w:spacing w:before="60" w:after="60"/>
            </w:pPr>
            <w:r w:rsidRPr="004A5071">
              <w:t>C</w:t>
            </w:r>
            <w:r w:rsidR="008F28BF" w:rsidRPr="004A5071">
              <w:t>ollecting training assessment data (pre-post tests)</w:t>
            </w:r>
          </w:p>
          <w:p w14:paraId="31A210E1" w14:textId="078E7997" w:rsidR="008F28BF" w:rsidRPr="004A5071" w:rsidRDefault="002D051A" w:rsidP="004A5071">
            <w:pPr>
              <w:pStyle w:val="TableText"/>
              <w:spacing w:before="60" w:after="60"/>
            </w:pPr>
            <w:r w:rsidRPr="004A5071">
              <w:t>S</w:t>
            </w:r>
            <w:r w:rsidR="008F28BF" w:rsidRPr="004A5071">
              <w:t xml:space="preserve">haring training assessment data with supervisors and coaches to </w:t>
            </w:r>
            <w:r w:rsidRPr="004A5071">
              <w:t>support</w:t>
            </w:r>
            <w:r w:rsidR="008F28BF" w:rsidRPr="004A5071">
              <w:t xml:space="preserve"> trainee competency development</w:t>
            </w:r>
          </w:p>
          <w:p w14:paraId="722C61BD" w14:textId="5BAF6884" w:rsidR="008F28BF" w:rsidRPr="004A5071" w:rsidRDefault="002D051A" w:rsidP="004A5071">
            <w:pPr>
              <w:pStyle w:val="TableText"/>
              <w:spacing w:before="60" w:after="60"/>
            </w:pPr>
            <w:r w:rsidRPr="004A5071">
              <w:t xml:space="preserve">Soliciting </w:t>
            </w:r>
            <w:r w:rsidR="008F28BF" w:rsidRPr="004A5071">
              <w:t xml:space="preserve">feedback </w:t>
            </w:r>
            <w:r w:rsidRPr="004A5071">
              <w:t>from</w:t>
            </w:r>
            <w:r w:rsidR="008F28BF" w:rsidRPr="004A5071">
              <w:t xml:space="preserve"> train</w:t>
            </w:r>
            <w:r w:rsidRPr="004A5071">
              <w:t>ees</w:t>
            </w:r>
            <w:r w:rsidR="008F28BF" w:rsidRPr="004A5071">
              <w:t xml:space="preserve"> to improve future training activities</w:t>
            </w:r>
          </w:p>
        </w:tc>
      </w:tr>
      <w:tr w:rsidR="00CA515A" w:rsidRPr="000B2780" w14:paraId="7E6C43DA" w14:textId="77777777" w:rsidTr="00CA515A">
        <w:trPr>
          <w:cantSplit/>
        </w:trPr>
        <w:tc>
          <w:tcPr>
            <w:tcW w:w="5000" w:type="pct"/>
            <w:gridSpan w:val="2"/>
          </w:tcPr>
          <w:p w14:paraId="31720666" w14:textId="3A3E001A" w:rsidR="00CA515A" w:rsidRPr="00CA515A" w:rsidRDefault="00CA515A" w:rsidP="004A5071">
            <w:pPr>
              <w:pStyle w:val="TableText"/>
              <w:spacing w:before="60" w:after="60"/>
              <w:rPr>
                <w:i/>
              </w:rPr>
            </w:pPr>
            <w:r w:rsidRPr="00CA515A">
              <w:rPr>
                <w:i/>
              </w:rPr>
              <w:t>Coaching/Supervision</w:t>
            </w:r>
          </w:p>
        </w:tc>
      </w:tr>
      <w:tr w:rsidR="008F28BF" w:rsidRPr="000B2780" w14:paraId="09B22E25" w14:textId="77777777" w:rsidTr="004A5071">
        <w:trPr>
          <w:cantSplit/>
        </w:trPr>
        <w:tc>
          <w:tcPr>
            <w:tcW w:w="1297" w:type="pct"/>
          </w:tcPr>
          <w:p w14:paraId="1A74095E" w14:textId="5FB461A0" w:rsidR="008F28BF" w:rsidRPr="004A5071" w:rsidRDefault="008F28BF" w:rsidP="004A5071">
            <w:pPr>
              <w:pStyle w:val="TableText"/>
              <w:spacing w:before="60" w:after="60"/>
            </w:pPr>
            <w:r w:rsidRPr="004A5071">
              <w:t xml:space="preserve">Development and use of </w:t>
            </w:r>
            <w:r w:rsidR="00E907F9" w:rsidRPr="004A5071">
              <w:t xml:space="preserve">a </w:t>
            </w:r>
            <w:r w:rsidRPr="004A5071">
              <w:t>coaching</w:t>
            </w:r>
            <w:r w:rsidR="00E907F9" w:rsidRPr="004A5071">
              <w:t xml:space="preserve">/supervision </w:t>
            </w:r>
            <w:r w:rsidRPr="004A5071">
              <w:t>plan</w:t>
            </w:r>
          </w:p>
        </w:tc>
        <w:tc>
          <w:tcPr>
            <w:tcW w:w="3703" w:type="pct"/>
          </w:tcPr>
          <w:p w14:paraId="369EB947" w14:textId="4F89984C" w:rsidR="005C2679" w:rsidRPr="004A5071" w:rsidRDefault="002D051A" w:rsidP="004A5071">
            <w:pPr>
              <w:pStyle w:val="TableText"/>
              <w:spacing w:before="60" w:after="60"/>
            </w:pPr>
            <w:r w:rsidRPr="004A5071">
              <w:t>D</w:t>
            </w:r>
            <w:r w:rsidR="008F28BF" w:rsidRPr="004A5071">
              <w:t xml:space="preserve">eveloping </w:t>
            </w:r>
            <w:r w:rsidRPr="004A5071">
              <w:t xml:space="preserve">staff </w:t>
            </w:r>
            <w:r w:rsidR="008F28BF" w:rsidRPr="004A5071">
              <w:t xml:space="preserve">coaching </w:t>
            </w:r>
            <w:r w:rsidR="00E907F9" w:rsidRPr="004A5071">
              <w:t xml:space="preserve">or supervision </w:t>
            </w:r>
            <w:r w:rsidRPr="004A5071">
              <w:t>plans</w:t>
            </w:r>
          </w:p>
          <w:p w14:paraId="78699260" w14:textId="6CA48E3F" w:rsidR="005C2679" w:rsidRPr="004A5071" w:rsidRDefault="002D051A" w:rsidP="004A5071">
            <w:pPr>
              <w:pStyle w:val="TableText"/>
              <w:spacing w:before="60" w:after="60"/>
            </w:pPr>
            <w:r w:rsidRPr="004A5071">
              <w:t>Content</w:t>
            </w:r>
            <w:r w:rsidR="008F28BF" w:rsidRPr="004A5071">
              <w:t xml:space="preserve"> of coaching </w:t>
            </w:r>
            <w:r w:rsidR="00E907F9" w:rsidRPr="004A5071">
              <w:t xml:space="preserve">or supervision </w:t>
            </w:r>
            <w:r w:rsidR="008F28BF" w:rsidRPr="004A5071">
              <w:t>plans</w:t>
            </w:r>
            <w:r w:rsidRPr="004A5071">
              <w:t>, including</w:t>
            </w:r>
            <w:r w:rsidR="005C2679" w:rsidRPr="004A5071">
              <w:t>:</w:t>
            </w:r>
          </w:p>
          <w:p w14:paraId="052163DD" w14:textId="7FF203A4" w:rsidR="005C2679" w:rsidRPr="004A5071" w:rsidRDefault="005C2679" w:rsidP="00CA515A">
            <w:pPr>
              <w:pStyle w:val="TableText"/>
              <w:numPr>
                <w:ilvl w:val="0"/>
                <w:numId w:val="47"/>
              </w:numPr>
              <w:spacing w:before="60" w:after="60"/>
              <w:ind w:left="342"/>
            </w:pPr>
            <w:r w:rsidRPr="004A5071">
              <w:t>Coaching</w:t>
            </w:r>
            <w:r w:rsidR="00E907F9" w:rsidRPr="004A5071">
              <w:t>/supervision</w:t>
            </w:r>
            <w:r w:rsidRPr="004A5071">
              <w:t xml:space="preserve"> requirements </w:t>
            </w:r>
          </w:p>
          <w:p w14:paraId="6D00D9D8" w14:textId="5E4E842F" w:rsidR="005C2679" w:rsidRPr="004A5071" w:rsidRDefault="00EA5748" w:rsidP="00CA515A">
            <w:pPr>
              <w:pStyle w:val="TableText"/>
              <w:numPr>
                <w:ilvl w:val="0"/>
                <w:numId w:val="47"/>
              </w:numPr>
              <w:spacing w:before="60" w:after="60"/>
              <w:ind w:left="342"/>
            </w:pPr>
            <w:r w:rsidRPr="004A5071">
              <w:t>Coaching</w:t>
            </w:r>
            <w:r w:rsidR="00E907F9" w:rsidRPr="004A5071">
              <w:t>/supervision</w:t>
            </w:r>
            <w:r w:rsidRPr="004A5071">
              <w:t xml:space="preserve"> f</w:t>
            </w:r>
            <w:r w:rsidR="005C2679" w:rsidRPr="004A5071">
              <w:t>requency</w:t>
            </w:r>
          </w:p>
          <w:p w14:paraId="54B21506" w14:textId="0417069D" w:rsidR="005C2679" w:rsidRPr="004A5071" w:rsidRDefault="005C2679" w:rsidP="00CA515A">
            <w:pPr>
              <w:pStyle w:val="TableText"/>
              <w:numPr>
                <w:ilvl w:val="0"/>
                <w:numId w:val="47"/>
              </w:numPr>
              <w:spacing w:before="60" w:after="60"/>
              <w:ind w:left="342"/>
            </w:pPr>
            <w:r w:rsidRPr="004A5071">
              <w:t>Coaching</w:t>
            </w:r>
            <w:r w:rsidR="00E907F9" w:rsidRPr="004A5071">
              <w:t>/supervision</w:t>
            </w:r>
            <w:r w:rsidRPr="004A5071">
              <w:t xml:space="preserve"> methods</w:t>
            </w:r>
          </w:p>
          <w:p w14:paraId="474052B8" w14:textId="34D61BC9" w:rsidR="008F28BF" w:rsidRPr="004A5071" w:rsidRDefault="00EA5748" w:rsidP="00CA515A">
            <w:pPr>
              <w:pStyle w:val="TableText"/>
              <w:numPr>
                <w:ilvl w:val="0"/>
                <w:numId w:val="47"/>
              </w:numPr>
              <w:spacing w:before="60" w:after="60"/>
              <w:ind w:left="342"/>
            </w:pPr>
            <w:r w:rsidRPr="004A5071">
              <w:t>C</w:t>
            </w:r>
            <w:r w:rsidR="005C2679" w:rsidRPr="004A5071">
              <w:t>oaching</w:t>
            </w:r>
            <w:r w:rsidR="00E907F9" w:rsidRPr="004A5071">
              <w:t>/supervision</w:t>
            </w:r>
            <w:r w:rsidR="005C2679" w:rsidRPr="004A5071">
              <w:t xml:space="preserve"> plan</w:t>
            </w:r>
            <w:r w:rsidRPr="004A5071">
              <w:t xml:space="preserve"> review</w:t>
            </w:r>
          </w:p>
        </w:tc>
      </w:tr>
      <w:tr w:rsidR="008F28BF" w:rsidRPr="000B2780" w14:paraId="60937480" w14:textId="77777777" w:rsidTr="004A5071">
        <w:trPr>
          <w:cantSplit/>
        </w:trPr>
        <w:tc>
          <w:tcPr>
            <w:tcW w:w="1297" w:type="pct"/>
          </w:tcPr>
          <w:p w14:paraId="13A0F7FE" w14:textId="09576202" w:rsidR="008F28BF" w:rsidRPr="004A5071" w:rsidRDefault="008F28BF" w:rsidP="004A5071">
            <w:pPr>
              <w:pStyle w:val="TableText"/>
              <w:spacing w:before="60" w:after="60"/>
            </w:pPr>
            <w:r w:rsidRPr="004A5071">
              <w:t>Staff responsible for providing coaching</w:t>
            </w:r>
            <w:r w:rsidR="00E907F9" w:rsidRPr="004A5071">
              <w:t>/ supervision</w:t>
            </w:r>
          </w:p>
        </w:tc>
        <w:tc>
          <w:tcPr>
            <w:tcW w:w="3703" w:type="pct"/>
          </w:tcPr>
          <w:p w14:paraId="082F8FE7" w14:textId="349D463E" w:rsidR="004235B4" w:rsidRPr="004A5071" w:rsidRDefault="008F28BF" w:rsidP="004A5071">
            <w:pPr>
              <w:pStyle w:val="TableText"/>
              <w:spacing w:before="60" w:after="60"/>
            </w:pPr>
            <w:r w:rsidRPr="004A5071">
              <w:t>Lead person responsible for coordinating coaching</w:t>
            </w:r>
            <w:r w:rsidR="00E907F9" w:rsidRPr="004A5071">
              <w:t>/supervision</w:t>
            </w:r>
            <w:r w:rsidRPr="004A5071">
              <w:t xml:space="preserve"> </w:t>
            </w:r>
          </w:p>
          <w:p w14:paraId="215687BE" w14:textId="541A04B9" w:rsidR="008F28BF" w:rsidRPr="004A5071" w:rsidRDefault="00EA5748" w:rsidP="004A5071">
            <w:pPr>
              <w:pStyle w:val="TableText"/>
              <w:spacing w:before="60" w:after="60"/>
            </w:pPr>
            <w:r w:rsidRPr="004A5071">
              <w:t>Selecti</w:t>
            </w:r>
            <w:r w:rsidR="00B750B2" w:rsidRPr="004A5071">
              <w:t>o</w:t>
            </w:r>
            <w:r w:rsidRPr="004A5071">
              <w:t xml:space="preserve">n of </w:t>
            </w:r>
            <w:r w:rsidR="004235B4" w:rsidRPr="004A5071">
              <w:t>coach</w:t>
            </w:r>
            <w:r w:rsidR="00B750B2" w:rsidRPr="004A5071">
              <w:t>es</w:t>
            </w:r>
            <w:r w:rsidR="00E907F9" w:rsidRPr="004A5071">
              <w:t>/supervisors</w:t>
            </w:r>
            <w:r w:rsidR="004D3C6A" w:rsidRPr="004A5071">
              <w:t xml:space="preserve">; </w:t>
            </w:r>
            <w:r w:rsidRPr="004A5071">
              <w:t>required skills and abilities</w:t>
            </w:r>
          </w:p>
          <w:p w14:paraId="0FA24DE8" w14:textId="6EEEEA74" w:rsidR="008F28BF" w:rsidRPr="004A5071" w:rsidRDefault="008F28BF" w:rsidP="004A5071">
            <w:pPr>
              <w:pStyle w:val="TableText"/>
              <w:spacing w:before="60" w:after="60"/>
            </w:pPr>
            <w:r w:rsidRPr="004A5071">
              <w:t xml:space="preserve">Challenges </w:t>
            </w:r>
            <w:r w:rsidR="005C2679" w:rsidRPr="004A5071">
              <w:t>coordinating</w:t>
            </w:r>
            <w:r w:rsidR="00EA5748" w:rsidRPr="004A5071">
              <w:t xml:space="preserve"> coaching</w:t>
            </w:r>
            <w:r w:rsidR="00E907F9" w:rsidRPr="004A5071">
              <w:t>/supervision</w:t>
            </w:r>
            <w:r w:rsidR="00EA5748" w:rsidRPr="004A5071">
              <w:t>, identifying qualified coaches</w:t>
            </w:r>
            <w:r w:rsidR="00E907F9" w:rsidRPr="004A5071">
              <w:t>/supervisors</w:t>
            </w:r>
            <w:r w:rsidR="00EA5748" w:rsidRPr="004A5071">
              <w:t>,</w:t>
            </w:r>
            <w:r w:rsidR="005C2679" w:rsidRPr="004A5071">
              <w:t xml:space="preserve"> </w:t>
            </w:r>
            <w:r w:rsidR="004235B4" w:rsidRPr="004A5071">
              <w:t xml:space="preserve">and providing </w:t>
            </w:r>
            <w:r w:rsidR="005C2679" w:rsidRPr="004A5071">
              <w:t>coaching</w:t>
            </w:r>
            <w:r w:rsidR="00E907F9" w:rsidRPr="004A5071">
              <w:t>/supervision</w:t>
            </w:r>
            <w:r w:rsidR="005C2679" w:rsidRPr="004A5071">
              <w:t xml:space="preserve"> </w:t>
            </w:r>
          </w:p>
        </w:tc>
      </w:tr>
      <w:tr w:rsidR="008F28BF" w:rsidRPr="000B2780" w14:paraId="2C859306" w14:textId="77777777" w:rsidTr="004A5071">
        <w:trPr>
          <w:cantSplit/>
        </w:trPr>
        <w:tc>
          <w:tcPr>
            <w:tcW w:w="1297" w:type="pct"/>
          </w:tcPr>
          <w:p w14:paraId="1684A1AC" w14:textId="5AE91893" w:rsidR="008F28BF" w:rsidRPr="004A5071" w:rsidRDefault="008F28BF" w:rsidP="004A5071">
            <w:pPr>
              <w:pStyle w:val="TableText"/>
              <w:spacing w:before="60" w:after="60"/>
            </w:pPr>
            <w:r w:rsidRPr="004A5071">
              <w:t>Process for assessing coaching</w:t>
            </w:r>
            <w:r w:rsidR="00E907F9" w:rsidRPr="004A5071">
              <w:t>/supervision</w:t>
            </w:r>
            <w:r w:rsidRPr="004A5071">
              <w:t xml:space="preserve"> effectiveness and modifying coaching</w:t>
            </w:r>
            <w:r w:rsidR="00E907F9" w:rsidRPr="004A5071">
              <w:t>/supervision</w:t>
            </w:r>
            <w:r w:rsidRPr="004A5071">
              <w:t xml:space="preserve"> plan</w:t>
            </w:r>
          </w:p>
        </w:tc>
        <w:tc>
          <w:tcPr>
            <w:tcW w:w="3703" w:type="pct"/>
          </w:tcPr>
          <w:p w14:paraId="793B06B1" w14:textId="7F67445E" w:rsidR="008F28BF" w:rsidRPr="004A5071" w:rsidRDefault="0030266E" w:rsidP="004A5071">
            <w:pPr>
              <w:pStyle w:val="TableText"/>
              <w:spacing w:before="60" w:after="60"/>
            </w:pPr>
            <w:r w:rsidRPr="004A5071">
              <w:t>M</w:t>
            </w:r>
            <w:r w:rsidR="008F28BF" w:rsidRPr="004A5071">
              <w:t xml:space="preserve">onitoring performance </w:t>
            </w:r>
            <w:r w:rsidRPr="004A5071">
              <w:t>of coaching</w:t>
            </w:r>
            <w:r w:rsidR="00E907F9" w:rsidRPr="004A5071">
              <w:t>/supervision</w:t>
            </w:r>
            <w:r w:rsidRPr="004A5071">
              <w:t xml:space="preserve"> recipients </w:t>
            </w:r>
            <w:r w:rsidR="008F28BF" w:rsidRPr="004A5071">
              <w:t xml:space="preserve">(i.e. direct observations, </w:t>
            </w:r>
            <w:r w:rsidR="006B07B3" w:rsidRPr="004A5071">
              <w:t xml:space="preserve">video or audio </w:t>
            </w:r>
            <w:r w:rsidR="008F28BF" w:rsidRPr="004A5071">
              <w:t>recordings, feedback from colleagues and other stakeholders)</w:t>
            </w:r>
          </w:p>
          <w:p w14:paraId="12C0EF11" w14:textId="2ACCDB19" w:rsidR="008F28BF" w:rsidRPr="004A5071" w:rsidRDefault="00EA5748" w:rsidP="004A5071">
            <w:pPr>
              <w:pStyle w:val="TableText"/>
              <w:spacing w:before="60" w:after="60"/>
            </w:pPr>
            <w:r w:rsidRPr="004A5071">
              <w:t xml:space="preserve">Obtaining </w:t>
            </w:r>
            <w:r w:rsidR="008F28BF" w:rsidRPr="004A5071">
              <w:t>feedback on coaching</w:t>
            </w:r>
            <w:r w:rsidR="00E907F9" w:rsidRPr="004A5071">
              <w:t>/supervision</w:t>
            </w:r>
            <w:r w:rsidR="00700ECB" w:rsidRPr="004A5071">
              <w:t xml:space="preserve"> </w:t>
            </w:r>
            <w:r w:rsidR="008F28BF" w:rsidRPr="004A5071">
              <w:t>(i.e. satisfaction surveys</w:t>
            </w:r>
            <w:r w:rsidRPr="004A5071">
              <w:t xml:space="preserve"> of coaching recipients</w:t>
            </w:r>
            <w:r w:rsidR="008F28BF" w:rsidRPr="004A5071">
              <w:t xml:space="preserve">; </w:t>
            </w:r>
            <w:r w:rsidR="0030266E" w:rsidRPr="004A5071">
              <w:t xml:space="preserve">coaching </w:t>
            </w:r>
            <w:r w:rsidR="008F28BF" w:rsidRPr="004A5071">
              <w:t>observations)</w:t>
            </w:r>
          </w:p>
          <w:p w14:paraId="4B456889" w14:textId="222063AB" w:rsidR="00700ECB" w:rsidRPr="004A5071" w:rsidRDefault="00700ECB" w:rsidP="004A5071">
            <w:pPr>
              <w:pStyle w:val="TableText"/>
              <w:spacing w:before="60" w:after="60"/>
            </w:pPr>
            <w:r w:rsidRPr="004A5071">
              <w:t>Providing feedback to coaches</w:t>
            </w:r>
            <w:r w:rsidR="00E907F9" w:rsidRPr="004A5071">
              <w:t>/supervisors</w:t>
            </w:r>
          </w:p>
          <w:p w14:paraId="0EA008FD" w14:textId="3A1D8F5B" w:rsidR="008F28BF" w:rsidRPr="004A5071" w:rsidRDefault="0030266E" w:rsidP="004A5071">
            <w:pPr>
              <w:pStyle w:val="TableText"/>
              <w:spacing w:before="60" w:after="60"/>
            </w:pPr>
            <w:r w:rsidRPr="004A5071">
              <w:t xml:space="preserve">Using monitoring data and feedback to </w:t>
            </w:r>
            <w:r w:rsidR="008F28BF" w:rsidRPr="004A5071">
              <w:t xml:space="preserve"> improve coaching</w:t>
            </w:r>
            <w:r w:rsidR="00E907F9" w:rsidRPr="004A5071">
              <w:t>/supervision</w:t>
            </w:r>
          </w:p>
        </w:tc>
      </w:tr>
      <w:tr w:rsidR="00CA515A" w:rsidRPr="000B2780" w14:paraId="71D8336F" w14:textId="77777777" w:rsidTr="00CA515A">
        <w:trPr>
          <w:cantSplit/>
        </w:trPr>
        <w:tc>
          <w:tcPr>
            <w:tcW w:w="5000" w:type="pct"/>
            <w:gridSpan w:val="2"/>
          </w:tcPr>
          <w:p w14:paraId="3810A6B5" w14:textId="44CE1752" w:rsidR="00CA515A" w:rsidRPr="00CA515A" w:rsidRDefault="00CA515A" w:rsidP="004A5071">
            <w:pPr>
              <w:pStyle w:val="TableText"/>
              <w:spacing w:before="60" w:after="60"/>
              <w:rPr>
                <w:i/>
              </w:rPr>
            </w:pPr>
            <w:r w:rsidRPr="00CA515A">
              <w:rPr>
                <w:i/>
              </w:rPr>
              <w:t>Fidelity Assessment</w:t>
            </w:r>
          </w:p>
        </w:tc>
      </w:tr>
      <w:tr w:rsidR="008F28BF" w:rsidRPr="000B2780" w14:paraId="30C7538F" w14:textId="77777777" w:rsidTr="004A5071">
        <w:trPr>
          <w:cantSplit/>
        </w:trPr>
        <w:tc>
          <w:tcPr>
            <w:tcW w:w="1297" w:type="pct"/>
          </w:tcPr>
          <w:p w14:paraId="0E3A26AF" w14:textId="77777777" w:rsidR="008F28BF" w:rsidRPr="004A5071" w:rsidRDefault="008F28BF" w:rsidP="004A5071">
            <w:pPr>
              <w:pStyle w:val="TableText"/>
              <w:spacing w:before="60" w:after="60"/>
            </w:pPr>
            <w:r w:rsidRPr="004A5071">
              <w:t xml:space="preserve">Development and use of plan and protocol for monitoring fidelity of service delivery </w:t>
            </w:r>
          </w:p>
        </w:tc>
        <w:tc>
          <w:tcPr>
            <w:tcW w:w="3703" w:type="pct"/>
          </w:tcPr>
          <w:p w14:paraId="67EAB6B4" w14:textId="64AE3A12" w:rsidR="008F28BF" w:rsidRPr="004A5071" w:rsidRDefault="0030266E" w:rsidP="004A5071">
            <w:pPr>
              <w:pStyle w:val="TableText"/>
              <w:spacing w:before="60" w:after="60"/>
            </w:pPr>
            <w:r w:rsidRPr="004A5071">
              <w:t>P</w:t>
            </w:r>
            <w:r w:rsidR="008F28BF" w:rsidRPr="004A5071">
              <w:t xml:space="preserve">rotocol </w:t>
            </w:r>
            <w:r w:rsidR="004235B4" w:rsidRPr="004A5071">
              <w:t xml:space="preserve">for assessing fidelity </w:t>
            </w:r>
            <w:r w:rsidRPr="004A5071">
              <w:t>to</w:t>
            </w:r>
            <w:r w:rsidR="004235B4" w:rsidRPr="004A5071">
              <w:t xml:space="preserve"> HMRE</w:t>
            </w:r>
            <w:r w:rsidRPr="004A5071">
              <w:t xml:space="preserve"> </w:t>
            </w:r>
            <w:r w:rsidR="006B07B3" w:rsidRPr="004A5071">
              <w:t>curricula</w:t>
            </w:r>
            <w:r w:rsidR="00700ECB" w:rsidRPr="004A5071">
              <w:t xml:space="preserve"> </w:t>
            </w:r>
            <w:r w:rsidRPr="004A5071">
              <w:t>including</w:t>
            </w:r>
            <w:r w:rsidR="008F28BF" w:rsidRPr="004A5071">
              <w:t>:</w:t>
            </w:r>
          </w:p>
          <w:p w14:paraId="0CF9056D" w14:textId="3B580079" w:rsidR="008F28BF" w:rsidRPr="004A5071" w:rsidRDefault="0030266E" w:rsidP="00E4252D">
            <w:pPr>
              <w:pStyle w:val="TableText"/>
              <w:numPr>
                <w:ilvl w:val="0"/>
                <w:numId w:val="47"/>
              </w:numPr>
              <w:spacing w:before="60" w:after="60"/>
              <w:ind w:left="342"/>
            </w:pPr>
            <w:r w:rsidRPr="004A5071">
              <w:t>Data s</w:t>
            </w:r>
            <w:r w:rsidR="008F28BF" w:rsidRPr="004A5071">
              <w:t xml:space="preserve">ources </w:t>
            </w:r>
            <w:r w:rsidRPr="004A5071">
              <w:t xml:space="preserve">and methods for assessing </w:t>
            </w:r>
            <w:r w:rsidR="008F28BF" w:rsidRPr="004A5071">
              <w:t xml:space="preserve">fidelity </w:t>
            </w:r>
          </w:p>
          <w:p w14:paraId="7F8F47FC" w14:textId="0C09E5FE" w:rsidR="00940AB6" w:rsidRPr="004A5071" w:rsidRDefault="00940AB6" w:rsidP="00E4252D">
            <w:pPr>
              <w:pStyle w:val="TableText"/>
              <w:numPr>
                <w:ilvl w:val="0"/>
                <w:numId w:val="47"/>
              </w:numPr>
              <w:spacing w:before="60" w:after="60"/>
              <w:ind w:left="342"/>
            </w:pPr>
            <w:r w:rsidRPr="004A5071">
              <w:t xml:space="preserve">Content of fidelity measures; assessment of content, staff competence </w:t>
            </w:r>
            <w:r w:rsidR="006B07B3" w:rsidRPr="004A5071">
              <w:t xml:space="preserve"> to </w:t>
            </w:r>
            <w:r w:rsidRPr="004A5071">
              <w:t>deliver content, and implementation context</w:t>
            </w:r>
          </w:p>
          <w:p w14:paraId="4851DF18" w14:textId="497B91BD" w:rsidR="008F28BF" w:rsidRPr="004A5071" w:rsidRDefault="0030266E" w:rsidP="00E4252D">
            <w:pPr>
              <w:pStyle w:val="TableText"/>
              <w:numPr>
                <w:ilvl w:val="0"/>
                <w:numId w:val="47"/>
              </w:numPr>
              <w:spacing w:before="60" w:after="60"/>
              <w:ind w:left="342"/>
            </w:pPr>
            <w:r w:rsidRPr="004A5071">
              <w:t>Frequency</w:t>
            </w:r>
            <w:r w:rsidR="004235B4" w:rsidRPr="004A5071">
              <w:t xml:space="preserve"> of fidelity assessments</w:t>
            </w:r>
          </w:p>
          <w:p w14:paraId="542E3B56" w14:textId="0CA73F1E" w:rsidR="00EA4835" w:rsidRPr="004A5071" w:rsidRDefault="00EA4835" w:rsidP="004A5071">
            <w:pPr>
              <w:pStyle w:val="TableText"/>
              <w:spacing w:before="60" w:after="60"/>
            </w:pPr>
            <w:r w:rsidRPr="004A5071">
              <w:t>Use of fidelity data to improve curriculum delivery</w:t>
            </w:r>
          </w:p>
          <w:p w14:paraId="07E873EA" w14:textId="26617176" w:rsidR="008F28BF" w:rsidRPr="004A5071" w:rsidRDefault="008F28BF" w:rsidP="004A5071">
            <w:pPr>
              <w:pStyle w:val="TableText"/>
              <w:spacing w:before="60" w:after="60"/>
            </w:pPr>
            <w:r w:rsidRPr="004A5071">
              <w:t xml:space="preserve">Staff involved </w:t>
            </w:r>
            <w:r w:rsidR="0030266E" w:rsidRPr="004A5071">
              <w:t xml:space="preserve">in </w:t>
            </w:r>
            <w:r w:rsidRPr="004A5071">
              <w:t>developing fidelity assessment</w:t>
            </w:r>
            <w:r w:rsidR="0030266E" w:rsidRPr="004A5071">
              <w:t xml:space="preserve"> protocol</w:t>
            </w:r>
            <w:r w:rsidR="00940AB6" w:rsidRPr="004A5071">
              <w:t xml:space="preserve"> and measures</w:t>
            </w:r>
          </w:p>
          <w:p w14:paraId="7BB38377" w14:textId="034A8992" w:rsidR="008F28BF" w:rsidRPr="004A5071" w:rsidRDefault="0030266E" w:rsidP="004A5071">
            <w:pPr>
              <w:pStyle w:val="TableText"/>
              <w:spacing w:before="60" w:after="60"/>
            </w:pPr>
            <w:r w:rsidRPr="004A5071">
              <w:t>R</w:t>
            </w:r>
            <w:r w:rsidR="008F28BF" w:rsidRPr="004A5071">
              <w:t xml:space="preserve">eviewing </w:t>
            </w:r>
            <w:r w:rsidR="004235B4" w:rsidRPr="004A5071">
              <w:t>protocol for assessing fidelity</w:t>
            </w:r>
          </w:p>
        </w:tc>
      </w:tr>
      <w:tr w:rsidR="008F28BF" w:rsidRPr="000B2780" w14:paraId="47D98017" w14:textId="77777777" w:rsidTr="004A5071">
        <w:trPr>
          <w:cantSplit/>
        </w:trPr>
        <w:tc>
          <w:tcPr>
            <w:tcW w:w="1297" w:type="pct"/>
          </w:tcPr>
          <w:p w14:paraId="69DD5B01" w14:textId="77777777" w:rsidR="008F28BF" w:rsidRPr="004A5071" w:rsidRDefault="008F28BF" w:rsidP="004A5071">
            <w:pPr>
              <w:pStyle w:val="TableText"/>
              <w:spacing w:before="60" w:after="60"/>
            </w:pPr>
            <w:r w:rsidRPr="004A5071">
              <w:t xml:space="preserve">Staff responsible for assessing fidelity </w:t>
            </w:r>
          </w:p>
        </w:tc>
        <w:tc>
          <w:tcPr>
            <w:tcW w:w="3703" w:type="pct"/>
          </w:tcPr>
          <w:p w14:paraId="73DA33DB" w14:textId="5D8C6760" w:rsidR="004235B4" w:rsidRPr="004A5071" w:rsidRDefault="008F28BF" w:rsidP="004A5071">
            <w:pPr>
              <w:pStyle w:val="TableText"/>
              <w:spacing w:before="60" w:after="60"/>
            </w:pPr>
            <w:r w:rsidRPr="004A5071">
              <w:t>Lead person responsible for coordinating fidelity assessment</w:t>
            </w:r>
            <w:r w:rsidR="004235B4" w:rsidRPr="004A5071">
              <w:t>s</w:t>
            </w:r>
            <w:r w:rsidRPr="004A5071">
              <w:t xml:space="preserve"> </w:t>
            </w:r>
          </w:p>
          <w:p w14:paraId="6BF92F32" w14:textId="757BE64A" w:rsidR="008F28BF" w:rsidRPr="004A5071" w:rsidRDefault="00940AB6" w:rsidP="004A5071">
            <w:pPr>
              <w:pStyle w:val="TableText"/>
              <w:spacing w:before="60" w:after="60"/>
            </w:pPr>
            <w:r w:rsidRPr="004A5071">
              <w:t>Selection of s</w:t>
            </w:r>
            <w:r w:rsidR="004235B4" w:rsidRPr="004A5071">
              <w:t xml:space="preserve">taff </w:t>
            </w:r>
            <w:r w:rsidRPr="004A5071">
              <w:t xml:space="preserve">to </w:t>
            </w:r>
            <w:r w:rsidR="004235B4" w:rsidRPr="004A5071">
              <w:t>conduct fidelity assessment</w:t>
            </w:r>
            <w:r w:rsidR="006B07B3" w:rsidRPr="004A5071">
              <w:t>s</w:t>
            </w:r>
            <w:r w:rsidRPr="004A5071">
              <w:t>; required skills and abilities</w:t>
            </w:r>
          </w:p>
          <w:p w14:paraId="51947857" w14:textId="2544FA30" w:rsidR="008F28BF" w:rsidRPr="004A5071" w:rsidRDefault="008F28BF" w:rsidP="004A5071">
            <w:pPr>
              <w:pStyle w:val="TableText"/>
              <w:spacing w:before="60" w:after="60"/>
            </w:pPr>
            <w:r w:rsidRPr="004A5071">
              <w:t xml:space="preserve">Challenges </w:t>
            </w:r>
            <w:r w:rsidR="004235B4" w:rsidRPr="004A5071">
              <w:t>coordinating and conducting fidelity assessment</w:t>
            </w:r>
            <w:r w:rsidR="006B07B3" w:rsidRPr="004A5071">
              <w:t>s</w:t>
            </w:r>
          </w:p>
        </w:tc>
      </w:tr>
      <w:tr w:rsidR="008F28BF" w:rsidRPr="000B2780" w14:paraId="58335DE6" w14:textId="77777777" w:rsidTr="004A5071">
        <w:trPr>
          <w:cantSplit/>
        </w:trPr>
        <w:tc>
          <w:tcPr>
            <w:tcW w:w="1297" w:type="pct"/>
          </w:tcPr>
          <w:p w14:paraId="3BC3FD84" w14:textId="77777777" w:rsidR="008F28BF" w:rsidRPr="004A5071" w:rsidRDefault="008F28BF" w:rsidP="004A5071">
            <w:pPr>
              <w:pStyle w:val="TableText"/>
              <w:spacing w:before="60" w:after="60"/>
            </w:pPr>
            <w:r w:rsidRPr="004A5071">
              <w:lastRenderedPageBreak/>
              <w:t>Agency support for using fidelity protocol</w:t>
            </w:r>
          </w:p>
        </w:tc>
        <w:tc>
          <w:tcPr>
            <w:tcW w:w="3703" w:type="pct"/>
          </w:tcPr>
          <w:p w14:paraId="545190F8" w14:textId="36E14FBC" w:rsidR="008F28BF" w:rsidRPr="004A5071" w:rsidRDefault="008F28BF" w:rsidP="004A5071">
            <w:pPr>
              <w:pStyle w:val="TableText"/>
              <w:spacing w:before="60" w:after="60"/>
            </w:pPr>
            <w:r w:rsidRPr="004A5071">
              <w:t xml:space="preserve">Extent to which the agency supports the use of consistent fidelity measures </w:t>
            </w:r>
          </w:p>
        </w:tc>
      </w:tr>
      <w:tr w:rsidR="008F28BF" w:rsidRPr="000B2780" w14:paraId="0FFEE9FD" w14:textId="77777777" w:rsidTr="00CA515A">
        <w:trPr>
          <w:cantSplit/>
        </w:trPr>
        <w:tc>
          <w:tcPr>
            <w:tcW w:w="5000" w:type="pct"/>
            <w:gridSpan w:val="2"/>
            <w:shd w:val="clear" w:color="auto" w:fill="D9D9D9"/>
          </w:tcPr>
          <w:p w14:paraId="45A6184C" w14:textId="77777777" w:rsidR="008F28BF" w:rsidRPr="00CA515A" w:rsidRDefault="008F28BF" w:rsidP="00CA515A">
            <w:pPr>
              <w:pStyle w:val="TableHeaderCenter"/>
              <w:rPr>
                <w:color w:val="auto"/>
              </w:rPr>
            </w:pPr>
            <w:r w:rsidRPr="00CA515A">
              <w:rPr>
                <w:color w:val="auto"/>
              </w:rPr>
              <w:t>Implementation Drivers: Organization Drivers</w:t>
            </w:r>
          </w:p>
        </w:tc>
      </w:tr>
      <w:tr w:rsidR="00CA515A" w:rsidRPr="000B2780" w14:paraId="0F16EFD4" w14:textId="77777777" w:rsidTr="00CA515A">
        <w:trPr>
          <w:cantSplit/>
        </w:trPr>
        <w:tc>
          <w:tcPr>
            <w:tcW w:w="5000" w:type="pct"/>
            <w:gridSpan w:val="2"/>
          </w:tcPr>
          <w:p w14:paraId="17F0E1E6" w14:textId="1713DEEA" w:rsidR="00CA515A" w:rsidRPr="00CA515A" w:rsidRDefault="00CA515A" w:rsidP="004A5071">
            <w:pPr>
              <w:pStyle w:val="TableText"/>
              <w:spacing w:before="60" w:after="60"/>
              <w:rPr>
                <w:i/>
              </w:rPr>
            </w:pPr>
            <w:r w:rsidRPr="00CA515A">
              <w:rPr>
                <w:i/>
              </w:rPr>
              <w:t>Decision Support Data Systems</w:t>
            </w:r>
          </w:p>
        </w:tc>
      </w:tr>
      <w:tr w:rsidR="008F28BF" w:rsidRPr="000B2780" w14:paraId="10250F57" w14:textId="77777777" w:rsidTr="004A5071">
        <w:trPr>
          <w:cantSplit/>
        </w:trPr>
        <w:tc>
          <w:tcPr>
            <w:tcW w:w="1297" w:type="pct"/>
          </w:tcPr>
          <w:p w14:paraId="7DFB3F20" w14:textId="77777777" w:rsidR="008F28BF" w:rsidRPr="004A5071" w:rsidRDefault="008F28BF" w:rsidP="004A5071">
            <w:pPr>
              <w:pStyle w:val="TableText"/>
              <w:spacing w:before="60" w:after="60"/>
            </w:pPr>
            <w:r w:rsidRPr="004A5071">
              <w:t>Use of data systems to support and monitor intervention delivery and fidelity, and assess overall program performance</w:t>
            </w:r>
          </w:p>
        </w:tc>
        <w:tc>
          <w:tcPr>
            <w:tcW w:w="3703" w:type="pct"/>
          </w:tcPr>
          <w:p w14:paraId="2AB1A7C9" w14:textId="77777777" w:rsidR="008F28BF" w:rsidRPr="004A5071" w:rsidRDefault="008F28BF" w:rsidP="004A5071">
            <w:pPr>
              <w:pStyle w:val="TableText"/>
              <w:spacing w:before="60" w:after="60"/>
            </w:pPr>
            <w:r w:rsidRPr="004A5071">
              <w:t>Existing data systems prior to STREAMS evaluation</w:t>
            </w:r>
          </w:p>
          <w:p w14:paraId="7C7E98EA" w14:textId="7CBC9E29" w:rsidR="008F28BF" w:rsidRPr="004A5071" w:rsidRDefault="008F28BF" w:rsidP="004A5071">
            <w:pPr>
              <w:pStyle w:val="TableText"/>
              <w:spacing w:before="60" w:after="60"/>
            </w:pPr>
            <w:r w:rsidRPr="004A5071">
              <w:t>Data elements captured in pre-existing and nFORM syste</w:t>
            </w:r>
            <w:r w:rsidR="006B07B3" w:rsidRPr="004A5071">
              <w:t>ms:</w:t>
            </w:r>
          </w:p>
          <w:p w14:paraId="1FBD537A" w14:textId="77777777" w:rsidR="008F28BF" w:rsidRPr="004A5071" w:rsidRDefault="008F28BF" w:rsidP="00E4252D">
            <w:pPr>
              <w:pStyle w:val="TableText"/>
              <w:numPr>
                <w:ilvl w:val="0"/>
                <w:numId w:val="47"/>
              </w:numPr>
              <w:spacing w:before="60" w:after="60"/>
              <w:ind w:left="342"/>
            </w:pPr>
            <w:r w:rsidRPr="004A5071">
              <w:t>Outcome measures</w:t>
            </w:r>
          </w:p>
          <w:p w14:paraId="3D383C92" w14:textId="77777777" w:rsidR="008F28BF" w:rsidRPr="004A5071" w:rsidRDefault="008F28BF" w:rsidP="00E4252D">
            <w:pPr>
              <w:pStyle w:val="TableText"/>
              <w:numPr>
                <w:ilvl w:val="0"/>
                <w:numId w:val="47"/>
              </w:numPr>
              <w:spacing w:before="60" w:after="60"/>
              <w:ind w:left="342"/>
            </w:pPr>
            <w:r w:rsidRPr="004A5071">
              <w:t>Participation data</w:t>
            </w:r>
          </w:p>
          <w:p w14:paraId="3178914B" w14:textId="77777777" w:rsidR="008F28BF" w:rsidRPr="004A5071" w:rsidRDefault="008F28BF" w:rsidP="00E4252D">
            <w:pPr>
              <w:pStyle w:val="TableText"/>
              <w:numPr>
                <w:ilvl w:val="0"/>
                <w:numId w:val="47"/>
              </w:numPr>
              <w:spacing w:before="60" w:after="60"/>
              <w:ind w:left="342"/>
            </w:pPr>
            <w:r w:rsidRPr="004A5071">
              <w:t>Fidelity measures</w:t>
            </w:r>
          </w:p>
          <w:p w14:paraId="796AC56E" w14:textId="77777777" w:rsidR="008F28BF" w:rsidRPr="004A5071" w:rsidRDefault="008F28BF" w:rsidP="00E4252D">
            <w:pPr>
              <w:pStyle w:val="TableText"/>
              <w:numPr>
                <w:ilvl w:val="0"/>
                <w:numId w:val="47"/>
              </w:numPr>
              <w:spacing w:before="60" w:after="60"/>
              <w:ind w:left="342"/>
            </w:pPr>
            <w:r w:rsidRPr="004A5071">
              <w:t>Cost data</w:t>
            </w:r>
          </w:p>
        </w:tc>
      </w:tr>
      <w:tr w:rsidR="008F28BF" w:rsidRPr="000B2780" w14:paraId="5C00E128" w14:textId="77777777" w:rsidTr="004A5071">
        <w:trPr>
          <w:cantSplit/>
        </w:trPr>
        <w:tc>
          <w:tcPr>
            <w:tcW w:w="1297" w:type="pct"/>
          </w:tcPr>
          <w:p w14:paraId="78CA322D" w14:textId="77777777" w:rsidR="008F28BF" w:rsidRPr="004A5071" w:rsidRDefault="008F28BF" w:rsidP="004A5071">
            <w:pPr>
              <w:pStyle w:val="TableText"/>
              <w:spacing w:before="60" w:after="60"/>
            </w:pPr>
            <w:r w:rsidRPr="004A5071">
              <w:t>How data system supports decision making</w:t>
            </w:r>
          </w:p>
        </w:tc>
        <w:tc>
          <w:tcPr>
            <w:tcW w:w="3703" w:type="pct"/>
          </w:tcPr>
          <w:p w14:paraId="7FF3E3AD" w14:textId="6B0C73F1" w:rsidR="008F28BF" w:rsidRPr="004A5071" w:rsidRDefault="008F28BF" w:rsidP="004A5071">
            <w:pPr>
              <w:pStyle w:val="TableText"/>
              <w:spacing w:before="60" w:after="60"/>
            </w:pPr>
            <w:r w:rsidRPr="004A5071">
              <w:t xml:space="preserve">Extent to which data </w:t>
            </w:r>
            <w:r w:rsidR="00FD488C" w:rsidRPr="004A5071">
              <w:t>collected</w:t>
            </w:r>
            <w:r w:rsidR="00B45697" w:rsidRPr="004A5071">
              <w:t xml:space="preserve"> </w:t>
            </w:r>
            <w:r w:rsidRPr="004A5071">
              <w:t>are:</w:t>
            </w:r>
          </w:p>
          <w:p w14:paraId="4A726373" w14:textId="1603944F" w:rsidR="008F28BF" w:rsidRPr="004A5071" w:rsidRDefault="008F28BF" w:rsidP="00B36311">
            <w:pPr>
              <w:pStyle w:val="TableText"/>
              <w:numPr>
                <w:ilvl w:val="0"/>
                <w:numId w:val="47"/>
              </w:numPr>
              <w:spacing w:before="60" w:after="60"/>
              <w:ind w:left="342"/>
            </w:pPr>
            <w:r w:rsidRPr="004A5071">
              <w:t>Reliable (standardized protocols, trained data collectors)</w:t>
            </w:r>
          </w:p>
          <w:p w14:paraId="215E1982" w14:textId="77777777" w:rsidR="008F28BF" w:rsidRPr="004A5071" w:rsidRDefault="008F28BF" w:rsidP="00B36311">
            <w:pPr>
              <w:pStyle w:val="TableText"/>
              <w:numPr>
                <w:ilvl w:val="0"/>
                <w:numId w:val="47"/>
              </w:numPr>
              <w:spacing w:before="60" w:after="60"/>
              <w:ind w:left="342"/>
            </w:pPr>
            <w:r w:rsidRPr="004A5071">
              <w:t>Valid (useful indicators of the concepts or practices being assessed)</w:t>
            </w:r>
          </w:p>
          <w:p w14:paraId="320544D4" w14:textId="77777777" w:rsidR="008F28BF" w:rsidRPr="004A5071" w:rsidRDefault="008F28BF" w:rsidP="00B36311">
            <w:pPr>
              <w:pStyle w:val="TableText"/>
              <w:numPr>
                <w:ilvl w:val="0"/>
                <w:numId w:val="47"/>
              </w:numPr>
              <w:spacing w:before="60" w:after="60"/>
              <w:ind w:left="342"/>
            </w:pPr>
            <w:r w:rsidRPr="004A5071">
              <w:t>Reported in a timely manner (when/to whom the data are most useful)</w:t>
            </w:r>
          </w:p>
          <w:p w14:paraId="0F2E4020" w14:textId="225D640E" w:rsidR="008F28BF" w:rsidRPr="004A5071" w:rsidRDefault="008F28BF" w:rsidP="00B36311">
            <w:pPr>
              <w:pStyle w:val="TableText"/>
              <w:numPr>
                <w:ilvl w:val="0"/>
                <w:numId w:val="47"/>
              </w:numPr>
              <w:spacing w:before="60" w:after="60"/>
              <w:ind w:left="342"/>
            </w:pPr>
            <w:r w:rsidRPr="004A5071">
              <w:t>Buil</w:t>
            </w:r>
            <w:r w:rsidR="00F07A88" w:rsidRPr="004A5071">
              <w:t>t</w:t>
            </w:r>
            <w:r w:rsidRPr="004A5071">
              <w:t xml:space="preserve"> into regular practice routines</w:t>
            </w:r>
          </w:p>
          <w:p w14:paraId="7C5ECD8F" w14:textId="29CEFCA4" w:rsidR="008F28BF" w:rsidRPr="004A5071" w:rsidRDefault="008F28BF" w:rsidP="004A5071">
            <w:pPr>
              <w:pStyle w:val="TableText"/>
              <w:spacing w:before="60" w:after="60"/>
            </w:pPr>
            <w:r w:rsidRPr="004A5071">
              <w:t xml:space="preserve">Extent to which agency staff have access to </w:t>
            </w:r>
            <w:r w:rsidR="00FD488C" w:rsidRPr="004A5071">
              <w:t xml:space="preserve">the </w:t>
            </w:r>
            <w:r w:rsidRPr="004A5071">
              <w:t>data</w:t>
            </w:r>
          </w:p>
        </w:tc>
      </w:tr>
      <w:tr w:rsidR="008F28BF" w:rsidRPr="000B2780" w14:paraId="1E209555" w14:textId="77777777" w:rsidTr="004A5071">
        <w:trPr>
          <w:cantSplit/>
        </w:trPr>
        <w:tc>
          <w:tcPr>
            <w:tcW w:w="1297" w:type="pct"/>
          </w:tcPr>
          <w:p w14:paraId="28CA9F43" w14:textId="77777777" w:rsidR="008F28BF" w:rsidRPr="004A5071" w:rsidRDefault="008F28BF" w:rsidP="004A5071">
            <w:pPr>
              <w:pStyle w:val="TableText"/>
              <w:spacing w:before="60" w:after="60"/>
            </w:pPr>
            <w:r w:rsidRPr="004A5071">
              <w:t>Staff responsible for managing data system</w:t>
            </w:r>
          </w:p>
        </w:tc>
        <w:tc>
          <w:tcPr>
            <w:tcW w:w="3703" w:type="pct"/>
          </w:tcPr>
          <w:p w14:paraId="004C9E1E" w14:textId="57C8D7DD" w:rsidR="008F28BF" w:rsidRPr="004A5071" w:rsidRDefault="008F28BF" w:rsidP="004A5071">
            <w:pPr>
              <w:pStyle w:val="TableText"/>
              <w:spacing w:before="60" w:after="60"/>
            </w:pPr>
            <w:r w:rsidRPr="004A5071">
              <w:t xml:space="preserve">Lead person responsible for coordinating content, quality, and timeliness of data </w:t>
            </w:r>
            <w:r w:rsidR="00FD488C" w:rsidRPr="004A5071">
              <w:t>collection</w:t>
            </w:r>
          </w:p>
          <w:p w14:paraId="3081BEC2" w14:textId="6D256015" w:rsidR="008F28BF" w:rsidRPr="004A5071" w:rsidRDefault="00FD488C" w:rsidP="004A5071">
            <w:pPr>
              <w:pStyle w:val="TableText"/>
              <w:spacing w:before="60" w:after="60"/>
            </w:pPr>
            <w:r w:rsidRPr="004A5071">
              <w:t>Selection and training of data entry staff</w:t>
            </w:r>
          </w:p>
          <w:p w14:paraId="2B7AB939" w14:textId="25ADB096" w:rsidR="002F3D37" w:rsidRPr="004A5071" w:rsidRDefault="002F3D37" w:rsidP="004A5071">
            <w:pPr>
              <w:pStyle w:val="TableText"/>
              <w:spacing w:before="60" w:after="60"/>
            </w:pPr>
            <w:r w:rsidRPr="004A5071">
              <w:t xml:space="preserve">Challenges </w:t>
            </w:r>
            <w:r w:rsidR="00FD488C" w:rsidRPr="004A5071">
              <w:t xml:space="preserve">with </w:t>
            </w:r>
            <w:r w:rsidRPr="004A5071">
              <w:t xml:space="preserve">data </w:t>
            </w:r>
            <w:r w:rsidR="00FD488C" w:rsidRPr="004A5071">
              <w:t>collection</w:t>
            </w:r>
            <w:r w:rsidR="00031DA6" w:rsidRPr="004A5071">
              <w:t xml:space="preserve">, </w:t>
            </w:r>
            <w:r w:rsidR="00F217A4" w:rsidRPr="004A5071">
              <w:t>data entry</w:t>
            </w:r>
            <w:r w:rsidR="00031DA6" w:rsidRPr="004A5071">
              <w:t>,</w:t>
            </w:r>
            <w:r w:rsidR="00FD488C" w:rsidRPr="004A5071">
              <w:t xml:space="preserve"> and data system management</w:t>
            </w:r>
          </w:p>
        </w:tc>
      </w:tr>
      <w:tr w:rsidR="008F28BF" w:rsidRPr="000B2780" w14:paraId="364A1EF5" w14:textId="77777777" w:rsidTr="004A5071">
        <w:trPr>
          <w:cantSplit/>
        </w:trPr>
        <w:tc>
          <w:tcPr>
            <w:tcW w:w="1297" w:type="pct"/>
          </w:tcPr>
          <w:p w14:paraId="630DB0D3" w14:textId="77777777" w:rsidR="008F28BF" w:rsidRPr="004A5071" w:rsidRDefault="008F28BF" w:rsidP="004A5071">
            <w:pPr>
              <w:pStyle w:val="TableText"/>
              <w:spacing w:before="60" w:after="60"/>
            </w:pPr>
            <w:r w:rsidRPr="004A5071">
              <w:t>Process for using data to support decision making</w:t>
            </w:r>
          </w:p>
        </w:tc>
        <w:tc>
          <w:tcPr>
            <w:tcW w:w="3703" w:type="pct"/>
          </w:tcPr>
          <w:p w14:paraId="57CEAF11" w14:textId="7D33B59C" w:rsidR="00700ECB" w:rsidRPr="004A5071" w:rsidRDefault="00700ECB" w:rsidP="004A5071">
            <w:pPr>
              <w:pStyle w:val="TableText"/>
              <w:spacing w:before="60" w:after="60"/>
            </w:pPr>
            <w:r w:rsidRPr="004A5071">
              <w:t>Staff that receive data reports and their u</w:t>
            </w:r>
            <w:r w:rsidR="00FD488C" w:rsidRPr="004A5071">
              <w:t xml:space="preserve">se </w:t>
            </w:r>
            <w:r w:rsidRPr="004A5071">
              <w:t>for program improvement</w:t>
            </w:r>
          </w:p>
          <w:p w14:paraId="70C43BDB" w14:textId="544AB6C0" w:rsidR="003C3296" w:rsidRPr="004A5071" w:rsidRDefault="00FD488C" w:rsidP="004A5071">
            <w:pPr>
              <w:pStyle w:val="TableText"/>
              <w:spacing w:before="60" w:after="60"/>
            </w:pPr>
            <w:r w:rsidRPr="004A5071">
              <w:t>Frequency and content of data reports</w:t>
            </w:r>
          </w:p>
          <w:p w14:paraId="7B0F2A33" w14:textId="0FD2F0EC" w:rsidR="006F5177" w:rsidRPr="004A5071" w:rsidRDefault="006F5177" w:rsidP="004A5071">
            <w:pPr>
              <w:pStyle w:val="TableText"/>
              <w:spacing w:before="60" w:after="60"/>
            </w:pPr>
            <w:r w:rsidRPr="004A5071">
              <w:t>Usability of data reports</w:t>
            </w:r>
          </w:p>
          <w:p w14:paraId="34A4EDF8" w14:textId="33EE7B5E" w:rsidR="008F28BF" w:rsidRPr="004A5071" w:rsidRDefault="005C6B29" w:rsidP="004A5071">
            <w:pPr>
              <w:pStyle w:val="TableText"/>
              <w:spacing w:before="60" w:after="60"/>
            </w:pPr>
            <w:r w:rsidRPr="004A5071">
              <w:t xml:space="preserve">Sharing </w:t>
            </w:r>
            <w:r w:rsidR="008F28BF" w:rsidRPr="004A5071">
              <w:t xml:space="preserve">data </w:t>
            </w:r>
            <w:r w:rsidRPr="004A5071">
              <w:t xml:space="preserve">reports and program improvement </w:t>
            </w:r>
            <w:r w:rsidR="008F28BF" w:rsidRPr="004A5071">
              <w:t>plans with key stakeholders</w:t>
            </w:r>
          </w:p>
        </w:tc>
      </w:tr>
      <w:tr w:rsidR="00CA515A" w:rsidRPr="000B2780" w14:paraId="3243F9BE" w14:textId="77777777" w:rsidTr="00CA515A">
        <w:trPr>
          <w:cantSplit/>
        </w:trPr>
        <w:tc>
          <w:tcPr>
            <w:tcW w:w="5000" w:type="pct"/>
            <w:gridSpan w:val="2"/>
          </w:tcPr>
          <w:p w14:paraId="101FE294" w14:textId="59A67A31" w:rsidR="00CA515A" w:rsidRPr="00CA515A" w:rsidRDefault="00CA515A" w:rsidP="004A5071">
            <w:pPr>
              <w:pStyle w:val="TableText"/>
              <w:spacing w:before="60" w:after="60"/>
              <w:rPr>
                <w:i/>
              </w:rPr>
            </w:pPr>
            <w:r w:rsidRPr="00CA515A">
              <w:rPr>
                <w:i/>
              </w:rPr>
              <w:t>Facilitative Administration</w:t>
            </w:r>
          </w:p>
        </w:tc>
      </w:tr>
      <w:tr w:rsidR="008F28BF" w:rsidRPr="000B2780" w14:paraId="1B3A452B" w14:textId="77777777" w:rsidTr="004A5071">
        <w:trPr>
          <w:cantSplit/>
        </w:trPr>
        <w:tc>
          <w:tcPr>
            <w:tcW w:w="1297" w:type="pct"/>
          </w:tcPr>
          <w:p w14:paraId="74D0CDC7" w14:textId="77777777" w:rsidR="008F28BF" w:rsidRPr="004A5071" w:rsidRDefault="008F28BF" w:rsidP="004A5071">
            <w:pPr>
              <w:pStyle w:val="TableText"/>
              <w:spacing w:before="60" w:after="60"/>
            </w:pPr>
            <w:r w:rsidRPr="004A5071">
              <w:t>Composition and role of leadership team</w:t>
            </w:r>
            <w:r w:rsidRPr="004A5071" w:rsidDel="00791BCF">
              <w:t xml:space="preserve"> </w:t>
            </w:r>
          </w:p>
        </w:tc>
        <w:tc>
          <w:tcPr>
            <w:tcW w:w="3703" w:type="pct"/>
          </w:tcPr>
          <w:p w14:paraId="27ED4FD5" w14:textId="5A375E18" w:rsidR="008F28BF" w:rsidRPr="004A5071" w:rsidRDefault="00FE5710" w:rsidP="004A5071">
            <w:pPr>
              <w:pStyle w:val="TableText"/>
              <w:spacing w:before="60" w:after="60"/>
            </w:pPr>
            <w:r w:rsidRPr="004A5071">
              <w:t>L</w:t>
            </w:r>
            <w:r w:rsidR="008F28BF" w:rsidRPr="004A5071">
              <w:t xml:space="preserve">eadership team </w:t>
            </w:r>
            <w:r w:rsidRPr="004A5071">
              <w:t>within agency to guide HMRE program; how identified</w:t>
            </w:r>
          </w:p>
          <w:p w14:paraId="561C6ACE" w14:textId="67A81BD0" w:rsidR="008F28BF" w:rsidRPr="004A5071" w:rsidRDefault="00FE5710" w:rsidP="004A5071">
            <w:pPr>
              <w:pStyle w:val="TableText"/>
              <w:spacing w:before="60" w:after="60"/>
            </w:pPr>
            <w:r w:rsidRPr="004A5071">
              <w:t xml:space="preserve">Role of </w:t>
            </w:r>
            <w:r w:rsidR="008F28BF" w:rsidRPr="004A5071">
              <w:t>leadership team</w:t>
            </w:r>
          </w:p>
        </w:tc>
      </w:tr>
      <w:tr w:rsidR="008F28BF" w:rsidRPr="000B2780" w14:paraId="3BDDEA11" w14:textId="77777777" w:rsidTr="004A5071">
        <w:trPr>
          <w:cantSplit/>
        </w:trPr>
        <w:tc>
          <w:tcPr>
            <w:tcW w:w="1297" w:type="pct"/>
          </w:tcPr>
          <w:p w14:paraId="257C3E6A" w14:textId="77777777" w:rsidR="008F28BF" w:rsidRPr="004A5071" w:rsidRDefault="008F28BF" w:rsidP="004A5071">
            <w:pPr>
              <w:pStyle w:val="TableText"/>
              <w:spacing w:before="60" w:after="60"/>
            </w:pPr>
            <w:r w:rsidRPr="004A5071">
              <w:t>Program leaders actively facilitate use of implementation supports</w:t>
            </w:r>
          </w:p>
        </w:tc>
        <w:tc>
          <w:tcPr>
            <w:tcW w:w="3703" w:type="pct"/>
          </w:tcPr>
          <w:p w14:paraId="2A734066" w14:textId="59FC3969" w:rsidR="008F28BF" w:rsidRPr="004A5071" w:rsidRDefault="008F28BF" w:rsidP="004A5071">
            <w:pPr>
              <w:pStyle w:val="TableText"/>
              <w:spacing w:before="60" w:after="60"/>
            </w:pPr>
            <w:r w:rsidRPr="004A5071">
              <w:t>Extent to which leaders and managers make changes in organization</w:t>
            </w:r>
            <w:r w:rsidR="005C6B29" w:rsidRPr="004A5071">
              <w:t>al</w:t>
            </w:r>
            <w:r w:rsidRPr="004A5071">
              <w:t xml:space="preserve"> roles, functions, and structures to facilitate implementation</w:t>
            </w:r>
          </w:p>
          <w:p w14:paraId="227A655E" w14:textId="3C336702" w:rsidR="008F28BF" w:rsidRPr="004A5071" w:rsidRDefault="008F28BF" w:rsidP="004A5071">
            <w:pPr>
              <w:pStyle w:val="TableText"/>
              <w:spacing w:before="60" w:after="60"/>
            </w:pPr>
            <w:r w:rsidRPr="004A5071">
              <w:t>Extent to which leaders and managers make changes to organization policies and procedures to facilitate implementation</w:t>
            </w:r>
            <w:r w:rsidR="005C6B29" w:rsidRPr="004A5071">
              <w:t xml:space="preserve"> of HMRE program</w:t>
            </w:r>
          </w:p>
          <w:p w14:paraId="4C8F9898" w14:textId="1D764516" w:rsidR="008F28BF" w:rsidRPr="004A5071" w:rsidRDefault="008F28BF" w:rsidP="004A5071">
            <w:pPr>
              <w:pStyle w:val="TableText"/>
              <w:spacing w:before="60" w:after="60"/>
            </w:pPr>
            <w:r w:rsidRPr="004A5071">
              <w:t xml:space="preserve">Extent to which leaders and managers </w:t>
            </w:r>
            <w:r w:rsidR="00E70262" w:rsidRPr="004A5071">
              <w:t>use</w:t>
            </w:r>
            <w:r w:rsidRPr="004A5071">
              <w:t xml:space="preserve"> data to inform decisions and planning</w:t>
            </w:r>
          </w:p>
        </w:tc>
      </w:tr>
      <w:tr w:rsidR="008F28BF" w:rsidRPr="000B2780" w14:paraId="3684F22F" w14:textId="77777777" w:rsidTr="004A5071">
        <w:trPr>
          <w:cantSplit/>
        </w:trPr>
        <w:tc>
          <w:tcPr>
            <w:tcW w:w="1297" w:type="pct"/>
          </w:tcPr>
          <w:p w14:paraId="4B6968C4" w14:textId="77777777" w:rsidR="008F28BF" w:rsidRPr="004A5071" w:rsidRDefault="008F28BF" w:rsidP="004A5071">
            <w:pPr>
              <w:pStyle w:val="TableText"/>
              <w:spacing w:before="60" w:after="60"/>
            </w:pPr>
            <w:r w:rsidRPr="004A5071">
              <w:t>Process for facilitating meetings</w:t>
            </w:r>
          </w:p>
        </w:tc>
        <w:tc>
          <w:tcPr>
            <w:tcW w:w="3703" w:type="pct"/>
          </w:tcPr>
          <w:p w14:paraId="7BEE198B" w14:textId="75FBF415" w:rsidR="008E21AF" w:rsidRPr="004A5071" w:rsidRDefault="00FE5710" w:rsidP="004A5071">
            <w:pPr>
              <w:pStyle w:val="TableText"/>
              <w:spacing w:before="60" w:after="60"/>
            </w:pPr>
            <w:r w:rsidRPr="004A5071">
              <w:t xml:space="preserve">Use of </w:t>
            </w:r>
            <w:r w:rsidR="00E70262" w:rsidRPr="004A5071">
              <w:t xml:space="preserve">meetings within the organization </w:t>
            </w:r>
            <w:r w:rsidR="008E21AF" w:rsidRPr="004A5071">
              <w:t xml:space="preserve">and HMRE program </w:t>
            </w:r>
            <w:r w:rsidRPr="004A5071">
              <w:t>for program management</w:t>
            </w:r>
            <w:r w:rsidR="008E21AF" w:rsidRPr="004A5071">
              <w:t xml:space="preserve"> </w:t>
            </w:r>
          </w:p>
          <w:p w14:paraId="30CDDFC8" w14:textId="03F82ABD" w:rsidR="008E21AF" w:rsidRPr="004A5071" w:rsidRDefault="00FE5710" w:rsidP="004A5071">
            <w:pPr>
              <w:pStyle w:val="TableText"/>
              <w:spacing w:before="60" w:after="60"/>
            </w:pPr>
            <w:r w:rsidRPr="004A5071">
              <w:t>S</w:t>
            </w:r>
            <w:r w:rsidR="008E21AF" w:rsidRPr="004A5071">
              <w:t>taff roles and responsibilities during meetings</w:t>
            </w:r>
          </w:p>
          <w:p w14:paraId="210ACDC6" w14:textId="279D895B" w:rsidR="008F28BF" w:rsidRPr="004A5071" w:rsidRDefault="008E21AF" w:rsidP="004A5071">
            <w:pPr>
              <w:pStyle w:val="TableText"/>
              <w:spacing w:before="60" w:after="60"/>
            </w:pPr>
            <w:r w:rsidRPr="004A5071">
              <w:t>Process for ensuring meeting follow-up is completed and progress continues within designated timelines</w:t>
            </w:r>
          </w:p>
        </w:tc>
      </w:tr>
      <w:tr w:rsidR="008F28BF" w:rsidRPr="000B2780" w14:paraId="7EFC3A89" w14:textId="77777777" w:rsidTr="004A5071">
        <w:trPr>
          <w:cantSplit/>
        </w:trPr>
        <w:tc>
          <w:tcPr>
            <w:tcW w:w="1297" w:type="pct"/>
          </w:tcPr>
          <w:p w14:paraId="254BB2F8" w14:textId="56F10FAF" w:rsidR="008F28BF" w:rsidRPr="004A5071" w:rsidRDefault="008F28BF" w:rsidP="004A5071">
            <w:pPr>
              <w:pStyle w:val="TableText"/>
              <w:spacing w:before="60" w:after="60"/>
            </w:pPr>
            <w:r w:rsidRPr="004A5071">
              <w:t>Process for receiving and using feedback from staff, participants, and stakeholders</w:t>
            </w:r>
          </w:p>
        </w:tc>
        <w:tc>
          <w:tcPr>
            <w:tcW w:w="3703" w:type="pct"/>
          </w:tcPr>
          <w:p w14:paraId="641D88EB" w14:textId="79A87D1A" w:rsidR="008F28BF" w:rsidRPr="004A5071" w:rsidRDefault="00865EE5" w:rsidP="004A5071">
            <w:pPr>
              <w:pStyle w:val="TableText"/>
              <w:spacing w:before="60" w:after="60"/>
            </w:pPr>
            <w:r w:rsidRPr="004A5071">
              <w:t>F</w:t>
            </w:r>
            <w:r w:rsidR="008F28BF" w:rsidRPr="004A5071">
              <w:t>eedback from staff, stakeholders, and program participants</w:t>
            </w:r>
            <w:r w:rsidRPr="004A5071">
              <w:t xml:space="preserve"> on program management and operations</w:t>
            </w:r>
            <w:r w:rsidR="008E21AF" w:rsidRPr="004A5071">
              <w:t>; frequency of feedback</w:t>
            </w:r>
          </w:p>
          <w:p w14:paraId="5C1A7B62" w14:textId="06312827" w:rsidR="008F28BF" w:rsidRPr="004A5071" w:rsidRDefault="008E21AF" w:rsidP="004A5071">
            <w:pPr>
              <w:pStyle w:val="TableText"/>
              <w:spacing w:before="60" w:after="60"/>
            </w:pPr>
            <w:r w:rsidRPr="004A5071">
              <w:t xml:space="preserve">How </w:t>
            </w:r>
            <w:r w:rsidR="008F28BF" w:rsidRPr="004A5071">
              <w:t xml:space="preserve">leaders and managers use feedback </w:t>
            </w:r>
            <w:r w:rsidR="00302B25" w:rsidRPr="004A5071">
              <w:t>for program improvement</w:t>
            </w:r>
          </w:p>
        </w:tc>
      </w:tr>
      <w:tr w:rsidR="00CA515A" w:rsidRPr="000B2780" w14:paraId="0AB4233B" w14:textId="77777777" w:rsidTr="00CA515A">
        <w:trPr>
          <w:cantSplit/>
        </w:trPr>
        <w:tc>
          <w:tcPr>
            <w:tcW w:w="5000" w:type="pct"/>
            <w:gridSpan w:val="2"/>
          </w:tcPr>
          <w:p w14:paraId="208ADFB0" w14:textId="31DDEDB4" w:rsidR="00CA515A" w:rsidRPr="00CA515A" w:rsidRDefault="00CA515A" w:rsidP="005A69BA">
            <w:pPr>
              <w:pStyle w:val="TableText"/>
              <w:pageBreakBefore/>
              <w:spacing w:before="60" w:after="60"/>
              <w:rPr>
                <w:i/>
              </w:rPr>
            </w:pPr>
            <w:r w:rsidRPr="00CA515A">
              <w:rPr>
                <w:i/>
              </w:rPr>
              <w:lastRenderedPageBreak/>
              <w:t>Systems Intervention</w:t>
            </w:r>
          </w:p>
        </w:tc>
      </w:tr>
      <w:tr w:rsidR="008F28BF" w:rsidRPr="000B2780" w14:paraId="08E53E24" w14:textId="77777777" w:rsidTr="004A5071">
        <w:trPr>
          <w:cantSplit/>
        </w:trPr>
        <w:tc>
          <w:tcPr>
            <w:tcW w:w="1297" w:type="pct"/>
          </w:tcPr>
          <w:p w14:paraId="3BB83C11" w14:textId="77777777" w:rsidR="008F28BF" w:rsidRPr="004A5071" w:rsidRDefault="008F28BF" w:rsidP="004A5071">
            <w:pPr>
              <w:pStyle w:val="TableText"/>
              <w:spacing w:before="60" w:after="60"/>
            </w:pPr>
            <w:r w:rsidRPr="004A5071">
              <w:t>Engagement of larger delivery and funding systems to encourage program sustainability</w:t>
            </w:r>
          </w:p>
        </w:tc>
        <w:tc>
          <w:tcPr>
            <w:tcW w:w="3703" w:type="pct"/>
          </w:tcPr>
          <w:p w14:paraId="25E52368" w14:textId="34363240" w:rsidR="008F28BF" w:rsidRPr="004A5071" w:rsidRDefault="008F28BF" w:rsidP="004A5071">
            <w:pPr>
              <w:pStyle w:val="TableText"/>
              <w:spacing w:before="60" w:after="60"/>
            </w:pPr>
            <w:r w:rsidRPr="004A5071">
              <w:t>Frequency</w:t>
            </w:r>
            <w:r w:rsidR="00863C77" w:rsidRPr="004A5071">
              <w:t xml:space="preserve"> and focus</w:t>
            </w:r>
            <w:r w:rsidRPr="004A5071">
              <w:t xml:space="preserve"> of meetings </w:t>
            </w:r>
            <w:r w:rsidR="00865EE5" w:rsidRPr="004A5071">
              <w:t>with ACF, other funders</w:t>
            </w:r>
            <w:r w:rsidRPr="004A5071">
              <w:t xml:space="preserve">, and other </w:t>
            </w:r>
            <w:r w:rsidR="00865EE5" w:rsidRPr="004A5071">
              <w:t xml:space="preserve">service </w:t>
            </w:r>
            <w:r w:rsidRPr="004A5071">
              <w:t>organizations</w:t>
            </w:r>
          </w:p>
          <w:p w14:paraId="320F1D56" w14:textId="123F4C5E" w:rsidR="008F28BF" w:rsidRPr="004A5071" w:rsidRDefault="00302B25" w:rsidP="004A5071">
            <w:pPr>
              <w:pStyle w:val="TableText"/>
              <w:spacing w:before="60" w:after="60"/>
            </w:pPr>
            <w:r w:rsidRPr="004A5071">
              <w:t>S</w:t>
            </w:r>
            <w:r w:rsidR="008F28BF" w:rsidRPr="004A5071">
              <w:t xml:space="preserve">haring information </w:t>
            </w:r>
            <w:r w:rsidR="00863C77" w:rsidRPr="004A5071">
              <w:t xml:space="preserve">about </w:t>
            </w:r>
            <w:r w:rsidR="008F28BF" w:rsidRPr="004A5071">
              <w:t>facilitators and barriers to program quality</w:t>
            </w:r>
            <w:r w:rsidR="003C3296" w:rsidRPr="004A5071">
              <w:t xml:space="preserve"> </w:t>
            </w:r>
            <w:r w:rsidR="00863C77" w:rsidRPr="004A5071">
              <w:t>with</w:t>
            </w:r>
            <w:r w:rsidR="00865EE5" w:rsidRPr="004A5071">
              <w:t xml:space="preserve"> ACF, other funders, and other service organizations</w:t>
            </w:r>
            <w:r w:rsidR="00863C77" w:rsidRPr="004A5071">
              <w:t xml:space="preserve"> </w:t>
            </w:r>
          </w:p>
        </w:tc>
      </w:tr>
      <w:tr w:rsidR="008F28BF" w:rsidRPr="000B2780" w14:paraId="031DCC85" w14:textId="77777777" w:rsidTr="004A5071">
        <w:trPr>
          <w:cantSplit/>
        </w:trPr>
        <w:tc>
          <w:tcPr>
            <w:tcW w:w="1297" w:type="pct"/>
          </w:tcPr>
          <w:p w14:paraId="5D8DB302" w14:textId="77777777" w:rsidR="008F28BF" w:rsidRPr="004A5071" w:rsidRDefault="008F28BF" w:rsidP="004A5071">
            <w:pPr>
              <w:pStyle w:val="TableText"/>
              <w:spacing w:before="60" w:after="60"/>
            </w:pPr>
            <w:r w:rsidRPr="004A5071">
              <w:t>Engagement of stakeholders and partners to support program</w:t>
            </w:r>
          </w:p>
        </w:tc>
        <w:tc>
          <w:tcPr>
            <w:tcW w:w="3703" w:type="pct"/>
          </w:tcPr>
          <w:p w14:paraId="652C20BF" w14:textId="617FBFA4" w:rsidR="008F28BF" w:rsidRPr="004A5071" w:rsidRDefault="008F28BF" w:rsidP="004A5071">
            <w:pPr>
              <w:pStyle w:val="TableText"/>
              <w:spacing w:before="60" w:after="60"/>
            </w:pPr>
            <w:r w:rsidRPr="004A5071">
              <w:t xml:space="preserve">Development </w:t>
            </w:r>
            <w:r w:rsidR="00863C77" w:rsidRPr="004A5071">
              <w:t xml:space="preserve">and use </w:t>
            </w:r>
            <w:r w:rsidRPr="004A5071">
              <w:t>of communication plans with key stakeholders</w:t>
            </w:r>
            <w:r w:rsidR="00C62E2F" w:rsidRPr="004A5071">
              <w:t>, including schools, agencies serving at-risk youth, referring organizations, and other partner agencies</w:t>
            </w:r>
          </w:p>
          <w:p w14:paraId="20193BF4" w14:textId="03A61460" w:rsidR="00863C77" w:rsidRPr="004A5071" w:rsidRDefault="00863C77" w:rsidP="004A5071">
            <w:pPr>
              <w:pStyle w:val="TableText"/>
              <w:spacing w:before="60" w:after="60"/>
            </w:pPr>
            <w:r w:rsidRPr="004A5071">
              <w:t>Challenges with stakeholder communication</w:t>
            </w:r>
          </w:p>
        </w:tc>
      </w:tr>
      <w:tr w:rsidR="008F28BF" w:rsidRPr="000B2780" w14:paraId="2BD446BA" w14:textId="77777777" w:rsidTr="004A5071">
        <w:trPr>
          <w:cantSplit/>
        </w:trPr>
        <w:tc>
          <w:tcPr>
            <w:tcW w:w="1297" w:type="pct"/>
          </w:tcPr>
          <w:p w14:paraId="293BCBBB" w14:textId="77777777" w:rsidR="008F28BF" w:rsidRPr="004A5071" w:rsidRDefault="008F28BF" w:rsidP="004A5071">
            <w:pPr>
              <w:pStyle w:val="TableText"/>
              <w:spacing w:before="60" w:after="60"/>
            </w:pPr>
            <w:r w:rsidRPr="004A5071">
              <w:t>Process for identifying partner organizations; role of organizations</w:t>
            </w:r>
          </w:p>
        </w:tc>
        <w:tc>
          <w:tcPr>
            <w:tcW w:w="3703" w:type="pct"/>
          </w:tcPr>
          <w:p w14:paraId="76038E5D" w14:textId="6C047F7B" w:rsidR="008F28BF" w:rsidRPr="004A5071" w:rsidRDefault="005B5FA9" w:rsidP="004A5071">
            <w:pPr>
              <w:pStyle w:val="TableText"/>
              <w:spacing w:before="60" w:after="60"/>
            </w:pPr>
            <w:r w:rsidRPr="004A5071">
              <w:t>Partner roles; c</w:t>
            </w:r>
            <w:r w:rsidR="008F28BF" w:rsidRPr="004A5071">
              <w:t xml:space="preserve">riteria </w:t>
            </w:r>
            <w:r w:rsidR="00863C77" w:rsidRPr="004A5071">
              <w:t xml:space="preserve">and process </w:t>
            </w:r>
            <w:r w:rsidR="008F28BF" w:rsidRPr="004A5071">
              <w:t>for selecting partner</w:t>
            </w:r>
            <w:r w:rsidR="006B77F7" w:rsidRPr="004A5071">
              <w:t>s</w:t>
            </w:r>
          </w:p>
          <w:p w14:paraId="380EDF7C" w14:textId="77777777" w:rsidR="00162CD0" w:rsidRPr="004A5071" w:rsidRDefault="00370A50" w:rsidP="004A5071">
            <w:pPr>
              <w:pStyle w:val="TableText"/>
              <w:spacing w:before="60" w:after="60"/>
            </w:pPr>
            <w:r w:rsidRPr="004A5071">
              <w:t xml:space="preserve">Challenges </w:t>
            </w:r>
            <w:r w:rsidR="00863FA8" w:rsidRPr="004A5071">
              <w:t xml:space="preserve">in the </w:t>
            </w:r>
            <w:r w:rsidRPr="004A5071">
              <w:t>selecti</w:t>
            </w:r>
            <w:r w:rsidR="00863FA8" w:rsidRPr="004A5071">
              <w:t xml:space="preserve">on of </w:t>
            </w:r>
            <w:r w:rsidRPr="004A5071">
              <w:t>and work with partner</w:t>
            </w:r>
            <w:r w:rsidR="006B77F7" w:rsidRPr="004A5071">
              <w:t>s</w:t>
            </w:r>
          </w:p>
          <w:p w14:paraId="017976EE" w14:textId="2DA07123" w:rsidR="00863FA8" w:rsidRPr="004A5071" w:rsidRDefault="00863FA8" w:rsidP="004A5071">
            <w:pPr>
              <w:pStyle w:val="TableText"/>
              <w:spacing w:before="60" w:after="60"/>
            </w:pPr>
            <w:r w:rsidRPr="004A5071">
              <w:t>Factors that facilitate the selection of and work with partners</w:t>
            </w:r>
          </w:p>
        </w:tc>
      </w:tr>
      <w:tr w:rsidR="008F28BF" w:rsidRPr="000B2780" w14:paraId="1C6870F4" w14:textId="77777777" w:rsidTr="004A5071">
        <w:trPr>
          <w:cantSplit/>
        </w:trPr>
        <w:tc>
          <w:tcPr>
            <w:tcW w:w="1297" w:type="pct"/>
          </w:tcPr>
          <w:p w14:paraId="09AA253E" w14:textId="77777777" w:rsidR="008F28BF" w:rsidRPr="004A5071" w:rsidRDefault="008F28BF" w:rsidP="004A5071">
            <w:pPr>
              <w:pStyle w:val="TableText"/>
              <w:spacing w:before="60" w:after="60"/>
            </w:pPr>
            <w:r w:rsidRPr="004A5071">
              <w:t>Strategies to obtain buy-in for program among stakeholders</w:t>
            </w:r>
          </w:p>
        </w:tc>
        <w:tc>
          <w:tcPr>
            <w:tcW w:w="3703" w:type="pct"/>
          </w:tcPr>
          <w:p w14:paraId="269CE323" w14:textId="4C34F7AA" w:rsidR="00370A50" w:rsidRPr="004A5071" w:rsidRDefault="006B77F7" w:rsidP="004A5071">
            <w:pPr>
              <w:pStyle w:val="TableText"/>
              <w:spacing w:before="60" w:after="60"/>
            </w:pPr>
            <w:r w:rsidRPr="004A5071">
              <w:t xml:space="preserve">Assessing </w:t>
            </w:r>
            <w:r w:rsidR="008F28BF" w:rsidRPr="004A5071">
              <w:t>stakeholder</w:t>
            </w:r>
            <w:r w:rsidRPr="004A5071">
              <w:t xml:space="preserve"> support for the HMRE program</w:t>
            </w:r>
          </w:p>
          <w:p w14:paraId="039C40A3" w14:textId="270E1917" w:rsidR="008F28BF" w:rsidRPr="004A5071" w:rsidRDefault="006B77F7" w:rsidP="004A5071">
            <w:pPr>
              <w:pStyle w:val="TableText"/>
              <w:spacing w:before="60" w:after="60"/>
            </w:pPr>
            <w:r w:rsidRPr="004A5071">
              <w:t>Building stakeholder support for  HMRE program</w:t>
            </w:r>
          </w:p>
        </w:tc>
      </w:tr>
      <w:tr w:rsidR="008F28BF" w:rsidRPr="000B2780" w14:paraId="45E9E71F" w14:textId="77777777" w:rsidTr="00CA515A">
        <w:trPr>
          <w:cantSplit/>
        </w:trPr>
        <w:tc>
          <w:tcPr>
            <w:tcW w:w="5000" w:type="pct"/>
            <w:gridSpan w:val="2"/>
            <w:shd w:val="clear" w:color="auto" w:fill="D9D9D9"/>
          </w:tcPr>
          <w:p w14:paraId="6DC1FBE8" w14:textId="4B8153FC" w:rsidR="008F28BF" w:rsidRPr="00CA515A" w:rsidRDefault="00A90297" w:rsidP="00CA515A">
            <w:pPr>
              <w:pStyle w:val="TableHeaderCenter"/>
              <w:rPr>
                <w:color w:val="auto"/>
              </w:rPr>
            </w:pPr>
            <w:r w:rsidRPr="00CA515A">
              <w:rPr>
                <w:color w:val="auto"/>
              </w:rPr>
              <w:br w:type="page"/>
            </w:r>
            <w:r w:rsidR="008F28BF" w:rsidRPr="00CA515A">
              <w:rPr>
                <w:color w:val="auto"/>
              </w:rPr>
              <w:t>Implementation Drivers: Leadership Drivers</w:t>
            </w:r>
          </w:p>
        </w:tc>
      </w:tr>
      <w:tr w:rsidR="008F28BF" w:rsidRPr="000B2780" w14:paraId="4364DDD9" w14:textId="77777777" w:rsidTr="004A5071">
        <w:trPr>
          <w:cantSplit/>
        </w:trPr>
        <w:tc>
          <w:tcPr>
            <w:tcW w:w="1297" w:type="pct"/>
          </w:tcPr>
          <w:p w14:paraId="39546335" w14:textId="77777777" w:rsidR="008F28BF" w:rsidRPr="004A5071" w:rsidRDefault="008F28BF" w:rsidP="004A5071">
            <w:pPr>
              <w:pStyle w:val="TableText"/>
              <w:spacing w:before="60" w:after="60"/>
            </w:pPr>
            <w:r w:rsidRPr="004A5071">
              <w:t>Identification of contextual issues related to implementation</w:t>
            </w:r>
          </w:p>
        </w:tc>
        <w:tc>
          <w:tcPr>
            <w:tcW w:w="3703" w:type="pct"/>
          </w:tcPr>
          <w:p w14:paraId="756EC503" w14:textId="1ABEF410" w:rsidR="008F28BF" w:rsidRPr="004A5071" w:rsidRDefault="00A90297" w:rsidP="004A5071">
            <w:pPr>
              <w:pStyle w:val="TableText"/>
              <w:spacing w:before="60" w:after="60"/>
            </w:pPr>
            <w:r w:rsidRPr="004A5071">
              <w:t>S</w:t>
            </w:r>
            <w:r w:rsidR="008F28BF" w:rsidRPr="004A5071">
              <w:t xml:space="preserve">taff responsible for identifying </w:t>
            </w:r>
            <w:r w:rsidRPr="004A5071">
              <w:t>community needs and how HMRE program can address these needs</w:t>
            </w:r>
          </w:p>
          <w:p w14:paraId="63B8CB87" w14:textId="2AB7F754" w:rsidR="008F28BF" w:rsidRPr="004A5071" w:rsidRDefault="00A90297" w:rsidP="004A5071">
            <w:pPr>
              <w:pStyle w:val="TableText"/>
              <w:spacing w:before="60" w:after="60"/>
            </w:pPr>
            <w:r w:rsidRPr="004A5071">
              <w:t xml:space="preserve">Building community support for </w:t>
            </w:r>
            <w:r w:rsidR="006B77F7" w:rsidRPr="004A5071">
              <w:t>HMRE program</w:t>
            </w:r>
            <w:r w:rsidR="008F28BF" w:rsidRPr="004A5071">
              <w:t xml:space="preserve">; </w:t>
            </w:r>
            <w:r w:rsidRPr="004A5071">
              <w:t xml:space="preserve">community barriers to </w:t>
            </w:r>
            <w:r w:rsidR="00162CD0" w:rsidRPr="004A5071">
              <w:t xml:space="preserve">and facilitators for </w:t>
            </w:r>
            <w:r w:rsidRPr="004A5071">
              <w:t>implementation</w:t>
            </w:r>
          </w:p>
        </w:tc>
      </w:tr>
      <w:tr w:rsidR="008F28BF" w:rsidRPr="000B2780" w14:paraId="500DB7A8" w14:textId="77777777" w:rsidTr="004A5071">
        <w:trPr>
          <w:cantSplit/>
        </w:trPr>
        <w:tc>
          <w:tcPr>
            <w:tcW w:w="1297" w:type="pct"/>
          </w:tcPr>
          <w:p w14:paraId="0F9FA594" w14:textId="1AC2EAA7" w:rsidR="008F28BF" w:rsidRPr="004A5071" w:rsidRDefault="008F28BF" w:rsidP="004A5071">
            <w:pPr>
              <w:pStyle w:val="TableText"/>
              <w:spacing w:before="60" w:after="60"/>
            </w:pPr>
            <w:r w:rsidRPr="004A5071">
              <w:t>Identification of barriers and challenges to implementation</w:t>
            </w:r>
            <w:r w:rsidR="00FF6B35" w:rsidRPr="004A5071">
              <w:t xml:space="preserve"> and staff involvement</w:t>
            </w:r>
          </w:p>
        </w:tc>
        <w:tc>
          <w:tcPr>
            <w:tcW w:w="3703" w:type="pct"/>
          </w:tcPr>
          <w:p w14:paraId="7A9FC6C6" w14:textId="5DF8216F" w:rsidR="008F28BF" w:rsidRPr="004A5071" w:rsidRDefault="00A90297" w:rsidP="004A5071">
            <w:pPr>
              <w:pStyle w:val="TableText"/>
              <w:spacing w:before="60" w:after="60"/>
            </w:pPr>
            <w:r w:rsidRPr="004A5071">
              <w:t>Key challenges to program implementation; how addressed by program s</w:t>
            </w:r>
            <w:r w:rsidR="00CB133F" w:rsidRPr="004A5071">
              <w:t xml:space="preserve">taff </w:t>
            </w:r>
          </w:p>
          <w:p w14:paraId="7256BE7F" w14:textId="697A1C78" w:rsidR="008F28BF" w:rsidRPr="004A5071" w:rsidRDefault="00070EF0" w:rsidP="004A5071">
            <w:pPr>
              <w:pStyle w:val="TableText"/>
              <w:spacing w:before="60" w:after="60"/>
            </w:pPr>
            <w:r w:rsidRPr="004A5071">
              <w:t>S</w:t>
            </w:r>
            <w:r w:rsidR="008F28BF" w:rsidRPr="004A5071">
              <w:t xml:space="preserve">upport </w:t>
            </w:r>
            <w:r w:rsidRPr="004A5071">
              <w:t xml:space="preserve">from </w:t>
            </w:r>
            <w:r w:rsidR="008F28BF" w:rsidRPr="004A5071">
              <w:t xml:space="preserve">agency leaders to </w:t>
            </w:r>
            <w:r w:rsidR="004D3C6A" w:rsidRPr="004A5071">
              <w:t>address</w:t>
            </w:r>
            <w:r w:rsidR="008F495E" w:rsidRPr="004A5071">
              <w:t xml:space="preserve"> implementation</w:t>
            </w:r>
            <w:r w:rsidR="004D3C6A" w:rsidRPr="004A5071">
              <w:t xml:space="preserve"> barriers</w:t>
            </w:r>
            <w:r w:rsidR="00FF6B35" w:rsidRPr="004A5071">
              <w:t>, including allocation of needed time and resources</w:t>
            </w:r>
          </w:p>
          <w:p w14:paraId="42B0C942" w14:textId="6E9823EF" w:rsidR="00FF6B35" w:rsidRPr="004A5071" w:rsidRDefault="00FF6B35" w:rsidP="004A5071">
            <w:pPr>
              <w:pStyle w:val="TableText"/>
              <w:spacing w:before="60" w:after="60"/>
            </w:pPr>
            <w:r w:rsidRPr="004A5071">
              <w:t>Communication process for raising and addressing implementation challen</w:t>
            </w:r>
            <w:r w:rsidR="00EB78FB" w:rsidRPr="004A5071">
              <w:t>ge</w:t>
            </w:r>
            <w:r w:rsidRPr="004A5071">
              <w:t>s</w:t>
            </w:r>
          </w:p>
          <w:p w14:paraId="45B51C5B" w14:textId="4137B4B0" w:rsidR="00FF6B35" w:rsidRPr="004A5071" w:rsidRDefault="00FF6B35" w:rsidP="004A5071">
            <w:pPr>
              <w:pStyle w:val="TableText"/>
              <w:spacing w:before="60" w:after="60"/>
            </w:pPr>
            <w:r w:rsidRPr="004A5071">
              <w:t>Decision-making authority to address implementation barriers</w:t>
            </w:r>
          </w:p>
        </w:tc>
      </w:tr>
      <w:tr w:rsidR="008F28BF" w:rsidRPr="00D45C53" w14:paraId="1381C826" w14:textId="77777777" w:rsidTr="00CA515A">
        <w:trPr>
          <w:cantSplit/>
        </w:trPr>
        <w:tc>
          <w:tcPr>
            <w:tcW w:w="5000" w:type="pct"/>
            <w:gridSpan w:val="2"/>
            <w:shd w:val="clear" w:color="auto" w:fill="D9D9D9"/>
          </w:tcPr>
          <w:p w14:paraId="137891E5" w14:textId="57A8744A" w:rsidR="008F28BF" w:rsidRPr="00CA515A" w:rsidRDefault="008F28BF" w:rsidP="00CA515A">
            <w:pPr>
              <w:pStyle w:val="TableHeaderCenter"/>
              <w:rPr>
                <w:color w:val="auto"/>
              </w:rPr>
            </w:pPr>
            <w:r w:rsidRPr="00CA515A">
              <w:rPr>
                <w:color w:val="auto"/>
              </w:rPr>
              <w:t>Fidelity of Implementation: Consistency</w:t>
            </w:r>
          </w:p>
        </w:tc>
      </w:tr>
      <w:tr w:rsidR="008F28BF" w:rsidRPr="000B2780" w14:paraId="5BE248D8" w14:textId="77777777" w:rsidTr="004A5071">
        <w:trPr>
          <w:cantSplit/>
        </w:trPr>
        <w:tc>
          <w:tcPr>
            <w:tcW w:w="1297" w:type="pct"/>
          </w:tcPr>
          <w:p w14:paraId="74E817FE" w14:textId="349F27A4" w:rsidR="008F28BF" w:rsidRPr="004A5071" w:rsidRDefault="008F28BF" w:rsidP="004A5071">
            <w:pPr>
              <w:pStyle w:val="TableText"/>
              <w:spacing w:before="60" w:after="60"/>
            </w:pPr>
            <w:r w:rsidRPr="004A5071">
              <w:t>Regularity of offering HMRE curriculum</w:t>
            </w:r>
          </w:p>
        </w:tc>
        <w:tc>
          <w:tcPr>
            <w:tcW w:w="3703" w:type="pct"/>
          </w:tcPr>
          <w:p w14:paraId="2B4677E0" w14:textId="77777777" w:rsidR="008F28BF" w:rsidRPr="004A5071" w:rsidRDefault="008F28BF" w:rsidP="004A5071">
            <w:pPr>
              <w:pStyle w:val="TableText"/>
              <w:spacing w:before="60" w:after="60"/>
            </w:pPr>
            <w:r w:rsidRPr="004A5071">
              <w:t>Frequency, format, length, and intensity of HMRE curricula offered through individual sessions and full curriculum</w:t>
            </w:r>
          </w:p>
          <w:p w14:paraId="49719043" w14:textId="61DC630F" w:rsidR="00AF731D" w:rsidRPr="004A5071" w:rsidRDefault="00B45697" w:rsidP="004A5071">
            <w:pPr>
              <w:pStyle w:val="TableText"/>
              <w:spacing w:before="60" w:after="60"/>
            </w:pPr>
            <w:r w:rsidRPr="004A5071">
              <w:t xml:space="preserve">Formats used for delivering </w:t>
            </w:r>
            <w:r w:rsidR="0038479B" w:rsidRPr="004A5071">
              <w:t>curriculum</w:t>
            </w:r>
            <w:r w:rsidRPr="004A5071">
              <w:t>;</w:t>
            </w:r>
            <w:r w:rsidR="0038479B" w:rsidRPr="004A5071">
              <w:t xml:space="preserve"> </w:t>
            </w:r>
            <w:r w:rsidR="00AF2D19" w:rsidRPr="004A5071">
              <w:t xml:space="preserve">reasons for </w:t>
            </w:r>
            <w:r w:rsidR="0038479B" w:rsidRPr="004A5071">
              <w:t xml:space="preserve">offering </w:t>
            </w:r>
            <w:r w:rsidR="00AF731D" w:rsidRPr="004A5071">
              <w:t>multiple formats</w:t>
            </w:r>
          </w:p>
          <w:p w14:paraId="73DFDCB1" w14:textId="6E2263E4" w:rsidR="00237C47" w:rsidRPr="004A5071" w:rsidRDefault="00237C47" w:rsidP="004A5071">
            <w:pPr>
              <w:pStyle w:val="TableText"/>
              <w:spacing w:before="60" w:after="60"/>
            </w:pPr>
            <w:r w:rsidRPr="004A5071">
              <w:t>Challenges and successes with using different formats for delivering curriculum</w:t>
            </w:r>
          </w:p>
          <w:p w14:paraId="52020463" w14:textId="265BD2E4" w:rsidR="00AF731D" w:rsidRPr="004A5071" w:rsidRDefault="00AF731D" w:rsidP="004A5071">
            <w:pPr>
              <w:pStyle w:val="TableText"/>
              <w:spacing w:before="60" w:after="60"/>
            </w:pPr>
            <w:r w:rsidRPr="004A5071">
              <w:t xml:space="preserve">Process and </w:t>
            </w:r>
            <w:r w:rsidR="00FF6B35" w:rsidRPr="004A5071">
              <w:t>frequency</w:t>
            </w:r>
            <w:r w:rsidRPr="004A5071">
              <w:t xml:space="preserve"> of starting new cohorts</w:t>
            </w:r>
          </w:p>
          <w:p w14:paraId="06ED6257" w14:textId="5DA78088" w:rsidR="00237C47" w:rsidRPr="004A5071" w:rsidRDefault="00AF2D19" w:rsidP="004A5071">
            <w:pPr>
              <w:pStyle w:val="TableText"/>
              <w:spacing w:before="60" w:after="60"/>
            </w:pPr>
            <w:r w:rsidRPr="004A5071">
              <w:t>Challenges with offering curriculum with intended regularity and starting new cohorts</w:t>
            </w:r>
          </w:p>
        </w:tc>
      </w:tr>
      <w:tr w:rsidR="008F28BF" w:rsidRPr="000B2780" w14:paraId="454CD07C" w14:textId="77777777" w:rsidTr="004A5071">
        <w:trPr>
          <w:cantSplit/>
        </w:trPr>
        <w:tc>
          <w:tcPr>
            <w:tcW w:w="1297" w:type="pct"/>
          </w:tcPr>
          <w:p w14:paraId="13116AE0" w14:textId="6EEDA563" w:rsidR="008F28BF" w:rsidRPr="004A5071" w:rsidRDefault="008F28BF" w:rsidP="004A5071">
            <w:pPr>
              <w:pStyle w:val="TableText"/>
              <w:spacing w:before="60" w:after="60"/>
            </w:pPr>
            <w:r w:rsidRPr="004A5071">
              <w:t xml:space="preserve">Regularity of </w:t>
            </w:r>
            <w:r w:rsidR="00AF731D" w:rsidRPr="004A5071">
              <w:t xml:space="preserve">content </w:t>
            </w:r>
            <w:r w:rsidRPr="004A5071">
              <w:t>delivery included in HMRE curriculum</w:t>
            </w:r>
          </w:p>
        </w:tc>
        <w:tc>
          <w:tcPr>
            <w:tcW w:w="3703" w:type="pct"/>
          </w:tcPr>
          <w:p w14:paraId="2B54A156" w14:textId="09E74E67" w:rsidR="008F28BF" w:rsidRPr="004A5071" w:rsidRDefault="00AF731D" w:rsidP="004A5071">
            <w:pPr>
              <w:pStyle w:val="TableText"/>
              <w:spacing w:before="60" w:after="60"/>
            </w:pPr>
            <w:r w:rsidRPr="004A5071">
              <w:t>Plan for providing all content specified in HMRE curriculum</w:t>
            </w:r>
          </w:p>
          <w:p w14:paraId="62152856" w14:textId="77777777" w:rsidR="00AF731D" w:rsidRPr="004A5071" w:rsidRDefault="00AF731D" w:rsidP="004A5071">
            <w:pPr>
              <w:pStyle w:val="TableText"/>
              <w:spacing w:before="60" w:after="60"/>
            </w:pPr>
            <w:r w:rsidRPr="004A5071">
              <w:t>Process for tracking whether facilitator delivers all content</w:t>
            </w:r>
          </w:p>
          <w:p w14:paraId="1E3DD623" w14:textId="43089559" w:rsidR="00AF731D" w:rsidRPr="004A5071" w:rsidRDefault="00AF731D" w:rsidP="004A5071">
            <w:pPr>
              <w:pStyle w:val="TableText"/>
              <w:spacing w:before="60" w:after="60"/>
            </w:pPr>
            <w:r w:rsidRPr="004A5071">
              <w:t>Challenges with delivering all content</w:t>
            </w:r>
          </w:p>
        </w:tc>
      </w:tr>
      <w:tr w:rsidR="008F28BF" w:rsidRPr="000B2780" w14:paraId="07CFF24E" w14:textId="77777777" w:rsidTr="004A5071">
        <w:trPr>
          <w:cantSplit/>
        </w:trPr>
        <w:tc>
          <w:tcPr>
            <w:tcW w:w="1297" w:type="pct"/>
          </w:tcPr>
          <w:p w14:paraId="2EE701BC" w14:textId="60B9629A" w:rsidR="008F28BF" w:rsidRPr="004A5071" w:rsidRDefault="008F28BF" w:rsidP="004A5071">
            <w:pPr>
              <w:pStyle w:val="TableText"/>
              <w:spacing w:before="60" w:after="60"/>
            </w:pPr>
            <w:r w:rsidRPr="004A5071">
              <w:t>Availability of ancillary services within the HMRE program</w:t>
            </w:r>
          </w:p>
        </w:tc>
        <w:tc>
          <w:tcPr>
            <w:tcW w:w="3703" w:type="pct"/>
          </w:tcPr>
          <w:p w14:paraId="6F3A5738" w14:textId="6EC96D16" w:rsidR="008F28BF" w:rsidRPr="004A5071" w:rsidRDefault="008F495E" w:rsidP="004A5071">
            <w:pPr>
              <w:pStyle w:val="TableText"/>
              <w:spacing w:before="60" w:after="60"/>
            </w:pPr>
            <w:r w:rsidRPr="004A5071">
              <w:t xml:space="preserve">Types </w:t>
            </w:r>
            <w:r w:rsidR="00863D72" w:rsidRPr="004A5071">
              <w:t xml:space="preserve">and providers </w:t>
            </w:r>
            <w:r w:rsidRPr="004A5071">
              <w:t xml:space="preserve">of </w:t>
            </w:r>
            <w:r w:rsidR="00863D72" w:rsidRPr="004A5071">
              <w:t>ancillary</w:t>
            </w:r>
            <w:r w:rsidR="008F28BF" w:rsidRPr="004A5071">
              <w:t xml:space="preserve"> services available to program participants</w:t>
            </w:r>
          </w:p>
          <w:p w14:paraId="2C30FBF3" w14:textId="5BDCAF77" w:rsidR="008F28BF" w:rsidRPr="004A5071" w:rsidRDefault="008F28BF" w:rsidP="004A5071">
            <w:pPr>
              <w:pStyle w:val="TableText"/>
              <w:spacing w:before="60" w:after="60"/>
            </w:pPr>
            <w:r w:rsidRPr="004A5071">
              <w:t xml:space="preserve">Frequency </w:t>
            </w:r>
            <w:r w:rsidR="00863D72" w:rsidRPr="004A5071">
              <w:t xml:space="preserve">of </w:t>
            </w:r>
            <w:r w:rsidRPr="004A5071">
              <w:t xml:space="preserve">participant </w:t>
            </w:r>
            <w:r w:rsidR="00C65169" w:rsidRPr="004A5071">
              <w:t>engage</w:t>
            </w:r>
            <w:r w:rsidR="00863D72" w:rsidRPr="004A5071">
              <w:t>ment</w:t>
            </w:r>
            <w:r w:rsidR="00C65169" w:rsidRPr="004A5071">
              <w:t xml:space="preserve"> in </w:t>
            </w:r>
            <w:r w:rsidRPr="004A5071">
              <w:t>ancillary services</w:t>
            </w:r>
          </w:p>
          <w:p w14:paraId="6E3E75D0" w14:textId="267E6679" w:rsidR="008F28BF" w:rsidRPr="004A5071" w:rsidRDefault="00863D72" w:rsidP="004A5071">
            <w:pPr>
              <w:pStyle w:val="TableText"/>
              <w:spacing w:before="60" w:after="60"/>
            </w:pPr>
            <w:r w:rsidRPr="004A5071">
              <w:t xml:space="preserve">Monitoring </w:t>
            </w:r>
            <w:r w:rsidR="008F28BF" w:rsidRPr="004A5071">
              <w:t>participant take-up of ancillary services</w:t>
            </w:r>
          </w:p>
          <w:p w14:paraId="6D3A92EA" w14:textId="77777777" w:rsidR="008F28BF" w:rsidRPr="004A5071" w:rsidRDefault="008F28BF" w:rsidP="004A5071">
            <w:pPr>
              <w:pStyle w:val="TableText"/>
              <w:spacing w:before="60" w:after="60"/>
            </w:pPr>
            <w:r w:rsidRPr="004A5071">
              <w:t>Frequency, mode, and purpose of contact between program staff and other service providers on behalf of the client</w:t>
            </w:r>
          </w:p>
          <w:p w14:paraId="7B22F9A4" w14:textId="36D2F914" w:rsidR="008F28BF" w:rsidRPr="004A5071" w:rsidRDefault="008F28BF" w:rsidP="004A5071">
            <w:pPr>
              <w:pStyle w:val="TableText"/>
              <w:spacing w:before="60" w:after="60"/>
            </w:pPr>
            <w:r w:rsidRPr="004A5071">
              <w:t xml:space="preserve">Challenges connecting participants to and engaging participants in </w:t>
            </w:r>
            <w:r w:rsidR="00C65169" w:rsidRPr="004A5071">
              <w:t xml:space="preserve">ancillary </w:t>
            </w:r>
            <w:r w:rsidRPr="004A5071">
              <w:t>services; attempted strategies to address challenges and success of these strategies</w:t>
            </w:r>
          </w:p>
        </w:tc>
      </w:tr>
      <w:tr w:rsidR="008F28BF" w:rsidRPr="000B2780" w14:paraId="3083DF7C" w14:textId="77777777" w:rsidTr="004A5071">
        <w:trPr>
          <w:cantSplit/>
        </w:trPr>
        <w:tc>
          <w:tcPr>
            <w:tcW w:w="1297" w:type="pct"/>
          </w:tcPr>
          <w:p w14:paraId="4F8F5933" w14:textId="77777777" w:rsidR="008F28BF" w:rsidRPr="004A5071" w:rsidRDefault="008F28BF" w:rsidP="004A5071">
            <w:pPr>
              <w:pStyle w:val="TableText"/>
              <w:spacing w:before="60" w:after="60"/>
            </w:pPr>
            <w:r w:rsidRPr="004A5071">
              <w:lastRenderedPageBreak/>
              <w:t>Need for adaptation of HMRE curriculum or ancillary services; adaptations (if made)</w:t>
            </w:r>
          </w:p>
        </w:tc>
        <w:tc>
          <w:tcPr>
            <w:tcW w:w="3703" w:type="pct"/>
          </w:tcPr>
          <w:p w14:paraId="495DE294" w14:textId="77777777" w:rsidR="008F28BF" w:rsidRPr="004A5071" w:rsidRDefault="008F28BF" w:rsidP="004A5071">
            <w:pPr>
              <w:pStyle w:val="TableText"/>
              <w:spacing w:before="60" w:after="60"/>
            </w:pPr>
            <w:r w:rsidRPr="004A5071">
              <w:t>Process for identifying needed adaptations to HMRE curriculum or ancillary services</w:t>
            </w:r>
          </w:p>
          <w:p w14:paraId="50C2BA7C" w14:textId="7B9047F8" w:rsidR="008F28BF" w:rsidRPr="004A5071" w:rsidRDefault="00863D72" w:rsidP="004A5071">
            <w:pPr>
              <w:pStyle w:val="TableText"/>
              <w:spacing w:before="60" w:after="60"/>
            </w:pPr>
            <w:r w:rsidRPr="004A5071">
              <w:t>W</w:t>
            </w:r>
            <w:r w:rsidR="008F28BF" w:rsidRPr="004A5071">
              <w:t xml:space="preserve">orking with curriculum developers to make adaptations; extent to which curriculum developers </w:t>
            </w:r>
            <w:r w:rsidRPr="004A5071">
              <w:t>are</w:t>
            </w:r>
            <w:r w:rsidR="008F28BF" w:rsidRPr="004A5071">
              <w:t xml:space="preserve"> included in the adaptation process</w:t>
            </w:r>
          </w:p>
          <w:p w14:paraId="31CA1491" w14:textId="5668C123" w:rsidR="00C65169" w:rsidRPr="004A5071" w:rsidRDefault="00C65169" w:rsidP="004A5071">
            <w:pPr>
              <w:pStyle w:val="TableText"/>
              <w:spacing w:before="60" w:after="60"/>
            </w:pPr>
            <w:r w:rsidRPr="004A5071">
              <w:t>Adaptations made to HMRE curriculum and ancillary services; rationale for changes</w:t>
            </w:r>
          </w:p>
        </w:tc>
      </w:tr>
      <w:tr w:rsidR="008F28BF" w:rsidRPr="000B2780" w14:paraId="5A02A564" w14:textId="77777777" w:rsidTr="004A5071">
        <w:trPr>
          <w:cantSplit/>
        </w:trPr>
        <w:tc>
          <w:tcPr>
            <w:tcW w:w="1297" w:type="pct"/>
          </w:tcPr>
          <w:p w14:paraId="4E216599" w14:textId="77777777" w:rsidR="008F28BF" w:rsidRPr="004A5071" w:rsidRDefault="008F28BF" w:rsidP="004A5071">
            <w:pPr>
              <w:pStyle w:val="TableText"/>
              <w:spacing w:before="60" w:after="60"/>
            </w:pPr>
            <w:r w:rsidRPr="004A5071">
              <w:t>Lessons and challenges offering HMRE curriculum and content and ancillary services</w:t>
            </w:r>
          </w:p>
        </w:tc>
        <w:tc>
          <w:tcPr>
            <w:tcW w:w="3703" w:type="pct"/>
          </w:tcPr>
          <w:p w14:paraId="216CB90A" w14:textId="4B4931C1" w:rsidR="008F28BF" w:rsidRPr="004A5071" w:rsidRDefault="008F28BF" w:rsidP="004A5071">
            <w:pPr>
              <w:pStyle w:val="TableText"/>
              <w:spacing w:before="60" w:after="60"/>
            </w:pPr>
            <w:r w:rsidRPr="004A5071">
              <w:t xml:space="preserve">Challenges </w:t>
            </w:r>
            <w:r w:rsidR="00863D72" w:rsidRPr="004A5071">
              <w:t xml:space="preserve">to </w:t>
            </w:r>
            <w:r w:rsidRPr="004A5071">
              <w:t>providing HMRE curriculum as designed by curriculum developer</w:t>
            </w:r>
            <w:r w:rsidR="00863D72" w:rsidRPr="004A5071">
              <w:t xml:space="preserve">; </w:t>
            </w:r>
            <w:r w:rsidRPr="004A5071">
              <w:t>strategies for overcoming challenges</w:t>
            </w:r>
          </w:p>
          <w:p w14:paraId="154D8561" w14:textId="23A462D9" w:rsidR="008F28BF" w:rsidRPr="004A5071" w:rsidRDefault="008F28BF" w:rsidP="004A5071">
            <w:pPr>
              <w:pStyle w:val="TableText"/>
              <w:spacing w:before="60" w:after="60"/>
            </w:pPr>
            <w:r w:rsidRPr="004A5071">
              <w:t xml:space="preserve">Challenges </w:t>
            </w:r>
            <w:r w:rsidR="00863D72" w:rsidRPr="004A5071">
              <w:t xml:space="preserve">to </w:t>
            </w:r>
            <w:r w:rsidRPr="004A5071">
              <w:t xml:space="preserve">providing </w:t>
            </w:r>
            <w:r w:rsidR="00C65169" w:rsidRPr="004A5071">
              <w:t xml:space="preserve">supplemental </w:t>
            </w:r>
            <w:r w:rsidRPr="004A5071">
              <w:t>HMRE content (parenting skills, financial management, conflict resolution, and job and career development) and ancillary services</w:t>
            </w:r>
            <w:r w:rsidR="00863D72" w:rsidRPr="004A5071">
              <w:t>; strategies for overcoming challenges</w:t>
            </w:r>
          </w:p>
        </w:tc>
      </w:tr>
      <w:tr w:rsidR="008F28BF" w:rsidRPr="000B2780" w14:paraId="51E9A202" w14:textId="77777777" w:rsidTr="00CA515A">
        <w:trPr>
          <w:cantSplit/>
        </w:trPr>
        <w:tc>
          <w:tcPr>
            <w:tcW w:w="5000" w:type="pct"/>
            <w:gridSpan w:val="2"/>
            <w:shd w:val="clear" w:color="auto" w:fill="D9D9D9"/>
          </w:tcPr>
          <w:p w14:paraId="328FCE49" w14:textId="77777777" w:rsidR="008F28BF" w:rsidRPr="00CA515A" w:rsidRDefault="008F28BF" w:rsidP="00CA515A">
            <w:pPr>
              <w:pStyle w:val="TableHeaderCenter"/>
              <w:rPr>
                <w:color w:val="auto"/>
              </w:rPr>
            </w:pPr>
            <w:r w:rsidRPr="00CA515A">
              <w:rPr>
                <w:color w:val="auto"/>
              </w:rPr>
              <w:t>Fidelity of Implementation: Satisfaction</w:t>
            </w:r>
          </w:p>
        </w:tc>
      </w:tr>
      <w:tr w:rsidR="008F28BF" w:rsidRPr="000B2780" w14:paraId="3182F4A1" w14:textId="77777777" w:rsidTr="004A5071">
        <w:trPr>
          <w:cantSplit/>
        </w:trPr>
        <w:tc>
          <w:tcPr>
            <w:tcW w:w="1297" w:type="pct"/>
          </w:tcPr>
          <w:p w14:paraId="0AF8F841" w14:textId="77777777" w:rsidR="008F28BF" w:rsidRPr="004A5071" w:rsidRDefault="008F28BF" w:rsidP="004A5071">
            <w:pPr>
              <w:pStyle w:val="TableText"/>
              <w:spacing w:before="60" w:after="60"/>
            </w:pPr>
            <w:r w:rsidRPr="004A5071">
              <w:t>Buy-in for HMRE program</w:t>
            </w:r>
          </w:p>
        </w:tc>
        <w:tc>
          <w:tcPr>
            <w:tcW w:w="3703" w:type="pct"/>
          </w:tcPr>
          <w:p w14:paraId="0C587AB5" w14:textId="237B4B8F" w:rsidR="008F28BF" w:rsidRPr="004A5071" w:rsidRDefault="00C65169" w:rsidP="004A5071">
            <w:pPr>
              <w:pStyle w:val="TableText"/>
              <w:spacing w:before="60" w:after="60"/>
            </w:pPr>
            <w:r w:rsidRPr="004A5071">
              <w:t xml:space="preserve">Alignment between </w:t>
            </w:r>
            <w:r w:rsidR="00C461B1" w:rsidRPr="004A5071">
              <w:t>leadership</w:t>
            </w:r>
            <w:r w:rsidR="008F28BF" w:rsidRPr="004A5071">
              <w:t xml:space="preserve"> </w:t>
            </w:r>
            <w:r w:rsidRPr="004A5071">
              <w:t xml:space="preserve">and </w:t>
            </w:r>
            <w:r w:rsidR="00C461B1" w:rsidRPr="004A5071">
              <w:t xml:space="preserve">front-line </w:t>
            </w:r>
            <w:r w:rsidRPr="004A5071">
              <w:t xml:space="preserve">staff </w:t>
            </w:r>
            <w:r w:rsidR="008F28BF" w:rsidRPr="004A5071">
              <w:t xml:space="preserve">on strategies for improving </w:t>
            </w:r>
            <w:r w:rsidR="00863D72" w:rsidRPr="004A5071">
              <w:t xml:space="preserve">participant </w:t>
            </w:r>
            <w:r w:rsidR="008F28BF" w:rsidRPr="004A5071">
              <w:t>outcomes</w:t>
            </w:r>
          </w:p>
          <w:p w14:paraId="396821DC" w14:textId="26BEEC16" w:rsidR="008F28BF" w:rsidRPr="004A5071" w:rsidRDefault="00863D72" w:rsidP="004A5071">
            <w:pPr>
              <w:pStyle w:val="TableText"/>
              <w:spacing w:before="60" w:after="60"/>
            </w:pPr>
            <w:r w:rsidRPr="004A5071">
              <w:t>Views</w:t>
            </w:r>
            <w:r w:rsidR="00C65169" w:rsidRPr="004A5071">
              <w:t xml:space="preserve"> about how HMRE </w:t>
            </w:r>
            <w:r w:rsidR="008F28BF" w:rsidRPr="004A5071">
              <w:t>program advance</w:t>
            </w:r>
            <w:r w:rsidR="00C65169" w:rsidRPr="004A5071">
              <w:t>s</w:t>
            </w:r>
            <w:r w:rsidR="008F28BF" w:rsidRPr="004A5071">
              <w:t xml:space="preserve"> organization’s goals </w:t>
            </w:r>
          </w:p>
          <w:p w14:paraId="6AE7BFEC" w14:textId="45041BFC" w:rsidR="008F28BF" w:rsidRPr="004A5071" w:rsidRDefault="00FC4915" w:rsidP="004A5071">
            <w:pPr>
              <w:pStyle w:val="TableText"/>
              <w:spacing w:before="60" w:after="60"/>
            </w:pPr>
            <w:r w:rsidRPr="004A5071">
              <w:t xml:space="preserve">How </w:t>
            </w:r>
            <w:r w:rsidR="008F28BF" w:rsidRPr="004A5071">
              <w:t xml:space="preserve">program components </w:t>
            </w:r>
            <w:r w:rsidR="0026170E" w:rsidRPr="004A5071">
              <w:t xml:space="preserve">seem to </w:t>
            </w:r>
            <w:r w:rsidR="008F28BF" w:rsidRPr="004A5071">
              <w:t xml:space="preserve">contribute to achieving </w:t>
            </w:r>
            <w:r w:rsidR="00863D72" w:rsidRPr="004A5071">
              <w:t>expected</w:t>
            </w:r>
            <w:r w:rsidR="008F28BF" w:rsidRPr="004A5071">
              <w:t xml:space="preserve"> outcomes </w:t>
            </w:r>
          </w:p>
          <w:p w14:paraId="57BABA1E" w14:textId="4BBA4C0B" w:rsidR="008F28BF" w:rsidRPr="004A5071" w:rsidRDefault="008F28BF" w:rsidP="004A5071">
            <w:pPr>
              <w:pStyle w:val="TableText"/>
              <w:spacing w:before="60" w:after="60"/>
            </w:pPr>
            <w:r w:rsidRPr="004A5071">
              <w:t xml:space="preserve">Gaps in services that </w:t>
            </w:r>
            <w:r w:rsidR="0026170E" w:rsidRPr="004A5071">
              <w:t xml:space="preserve">may </w:t>
            </w:r>
            <w:r w:rsidRPr="004A5071">
              <w:t xml:space="preserve">prevent participants from achieving </w:t>
            </w:r>
            <w:r w:rsidR="00CD258D" w:rsidRPr="004A5071">
              <w:t>expected outcomes</w:t>
            </w:r>
          </w:p>
        </w:tc>
      </w:tr>
      <w:tr w:rsidR="008F28BF" w:rsidRPr="000B2780" w14:paraId="11B70AB6" w14:textId="77777777" w:rsidTr="004A5071">
        <w:trPr>
          <w:cantSplit/>
        </w:trPr>
        <w:tc>
          <w:tcPr>
            <w:tcW w:w="1297" w:type="pct"/>
          </w:tcPr>
          <w:p w14:paraId="07EF9544" w14:textId="77777777" w:rsidR="008F28BF" w:rsidRPr="004A5071" w:rsidRDefault="008F28BF" w:rsidP="004A5071">
            <w:pPr>
              <w:pStyle w:val="TableText"/>
              <w:spacing w:before="60" w:after="60"/>
            </w:pPr>
            <w:r w:rsidRPr="004A5071">
              <w:t>Enthusiasm for providing HMRE curriculum</w:t>
            </w:r>
          </w:p>
        </w:tc>
        <w:tc>
          <w:tcPr>
            <w:tcW w:w="3703" w:type="pct"/>
          </w:tcPr>
          <w:p w14:paraId="0D3DFDD7" w14:textId="7DFAD338" w:rsidR="008F28BF" w:rsidRPr="004A5071" w:rsidRDefault="0026170E" w:rsidP="004A5071">
            <w:pPr>
              <w:pStyle w:val="TableText"/>
              <w:spacing w:before="60" w:after="60"/>
            </w:pPr>
            <w:r w:rsidRPr="004A5071">
              <w:t>Perceived i</w:t>
            </w:r>
            <w:r w:rsidR="002846CB" w:rsidRPr="004A5071">
              <w:t xml:space="preserve">mportance of HMRE services to achieving </w:t>
            </w:r>
            <w:r w:rsidR="00CD258D" w:rsidRPr="004A5071">
              <w:t>expected outcomes</w:t>
            </w:r>
          </w:p>
          <w:p w14:paraId="1E3FD40F" w14:textId="60F89F59" w:rsidR="008F28BF" w:rsidRPr="004A5071" w:rsidRDefault="008F28BF" w:rsidP="004A5071">
            <w:pPr>
              <w:pStyle w:val="TableText"/>
              <w:spacing w:before="60" w:after="60"/>
            </w:pPr>
            <w:r w:rsidRPr="004A5071">
              <w:t xml:space="preserve">Willingness </w:t>
            </w:r>
            <w:r w:rsidR="00863D72" w:rsidRPr="004A5071">
              <w:t>of agency</w:t>
            </w:r>
            <w:r w:rsidRPr="004A5071">
              <w:t xml:space="preserve"> staff to implement program services</w:t>
            </w:r>
          </w:p>
        </w:tc>
      </w:tr>
      <w:tr w:rsidR="008F28BF" w:rsidRPr="000B2780" w14:paraId="160B5A9B" w14:textId="77777777" w:rsidTr="004A5071">
        <w:trPr>
          <w:cantSplit/>
        </w:trPr>
        <w:tc>
          <w:tcPr>
            <w:tcW w:w="1297" w:type="pct"/>
          </w:tcPr>
          <w:p w14:paraId="362291A1" w14:textId="77777777" w:rsidR="008F28BF" w:rsidRPr="004A5071" w:rsidRDefault="008F28BF" w:rsidP="004A5071">
            <w:pPr>
              <w:pStyle w:val="TableText"/>
              <w:spacing w:before="60" w:after="60"/>
            </w:pPr>
            <w:r w:rsidRPr="004A5071">
              <w:t>Enthusiasm for providing ancillary services</w:t>
            </w:r>
          </w:p>
        </w:tc>
        <w:tc>
          <w:tcPr>
            <w:tcW w:w="3703" w:type="pct"/>
          </w:tcPr>
          <w:p w14:paraId="67399917" w14:textId="1A86082D" w:rsidR="008F28BF" w:rsidRPr="004A5071" w:rsidRDefault="0026170E" w:rsidP="004A5071">
            <w:pPr>
              <w:pStyle w:val="TableText"/>
              <w:spacing w:before="60" w:after="60"/>
            </w:pPr>
            <w:r w:rsidRPr="004A5071">
              <w:t>Perceived i</w:t>
            </w:r>
            <w:r w:rsidR="002846CB" w:rsidRPr="004A5071">
              <w:t xml:space="preserve">mportance of </w:t>
            </w:r>
            <w:r w:rsidR="008F28BF" w:rsidRPr="004A5071">
              <w:t xml:space="preserve">ancillary services to achieving </w:t>
            </w:r>
            <w:r w:rsidR="00CD258D" w:rsidRPr="004A5071">
              <w:t>expected outcomes</w:t>
            </w:r>
          </w:p>
          <w:p w14:paraId="27B2EBC3" w14:textId="3D06078D" w:rsidR="008F28BF" w:rsidRPr="004A5071" w:rsidRDefault="008F28BF" w:rsidP="004A5071">
            <w:pPr>
              <w:pStyle w:val="TableText"/>
              <w:spacing w:before="60" w:after="60"/>
            </w:pPr>
            <w:r w:rsidRPr="004A5071">
              <w:t xml:space="preserve">Willingness </w:t>
            </w:r>
            <w:r w:rsidR="002846CB" w:rsidRPr="004A5071">
              <w:t xml:space="preserve">of agency </w:t>
            </w:r>
            <w:r w:rsidRPr="004A5071">
              <w:t xml:space="preserve">staff to provide </w:t>
            </w:r>
            <w:r w:rsidR="002846CB" w:rsidRPr="004A5071">
              <w:t xml:space="preserve">or refer participants to </w:t>
            </w:r>
            <w:r w:rsidRPr="004A5071">
              <w:t>ancillary services</w:t>
            </w:r>
          </w:p>
        </w:tc>
      </w:tr>
      <w:tr w:rsidR="008F28BF" w:rsidRPr="000B2780" w14:paraId="21D8DE2B" w14:textId="77777777" w:rsidTr="00CA515A">
        <w:trPr>
          <w:cantSplit/>
        </w:trPr>
        <w:tc>
          <w:tcPr>
            <w:tcW w:w="5000" w:type="pct"/>
            <w:gridSpan w:val="2"/>
            <w:shd w:val="clear" w:color="auto" w:fill="D9D9D9"/>
          </w:tcPr>
          <w:p w14:paraId="4C9F99B7" w14:textId="77777777" w:rsidR="008F28BF" w:rsidRPr="00CA515A" w:rsidRDefault="008F28BF" w:rsidP="00CA515A">
            <w:pPr>
              <w:pStyle w:val="TableHeaderCenter"/>
              <w:rPr>
                <w:color w:val="auto"/>
              </w:rPr>
            </w:pPr>
            <w:r w:rsidRPr="00CA515A">
              <w:rPr>
                <w:color w:val="auto"/>
              </w:rPr>
              <w:t>Fidelity of Implementation: Quality</w:t>
            </w:r>
          </w:p>
        </w:tc>
      </w:tr>
      <w:tr w:rsidR="008F28BF" w:rsidRPr="000B2780" w14:paraId="41BD52AA" w14:textId="77777777" w:rsidTr="004A5071">
        <w:trPr>
          <w:cantSplit/>
        </w:trPr>
        <w:tc>
          <w:tcPr>
            <w:tcW w:w="1297" w:type="pct"/>
          </w:tcPr>
          <w:p w14:paraId="17CFE58D" w14:textId="77777777" w:rsidR="008F28BF" w:rsidRPr="004A5071" w:rsidRDefault="008F28BF" w:rsidP="004A5071">
            <w:pPr>
              <w:pStyle w:val="TableText"/>
              <w:spacing w:before="60" w:after="60"/>
            </w:pPr>
            <w:r w:rsidRPr="004A5071">
              <w:t>Receipt of initial and booster trainings on HMRE curriculum</w:t>
            </w:r>
          </w:p>
        </w:tc>
        <w:tc>
          <w:tcPr>
            <w:tcW w:w="3703" w:type="pct"/>
          </w:tcPr>
          <w:p w14:paraId="1DA6021B" w14:textId="4322EE19" w:rsidR="008F28BF" w:rsidRPr="004A5071" w:rsidRDefault="00FC4915" w:rsidP="004A5071">
            <w:pPr>
              <w:pStyle w:val="TableText"/>
              <w:spacing w:before="60" w:after="60"/>
            </w:pPr>
            <w:r w:rsidRPr="004A5071">
              <w:t xml:space="preserve">Receipt of </w:t>
            </w:r>
            <w:r w:rsidR="008F28BF" w:rsidRPr="004A5071">
              <w:t>initial and ongoing training and guidance on HMRE curriculum</w:t>
            </w:r>
          </w:p>
          <w:p w14:paraId="155369A2" w14:textId="77777777" w:rsidR="008F28BF" w:rsidRPr="004A5071" w:rsidRDefault="00FC4915" w:rsidP="004A5071">
            <w:pPr>
              <w:pStyle w:val="TableText"/>
              <w:spacing w:before="60" w:after="60"/>
            </w:pPr>
            <w:r w:rsidRPr="004A5071">
              <w:t>A</w:t>
            </w:r>
            <w:r w:rsidR="008F28BF" w:rsidRPr="004A5071">
              <w:t xml:space="preserve">ccess </w:t>
            </w:r>
            <w:r w:rsidRPr="004A5071">
              <w:t xml:space="preserve">to </w:t>
            </w:r>
            <w:r w:rsidR="008F28BF" w:rsidRPr="004A5071">
              <w:t>or attend</w:t>
            </w:r>
            <w:r w:rsidRPr="004A5071">
              <w:t>ance at</w:t>
            </w:r>
            <w:r w:rsidR="008F28BF" w:rsidRPr="004A5071">
              <w:t xml:space="preserve"> initial and ongoing trainings </w:t>
            </w:r>
          </w:p>
          <w:p w14:paraId="04AB7BE9" w14:textId="3C082A1E" w:rsidR="00570EA5" w:rsidRPr="004A5071" w:rsidRDefault="00570EA5" w:rsidP="004A5071">
            <w:pPr>
              <w:pStyle w:val="TableText"/>
              <w:spacing w:before="60" w:after="60"/>
            </w:pPr>
            <w:r w:rsidRPr="004A5071">
              <w:t xml:space="preserve">Perceived benefit of initial and booster trainings </w:t>
            </w:r>
          </w:p>
        </w:tc>
      </w:tr>
      <w:tr w:rsidR="008F28BF" w:rsidRPr="000B2780" w14:paraId="7BC5FF4F" w14:textId="77777777" w:rsidTr="004A5071">
        <w:trPr>
          <w:cantSplit/>
        </w:trPr>
        <w:tc>
          <w:tcPr>
            <w:tcW w:w="1297" w:type="pct"/>
          </w:tcPr>
          <w:p w14:paraId="1719265E" w14:textId="77777777" w:rsidR="008F28BF" w:rsidRPr="004A5071" w:rsidRDefault="008F28BF" w:rsidP="004A5071">
            <w:pPr>
              <w:pStyle w:val="TableText"/>
              <w:spacing w:before="60" w:after="60"/>
            </w:pPr>
            <w:r w:rsidRPr="004A5071">
              <w:t>Participation in coaching or support systems related to curriculum delivery</w:t>
            </w:r>
          </w:p>
        </w:tc>
        <w:tc>
          <w:tcPr>
            <w:tcW w:w="3703" w:type="pct"/>
          </w:tcPr>
          <w:p w14:paraId="3AE19920" w14:textId="77B3D35F" w:rsidR="008F28BF" w:rsidRPr="004A5071" w:rsidRDefault="00FC4915" w:rsidP="004A5071">
            <w:pPr>
              <w:pStyle w:val="TableText"/>
              <w:spacing w:before="60" w:after="60"/>
            </w:pPr>
            <w:r w:rsidRPr="004A5071">
              <w:t xml:space="preserve">Availability of and participation in </w:t>
            </w:r>
            <w:r w:rsidR="008F28BF" w:rsidRPr="004A5071">
              <w:t>coaching meetings and other support activities</w:t>
            </w:r>
          </w:p>
          <w:p w14:paraId="481C7A49" w14:textId="77777777" w:rsidR="008F28BF" w:rsidRPr="004A5071" w:rsidRDefault="008F28BF" w:rsidP="004A5071">
            <w:pPr>
              <w:pStyle w:val="TableText"/>
              <w:spacing w:before="60" w:after="60"/>
            </w:pPr>
            <w:r w:rsidRPr="004A5071">
              <w:t>Perceived availability of coaches and supervisors to provide support to program staff</w:t>
            </w:r>
          </w:p>
          <w:p w14:paraId="7BBC2435" w14:textId="078C2A86" w:rsidR="00FC4915" w:rsidRPr="004A5071" w:rsidRDefault="00FC4915" w:rsidP="004A5071">
            <w:pPr>
              <w:pStyle w:val="TableText"/>
              <w:spacing w:before="60" w:after="60"/>
            </w:pPr>
            <w:r w:rsidRPr="004A5071">
              <w:t>Perceived benefit of coaching meetings and other support activities</w:t>
            </w:r>
          </w:p>
        </w:tc>
      </w:tr>
      <w:tr w:rsidR="008F28BF" w:rsidRPr="000B2780" w14:paraId="11A91175" w14:textId="77777777" w:rsidTr="004A5071">
        <w:trPr>
          <w:cantSplit/>
        </w:trPr>
        <w:tc>
          <w:tcPr>
            <w:tcW w:w="1297" w:type="pct"/>
          </w:tcPr>
          <w:p w14:paraId="75E075DA" w14:textId="77777777" w:rsidR="008F28BF" w:rsidRPr="004A5071" w:rsidRDefault="008F28BF" w:rsidP="004A5071">
            <w:pPr>
              <w:pStyle w:val="TableText"/>
              <w:spacing w:before="60" w:after="60"/>
            </w:pPr>
            <w:r w:rsidRPr="004A5071">
              <w:t>Knowledge of HMRE curriculum</w:t>
            </w:r>
          </w:p>
        </w:tc>
        <w:tc>
          <w:tcPr>
            <w:tcW w:w="3703" w:type="pct"/>
          </w:tcPr>
          <w:p w14:paraId="3F162BA6" w14:textId="22F47181" w:rsidR="008F28BF" w:rsidRPr="004A5071" w:rsidRDefault="008F28BF" w:rsidP="004A5071">
            <w:pPr>
              <w:pStyle w:val="TableText"/>
              <w:spacing w:before="60" w:after="60"/>
            </w:pPr>
            <w:r w:rsidRPr="004A5071">
              <w:t>Identification of core HMRE curriculum components such as topics and activities</w:t>
            </w:r>
          </w:p>
          <w:p w14:paraId="50955818" w14:textId="77777777" w:rsidR="008F28BF" w:rsidRPr="004A5071" w:rsidRDefault="008F28BF" w:rsidP="004A5071">
            <w:pPr>
              <w:pStyle w:val="TableText"/>
              <w:spacing w:before="60" w:after="60"/>
            </w:pPr>
            <w:r w:rsidRPr="004A5071">
              <w:t>Ability to articulate program goals and goals of HMRE curriculum</w:t>
            </w:r>
          </w:p>
          <w:p w14:paraId="0C6173ED" w14:textId="675F7A8C" w:rsidR="008F28BF" w:rsidRPr="004A5071" w:rsidRDefault="008F28BF" w:rsidP="004A5071">
            <w:pPr>
              <w:pStyle w:val="TableText"/>
              <w:spacing w:before="60" w:after="60"/>
            </w:pPr>
            <w:r w:rsidRPr="004A5071">
              <w:t>Understanding</w:t>
            </w:r>
            <w:r w:rsidR="00FC4915" w:rsidRPr="004A5071">
              <w:t xml:space="preserve"> of</w:t>
            </w:r>
            <w:r w:rsidRPr="004A5071">
              <w:t xml:space="preserve"> how HMRE curriculum aligns with agency goals and mission</w:t>
            </w:r>
          </w:p>
        </w:tc>
      </w:tr>
      <w:tr w:rsidR="008F28BF" w:rsidRPr="000B2780" w14:paraId="2BA4FF92" w14:textId="77777777" w:rsidTr="004A5071">
        <w:trPr>
          <w:cantSplit/>
        </w:trPr>
        <w:tc>
          <w:tcPr>
            <w:tcW w:w="1297" w:type="pct"/>
          </w:tcPr>
          <w:p w14:paraId="1E0F7E7D" w14:textId="77777777" w:rsidR="008F28BF" w:rsidRPr="004A5071" w:rsidRDefault="008F28BF" w:rsidP="004A5071">
            <w:pPr>
              <w:pStyle w:val="TableText"/>
              <w:spacing w:before="60" w:after="60"/>
            </w:pPr>
            <w:r w:rsidRPr="004A5071">
              <w:t>Knowledge of community resources available to participants requiring additional support</w:t>
            </w:r>
          </w:p>
        </w:tc>
        <w:tc>
          <w:tcPr>
            <w:tcW w:w="3703" w:type="pct"/>
          </w:tcPr>
          <w:p w14:paraId="537431BD" w14:textId="77777777" w:rsidR="008F28BF" w:rsidRPr="004A5071" w:rsidRDefault="008F28BF" w:rsidP="004A5071">
            <w:pPr>
              <w:pStyle w:val="TableText"/>
              <w:spacing w:before="60" w:after="60"/>
            </w:pPr>
            <w:r w:rsidRPr="004A5071">
              <w:t xml:space="preserve">Ability to identify community resources to which participants can be referred </w:t>
            </w:r>
          </w:p>
        </w:tc>
      </w:tr>
      <w:tr w:rsidR="008F28BF" w:rsidRPr="000B2780" w14:paraId="71577384" w14:textId="77777777" w:rsidTr="00CA515A">
        <w:trPr>
          <w:cantSplit/>
        </w:trPr>
        <w:tc>
          <w:tcPr>
            <w:tcW w:w="5000" w:type="pct"/>
            <w:gridSpan w:val="2"/>
            <w:shd w:val="clear" w:color="auto" w:fill="D9D9D9"/>
          </w:tcPr>
          <w:p w14:paraId="73ED4AB2" w14:textId="428CBB24" w:rsidR="008F28BF" w:rsidRPr="00CA515A" w:rsidRDefault="008F28BF" w:rsidP="00CA515A">
            <w:pPr>
              <w:pStyle w:val="TableHeaderCenter"/>
              <w:rPr>
                <w:color w:val="auto"/>
              </w:rPr>
            </w:pPr>
            <w:r w:rsidRPr="00CA515A">
              <w:rPr>
                <w:color w:val="auto"/>
              </w:rPr>
              <w:t>Participant Responsiveness</w:t>
            </w:r>
          </w:p>
        </w:tc>
      </w:tr>
      <w:tr w:rsidR="008F28BF" w:rsidRPr="000B2780" w14:paraId="616B9DE6" w14:textId="77777777" w:rsidTr="004A5071">
        <w:trPr>
          <w:cantSplit/>
        </w:trPr>
        <w:tc>
          <w:tcPr>
            <w:tcW w:w="1297" w:type="pct"/>
          </w:tcPr>
          <w:p w14:paraId="42F77BAD" w14:textId="77777777" w:rsidR="008F28BF" w:rsidRPr="004A5071" w:rsidRDefault="008F28BF" w:rsidP="004A5071">
            <w:pPr>
              <w:pStyle w:val="TableText"/>
              <w:spacing w:before="60" w:after="60"/>
            </w:pPr>
            <w:r w:rsidRPr="004A5071">
              <w:t>Enrollment and motivation for enrolling</w:t>
            </w:r>
          </w:p>
        </w:tc>
        <w:tc>
          <w:tcPr>
            <w:tcW w:w="3703" w:type="pct"/>
          </w:tcPr>
          <w:p w14:paraId="2B5064E8" w14:textId="135C2145" w:rsidR="008F28BF" w:rsidRPr="004A5071" w:rsidRDefault="008F28BF" w:rsidP="004A5071">
            <w:pPr>
              <w:pStyle w:val="TableText"/>
              <w:spacing w:before="60" w:after="60"/>
            </w:pPr>
            <w:r w:rsidRPr="004A5071">
              <w:t xml:space="preserve">How participants </w:t>
            </w:r>
            <w:r w:rsidR="00FC4915" w:rsidRPr="004A5071">
              <w:t xml:space="preserve">learn of and </w:t>
            </w:r>
            <w:r w:rsidR="0086638F" w:rsidRPr="004A5071">
              <w:t xml:space="preserve">come </w:t>
            </w:r>
            <w:r w:rsidRPr="004A5071">
              <w:t>to be in the program</w:t>
            </w:r>
          </w:p>
          <w:p w14:paraId="1DA1C0BC" w14:textId="6A3BD4CB" w:rsidR="008F28BF" w:rsidRPr="004A5071" w:rsidRDefault="008F28BF" w:rsidP="004A5071">
            <w:pPr>
              <w:pStyle w:val="TableText"/>
              <w:spacing w:before="60" w:after="60"/>
            </w:pPr>
            <w:r w:rsidRPr="004A5071">
              <w:t>Factors that most often make a participant ineligible for the program</w:t>
            </w:r>
          </w:p>
        </w:tc>
      </w:tr>
      <w:tr w:rsidR="008F28BF" w:rsidRPr="000B2780" w14:paraId="2F17535A" w14:textId="77777777" w:rsidTr="004A5071">
        <w:trPr>
          <w:cantSplit/>
        </w:trPr>
        <w:tc>
          <w:tcPr>
            <w:tcW w:w="1297" w:type="pct"/>
          </w:tcPr>
          <w:p w14:paraId="789563D5" w14:textId="77777777" w:rsidR="008F28BF" w:rsidRPr="004A5071" w:rsidRDefault="008F28BF" w:rsidP="004A5071">
            <w:pPr>
              <w:pStyle w:val="TableText"/>
              <w:spacing w:before="60" w:after="60"/>
            </w:pPr>
            <w:r w:rsidRPr="004A5071">
              <w:t>Participation rate for curriculum sessions, ancillary services, and entire program</w:t>
            </w:r>
          </w:p>
        </w:tc>
        <w:tc>
          <w:tcPr>
            <w:tcW w:w="3703" w:type="pct"/>
          </w:tcPr>
          <w:p w14:paraId="1623D612" w14:textId="715A457B" w:rsidR="008F28BF" w:rsidRPr="004A5071" w:rsidRDefault="00FC4915" w:rsidP="004A5071">
            <w:pPr>
              <w:pStyle w:val="TableText"/>
              <w:spacing w:before="60" w:after="60"/>
            </w:pPr>
            <w:r w:rsidRPr="004A5071">
              <w:t xml:space="preserve">Challenges to </w:t>
            </w:r>
            <w:r w:rsidR="008F28BF" w:rsidRPr="004A5071">
              <w:t>participants attend</w:t>
            </w:r>
            <w:r w:rsidRPr="004A5071">
              <w:t>ing</w:t>
            </w:r>
            <w:r w:rsidR="008F28BF" w:rsidRPr="004A5071">
              <w:t xml:space="preserve"> HMRE sessions</w:t>
            </w:r>
            <w:r w:rsidRPr="004A5071">
              <w:t xml:space="preserve"> at expected frequency</w:t>
            </w:r>
          </w:p>
          <w:p w14:paraId="77D83565" w14:textId="3F491E97" w:rsidR="008F28BF" w:rsidRPr="004A5071" w:rsidRDefault="00FC4915" w:rsidP="004A5071">
            <w:pPr>
              <w:pStyle w:val="TableText"/>
              <w:spacing w:before="60" w:after="60"/>
            </w:pPr>
            <w:r w:rsidRPr="004A5071">
              <w:t xml:space="preserve">Challenges to </w:t>
            </w:r>
            <w:r w:rsidR="008F28BF" w:rsidRPr="004A5071">
              <w:t>participants receiv</w:t>
            </w:r>
            <w:r w:rsidRPr="004A5071">
              <w:t>ing</w:t>
            </w:r>
            <w:r w:rsidR="008F28BF" w:rsidRPr="004A5071">
              <w:t xml:space="preserve"> ancillary services</w:t>
            </w:r>
          </w:p>
          <w:p w14:paraId="3C85611F" w14:textId="474E0E80" w:rsidR="008F28BF" w:rsidRPr="004A5071" w:rsidRDefault="00FC4915" w:rsidP="004A5071">
            <w:pPr>
              <w:pStyle w:val="TableText"/>
              <w:spacing w:before="60" w:after="60"/>
            </w:pPr>
            <w:r w:rsidRPr="004A5071">
              <w:t xml:space="preserve">Challenges to </w:t>
            </w:r>
            <w:r w:rsidR="008F28BF" w:rsidRPr="004A5071">
              <w:t>participants receiv</w:t>
            </w:r>
            <w:r w:rsidRPr="004A5071">
              <w:t>ing</w:t>
            </w:r>
            <w:r w:rsidR="008F28BF" w:rsidRPr="004A5071">
              <w:t xml:space="preserve"> any services offered by the program</w:t>
            </w:r>
          </w:p>
          <w:p w14:paraId="63EBBECC" w14:textId="77777777" w:rsidR="008F28BF" w:rsidRPr="004A5071" w:rsidRDefault="008F28BF" w:rsidP="004A5071">
            <w:pPr>
              <w:pStyle w:val="TableText"/>
              <w:spacing w:before="60" w:after="60"/>
            </w:pPr>
            <w:r w:rsidRPr="004A5071">
              <w:t>Most common barriers to participation</w:t>
            </w:r>
          </w:p>
          <w:p w14:paraId="66037E76" w14:textId="77777777" w:rsidR="008F28BF" w:rsidRPr="004A5071" w:rsidRDefault="008F28BF" w:rsidP="004A5071">
            <w:pPr>
              <w:pStyle w:val="TableText"/>
              <w:spacing w:before="60" w:after="60"/>
            </w:pPr>
            <w:r w:rsidRPr="004A5071">
              <w:t>Strategies to support participation and reduce barriers</w:t>
            </w:r>
          </w:p>
        </w:tc>
      </w:tr>
      <w:tr w:rsidR="008F28BF" w:rsidRPr="000B2780" w14:paraId="108CB284" w14:textId="77777777" w:rsidTr="004A5071">
        <w:trPr>
          <w:cantSplit/>
        </w:trPr>
        <w:tc>
          <w:tcPr>
            <w:tcW w:w="1297" w:type="pct"/>
          </w:tcPr>
          <w:p w14:paraId="2CE57F69" w14:textId="77777777" w:rsidR="008F28BF" w:rsidRPr="004A5071" w:rsidRDefault="008F28BF" w:rsidP="004A5071">
            <w:pPr>
              <w:pStyle w:val="TableText"/>
              <w:spacing w:before="60" w:after="60"/>
            </w:pPr>
            <w:r w:rsidRPr="004A5071">
              <w:lastRenderedPageBreak/>
              <w:t>Average dosage for curriculum sessions, ancillary services, and entire program</w:t>
            </w:r>
          </w:p>
        </w:tc>
        <w:tc>
          <w:tcPr>
            <w:tcW w:w="3703" w:type="pct"/>
          </w:tcPr>
          <w:p w14:paraId="631EC86D" w14:textId="2EFBE18E" w:rsidR="002A5F8E" w:rsidRPr="004A5071" w:rsidRDefault="002A5F8E" w:rsidP="004A5071">
            <w:pPr>
              <w:pStyle w:val="TableText"/>
              <w:spacing w:before="60" w:after="60"/>
            </w:pPr>
            <w:r w:rsidRPr="004A5071">
              <w:t>Definition of program completion</w:t>
            </w:r>
          </w:p>
          <w:p w14:paraId="4211C467" w14:textId="77777777" w:rsidR="002A5F8E" w:rsidRPr="004A5071" w:rsidRDefault="002A5F8E" w:rsidP="004A5071">
            <w:pPr>
              <w:pStyle w:val="TableText"/>
              <w:spacing w:before="60" w:after="60"/>
            </w:pPr>
            <w:r w:rsidRPr="004A5071">
              <w:t>Challenges to participants receiving the intended dose of the HMRE curriculum and other services</w:t>
            </w:r>
          </w:p>
          <w:p w14:paraId="371A8C7F" w14:textId="2BF42108" w:rsidR="008F28BF" w:rsidRPr="004A5071" w:rsidRDefault="002A5F8E" w:rsidP="004A5071">
            <w:pPr>
              <w:pStyle w:val="TableText"/>
              <w:spacing w:before="60" w:after="60"/>
            </w:pPr>
            <w:r w:rsidRPr="004A5071">
              <w:t xml:space="preserve">Strategies to support </w:t>
            </w:r>
            <w:r w:rsidR="003C3296" w:rsidRPr="004A5071">
              <w:t xml:space="preserve">program </w:t>
            </w:r>
            <w:r w:rsidRPr="004A5071">
              <w:t>completion</w:t>
            </w:r>
          </w:p>
        </w:tc>
      </w:tr>
      <w:tr w:rsidR="008F28BF" w:rsidRPr="000B2780" w14:paraId="61B6FCCB" w14:textId="77777777" w:rsidTr="004A5071">
        <w:trPr>
          <w:cantSplit/>
        </w:trPr>
        <w:tc>
          <w:tcPr>
            <w:tcW w:w="1297" w:type="pct"/>
          </w:tcPr>
          <w:p w14:paraId="00A92548" w14:textId="4E49CBEA" w:rsidR="008F28BF" w:rsidRPr="004A5071" w:rsidRDefault="008F28BF" w:rsidP="004A5071">
            <w:pPr>
              <w:pStyle w:val="TableText"/>
              <w:spacing w:before="60" w:after="60"/>
            </w:pPr>
            <w:r w:rsidRPr="004A5071">
              <w:t>Satisfaction with program services</w:t>
            </w:r>
          </w:p>
        </w:tc>
        <w:tc>
          <w:tcPr>
            <w:tcW w:w="3703" w:type="pct"/>
          </w:tcPr>
          <w:p w14:paraId="7407FEE3" w14:textId="77777777" w:rsidR="008F28BF" w:rsidRPr="004A5071" w:rsidRDefault="008F28BF" w:rsidP="004A5071">
            <w:pPr>
              <w:pStyle w:val="TableText"/>
              <w:spacing w:before="60" w:after="60"/>
            </w:pPr>
            <w:r w:rsidRPr="004A5071">
              <w:t>Services participants seem to respond to the most</w:t>
            </w:r>
          </w:p>
          <w:p w14:paraId="71CA5275" w14:textId="77777777" w:rsidR="008F28BF" w:rsidRPr="004A5071" w:rsidRDefault="008F28BF" w:rsidP="004A5071">
            <w:pPr>
              <w:pStyle w:val="TableText"/>
              <w:spacing w:before="60" w:after="60"/>
            </w:pPr>
            <w:r w:rsidRPr="004A5071">
              <w:t>Services participants seem to respond to the least</w:t>
            </w:r>
          </w:p>
          <w:p w14:paraId="79CA51F4" w14:textId="77777777" w:rsidR="008F28BF" w:rsidRPr="004A5071" w:rsidRDefault="008F28BF" w:rsidP="004A5071">
            <w:pPr>
              <w:pStyle w:val="TableText"/>
              <w:spacing w:before="60" w:after="60"/>
            </w:pPr>
            <w:r w:rsidRPr="004A5071">
              <w:t xml:space="preserve">Services that are challenging to get participants to engage in </w:t>
            </w:r>
          </w:p>
        </w:tc>
      </w:tr>
      <w:tr w:rsidR="008F28BF" w:rsidRPr="000B2780" w14:paraId="2808C4A7" w14:textId="77777777" w:rsidTr="004A5071">
        <w:trPr>
          <w:cantSplit/>
        </w:trPr>
        <w:tc>
          <w:tcPr>
            <w:tcW w:w="1297" w:type="pct"/>
          </w:tcPr>
          <w:p w14:paraId="440CDB07" w14:textId="77777777" w:rsidR="008F28BF" w:rsidRPr="004A5071" w:rsidRDefault="008F28BF" w:rsidP="004A5071">
            <w:pPr>
              <w:pStyle w:val="TableText"/>
              <w:spacing w:before="60" w:after="60"/>
            </w:pPr>
            <w:r w:rsidRPr="004A5071">
              <w:t>Knowledge and skill acquisition</w:t>
            </w:r>
          </w:p>
        </w:tc>
        <w:tc>
          <w:tcPr>
            <w:tcW w:w="3703" w:type="pct"/>
          </w:tcPr>
          <w:p w14:paraId="3C3B68DF" w14:textId="6078F431" w:rsidR="008F28BF" w:rsidRPr="004A5071" w:rsidRDefault="008F28BF" w:rsidP="004A5071">
            <w:pPr>
              <w:pStyle w:val="TableText"/>
              <w:spacing w:before="60" w:after="60"/>
            </w:pPr>
            <w:r w:rsidRPr="004A5071">
              <w:t xml:space="preserve">Observed changes in participant behavior that indicates </w:t>
            </w:r>
            <w:r w:rsidR="002846CB" w:rsidRPr="004A5071">
              <w:t xml:space="preserve">acquisition of </w:t>
            </w:r>
            <w:r w:rsidRPr="004A5071">
              <w:t>new knowledge or skills</w:t>
            </w:r>
          </w:p>
          <w:p w14:paraId="4E32F7DF" w14:textId="492059A1" w:rsidR="008F28BF" w:rsidRPr="004A5071" w:rsidRDefault="002846CB" w:rsidP="004A5071">
            <w:pPr>
              <w:pStyle w:val="TableText"/>
              <w:spacing w:before="60" w:after="60"/>
            </w:pPr>
            <w:r w:rsidRPr="004A5071">
              <w:t xml:space="preserve">Whether </w:t>
            </w:r>
            <w:r w:rsidR="008F28BF" w:rsidRPr="004A5071">
              <w:t xml:space="preserve">pre-and post-tests indicate </w:t>
            </w:r>
            <w:r w:rsidRPr="004A5071">
              <w:t xml:space="preserve">acquisition of </w:t>
            </w:r>
            <w:r w:rsidR="008F28BF" w:rsidRPr="004A5071">
              <w:t>new knowledge and skills</w:t>
            </w:r>
          </w:p>
          <w:p w14:paraId="145BFD15" w14:textId="26A287FE" w:rsidR="008F28BF" w:rsidRPr="004A5071" w:rsidRDefault="008F28BF" w:rsidP="004A5071">
            <w:pPr>
              <w:pStyle w:val="TableText"/>
              <w:spacing w:before="60" w:after="60"/>
            </w:pPr>
            <w:r w:rsidRPr="004A5071">
              <w:t xml:space="preserve">Examples of key skills or </w:t>
            </w:r>
            <w:r w:rsidR="008F5623" w:rsidRPr="004A5071">
              <w:t>knowledge</w:t>
            </w:r>
            <w:r w:rsidRPr="004A5071">
              <w:t xml:space="preserve"> that participants have </w:t>
            </w:r>
            <w:r w:rsidR="008F5623" w:rsidRPr="004A5071">
              <w:t>gained</w:t>
            </w:r>
            <w:r w:rsidRPr="004A5071">
              <w:t>; demonstration of specific skills and information taught in the program</w:t>
            </w:r>
          </w:p>
        </w:tc>
      </w:tr>
      <w:tr w:rsidR="008F28BF" w:rsidRPr="000B2780" w14:paraId="3A81F35B" w14:textId="77777777" w:rsidTr="00CA515A">
        <w:trPr>
          <w:cantSplit/>
        </w:trPr>
        <w:tc>
          <w:tcPr>
            <w:tcW w:w="5000" w:type="pct"/>
            <w:gridSpan w:val="2"/>
            <w:shd w:val="clear" w:color="auto" w:fill="D9D9D9"/>
          </w:tcPr>
          <w:p w14:paraId="736D1315" w14:textId="77777777" w:rsidR="008F28BF" w:rsidRPr="00CA515A" w:rsidRDefault="008F28BF" w:rsidP="00CA515A">
            <w:pPr>
              <w:pStyle w:val="TableHeaderCenter"/>
              <w:rPr>
                <w:color w:val="auto"/>
              </w:rPr>
            </w:pPr>
            <w:r w:rsidRPr="00CA515A">
              <w:rPr>
                <w:color w:val="auto"/>
              </w:rPr>
              <w:t>Community Context</w:t>
            </w:r>
          </w:p>
        </w:tc>
      </w:tr>
      <w:tr w:rsidR="008F28BF" w:rsidRPr="000B2780" w14:paraId="3138C8B6" w14:textId="77777777" w:rsidTr="004A5071">
        <w:trPr>
          <w:cantSplit/>
        </w:trPr>
        <w:tc>
          <w:tcPr>
            <w:tcW w:w="1297" w:type="pct"/>
          </w:tcPr>
          <w:p w14:paraId="2661C519" w14:textId="7B36E7B1" w:rsidR="008F28BF" w:rsidRPr="004A5071" w:rsidRDefault="008F28BF" w:rsidP="0093733B">
            <w:pPr>
              <w:pStyle w:val="TableText"/>
              <w:spacing w:before="60" w:after="60"/>
            </w:pPr>
            <w:r w:rsidRPr="004A5071">
              <w:t>HMRE program</w:t>
            </w:r>
            <w:r w:rsidR="00A34CD8" w:rsidRPr="004A5071">
              <w:t xml:space="preserve"> awareness</w:t>
            </w:r>
          </w:p>
        </w:tc>
        <w:tc>
          <w:tcPr>
            <w:tcW w:w="3703" w:type="pct"/>
          </w:tcPr>
          <w:p w14:paraId="0FD31E29" w14:textId="3920EF96" w:rsidR="008F28BF" w:rsidRPr="004A5071" w:rsidRDefault="008F28BF" w:rsidP="004A5071">
            <w:pPr>
              <w:pStyle w:val="TableText"/>
              <w:spacing w:before="60" w:after="60"/>
            </w:pPr>
            <w:r w:rsidRPr="004A5071">
              <w:t xml:space="preserve">Extent to which this HMRE program is known </w:t>
            </w:r>
            <w:r w:rsidR="008F5623" w:rsidRPr="004A5071">
              <w:t>in</w:t>
            </w:r>
            <w:r w:rsidRPr="004A5071">
              <w:t xml:space="preserve"> the community </w:t>
            </w:r>
          </w:p>
        </w:tc>
      </w:tr>
      <w:tr w:rsidR="008F28BF" w:rsidRPr="000B2780" w14:paraId="1A540C2E" w14:textId="77777777" w:rsidTr="004A5071">
        <w:trPr>
          <w:cantSplit/>
        </w:trPr>
        <w:tc>
          <w:tcPr>
            <w:tcW w:w="1297" w:type="pct"/>
          </w:tcPr>
          <w:p w14:paraId="6A78C256" w14:textId="77777777" w:rsidR="008F28BF" w:rsidRPr="004A5071" w:rsidRDefault="008F28BF" w:rsidP="004A5071">
            <w:pPr>
              <w:pStyle w:val="TableText"/>
              <w:spacing w:before="60" w:after="60"/>
            </w:pPr>
            <w:r w:rsidRPr="004A5071">
              <w:t xml:space="preserve">Availability of other HMRE or similar programming </w:t>
            </w:r>
          </w:p>
        </w:tc>
        <w:tc>
          <w:tcPr>
            <w:tcW w:w="3703" w:type="pct"/>
          </w:tcPr>
          <w:p w14:paraId="35C43D60" w14:textId="44BC21C6" w:rsidR="008F28BF" w:rsidRPr="004A5071" w:rsidRDefault="00A34CD8" w:rsidP="004A5071">
            <w:pPr>
              <w:pStyle w:val="TableText"/>
              <w:spacing w:before="60" w:after="60"/>
            </w:pPr>
            <w:r w:rsidRPr="004A5071">
              <w:t xml:space="preserve">Whether </w:t>
            </w:r>
            <w:r w:rsidR="008F28BF" w:rsidRPr="004A5071">
              <w:t xml:space="preserve">there are similar </w:t>
            </w:r>
            <w:r w:rsidR="008F5623" w:rsidRPr="004A5071">
              <w:t>services available in</w:t>
            </w:r>
            <w:r w:rsidR="008F28BF" w:rsidRPr="004A5071">
              <w:t xml:space="preserve"> the community (i.e. availability of other HMRE </w:t>
            </w:r>
            <w:r w:rsidR="008F5623" w:rsidRPr="004A5071">
              <w:t xml:space="preserve">or related </w:t>
            </w:r>
            <w:r w:rsidR="008F28BF" w:rsidRPr="004A5071">
              <w:t>curricula through other organizations)</w:t>
            </w:r>
          </w:p>
          <w:p w14:paraId="44736770" w14:textId="127F753D" w:rsidR="008F28BF" w:rsidRPr="004A5071" w:rsidRDefault="00A34CD8" w:rsidP="004A5071">
            <w:pPr>
              <w:pStyle w:val="TableText"/>
              <w:spacing w:before="60" w:after="60"/>
            </w:pPr>
            <w:r w:rsidRPr="004A5071">
              <w:t xml:space="preserve">Whether other community agencies </w:t>
            </w:r>
            <w:r w:rsidR="008F28BF" w:rsidRPr="004A5071">
              <w:t xml:space="preserve">offer similar </w:t>
            </w:r>
            <w:r w:rsidRPr="004A5071">
              <w:t xml:space="preserve">ancillary </w:t>
            </w:r>
            <w:r w:rsidR="008F28BF" w:rsidRPr="004A5071">
              <w:t xml:space="preserve">programming </w:t>
            </w:r>
            <w:r w:rsidRPr="004A5071">
              <w:t xml:space="preserve">in the </w:t>
            </w:r>
            <w:r w:rsidR="008F28BF" w:rsidRPr="004A5071">
              <w:t xml:space="preserve">community </w:t>
            </w:r>
          </w:p>
        </w:tc>
      </w:tr>
    </w:tbl>
    <w:p w14:paraId="2564080B" w14:textId="77777777" w:rsidR="008F28BF" w:rsidRPr="00155D06" w:rsidRDefault="008F28BF" w:rsidP="00EF1C61"/>
    <w:sectPr w:rsidR="008F28BF" w:rsidRPr="00155D06" w:rsidSect="00E4252D">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22FD8" w14:textId="77777777" w:rsidR="00007CAE" w:rsidRDefault="00007CAE" w:rsidP="002E3E35">
      <w:pPr>
        <w:spacing w:line="240" w:lineRule="auto"/>
      </w:pPr>
      <w:r>
        <w:separator/>
      </w:r>
    </w:p>
  </w:endnote>
  <w:endnote w:type="continuationSeparator" w:id="0">
    <w:p w14:paraId="3BA89BCA" w14:textId="77777777" w:rsidR="00007CAE" w:rsidRDefault="00007CA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EC359" w14:textId="1D40B17F" w:rsidR="00FD488C" w:rsidRPr="00E4252D" w:rsidRDefault="00FD488C" w:rsidP="00E4252D">
    <w:pPr>
      <w:spacing w:line="240" w:lineRule="auto"/>
      <w:rPr>
        <w:rStyle w:val="PageNumber"/>
        <w:rFonts w:ascii="Times New Roman" w:hAnsi="Times New Roman"/>
        <w:sz w:val="24"/>
      </w:rPr>
    </w:pPr>
    <w:bookmarkStart w:id="3" w:name="Draft2"/>
    <w:r w:rsidRPr="00E4252D">
      <w:rPr>
        <w:rStyle w:val="PageNumber"/>
        <w:rFonts w:ascii="Times New Roman" w:hAnsi="Times New Roman"/>
        <w:sz w:val="24"/>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176C" w14:textId="77777777" w:rsidR="00E4252D" w:rsidRPr="00A12B64" w:rsidRDefault="00E4252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8436161" w14:textId="77777777" w:rsidR="00E4252D" w:rsidRDefault="00E4252D" w:rsidP="00455D47">
    <w:pPr>
      <w:pStyle w:val="Footer"/>
      <w:pBdr>
        <w:top w:val="single" w:sz="2" w:space="1" w:color="auto"/>
        <w:bottom w:val="none" w:sz="0" w:space="0" w:color="auto"/>
      </w:pBdr>
      <w:spacing w:line="192" w:lineRule="auto"/>
      <w:rPr>
        <w:rStyle w:val="PageNumber"/>
      </w:rPr>
    </w:pPr>
  </w:p>
  <w:p w14:paraId="3BFB833B" w14:textId="2E9AC0AC" w:rsidR="00E4252D" w:rsidRPr="00964AB7" w:rsidRDefault="00E4252D"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6603B">
      <w:rPr>
        <w:rStyle w:val="PageNumber"/>
        <w:noProof/>
      </w:rPr>
      <w:t>8</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187A7" w14:textId="77777777" w:rsidR="00007CAE" w:rsidRDefault="00007CAE" w:rsidP="00203E3B">
      <w:pPr>
        <w:spacing w:line="240" w:lineRule="auto"/>
        <w:ind w:firstLine="0"/>
      </w:pPr>
      <w:r>
        <w:separator/>
      </w:r>
    </w:p>
  </w:footnote>
  <w:footnote w:type="continuationSeparator" w:id="0">
    <w:p w14:paraId="615AF07B" w14:textId="77777777" w:rsidR="00007CAE" w:rsidRDefault="00007CAE" w:rsidP="00203E3B">
      <w:pPr>
        <w:spacing w:line="240" w:lineRule="auto"/>
        <w:ind w:firstLine="0"/>
      </w:pPr>
      <w:r>
        <w:separator/>
      </w:r>
    </w:p>
    <w:p w14:paraId="78C89584" w14:textId="77777777" w:rsidR="00007CAE" w:rsidRPr="00157CA2" w:rsidRDefault="00007CA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CE676" w14:textId="436BE518" w:rsidR="00FD488C" w:rsidRPr="00E4252D" w:rsidRDefault="00FD488C" w:rsidP="00E4252D">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A09FC" w14:textId="77777777" w:rsidR="00E4252D" w:rsidRPr="00C44B5B" w:rsidRDefault="00E4252D" w:rsidP="002E3E35">
    <w:pPr>
      <w:pStyle w:val="Header"/>
      <w:rPr>
        <w:rFonts w:cs="Arial"/>
        <w:i/>
        <w:szCs w:val="14"/>
      </w:rPr>
    </w:pPr>
    <w:r>
      <w:t>INSTRUMENT 1: TOPIC GUIDE FOR STAFF AND STAKEHOLDER INTERVIEWS</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751DA"/>
    <w:multiLevelType w:val="hybridMultilevel"/>
    <w:tmpl w:val="91D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426F3"/>
    <w:multiLevelType w:val="hybridMultilevel"/>
    <w:tmpl w:val="040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3134C9"/>
    <w:multiLevelType w:val="hybridMultilevel"/>
    <w:tmpl w:val="6CA4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948E4"/>
    <w:multiLevelType w:val="hybridMultilevel"/>
    <w:tmpl w:val="52CE07D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41653"/>
    <w:multiLevelType w:val="hybridMultilevel"/>
    <w:tmpl w:val="64B8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A2191"/>
    <w:multiLevelType w:val="hybridMultilevel"/>
    <w:tmpl w:val="D858646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25CF2"/>
    <w:multiLevelType w:val="hybridMultilevel"/>
    <w:tmpl w:val="0B1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598"/>
    <w:multiLevelType w:val="hybridMultilevel"/>
    <w:tmpl w:val="1E669B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0071540"/>
    <w:multiLevelType w:val="hybridMultilevel"/>
    <w:tmpl w:val="D4B0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B1C0A"/>
    <w:multiLevelType w:val="hybridMultilevel"/>
    <w:tmpl w:val="E10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C37DD"/>
    <w:multiLevelType w:val="hybridMultilevel"/>
    <w:tmpl w:val="993ADB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D5D12"/>
    <w:multiLevelType w:val="hybridMultilevel"/>
    <w:tmpl w:val="A2BE04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7E456754"/>
    <w:multiLevelType w:val="hybridMultilevel"/>
    <w:tmpl w:val="BB9859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1"/>
  </w:num>
  <w:num w:numId="2">
    <w:abstractNumId w:val="23"/>
  </w:num>
  <w:num w:numId="3">
    <w:abstractNumId w:val="34"/>
  </w:num>
  <w:num w:numId="4">
    <w:abstractNumId w:val="8"/>
  </w:num>
  <w:num w:numId="5">
    <w:abstractNumId w:val="32"/>
  </w:num>
  <w:num w:numId="6">
    <w:abstractNumId w:val="36"/>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5"/>
  </w:num>
  <w:num w:numId="19">
    <w:abstractNumId w:val="25"/>
  </w:num>
  <w:num w:numId="20">
    <w:abstractNumId w:val="5"/>
  </w:num>
  <w:num w:numId="21">
    <w:abstractNumId w:val="26"/>
  </w:num>
  <w:num w:numId="22">
    <w:abstractNumId w:val="2"/>
  </w:num>
  <w:num w:numId="23">
    <w:abstractNumId w:val="19"/>
  </w:num>
  <w:num w:numId="24">
    <w:abstractNumId w:val="30"/>
  </w:num>
  <w:num w:numId="25">
    <w:abstractNumId w:val="7"/>
  </w:num>
  <w:num w:numId="26">
    <w:abstractNumId w:val="1"/>
  </w:num>
  <w:num w:numId="27">
    <w:abstractNumId w:val="11"/>
  </w:num>
  <w:num w:numId="28">
    <w:abstractNumId w:val="20"/>
  </w:num>
  <w:num w:numId="29">
    <w:abstractNumId w:val="29"/>
  </w:num>
  <w:num w:numId="30">
    <w:abstractNumId w:val="27"/>
  </w:num>
  <w:num w:numId="31">
    <w:abstractNumId w:val="3"/>
  </w:num>
  <w:num w:numId="32">
    <w:abstractNumId w:val="22"/>
    <w:lvlOverride w:ilvl="0">
      <w:startOverride w:val="1"/>
    </w:lvlOverride>
  </w:num>
  <w:num w:numId="33">
    <w:abstractNumId w:val="14"/>
  </w:num>
  <w:num w:numId="34">
    <w:abstractNumId w:val="33"/>
  </w:num>
  <w:num w:numId="35">
    <w:abstractNumId w:val="21"/>
  </w:num>
  <w:num w:numId="36">
    <w:abstractNumId w:val="18"/>
  </w:num>
  <w:num w:numId="37">
    <w:abstractNumId w:val="12"/>
  </w:num>
  <w:num w:numId="38">
    <w:abstractNumId w:val="6"/>
  </w:num>
  <w:num w:numId="39">
    <w:abstractNumId w:val="35"/>
  </w:num>
  <w:num w:numId="40">
    <w:abstractNumId w:val="37"/>
  </w:num>
  <w:num w:numId="41">
    <w:abstractNumId w:val="13"/>
  </w:num>
  <w:num w:numId="42">
    <w:abstractNumId w:val="17"/>
  </w:num>
  <w:num w:numId="43">
    <w:abstractNumId w:val="10"/>
  </w:num>
  <w:num w:numId="44">
    <w:abstractNumId w:val="4"/>
  </w:num>
  <w:num w:numId="45">
    <w:abstractNumId w:val="24"/>
  </w:num>
  <w:num w:numId="46">
    <w:abstractNumId w:val="1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BF"/>
    <w:rsid w:val="000030B1"/>
    <w:rsid w:val="00007CAE"/>
    <w:rsid w:val="00010CEE"/>
    <w:rsid w:val="0001587F"/>
    <w:rsid w:val="00016D34"/>
    <w:rsid w:val="000212FC"/>
    <w:rsid w:val="00022A0A"/>
    <w:rsid w:val="0002322B"/>
    <w:rsid w:val="0002754E"/>
    <w:rsid w:val="00031DA6"/>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0EF0"/>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14B93"/>
    <w:rsid w:val="00122C2C"/>
    <w:rsid w:val="00122CDA"/>
    <w:rsid w:val="00130C03"/>
    <w:rsid w:val="001311F7"/>
    <w:rsid w:val="0013184F"/>
    <w:rsid w:val="00131D22"/>
    <w:rsid w:val="00131F00"/>
    <w:rsid w:val="0013346F"/>
    <w:rsid w:val="001342C5"/>
    <w:rsid w:val="00135EB7"/>
    <w:rsid w:val="0013709C"/>
    <w:rsid w:val="00143E99"/>
    <w:rsid w:val="00146CE3"/>
    <w:rsid w:val="00147515"/>
    <w:rsid w:val="00147A74"/>
    <w:rsid w:val="00154DF1"/>
    <w:rsid w:val="00155D06"/>
    <w:rsid w:val="001578A3"/>
    <w:rsid w:val="00157CA2"/>
    <w:rsid w:val="00162CD0"/>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F01E4"/>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5694"/>
    <w:rsid w:val="0023638D"/>
    <w:rsid w:val="00237C47"/>
    <w:rsid w:val="00247945"/>
    <w:rsid w:val="002512AC"/>
    <w:rsid w:val="00254C89"/>
    <w:rsid w:val="00254E2D"/>
    <w:rsid w:val="00256D04"/>
    <w:rsid w:val="0026025C"/>
    <w:rsid w:val="00260457"/>
    <w:rsid w:val="0026170E"/>
    <w:rsid w:val="0026713B"/>
    <w:rsid w:val="00271C83"/>
    <w:rsid w:val="0027245E"/>
    <w:rsid w:val="00272B66"/>
    <w:rsid w:val="002733A4"/>
    <w:rsid w:val="002817A6"/>
    <w:rsid w:val="00283304"/>
    <w:rsid w:val="0028360E"/>
    <w:rsid w:val="002846CB"/>
    <w:rsid w:val="002869EF"/>
    <w:rsid w:val="0029011D"/>
    <w:rsid w:val="0029042C"/>
    <w:rsid w:val="00292A7F"/>
    <w:rsid w:val="00294B21"/>
    <w:rsid w:val="00297266"/>
    <w:rsid w:val="002A00E4"/>
    <w:rsid w:val="002A2808"/>
    <w:rsid w:val="002A3D5D"/>
    <w:rsid w:val="002A4F27"/>
    <w:rsid w:val="002A5F8E"/>
    <w:rsid w:val="002A64F9"/>
    <w:rsid w:val="002A6552"/>
    <w:rsid w:val="002B0E82"/>
    <w:rsid w:val="002B25CD"/>
    <w:rsid w:val="002B71CD"/>
    <w:rsid w:val="002B72E0"/>
    <w:rsid w:val="002B76AB"/>
    <w:rsid w:val="002B7C37"/>
    <w:rsid w:val="002C0610"/>
    <w:rsid w:val="002C1507"/>
    <w:rsid w:val="002C3CA5"/>
    <w:rsid w:val="002C40A9"/>
    <w:rsid w:val="002C598D"/>
    <w:rsid w:val="002C71CA"/>
    <w:rsid w:val="002D051A"/>
    <w:rsid w:val="002D262A"/>
    <w:rsid w:val="002D6763"/>
    <w:rsid w:val="002D7B94"/>
    <w:rsid w:val="002E06F1"/>
    <w:rsid w:val="002E226E"/>
    <w:rsid w:val="002E245D"/>
    <w:rsid w:val="002E3E35"/>
    <w:rsid w:val="002F297B"/>
    <w:rsid w:val="002F3D37"/>
    <w:rsid w:val="002F6E35"/>
    <w:rsid w:val="00301962"/>
    <w:rsid w:val="0030242C"/>
    <w:rsid w:val="0030266E"/>
    <w:rsid w:val="00302890"/>
    <w:rsid w:val="00302B25"/>
    <w:rsid w:val="00306F1E"/>
    <w:rsid w:val="00310CBE"/>
    <w:rsid w:val="00313F61"/>
    <w:rsid w:val="00315DEC"/>
    <w:rsid w:val="0031740A"/>
    <w:rsid w:val="00317FDB"/>
    <w:rsid w:val="003250D8"/>
    <w:rsid w:val="00325FF2"/>
    <w:rsid w:val="00326958"/>
    <w:rsid w:val="0033012A"/>
    <w:rsid w:val="003308C3"/>
    <w:rsid w:val="00330A3C"/>
    <w:rsid w:val="00331ADC"/>
    <w:rsid w:val="00337B74"/>
    <w:rsid w:val="00341682"/>
    <w:rsid w:val="003426BF"/>
    <w:rsid w:val="00345556"/>
    <w:rsid w:val="00346E5F"/>
    <w:rsid w:val="0035526C"/>
    <w:rsid w:val="00357B5C"/>
    <w:rsid w:val="00363410"/>
    <w:rsid w:val="00363A19"/>
    <w:rsid w:val="003656C4"/>
    <w:rsid w:val="00366F93"/>
    <w:rsid w:val="00370490"/>
    <w:rsid w:val="00370A50"/>
    <w:rsid w:val="00370BC5"/>
    <w:rsid w:val="00370D5B"/>
    <w:rsid w:val="003743AD"/>
    <w:rsid w:val="0038479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296"/>
    <w:rsid w:val="003C3464"/>
    <w:rsid w:val="003C38EC"/>
    <w:rsid w:val="003C3D79"/>
    <w:rsid w:val="003E1520"/>
    <w:rsid w:val="003E21DB"/>
    <w:rsid w:val="003E3505"/>
    <w:rsid w:val="003E418E"/>
    <w:rsid w:val="003E7979"/>
    <w:rsid w:val="003F4ADD"/>
    <w:rsid w:val="003F7027"/>
    <w:rsid w:val="003F7D6D"/>
    <w:rsid w:val="00406760"/>
    <w:rsid w:val="00413779"/>
    <w:rsid w:val="004235B4"/>
    <w:rsid w:val="00430A83"/>
    <w:rsid w:val="00431084"/>
    <w:rsid w:val="00435539"/>
    <w:rsid w:val="00436B58"/>
    <w:rsid w:val="00436BEA"/>
    <w:rsid w:val="00437868"/>
    <w:rsid w:val="004406E3"/>
    <w:rsid w:val="0044335E"/>
    <w:rsid w:val="00446C1B"/>
    <w:rsid w:val="004533DB"/>
    <w:rsid w:val="0045494D"/>
    <w:rsid w:val="00455D47"/>
    <w:rsid w:val="004620FF"/>
    <w:rsid w:val="00462212"/>
    <w:rsid w:val="00464B7F"/>
    <w:rsid w:val="004655C1"/>
    <w:rsid w:val="00465789"/>
    <w:rsid w:val="0046603B"/>
    <w:rsid w:val="004662C5"/>
    <w:rsid w:val="00480779"/>
    <w:rsid w:val="004867C2"/>
    <w:rsid w:val="0049195D"/>
    <w:rsid w:val="00491AB9"/>
    <w:rsid w:val="004934BE"/>
    <w:rsid w:val="004937DA"/>
    <w:rsid w:val="00495DE3"/>
    <w:rsid w:val="004A4935"/>
    <w:rsid w:val="004A5071"/>
    <w:rsid w:val="004A72AA"/>
    <w:rsid w:val="004B47D3"/>
    <w:rsid w:val="004C498B"/>
    <w:rsid w:val="004C67B1"/>
    <w:rsid w:val="004D1EAA"/>
    <w:rsid w:val="004D2C35"/>
    <w:rsid w:val="004D3C6A"/>
    <w:rsid w:val="004D6B97"/>
    <w:rsid w:val="004E049B"/>
    <w:rsid w:val="004E69F7"/>
    <w:rsid w:val="004E7409"/>
    <w:rsid w:val="004E74D1"/>
    <w:rsid w:val="004F244D"/>
    <w:rsid w:val="004F2BAC"/>
    <w:rsid w:val="004F36C4"/>
    <w:rsid w:val="00500104"/>
    <w:rsid w:val="0050038C"/>
    <w:rsid w:val="00505804"/>
    <w:rsid w:val="00506F79"/>
    <w:rsid w:val="00511D22"/>
    <w:rsid w:val="005257EC"/>
    <w:rsid w:val="00526576"/>
    <w:rsid w:val="00526D08"/>
    <w:rsid w:val="0053091A"/>
    <w:rsid w:val="00535221"/>
    <w:rsid w:val="0053540D"/>
    <w:rsid w:val="00536FAA"/>
    <w:rsid w:val="00537E01"/>
    <w:rsid w:val="005400FC"/>
    <w:rsid w:val="00540352"/>
    <w:rsid w:val="005403E8"/>
    <w:rsid w:val="00540BB8"/>
    <w:rsid w:val="00551D48"/>
    <w:rsid w:val="005547CA"/>
    <w:rsid w:val="00555F68"/>
    <w:rsid w:val="005576F8"/>
    <w:rsid w:val="00560D9D"/>
    <w:rsid w:val="00561604"/>
    <w:rsid w:val="00567DFD"/>
    <w:rsid w:val="00570EA5"/>
    <w:rsid w:val="005720EB"/>
    <w:rsid w:val="00580A6C"/>
    <w:rsid w:val="005837E2"/>
    <w:rsid w:val="00585F60"/>
    <w:rsid w:val="005860D2"/>
    <w:rsid w:val="005903AC"/>
    <w:rsid w:val="0059282D"/>
    <w:rsid w:val="0059411A"/>
    <w:rsid w:val="005975FE"/>
    <w:rsid w:val="005A151B"/>
    <w:rsid w:val="005A69BA"/>
    <w:rsid w:val="005A7F69"/>
    <w:rsid w:val="005B3BFB"/>
    <w:rsid w:val="005B3FAE"/>
    <w:rsid w:val="005B5FA9"/>
    <w:rsid w:val="005C2679"/>
    <w:rsid w:val="005C2E96"/>
    <w:rsid w:val="005C40D5"/>
    <w:rsid w:val="005C40E0"/>
    <w:rsid w:val="005C6B29"/>
    <w:rsid w:val="005C78A4"/>
    <w:rsid w:val="005D1DEB"/>
    <w:rsid w:val="005D51C5"/>
    <w:rsid w:val="005D5D21"/>
    <w:rsid w:val="005E2AC2"/>
    <w:rsid w:val="005E2B24"/>
    <w:rsid w:val="005E454D"/>
    <w:rsid w:val="005F28ED"/>
    <w:rsid w:val="005F5DC1"/>
    <w:rsid w:val="005F6F8C"/>
    <w:rsid w:val="005F73F4"/>
    <w:rsid w:val="005F7ADD"/>
    <w:rsid w:val="005F7FEA"/>
    <w:rsid w:val="006075CC"/>
    <w:rsid w:val="00615050"/>
    <w:rsid w:val="00616DE6"/>
    <w:rsid w:val="00622372"/>
    <w:rsid w:val="00623E13"/>
    <w:rsid w:val="0062545D"/>
    <w:rsid w:val="00633E77"/>
    <w:rsid w:val="0063644E"/>
    <w:rsid w:val="00636D6D"/>
    <w:rsid w:val="00636E09"/>
    <w:rsid w:val="006371A1"/>
    <w:rsid w:val="006404FF"/>
    <w:rsid w:val="006536F0"/>
    <w:rsid w:val="0066062F"/>
    <w:rsid w:val="0066273C"/>
    <w:rsid w:val="00671099"/>
    <w:rsid w:val="0067358F"/>
    <w:rsid w:val="0067395C"/>
    <w:rsid w:val="006751B4"/>
    <w:rsid w:val="00676A56"/>
    <w:rsid w:val="0068215C"/>
    <w:rsid w:val="0068230E"/>
    <w:rsid w:val="0069799C"/>
    <w:rsid w:val="00697E5B"/>
    <w:rsid w:val="006A465C"/>
    <w:rsid w:val="006A4FFC"/>
    <w:rsid w:val="006A6D7D"/>
    <w:rsid w:val="006A73F8"/>
    <w:rsid w:val="006B07B3"/>
    <w:rsid w:val="006B1180"/>
    <w:rsid w:val="006B2425"/>
    <w:rsid w:val="006B2483"/>
    <w:rsid w:val="006B4E3F"/>
    <w:rsid w:val="006B6D4A"/>
    <w:rsid w:val="006B77F7"/>
    <w:rsid w:val="006C0D81"/>
    <w:rsid w:val="006C2620"/>
    <w:rsid w:val="006C3304"/>
    <w:rsid w:val="006C7956"/>
    <w:rsid w:val="006D03BB"/>
    <w:rsid w:val="006D21FF"/>
    <w:rsid w:val="006D680C"/>
    <w:rsid w:val="006E3BD4"/>
    <w:rsid w:val="006E4164"/>
    <w:rsid w:val="006E5B0A"/>
    <w:rsid w:val="006F265F"/>
    <w:rsid w:val="006F3FEB"/>
    <w:rsid w:val="006F4AFC"/>
    <w:rsid w:val="006F5177"/>
    <w:rsid w:val="006F730C"/>
    <w:rsid w:val="006F73F3"/>
    <w:rsid w:val="00700DDD"/>
    <w:rsid w:val="00700ECB"/>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652D"/>
    <w:rsid w:val="007B1192"/>
    <w:rsid w:val="007B1305"/>
    <w:rsid w:val="007B1E87"/>
    <w:rsid w:val="007C6B92"/>
    <w:rsid w:val="007C7719"/>
    <w:rsid w:val="007D055F"/>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5677"/>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3C77"/>
    <w:rsid w:val="00863D72"/>
    <w:rsid w:val="00863FA8"/>
    <w:rsid w:val="00865AD4"/>
    <w:rsid w:val="00865E7D"/>
    <w:rsid w:val="00865EE5"/>
    <w:rsid w:val="0086638F"/>
    <w:rsid w:val="00872A9C"/>
    <w:rsid w:val="00877B02"/>
    <w:rsid w:val="008813AB"/>
    <w:rsid w:val="0088174A"/>
    <w:rsid w:val="00882E5C"/>
    <w:rsid w:val="0089611E"/>
    <w:rsid w:val="00897391"/>
    <w:rsid w:val="008A1105"/>
    <w:rsid w:val="008A1353"/>
    <w:rsid w:val="008A180A"/>
    <w:rsid w:val="008A705A"/>
    <w:rsid w:val="008B07B5"/>
    <w:rsid w:val="008B09D6"/>
    <w:rsid w:val="008B296C"/>
    <w:rsid w:val="008B2BAC"/>
    <w:rsid w:val="008B4482"/>
    <w:rsid w:val="008B4E7B"/>
    <w:rsid w:val="008B5ADA"/>
    <w:rsid w:val="008C0044"/>
    <w:rsid w:val="008C16FA"/>
    <w:rsid w:val="008C39E1"/>
    <w:rsid w:val="008C42DA"/>
    <w:rsid w:val="008C5D23"/>
    <w:rsid w:val="008C792F"/>
    <w:rsid w:val="008D19C5"/>
    <w:rsid w:val="008D3F62"/>
    <w:rsid w:val="008D680C"/>
    <w:rsid w:val="008D6AB9"/>
    <w:rsid w:val="008E0151"/>
    <w:rsid w:val="008E21AF"/>
    <w:rsid w:val="008E2336"/>
    <w:rsid w:val="008E725C"/>
    <w:rsid w:val="008E7B95"/>
    <w:rsid w:val="008F28BF"/>
    <w:rsid w:val="008F2984"/>
    <w:rsid w:val="008F3A23"/>
    <w:rsid w:val="008F495E"/>
    <w:rsid w:val="008F5010"/>
    <w:rsid w:val="008F5623"/>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19AF"/>
    <w:rsid w:val="0093204A"/>
    <w:rsid w:val="00932372"/>
    <w:rsid w:val="00932E4E"/>
    <w:rsid w:val="00935598"/>
    <w:rsid w:val="0093733B"/>
    <w:rsid w:val="00940AB6"/>
    <w:rsid w:val="00940BA2"/>
    <w:rsid w:val="00944C5E"/>
    <w:rsid w:val="00951B1F"/>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2F4B"/>
    <w:rsid w:val="009C4062"/>
    <w:rsid w:val="009C40AE"/>
    <w:rsid w:val="009C73FF"/>
    <w:rsid w:val="009D523A"/>
    <w:rsid w:val="009D58E7"/>
    <w:rsid w:val="009E0044"/>
    <w:rsid w:val="009E2852"/>
    <w:rsid w:val="009E69BF"/>
    <w:rsid w:val="009E6C29"/>
    <w:rsid w:val="009E715C"/>
    <w:rsid w:val="009E756D"/>
    <w:rsid w:val="009E7C89"/>
    <w:rsid w:val="009F11EC"/>
    <w:rsid w:val="009F33C2"/>
    <w:rsid w:val="009F45A2"/>
    <w:rsid w:val="00A01047"/>
    <w:rsid w:val="00A03674"/>
    <w:rsid w:val="00A064A6"/>
    <w:rsid w:val="00A0686F"/>
    <w:rsid w:val="00A219A4"/>
    <w:rsid w:val="00A23043"/>
    <w:rsid w:val="00A25844"/>
    <w:rsid w:val="00A26E0C"/>
    <w:rsid w:val="00A270F8"/>
    <w:rsid w:val="00A30C7E"/>
    <w:rsid w:val="00A311C2"/>
    <w:rsid w:val="00A343A5"/>
    <w:rsid w:val="00A34CD8"/>
    <w:rsid w:val="00A3715B"/>
    <w:rsid w:val="00A40FBE"/>
    <w:rsid w:val="00A469D3"/>
    <w:rsid w:val="00A60379"/>
    <w:rsid w:val="00A606CF"/>
    <w:rsid w:val="00A6551D"/>
    <w:rsid w:val="00A66515"/>
    <w:rsid w:val="00A66A4E"/>
    <w:rsid w:val="00A70EF5"/>
    <w:rsid w:val="00A71AA8"/>
    <w:rsid w:val="00A74AFC"/>
    <w:rsid w:val="00A81E86"/>
    <w:rsid w:val="00A8684E"/>
    <w:rsid w:val="00A900BC"/>
    <w:rsid w:val="00A90297"/>
    <w:rsid w:val="00A92089"/>
    <w:rsid w:val="00A960CD"/>
    <w:rsid w:val="00A96CD2"/>
    <w:rsid w:val="00AA1231"/>
    <w:rsid w:val="00AA174B"/>
    <w:rsid w:val="00AA795E"/>
    <w:rsid w:val="00AB496C"/>
    <w:rsid w:val="00AB7AB9"/>
    <w:rsid w:val="00AB7DAD"/>
    <w:rsid w:val="00AC603E"/>
    <w:rsid w:val="00AD1AFD"/>
    <w:rsid w:val="00AD2206"/>
    <w:rsid w:val="00AD24F3"/>
    <w:rsid w:val="00AD2E6C"/>
    <w:rsid w:val="00AE3DBB"/>
    <w:rsid w:val="00AF0545"/>
    <w:rsid w:val="00AF2D19"/>
    <w:rsid w:val="00AF731D"/>
    <w:rsid w:val="00B000BE"/>
    <w:rsid w:val="00B01117"/>
    <w:rsid w:val="00B01CB5"/>
    <w:rsid w:val="00B023D9"/>
    <w:rsid w:val="00B02C9E"/>
    <w:rsid w:val="00B04DDB"/>
    <w:rsid w:val="00B06597"/>
    <w:rsid w:val="00B11994"/>
    <w:rsid w:val="00B11C13"/>
    <w:rsid w:val="00B11F80"/>
    <w:rsid w:val="00B1675F"/>
    <w:rsid w:val="00B176FD"/>
    <w:rsid w:val="00B22DAA"/>
    <w:rsid w:val="00B2584C"/>
    <w:rsid w:val="00B30F06"/>
    <w:rsid w:val="00B331F4"/>
    <w:rsid w:val="00B33BD4"/>
    <w:rsid w:val="00B35DD1"/>
    <w:rsid w:val="00B36311"/>
    <w:rsid w:val="00B42423"/>
    <w:rsid w:val="00B45465"/>
    <w:rsid w:val="00B45697"/>
    <w:rsid w:val="00B45B86"/>
    <w:rsid w:val="00B518EB"/>
    <w:rsid w:val="00B57DCF"/>
    <w:rsid w:val="00B6037C"/>
    <w:rsid w:val="00B72C2C"/>
    <w:rsid w:val="00B72C80"/>
    <w:rsid w:val="00B73D4C"/>
    <w:rsid w:val="00B750B2"/>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DAD"/>
    <w:rsid w:val="00C138B9"/>
    <w:rsid w:val="00C14871"/>
    <w:rsid w:val="00C22C89"/>
    <w:rsid w:val="00C247F2"/>
    <w:rsid w:val="00C2798C"/>
    <w:rsid w:val="00C4142C"/>
    <w:rsid w:val="00C44D41"/>
    <w:rsid w:val="00C45A45"/>
    <w:rsid w:val="00C45D90"/>
    <w:rsid w:val="00C461B1"/>
    <w:rsid w:val="00C46DC5"/>
    <w:rsid w:val="00C47A9D"/>
    <w:rsid w:val="00C50508"/>
    <w:rsid w:val="00C51094"/>
    <w:rsid w:val="00C536C6"/>
    <w:rsid w:val="00C5662D"/>
    <w:rsid w:val="00C622A4"/>
    <w:rsid w:val="00C62485"/>
    <w:rsid w:val="00C62E2F"/>
    <w:rsid w:val="00C6450B"/>
    <w:rsid w:val="00C65169"/>
    <w:rsid w:val="00C7488A"/>
    <w:rsid w:val="00C748C5"/>
    <w:rsid w:val="00C749D7"/>
    <w:rsid w:val="00C81C15"/>
    <w:rsid w:val="00C81CE4"/>
    <w:rsid w:val="00C83353"/>
    <w:rsid w:val="00C84193"/>
    <w:rsid w:val="00C90FA2"/>
    <w:rsid w:val="00C94B60"/>
    <w:rsid w:val="00C95148"/>
    <w:rsid w:val="00C971DE"/>
    <w:rsid w:val="00CA1FFC"/>
    <w:rsid w:val="00CA515A"/>
    <w:rsid w:val="00CA6471"/>
    <w:rsid w:val="00CA73BC"/>
    <w:rsid w:val="00CA7F45"/>
    <w:rsid w:val="00CB133F"/>
    <w:rsid w:val="00CB1CB6"/>
    <w:rsid w:val="00CB3552"/>
    <w:rsid w:val="00CB4AFD"/>
    <w:rsid w:val="00CB5665"/>
    <w:rsid w:val="00CB77C1"/>
    <w:rsid w:val="00CC1B89"/>
    <w:rsid w:val="00CC2B56"/>
    <w:rsid w:val="00CD0D49"/>
    <w:rsid w:val="00CD148B"/>
    <w:rsid w:val="00CD258D"/>
    <w:rsid w:val="00CD30C4"/>
    <w:rsid w:val="00CD3139"/>
    <w:rsid w:val="00CE347E"/>
    <w:rsid w:val="00CE55BF"/>
    <w:rsid w:val="00CE614C"/>
    <w:rsid w:val="00CF3715"/>
    <w:rsid w:val="00CF429F"/>
    <w:rsid w:val="00CF610A"/>
    <w:rsid w:val="00CF6E72"/>
    <w:rsid w:val="00CF773F"/>
    <w:rsid w:val="00CF7C68"/>
    <w:rsid w:val="00D04B5A"/>
    <w:rsid w:val="00D05A2D"/>
    <w:rsid w:val="00D05BD4"/>
    <w:rsid w:val="00D117FA"/>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291A"/>
    <w:rsid w:val="00D92B66"/>
    <w:rsid w:val="00D9439C"/>
    <w:rsid w:val="00D9675A"/>
    <w:rsid w:val="00D96F8C"/>
    <w:rsid w:val="00DA37FA"/>
    <w:rsid w:val="00DA4E74"/>
    <w:rsid w:val="00DB0CFD"/>
    <w:rsid w:val="00DB2324"/>
    <w:rsid w:val="00DC02C5"/>
    <w:rsid w:val="00DC0518"/>
    <w:rsid w:val="00DC1F96"/>
    <w:rsid w:val="00DC2044"/>
    <w:rsid w:val="00DC57DB"/>
    <w:rsid w:val="00DD20CC"/>
    <w:rsid w:val="00DD2ADB"/>
    <w:rsid w:val="00DE061D"/>
    <w:rsid w:val="00DE222B"/>
    <w:rsid w:val="00DE4BDB"/>
    <w:rsid w:val="00DE4FC5"/>
    <w:rsid w:val="00DF0F06"/>
    <w:rsid w:val="00DF3111"/>
    <w:rsid w:val="00DF4330"/>
    <w:rsid w:val="00DF4F75"/>
    <w:rsid w:val="00DF683E"/>
    <w:rsid w:val="00DF7006"/>
    <w:rsid w:val="00E005C2"/>
    <w:rsid w:val="00E03DB4"/>
    <w:rsid w:val="00E040C9"/>
    <w:rsid w:val="00E141D5"/>
    <w:rsid w:val="00E15AD4"/>
    <w:rsid w:val="00E16443"/>
    <w:rsid w:val="00E202FA"/>
    <w:rsid w:val="00E218CA"/>
    <w:rsid w:val="00E23370"/>
    <w:rsid w:val="00E2458E"/>
    <w:rsid w:val="00E253D5"/>
    <w:rsid w:val="00E25645"/>
    <w:rsid w:val="00E4054A"/>
    <w:rsid w:val="00E4096D"/>
    <w:rsid w:val="00E41FF2"/>
    <w:rsid w:val="00E4252D"/>
    <w:rsid w:val="00E42570"/>
    <w:rsid w:val="00E4482D"/>
    <w:rsid w:val="00E463A9"/>
    <w:rsid w:val="00E50C9B"/>
    <w:rsid w:val="00E529EE"/>
    <w:rsid w:val="00E55240"/>
    <w:rsid w:val="00E56206"/>
    <w:rsid w:val="00E57389"/>
    <w:rsid w:val="00E57A14"/>
    <w:rsid w:val="00E6337E"/>
    <w:rsid w:val="00E64671"/>
    <w:rsid w:val="00E655FB"/>
    <w:rsid w:val="00E677AF"/>
    <w:rsid w:val="00E67AF9"/>
    <w:rsid w:val="00E70262"/>
    <w:rsid w:val="00E71EDC"/>
    <w:rsid w:val="00E742E4"/>
    <w:rsid w:val="00E77099"/>
    <w:rsid w:val="00E77EEF"/>
    <w:rsid w:val="00E81DAA"/>
    <w:rsid w:val="00E85F06"/>
    <w:rsid w:val="00E877DB"/>
    <w:rsid w:val="00E907F9"/>
    <w:rsid w:val="00E97688"/>
    <w:rsid w:val="00EA2F43"/>
    <w:rsid w:val="00EA4835"/>
    <w:rsid w:val="00EA5748"/>
    <w:rsid w:val="00EA7592"/>
    <w:rsid w:val="00EB175C"/>
    <w:rsid w:val="00EB78FB"/>
    <w:rsid w:val="00EB7A57"/>
    <w:rsid w:val="00EB7B14"/>
    <w:rsid w:val="00EC1999"/>
    <w:rsid w:val="00EC4A25"/>
    <w:rsid w:val="00EE11F8"/>
    <w:rsid w:val="00EE3C1D"/>
    <w:rsid w:val="00EF14AC"/>
    <w:rsid w:val="00EF1C61"/>
    <w:rsid w:val="00EF2082"/>
    <w:rsid w:val="00EF6B9D"/>
    <w:rsid w:val="00F04524"/>
    <w:rsid w:val="00F0490D"/>
    <w:rsid w:val="00F07599"/>
    <w:rsid w:val="00F07A88"/>
    <w:rsid w:val="00F1029B"/>
    <w:rsid w:val="00F12333"/>
    <w:rsid w:val="00F14FDC"/>
    <w:rsid w:val="00F217A4"/>
    <w:rsid w:val="00F220AC"/>
    <w:rsid w:val="00F2315C"/>
    <w:rsid w:val="00F318F6"/>
    <w:rsid w:val="00F326A0"/>
    <w:rsid w:val="00F43593"/>
    <w:rsid w:val="00F44272"/>
    <w:rsid w:val="00F553C3"/>
    <w:rsid w:val="00F567E2"/>
    <w:rsid w:val="00F6063A"/>
    <w:rsid w:val="00F60738"/>
    <w:rsid w:val="00F61242"/>
    <w:rsid w:val="00F6274E"/>
    <w:rsid w:val="00F67616"/>
    <w:rsid w:val="00F70118"/>
    <w:rsid w:val="00F756FE"/>
    <w:rsid w:val="00F770B2"/>
    <w:rsid w:val="00F80A85"/>
    <w:rsid w:val="00F81C42"/>
    <w:rsid w:val="00F85145"/>
    <w:rsid w:val="00F85583"/>
    <w:rsid w:val="00F878AA"/>
    <w:rsid w:val="00F92064"/>
    <w:rsid w:val="00F9218C"/>
    <w:rsid w:val="00F93A13"/>
    <w:rsid w:val="00F957AF"/>
    <w:rsid w:val="00F96B26"/>
    <w:rsid w:val="00FA03B3"/>
    <w:rsid w:val="00FA73CD"/>
    <w:rsid w:val="00FB0194"/>
    <w:rsid w:val="00FB0524"/>
    <w:rsid w:val="00FC4915"/>
    <w:rsid w:val="00FC50A5"/>
    <w:rsid w:val="00FC6324"/>
    <w:rsid w:val="00FC7F31"/>
    <w:rsid w:val="00FD327B"/>
    <w:rsid w:val="00FD4499"/>
    <w:rsid w:val="00FD488C"/>
    <w:rsid w:val="00FD70FD"/>
    <w:rsid w:val="00FE1900"/>
    <w:rsid w:val="00FE3270"/>
    <w:rsid w:val="00FE5257"/>
    <w:rsid w:val="00FE5710"/>
    <w:rsid w:val="00FE7DA9"/>
    <w:rsid w:val="00FF073C"/>
    <w:rsid w:val="00FF113B"/>
    <w:rsid w:val="00FF374D"/>
    <w:rsid w:val="00FF4446"/>
    <w:rsid w:val="00FF6B35"/>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3E5E5"/>
  <w15:docId w15:val="{73D5C092-706B-4AA0-A876-A04B5FAC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8F28BF"/>
    <w:rPr>
      <w:rFonts w:eastAsia="Times New Roman" w:cs="Times New Roman"/>
      <w:szCs w:val="20"/>
    </w:rPr>
  </w:style>
  <w:style w:type="character" w:styleId="CommentReference">
    <w:name w:val="annotation reference"/>
    <w:basedOn w:val="DefaultParagraphFont"/>
    <w:uiPriority w:val="99"/>
    <w:semiHidden/>
    <w:unhideWhenUsed/>
    <w:rsid w:val="008F28BF"/>
    <w:rPr>
      <w:sz w:val="16"/>
      <w:szCs w:val="16"/>
    </w:rPr>
  </w:style>
  <w:style w:type="paragraph" w:styleId="CommentText">
    <w:name w:val="annotation text"/>
    <w:basedOn w:val="Normal"/>
    <w:link w:val="CommentTextChar"/>
    <w:uiPriority w:val="99"/>
    <w:semiHidden/>
    <w:unhideWhenUsed/>
    <w:rsid w:val="008F28BF"/>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8F28B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5B4"/>
    <w:pPr>
      <w:tabs>
        <w:tab w:val="clear" w:pos="432"/>
      </w:tabs>
      <w:jc w:val="left"/>
    </w:pPr>
    <w:rPr>
      <w:b/>
      <w:bCs/>
    </w:rPr>
  </w:style>
  <w:style w:type="character" w:customStyle="1" w:styleId="CommentSubjectChar">
    <w:name w:val="Comment Subject Char"/>
    <w:basedOn w:val="CommentTextChar"/>
    <w:link w:val="CommentSubject"/>
    <w:uiPriority w:val="99"/>
    <w:semiHidden/>
    <w:rsid w:val="004235B4"/>
    <w:rPr>
      <w:rFonts w:eastAsia="Times New Roman" w:cs="Times New Roman"/>
      <w:b/>
      <w:bCs/>
      <w:sz w:val="20"/>
      <w:szCs w:val="20"/>
    </w:rPr>
  </w:style>
  <w:style w:type="character" w:styleId="Hyperlink">
    <w:name w:val="Hyperlink"/>
    <w:basedOn w:val="DefaultParagraphFont"/>
    <w:uiPriority w:val="99"/>
    <w:rsid w:val="00C748C5"/>
    <w:rPr>
      <w:rFonts w:cs="Times New Roman"/>
      <w:color w:val="0000FF"/>
      <w:u w:val="single"/>
    </w:rPr>
  </w:style>
  <w:style w:type="paragraph" w:customStyle="1" w:styleId="CM116">
    <w:name w:val="CM116"/>
    <w:basedOn w:val="Normal"/>
    <w:next w:val="Normal"/>
    <w:uiPriority w:val="99"/>
    <w:rsid w:val="00C748C5"/>
    <w:pPr>
      <w:autoSpaceDE w:val="0"/>
      <w:autoSpaceDN w:val="0"/>
      <w:adjustRightInd w:val="0"/>
      <w:spacing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USCODE-2013-title5/html/USCODE-2013-title5-partI-chap5-subchapII-sec552.htm" TargetMode="External"/><Relationship Id="rId2" Type="http://schemas.openxmlformats.org/officeDocument/2006/relationships/customXml" Target="../customXml/item2.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po.gov/fdsys/pkg/USCODE-2013-title5/html/USCODE-2013-title5-partI-chap5-subchapII-sec552.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146F3.54C356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C78AB-2EDD-4FF0-971F-2A0E313C4D36}">
  <ds:schemaRef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A86C808-7AC2-4647-B556-F43B0809E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40ECC5-4DB4-42F8-9D6B-E6BA7E43936B}">
  <ds:schemaRefs>
    <ds:schemaRef ds:uri="http://schemas.microsoft.com/sharepoint/v3/contenttype/forms"/>
  </ds:schemaRefs>
</ds:datastoreItem>
</file>

<file path=customXml/itemProps4.xml><?xml version="1.0" encoding="utf-8"?>
<ds:datastoreItem xmlns:ds="http://schemas.openxmlformats.org/officeDocument/2006/customXml" ds:itemID="{84212607-6E2B-430F-A428-87B6F471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10</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Zaveri</dc:creator>
  <cp:lastModifiedBy>Lisa Klein Vogel</cp:lastModifiedBy>
  <cp:revision>2</cp:revision>
  <cp:lastPrinted>2016-01-13T14:58:00Z</cp:lastPrinted>
  <dcterms:created xsi:type="dcterms:W3CDTF">2016-02-26T20:45:00Z</dcterms:created>
  <dcterms:modified xsi:type="dcterms:W3CDTF">2016-02-26T20:45:00Z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