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21" w:rsidRDefault="002F74D0" w:rsidP="00A42AB2">
      <w:pPr>
        <w:pStyle w:val="Caption"/>
      </w:pPr>
      <w:r>
        <w:t>Cross Walk</w:t>
      </w:r>
      <w:r w:rsidR="002A0AEC">
        <w:t xml:space="preserve"> of Measures a</w:t>
      </w:r>
      <w:r w:rsidR="00153621">
        <w:t>cross Data Collection Iterations</w:t>
      </w:r>
    </w:p>
    <w:tbl>
      <w:tblPr>
        <w:tblStyle w:val="TableGrid"/>
        <w:tblW w:w="12960" w:type="dxa"/>
        <w:tblInd w:w="8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9"/>
        <w:gridCol w:w="1620"/>
        <w:gridCol w:w="3877"/>
        <w:gridCol w:w="1341"/>
        <w:gridCol w:w="1341"/>
        <w:gridCol w:w="1341"/>
        <w:gridCol w:w="1341"/>
      </w:tblGrid>
      <w:tr w:rsidR="004E3A02" w:rsidRPr="009E3634" w:rsidTr="00AA7829">
        <w:trPr>
          <w:cantSplit/>
          <w:tblHeader/>
        </w:trPr>
        <w:tc>
          <w:tcPr>
            <w:tcW w:w="2099" w:type="dxa"/>
            <w:vMerge w:val="restart"/>
            <w:shd w:val="clear" w:color="auto" w:fill="DA291C" w:themeFill="accent1"/>
            <w:vAlign w:val="bottom"/>
          </w:tcPr>
          <w:p w:rsidR="004E3A02" w:rsidRPr="009E3634" w:rsidRDefault="004E3A02" w:rsidP="004E3A02">
            <w:pPr>
              <w:pStyle w:val="ExhibitColumnHeader"/>
            </w:pPr>
            <w:r w:rsidRPr="009E3634">
              <w:t>Outcome Measure</w:t>
            </w:r>
          </w:p>
        </w:tc>
        <w:tc>
          <w:tcPr>
            <w:tcW w:w="1620" w:type="dxa"/>
            <w:vMerge w:val="restart"/>
            <w:shd w:val="clear" w:color="auto" w:fill="DA291C" w:themeFill="accent1"/>
            <w:vAlign w:val="bottom"/>
          </w:tcPr>
          <w:p w:rsidR="004E3A02" w:rsidRPr="009E3634" w:rsidRDefault="004E3A02" w:rsidP="004E3A02">
            <w:pPr>
              <w:pStyle w:val="ExhibitColumnHeader"/>
            </w:pPr>
            <w:r w:rsidRPr="009E3634">
              <w:t>Analysis Type</w:t>
            </w:r>
          </w:p>
        </w:tc>
        <w:tc>
          <w:tcPr>
            <w:tcW w:w="3877" w:type="dxa"/>
            <w:vMerge w:val="restart"/>
            <w:shd w:val="clear" w:color="auto" w:fill="DA291C" w:themeFill="accent1"/>
            <w:vAlign w:val="bottom"/>
          </w:tcPr>
          <w:p w:rsidR="004E3A02" w:rsidRPr="009E3634" w:rsidRDefault="004E3A02" w:rsidP="004E3A02">
            <w:pPr>
              <w:pStyle w:val="ExhibitColumnHeader"/>
            </w:pPr>
            <w:r w:rsidRPr="009E3634">
              <w:t>Operationalization</w:t>
            </w:r>
          </w:p>
        </w:tc>
        <w:tc>
          <w:tcPr>
            <w:tcW w:w="5364" w:type="dxa"/>
            <w:gridSpan w:val="4"/>
            <w:shd w:val="clear" w:color="auto" w:fill="DA291C" w:themeFill="accent1"/>
            <w:vAlign w:val="bottom"/>
          </w:tcPr>
          <w:p w:rsidR="004E3A02" w:rsidRPr="009E3634" w:rsidRDefault="00153621" w:rsidP="002F74D0">
            <w:pPr>
              <w:pStyle w:val="ExhibitColumnHeader"/>
            </w:pPr>
            <w:r>
              <w:t>Data Collection Iteration</w:t>
            </w:r>
          </w:p>
        </w:tc>
      </w:tr>
      <w:tr w:rsidR="004E3A02" w:rsidRPr="009E3634" w:rsidTr="00AA7829">
        <w:trPr>
          <w:cantSplit/>
          <w:tblHeader/>
        </w:trPr>
        <w:tc>
          <w:tcPr>
            <w:tcW w:w="2099" w:type="dxa"/>
            <w:vMerge/>
            <w:shd w:val="clear" w:color="auto" w:fill="DA291C" w:themeFill="accent1"/>
          </w:tcPr>
          <w:p w:rsidR="004E3A02" w:rsidRPr="009E3634" w:rsidRDefault="004E3A02" w:rsidP="009E3634">
            <w:pPr>
              <w:pStyle w:val="ExhibitColumnHeader"/>
            </w:pPr>
          </w:p>
        </w:tc>
        <w:tc>
          <w:tcPr>
            <w:tcW w:w="1620" w:type="dxa"/>
            <w:vMerge/>
            <w:shd w:val="clear" w:color="auto" w:fill="DA291C" w:themeFill="accent1"/>
          </w:tcPr>
          <w:p w:rsidR="004E3A02" w:rsidRPr="009E3634" w:rsidRDefault="004E3A02" w:rsidP="009E3634">
            <w:pPr>
              <w:pStyle w:val="ExhibitColumnHeader"/>
            </w:pPr>
          </w:p>
        </w:tc>
        <w:tc>
          <w:tcPr>
            <w:tcW w:w="3877" w:type="dxa"/>
            <w:vMerge/>
            <w:shd w:val="clear" w:color="auto" w:fill="DA291C" w:themeFill="accent1"/>
          </w:tcPr>
          <w:p w:rsidR="004E3A02" w:rsidRPr="009E3634" w:rsidRDefault="004E3A02" w:rsidP="009E3634">
            <w:pPr>
              <w:pStyle w:val="ExhibitColumnHeader"/>
            </w:pPr>
          </w:p>
        </w:tc>
        <w:tc>
          <w:tcPr>
            <w:tcW w:w="1341" w:type="dxa"/>
            <w:shd w:val="clear" w:color="auto" w:fill="DA291C" w:themeFill="accent1"/>
          </w:tcPr>
          <w:p w:rsidR="004E3A02" w:rsidRPr="009E3634" w:rsidRDefault="004E3A02" w:rsidP="009E3634">
            <w:pPr>
              <w:pStyle w:val="ExhibitColumnHeader"/>
            </w:pPr>
            <w:r w:rsidRPr="009E3634">
              <w:t>Baseline Survey</w:t>
            </w:r>
          </w:p>
        </w:tc>
        <w:tc>
          <w:tcPr>
            <w:tcW w:w="1341" w:type="dxa"/>
            <w:shd w:val="clear" w:color="auto" w:fill="DA291C" w:themeFill="accent1"/>
          </w:tcPr>
          <w:p w:rsidR="004E3A02" w:rsidRPr="009E3634" w:rsidRDefault="00F9160E" w:rsidP="009E3634">
            <w:pPr>
              <w:pStyle w:val="ExhibitColumnHeader"/>
            </w:pPr>
            <w:r>
              <w:t>3</w:t>
            </w:r>
            <w:r w:rsidR="004E3A02" w:rsidRPr="009E3634">
              <w:t>-Month Survey</w:t>
            </w:r>
          </w:p>
        </w:tc>
        <w:tc>
          <w:tcPr>
            <w:tcW w:w="1341" w:type="dxa"/>
            <w:shd w:val="clear" w:color="auto" w:fill="DA291C" w:themeFill="accent1"/>
          </w:tcPr>
          <w:p w:rsidR="004E3A02" w:rsidRPr="009E3634" w:rsidRDefault="004E3A02" w:rsidP="009E3634">
            <w:pPr>
              <w:pStyle w:val="ExhibitColumnHeader"/>
            </w:pPr>
            <w:r w:rsidRPr="009E3634">
              <w:t>12-Month Survey</w:t>
            </w:r>
          </w:p>
        </w:tc>
        <w:tc>
          <w:tcPr>
            <w:tcW w:w="1341" w:type="dxa"/>
            <w:shd w:val="clear" w:color="auto" w:fill="DA291C" w:themeFill="accent1"/>
          </w:tcPr>
          <w:p w:rsidR="004E3A02" w:rsidRPr="009E3634" w:rsidRDefault="004E3A02" w:rsidP="009E3634">
            <w:pPr>
              <w:pStyle w:val="ExhibitColumnHeader"/>
            </w:pPr>
            <w:r w:rsidRPr="009E3634">
              <w:t>18-Month Survey</w:t>
            </w:r>
          </w:p>
        </w:tc>
      </w:tr>
      <w:tr w:rsidR="004E3A02" w:rsidRPr="009E3634" w:rsidTr="00AA7829">
        <w:trPr>
          <w:cantSplit/>
          <w:trHeight w:val="432"/>
        </w:trPr>
        <w:tc>
          <w:tcPr>
            <w:tcW w:w="12960" w:type="dxa"/>
            <w:gridSpan w:val="7"/>
            <w:shd w:val="clear" w:color="auto" w:fill="C3C6A8" w:themeFill="accent4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</w:rPr>
            </w:pPr>
            <w:r w:rsidRPr="004E3A02">
              <w:rPr>
                <w:b/>
              </w:rPr>
              <w:t>Stable Housing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Homelessness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 xml:space="preserve">Homeless for one or more nights since random assignment </w:t>
            </w:r>
            <w:r>
              <w:rPr>
                <w:vertAlign w:val="superscript"/>
              </w:rPr>
              <w:t>b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Extent of homelessness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Percent of nights since random assignment spent homeless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Continuous housing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Uninterrupted residence since random assignment in a residential room, apartment or house; a foster care or group home; or a school or college dormitory; measured dichotomously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Residential mobility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Average number of living arrangements per year since random assignment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Independent living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 xml:space="preserve">Percent of nights since random assignment of self-supported living (e.g., paying one’s own rent) as age appropriate </w:t>
            </w:r>
            <w:r>
              <w:rPr>
                <w:vertAlign w:val="superscript"/>
              </w:rPr>
              <w:t>c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AA7829">
        <w:trPr>
          <w:cantSplit/>
          <w:trHeight w:val="432"/>
        </w:trPr>
        <w:tc>
          <w:tcPr>
            <w:tcW w:w="12960" w:type="dxa"/>
            <w:gridSpan w:val="7"/>
            <w:shd w:val="clear" w:color="auto" w:fill="C3C6A8" w:themeFill="accent4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</w:rPr>
            </w:pPr>
            <w:r w:rsidRPr="004E3A02">
              <w:rPr>
                <w:b/>
              </w:rPr>
              <w:t>Positive Social Connections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Supportive relationships with adults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5F175D">
            <w:pPr>
              <w:pStyle w:val="Exhibit"/>
            </w:pPr>
            <w:r w:rsidRPr="009E3634">
              <w:t xml:space="preserve">Perceived social support from responsible adults/mentors, measured using an adapted </w:t>
            </w:r>
            <w:r>
              <w:t>version of</w:t>
            </w:r>
            <w:r w:rsidRPr="009E3634">
              <w:t xml:space="preserve"> the Adult Connectedness Scale (Bernstein et al., 2009)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Supportive relationships with peers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Perceived social support from peers,  measured using an adapted form of the Adult Connectedness Scale (Bernstein et al., 2009)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Delinquent peers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Extent to which close friends engage in delinquent activities, measured using one item from the Peer Deviancy Scale (Multisite Violence Prevention Project, 2004)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Civic engagement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Participation in community institutions and groups (e.g., voting, volunteering), measured as the mean of seven dichotomous items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</w:tr>
      <w:tr w:rsidR="008F6391" w:rsidRPr="009E3634" w:rsidTr="00AA7829">
        <w:trPr>
          <w:cantSplit/>
        </w:trPr>
        <w:tc>
          <w:tcPr>
            <w:tcW w:w="2099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Civic attitudes</w:t>
            </w:r>
          </w:p>
        </w:tc>
        <w:tc>
          <w:tcPr>
            <w:tcW w:w="1620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8F6391" w:rsidRPr="009E3634" w:rsidRDefault="008F6391" w:rsidP="004E3A02">
            <w:pPr>
              <w:pStyle w:val="Exhibit"/>
            </w:pPr>
            <w:r w:rsidRPr="009E3634">
              <w:t>Belief in the importance and the value of community participation, measured using the Civic Attitudes Scale (Mabry, 1998)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8F6391" w:rsidRPr="009E3634" w:rsidRDefault="008F6391" w:rsidP="00262DB8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AA7829">
        <w:trPr>
          <w:cantSplit/>
          <w:trHeight w:val="432"/>
        </w:trPr>
        <w:tc>
          <w:tcPr>
            <w:tcW w:w="12960" w:type="dxa"/>
            <w:gridSpan w:val="7"/>
            <w:shd w:val="clear" w:color="auto" w:fill="C3C6A8" w:themeFill="accent4"/>
            <w:vAlign w:val="center"/>
          </w:tcPr>
          <w:p w:rsidR="004E3A02" w:rsidRPr="004E3A02" w:rsidRDefault="004E3A02" w:rsidP="00AA7829">
            <w:pPr>
              <w:pStyle w:val="Exhibit"/>
              <w:keepNext/>
              <w:rPr>
                <w:b/>
              </w:rPr>
            </w:pPr>
            <w:r w:rsidRPr="004E3A02">
              <w:rPr>
                <w:b/>
              </w:rPr>
              <w:lastRenderedPageBreak/>
              <w:t>Psychosocial Well-Being</w:t>
            </w:r>
          </w:p>
        </w:tc>
      </w:tr>
      <w:tr w:rsidR="004E3A02" w:rsidRPr="004E3A02" w:rsidTr="004E3A02">
        <w:trPr>
          <w:cantSplit/>
        </w:trPr>
        <w:tc>
          <w:tcPr>
            <w:tcW w:w="12960" w:type="dxa"/>
            <w:gridSpan w:val="7"/>
            <w:shd w:val="clear" w:color="auto" w:fill="D0D3D4" w:themeFill="background2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  <w:i/>
              </w:rPr>
            </w:pPr>
            <w:r w:rsidRPr="004E3A02">
              <w:rPr>
                <w:b/>
                <w:i/>
              </w:rPr>
              <w:t>Self-Worth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Self-esteem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General sense of worth or positive self-concept, measured using  the Rosenberg Self Esteem Scale (Rosenberg, 1965)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Self-efficacy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Belief in one’s own effectiveness in meeting challenges and accomplishing goals, measured using the  Generalized Self-Efficacy Scale (</w:t>
            </w:r>
            <w:proofErr w:type="spellStart"/>
            <w:r w:rsidRPr="009E3634">
              <w:t>Schwarzer</w:t>
            </w:r>
            <w:proofErr w:type="spellEnd"/>
            <w:r w:rsidRPr="009E3634">
              <w:t xml:space="preserve"> &amp; Jerusalem, 1995)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4E3A02">
        <w:trPr>
          <w:cantSplit/>
        </w:trPr>
        <w:tc>
          <w:tcPr>
            <w:tcW w:w="12960" w:type="dxa"/>
            <w:gridSpan w:val="7"/>
            <w:shd w:val="clear" w:color="auto" w:fill="D0D3D4" w:themeFill="background2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  <w:i/>
              </w:rPr>
            </w:pPr>
            <w:r w:rsidRPr="004E3A02">
              <w:rPr>
                <w:b/>
                <w:i/>
              </w:rPr>
              <w:t>Emotional Well-Being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Depressive symptoms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 xml:space="preserve">Sadness, helplessness, hopelessness, loss of interest, and other moods, thoughts, and physical symptoms indicative of depression, measured using the  Center for Epidemiologic Studies Depression Scale (CES-D; </w:t>
            </w:r>
            <w:proofErr w:type="spellStart"/>
            <w:r w:rsidRPr="009E3634">
              <w:t>Radloff</w:t>
            </w:r>
            <w:proofErr w:type="spellEnd"/>
            <w:r w:rsidRPr="009E3634">
              <w:t>, 1977)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Traumatic stress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 xml:space="preserve">Negative behaviors, emotions, thoughts, or physical symptoms in reaction to a traumatic event, measured using the civilian form of the PTSD checklist (PCL-C; Weathers, </w:t>
            </w:r>
            <w:proofErr w:type="spellStart"/>
            <w:r w:rsidRPr="009E3634">
              <w:t>Litz</w:t>
            </w:r>
            <w:proofErr w:type="spellEnd"/>
            <w:r w:rsidRPr="009E3634">
              <w:t xml:space="preserve">, </w:t>
            </w:r>
            <w:proofErr w:type="spellStart"/>
            <w:r w:rsidRPr="009E3634">
              <w:t>Huska</w:t>
            </w:r>
            <w:proofErr w:type="spellEnd"/>
            <w:r w:rsidRPr="009E3634">
              <w:t>, &amp; Keane, 1993)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AA7829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4E3A02">
        <w:trPr>
          <w:cantSplit/>
        </w:trPr>
        <w:tc>
          <w:tcPr>
            <w:tcW w:w="12960" w:type="dxa"/>
            <w:gridSpan w:val="7"/>
            <w:shd w:val="clear" w:color="auto" w:fill="D0D3D4" w:themeFill="background2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  <w:i/>
              </w:rPr>
            </w:pPr>
            <w:r w:rsidRPr="004E3A02">
              <w:rPr>
                <w:b/>
                <w:i/>
              </w:rPr>
              <w:t>Risky Behavior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Delinquency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F9558E">
            <w:pPr>
              <w:pStyle w:val="Exhibit"/>
            </w:pPr>
            <w:r w:rsidRPr="009E3634">
              <w:t>Participation in misdemeanors, deviant acts, or antisocial behaviors, measured using the youth delinquency scale from the National Longitudinal Survey of Adolescent Health (Harris et al., 2009)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Substance Use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 xml:space="preserve">Severity of  alcohol and drug use, measured using Section A of the Adolescent Alcohol and Drug Involvement Scale (AADIS; </w:t>
            </w:r>
            <w:proofErr w:type="spellStart"/>
            <w:r w:rsidRPr="009E3634">
              <w:t>Moberg</w:t>
            </w:r>
            <w:proofErr w:type="spellEnd"/>
            <w:r w:rsidRPr="009E3634">
              <w:t>, 2005)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Criminality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Involvement with the justice system, measured as the mean of three dichotomous items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lastRenderedPageBreak/>
              <w:t>Risky Sexual Behavior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Engaging in unprotected sex or prostitution since random assignment, measured using the mean of three dichotomous items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AA7829">
        <w:trPr>
          <w:cantSplit/>
          <w:trHeight w:val="432"/>
        </w:trPr>
        <w:tc>
          <w:tcPr>
            <w:tcW w:w="12960" w:type="dxa"/>
            <w:gridSpan w:val="7"/>
            <w:shd w:val="clear" w:color="auto" w:fill="C3C6A8" w:themeFill="accent4"/>
            <w:vAlign w:val="center"/>
          </w:tcPr>
          <w:p w:rsidR="004E3A02" w:rsidRPr="00AA7829" w:rsidRDefault="004E3A02" w:rsidP="004E3A02">
            <w:pPr>
              <w:pStyle w:val="Exhibit"/>
              <w:rPr>
                <w:b/>
              </w:rPr>
            </w:pPr>
            <w:r w:rsidRPr="00AA7829">
              <w:rPr>
                <w:b/>
              </w:rPr>
              <w:t>Employment or Education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 xml:space="preserve">Ever employed or in school 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Participation in employment or educational activities since random assignment, measured dichotomously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AA7829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Currently employed or in school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Confirmatory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Participation in employment or educational activities at the time of survey, measured dichotomously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4E3A02" w:rsidRPr="009E3634" w:rsidRDefault="00F9160E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4E3A02">
        <w:trPr>
          <w:cantSplit/>
        </w:trPr>
        <w:tc>
          <w:tcPr>
            <w:tcW w:w="12960" w:type="dxa"/>
            <w:gridSpan w:val="7"/>
            <w:shd w:val="clear" w:color="auto" w:fill="D0D3D4" w:themeFill="background2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  <w:i/>
              </w:rPr>
            </w:pPr>
            <w:r w:rsidRPr="004E3A02">
              <w:rPr>
                <w:b/>
                <w:i/>
              </w:rPr>
              <w:t>Employment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Ever employed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Employed at any time since random assignment, measured dichotomously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Currently employed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Employment at the time of survey, measured dichotomously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 xml:space="preserve">Current employment effort 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Participant level of work effort at the time of survey, measured continuously as the average number of work hours per week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Duration of employment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Number of months employed since random assignment, measured continuously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Earnings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Employment-related pay (base pay and additional work-based compensation)  since random assignment, measured continuously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4E3A02">
        <w:trPr>
          <w:cantSplit/>
        </w:trPr>
        <w:tc>
          <w:tcPr>
            <w:tcW w:w="12960" w:type="dxa"/>
            <w:gridSpan w:val="7"/>
            <w:shd w:val="clear" w:color="auto" w:fill="D0D3D4" w:themeFill="background2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  <w:i/>
              </w:rPr>
            </w:pPr>
            <w:r w:rsidRPr="004E3A02">
              <w:rPr>
                <w:b/>
                <w:i/>
              </w:rPr>
              <w:t>Education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Ever in school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In school or training activities at any time since random assignment, measured dichotomously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Currently in school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In school or training activities at the time of survey, measured dichotomously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Current education effort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Participant level of educational effort at the time of survey, measured categorically as full-time, part time, or no enrollment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B04E95" w:rsidRPr="009E3634" w:rsidTr="004E3A02">
        <w:trPr>
          <w:cantSplit/>
        </w:trPr>
        <w:tc>
          <w:tcPr>
            <w:tcW w:w="2099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Duration of education</w:t>
            </w:r>
          </w:p>
        </w:tc>
        <w:tc>
          <w:tcPr>
            <w:tcW w:w="1620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B04E95" w:rsidRPr="009E3634" w:rsidRDefault="00B04E95" w:rsidP="004E3A02">
            <w:pPr>
              <w:pStyle w:val="Exhibit"/>
            </w:pPr>
            <w:r w:rsidRPr="009E3634">
              <w:t>Number of months in school or training activities since random assignment, measured continuously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B04E95" w:rsidRPr="009E3634" w:rsidRDefault="00B04E95" w:rsidP="00262DB8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B04E95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lastRenderedPageBreak/>
              <w:t>Educational progress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Change in education level since random assignment, measured dichotomously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4E3A02" w:rsidTr="00AA7829">
        <w:trPr>
          <w:cantSplit/>
          <w:trHeight w:val="432"/>
        </w:trPr>
        <w:tc>
          <w:tcPr>
            <w:tcW w:w="12960" w:type="dxa"/>
            <w:gridSpan w:val="7"/>
            <w:shd w:val="clear" w:color="auto" w:fill="C3C6A8" w:themeFill="accent4"/>
            <w:vAlign w:val="center"/>
          </w:tcPr>
          <w:p w:rsidR="004E3A02" w:rsidRPr="004E3A02" w:rsidRDefault="004E3A02" w:rsidP="004E3A02">
            <w:pPr>
              <w:pStyle w:val="Exhibit"/>
              <w:rPr>
                <w:b/>
              </w:rPr>
            </w:pPr>
            <w:r w:rsidRPr="004E3A02">
              <w:rPr>
                <w:b/>
              </w:rPr>
              <w:t>Other Exploratory Measures</w:t>
            </w:r>
          </w:p>
        </w:tc>
      </w:tr>
      <w:tr w:rsidR="00F9160E" w:rsidRPr="009E3634" w:rsidTr="004E3A02">
        <w:trPr>
          <w:cantSplit/>
        </w:trPr>
        <w:tc>
          <w:tcPr>
            <w:tcW w:w="2099" w:type="dxa"/>
            <w:vAlign w:val="center"/>
          </w:tcPr>
          <w:p w:rsidR="00F9160E" w:rsidRPr="009E3634" w:rsidRDefault="00F9160E" w:rsidP="004E3A02">
            <w:pPr>
              <w:pStyle w:val="Exhibit"/>
            </w:pPr>
            <w:r>
              <w:t>Exposure to violence</w:t>
            </w:r>
          </w:p>
        </w:tc>
        <w:tc>
          <w:tcPr>
            <w:tcW w:w="1620" w:type="dxa"/>
            <w:vAlign w:val="center"/>
          </w:tcPr>
          <w:p w:rsidR="00F9160E" w:rsidRPr="009E3634" w:rsidRDefault="00F9160E" w:rsidP="004E3A02">
            <w:pPr>
              <w:pStyle w:val="Exhibit"/>
            </w:pPr>
            <w:r>
              <w:t>Exploratory</w:t>
            </w:r>
          </w:p>
        </w:tc>
        <w:tc>
          <w:tcPr>
            <w:tcW w:w="3877" w:type="dxa"/>
            <w:vAlign w:val="center"/>
          </w:tcPr>
          <w:p w:rsidR="00F9160E" w:rsidRPr="009E3634" w:rsidRDefault="00E070B3" w:rsidP="004E3A02">
            <w:pPr>
              <w:pStyle w:val="Exhibit"/>
            </w:pPr>
            <w:r w:rsidRPr="00E070B3">
              <w:t>Experience of violent acts, measured using 8 items from the fighting and violence scale from the National Longitudinal Survey of Adolescent Health (Harris et al., 2009)</w:t>
            </w:r>
          </w:p>
        </w:tc>
        <w:tc>
          <w:tcPr>
            <w:tcW w:w="1341" w:type="dxa"/>
            <w:vAlign w:val="center"/>
          </w:tcPr>
          <w:p w:rsidR="00F9160E" w:rsidRPr="009E3634" w:rsidRDefault="00F9160E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F9160E" w:rsidRPr="009E3634" w:rsidRDefault="00F9160E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F9160E" w:rsidRPr="009E3634" w:rsidRDefault="00F9160E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F9160E" w:rsidRPr="009E3634" w:rsidRDefault="00F9160E" w:rsidP="004E3A02">
            <w:pPr>
              <w:pStyle w:val="Exhibit"/>
              <w:jc w:val="center"/>
            </w:pPr>
            <w:r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Money management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 xml:space="preserve">Having a bank account; Managing income and expenses to make ends meet or save 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Abuse/neglect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Physical abuse, sexual abuse, emotional abuse, and /or physical or medical neglect by a parent, legal guardian or other caregiver since random assignment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Health care needs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Need for medical attention due to illness, injury, mental health condition, pregnancy, or prescription medication since random assignment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E070B3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  <w:tr w:rsidR="004E3A02" w:rsidRPr="009E3634" w:rsidTr="004E3A02">
        <w:trPr>
          <w:cantSplit/>
        </w:trPr>
        <w:tc>
          <w:tcPr>
            <w:tcW w:w="2099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Health care use</w:t>
            </w:r>
          </w:p>
        </w:tc>
        <w:tc>
          <w:tcPr>
            <w:tcW w:w="1620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Exploratory</w:t>
            </w:r>
          </w:p>
        </w:tc>
        <w:tc>
          <w:tcPr>
            <w:tcW w:w="3877" w:type="dxa"/>
            <w:vAlign w:val="center"/>
          </w:tcPr>
          <w:p w:rsidR="004E3A02" w:rsidRPr="009E3634" w:rsidRDefault="004E3A02" w:rsidP="004E3A02">
            <w:pPr>
              <w:pStyle w:val="Exhibit"/>
            </w:pPr>
            <w:r w:rsidRPr="009E3634">
              <w:t>Receipt of health care services related to participant-identified health care needs since random assignment</w:t>
            </w:r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E070B3" w:rsidP="004E3A02">
            <w:pPr>
              <w:pStyle w:val="Exhibit"/>
              <w:jc w:val="center"/>
            </w:pPr>
            <w:r>
              <w:t>X</w:t>
            </w:r>
          </w:p>
        </w:tc>
        <w:tc>
          <w:tcPr>
            <w:tcW w:w="1341" w:type="dxa"/>
            <w:vAlign w:val="center"/>
          </w:tcPr>
          <w:p w:rsidR="004E3A02" w:rsidRPr="009E3634" w:rsidRDefault="00B04E95" w:rsidP="004E3A02">
            <w:pPr>
              <w:pStyle w:val="Exhibit"/>
              <w:jc w:val="center"/>
            </w:pPr>
            <w:r w:rsidRPr="009E3634">
              <w:t>X</w:t>
            </w:r>
            <w:bookmarkStart w:id="0" w:name="_GoBack"/>
            <w:bookmarkEnd w:id="0"/>
          </w:p>
        </w:tc>
        <w:tc>
          <w:tcPr>
            <w:tcW w:w="1341" w:type="dxa"/>
            <w:vAlign w:val="center"/>
          </w:tcPr>
          <w:p w:rsidR="004E3A02" w:rsidRPr="009E3634" w:rsidRDefault="004E3A02" w:rsidP="004E3A02">
            <w:pPr>
              <w:pStyle w:val="Exhibit"/>
              <w:jc w:val="center"/>
            </w:pPr>
            <w:r w:rsidRPr="009E3634">
              <w:t>X</w:t>
            </w:r>
          </w:p>
        </w:tc>
      </w:tr>
    </w:tbl>
    <w:p w:rsidR="000B0121" w:rsidRDefault="004E3A02" w:rsidP="004E3A02">
      <w:pPr>
        <w:pStyle w:val="ExhibitSource"/>
      </w:pPr>
      <w:proofErr w:type="gramStart"/>
      <w:r>
        <w:rPr>
          <w:vertAlign w:val="superscript"/>
        </w:rPr>
        <w:t>b</w:t>
      </w:r>
      <w:proofErr w:type="gramEnd"/>
      <w:r w:rsidR="000B0121">
        <w:t xml:space="preserve"> The reference period of “since random assignment” does not apply to the baseline survey, which uses a period of “the past 12 months” or the reference period otherwise designated by the item source. </w:t>
      </w:r>
    </w:p>
    <w:p w:rsidR="00D979EA" w:rsidRPr="00A324EA" w:rsidRDefault="004E3A02" w:rsidP="009C3F5C">
      <w:pPr>
        <w:pStyle w:val="ExhibitSource"/>
      </w:pPr>
      <w:proofErr w:type="gramStart"/>
      <w:r>
        <w:rPr>
          <w:vertAlign w:val="superscript"/>
        </w:rPr>
        <w:t xml:space="preserve">c </w:t>
      </w:r>
      <w:r w:rsidR="000B0121">
        <w:t xml:space="preserve"> Independent</w:t>
      </w:r>
      <w:proofErr w:type="gramEnd"/>
      <w:r w:rsidR="000B0121">
        <w:t xml:space="preserve"> living will be operationalized differently for minors, who are not of legal age to sign a lease.</w:t>
      </w:r>
    </w:p>
    <w:sectPr w:rsidR="00D979EA" w:rsidRPr="00A324EA" w:rsidSect="009C3F5C">
      <w:headerReference w:type="default" r:id="rId9"/>
      <w:footerReference w:type="default" r:id="rId10"/>
      <w:pgSz w:w="15840" w:h="12240" w:orient="landscape" w:code="1"/>
      <w:pgMar w:top="1440" w:right="1440" w:bottom="1440" w:left="144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0E" w:rsidRDefault="00F9160E" w:rsidP="00D979EA">
      <w:r>
        <w:separator/>
      </w:r>
    </w:p>
  </w:endnote>
  <w:endnote w:type="continuationSeparator" w:id="0">
    <w:p w:rsidR="00F9160E" w:rsidRDefault="00F9160E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Arial"/>
        <w:szCs w:val="18"/>
      </w:rPr>
      <w:id w:val="-443313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007" w:rsidRPr="00FC1007" w:rsidRDefault="00FC1007">
        <w:pPr>
          <w:pStyle w:val="Footer"/>
          <w:jc w:val="right"/>
          <w:rPr>
            <w:rFonts w:eastAsiaTheme="majorEastAsia" w:cs="Arial"/>
            <w:szCs w:val="18"/>
          </w:rPr>
        </w:pPr>
        <w:r w:rsidRPr="00FC1007">
          <w:rPr>
            <w:rFonts w:eastAsiaTheme="majorEastAsia" w:cs="Arial"/>
            <w:szCs w:val="18"/>
          </w:rPr>
          <w:t xml:space="preserve">pg. </w:t>
        </w:r>
        <w:r w:rsidRPr="00FC1007">
          <w:rPr>
            <w:rFonts w:eastAsiaTheme="minorEastAsia" w:cs="Arial"/>
            <w:szCs w:val="18"/>
          </w:rPr>
          <w:fldChar w:fldCharType="begin"/>
        </w:r>
        <w:r w:rsidRPr="00FC1007">
          <w:rPr>
            <w:rFonts w:cs="Arial"/>
            <w:szCs w:val="18"/>
          </w:rPr>
          <w:instrText xml:space="preserve"> PAGE    \* MERGEFORMAT </w:instrText>
        </w:r>
        <w:r w:rsidRPr="00FC1007">
          <w:rPr>
            <w:rFonts w:eastAsiaTheme="minorEastAsia" w:cs="Arial"/>
            <w:szCs w:val="18"/>
          </w:rPr>
          <w:fldChar w:fldCharType="separate"/>
        </w:r>
        <w:r w:rsidR="001C504B" w:rsidRPr="001C504B">
          <w:rPr>
            <w:rFonts w:eastAsiaTheme="majorEastAsia" w:cs="Arial"/>
            <w:noProof/>
            <w:szCs w:val="18"/>
          </w:rPr>
          <w:t>1</w:t>
        </w:r>
        <w:r w:rsidRPr="00FC1007">
          <w:rPr>
            <w:rFonts w:eastAsiaTheme="majorEastAsia" w:cs="Arial"/>
            <w:noProof/>
            <w:szCs w:val="18"/>
          </w:rPr>
          <w:fldChar w:fldCharType="end"/>
        </w:r>
      </w:p>
    </w:sdtContent>
  </w:sdt>
  <w:p w:rsidR="00F9160E" w:rsidRPr="00FC1007" w:rsidRDefault="00F9160E" w:rsidP="00FC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0E" w:rsidRDefault="00F9160E" w:rsidP="00D979EA">
      <w:r>
        <w:separator/>
      </w:r>
    </w:p>
  </w:footnote>
  <w:footnote w:type="continuationSeparator" w:id="0">
    <w:p w:rsidR="00F9160E" w:rsidRDefault="00F9160E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07" w:rsidRDefault="00FC1007">
    <w:pPr>
      <w:pStyle w:val="Header"/>
    </w:pPr>
    <w:r>
      <w:t>Attachment A</w:t>
    </w:r>
    <w:r w:rsidR="00096DE2">
      <w:t xml:space="preserve"> - Cross Walk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420"/>
    <w:multiLevelType w:val="hybridMultilevel"/>
    <w:tmpl w:val="7C843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6294"/>
    <w:multiLevelType w:val="hybridMultilevel"/>
    <w:tmpl w:val="18E8CE6A"/>
    <w:lvl w:ilvl="0" w:tplc="2786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E75"/>
    <w:multiLevelType w:val="hybridMultilevel"/>
    <w:tmpl w:val="CCAA2158"/>
    <w:lvl w:ilvl="0" w:tplc="2498647E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B3D5E"/>
    <w:multiLevelType w:val="hybridMultilevel"/>
    <w:tmpl w:val="0A56F960"/>
    <w:lvl w:ilvl="0" w:tplc="2786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C511E"/>
    <w:multiLevelType w:val="hybridMultilevel"/>
    <w:tmpl w:val="7DB6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9EC15B6"/>
    <w:multiLevelType w:val="hybridMultilevel"/>
    <w:tmpl w:val="26EC7D14"/>
    <w:lvl w:ilvl="0" w:tplc="2786B2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043DA"/>
    <w:multiLevelType w:val="hybridMultilevel"/>
    <w:tmpl w:val="8A4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F2BB9"/>
    <w:multiLevelType w:val="multilevel"/>
    <w:tmpl w:val="120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05120"/>
    <w:multiLevelType w:val="hybridMultilevel"/>
    <w:tmpl w:val="055E3580"/>
    <w:lvl w:ilvl="0" w:tplc="2498647E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05BC9"/>
    <w:multiLevelType w:val="hybridMultilevel"/>
    <w:tmpl w:val="7C843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1735B"/>
    <w:multiLevelType w:val="hybridMultilevel"/>
    <w:tmpl w:val="7D907000"/>
    <w:lvl w:ilvl="0" w:tplc="2786B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44E39"/>
    <w:multiLevelType w:val="hybridMultilevel"/>
    <w:tmpl w:val="48EA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7AD63DA6"/>
    <w:multiLevelType w:val="singleLevel"/>
    <w:tmpl w:val="FFCAAF2C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6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6"/>
  </w:num>
  <w:num w:numId="5">
    <w:abstractNumId w:val="16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10"/>
  </w:num>
  <w:num w:numId="13">
    <w:abstractNumId w:val="9"/>
  </w:num>
  <w:num w:numId="14">
    <w:abstractNumId w:val="0"/>
  </w:num>
  <w:num w:numId="15">
    <w:abstractNumId w:val="11"/>
  </w:num>
  <w:num w:numId="16">
    <w:abstractNumId w:val="8"/>
  </w:num>
  <w:num w:numId="1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662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21"/>
    <w:rsid w:val="00003A2C"/>
    <w:rsid w:val="00006B3A"/>
    <w:rsid w:val="0001234A"/>
    <w:rsid w:val="000136F3"/>
    <w:rsid w:val="00016E17"/>
    <w:rsid w:val="0002216E"/>
    <w:rsid w:val="00036CE1"/>
    <w:rsid w:val="00040E00"/>
    <w:rsid w:val="00046728"/>
    <w:rsid w:val="00047DB6"/>
    <w:rsid w:val="000525E0"/>
    <w:rsid w:val="00053EEF"/>
    <w:rsid w:val="000543DC"/>
    <w:rsid w:val="00055022"/>
    <w:rsid w:val="0005750B"/>
    <w:rsid w:val="0006045E"/>
    <w:rsid w:val="0006587B"/>
    <w:rsid w:val="00070322"/>
    <w:rsid w:val="00082D01"/>
    <w:rsid w:val="00087856"/>
    <w:rsid w:val="000902AA"/>
    <w:rsid w:val="00095D40"/>
    <w:rsid w:val="00096DE2"/>
    <w:rsid w:val="000A00A2"/>
    <w:rsid w:val="000A1C6D"/>
    <w:rsid w:val="000A7D69"/>
    <w:rsid w:val="000B0121"/>
    <w:rsid w:val="000B33D1"/>
    <w:rsid w:val="000C0A39"/>
    <w:rsid w:val="000C3040"/>
    <w:rsid w:val="000D011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26AE8"/>
    <w:rsid w:val="001307A5"/>
    <w:rsid w:val="00143981"/>
    <w:rsid w:val="00152153"/>
    <w:rsid w:val="00153621"/>
    <w:rsid w:val="00157E04"/>
    <w:rsid w:val="00160657"/>
    <w:rsid w:val="00160B87"/>
    <w:rsid w:val="001677DC"/>
    <w:rsid w:val="00170509"/>
    <w:rsid w:val="00172119"/>
    <w:rsid w:val="001A04CE"/>
    <w:rsid w:val="001A0E0A"/>
    <w:rsid w:val="001A23B5"/>
    <w:rsid w:val="001A403F"/>
    <w:rsid w:val="001A4633"/>
    <w:rsid w:val="001B0DEE"/>
    <w:rsid w:val="001B4509"/>
    <w:rsid w:val="001C0891"/>
    <w:rsid w:val="001C10AF"/>
    <w:rsid w:val="001C504B"/>
    <w:rsid w:val="001D4FDD"/>
    <w:rsid w:val="001E2CF1"/>
    <w:rsid w:val="00200E58"/>
    <w:rsid w:val="002064D3"/>
    <w:rsid w:val="002106BF"/>
    <w:rsid w:val="00210EC6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9491C"/>
    <w:rsid w:val="002A0AEC"/>
    <w:rsid w:val="002A4078"/>
    <w:rsid w:val="002A5CE0"/>
    <w:rsid w:val="002B2F3C"/>
    <w:rsid w:val="002C32AB"/>
    <w:rsid w:val="002C41F9"/>
    <w:rsid w:val="002C4495"/>
    <w:rsid w:val="002C5AC8"/>
    <w:rsid w:val="002C76AB"/>
    <w:rsid w:val="002D4536"/>
    <w:rsid w:val="002F48C8"/>
    <w:rsid w:val="002F55CE"/>
    <w:rsid w:val="002F74D0"/>
    <w:rsid w:val="002F76F5"/>
    <w:rsid w:val="003070EB"/>
    <w:rsid w:val="00314A8A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0463"/>
    <w:rsid w:val="00395A89"/>
    <w:rsid w:val="003A2FA8"/>
    <w:rsid w:val="003A3403"/>
    <w:rsid w:val="003B4770"/>
    <w:rsid w:val="003C20BF"/>
    <w:rsid w:val="003D5616"/>
    <w:rsid w:val="003E666B"/>
    <w:rsid w:val="003E6F86"/>
    <w:rsid w:val="003F3E19"/>
    <w:rsid w:val="00423092"/>
    <w:rsid w:val="004253E8"/>
    <w:rsid w:val="00427EA9"/>
    <w:rsid w:val="0043157B"/>
    <w:rsid w:val="004319BC"/>
    <w:rsid w:val="004350B0"/>
    <w:rsid w:val="00436CE5"/>
    <w:rsid w:val="00470AB4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E3A02"/>
    <w:rsid w:val="004F6742"/>
    <w:rsid w:val="004F709B"/>
    <w:rsid w:val="00503049"/>
    <w:rsid w:val="00534B03"/>
    <w:rsid w:val="00534C33"/>
    <w:rsid w:val="00536DB4"/>
    <w:rsid w:val="0054025D"/>
    <w:rsid w:val="0055123E"/>
    <w:rsid w:val="00571FF1"/>
    <w:rsid w:val="00574572"/>
    <w:rsid w:val="00585CA4"/>
    <w:rsid w:val="00597948"/>
    <w:rsid w:val="005B1AC5"/>
    <w:rsid w:val="005B6A25"/>
    <w:rsid w:val="005C4647"/>
    <w:rsid w:val="005D5384"/>
    <w:rsid w:val="005E0CF2"/>
    <w:rsid w:val="005E2AEA"/>
    <w:rsid w:val="005E6B70"/>
    <w:rsid w:val="005F175D"/>
    <w:rsid w:val="006122D8"/>
    <w:rsid w:val="0061247A"/>
    <w:rsid w:val="00615938"/>
    <w:rsid w:val="0063014E"/>
    <w:rsid w:val="0065112D"/>
    <w:rsid w:val="0066134E"/>
    <w:rsid w:val="00680BC0"/>
    <w:rsid w:val="006814BB"/>
    <w:rsid w:val="006840EB"/>
    <w:rsid w:val="0069342C"/>
    <w:rsid w:val="006A3CD1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31C7"/>
    <w:rsid w:val="00763CCC"/>
    <w:rsid w:val="00765B37"/>
    <w:rsid w:val="00776C72"/>
    <w:rsid w:val="0078258F"/>
    <w:rsid w:val="007846BC"/>
    <w:rsid w:val="00794B6E"/>
    <w:rsid w:val="007969A4"/>
    <w:rsid w:val="007A0114"/>
    <w:rsid w:val="007B1321"/>
    <w:rsid w:val="007B1904"/>
    <w:rsid w:val="007D6370"/>
    <w:rsid w:val="007E092F"/>
    <w:rsid w:val="007E5EC0"/>
    <w:rsid w:val="0080098A"/>
    <w:rsid w:val="00801761"/>
    <w:rsid w:val="008111EB"/>
    <w:rsid w:val="008130C9"/>
    <w:rsid w:val="00813D02"/>
    <w:rsid w:val="00814833"/>
    <w:rsid w:val="0082033D"/>
    <w:rsid w:val="008222AD"/>
    <w:rsid w:val="008304C7"/>
    <w:rsid w:val="0083104D"/>
    <w:rsid w:val="008349AE"/>
    <w:rsid w:val="00846D77"/>
    <w:rsid w:val="00852480"/>
    <w:rsid w:val="00856632"/>
    <w:rsid w:val="00867308"/>
    <w:rsid w:val="008878EB"/>
    <w:rsid w:val="008B0543"/>
    <w:rsid w:val="008C0888"/>
    <w:rsid w:val="008C3505"/>
    <w:rsid w:val="008D30EA"/>
    <w:rsid w:val="008D55C8"/>
    <w:rsid w:val="008E20DE"/>
    <w:rsid w:val="008F1770"/>
    <w:rsid w:val="008F6391"/>
    <w:rsid w:val="009013C5"/>
    <w:rsid w:val="009061A4"/>
    <w:rsid w:val="00912E02"/>
    <w:rsid w:val="00936A25"/>
    <w:rsid w:val="00942024"/>
    <w:rsid w:val="00944550"/>
    <w:rsid w:val="009550AD"/>
    <w:rsid w:val="009565D4"/>
    <w:rsid w:val="00967D7C"/>
    <w:rsid w:val="00977D73"/>
    <w:rsid w:val="00986619"/>
    <w:rsid w:val="0099262A"/>
    <w:rsid w:val="00996BC8"/>
    <w:rsid w:val="009A05F3"/>
    <w:rsid w:val="009B56DA"/>
    <w:rsid w:val="009C006B"/>
    <w:rsid w:val="009C3F5C"/>
    <w:rsid w:val="009D13BB"/>
    <w:rsid w:val="009D50EB"/>
    <w:rsid w:val="009E2C57"/>
    <w:rsid w:val="009E32F5"/>
    <w:rsid w:val="009E3634"/>
    <w:rsid w:val="009E6279"/>
    <w:rsid w:val="009F2649"/>
    <w:rsid w:val="009F704C"/>
    <w:rsid w:val="00A0215D"/>
    <w:rsid w:val="00A06666"/>
    <w:rsid w:val="00A105E0"/>
    <w:rsid w:val="00A26A9F"/>
    <w:rsid w:val="00A3018B"/>
    <w:rsid w:val="00A3128D"/>
    <w:rsid w:val="00A324EA"/>
    <w:rsid w:val="00A33A46"/>
    <w:rsid w:val="00A42AB2"/>
    <w:rsid w:val="00A45B43"/>
    <w:rsid w:val="00A4794A"/>
    <w:rsid w:val="00A533DE"/>
    <w:rsid w:val="00A53E2B"/>
    <w:rsid w:val="00A817CE"/>
    <w:rsid w:val="00A928FA"/>
    <w:rsid w:val="00AA7829"/>
    <w:rsid w:val="00AA7B0B"/>
    <w:rsid w:val="00AB32CF"/>
    <w:rsid w:val="00AC59EB"/>
    <w:rsid w:val="00AD2235"/>
    <w:rsid w:val="00B02599"/>
    <w:rsid w:val="00B04E95"/>
    <w:rsid w:val="00B14060"/>
    <w:rsid w:val="00B15CB5"/>
    <w:rsid w:val="00B16B3C"/>
    <w:rsid w:val="00B25EE3"/>
    <w:rsid w:val="00B269D4"/>
    <w:rsid w:val="00B3357C"/>
    <w:rsid w:val="00B61C4A"/>
    <w:rsid w:val="00B61EC9"/>
    <w:rsid w:val="00B637B6"/>
    <w:rsid w:val="00B679AD"/>
    <w:rsid w:val="00B7744A"/>
    <w:rsid w:val="00B82D4D"/>
    <w:rsid w:val="00B87EE6"/>
    <w:rsid w:val="00B9260A"/>
    <w:rsid w:val="00B96ABD"/>
    <w:rsid w:val="00BA5BDE"/>
    <w:rsid w:val="00BF18DC"/>
    <w:rsid w:val="00C04B4F"/>
    <w:rsid w:val="00C13DE2"/>
    <w:rsid w:val="00C14408"/>
    <w:rsid w:val="00C14776"/>
    <w:rsid w:val="00C17F58"/>
    <w:rsid w:val="00C307E7"/>
    <w:rsid w:val="00C34A92"/>
    <w:rsid w:val="00C35829"/>
    <w:rsid w:val="00C370A7"/>
    <w:rsid w:val="00C4068E"/>
    <w:rsid w:val="00C57E90"/>
    <w:rsid w:val="00C62F1C"/>
    <w:rsid w:val="00C6380F"/>
    <w:rsid w:val="00C744A3"/>
    <w:rsid w:val="00C817ED"/>
    <w:rsid w:val="00C81DB5"/>
    <w:rsid w:val="00C900FF"/>
    <w:rsid w:val="00CA5144"/>
    <w:rsid w:val="00CA7AEC"/>
    <w:rsid w:val="00CB3FC8"/>
    <w:rsid w:val="00CB442A"/>
    <w:rsid w:val="00CC2511"/>
    <w:rsid w:val="00CD4B2E"/>
    <w:rsid w:val="00CD4DE4"/>
    <w:rsid w:val="00CD6527"/>
    <w:rsid w:val="00CD6B3F"/>
    <w:rsid w:val="00CF33A0"/>
    <w:rsid w:val="00CF3E63"/>
    <w:rsid w:val="00CF561E"/>
    <w:rsid w:val="00D143BA"/>
    <w:rsid w:val="00D20DD2"/>
    <w:rsid w:val="00D34B9B"/>
    <w:rsid w:val="00D34EEE"/>
    <w:rsid w:val="00D37BAF"/>
    <w:rsid w:val="00D51B1E"/>
    <w:rsid w:val="00D8161D"/>
    <w:rsid w:val="00D96598"/>
    <w:rsid w:val="00D979EA"/>
    <w:rsid w:val="00DA02B9"/>
    <w:rsid w:val="00DA42EA"/>
    <w:rsid w:val="00DA7FEA"/>
    <w:rsid w:val="00DB269B"/>
    <w:rsid w:val="00DC02B5"/>
    <w:rsid w:val="00DD27D1"/>
    <w:rsid w:val="00DE221A"/>
    <w:rsid w:val="00DE2334"/>
    <w:rsid w:val="00DE5C1E"/>
    <w:rsid w:val="00DF68F0"/>
    <w:rsid w:val="00DF6CDE"/>
    <w:rsid w:val="00E0113D"/>
    <w:rsid w:val="00E01759"/>
    <w:rsid w:val="00E039CB"/>
    <w:rsid w:val="00E06289"/>
    <w:rsid w:val="00E070B3"/>
    <w:rsid w:val="00E1423B"/>
    <w:rsid w:val="00E317E1"/>
    <w:rsid w:val="00E33231"/>
    <w:rsid w:val="00E6186E"/>
    <w:rsid w:val="00E72F03"/>
    <w:rsid w:val="00E7429A"/>
    <w:rsid w:val="00E74AC0"/>
    <w:rsid w:val="00E75D89"/>
    <w:rsid w:val="00E84434"/>
    <w:rsid w:val="00E84D01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0102A"/>
    <w:rsid w:val="00F13235"/>
    <w:rsid w:val="00F1494E"/>
    <w:rsid w:val="00F23798"/>
    <w:rsid w:val="00F260AC"/>
    <w:rsid w:val="00F26DFB"/>
    <w:rsid w:val="00F27043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160E"/>
    <w:rsid w:val="00F93183"/>
    <w:rsid w:val="00F9558E"/>
    <w:rsid w:val="00FA035F"/>
    <w:rsid w:val="00FA686C"/>
    <w:rsid w:val="00FA6932"/>
    <w:rsid w:val="00FB3972"/>
    <w:rsid w:val="00FB70DE"/>
    <w:rsid w:val="00FC1007"/>
    <w:rsid w:val="00FC2BD1"/>
    <w:rsid w:val="00FC4EBC"/>
    <w:rsid w:val="00FC7AC4"/>
    <w:rsid w:val="00FD17C2"/>
    <w:rsid w:val="00FD634F"/>
    <w:rsid w:val="00FE0A7C"/>
    <w:rsid w:val="00FE2611"/>
    <w:rsid w:val="00FE5CFA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26AE8"/>
    <w:pPr>
      <w:numPr>
        <w:numId w:val="3"/>
      </w:numPr>
      <w:spacing w:after="120"/>
      <w:ind w:left="7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0B0121"/>
    <w:pPr>
      <w:tabs>
        <w:tab w:val="left" w:pos="576"/>
        <w:tab w:val="right" w:leader="dot" w:pos="8990"/>
      </w:tabs>
      <w:spacing w:before="240" w:after="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0B0121"/>
    <w:pPr>
      <w:tabs>
        <w:tab w:val="left" w:pos="1152"/>
        <w:tab w:val="right" w:leader="dot" w:pos="8990"/>
      </w:tabs>
      <w:spacing w:after="0"/>
      <w:ind w:left="576"/>
    </w:pPr>
  </w:style>
  <w:style w:type="paragraph" w:styleId="TOC3">
    <w:name w:val="toc 3"/>
    <w:basedOn w:val="BodyText"/>
    <w:next w:val="BodyText"/>
    <w:uiPriority w:val="39"/>
    <w:rsid w:val="000B0121"/>
    <w:pPr>
      <w:tabs>
        <w:tab w:val="left" w:pos="1920"/>
        <w:tab w:val="right" w:leader="dot" w:pos="8990"/>
      </w:tabs>
      <w:spacing w:after="0"/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aliases w:val="*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D34B9B"/>
    <w:pPr>
      <w:spacing w:after="0"/>
    </w:pPr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uiPriority w:val="99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42AB2"/>
    <w:pPr>
      <w:keepNext/>
      <w:keepLines/>
      <w:widowControl w:val="0"/>
      <w:tabs>
        <w:tab w:val="left" w:pos="1440"/>
      </w:tabs>
      <w:spacing w:after="12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9E2C57"/>
    <w:pPr>
      <w:numPr>
        <w:numId w:val="5"/>
      </w:numPr>
      <w:spacing w:after="120"/>
      <w:ind w:left="108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34B9B"/>
    <w:pPr>
      <w:spacing w:before="60" w:after="6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D34B9B"/>
    <w:rPr>
      <w:color w:val="FFFFFF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ExhibitsourceLAST">
    <w:name w:val="Exhibit source LAST"/>
    <w:basedOn w:val="ExhibitSource"/>
    <w:qFormat/>
    <w:rsid w:val="00D34B9B"/>
    <w:pPr>
      <w:spacing w:after="180"/>
    </w:pPr>
  </w:style>
  <w:style w:type="paragraph" w:customStyle="1" w:styleId="Default">
    <w:name w:val="Default"/>
    <w:rsid w:val="00680B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dRun-in">
    <w:name w:val="Red Run-in"/>
    <w:basedOn w:val="DefaultParagraphFont"/>
    <w:uiPriority w:val="1"/>
    <w:qFormat/>
    <w:rsid w:val="00E74AC0"/>
    <w:rPr>
      <w:b/>
      <w:i/>
      <w:color w:val="DA291C" w:themeColor="accent1"/>
    </w:rPr>
  </w:style>
  <w:style w:type="paragraph" w:styleId="ListParagraph">
    <w:name w:val="List Paragraph"/>
    <w:basedOn w:val="Normal"/>
    <w:uiPriority w:val="34"/>
    <w:qFormat/>
    <w:rsid w:val="00126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8878EB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26AE8"/>
    <w:pPr>
      <w:numPr>
        <w:numId w:val="3"/>
      </w:numPr>
      <w:spacing w:after="120"/>
      <w:ind w:left="7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0B0121"/>
    <w:pPr>
      <w:tabs>
        <w:tab w:val="left" w:pos="576"/>
        <w:tab w:val="right" w:leader="dot" w:pos="8990"/>
      </w:tabs>
      <w:spacing w:before="240" w:after="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0B0121"/>
    <w:pPr>
      <w:tabs>
        <w:tab w:val="left" w:pos="1152"/>
        <w:tab w:val="right" w:leader="dot" w:pos="8990"/>
      </w:tabs>
      <w:spacing w:after="0"/>
      <w:ind w:left="576"/>
    </w:pPr>
  </w:style>
  <w:style w:type="paragraph" w:styleId="TOC3">
    <w:name w:val="toc 3"/>
    <w:basedOn w:val="BodyText"/>
    <w:next w:val="BodyText"/>
    <w:uiPriority w:val="39"/>
    <w:rsid w:val="000B0121"/>
    <w:pPr>
      <w:tabs>
        <w:tab w:val="left" w:pos="1920"/>
        <w:tab w:val="right" w:leader="dot" w:pos="8990"/>
      </w:tabs>
      <w:spacing w:after="0"/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aliases w:val="*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D34B9B"/>
    <w:pPr>
      <w:spacing w:after="0"/>
    </w:pPr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uiPriority w:val="99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42AB2"/>
    <w:pPr>
      <w:keepNext/>
      <w:keepLines/>
      <w:widowControl w:val="0"/>
      <w:tabs>
        <w:tab w:val="left" w:pos="1440"/>
      </w:tabs>
      <w:spacing w:after="12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9E2C57"/>
    <w:pPr>
      <w:numPr>
        <w:numId w:val="5"/>
      </w:numPr>
      <w:spacing w:after="120"/>
      <w:ind w:left="108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34B9B"/>
    <w:pPr>
      <w:spacing w:before="60" w:after="6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D34B9B"/>
    <w:rPr>
      <w:color w:val="FFFFFF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ExhibitsourceLAST">
    <w:name w:val="Exhibit source LAST"/>
    <w:basedOn w:val="ExhibitSource"/>
    <w:qFormat/>
    <w:rsid w:val="00D34B9B"/>
    <w:pPr>
      <w:spacing w:after="180"/>
    </w:pPr>
  </w:style>
  <w:style w:type="paragraph" w:customStyle="1" w:styleId="Default">
    <w:name w:val="Default"/>
    <w:rsid w:val="00680B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dRun-in">
    <w:name w:val="Red Run-in"/>
    <w:basedOn w:val="DefaultParagraphFont"/>
    <w:uiPriority w:val="1"/>
    <w:qFormat/>
    <w:rsid w:val="00E74AC0"/>
    <w:rPr>
      <w:b/>
      <w:i/>
      <w:color w:val="DA291C" w:themeColor="accent1"/>
    </w:rPr>
  </w:style>
  <w:style w:type="paragraph" w:styleId="ListParagraph">
    <w:name w:val="List Paragraph"/>
    <w:basedOn w:val="Normal"/>
    <w:uiPriority w:val="34"/>
    <w:qFormat/>
    <w:rsid w:val="00126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8878EB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3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0970-0383</OMB_x0020_Control_x0020_Number>
    <FR_x0020_Title xmlns="e059a2d5-a4f8-4fd8-b836-4c9cf26100e7" xsi:nil="true"/>
    <ACF_x0020_Tracking_x0020_No_x002e_ xmlns="e059a2d5-a4f8-4fd8-b836-4c9cf26100e7">ACYF-0154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A4CF2160-1731-440E-A4F7-E3BC3E7277DC}"/>
</file>

<file path=customXml/itemProps2.xml><?xml version="1.0" encoding="utf-8"?>
<ds:datastoreItem xmlns:ds="http://schemas.openxmlformats.org/officeDocument/2006/customXml" ds:itemID="{9FEBFBD9-D211-4950-808B-957486DF2953}"/>
</file>

<file path=customXml/itemProps3.xml><?xml version="1.0" encoding="utf-8"?>
<ds:datastoreItem xmlns:ds="http://schemas.openxmlformats.org/officeDocument/2006/customXml" ds:itemID="{E1D7D2F3-249D-4219-AEDB-393177991303}"/>
</file>

<file path=customXml/itemProps4.xml><?xml version="1.0" encoding="utf-8"?>
<ds:datastoreItem xmlns:ds="http://schemas.openxmlformats.org/officeDocument/2006/customXml" ds:itemID="{2DFE463F-5D1B-435D-8BBE-57331C157425}"/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7-15-2011.dotm</Template>
  <TotalTime>14</TotalTime>
  <Pages>4</Pages>
  <Words>919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6267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the Transitional Living Program (TLP)</dc:title>
  <dc:creator>Jan Nicholson</dc:creator>
  <cp:keywords>Single-Sided body Templates</cp:keywords>
  <cp:lastModifiedBy>Jessica Walker</cp:lastModifiedBy>
  <cp:revision>3</cp:revision>
  <cp:lastPrinted>2013-12-20T17:43:00Z</cp:lastPrinted>
  <dcterms:created xsi:type="dcterms:W3CDTF">2014-09-23T19:17:00Z</dcterms:created>
  <dcterms:modified xsi:type="dcterms:W3CDTF">2014-09-23T19:18:00Z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