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A7" w:rsidRPr="001826A2" w:rsidRDefault="00CA22A7" w:rsidP="00FF7CC0">
      <w:pPr>
        <w:jc w:val="center"/>
        <w:rPr>
          <w:rFonts w:ascii="Times New Roman" w:hAnsi="Times New Roman"/>
          <w:b/>
        </w:rPr>
      </w:pPr>
      <w:bookmarkStart w:id="0" w:name="_GoBack"/>
      <w:bookmarkEnd w:id="0"/>
      <w:r w:rsidRPr="001826A2">
        <w:rPr>
          <w:rFonts w:ascii="Times New Roman" w:hAnsi="Times New Roman"/>
          <w:b/>
        </w:rPr>
        <w:t>Supporting Statement for</w:t>
      </w:r>
      <w:r w:rsidR="00C310F8">
        <w:rPr>
          <w:rFonts w:ascii="Times New Roman" w:hAnsi="Times New Roman"/>
          <w:b/>
        </w:rPr>
        <w:t xml:space="preserve"> the SSA-827</w:t>
      </w:r>
    </w:p>
    <w:p w:rsidR="00CA22A7" w:rsidRPr="001826A2" w:rsidRDefault="00CA22A7" w:rsidP="00FF7CC0">
      <w:pPr>
        <w:jc w:val="center"/>
        <w:rPr>
          <w:rFonts w:ascii="Times New Roman" w:hAnsi="Times New Roman"/>
          <w:b/>
        </w:rPr>
      </w:pPr>
      <w:r w:rsidRPr="001826A2">
        <w:rPr>
          <w:rFonts w:ascii="Times New Roman" w:hAnsi="Times New Roman"/>
          <w:b/>
        </w:rPr>
        <w:t>Authorization to Disclose Information to the</w:t>
      </w:r>
    </w:p>
    <w:p w:rsidR="00CA22A7" w:rsidRPr="001826A2" w:rsidRDefault="00CA22A7" w:rsidP="00FF7CC0">
      <w:pPr>
        <w:jc w:val="center"/>
        <w:rPr>
          <w:rFonts w:ascii="Times New Roman" w:hAnsi="Times New Roman"/>
          <w:b/>
        </w:rPr>
      </w:pPr>
      <w:r w:rsidRPr="001826A2">
        <w:rPr>
          <w:rFonts w:ascii="Times New Roman" w:hAnsi="Times New Roman"/>
          <w:b/>
        </w:rPr>
        <w:t>Social Security Administration</w:t>
      </w:r>
    </w:p>
    <w:p w:rsidR="00CA22A7" w:rsidRPr="001826A2" w:rsidRDefault="00CA22A7" w:rsidP="00FF7CC0">
      <w:pPr>
        <w:jc w:val="center"/>
        <w:rPr>
          <w:rFonts w:ascii="Times New Roman" w:hAnsi="Times New Roman"/>
          <w:b/>
        </w:rPr>
      </w:pPr>
      <w:r w:rsidRPr="001826A2">
        <w:rPr>
          <w:rFonts w:ascii="Times New Roman" w:hAnsi="Times New Roman"/>
          <w:b/>
        </w:rPr>
        <w:t>20 CFR 404.1512 and 416.912, 45 CFR 160 and 164</w:t>
      </w:r>
    </w:p>
    <w:p w:rsidR="00CA22A7" w:rsidRPr="001826A2" w:rsidRDefault="00CA22A7" w:rsidP="00FF7CC0">
      <w:pPr>
        <w:jc w:val="center"/>
        <w:rPr>
          <w:rFonts w:ascii="Times New Roman" w:hAnsi="Times New Roman"/>
          <w:b/>
        </w:rPr>
      </w:pPr>
      <w:r w:rsidRPr="001826A2">
        <w:rPr>
          <w:rFonts w:ascii="Times New Roman" w:hAnsi="Times New Roman"/>
          <w:b/>
        </w:rPr>
        <w:t>OMB No. 0960-0623</w:t>
      </w:r>
    </w:p>
    <w:p w:rsidR="00CA22A7" w:rsidRPr="00BE03BB" w:rsidRDefault="00CA22A7" w:rsidP="00FF7CC0">
      <w:pPr>
        <w:rPr>
          <w:rFonts w:ascii="Times New Roman" w:hAnsi="Times New Roman"/>
        </w:rPr>
      </w:pPr>
    </w:p>
    <w:p w:rsidR="00CA22A7" w:rsidRPr="00BE03BB" w:rsidRDefault="00CA22A7" w:rsidP="00FF7CC0">
      <w:pPr>
        <w:rPr>
          <w:rFonts w:ascii="Times New Roman" w:hAnsi="Times New Roman"/>
        </w:rPr>
      </w:pPr>
    </w:p>
    <w:p w:rsidR="00CA22A7" w:rsidRPr="001826A2" w:rsidRDefault="00CA22A7" w:rsidP="00FF7CC0">
      <w:pPr>
        <w:numPr>
          <w:ilvl w:val="0"/>
          <w:numId w:val="16"/>
        </w:numPr>
        <w:rPr>
          <w:rFonts w:ascii="Times New Roman" w:hAnsi="Times New Roman"/>
          <w:b/>
        </w:rPr>
      </w:pPr>
      <w:r w:rsidRPr="001826A2">
        <w:rPr>
          <w:rFonts w:ascii="Times New Roman" w:hAnsi="Times New Roman"/>
          <w:b/>
        </w:rPr>
        <w:t>Justification</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Introduction/Authoring Laws and Regulations</w:t>
      </w:r>
    </w:p>
    <w:p w:rsidR="00CA22A7" w:rsidRPr="00BE03BB" w:rsidRDefault="00CA22A7" w:rsidP="003E2731">
      <w:pPr>
        <w:ind w:left="720"/>
        <w:rPr>
          <w:rFonts w:ascii="Times New Roman" w:hAnsi="Times New Roman"/>
        </w:rPr>
      </w:pPr>
      <w:r w:rsidRPr="00CA22A7">
        <w:rPr>
          <w:rFonts w:ascii="Times New Roman" w:hAnsi="Times New Roman"/>
        </w:rPr>
        <w:t>Sections</w:t>
      </w:r>
      <w:r w:rsidRPr="00BE03BB">
        <w:rPr>
          <w:rFonts w:ascii="Times New Roman" w:hAnsi="Times New Roman"/>
        </w:rPr>
        <w:t xml:space="preserve"> </w:t>
      </w:r>
      <w:r w:rsidRPr="003E2731">
        <w:rPr>
          <w:rFonts w:ascii="Times New Roman" w:hAnsi="Times New Roman"/>
          <w:i/>
        </w:rPr>
        <w:t>205(a)</w:t>
      </w:r>
      <w:r w:rsidRPr="00BE03BB">
        <w:rPr>
          <w:rFonts w:ascii="Times New Roman" w:hAnsi="Times New Roman"/>
        </w:rPr>
        <w:t xml:space="preserve"> and </w:t>
      </w:r>
      <w:r w:rsidRPr="003E2731">
        <w:rPr>
          <w:rFonts w:ascii="Times New Roman" w:hAnsi="Times New Roman"/>
          <w:i/>
        </w:rPr>
        <w:t xml:space="preserve">1631(d)(1) </w:t>
      </w:r>
      <w:r w:rsidRPr="00BE03BB">
        <w:rPr>
          <w:rFonts w:ascii="Times New Roman" w:hAnsi="Times New Roman"/>
        </w:rPr>
        <w:t xml:space="preserve">of the </w:t>
      </w:r>
      <w:r w:rsidRPr="003E2731">
        <w:rPr>
          <w:rFonts w:ascii="Times New Roman" w:hAnsi="Times New Roman"/>
          <w:i/>
        </w:rPr>
        <w:t>Social Security Act (Act)</w:t>
      </w:r>
      <w:r w:rsidRPr="00BE03BB">
        <w:rPr>
          <w:rFonts w:ascii="Times New Roman" w:hAnsi="Times New Roman"/>
        </w:rPr>
        <w:t xml:space="preserve"> provide the Commissioner of Social Security with full power and authority to make rules and regulations; establish procedures; and adopt reasonable rules for the nature and extent of the </w:t>
      </w:r>
      <w:r w:rsidRPr="00CA22A7">
        <w:rPr>
          <w:rFonts w:ascii="Times New Roman" w:hAnsi="Times New Roman"/>
        </w:rPr>
        <w:t>evidence</w:t>
      </w:r>
      <w:r w:rsidRPr="00BE03BB">
        <w:rPr>
          <w:rFonts w:ascii="Times New Roman" w:hAnsi="Times New Roman"/>
        </w:rPr>
        <w:t xml:space="preserve">.  These sections of the </w:t>
      </w:r>
      <w:r w:rsidRPr="003E2731">
        <w:rPr>
          <w:rFonts w:ascii="Times New Roman" w:hAnsi="Times New Roman"/>
          <w:i/>
        </w:rPr>
        <w:t>Act</w:t>
      </w:r>
      <w:r w:rsidRPr="00BE03BB">
        <w:rPr>
          <w:rFonts w:ascii="Times New Roman" w:hAnsi="Times New Roman"/>
        </w:rPr>
        <w:t xml:space="preserve"> also allow the Commissioner to create the methods of taking and furnishing the same to ev</w:t>
      </w:r>
      <w:r w:rsidR="00960AF4">
        <w:rPr>
          <w:rFonts w:ascii="Times New Roman" w:hAnsi="Times New Roman"/>
        </w:rPr>
        <w:t>aluate the alleged disability.</w:t>
      </w:r>
      <w:r w:rsidR="003E2731">
        <w:rPr>
          <w:rFonts w:ascii="Times New Roman" w:hAnsi="Times New Roman"/>
        </w:rPr>
        <w:t xml:space="preserve">  </w:t>
      </w:r>
      <w:r w:rsidRPr="00CA22A7">
        <w:rPr>
          <w:rFonts w:ascii="Times New Roman" w:hAnsi="Times New Roman"/>
        </w:rPr>
        <w:t>Sections</w:t>
      </w:r>
      <w:r w:rsidRPr="00BE03BB">
        <w:rPr>
          <w:rFonts w:ascii="Times New Roman" w:hAnsi="Times New Roman"/>
        </w:rPr>
        <w:t xml:space="preserve"> </w:t>
      </w:r>
      <w:r w:rsidRPr="003E2731">
        <w:rPr>
          <w:rFonts w:ascii="Times New Roman" w:hAnsi="Times New Roman"/>
          <w:i/>
        </w:rPr>
        <w:t>223(d)(5)(A)</w:t>
      </w:r>
      <w:r w:rsidRPr="00BE03BB">
        <w:rPr>
          <w:rFonts w:ascii="Times New Roman" w:hAnsi="Times New Roman"/>
        </w:rPr>
        <w:t xml:space="preserve"> and </w:t>
      </w:r>
      <w:r w:rsidRPr="003E2731">
        <w:rPr>
          <w:rFonts w:ascii="Times New Roman" w:hAnsi="Times New Roman"/>
          <w:i/>
        </w:rPr>
        <w:t>1614(a)(3)(H)(i)</w:t>
      </w:r>
      <w:r w:rsidRPr="00BE03BB">
        <w:rPr>
          <w:rFonts w:ascii="Times New Roman" w:hAnsi="Times New Roman"/>
        </w:rPr>
        <w:t xml:space="preserve"> of the</w:t>
      </w:r>
      <w:r w:rsidRPr="003E2731">
        <w:rPr>
          <w:rFonts w:ascii="Times New Roman" w:hAnsi="Times New Roman"/>
          <w:i/>
        </w:rPr>
        <w:t xml:space="preserve"> Act</w:t>
      </w:r>
      <w:r w:rsidRPr="00BE03BB">
        <w:rPr>
          <w:rFonts w:ascii="Times New Roman" w:hAnsi="Times New Roman"/>
        </w:rPr>
        <w:t xml:space="preserve"> require claimants to furnish </w:t>
      </w:r>
      <w:r w:rsidRPr="00CA22A7">
        <w:rPr>
          <w:rFonts w:ascii="Times New Roman" w:hAnsi="Times New Roman"/>
        </w:rPr>
        <w:t>such</w:t>
      </w:r>
      <w:r w:rsidRPr="00BE03BB">
        <w:rPr>
          <w:rFonts w:ascii="Times New Roman" w:hAnsi="Times New Roman"/>
        </w:rPr>
        <w:t xml:space="preserve"> medical and other evidence as the Commissioner of Social Security </w:t>
      </w:r>
      <w:r w:rsidRPr="00CA22A7">
        <w:rPr>
          <w:rFonts w:ascii="Times New Roman" w:hAnsi="Times New Roman"/>
        </w:rPr>
        <w:t>may</w:t>
      </w:r>
      <w:r w:rsidRPr="00BE03BB">
        <w:rPr>
          <w:rFonts w:ascii="Times New Roman" w:hAnsi="Times New Roman"/>
        </w:rPr>
        <w:t xml:space="preserve"> require to prove that they are </w:t>
      </w:r>
      <w:r w:rsidRPr="00CA22A7">
        <w:rPr>
          <w:rFonts w:ascii="Times New Roman" w:hAnsi="Times New Roman"/>
        </w:rPr>
        <w:t>disabled</w:t>
      </w:r>
      <w:r>
        <w:rPr>
          <w:rFonts w:ascii="Times New Roman" w:hAnsi="Times New Roman"/>
        </w:rPr>
        <w:t>.</w:t>
      </w:r>
      <w:r w:rsidR="003E2731">
        <w:rPr>
          <w:rFonts w:ascii="Times New Roman" w:hAnsi="Times New Roman"/>
        </w:rPr>
        <w:t xml:space="preserve">  </w:t>
      </w:r>
      <w:r w:rsidRPr="00BE03BB">
        <w:rPr>
          <w:rFonts w:ascii="Times New Roman" w:hAnsi="Times New Roman"/>
        </w:rPr>
        <w:t xml:space="preserve">Section </w:t>
      </w:r>
      <w:r w:rsidRPr="003E2731">
        <w:rPr>
          <w:rFonts w:ascii="Times New Roman" w:hAnsi="Times New Roman"/>
          <w:i/>
        </w:rPr>
        <w:t>223(d)(5)(B)</w:t>
      </w:r>
      <w:r w:rsidRPr="00BE03BB">
        <w:rPr>
          <w:rFonts w:ascii="Times New Roman" w:hAnsi="Times New Roman"/>
        </w:rPr>
        <w:t xml:space="preserve"> of the </w:t>
      </w:r>
      <w:r w:rsidRPr="003E2731">
        <w:rPr>
          <w:rFonts w:ascii="Times New Roman" w:hAnsi="Times New Roman"/>
          <w:i/>
        </w:rPr>
        <w:t>Act</w:t>
      </w:r>
      <w:r w:rsidRPr="00BE03BB">
        <w:rPr>
          <w:rFonts w:ascii="Times New Roman" w:hAnsi="Times New Roman"/>
        </w:rPr>
        <w:t xml:space="preserve"> obliges the Commissioner to consider all evidence available in </w:t>
      </w:r>
      <w:r w:rsidRPr="00C02731">
        <w:rPr>
          <w:rFonts w:ascii="Times New Roman" w:hAnsi="Times New Roman"/>
        </w:rPr>
        <w:t>such</w:t>
      </w:r>
      <w:r w:rsidRPr="00BE03BB">
        <w:rPr>
          <w:rFonts w:ascii="Times New Roman" w:hAnsi="Times New Roman"/>
        </w:rPr>
        <w:t xml:space="preserve"> </w:t>
      </w:r>
      <w:r w:rsidRPr="00CA22A7">
        <w:rPr>
          <w:rFonts w:ascii="Times New Roman" w:hAnsi="Times New Roman"/>
        </w:rPr>
        <w:t>individual's</w:t>
      </w:r>
      <w:r w:rsidRPr="00BE03BB">
        <w:rPr>
          <w:rFonts w:ascii="Times New Roman" w:hAnsi="Times New Roman"/>
        </w:rPr>
        <w:t xml:space="preserve"> case record.  Implementing disability regulations </w:t>
      </w:r>
      <w:r w:rsidRPr="003E2731">
        <w:rPr>
          <w:rFonts w:ascii="Times New Roman" w:hAnsi="Times New Roman"/>
          <w:i/>
        </w:rPr>
        <w:t>20 CFR 404.1512</w:t>
      </w:r>
      <w:r w:rsidRPr="00BE03BB">
        <w:rPr>
          <w:rFonts w:ascii="Times New Roman" w:hAnsi="Times New Roman"/>
        </w:rPr>
        <w:t xml:space="preserve"> and </w:t>
      </w:r>
      <w:r w:rsidRPr="003E2731">
        <w:rPr>
          <w:rFonts w:ascii="Times New Roman" w:hAnsi="Times New Roman"/>
          <w:i/>
        </w:rPr>
        <w:t>20 CFR 416.912</w:t>
      </w:r>
      <w:r w:rsidRPr="00BE03BB">
        <w:rPr>
          <w:rFonts w:ascii="Times New Roman" w:hAnsi="Times New Roman"/>
        </w:rPr>
        <w:t xml:space="preserve"> of the </w:t>
      </w:r>
      <w:r w:rsidRPr="003E2731">
        <w:rPr>
          <w:rFonts w:ascii="Times New Roman" w:hAnsi="Times New Roman"/>
          <w:i/>
        </w:rPr>
        <w:t>Code of Federal Regulations</w:t>
      </w:r>
      <w:r w:rsidRPr="00BE03BB">
        <w:rPr>
          <w:rFonts w:ascii="Times New Roman" w:hAnsi="Times New Roman"/>
        </w:rPr>
        <w:t xml:space="preserve"> specifically require an individu</w:t>
      </w:r>
      <w:r w:rsidR="00960AF4">
        <w:rPr>
          <w:rFonts w:ascii="Times New Roman" w:hAnsi="Times New Roman"/>
        </w:rPr>
        <w:t>al to furnish medical evidence.</w:t>
      </w:r>
      <w:r w:rsidR="003E2731">
        <w:rPr>
          <w:rFonts w:ascii="Times New Roman" w:hAnsi="Times New Roman"/>
        </w:rPr>
        <w:t xml:space="preserve">  </w:t>
      </w:r>
      <w:r w:rsidRPr="00CA22A7">
        <w:rPr>
          <w:rFonts w:ascii="Times New Roman" w:hAnsi="Times New Roman"/>
        </w:rPr>
        <w:t>We</w:t>
      </w:r>
      <w:r w:rsidRPr="00BE03BB">
        <w:rPr>
          <w:rFonts w:ascii="Times New Roman" w:hAnsi="Times New Roman"/>
        </w:rPr>
        <w:t xml:space="preserve"> developed Form SS</w:t>
      </w:r>
      <w:r w:rsidR="00960AF4">
        <w:rPr>
          <w:rFonts w:ascii="Times New Roman" w:hAnsi="Times New Roman"/>
        </w:rPr>
        <w:t>A-827,</w:t>
      </w:r>
      <w:r w:rsidRPr="00BE03BB">
        <w:rPr>
          <w:rFonts w:ascii="Times New Roman" w:hAnsi="Times New Roman"/>
        </w:rPr>
        <w:t xml:space="preserve"> Authorization to Disclose Information to the Social Security </w:t>
      </w:r>
      <w:r>
        <w:rPr>
          <w:rFonts w:ascii="Times New Roman" w:hAnsi="Times New Roman"/>
        </w:rPr>
        <w:t>Administration</w:t>
      </w:r>
      <w:r w:rsidRPr="00BE03BB">
        <w:rPr>
          <w:rFonts w:ascii="Times New Roman" w:hAnsi="Times New Roman"/>
        </w:rPr>
        <w:t xml:space="preserve"> (SSA)</w:t>
      </w:r>
      <w:r w:rsidR="00960AF4">
        <w:rPr>
          <w:rFonts w:ascii="Times New Roman" w:hAnsi="Times New Roman"/>
        </w:rPr>
        <w:t>,</w:t>
      </w:r>
      <w:r w:rsidRPr="00BE03BB">
        <w:rPr>
          <w:rFonts w:ascii="Times New Roman" w:hAnsi="Times New Roman"/>
        </w:rPr>
        <w:t xml:space="preserve"> to comply with the provisions regarding disclosure of medical, educational, and other information under </w:t>
      </w:r>
      <w:r w:rsidRPr="003E2731">
        <w:rPr>
          <w:rFonts w:ascii="Times New Roman" w:hAnsi="Times New Roman"/>
          <w:i/>
        </w:rPr>
        <w:t>Public Law 104-191</w:t>
      </w:r>
      <w:r w:rsidRPr="00CA22A7">
        <w:rPr>
          <w:rFonts w:ascii="Times New Roman" w:hAnsi="Times New Roman"/>
        </w:rPr>
        <w:t xml:space="preserve"> Healt</w:t>
      </w:r>
      <w:r w:rsidRPr="00BE03BB">
        <w:rPr>
          <w:rFonts w:ascii="Times New Roman" w:hAnsi="Times New Roman"/>
        </w:rPr>
        <w:t xml:space="preserve">h Insurance Portability and Accountability (HIPAA); </w:t>
      </w:r>
      <w:r w:rsidRPr="003E2731">
        <w:rPr>
          <w:rFonts w:ascii="Times New Roman" w:hAnsi="Times New Roman"/>
          <w:i/>
        </w:rPr>
        <w:t>45 CFR 160</w:t>
      </w:r>
      <w:r w:rsidRPr="00BE03BB">
        <w:rPr>
          <w:rFonts w:ascii="Times New Roman" w:hAnsi="Times New Roman"/>
        </w:rPr>
        <w:t xml:space="preserve"> and </w:t>
      </w:r>
      <w:r w:rsidRPr="003E2731">
        <w:rPr>
          <w:rFonts w:ascii="Times New Roman" w:hAnsi="Times New Roman"/>
          <w:i/>
        </w:rPr>
        <w:t>164; 42 USC 290dd-2</w:t>
      </w:r>
      <w:r w:rsidRPr="00BE03BB">
        <w:rPr>
          <w:rFonts w:ascii="Times New Roman" w:hAnsi="Times New Roman"/>
        </w:rPr>
        <w:t xml:space="preserve">; </w:t>
      </w:r>
      <w:r w:rsidRPr="003E2731">
        <w:rPr>
          <w:rFonts w:ascii="Times New Roman" w:hAnsi="Times New Roman"/>
          <w:i/>
        </w:rPr>
        <w:t>38 USC 7332</w:t>
      </w:r>
      <w:r w:rsidRPr="00BE03BB">
        <w:rPr>
          <w:rFonts w:ascii="Times New Roman" w:hAnsi="Times New Roman"/>
        </w:rPr>
        <w:t xml:space="preserve">; </w:t>
      </w:r>
      <w:r w:rsidRPr="003E2731">
        <w:rPr>
          <w:rFonts w:ascii="Times New Roman" w:hAnsi="Times New Roman"/>
          <w:i/>
        </w:rPr>
        <w:t>38 CFR 1.475</w:t>
      </w:r>
      <w:r w:rsidRPr="00BE03BB">
        <w:rPr>
          <w:rFonts w:ascii="Times New Roman" w:hAnsi="Times New Roman"/>
        </w:rPr>
        <w:t xml:space="preserve">; </w:t>
      </w:r>
      <w:r w:rsidR="003E2731">
        <w:rPr>
          <w:rFonts w:ascii="Times New Roman" w:hAnsi="Times New Roman"/>
        </w:rPr>
        <w:t>and</w:t>
      </w:r>
      <w:r w:rsidR="003E2731" w:rsidRPr="003E2731">
        <w:rPr>
          <w:rFonts w:ascii="Times New Roman" w:hAnsi="Times New Roman"/>
          <w:i/>
        </w:rPr>
        <w:t xml:space="preserve"> </w:t>
      </w:r>
      <w:r w:rsidRPr="003E2731">
        <w:rPr>
          <w:rFonts w:ascii="Times New Roman" w:hAnsi="Times New Roman"/>
          <w:i/>
        </w:rPr>
        <w:t>20 USC 1232g</w:t>
      </w:r>
      <w:r w:rsidRPr="00BE03BB">
        <w:rPr>
          <w:rFonts w:ascii="Times New Roman" w:hAnsi="Times New Roman"/>
        </w:rPr>
        <w:t xml:space="preserve"> </w:t>
      </w:r>
      <w:r w:rsidRPr="00CA22A7">
        <w:rPr>
          <w:rFonts w:ascii="Times New Roman" w:hAnsi="Times New Roman"/>
        </w:rPr>
        <w:t>(FERP</w:t>
      </w:r>
      <w:r w:rsidR="00960AF4">
        <w:rPr>
          <w:rFonts w:ascii="Times New Roman" w:hAnsi="Times New Roman"/>
        </w:rPr>
        <w:t>A)</w:t>
      </w:r>
      <w:r w:rsidR="003E2731">
        <w:rPr>
          <w:rFonts w:ascii="Times New Roman" w:hAnsi="Times New Roman"/>
        </w:rPr>
        <w:t xml:space="preserve"> of the </w:t>
      </w:r>
      <w:r w:rsidR="003E2731" w:rsidRPr="003E2731">
        <w:rPr>
          <w:rFonts w:ascii="Times New Roman" w:hAnsi="Times New Roman"/>
          <w:i/>
        </w:rPr>
        <w:t>United States Code</w:t>
      </w:r>
      <w:r w:rsidR="00960AF4">
        <w:rPr>
          <w:rFonts w:ascii="Times New Roman" w:hAnsi="Times New Roman"/>
        </w:rPr>
        <w:t>.</w:t>
      </w:r>
      <w:r w:rsidR="003E2731">
        <w:rPr>
          <w:rFonts w:ascii="Times New Roman" w:hAnsi="Times New Roman"/>
        </w:rPr>
        <w:t xml:space="preserve">  </w:t>
      </w:r>
      <w:r w:rsidRPr="00BE03BB">
        <w:rPr>
          <w:rFonts w:ascii="Times New Roman" w:hAnsi="Times New Roman"/>
        </w:rPr>
        <w:t>In add</w:t>
      </w:r>
      <w:r w:rsidRPr="00CA22A7">
        <w:rPr>
          <w:rFonts w:ascii="Times New Roman" w:hAnsi="Times New Roman"/>
        </w:rPr>
        <w:t>it</w:t>
      </w:r>
      <w:r w:rsidRPr="00BE03BB">
        <w:rPr>
          <w:rFonts w:ascii="Times New Roman" w:hAnsi="Times New Roman"/>
        </w:rPr>
        <w:t>ion, the regulations</w:t>
      </w:r>
      <w:r w:rsidR="003E2731">
        <w:rPr>
          <w:rFonts w:ascii="Times New Roman" w:hAnsi="Times New Roman"/>
        </w:rPr>
        <w:t xml:space="preserve"> at </w:t>
      </w:r>
      <w:r w:rsidR="003E2731" w:rsidRPr="003E2731">
        <w:rPr>
          <w:rFonts w:ascii="Times New Roman" w:hAnsi="Times New Roman"/>
          <w:i/>
        </w:rPr>
        <w:t>20 CFR 404.1512</w:t>
      </w:r>
      <w:r w:rsidR="003E2731" w:rsidRPr="00BE03BB">
        <w:rPr>
          <w:rFonts w:ascii="Times New Roman" w:hAnsi="Times New Roman"/>
        </w:rPr>
        <w:t xml:space="preserve"> and </w:t>
      </w:r>
      <w:r w:rsidR="003E2731" w:rsidRPr="003E2731">
        <w:rPr>
          <w:rFonts w:ascii="Times New Roman" w:hAnsi="Times New Roman"/>
          <w:i/>
        </w:rPr>
        <w:t>20 CFR 416.912</w:t>
      </w:r>
      <w:r w:rsidRPr="00BE03BB">
        <w:rPr>
          <w:rFonts w:ascii="Times New Roman" w:hAnsi="Times New Roman"/>
        </w:rPr>
        <w:t xml:space="preserve"> also require the individual to provide evidence of age, education and training, work experience, daily activities, efforts to work, and any other evidence showing how their impair</w:t>
      </w:r>
      <w:r w:rsidRPr="00CA22A7">
        <w:rPr>
          <w:rFonts w:ascii="Times New Roman" w:hAnsi="Times New Roman"/>
        </w:rPr>
        <w:t>ment(s) affec</w:t>
      </w:r>
      <w:r w:rsidRPr="00BE03BB">
        <w:rPr>
          <w:rFonts w:ascii="Times New Roman" w:hAnsi="Times New Roman"/>
        </w:rPr>
        <w:t>ts the ability to work, or for a child, the ability to functi</w:t>
      </w:r>
      <w:r>
        <w:rPr>
          <w:rFonts w:ascii="Times New Roman" w:hAnsi="Times New Roman"/>
        </w:rPr>
        <w:t>on.</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CA22A7">
        <w:rPr>
          <w:rFonts w:ascii="Times New Roman" w:hAnsi="Times New Roman"/>
          <w:b/>
        </w:rPr>
        <w:t>D</w:t>
      </w:r>
      <w:r w:rsidRPr="001826A2">
        <w:rPr>
          <w:rFonts w:ascii="Times New Roman" w:hAnsi="Times New Roman"/>
          <w:b/>
        </w:rPr>
        <w:t xml:space="preserve">escription of Collection </w:t>
      </w:r>
    </w:p>
    <w:p w:rsidR="00CA22A7" w:rsidRPr="00BE03BB" w:rsidRDefault="00CA22A7" w:rsidP="00FF7CC0">
      <w:pPr>
        <w:ind w:left="720"/>
        <w:rPr>
          <w:rFonts w:ascii="Times New Roman" w:hAnsi="Times New Roman"/>
        </w:rPr>
      </w:pPr>
      <w:r w:rsidRPr="00BE03BB">
        <w:rPr>
          <w:rFonts w:ascii="Times New Roman" w:hAnsi="Times New Roman"/>
        </w:rPr>
        <w:t xml:space="preserve">SSA must obtain sufficient evidence to make </w:t>
      </w:r>
      <w:r>
        <w:rPr>
          <w:rFonts w:ascii="Times New Roman" w:hAnsi="Times New Roman"/>
        </w:rPr>
        <w:t>eligibility</w:t>
      </w:r>
      <w:r w:rsidRPr="00BE03BB">
        <w:rPr>
          <w:rFonts w:ascii="Times New Roman" w:hAnsi="Times New Roman"/>
        </w:rPr>
        <w:t xml:space="preserve"> determinations for Title II and Title XVI payments.  Therefore, the applicant must authorize release of information from various sources to SSA.  The applicants use Form SSA-827 to provide consent for</w:t>
      </w:r>
      <w:r w:rsidR="003E2731">
        <w:rPr>
          <w:rFonts w:ascii="Times New Roman" w:hAnsi="Times New Roman"/>
        </w:rPr>
        <w:t xml:space="preserve"> the release of medical records; education records;</w:t>
      </w:r>
      <w:r w:rsidRPr="00BE03BB">
        <w:rPr>
          <w:rFonts w:ascii="Times New Roman" w:hAnsi="Times New Roman"/>
        </w:rPr>
        <w:t xml:space="preserve"> and other information related to their ability to perform tasks.  Once the applicant completes Form SSA-827, SSA or the State Disability Determination Service sends the form to the designated source</w:t>
      </w:r>
      <w:r w:rsidRPr="00CA22A7">
        <w:rPr>
          <w:rFonts w:ascii="Times New Roman" w:hAnsi="Times New Roman"/>
        </w:rPr>
        <w:t>(s) to ob</w:t>
      </w:r>
      <w:r w:rsidRPr="00BE03BB">
        <w:rPr>
          <w:rFonts w:ascii="Times New Roman" w:hAnsi="Times New Roman"/>
        </w:rPr>
        <w:t>tain pertinent records.  The respondents are applicants for Title II benefits and Title XVI payments.</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Use of Information Technology to Collect the Information</w:t>
      </w:r>
    </w:p>
    <w:p w:rsidR="00CA22A7" w:rsidRPr="00BE03BB" w:rsidRDefault="003E2731" w:rsidP="003E2731">
      <w:pPr>
        <w:ind w:left="720"/>
        <w:rPr>
          <w:rFonts w:ascii="Times New Roman" w:hAnsi="Times New Roman"/>
        </w:rPr>
      </w:pPr>
      <w:r w:rsidRPr="00CA22A7">
        <w:rPr>
          <w:rFonts w:ascii="Times New Roman" w:hAnsi="Times New Roman"/>
        </w:rPr>
        <w:t>In accordance with the agency’s Government Paperwork Elimination Act (GPEA) plan, SSA created an internet version of Form SSA-827</w:t>
      </w:r>
      <w:r>
        <w:rPr>
          <w:rFonts w:ascii="Times New Roman" w:hAnsi="Times New Roman"/>
        </w:rPr>
        <w:t xml:space="preserve">.  </w:t>
      </w:r>
      <w:r w:rsidR="00CA22A7" w:rsidRPr="00BE03BB">
        <w:rPr>
          <w:rFonts w:ascii="Times New Roman" w:hAnsi="Times New Roman"/>
        </w:rPr>
        <w:t>In the</w:t>
      </w:r>
      <w:r w:rsidR="00CA22A7" w:rsidRPr="00CA22A7">
        <w:rPr>
          <w:rFonts w:ascii="Times New Roman" w:hAnsi="Times New Roman"/>
        </w:rPr>
        <w:t xml:space="preserve"> p</w:t>
      </w:r>
      <w:r w:rsidR="00CA22A7" w:rsidRPr="00BE03BB">
        <w:rPr>
          <w:rFonts w:ascii="Times New Roman" w:hAnsi="Times New Roman"/>
        </w:rPr>
        <w:t xml:space="preserve">ast, </w:t>
      </w:r>
      <w:r>
        <w:rPr>
          <w:rFonts w:ascii="Times New Roman" w:hAnsi="Times New Roman"/>
        </w:rPr>
        <w:t xml:space="preserve">we required </w:t>
      </w:r>
      <w:r w:rsidR="00CA22A7" w:rsidRPr="00BE03BB">
        <w:rPr>
          <w:rFonts w:ascii="Times New Roman" w:hAnsi="Times New Roman"/>
        </w:rPr>
        <w:t xml:space="preserve">all disability claims </w:t>
      </w:r>
      <w:r>
        <w:rPr>
          <w:rFonts w:ascii="Times New Roman" w:hAnsi="Times New Roman"/>
        </w:rPr>
        <w:t xml:space="preserve">to have </w:t>
      </w:r>
      <w:r w:rsidR="00CA22A7" w:rsidRPr="00BE03BB">
        <w:rPr>
          <w:rFonts w:ascii="Times New Roman" w:hAnsi="Times New Roman"/>
        </w:rPr>
        <w:t>at least one original pen-and-ink "wet" signature; however, with the implementation of</w:t>
      </w:r>
      <w:r>
        <w:rPr>
          <w:rFonts w:ascii="Times New Roman" w:hAnsi="Times New Roman"/>
        </w:rPr>
        <w:t xml:space="preserve"> our Internet version of the SSA</w:t>
      </w:r>
      <w:r>
        <w:rPr>
          <w:rFonts w:ascii="Times New Roman" w:hAnsi="Times New Roman"/>
        </w:rPr>
        <w:noBreakHyphen/>
        <w:t>827,</w:t>
      </w:r>
      <w:r w:rsidR="00CA22A7" w:rsidRPr="00BE03BB">
        <w:rPr>
          <w:rFonts w:ascii="Times New Roman" w:hAnsi="Times New Roman"/>
        </w:rPr>
        <w:t xml:space="preserve"> eAutho</w:t>
      </w:r>
      <w:r>
        <w:rPr>
          <w:rFonts w:ascii="Times New Roman" w:hAnsi="Times New Roman"/>
        </w:rPr>
        <w:t>rization, SSA</w:t>
      </w:r>
      <w:r w:rsidR="00CA22A7" w:rsidRPr="00BE03BB">
        <w:rPr>
          <w:rFonts w:ascii="Times New Roman" w:hAnsi="Times New Roman"/>
        </w:rPr>
        <w:t xml:space="preserve"> eliminated </w:t>
      </w:r>
      <w:r w:rsidR="00CA22A7" w:rsidRPr="00BE03BB">
        <w:rPr>
          <w:rFonts w:ascii="Times New Roman" w:hAnsi="Times New Roman"/>
        </w:rPr>
        <w:lastRenderedPageBreak/>
        <w:t>the need for a paper SSA-827 in many claims</w:t>
      </w:r>
      <w:r w:rsidR="00CA22A7" w:rsidRPr="00CA22A7">
        <w:rPr>
          <w:rFonts w:ascii="Times New Roman" w:hAnsi="Times New Roman"/>
        </w:rPr>
        <w:t>.</w:t>
      </w:r>
      <w:r>
        <w:rPr>
          <w:rFonts w:ascii="Times New Roman" w:hAnsi="Times New Roman"/>
        </w:rPr>
        <w:t xml:space="preserve">  </w:t>
      </w:r>
      <w:r w:rsidRPr="00CA22A7">
        <w:rPr>
          <w:rFonts w:ascii="Times New Roman" w:hAnsi="Times New Roman"/>
        </w:rPr>
        <w:t>eAu</w:t>
      </w:r>
      <w:r w:rsidRPr="00BE03BB">
        <w:rPr>
          <w:rFonts w:ascii="Times New Roman" w:hAnsi="Times New Roman"/>
        </w:rPr>
        <w:t>tho</w:t>
      </w:r>
      <w:r w:rsidRPr="00CA22A7">
        <w:rPr>
          <w:rFonts w:ascii="Times New Roman" w:hAnsi="Times New Roman"/>
        </w:rPr>
        <w:t>rization allow</w:t>
      </w:r>
      <w:r w:rsidRPr="00BE03BB">
        <w:rPr>
          <w:rFonts w:ascii="Times New Roman" w:hAnsi="Times New Roman"/>
        </w:rPr>
        <w:t xml:space="preserve">s claimants the option to sign and submit Form SSA-827 electronically (e827), rather than completing a paper </w:t>
      </w:r>
      <w:r>
        <w:rPr>
          <w:rFonts w:ascii="Times New Roman" w:hAnsi="Times New Roman"/>
        </w:rPr>
        <w:t>f</w:t>
      </w:r>
      <w:r w:rsidRPr="00BE03BB">
        <w:rPr>
          <w:rFonts w:ascii="Times New Roman" w:hAnsi="Times New Roman"/>
        </w:rPr>
        <w:t>orm with a pen and ink signature.</w:t>
      </w:r>
      <w:r>
        <w:rPr>
          <w:rFonts w:ascii="Times New Roman" w:hAnsi="Times New Roman"/>
        </w:rPr>
        <w:t xml:space="preserve">  </w:t>
      </w:r>
      <w:r w:rsidRPr="00CA22A7">
        <w:rPr>
          <w:rFonts w:ascii="Times New Roman" w:hAnsi="Times New Roman"/>
        </w:rPr>
        <w:t xml:space="preserve">Based on our data, we estimate approximately </w:t>
      </w:r>
      <w:r>
        <w:rPr>
          <w:rFonts w:ascii="Times New Roman" w:hAnsi="Times New Roman"/>
        </w:rPr>
        <w:t xml:space="preserve">80% </w:t>
      </w:r>
      <w:r w:rsidRPr="00CA22A7">
        <w:rPr>
          <w:rFonts w:ascii="Times New Roman" w:hAnsi="Times New Roman"/>
        </w:rPr>
        <w:t>of respondents under this OMB number use the electronic version</w:t>
      </w:r>
      <w:r>
        <w:rPr>
          <w:rFonts w:ascii="Times New Roman" w:hAnsi="Times New Roman"/>
        </w:rPr>
        <w:t xml:space="preserve"> </w:t>
      </w:r>
      <w:r w:rsidRPr="00C02731">
        <w:rPr>
          <w:rFonts w:ascii="Times New Roman" w:hAnsi="Times New Roman"/>
        </w:rPr>
        <w:t>rather than t</w:t>
      </w:r>
      <w:r w:rsidRPr="00CA22A7">
        <w:rPr>
          <w:rFonts w:ascii="Times New Roman" w:hAnsi="Times New Roman"/>
        </w:rPr>
        <w:t>he wet signed form through the mail.</w:t>
      </w:r>
      <w:r>
        <w:rPr>
          <w:rFonts w:ascii="Times New Roman" w:hAnsi="Times New Roman"/>
        </w:rPr>
        <w:t xml:space="preserve">  In addition, t</w:t>
      </w:r>
      <w:r w:rsidR="00CA22A7" w:rsidRPr="00CA22A7">
        <w:rPr>
          <w:rFonts w:ascii="Times New Roman" w:hAnsi="Times New Roman"/>
        </w:rPr>
        <w:t>he</w:t>
      </w:r>
      <w:r w:rsidR="00CA22A7" w:rsidRPr="00BE03BB">
        <w:rPr>
          <w:rFonts w:ascii="Times New Roman" w:hAnsi="Times New Roman"/>
        </w:rPr>
        <w:t xml:space="preserve"> SS</w:t>
      </w:r>
      <w:r w:rsidR="00CA22A7" w:rsidRPr="00CA22A7">
        <w:rPr>
          <w:rFonts w:ascii="Times New Roman" w:hAnsi="Times New Roman"/>
        </w:rPr>
        <w:t>A-8</w:t>
      </w:r>
      <w:r w:rsidR="00CA22A7" w:rsidRPr="00BE03BB">
        <w:rPr>
          <w:rFonts w:ascii="Times New Roman" w:hAnsi="Times New Roman"/>
        </w:rPr>
        <w:t xml:space="preserve">27 is </w:t>
      </w:r>
      <w:r>
        <w:rPr>
          <w:rFonts w:ascii="Times New Roman" w:hAnsi="Times New Roman"/>
        </w:rPr>
        <w:t xml:space="preserve">also </w:t>
      </w:r>
      <w:r w:rsidR="00CA22A7" w:rsidRPr="00BE03BB">
        <w:rPr>
          <w:rFonts w:ascii="Times New Roman" w:hAnsi="Times New Roman"/>
        </w:rPr>
        <w:t>cur</w:t>
      </w:r>
      <w:r w:rsidR="00CA22A7" w:rsidRPr="00CA22A7">
        <w:rPr>
          <w:rFonts w:ascii="Times New Roman" w:hAnsi="Times New Roman"/>
        </w:rPr>
        <w:t>rently avail</w:t>
      </w:r>
      <w:r>
        <w:rPr>
          <w:rFonts w:ascii="Times New Roman" w:hAnsi="Times New Roman"/>
        </w:rPr>
        <w:t>able on the I</w:t>
      </w:r>
      <w:r w:rsidR="00CA22A7" w:rsidRPr="00BE03BB">
        <w:rPr>
          <w:rFonts w:ascii="Times New Roman" w:hAnsi="Times New Roman"/>
        </w:rPr>
        <w:t>nternet in a fillable and printable PDF format, so the claimant can print a filled-in form, sign it, and forward the form back to SSA for proces</w:t>
      </w:r>
      <w:r w:rsidR="00CA22A7" w:rsidRPr="00CA22A7">
        <w:rPr>
          <w:rFonts w:ascii="Times New Roman" w:hAnsi="Times New Roman"/>
        </w:rPr>
        <w:t xml:space="preserve">sing.  </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Why We Cannot Use Duplicate Information</w:t>
      </w:r>
    </w:p>
    <w:p w:rsidR="00CA22A7" w:rsidRPr="00BE03BB" w:rsidRDefault="00CA22A7" w:rsidP="00FF7CC0">
      <w:pPr>
        <w:ind w:left="720"/>
        <w:rPr>
          <w:rFonts w:ascii="Times New Roman" w:hAnsi="Times New Roman"/>
        </w:rPr>
      </w:pPr>
      <w:r w:rsidRPr="00BE03BB">
        <w:rPr>
          <w:rFonts w:ascii="Times New Roman" w:hAnsi="Times New Roman"/>
        </w:rPr>
        <w:t>The n</w:t>
      </w:r>
      <w:r w:rsidR="003E2731">
        <w:rPr>
          <w:rFonts w:ascii="Times New Roman" w:hAnsi="Times New Roman"/>
        </w:rPr>
        <w:t xml:space="preserve">ature of the information we </w:t>
      </w:r>
      <w:r w:rsidRPr="00BE03BB">
        <w:rPr>
          <w:rFonts w:ascii="Times New Roman" w:hAnsi="Times New Roman"/>
        </w:rPr>
        <w:t>collect</w:t>
      </w:r>
      <w:r w:rsidR="003E2731">
        <w:rPr>
          <w:rFonts w:ascii="Times New Roman" w:hAnsi="Times New Roman"/>
        </w:rPr>
        <w:t xml:space="preserve"> and the manner in which we collect</w:t>
      </w:r>
      <w:r w:rsidRPr="00BE03BB">
        <w:rPr>
          <w:rFonts w:ascii="Times New Roman" w:hAnsi="Times New Roman"/>
        </w:rPr>
        <w:t xml:space="preserve"> it preclude duplication.  SSA does not use another collection instrument to obtain similar data.</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Minimizing Burden on Small Respondents</w:t>
      </w:r>
    </w:p>
    <w:p w:rsidR="00CA22A7" w:rsidRPr="00BE03BB" w:rsidRDefault="00CA22A7" w:rsidP="00FF7CC0">
      <w:pPr>
        <w:ind w:left="720"/>
        <w:rPr>
          <w:rFonts w:ascii="Times New Roman" w:hAnsi="Times New Roman"/>
        </w:rPr>
      </w:pPr>
      <w:r w:rsidRPr="00BE03BB">
        <w:rPr>
          <w:rFonts w:ascii="Times New Roman" w:hAnsi="Times New Roman"/>
        </w:rPr>
        <w:t>This collection does not significantly affect small businesses or other small entities.</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Consequence of Not Collecting Information or Collecting it Less Frequently</w:t>
      </w:r>
    </w:p>
    <w:p w:rsidR="00CA22A7" w:rsidRPr="00BE03BB" w:rsidRDefault="00CA22A7" w:rsidP="003E2731">
      <w:pPr>
        <w:ind w:left="720"/>
        <w:rPr>
          <w:rFonts w:ascii="Times New Roman" w:hAnsi="Times New Roman"/>
        </w:rPr>
      </w:pPr>
      <w:r w:rsidRPr="00BE03BB">
        <w:rPr>
          <w:rFonts w:ascii="Times New Roman" w:hAnsi="Times New Roman"/>
        </w:rPr>
        <w:t xml:space="preserve">If we </w:t>
      </w:r>
      <w:r w:rsidRPr="00CA22A7">
        <w:rPr>
          <w:rFonts w:ascii="Times New Roman" w:hAnsi="Times New Roman"/>
        </w:rPr>
        <w:t>di</w:t>
      </w:r>
      <w:r w:rsidRPr="00BE03BB">
        <w:rPr>
          <w:rFonts w:ascii="Times New Roman" w:hAnsi="Times New Roman"/>
        </w:rPr>
        <w:t xml:space="preserve">d not use Form SSA-827, SSA would not be able to receive claim-related </w:t>
      </w:r>
      <w:r>
        <w:rPr>
          <w:rFonts w:ascii="Times New Roman" w:hAnsi="Times New Roman"/>
        </w:rPr>
        <w:t>i</w:t>
      </w:r>
      <w:r w:rsidRPr="00BE03BB">
        <w:rPr>
          <w:rFonts w:ascii="Times New Roman" w:hAnsi="Times New Roman"/>
        </w:rPr>
        <w:t>nformation from third parties, because we would no</w:t>
      </w:r>
      <w:r>
        <w:rPr>
          <w:rFonts w:ascii="Times New Roman" w:hAnsi="Times New Roman"/>
        </w:rPr>
        <w:t xml:space="preserve">t have proper authorization as </w:t>
      </w:r>
      <w:r w:rsidRPr="00BE03BB">
        <w:rPr>
          <w:rFonts w:ascii="Times New Roman" w:hAnsi="Times New Roman"/>
        </w:rPr>
        <w:t>required by HIPPA.</w:t>
      </w:r>
      <w:r w:rsidRPr="00CA22A7">
        <w:rPr>
          <w:rFonts w:ascii="Times New Roman" w:hAnsi="Times New Roman"/>
        </w:rPr>
        <w:t xml:space="preserve">  Bec</w:t>
      </w:r>
      <w:r w:rsidRPr="00BE03BB">
        <w:rPr>
          <w:rFonts w:ascii="Times New Roman" w:hAnsi="Times New Roman"/>
        </w:rPr>
        <w:t xml:space="preserve">ause we only collect the </w:t>
      </w:r>
      <w:r>
        <w:rPr>
          <w:rFonts w:ascii="Times New Roman" w:hAnsi="Times New Roman"/>
        </w:rPr>
        <w:t>information</w:t>
      </w:r>
      <w:r w:rsidRPr="00BE03BB">
        <w:rPr>
          <w:rFonts w:ascii="Times New Roman" w:hAnsi="Times New Roman"/>
        </w:rPr>
        <w:t xml:space="preserve"> on an as</w:t>
      </w:r>
      <w:r>
        <w:rPr>
          <w:rFonts w:ascii="Times New Roman" w:hAnsi="Times New Roman"/>
        </w:rPr>
        <w:t>-</w:t>
      </w:r>
      <w:r w:rsidRPr="00BE03BB">
        <w:rPr>
          <w:rFonts w:ascii="Times New Roman" w:hAnsi="Times New Roman"/>
        </w:rPr>
        <w:t>needed basis, we cannot collect the information le</w:t>
      </w:r>
      <w:r w:rsidR="003E2731">
        <w:rPr>
          <w:rFonts w:ascii="Times New Roman" w:hAnsi="Times New Roman"/>
        </w:rPr>
        <w:t xml:space="preserve">ss frequently.  </w:t>
      </w:r>
      <w:r w:rsidRPr="00BE03BB">
        <w:rPr>
          <w:rFonts w:ascii="Times New Roman" w:hAnsi="Times New Roman"/>
        </w:rPr>
        <w:t>There are no technical or legal obstacles to burden reduction.</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 xml:space="preserve">Special Circumstances </w:t>
      </w:r>
    </w:p>
    <w:p w:rsidR="00CA22A7" w:rsidRPr="00BE03BB" w:rsidRDefault="00CA22A7" w:rsidP="00FF7CC0">
      <w:pPr>
        <w:ind w:left="720"/>
        <w:rPr>
          <w:rFonts w:ascii="Times New Roman" w:hAnsi="Times New Roman"/>
        </w:rPr>
      </w:pPr>
      <w:r w:rsidRPr="00BE03BB">
        <w:rPr>
          <w:rFonts w:ascii="Times New Roman" w:hAnsi="Times New Roman"/>
        </w:rPr>
        <w:t>There are no special circumstances that would cause SSA to conduc</w:t>
      </w:r>
      <w:r w:rsidRPr="00CA22A7">
        <w:rPr>
          <w:rFonts w:ascii="Times New Roman" w:hAnsi="Times New Roman"/>
        </w:rPr>
        <w:t>t this infor</w:t>
      </w:r>
      <w:r w:rsidRPr="00BE03BB">
        <w:rPr>
          <w:rFonts w:ascii="Times New Roman" w:hAnsi="Times New Roman"/>
        </w:rPr>
        <w:t>mation collec</w:t>
      </w:r>
      <w:r w:rsidRPr="00CA22A7">
        <w:rPr>
          <w:rFonts w:ascii="Times New Roman" w:hAnsi="Times New Roman"/>
        </w:rPr>
        <w:t xml:space="preserve">tion in a </w:t>
      </w:r>
      <w:r w:rsidRPr="00BE03BB">
        <w:rPr>
          <w:rFonts w:ascii="Times New Roman" w:hAnsi="Times New Roman"/>
        </w:rPr>
        <w:t xml:space="preserve">manner inconsistent with </w:t>
      </w:r>
      <w:r w:rsidRPr="003E2731">
        <w:rPr>
          <w:rFonts w:ascii="Times New Roman" w:hAnsi="Times New Roman"/>
          <w:i/>
        </w:rPr>
        <w:t>5 CFR 1320.5</w:t>
      </w:r>
      <w:r w:rsidRPr="00BE03BB">
        <w:rPr>
          <w:rFonts w:ascii="Times New Roman" w:hAnsi="Times New Roman"/>
        </w:rPr>
        <w:t>.</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Solicitation of Public Comment and Other Consultations with the Public.</w:t>
      </w:r>
    </w:p>
    <w:p w:rsidR="003E2731" w:rsidRDefault="003E2731" w:rsidP="00FF7CC0">
      <w:pPr>
        <w:ind w:left="720"/>
        <w:rPr>
          <w:rFonts w:ascii="Times New Roman" w:hAnsi="Times New Roman"/>
        </w:rPr>
      </w:pPr>
      <w:r w:rsidRPr="00AD0ECB">
        <w:rPr>
          <w:rFonts w:ascii="Times New Roman" w:hAnsi="Times New Roman"/>
        </w:rPr>
        <w:t>The 60-day advance Federal Register Notice published</w:t>
      </w:r>
      <w:r>
        <w:rPr>
          <w:rFonts w:ascii="Times New Roman" w:hAnsi="Times New Roman"/>
        </w:rPr>
        <w:t xml:space="preserve"> on April 18, 2017 at 82 FR 18335</w:t>
      </w:r>
      <w:r w:rsidRPr="00AE6153">
        <w:rPr>
          <w:rFonts w:ascii="Times New Roman" w:hAnsi="Times New Roman"/>
        </w:rPr>
        <w:t xml:space="preserve">, </w:t>
      </w:r>
      <w:r w:rsidRPr="00AD0ECB">
        <w:rPr>
          <w:rFonts w:ascii="Times New Roman" w:hAnsi="Times New Roman"/>
        </w:rPr>
        <w:t>and we received no public comments</w:t>
      </w:r>
      <w:r>
        <w:rPr>
          <w:rFonts w:ascii="Times New Roman" w:hAnsi="Times New Roman"/>
        </w:rPr>
        <w:t xml:space="preserve">.  </w:t>
      </w:r>
      <w:r w:rsidRPr="00AD0ECB">
        <w:rPr>
          <w:rFonts w:ascii="Times New Roman" w:hAnsi="Times New Roman"/>
        </w:rPr>
        <w:t>SSA</w:t>
      </w:r>
      <w:r>
        <w:rPr>
          <w:rFonts w:ascii="Times New Roman" w:hAnsi="Times New Roman"/>
        </w:rPr>
        <w:t xml:space="preserve"> published the second Notice on June 27, 2017 at 82 FR 29316.  </w:t>
      </w:r>
      <w:r w:rsidRPr="00AD0ECB">
        <w:rPr>
          <w:rFonts w:ascii="Times New Roman" w:hAnsi="Times New Roman"/>
        </w:rPr>
        <w:t>If we receive comments in response to the 30-day Notice, we will forward them to OMB.  We did not consult with the public in the revision of this form</w:t>
      </w:r>
      <w:r w:rsidR="00CA22A7" w:rsidRPr="00BE03BB">
        <w:rPr>
          <w:rFonts w:ascii="Times New Roman" w:hAnsi="Times New Roman"/>
        </w:rPr>
        <w:t xml:space="preserve">.  </w:t>
      </w:r>
    </w:p>
    <w:p w:rsidR="003E2731" w:rsidRDefault="003E2731" w:rsidP="00FF7CC0">
      <w:pPr>
        <w:ind w:left="720"/>
        <w:rPr>
          <w:rFonts w:ascii="Times New Roman" w:hAnsi="Times New Roman"/>
        </w:rPr>
      </w:pPr>
    </w:p>
    <w:p w:rsidR="00CA22A7" w:rsidRDefault="00CA22A7" w:rsidP="00FF7CC0">
      <w:pPr>
        <w:ind w:left="720"/>
        <w:rPr>
          <w:rFonts w:ascii="Times New Roman" w:hAnsi="Times New Roman"/>
        </w:rPr>
      </w:pPr>
      <w:r w:rsidRPr="00BE03BB">
        <w:rPr>
          <w:rFonts w:ascii="Times New Roman" w:hAnsi="Times New Roman"/>
        </w:rPr>
        <w:t>When w</w:t>
      </w:r>
      <w:r w:rsidRPr="00CA22A7">
        <w:rPr>
          <w:rFonts w:ascii="Times New Roman" w:hAnsi="Times New Roman"/>
        </w:rPr>
        <w:t>e ne</w:t>
      </w:r>
      <w:r w:rsidRPr="00BE03BB">
        <w:rPr>
          <w:rFonts w:ascii="Times New Roman" w:hAnsi="Times New Roman"/>
        </w:rPr>
        <w:t>ed t</w:t>
      </w:r>
      <w:r w:rsidRPr="00CA22A7">
        <w:rPr>
          <w:rFonts w:ascii="Times New Roman" w:hAnsi="Times New Roman"/>
        </w:rPr>
        <w:t>o obtai</w:t>
      </w:r>
      <w:r w:rsidRPr="00BE03BB">
        <w:rPr>
          <w:rFonts w:ascii="Times New Roman" w:hAnsi="Times New Roman"/>
        </w:rPr>
        <w:t>n advice from outside the agency SSA consults with the Department of Health and Human Services, the Department of Education, the Department of Veterans Affairs, the American Health Information Management Association, and our State DDSs.</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CA22A7">
        <w:rPr>
          <w:rFonts w:ascii="Times New Roman" w:hAnsi="Times New Roman"/>
          <w:b/>
        </w:rPr>
        <w:t>Pay</w:t>
      </w:r>
      <w:r w:rsidRPr="001826A2">
        <w:rPr>
          <w:rFonts w:ascii="Times New Roman" w:hAnsi="Times New Roman"/>
          <w:b/>
        </w:rPr>
        <w:t>ment or Gifts to Respondents</w:t>
      </w:r>
    </w:p>
    <w:p w:rsidR="00CA22A7" w:rsidRPr="00BE03BB" w:rsidRDefault="00CA22A7" w:rsidP="00FF7CC0">
      <w:pPr>
        <w:ind w:left="720"/>
        <w:rPr>
          <w:rFonts w:ascii="Times New Roman" w:hAnsi="Times New Roman"/>
        </w:rPr>
      </w:pPr>
      <w:r w:rsidRPr="00BE03BB">
        <w:rPr>
          <w:rFonts w:ascii="Times New Roman" w:hAnsi="Times New Roman"/>
        </w:rPr>
        <w:t xml:space="preserve">SSA does not provide payments or gifts to the respondents. </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Assurances of Confidentiality</w:t>
      </w:r>
    </w:p>
    <w:p w:rsidR="00CA22A7" w:rsidRPr="00BE03BB" w:rsidRDefault="00CA22A7" w:rsidP="003705D5">
      <w:pPr>
        <w:ind w:left="720"/>
        <w:rPr>
          <w:rFonts w:ascii="Times New Roman" w:hAnsi="Times New Roman"/>
        </w:rPr>
      </w:pPr>
      <w:r w:rsidRPr="00BE03BB">
        <w:rPr>
          <w:rFonts w:ascii="Times New Roman" w:hAnsi="Times New Roman"/>
        </w:rPr>
        <w:t>SSA pr</w:t>
      </w:r>
      <w:r w:rsidRPr="00CA22A7">
        <w:rPr>
          <w:rFonts w:ascii="Times New Roman" w:hAnsi="Times New Roman"/>
        </w:rPr>
        <w:t>ote</w:t>
      </w:r>
      <w:r w:rsidRPr="00BE03BB">
        <w:rPr>
          <w:rFonts w:ascii="Times New Roman" w:hAnsi="Times New Roman"/>
        </w:rPr>
        <w:t xml:space="preserve">cts and holds confidential the information it collects in accordance with </w:t>
      </w:r>
      <w:r w:rsidRPr="00BE03BB">
        <w:rPr>
          <w:rFonts w:ascii="Times New Roman" w:hAnsi="Times New Roman"/>
        </w:rPr>
        <w:tab/>
      </w:r>
      <w:r w:rsidRPr="003705D5">
        <w:rPr>
          <w:rFonts w:ascii="Times New Roman" w:hAnsi="Times New Roman"/>
          <w:i/>
        </w:rPr>
        <w:t>42 U.S.C. 1306, 20 CFR 401</w:t>
      </w:r>
      <w:r w:rsidRPr="00BE03BB">
        <w:rPr>
          <w:rFonts w:ascii="Times New Roman" w:hAnsi="Times New Roman"/>
        </w:rPr>
        <w:t xml:space="preserve"> and </w:t>
      </w:r>
      <w:r w:rsidRPr="003705D5">
        <w:rPr>
          <w:rFonts w:ascii="Times New Roman" w:hAnsi="Times New Roman"/>
          <w:i/>
        </w:rPr>
        <w:t>402, 5 U.S.C. 552</w:t>
      </w:r>
      <w:r w:rsidRPr="00BE03BB">
        <w:rPr>
          <w:rFonts w:ascii="Times New Roman" w:hAnsi="Times New Roman"/>
        </w:rPr>
        <w:t xml:space="preserve"> (Freedom of Information Act), </w:t>
      </w:r>
      <w:r w:rsidRPr="003705D5">
        <w:rPr>
          <w:rFonts w:ascii="Times New Roman" w:hAnsi="Times New Roman"/>
          <w:i/>
        </w:rPr>
        <w:t>5 U.S.C. 552a</w:t>
      </w:r>
      <w:r w:rsidRPr="00BE03BB">
        <w:rPr>
          <w:rFonts w:ascii="Times New Roman" w:hAnsi="Times New Roman"/>
        </w:rPr>
        <w:t xml:space="preserve"> (Privacy Act of 19</w:t>
      </w:r>
      <w:r w:rsidR="003705D5">
        <w:rPr>
          <w:rFonts w:ascii="Times New Roman" w:hAnsi="Times New Roman"/>
        </w:rPr>
        <w:t>74), and OMB Circular No. A-130.</w:t>
      </w:r>
    </w:p>
    <w:p w:rsidR="00CA22A7" w:rsidRPr="001826A2" w:rsidRDefault="00CA22A7" w:rsidP="00FF7CC0">
      <w:pPr>
        <w:numPr>
          <w:ilvl w:val="0"/>
          <w:numId w:val="12"/>
        </w:numPr>
        <w:rPr>
          <w:rFonts w:ascii="Times New Roman" w:hAnsi="Times New Roman"/>
          <w:b/>
        </w:rPr>
      </w:pPr>
      <w:r w:rsidRPr="00CA22A7">
        <w:rPr>
          <w:rFonts w:ascii="Times New Roman" w:hAnsi="Times New Roman"/>
          <w:b/>
        </w:rPr>
        <w:t>Jus</w:t>
      </w:r>
      <w:r w:rsidRPr="001826A2">
        <w:rPr>
          <w:rFonts w:ascii="Times New Roman" w:hAnsi="Times New Roman"/>
          <w:b/>
        </w:rPr>
        <w:t>tification for Sensitive Questions</w:t>
      </w:r>
    </w:p>
    <w:p w:rsidR="00CA22A7" w:rsidRPr="00BE03BB" w:rsidRDefault="00CA22A7" w:rsidP="00FF7CC0">
      <w:pPr>
        <w:ind w:left="720"/>
        <w:rPr>
          <w:rFonts w:ascii="Times New Roman" w:hAnsi="Times New Roman"/>
        </w:rPr>
      </w:pPr>
      <w:r w:rsidRPr="00BE03BB">
        <w:rPr>
          <w:rFonts w:ascii="Times New Roman" w:hAnsi="Times New Roman"/>
        </w:rPr>
        <w:lastRenderedPageBreak/>
        <w:t>The information collection does not contain any questions of a sensitive nature.</w:t>
      </w:r>
    </w:p>
    <w:p w:rsidR="00CA22A7" w:rsidRPr="00BE03BB" w:rsidRDefault="00CA22A7" w:rsidP="00FF7CC0">
      <w:pPr>
        <w:rPr>
          <w:rFonts w:ascii="Times New Roman" w:hAnsi="Times New Roman"/>
        </w:rPr>
      </w:pPr>
    </w:p>
    <w:p w:rsidR="006E12E0" w:rsidRDefault="00CA22A7" w:rsidP="00272F98">
      <w:pPr>
        <w:numPr>
          <w:ilvl w:val="0"/>
          <w:numId w:val="12"/>
        </w:numPr>
        <w:rPr>
          <w:rFonts w:ascii="Times New Roman" w:hAnsi="Times New Roman"/>
          <w:b/>
        </w:rPr>
      </w:pPr>
      <w:r w:rsidRPr="00272F98">
        <w:rPr>
          <w:rFonts w:ascii="Times New Roman" w:hAnsi="Times New Roman"/>
          <w:b/>
        </w:rPr>
        <w:t>Estimates of Public Reporting Burden</w:t>
      </w:r>
    </w:p>
    <w:p w:rsidR="003705D5" w:rsidRDefault="003705D5" w:rsidP="003705D5">
      <w:pPr>
        <w:ind w:left="720"/>
        <w:rPr>
          <w:rFonts w:ascii="Times New Roman" w:hAnsi="Times New Roman"/>
          <w:b/>
        </w:rPr>
      </w:pPr>
    </w:p>
    <w:tbl>
      <w:tblPr>
        <w:tblStyle w:val="TableGrid"/>
        <w:tblW w:w="0" w:type="auto"/>
        <w:tblInd w:w="720" w:type="dxa"/>
        <w:tblLook w:val="04A0" w:firstRow="1" w:lastRow="0" w:firstColumn="1" w:lastColumn="0" w:noHBand="0" w:noVBand="1"/>
      </w:tblPr>
      <w:tblGrid>
        <w:gridCol w:w="1816"/>
        <w:gridCol w:w="1764"/>
        <w:gridCol w:w="1760"/>
        <w:gridCol w:w="1757"/>
        <w:gridCol w:w="1759"/>
      </w:tblGrid>
      <w:tr w:rsidR="003705D5" w:rsidTr="003705D5">
        <w:tc>
          <w:tcPr>
            <w:tcW w:w="1771" w:type="dxa"/>
          </w:tcPr>
          <w:p w:rsidR="003705D5" w:rsidRPr="00200F25" w:rsidRDefault="003705D5" w:rsidP="003705D5">
            <w:pPr>
              <w:rPr>
                <w:rFonts w:ascii="Times New Roman" w:hAnsi="Times New Roman"/>
                <w:b/>
              </w:rPr>
            </w:pPr>
            <w:r w:rsidRPr="00200F25">
              <w:rPr>
                <w:rFonts w:ascii="Times New Roman" w:hAnsi="Times New Roman"/>
                <w:b/>
              </w:rPr>
              <w:t>Modality of Completion</w:t>
            </w:r>
          </w:p>
        </w:tc>
        <w:tc>
          <w:tcPr>
            <w:tcW w:w="1771" w:type="dxa"/>
          </w:tcPr>
          <w:p w:rsidR="003705D5" w:rsidRPr="00200F25" w:rsidRDefault="003705D5" w:rsidP="003705D5">
            <w:pPr>
              <w:rPr>
                <w:rFonts w:ascii="Times New Roman" w:hAnsi="Times New Roman"/>
                <w:b/>
              </w:rPr>
            </w:pPr>
            <w:r w:rsidRPr="00200F25">
              <w:rPr>
                <w:rFonts w:ascii="Times New Roman" w:hAnsi="Times New Roman"/>
                <w:b/>
              </w:rPr>
              <w:t>Number of Respondents</w:t>
            </w:r>
          </w:p>
        </w:tc>
        <w:tc>
          <w:tcPr>
            <w:tcW w:w="1771" w:type="dxa"/>
          </w:tcPr>
          <w:p w:rsidR="003705D5" w:rsidRPr="00200F25" w:rsidRDefault="003705D5" w:rsidP="003705D5">
            <w:pPr>
              <w:rPr>
                <w:rFonts w:ascii="Times New Roman" w:hAnsi="Times New Roman"/>
                <w:b/>
              </w:rPr>
            </w:pPr>
            <w:r w:rsidRPr="00200F25">
              <w:rPr>
                <w:rFonts w:ascii="Times New Roman" w:hAnsi="Times New Roman"/>
                <w:b/>
              </w:rPr>
              <w:t>Frequency of Response</w:t>
            </w:r>
          </w:p>
        </w:tc>
        <w:tc>
          <w:tcPr>
            <w:tcW w:w="1771" w:type="dxa"/>
          </w:tcPr>
          <w:p w:rsidR="003705D5" w:rsidRPr="00200F25" w:rsidRDefault="003705D5" w:rsidP="003705D5">
            <w:pPr>
              <w:rPr>
                <w:rFonts w:ascii="Times New Roman" w:hAnsi="Times New Roman"/>
                <w:b/>
              </w:rPr>
            </w:pPr>
            <w:r w:rsidRPr="00200F25">
              <w:rPr>
                <w:rFonts w:ascii="Times New Roman" w:hAnsi="Times New Roman"/>
                <w:b/>
              </w:rPr>
              <w:t>Average Burden Per Response (minutes)</w:t>
            </w:r>
          </w:p>
        </w:tc>
        <w:tc>
          <w:tcPr>
            <w:tcW w:w="1772" w:type="dxa"/>
          </w:tcPr>
          <w:p w:rsidR="003705D5" w:rsidRPr="00200F25" w:rsidRDefault="003705D5" w:rsidP="003705D5">
            <w:pPr>
              <w:rPr>
                <w:rFonts w:ascii="Times New Roman" w:hAnsi="Times New Roman"/>
                <w:b/>
              </w:rPr>
            </w:pPr>
            <w:r w:rsidRPr="00200F25">
              <w:rPr>
                <w:rFonts w:ascii="Times New Roman" w:hAnsi="Times New Roman"/>
                <w:b/>
              </w:rPr>
              <w:t>Estimated Total Annual Burden (hours)</w:t>
            </w:r>
          </w:p>
        </w:tc>
      </w:tr>
      <w:tr w:rsidR="003705D5" w:rsidTr="003705D5">
        <w:tc>
          <w:tcPr>
            <w:tcW w:w="1771" w:type="dxa"/>
          </w:tcPr>
          <w:p w:rsidR="003705D5" w:rsidRPr="003705D5" w:rsidRDefault="003705D5" w:rsidP="003705D5">
            <w:pPr>
              <w:rPr>
                <w:rFonts w:ascii="Times New Roman" w:hAnsi="Times New Roman"/>
              </w:rPr>
            </w:pPr>
            <w:r w:rsidRPr="003705D5">
              <w:rPr>
                <w:rFonts w:ascii="Times New Roman" w:hAnsi="Times New Roman"/>
              </w:rPr>
              <w:t>SSA-827 with electronic signature (eAuthorization)</w:t>
            </w:r>
          </w:p>
        </w:tc>
        <w:tc>
          <w:tcPr>
            <w:tcW w:w="1771" w:type="dxa"/>
          </w:tcPr>
          <w:p w:rsidR="003705D5" w:rsidRDefault="003705D5" w:rsidP="003705D5">
            <w:pPr>
              <w:jc w:val="right"/>
              <w:rPr>
                <w:rFonts w:ascii="Times New Roman" w:hAnsi="Times New Roman"/>
                <w:b/>
              </w:rPr>
            </w:pPr>
            <w:r w:rsidRPr="00200F25">
              <w:rPr>
                <w:rFonts w:ascii="Times New Roman" w:hAnsi="Times New Roman"/>
              </w:rPr>
              <w:t>4,189,270</w:t>
            </w:r>
          </w:p>
        </w:tc>
        <w:tc>
          <w:tcPr>
            <w:tcW w:w="1771" w:type="dxa"/>
          </w:tcPr>
          <w:p w:rsidR="003705D5" w:rsidRPr="003705D5" w:rsidRDefault="003705D5" w:rsidP="003705D5">
            <w:pPr>
              <w:jc w:val="right"/>
              <w:rPr>
                <w:rFonts w:ascii="Times New Roman" w:hAnsi="Times New Roman"/>
              </w:rPr>
            </w:pPr>
            <w:r w:rsidRPr="003705D5">
              <w:rPr>
                <w:rFonts w:ascii="Times New Roman" w:hAnsi="Times New Roman"/>
              </w:rPr>
              <w:t>1</w:t>
            </w:r>
          </w:p>
        </w:tc>
        <w:tc>
          <w:tcPr>
            <w:tcW w:w="1771" w:type="dxa"/>
          </w:tcPr>
          <w:p w:rsidR="003705D5" w:rsidRPr="003705D5" w:rsidRDefault="003705D5" w:rsidP="003705D5">
            <w:pPr>
              <w:jc w:val="right"/>
              <w:rPr>
                <w:rFonts w:ascii="Times New Roman" w:hAnsi="Times New Roman"/>
              </w:rPr>
            </w:pPr>
            <w:r>
              <w:rPr>
                <w:rFonts w:ascii="Times New Roman" w:hAnsi="Times New Roman"/>
              </w:rPr>
              <w:t>9</w:t>
            </w:r>
          </w:p>
        </w:tc>
        <w:tc>
          <w:tcPr>
            <w:tcW w:w="1772" w:type="dxa"/>
          </w:tcPr>
          <w:p w:rsidR="003705D5" w:rsidRPr="003705D5" w:rsidRDefault="003705D5" w:rsidP="003705D5">
            <w:pPr>
              <w:jc w:val="right"/>
              <w:rPr>
                <w:rFonts w:ascii="Times New Roman" w:hAnsi="Times New Roman"/>
              </w:rPr>
            </w:pPr>
            <w:r>
              <w:rPr>
                <w:rFonts w:ascii="Times New Roman" w:hAnsi="Times New Roman"/>
              </w:rPr>
              <w:t>628,391</w:t>
            </w:r>
          </w:p>
        </w:tc>
      </w:tr>
      <w:tr w:rsidR="003705D5" w:rsidTr="003705D5">
        <w:tc>
          <w:tcPr>
            <w:tcW w:w="1771" w:type="dxa"/>
          </w:tcPr>
          <w:p w:rsidR="003705D5" w:rsidRPr="003705D5" w:rsidRDefault="003705D5" w:rsidP="003705D5">
            <w:pPr>
              <w:rPr>
                <w:rFonts w:ascii="Times New Roman" w:hAnsi="Times New Roman"/>
              </w:rPr>
            </w:pPr>
            <w:r w:rsidRPr="003705D5">
              <w:rPr>
                <w:rFonts w:ascii="Times New Roman" w:hAnsi="Times New Roman"/>
              </w:rPr>
              <w:t>SSA-827 with wet signature (paper version)</w:t>
            </w:r>
          </w:p>
        </w:tc>
        <w:tc>
          <w:tcPr>
            <w:tcW w:w="1771" w:type="dxa"/>
          </w:tcPr>
          <w:p w:rsidR="003705D5" w:rsidRDefault="003705D5" w:rsidP="003705D5">
            <w:pPr>
              <w:jc w:val="right"/>
              <w:rPr>
                <w:rFonts w:ascii="Times New Roman" w:hAnsi="Times New Roman"/>
                <w:b/>
              </w:rPr>
            </w:pPr>
            <w:r w:rsidRPr="00200F25">
              <w:rPr>
                <w:rFonts w:ascii="Times New Roman" w:hAnsi="Times New Roman"/>
              </w:rPr>
              <w:t>1,055,807</w:t>
            </w:r>
          </w:p>
        </w:tc>
        <w:tc>
          <w:tcPr>
            <w:tcW w:w="1771" w:type="dxa"/>
          </w:tcPr>
          <w:p w:rsidR="003705D5" w:rsidRPr="003705D5" w:rsidRDefault="003705D5" w:rsidP="003705D5">
            <w:pPr>
              <w:jc w:val="right"/>
              <w:rPr>
                <w:rFonts w:ascii="Times New Roman" w:hAnsi="Times New Roman"/>
              </w:rPr>
            </w:pPr>
            <w:r w:rsidRPr="003705D5">
              <w:rPr>
                <w:rFonts w:ascii="Times New Roman" w:hAnsi="Times New Roman"/>
              </w:rPr>
              <w:t>1</w:t>
            </w:r>
          </w:p>
        </w:tc>
        <w:tc>
          <w:tcPr>
            <w:tcW w:w="1771" w:type="dxa"/>
          </w:tcPr>
          <w:p w:rsidR="003705D5" w:rsidRPr="003705D5" w:rsidRDefault="003705D5" w:rsidP="003705D5">
            <w:pPr>
              <w:jc w:val="right"/>
              <w:rPr>
                <w:rFonts w:ascii="Times New Roman" w:hAnsi="Times New Roman"/>
              </w:rPr>
            </w:pPr>
            <w:r>
              <w:rPr>
                <w:rFonts w:ascii="Times New Roman" w:hAnsi="Times New Roman"/>
              </w:rPr>
              <w:t>10</w:t>
            </w:r>
          </w:p>
        </w:tc>
        <w:tc>
          <w:tcPr>
            <w:tcW w:w="1772" w:type="dxa"/>
          </w:tcPr>
          <w:p w:rsidR="003705D5" w:rsidRPr="003705D5" w:rsidRDefault="003705D5" w:rsidP="003705D5">
            <w:pPr>
              <w:jc w:val="right"/>
              <w:rPr>
                <w:rFonts w:ascii="Times New Roman" w:hAnsi="Times New Roman"/>
              </w:rPr>
            </w:pPr>
            <w:r>
              <w:rPr>
                <w:rFonts w:ascii="Times New Roman" w:hAnsi="Times New Roman"/>
              </w:rPr>
              <w:t>175,968</w:t>
            </w:r>
          </w:p>
        </w:tc>
      </w:tr>
      <w:tr w:rsidR="003705D5" w:rsidTr="003705D5">
        <w:tc>
          <w:tcPr>
            <w:tcW w:w="1771" w:type="dxa"/>
          </w:tcPr>
          <w:p w:rsidR="003705D5" w:rsidRPr="003705D5" w:rsidRDefault="003705D5" w:rsidP="003705D5">
            <w:pPr>
              <w:rPr>
                <w:rFonts w:ascii="Times New Roman" w:hAnsi="Times New Roman"/>
                <w:b/>
              </w:rPr>
            </w:pPr>
            <w:r w:rsidRPr="003705D5">
              <w:rPr>
                <w:rFonts w:ascii="Times New Roman" w:hAnsi="Times New Roman"/>
                <w:b/>
              </w:rPr>
              <w:t>Totals</w:t>
            </w:r>
          </w:p>
        </w:tc>
        <w:tc>
          <w:tcPr>
            <w:tcW w:w="1771" w:type="dxa"/>
          </w:tcPr>
          <w:p w:rsidR="003705D5" w:rsidRPr="003705D5" w:rsidRDefault="003705D5" w:rsidP="003705D5">
            <w:pPr>
              <w:jc w:val="right"/>
              <w:rPr>
                <w:rFonts w:ascii="Times New Roman" w:hAnsi="Times New Roman"/>
                <w:b/>
              </w:rPr>
            </w:pPr>
            <w:r w:rsidRPr="003705D5">
              <w:rPr>
                <w:rFonts w:ascii="Times New Roman" w:hAnsi="Times New Roman"/>
                <w:b/>
              </w:rPr>
              <w:t>5,245,077</w:t>
            </w:r>
          </w:p>
        </w:tc>
        <w:tc>
          <w:tcPr>
            <w:tcW w:w="1771" w:type="dxa"/>
          </w:tcPr>
          <w:p w:rsidR="003705D5" w:rsidRPr="003705D5" w:rsidRDefault="003705D5" w:rsidP="003705D5">
            <w:pPr>
              <w:jc w:val="right"/>
              <w:rPr>
                <w:rFonts w:ascii="Times New Roman" w:hAnsi="Times New Roman"/>
                <w:b/>
              </w:rPr>
            </w:pPr>
          </w:p>
        </w:tc>
        <w:tc>
          <w:tcPr>
            <w:tcW w:w="1771" w:type="dxa"/>
          </w:tcPr>
          <w:p w:rsidR="003705D5" w:rsidRPr="003705D5" w:rsidRDefault="003705D5" w:rsidP="003705D5">
            <w:pPr>
              <w:jc w:val="right"/>
              <w:rPr>
                <w:rFonts w:ascii="Times New Roman" w:hAnsi="Times New Roman"/>
                <w:b/>
              </w:rPr>
            </w:pPr>
          </w:p>
        </w:tc>
        <w:tc>
          <w:tcPr>
            <w:tcW w:w="1772" w:type="dxa"/>
          </w:tcPr>
          <w:p w:rsidR="003705D5" w:rsidRPr="003705D5" w:rsidRDefault="003705D5" w:rsidP="003705D5">
            <w:pPr>
              <w:jc w:val="right"/>
              <w:rPr>
                <w:rFonts w:ascii="Times New Roman" w:hAnsi="Times New Roman"/>
                <w:b/>
              </w:rPr>
            </w:pPr>
            <w:r>
              <w:rPr>
                <w:rFonts w:ascii="Times New Roman" w:hAnsi="Times New Roman"/>
                <w:b/>
              </w:rPr>
              <w:t>804,359</w:t>
            </w:r>
          </w:p>
        </w:tc>
      </w:tr>
    </w:tbl>
    <w:p w:rsidR="00CA22A7" w:rsidRPr="00200F25" w:rsidRDefault="00CA22A7" w:rsidP="00FF7CC0">
      <w:pPr>
        <w:rPr>
          <w:rFonts w:ascii="Times New Roman" w:hAnsi="Times New Roman"/>
        </w:rPr>
      </w:pPr>
    </w:p>
    <w:p w:rsidR="00ED322E" w:rsidRPr="00200F25" w:rsidRDefault="00CA22A7" w:rsidP="00FF7CC0">
      <w:pPr>
        <w:ind w:left="720"/>
        <w:rPr>
          <w:rFonts w:ascii="Times New Roman" w:hAnsi="Times New Roman"/>
        </w:rPr>
      </w:pPr>
      <w:r w:rsidRPr="00200F25">
        <w:rPr>
          <w:rFonts w:ascii="Times New Roman" w:hAnsi="Times New Roman"/>
        </w:rPr>
        <w:t xml:space="preserve">The total burden for this ICR is </w:t>
      </w:r>
      <w:r w:rsidR="003705D5">
        <w:rPr>
          <w:rFonts w:ascii="Times New Roman" w:hAnsi="Times New Roman"/>
          <w:b/>
        </w:rPr>
        <w:t>804,359</w:t>
      </w:r>
      <w:r w:rsidRPr="00200F25">
        <w:rPr>
          <w:rFonts w:ascii="Times New Roman" w:hAnsi="Times New Roman"/>
        </w:rPr>
        <w:t xml:space="preserve"> hours.  This figure represents burden hours, and we did not calculate a separate cost burden. </w:t>
      </w:r>
    </w:p>
    <w:p w:rsidR="00200F25" w:rsidRDefault="00200F25" w:rsidP="003705D5">
      <w:pPr>
        <w:rPr>
          <w:rFonts w:ascii="Times New Roman" w:hAnsi="Times New Roman"/>
        </w:rPr>
      </w:pPr>
    </w:p>
    <w:p w:rsidR="003705D5" w:rsidRDefault="003705D5" w:rsidP="00FF7CC0">
      <w:pPr>
        <w:numPr>
          <w:ilvl w:val="0"/>
          <w:numId w:val="12"/>
        </w:numPr>
        <w:rPr>
          <w:rFonts w:ascii="Times New Roman" w:hAnsi="Times New Roman"/>
          <w:b/>
        </w:rPr>
      </w:pPr>
      <w:r w:rsidRPr="001826A2">
        <w:rPr>
          <w:rFonts w:ascii="Times New Roman" w:hAnsi="Times New Roman"/>
          <w:b/>
        </w:rPr>
        <w:t>Annual Cost to the Respondents (Other)</w:t>
      </w:r>
    </w:p>
    <w:p w:rsidR="003705D5" w:rsidRPr="003705D5" w:rsidRDefault="003705D5" w:rsidP="003705D5">
      <w:pPr>
        <w:ind w:left="720"/>
        <w:rPr>
          <w:rFonts w:ascii="Times New Roman" w:hAnsi="Times New Roman"/>
        </w:rPr>
      </w:pPr>
      <w:r w:rsidRPr="00BE03BB">
        <w:rPr>
          <w:rFonts w:ascii="Times New Roman" w:hAnsi="Times New Roman"/>
        </w:rPr>
        <w:t>This collection does not impose a known cost burden on the respondents.</w:t>
      </w:r>
    </w:p>
    <w:p w:rsidR="003705D5" w:rsidRDefault="003705D5" w:rsidP="003705D5">
      <w:pPr>
        <w:ind w:left="720"/>
        <w:rPr>
          <w:rFonts w:ascii="Times New Roman" w:hAnsi="Times New Roman"/>
          <w:b/>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Annual Cost To Federal Government</w:t>
      </w:r>
    </w:p>
    <w:p w:rsidR="003705D5" w:rsidRDefault="00360967" w:rsidP="00360967">
      <w:pPr>
        <w:ind w:left="720"/>
        <w:rPr>
          <w:rFonts w:ascii="Times New Roman" w:hAnsi="Times New Roman"/>
        </w:rPr>
      </w:pPr>
      <w:r w:rsidRPr="00360967">
        <w:rPr>
          <w:rFonts w:ascii="Times New Roman" w:hAnsi="Times New Roman"/>
        </w:rPr>
        <w:t>The estimated cost to the Federal Government to collect the information</w:t>
      </w:r>
      <w:r w:rsidR="003705D5">
        <w:rPr>
          <w:rFonts w:ascii="Times New Roman" w:hAnsi="Times New Roman"/>
        </w:rPr>
        <w:t xml:space="preserve"> is $36,681.  </w:t>
      </w:r>
      <w:r w:rsidR="003705D5" w:rsidRPr="00AE6A02">
        <w:rPr>
          <w:rFonts w:ascii="Times New Roman" w:hAnsi="Times New Roman"/>
        </w:rPr>
        <w:t xml:space="preserve">This estimate is a projection of the costs for </w:t>
      </w:r>
      <w:r w:rsidR="003705D5">
        <w:rPr>
          <w:rFonts w:ascii="Times New Roman" w:hAnsi="Times New Roman"/>
        </w:rPr>
        <w:t xml:space="preserve">local </w:t>
      </w:r>
      <w:r w:rsidR="003705D5" w:rsidRPr="00AE6A02">
        <w:rPr>
          <w:rFonts w:ascii="Times New Roman" w:hAnsi="Times New Roman"/>
        </w:rPr>
        <w:t>printing and distributing the collection instrument and for collecting the information</w:t>
      </w:r>
      <w:r w:rsidR="003705D5">
        <w:rPr>
          <w:rFonts w:ascii="Times New Roman" w:hAnsi="Times New Roman"/>
        </w:rPr>
        <w:t>.</w:t>
      </w:r>
      <w:r w:rsidRPr="00360967">
        <w:rPr>
          <w:rFonts w:ascii="Times New Roman" w:hAnsi="Times New Roman"/>
        </w:rPr>
        <w:t xml:space="preserve"> </w:t>
      </w:r>
    </w:p>
    <w:p w:rsidR="00360967" w:rsidRDefault="003705D5" w:rsidP="00360967">
      <w:pPr>
        <w:ind w:left="720"/>
        <w:rPr>
          <w:rFonts w:ascii="Times New Roman" w:hAnsi="Times New Roman"/>
        </w:rPr>
      </w:pPr>
      <w:r>
        <w:rPr>
          <w:rFonts w:ascii="Times New Roman" w:hAnsi="Times New Roman"/>
        </w:rPr>
        <w:t xml:space="preserve">The estimated cost to the Federal Government for the Internet version </w:t>
      </w:r>
      <w:r w:rsidR="00360967" w:rsidRPr="00360967">
        <w:rPr>
          <w:rFonts w:ascii="Times New Roman" w:hAnsi="Times New Roman"/>
        </w:rPr>
        <w:t>is negligible.  Because the cost of maintaining the system which collects this in formation is accounted for within the cost of maintaining all of SSA’s automated systems, it is not possible to calculate the cost associated with just one Internet application.</w:t>
      </w:r>
      <w:r w:rsidR="003F6422">
        <w:rPr>
          <w:rFonts w:ascii="Times New Roman" w:hAnsi="Times New Roman"/>
        </w:rPr>
        <w:t xml:space="preserve">  </w:t>
      </w:r>
    </w:p>
    <w:p w:rsidR="003705D5" w:rsidRPr="00BE03BB" w:rsidRDefault="003705D5" w:rsidP="00360967">
      <w:pPr>
        <w:ind w:left="720"/>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Program Changes or Adjustments to the Information Collection Request</w:t>
      </w:r>
    </w:p>
    <w:p w:rsidR="00CA22A7" w:rsidRDefault="00CA22A7" w:rsidP="003705D5">
      <w:pPr>
        <w:ind w:left="720"/>
        <w:rPr>
          <w:rFonts w:ascii="Times New Roman" w:hAnsi="Times New Roman"/>
        </w:rPr>
      </w:pPr>
      <w:r w:rsidRPr="00BE03BB">
        <w:rPr>
          <w:rFonts w:ascii="Times New Roman" w:hAnsi="Times New Roman"/>
        </w:rPr>
        <w:t xml:space="preserve">The burden </w:t>
      </w:r>
      <w:r w:rsidR="007C0A8E">
        <w:rPr>
          <w:rFonts w:ascii="Times New Roman" w:hAnsi="Times New Roman"/>
        </w:rPr>
        <w:t>increase</w:t>
      </w:r>
      <w:r w:rsidRPr="00BE03BB">
        <w:rPr>
          <w:rFonts w:ascii="Times New Roman" w:hAnsi="Times New Roman"/>
        </w:rPr>
        <w:t xml:space="preserve"> stems from SSA implementing eAutho</w:t>
      </w:r>
      <w:r w:rsidRPr="00CA22A7">
        <w:rPr>
          <w:rFonts w:ascii="Times New Roman" w:hAnsi="Times New Roman"/>
        </w:rPr>
        <w:t>riz</w:t>
      </w:r>
      <w:r w:rsidR="003705D5">
        <w:rPr>
          <w:rFonts w:ascii="Times New Roman" w:hAnsi="Times New Roman"/>
        </w:rPr>
        <w:t>ed 827s from the I</w:t>
      </w:r>
      <w:r w:rsidR="007C0A8E">
        <w:rPr>
          <w:rFonts w:ascii="Times New Roman" w:hAnsi="Times New Roman"/>
        </w:rPr>
        <w:t>nternet, EDCS and eView</w:t>
      </w:r>
      <w:r w:rsidR="0008072C">
        <w:rPr>
          <w:rFonts w:ascii="Times New Roman" w:hAnsi="Times New Roman"/>
        </w:rPr>
        <w:t>, and the HART court case</w:t>
      </w:r>
      <w:r w:rsidRPr="00CA22A7">
        <w:rPr>
          <w:rFonts w:ascii="Times New Roman" w:hAnsi="Times New Roman"/>
        </w:rPr>
        <w:t>.</w:t>
      </w:r>
      <w:r w:rsidR="003705D5">
        <w:rPr>
          <w:rFonts w:ascii="Times New Roman" w:hAnsi="Times New Roman"/>
        </w:rPr>
        <w:t xml:space="preserve">  In addition, b</w:t>
      </w:r>
      <w:r w:rsidR="003705D5" w:rsidRPr="00200F25">
        <w:rPr>
          <w:rFonts w:ascii="Times New Roman" w:hAnsi="Times New Roman"/>
        </w:rPr>
        <w:t xml:space="preserve">eginning FY 2014, </w:t>
      </w:r>
      <w:r w:rsidR="003705D5">
        <w:rPr>
          <w:rFonts w:ascii="Times New Roman" w:hAnsi="Times New Roman"/>
        </w:rPr>
        <w:t xml:space="preserve">accurate reporting of eAuthorizations became available with new </w:t>
      </w:r>
      <w:r w:rsidR="00C310F8">
        <w:rPr>
          <w:rFonts w:ascii="Times New Roman" w:hAnsi="Times New Roman"/>
        </w:rPr>
        <w:t>management information</w:t>
      </w:r>
      <w:r w:rsidR="003705D5" w:rsidRPr="00200F25">
        <w:rPr>
          <w:rFonts w:ascii="Times New Roman" w:hAnsi="Times New Roman"/>
        </w:rPr>
        <w:t xml:space="preserve"> tools.  </w:t>
      </w:r>
      <w:r w:rsidR="003705D5">
        <w:rPr>
          <w:rFonts w:ascii="Times New Roman" w:hAnsi="Times New Roman"/>
        </w:rPr>
        <w:t>W</w:t>
      </w:r>
      <w:r w:rsidR="00C310F8">
        <w:rPr>
          <w:rFonts w:ascii="Times New Roman" w:hAnsi="Times New Roman"/>
        </w:rPr>
        <w:t>e still base our estimates of wet signed SSA-827s</w:t>
      </w:r>
      <w:r w:rsidR="003705D5" w:rsidRPr="00200F25">
        <w:rPr>
          <w:rFonts w:ascii="Times New Roman" w:hAnsi="Times New Roman"/>
        </w:rPr>
        <w:t xml:space="preserve"> on educated estimates.  </w:t>
      </w:r>
      <w:r w:rsidR="003705D5">
        <w:rPr>
          <w:rFonts w:ascii="Times New Roman" w:hAnsi="Times New Roman"/>
        </w:rPr>
        <w:t xml:space="preserve">FY 2014 also saw an increase in occasions where </w:t>
      </w:r>
      <w:r w:rsidR="003705D5" w:rsidRPr="00200F25">
        <w:rPr>
          <w:rFonts w:ascii="Times New Roman" w:hAnsi="Times New Roman"/>
        </w:rPr>
        <w:t xml:space="preserve">wet-signed 827s and eAuthorizations </w:t>
      </w:r>
      <w:r w:rsidR="003705D5">
        <w:rPr>
          <w:rFonts w:ascii="Times New Roman" w:hAnsi="Times New Roman"/>
        </w:rPr>
        <w:t>were both collected (</w:t>
      </w:r>
      <w:r w:rsidR="003705D5" w:rsidRPr="00200F25">
        <w:rPr>
          <w:rFonts w:ascii="Times New Roman" w:hAnsi="Times New Roman"/>
        </w:rPr>
        <w:t>for the same case</w:t>
      </w:r>
      <w:r w:rsidR="003705D5">
        <w:rPr>
          <w:rFonts w:ascii="Times New Roman" w:hAnsi="Times New Roman"/>
        </w:rPr>
        <w:t>)</w:t>
      </w:r>
      <w:r w:rsidR="003705D5" w:rsidRPr="00200F25">
        <w:rPr>
          <w:rFonts w:ascii="Times New Roman" w:hAnsi="Times New Roman"/>
        </w:rPr>
        <w:t>.  A</w:t>
      </w:r>
      <w:r w:rsidR="003705D5">
        <w:rPr>
          <w:rFonts w:ascii="Times New Roman" w:hAnsi="Times New Roman"/>
        </w:rPr>
        <w:t xml:space="preserve">nother aspect of </w:t>
      </w:r>
      <w:r w:rsidR="003705D5" w:rsidRPr="00200F25">
        <w:rPr>
          <w:rFonts w:ascii="Times New Roman" w:hAnsi="Times New Roman"/>
        </w:rPr>
        <w:t xml:space="preserve">eAuthorizations </w:t>
      </w:r>
      <w:r w:rsidR="003705D5">
        <w:rPr>
          <w:rFonts w:ascii="Times New Roman" w:hAnsi="Times New Roman"/>
        </w:rPr>
        <w:t>is the ease by which</w:t>
      </w:r>
      <w:r w:rsidR="00C310F8">
        <w:rPr>
          <w:rFonts w:ascii="Times New Roman" w:hAnsi="Times New Roman"/>
        </w:rPr>
        <w:t xml:space="preserve"> respondents can submit</w:t>
      </w:r>
      <w:r w:rsidR="003705D5">
        <w:rPr>
          <w:rFonts w:ascii="Times New Roman" w:hAnsi="Times New Roman"/>
        </w:rPr>
        <w:t xml:space="preserve"> </w:t>
      </w:r>
      <w:r w:rsidR="003705D5" w:rsidRPr="00200F25">
        <w:rPr>
          <w:rFonts w:ascii="Times New Roman" w:hAnsi="Times New Roman"/>
        </w:rPr>
        <w:t xml:space="preserve">multiple electronic SSA-827 for the same case.  </w:t>
      </w:r>
      <w:r w:rsidR="003705D5">
        <w:rPr>
          <w:rFonts w:ascii="Times New Roman" w:hAnsi="Times New Roman"/>
        </w:rPr>
        <w:t>One final reason for increased numbers is the implementation of the iClaim tool, which collects SSA-827s</w:t>
      </w:r>
      <w:r w:rsidR="00C310F8">
        <w:rPr>
          <w:rFonts w:ascii="Times New Roman" w:hAnsi="Times New Roman"/>
        </w:rPr>
        <w:t xml:space="preserve"> within the iClaim process.  We account for the iClaim burden here and not under iClaim (0960-0618)</w:t>
      </w:r>
      <w:r w:rsidR="003705D5">
        <w:rPr>
          <w:rFonts w:ascii="Times New Roman" w:hAnsi="Times New Roman"/>
        </w:rPr>
        <w:t>.  The current count reflects SSA-827s in three formats: wet-signed, e</w:t>
      </w:r>
      <w:r w:rsidR="00C310F8">
        <w:rPr>
          <w:rFonts w:ascii="Times New Roman" w:hAnsi="Times New Roman"/>
        </w:rPr>
        <w:t>Authorizations, and iClaim modalities</w:t>
      </w:r>
      <w:r w:rsidR="003705D5">
        <w:rPr>
          <w:rFonts w:ascii="Times New Roman" w:hAnsi="Times New Roman"/>
        </w:rPr>
        <w:t xml:space="preserve">. </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CA22A7">
        <w:rPr>
          <w:rFonts w:ascii="Times New Roman" w:hAnsi="Times New Roman"/>
          <w:b/>
        </w:rPr>
        <w:t>Pla</w:t>
      </w:r>
      <w:r w:rsidRPr="001826A2">
        <w:rPr>
          <w:rFonts w:ascii="Times New Roman" w:hAnsi="Times New Roman"/>
          <w:b/>
        </w:rPr>
        <w:t>ns for Publication Information Collection Results</w:t>
      </w:r>
    </w:p>
    <w:p w:rsidR="00CA22A7" w:rsidRPr="00BE03BB" w:rsidRDefault="00CA22A7" w:rsidP="00FF7CC0">
      <w:pPr>
        <w:ind w:left="720"/>
        <w:rPr>
          <w:rFonts w:ascii="Times New Roman" w:hAnsi="Times New Roman"/>
        </w:rPr>
      </w:pPr>
      <w:r w:rsidRPr="00BE03BB">
        <w:rPr>
          <w:rFonts w:ascii="Times New Roman" w:hAnsi="Times New Roman"/>
        </w:rPr>
        <w:t>SSA will n</w:t>
      </w:r>
      <w:r w:rsidRPr="00CA22A7">
        <w:rPr>
          <w:rFonts w:ascii="Times New Roman" w:hAnsi="Times New Roman"/>
        </w:rPr>
        <w:t>ot p</w:t>
      </w:r>
      <w:r w:rsidRPr="00BE03BB">
        <w:rPr>
          <w:rFonts w:ascii="Times New Roman" w:hAnsi="Times New Roman"/>
        </w:rPr>
        <w:t>ublis</w:t>
      </w:r>
      <w:r w:rsidRPr="00CA22A7">
        <w:rPr>
          <w:rFonts w:ascii="Times New Roman" w:hAnsi="Times New Roman"/>
        </w:rPr>
        <w:t>h the r</w:t>
      </w:r>
      <w:r w:rsidRPr="00BE03BB">
        <w:rPr>
          <w:rFonts w:ascii="Times New Roman" w:hAnsi="Times New Roman"/>
        </w:rPr>
        <w:t>esults of the information collection.</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1826A2">
        <w:rPr>
          <w:rFonts w:ascii="Times New Roman" w:hAnsi="Times New Roman"/>
          <w:b/>
        </w:rPr>
        <w:t>Displaying the OMB Approval Expiration Date</w:t>
      </w:r>
    </w:p>
    <w:p w:rsidR="00C310F8" w:rsidRDefault="00CA22A7" w:rsidP="00FF7CC0">
      <w:pPr>
        <w:ind w:left="720"/>
        <w:rPr>
          <w:rFonts w:ascii="Times New Roman" w:hAnsi="Times New Roman"/>
        </w:rPr>
      </w:pPr>
      <w:r w:rsidRPr="00BE03BB">
        <w:rPr>
          <w:rFonts w:ascii="Times New Roman" w:hAnsi="Times New Roman"/>
        </w:rPr>
        <w:t>OMB granted SSA an exemption from th</w:t>
      </w:r>
      <w:r w:rsidR="00960AF4">
        <w:rPr>
          <w:rFonts w:ascii="Times New Roman" w:hAnsi="Times New Roman"/>
        </w:rPr>
        <w:t xml:space="preserve">e requirement to print the OMB </w:t>
      </w:r>
      <w:r w:rsidRPr="00BE03BB">
        <w:rPr>
          <w:rFonts w:ascii="Times New Roman" w:hAnsi="Times New Roman"/>
        </w:rPr>
        <w:t xml:space="preserve">expiration date on its program forms.  SSA produces millions of public-use forms with life cycles exceeding those </w:t>
      </w:r>
      <w:r w:rsidRPr="00CA22A7">
        <w:rPr>
          <w:rFonts w:ascii="Times New Roman" w:hAnsi="Times New Roman"/>
        </w:rPr>
        <w:t>of an</w:t>
      </w:r>
      <w:r w:rsidRPr="00BE03BB">
        <w:rPr>
          <w:rFonts w:ascii="Times New Roman" w:hAnsi="Times New Roman"/>
        </w:rPr>
        <w:t xml:space="preserve"> OMB approval.  Since </w:t>
      </w:r>
      <w:r w:rsidRPr="00CA22A7">
        <w:rPr>
          <w:rFonts w:ascii="Times New Roman" w:hAnsi="Times New Roman"/>
        </w:rPr>
        <w:t>SSA d</w:t>
      </w:r>
      <w:r w:rsidRPr="00BE03BB">
        <w:rPr>
          <w:rFonts w:ascii="Times New Roman" w:hAnsi="Times New Roman"/>
        </w:rPr>
        <w:t>oes not periodically revise and reprint its public-use forms (</w:t>
      </w:r>
      <w:r w:rsidR="00960AF4">
        <w:rPr>
          <w:rFonts w:ascii="Times New Roman" w:hAnsi="Times New Roman"/>
        </w:rPr>
        <w:t>for example</w:t>
      </w:r>
      <w:r w:rsidRPr="00BE03BB">
        <w:rPr>
          <w:rFonts w:ascii="Times New Roman" w:hAnsi="Times New Roman"/>
        </w:rPr>
        <w:t xml:space="preserve">, </w:t>
      </w:r>
      <w:r w:rsidRPr="00CA22A7">
        <w:rPr>
          <w:rFonts w:ascii="Times New Roman" w:hAnsi="Times New Roman"/>
        </w:rPr>
        <w:t>on a</w:t>
      </w:r>
      <w:r w:rsidRPr="00BE03BB">
        <w:rPr>
          <w:rFonts w:ascii="Times New Roman" w:hAnsi="Times New Roman"/>
        </w:rPr>
        <w:t>n annual basis), OMB granted this exemption so SSA would not have to destroy stocks of otherwise useable forms with expired OMB approval dates, avoiding Government waste.</w:t>
      </w:r>
    </w:p>
    <w:p w:rsidR="00C310F8" w:rsidRDefault="00C310F8" w:rsidP="00FF7CC0">
      <w:pPr>
        <w:ind w:left="720"/>
        <w:rPr>
          <w:rFonts w:ascii="Times New Roman" w:hAnsi="Times New Roman"/>
        </w:rPr>
      </w:pPr>
    </w:p>
    <w:p w:rsidR="00CA22A7" w:rsidRPr="00BE03BB" w:rsidRDefault="00C310F8" w:rsidP="00FF7CC0">
      <w:pPr>
        <w:ind w:left="720"/>
        <w:rPr>
          <w:rFonts w:ascii="Times New Roman" w:hAnsi="Times New Roman"/>
        </w:rPr>
      </w:pPr>
      <w:r>
        <w:rPr>
          <w:rFonts w:ascii="Times New Roman" w:hAnsi="Times New Roman"/>
        </w:rPr>
        <w:t>We are not requesting an exemption for the Internet version.</w:t>
      </w:r>
      <w:r w:rsidR="00CA22A7" w:rsidRPr="00CA22A7">
        <w:rPr>
          <w:rFonts w:ascii="Times New Roman" w:hAnsi="Times New Roman"/>
        </w:rPr>
        <w:t xml:space="preserve"> </w:t>
      </w:r>
    </w:p>
    <w:p w:rsidR="00CA22A7" w:rsidRPr="00BE03BB" w:rsidRDefault="00CA22A7" w:rsidP="00FF7CC0">
      <w:pPr>
        <w:rPr>
          <w:rFonts w:ascii="Times New Roman" w:hAnsi="Times New Roman"/>
        </w:rPr>
      </w:pPr>
    </w:p>
    <w:p w:rsidR="00CA22A7" w:rsidRPr="001826A2" w:rsidRDefault="00CA22A7" w:rsidP="00FF7CC0">
      <w:pPr>
        <w:numPr>
          <w:ilvl w:val="0"/>
          <w:numId w:val="12"/>
        </w:numPr>
        <w:rPr>
          <w:rFonts w:ascii="Times New Roman" w:hAnsi="Times New Roman"/>
          <w:b/>
        </w:rPr>
      </w:pPr>
      <w:r w:rsidRPr="00CA22A7">
        <w:rPr>
          <w:rFonts w:ascii="Times New Roman" w:hAnsi="Times New Roman"/>
          <w:b/>
        </w:rPr>
        <w:t>Ex</w:t>
      </w:r>
      <w:r w:rsidRPr="001826A2">
        <w:rPr>
          <w:rFonts w:ascii="Times New Roman" w:hAnsi="Times New Roman"/>
          <w:b/>
        </w:rPr>
        <w:t>ceptions to Certification Statement</w:t>
      </w:r>
    </w:p>
    <w:p w:rsidR="00CA22A7" w:rsidRPr="00BE03BB" w:rsidRDefault="00CA22A7" w:rsidP="00FF7CC0">
      <w:pPr>
        <w:ind w:left="720"/>
        <w:rPr>
          <w:rFonts w:ascii="Times New Roman" w:hAnsi="Times New Roman"/>
        </w:rPr>
      </w:pPr>
      <w:r w:rsidRPr="00BE03BB">
        <w:rPr>
          <w:rFonts w:ascii="Times New Roman" w:hAnsi="Times New Roman"/>
        </w:rPr>
        <w:t xml:space="preserve">SSA is not requesting an exception to the certification requirements at </w:t>
      </w:r>
      <w:r w:rsidRPr="00C310F8">
        <w:rPr>
          <w:rFonts w:ascii="Times New Roman" w:hAnsi="Times New Roman"/>
          <w:i/>
        </w:rPr>
        <w:t>5 CFR 1320.9</w:t>
      </w:r>
      <w:r w:rsidRPr="00BE03BB">
        <w:rPr>
          <w:rFonts w:ascii="Times New Roman" w:hAnsi="Times New Roman"/>
        </w:rPr>
        <w:t xml:space="preserve"> and related provisions at </w:t>
      </w:r>
      <w:r w:rsidRPr="00C310F8">
        <w:rPr>
          <w:rFonts w:ascii="Times New Roman" w:hAnsi="Times New Roman"/>
          <w:i/>
        </w:rPr>
        <w:t>5 CFR 1320.8(b)(3)</w:t>
      </w:r>
      <w:r w:rsidRPr="00BE03BB">
        <w:rPr>
          <w:rFonts w:ascii="Times New Roman" w:hAnsi="Times New Roman"/>
        </w:rPr>
        <w:t xml:space="preserve">. </w:t>
      </w:r>
    </w:p>
    <w:p w:rsidR="00CA22A7" w:rsidRPr="00BE03BB" w:rsidRDefault="00CA22A7" w:rsidP="00FF7CC0">
      <w:pPr>
        <w:rPr>
          <w:rFonts w:ascii="Times New Roman" w:hAnsi="Times New Roman"/>
        </w:rPr>
      </w:pPr>
    </w:p>
    <w:p w:rsidR="00CA22A7" w:rsidRPr="001826A2" w:rsidRDefault="00CA22A7" w:rsidP="00FF7CC0">
      <w:pPr>
        <w:numPr>
          <w:ilvl w:val="0"/>
          <w:numId w:val="16"/>
        </w:numPr>
        <w:rPr>
          <w:rFonts w:ascii="Times New Roman" w:hAnsi="Times New Roman"/>
          <w:b/>
        </w:rPr>
      </w:pPr>
      <w:r w:rsidRPr="001826A2">
        <w:rPr>
          <w:rFonts w:ascii="Times New Roman" w:hAnsi="Times New Roman"/>
          <w:b/>
        </w:rPr>
        <w:t>Collections of Information Employing Statistical Methods</w:t>
      </w:r>
    </w:p>
    <w:p w:rsidR="00CA22A7" w:rsidRPr="00BE03BB" w:rsidRDefault="00CA22A7" w:rsidP="00FF7CC0">
      <w:pPr>
        <w:rPr>
          <w:rFonts w:ascii="Times New Roman" w:hAnsi="Times New Roman"/>
        </w:rPr>
      </w:pPr>
    </w:p>
    <w:p w:rsidR="00CA22A7" w:rsidRPr="00BE03BB" w:rsidRDefault="00CA22A7" w:rsidP="00FF7CC0">
      <w:pPr>
        <w:ind w:firstLine="720"/>
        <w:rPr>
          <w:rFonts w:ascii="Times New Roman" w:hAnsi="Times New Roman"/>
        </w:rPr>
      </w:pPr>
      <w:r w:rsidRPr="00BE03BB">
        <w:rPr>
          <w:rFonts w:ascii="Times New Roman" w:hAnsi="Times New Roman"/>
        </w:rPr>
        <w:t xml:space="preserve">SSA does not use statistical methods for this information collection. </w:t>
      </w:r>
    </w:p>
    <w:p w:rsidR="00CA22A7" w:rsidRPr="00047534" w:rsidRDefault="00CA22A7">
      <w:pPr>
        <w:rPr>
          <w:rFonts w:ascii="Times New Roman" w:hAnsi="Times New Roman"/>
        </w:rPr>
      </w:pPr>
    </w:p>
    <w:sectPr w:rsidR="00CA22A7" w:rsidRPr="00047534" w:rsidSect="00890F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EF7" w:rsidRDefault="00655EF7">
      <w:r>
        <w:separator/>
      </w:r>
    </w:p>
  </w:endnote>
  <w:endnote w:type="continuationSeparator" w:id="0">
    <w:p w:rsidR="00655EF7" w:rsidRDefault="0065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EF7" w:rsidRDefault="00655EF7">
      <w:r>
        <w:separator/>
      </w:r>
    </w:p>
  </w:footnote>
  <w:footnote w:type="continuationSeparator" w:id="0">
    <w:p w:rsidR="00655EF7" w:rsidRDefault="00655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1A522546"/>
    <w:lvl w:ilvl="0" w:tplc="37146F9C">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0E2FFC"/>
    <w:multiLevelType w:val="hybridMultilevel"/>
    <w:tmpl w:val="ED045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35E61"/>
    <w:multiLevelType w:val="hybridMultilevel"/>
    <w:tmpl w:val="C63C7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66533"/>
    <w:multiLevelType w:val="hybridMultilevel"/>
    <w:tmpl w:val="3CEEE32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E77847"/>
    <w:multiLevelType w:val="hybridMultilevel"/>
    <w:tmpl w:val="04F21BB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535275"/>
    <w:multiLevelType w:val="hybridMultilevel"/>
    <w:tmpl w:val="A5C026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0D3497"/>
    <w:multiLevelType w:val="hybridMultilevel"/>
    <w:tmpl w:val="2D5A5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D1519"/>
    <w:multiLevelType w:val="hybridMultilevel"/>
    <w:tmpl w:val="40FC6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605A35"/>
    <w:multiLevelType w:val="singleLevel"/>
    <w:tmpl w:val="94E004C2"/>
    <w:lvl w:ilvl="0">
      <w:start w:val="5"/>
      <w:numFmt w:val="decimal"/>
      <w:lvlText w:val="%1."/>
      <w:lvlJc w:val="left"/>
      <w:pPr>
        <w:tabs>
          <w:tab w:val="num" w:pos="540"/>
        </w:tabs>
        <w:ind w:left="540" w:hanging="360"/>
      </w:pPr>
      <w:rPr>
        <w:rFonts w:hint="default"/>
        <w:b w:val="0"/>
        <w:bCs/>
        <w:i w:val="0"/>
      </w:rPr>
    </w:lvl>
  </w:abstractNum>
  <w:abstractNum w:abstractNumId="9">
    <w:nsid w:val="5B1A3DE0"/>
    <w:multiLevelType w:val="hybridMultilevel"/>
    <w:tmpl w:val="4894CE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6F329C"/>
    <w:multiLevelType w:val="hybridMultilevel"/>
    <w:tmpl w:val="AEEC1E44"/>
    <w:lvl w:ilvl="0" w:tplc="71542340">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76E422C"/>
    <w:multiLevelType w:val="hybridMultilevel"/>
    <w:tmpl w:val="5240BF4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74CC03B5"/>
    <w:multiLevelType w:val="singleLevel"/>
    <w:tmpl w:val="F7C84916"/>
    <w:lvl w:ilvl="0">
      <w:start w:val="14"/>
      <w:numFmt w:val="decimal"/>
      <w:lvlText w:val="%1."/>
      <w:lvlJc w:val="left"/>
      <w:pPr>
        <w:tabs>
          <w:tab w:val="num" w:pos="360"/>
        </w:tabs>
        <w:ind w:left="360" w:hanging="360"/>
      </w:pPr>
      <w:rPr>
        <w:rFonts w:hint="default"/>
        <w:b w:val="0"/>
        <w:bCs/>
      </w:rPr>
    </w:lvl>
  </w:abstractNum>
  <w:abstractNum w:abstractNumId="13">
    <w:nsid w:val="7866410B"/>
    <w:multiLevelType w:val="singleLevel"/>
    <w:tmpl w:val="AECC436A"/>
    <w:lvl w:ilvl="0">
      <w:start w:val="2"/>
      <w:numFmt w:val="decimal"/>
      <w:lvlText w:val="%1."/>
      <w:lvlJc w:val="left"/>
      <w:pPr>
        <w:tabs>
          <w:tab w:val="num" w:pos="720"/>
        </w:tabs>
        <w:ind w:left="720" w:hanging="720"/>
      </w:pPr>
      <w:rPr>
        <w:rFonts w:hint="default"/>
        <w:b w:val="0"/>
      </w:rPr>
    </w:lvl>
  </w:abstractNum>
  <w:abstractNum w:abstractNumId="14">
    <w:nsid w:val="7A9B5E7D"/>
    <w:multiLevelType w:val="singleLevel"/>
    <w:tmpl w:val="803ABF20"/>
    <w:lvl w:ilvl="0">
      <w:start w:val="8"/>
      <w:numFmt w:val="decimal"/>
      <w:lvlText w:val="%1."/>
      <w:lvlJc w:val="left"/>
      <w:pPr>
        <w:tabs>
          <w:tab w:val="num" w:pos="720"/>
        </w:tabs>
        <w:ind w:left="720" w:hanging="720"/>
      </w:pPr>
      <w:rPr>
        <w:rFonts w:hint="default"/>
        <w:b w:val="0"/>
      </w:rPr>
    </w:lvl>
  </w:abstractNum>
  <w:abstractNum w:abstractNumId="15">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13"/>
  </w:num>
  <w:num w:numId="3">
    <w:abstractNumId w:val="12"/>
  </w:num>
  <w:num w:numId="4">
    <w:abstractNumId w:val="8"/>
  </w:num>
  <w:num w:numId="5">
    <w:abstractNumId w:val="10"/>
  </w:num>
  <w:num w:numId="6">
    <w:abstractNumId w:val="15"/>
  </w:num>
  <w:num w:numId="7">
    <w:abstractNumId w:val="0"/>
  </w:num>
  <w:num w:numId="8">
    <w:abstractNumId w:val="5"/>
  </w:num>
  <w:num w:numId="9">
    <w:abstractNumId w:val="3"/>
  </w:num>
  <w:num w:numId="10">
    <w:abstractNumId w:val="4"/>
  </w:num>
  <w:num w:numId="11">
    <w:abstractNumId w:val="11"/>
  </w:num>
  <w:num w:numId="12">
    <w:abstractNumId w:val="1"/>
  </w:num>
  <w:num w:numId="13">
    <w:abstractNumId w:val="7"/>
  </w:num>
  <w:num w:numId="14">
    <w:abstractNumId w:val="6"/>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C8"/>
    <w:rsid w:val="0000216B"/>
    <w:rsid w:val="00024EC7"/>
    <w:rsid w:val="00042243"/>
    <w:rsid w:val="0008072C"/>
    <w:rsid w:val="000D1961"/>
    <w:rsid w:val="00120715"/>
    <w:rsid w:val="00160E1E"/>
    <w:rsid w:val="001826A2"/>
    <w:rsid w:val="001D0785"/>
    <w:rsid w:val="00200F25"/>
    <w:rsid w:val="0021186A"/>
    <w:rsid w:val="00227E78"/>
    <w:rsid w:val="00245448"/>
    <w:rsid w:val="00272F98"/>
    <w:rsid w:val="002912FA"/>
    <w:rsid w:val="002F091F"/>
    <w:rsid w:val="003054E0"/>
    <w:rsid w:val="00305CE7"/>
    <w:rsid w:val="00350D09"/>
    <w:rsid w:val="00360967"/>
    <w:rsid w:val="0036456B"/>
    <w:rsid w:val="003658C8"/>
    <w:rsid w:val="003705D5"/>
    <w:rsid w:val="003763F5"/>
    <w:rsid w:val="0038086B"/>
    <w:rsid w:val="003E2731"/>
    <w:rsid w:val="003F6422"/>
    <w:rsid w:val="00411685"/>
    <w:rsid w:val="004307B0"/>
    <w:rsid w:val="00463237"/>
    <w:rsid w:val="00497282"/>
    <w:rsid w:val="004A0C2C"/>
    <w:rsid w:val="004B2A4F"/>
    <w:rsid w:val="004C5B23"/>
    <w:rsid w:val="004D7039"/>
    <w:rsid w:val="004E1588"/>
    <w:rsid w:val="00552266"/>
    <w:rsid w:val="00561405"/>
    <w:rsid w:val="00561E10"/>
    <w:rsid w:val="005768EB"/>
    <w:rsid w:val="00655EF7"/>
    <w:rsid w:val="006A4BC3"/>
    <w:rsid w:val="006C51CE"/>
    <w:rsid w:val="006D7239"/>
    <w:rsid w:val="006E12E0"/>
    <w:rsid w:val="00731DAC"/>
    <w:rsid w:val="0073404E"/>
    <w:rsid w:val="00750504"/>
    <w:rsid w:val="00786EA8"/>
    <w:rsid w:val="00793F24"/>
    <w:rsid w:val="007C0A8E"/>
    <w:rsid w:val="00825268"/>
    <w:rsid w:val="008525EB"/>
    <w:rsid w:val="00857F06"/>
    <w:rsid w:val="00885DA1"/>
    <w:rsid w:val="00890F4E"/>
    <w:rsid w:val="008B4B03"/>
    <w:rsid w:val="008C4567"/>
    <w:rsid w:val="008D1581"/>
    <w:rsid w:val="008F4119"/>
    <w:rsid w:val="008F430C"/>
    <w:rsid w:val="0093078F"/>
    <w:rsid w:val="00960AF4"/>
    <w:rsid w:val="00980EE0"/>
    <w:rsid w:val="009C4ADB"/>
    <w:rsid w:val="00A13189"/>
    <w:rsid w:val="00A13B58"/>
    <w:rsid w:val="00A51D22"/>
    <w:rsid w:val="00A92FA0"/>
    <w:rsid w:val="00A96A65"/>
    <w:rsid w:val="00B138DD"/>
    <w:rsid w:val="00B21730"/>
    <w:rsid w:val="00B4040D"/>
    <w:rsid w:val="00B51B86"/>
    <w:rsid w:val="00B52581"/>
    <w:rsid w:val="00B84845"/>
    <w:rsid w:val="00BA741F"/>
    <w:rsid w:val="00BE03BB"/>
    <w:rsid w:val="00BE6696"/>
    <w:rsid w:val="00BF6FEE"/>
    <w:rsid w:val="00C02406"/>
    <w:rsid w:val="00C02731"/>
    <w:rsid w:val="00C02E34"/>
    <w:rsid w:val="00C16DD0"/>
    <w:rsid w:val="00C310F8"/>
    <w:rsid w:val="00C84EE1"/>
    <w:rsid w:val="00CA22A7"/>
    <w:rsid w:val="00CC7115"/>
    <w:rsid w:val="00CD1FB3"/>
    <w:rsid w:val="00CE7C6C"/>
    <w:rsid w:val="00D24665"/>
    <w:rsid w:val="00D645BC"/>
    <w:rsid w:val="00D72773"/>
    <w:rsid w:val="00D84B55"/>
    <w:rsid w:val="00DD020B"/>
    <w:rsid w:val="00DD430C"/>
    <w:rsid w:val="00DE59F0"/>
    <w:rsid w:val="00DE66FE"/>
    <w:rsid w:val="00E03C2D"/>
    <w:rsid w:val="00E06D93"/>
    <w:rsid w:val="00E474BD"/>
    <w:rsid w:val="00E7009E"/>
    <w:rsid w:val="00E91257"/>
    <w:rsid w:val="00EC066E"/>
    <w:rsid w:val="00ED322E"/>
    <w:rsid w:val="00EF03D2"/>
    <w:rsid w:val="00F106C6"/>
    <w:rsid w:val="00F161E6"/>
    <w:rsid w:val="00F46402"/>
    <w:rsid w:val="00F5664E"/>
    <w:rsid w:val="00F7228C"/>
    <w:rsid w:val="00F878E9"/>
    <w:rsid w:val="00FD0614"/>
    <w:rsid w:val="00FE18C5"/>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pPr>
    <w:rPr>
      <w:rFonts w:ascii="Courier" w:eastAsia="Times New Roman" w:hAnsi="Courier"/>
      <w:noProof/>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SimSun"/>
    </w:rPr>
  </w:style>
  <w:style w:type="paragraph" w:styleId="Title">
    <w:name w:val="Title"/>
    <w:basedOn w:val="Normal"/>
    <w:qFormat/>
    <w:pPr>
      <w:suppressAutoHyphens/>
      <w:jc w:val="center"/>
    </w:pPr>
    <w:rPr>
      <w:b/>
      <w:bCs/>
    </w:rPr>
  </w:style>
  <w:style w:type="paragraph" w:styleId="BodyText">
    <w:name w:val="Body Text"/>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semiHidden/>
    <w:rPr>
      <w:i/>
      <w:iCs/>
    </w:rPr>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606420"/>
      <w:u w:val="single"/>
    </w:rPr>
  </w:style>
  <w:style w:type="paragraph" w:styleId="Revision">
    <w:name w:val="Revision"/>
    <w:hidden/>
    <w:uiPriority w:val="71"/>
    <w:rsid w:val="00B84845"/>
    <w:rPr>
      <w:rFonts w:ascii="Courier" w:eastAsia="Times New Roman" w:hAnsi="Courier"/>
      <w:noProof/>
      <w:snapToGrid w:val="0"/>
      <w:sz w:val="24"/>
      <w:szCs w:val="24"/>
    </w:rPr>
  </w:style>
  <w:style w:type="paragraph" w:customStyle="1" w:styleId="ColorfulList-Accent11">
    <w:name w:val="Colorful List - Accent 11"/>
    <w:basedOn w:val="Normal"/>
    <w:qFormat/>
    <w:pPr>
      <w:ind w:left="720"/>
      <w:contextualSpacing/>
    </w:pPr>
  </w:style>
  <w:style w:type="paragraph" w:styleId="NoSpacing">
    <w:name w:val="No Spacing"/>
    <w:qFormat/>
    <w:rPr>
      <w:rFonts w:eastAsia="Times New Roman"/>
      <w:noProof/>
      <w:sz w:val="24"/>
      <w:szCs w:val="24"/>
      <w:lang w:bidi="en-US"/>
    </w:rPr>
  </w:style>
  <w:style w:type="character" w:customStyle="1" w:styleId="BodyText2Char">
    <w:name w:val="Body Text 2 Char"/>
    <w:rPr>
      <w:rFonts w:ascii="Courier" w:hAnsi="Courier"/>
      <w:b/>
      <w:bCs/>
      <w:i/>
      <w:iCs/>
      <w:snapToGrid w:val="0"/>
      <w:sz w:val="24"/>
      <w:szCs w:val="24"/>
      <w:lang w:val="en-US" w:eastAsia="en-US" w:bidi="ar-SA"/>
    </w:rPr>
  </w:style>
  <w:style w:type="character" w:customStyle="1" w:styleId="HeaderChar">
    <w:name w:val="Header Char"/>
    <w:rPr>
      <w:rFonts w:ascii="Courier" w:hAnsi="Courier"/>
      <w:snapToGrid w:val="0"/>
      <w:sz w:val="24"/>
      <w:szCs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semiHidden/>
    <w:unhideWhenUsed/>
    <w:pPr>
      <w:widowControl/>
      <w:spacing w:before="48" w:after="48"/>
    </w:pPr>
    <w:rPr>
      <w:rFonts w:ascii="Times New Roman" w:hAnsi="Times New Roman"/>
      <w:snapToGrid/>
      <w:color w:val="000000"/>
    </w:r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character" w:customStyle="1" w:styleId="BodyTextIndent2Char">
    <w:name w:val="Body Text Indent 2 Char"/>
    <w:rPr>
      <w:rFonts w:ascii="Courier" w:eastAsia="Times New Roman" w:hAnsi="Courier"/>
      <w:snapToGrid w:val="0"/>
      <w:sz w:val="24"/>
      <w:szCs w:val="24"/>
    </w:rPr>
  </w:style>
  <w:style w:type="table" w:styleId="TableGrid">
    <w:name w:val="Table Grid"/>
    <w:basedOn w:val="TableNormal"/>
    <w:uiPriority w:val="59"/>
    <w:rsid w:val="0037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pPr>
    <w:rPr>
      <w:rFonts w:ascii="Courier" w:eastAsia="Times New Roman" w:hAnsi="Courier"/>
      <w:noProof/>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SimSun"/>
    </w:rPr>
  </w:style>
  <w:style w:type="paragraph" w:styleId="Title">
    <w:name w:val="Title"/>
    <w:basedOn w:val="Normal"/>
    <w:qFormat/>
    <w:pPr>
      <w:suppressAutoHyphens/>
      <w:jc w:val="center"/>
    </w:pPr>
    <w:rPr>
      <w:b/>
      <w:bCs/>
    </w:rPr>
  </w:style>
  <w:style w:type="paragraph" w:styleId="BodyText">
    <w:name w:val="Body Text"/>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semiHidden/>
    <w:rPr>
      <w:i/>
      <w:iCs/>
    </w:rPr>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606420"/>
      <w:u w:val="single"/>
    </w:rPr>
  </w:style>
  <w:style w:type="paragraph" w:styleId="Revision">
    <w:name w:val="Revision"/>
    <w:hidden/>
    <w:uiPriority w:val="71"/>
    <w:rsid w:val="00B84845"/>
    <w:rPr>
      <w:rFonts w:ascii="Courier" w:eastAsia="Times New Roman" w:hAnsi="Courier"/>
      <w:noProof/>
      <w:snapToGrid w:val="0"/>
      <w:sz w:val="24"/>
      <w:szCs w:val="24"/>
    </w:rPr>
  </w:style>
  <w:style w:type="paragraph" w:customStyle="1" w:styleId="ColorfulList-Accent11">
    <w:name w:val="Colorful List - Accent 11"/>
    <w:basedOn w:val="Normal"/>
    <w:qFormat/>
    <w:pPr>
      <w:ind w:left="720"/>
      <w:contextualSpacing/>
    </w:pPr>
  </w:style>
  <w:style w:type="paragraph" w:styleId="NoSpacing">
    <w:name w:val="No Spacing"/>
    <w:qFormat/>
    <w:rPr>
      <w:rFonts w:eastAsia="Times New Roman"/>
      <w:noProof/>
      <w:sz w:val="24"/>
      <w:szCs w:val="24"/>
      <w:lang w:bidi="en-US"/>
    </w:rPr>
  </w:style>
  <w:style w:type="character" w:customStyle="1" w:styleId="BodyText2Char">
    <w:name w:val="Body Text 2 Char"/>
    <w:rPr>
      <w:rFonts w:ascii="Courier" w:hAnsi="Courier"/>
      <w:b/>
      <w:bCs/>
      <w:i/>
      <w:iCs/>
      <w:snapToGrid w:val="0"/>
      <w:sz w:val="24"/>
      <w:szCs w:val="24"/>
      <w:lang w:val="en-US" w:eastAsia="en-US" w:bidi="ar-SA"/>
    </w:rPr>
  </w:style>
  <w:style w:type="character" w:customStyle="1" w:styleId="HeaderChar">
    <w:name w:val="Header Char"/>
    <w:rPr>
      <w:rFonts w:ascii="Courier" w:hAnsi="Courier"/>
      <w:snapToGrid w:val="0"/>
      <w:sz w:val="24"/>
      <w:szCs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semiHidden/>
    <w:unhideWhenUsed/>
    <w:pPr>
      <w:widowControl/>
      <w:spacing w:before="48" w:after="48"/>
    </w:pPr>
    <w:rPr>
      <w:rFonts w:ascii="Times New Roman" w:hAnsi="Times New Roman"/>
      <w:snapToGrid/>
      <w:color w:val="000000"/>
    </w:r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character" w:customStyle="1" w:styleId="BodyTextIndent2Char">
    <w:name w:val="Body Text Indent 2 Char"/>
    <w:rPr>
      <w:rFonts w:ascii="Courier" w:eastAsia="Times New Roman" w:hAnsi="Courier"/>
      <w:snapToGrid w:val="0"/>
      <w:sz w:val="24"/>
      <w:szCs w:val="24"/>
    </w:rPr>
  </w:style>
  <w:style w:type="table" w:styleId="TableGrid">
    <w:name w:val="Table Grid"/>
    <w:basedOn w:val="TableNormal"/>
    <w:uiPriority w:val="59"/>
    <w:rsid w:val="0037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8476">
      <w:bodyDiv w:val="1"/>
      <w:marLeft w:val="0"/>
      <w:marRight w:val="0"/>
      <w:marTop w:val="480"/>
      <w:marBottom w:val="0"/>
      <w:divBdr>
        <w:top w:val="none" w:sz="0" w:space="0" w:color="auto"/>
        <w:left w:val="none" w:sz="0" w:space="0" w:color="auto"/>
        <w:bottom w:val="none" w:sz="0" w:space="0" w:color="auto"/>
        <w:right w:val="none" w:sz="0" w:space="0" w:color="auto"/>
      </w:divBdr>
      <w:divsChild>
        <w:div w:id="1121537100">
          <w:marLeft w:val="0"/>
          <w:marRight w:val="0"/>
          <w:marTop w:val="0"/>
          <w:marBottom w:val="0"/>
          <w:divBdr>
            <w:top w:val="none" w:sz="0" w:space="0" w:color="auto"/>
            <w:left w:val="none" w:sz="0" w:space="0" w:color="auto"/>
            <w:bottom w:val="none" w:sz="0" w:space="0" w:color="auto"/>
            <w:right w:val="none" w:sz="0" w:space="0" w:color="auto"/>
          </w:divBdr>
          <w:divsChild>
            <w:div w:id="2009558429">
              <w:marLeft w:val="0"/>
              <w:marRight w:val="0"/>
              <w:marTop w:val="0"/>
              <w:marBottom w:val="0"/>
              <w:divBdr>
                <w:top w:val="single" w:sz="6" w:space="0" w:color="F2F2F2"/>
                <w:left w:val="none" w:sz="0" w:space="0" w:color="auto"/>
                <w:bottom w:val="none" w:sz="0" w:space="0" w:color="auto"/>
                <w:right w:val="none" w:sz="0" w:space="0" w:color="auto"/>
              </w:divBdr>
              <w:divsChild>
                <w:div w:id="2121795818">
                  <w:marLeft w:val="24"/>
                  <w:marRight w:val="-90"/>
                  <w:marTop w:val="0"/>
                  <w:marBottom w:val="0"/>
                  <w:divBdr>
                    <w:top w:val="none" w:sz="0" w:space="0" w:color="auto"/>
                    <w:left w:val="none" w:sz="0" w:space="0" w:color="auto"/>
                    <w:bottom w:val="none" w:sz="0" w:space="0" w:color="auto"/>
                    <w:right w:val="none" w:sz="0" w:space="0" w:color="auto"/>
                  </w:divBdr>
                  <w:divsChild>
                    <w:div w:id="625887243">
                      <w:marLeft w:val="0"/>
                      <w:marRight w:val="0"/>
                      <w:marTop w:val="0"/>
                      <w:marBottom w:val="0"/>
                      <w:divBdr>
                        <w:top w:val="none" w:sz="0" w:space="0" w:color="auto"/>
                        <w:left w:val="none" w:sz="0" w:space="0" w:color="auto"/>
                        <w:bottom w:val="none" w:sz="0" w:space="0" w:color="auto"/>
                        <w:right w:val="none" w:sz="0" w:space="0" w:color="auto"/>
                      </w:divBdr>
                      <w:divsChild>
                        <w:div w:id="1839346392">
                          <w:marLeft w:val="0"/>
                          <w:marRight w:val="0"/>
                          <w:marTop w:val="0"/>
                          <w:marBottom w:val="0"/>
                          <w:divBdr>
                            <w:top w:val="none" w:sz="0" w:space="0" w:color="auto"/>
                            <w:left w:val="none" w:sz="0" w:space="0" w:color="auto"/>
                            <w:bottom w:val="none" w:sz="0" w:space="0" w:color="auto"/>
                            <w:right w:val="none" w:sz="0" w:space="0" w:color="auto"/>
                          </w:divBdr>
                          <w:divsChild>
                            <w:div w:id="1006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9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9210-7C47-47F1-A86F-68D3717B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
  <cp:keywords/>
  <cp:lastModifiedBy/>
  <cp:revision>1</cp:revision>
  <dcterms:created xsi:type="dcterms:W3CDTF">2017-07-31T23:02:00Z</dcterms:created>
  <dcterms:modified xsi:type="dcterms:W3CDTF">2017-07-31T23:02:00Z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1914624039</vt:i4>
  </property>
  <property fmtid="{D5CDD505-2E9C-101B-9397-08002B2CF9AE}" pid="4" name="_PreviousAdHocReviewCycleID">
    <vt:i4>378892583</vt:i4>
  </property>
  <property fmtid="{D5CDD505-2E9C-101B-9397-08002B2CF9AE}" pid="5" name="_ReviewingToolsShownOnce">
    <vt:lpwstr/>
  </property>
</Properties>
</file>