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7BD" w:rsidRPr="00BC7F42" w:rsidRDefault="007E17BD" w:rsidP="0096349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cs="Times New Roman"/>
        </w:rPr>
      </w:pPr>
    </w:p>
    <w:p w:rsidR="00D55FD9" w:rsidRDefault="00D55FD9" w:rsidP="00D55FD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w:t>
      </w:r>
      <w:r>
        <w:rPr>
          <w:rFonts w:ascii="Times New Roman" w:hAnsi="Times New Roman" w:cs="Times New Roman"/>
        </w:rPr>
        <w:t xml:space="preserve">for </w:t>
      </w:r>
      <w:r>
        <w:rPr>
          <w:rFonts w:ascii="Times New Roman" w:hAnsi="Times New Roman" w:cs="Times New Roman"/>
        </w:rPr>
        <w:t xml:space="preserve">Form </w:t>
      </w:r>
      <w:bookmarkStart w:id="0" w:name="_GoBack"/>
      <w:bookmarkEnd w:id="0"/>
      <w:r>
        <w:rPr>
          <w:rFonts w:ascii="Times New Roman" w:hAnsi="Times New Roman" w:cs="Times New Roman"/>
        </w:rPr>
        <w:t>SSA-1021</w:t>
      </w:r>
    </w:p>
    <w:p w:rsidR="00D55FD9" w:rsidRDefault="00D55FD9" w:rsidP="00D55FD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Request an Appeal of Determination for Extra Help with </w:t>
      </w:r>
    </w:p>
    <w:p w:rsidR="00D55FD9" w:rsidRPr="00BC7F42" w:rsidRDefault="00D55FD9" w:rsidP="00D55FD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Medicare Prescription Drug Costs</w:t>
      </w:r>
    </w:p>
    <w:p w:rsidR="00A45D82" w:rsidRPr="00BC7F42" w:rsidRDefault="00D55FD9" w:rsidP="00D55FD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Pr>
          <w:rFonts w:ascii="Times New Roman" w:hAnsi="Times New Roman" w:cs="Times New Roman"/>
        </w:rPr>
        <w:t>0695</w:t>
      </w: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2321B0">
      <w:pPr>
        <w:numPr>
          <w:ilvl w:val="0"/>
          <w:numId w:val="34"/>
        </w:numPr>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70480A" w:rsidRDefault="006B5827" w:rsidP="006B5827">
      <w:pPr>
        <w:ind w:left="720"/>
        <w:rPr>
          <w:rFonts w:ascii="Times New Roman" w:hAnsi="Times New Roman"/>
        </w:rPr>
      </w:pPr>
      <w:r w:rsidRPr="00750806">
        <w:rPr>
          <w:rFonts w:ascii="Times New Roman" w:hAnsi="Times New Roman"/>
          <w:i/>
        </w:rPr>
        <w:t>Public law 108-173</w:t>
      </w:r>
      <w:r w:rsidR="007949B7">
        <w:rPr>
          <w:rFonts w:ascii="Times New Roman" w:hAnsi="Times New Roman"/>
        </w:rPr>
        <w:t xml:space="preserve">, also known as the </w:t>
      </w:r>
      <w:r w:rsidR="007949B7" w:rsidRPr="00750806">
        <w:rPr>
          <w:rFonts w:ascii="Times New Roman" w:hAnsi="Times New Roman"/>
          <w:i/>
        </w:rPr>
        <w:t>Medicare Prescription Drug, Improvement and Modernization Act of 2003 (MMA)</w:t>
      </w:r>
      <w:r w:rsidR="00251F34">
        <w:rPr>
          <w:rFonts w:ascii="Times New Roman" w:hAnsi="Times New Roman"/>
        </w:rPr>
        <w:t>,</w:t>
      </w:r>
      <w:r w:rsidR="007949B7">
        <w:rPr>
          <w:rFonts w:ascii="Times New Roman" w:hAnsi="Times New Roman"/>
        </w:rPr>
        <w:t xml:space="preserve"> </w:t>
      </w:r>
      <w:r w:rsidR="007949B7" w:rsidRPr="007949B7">
        <w:rPr>
          <w:rFonts w:ascii="Times New Roman" w:hAnsi="Times New Roman"/>
        </w:rPr>
        <w:t xml:space="preserve">amended </w:t>
      </w:r>
      <w:r w:rsidR="007949B7" w:rsidRPr="00750806">
        <w:rPr>
          <w:rFonts w:ascii="Times New Roman" w:hAnsi="Times New Roman"/>
          <w:i/>
        </w:rPr>
        <w:t>Title XVIII</w:t>
      </w:r>
      <w:r w:rsidR="007949B7" w:rsidRPr="007949B7">
        <w:rPr>
          <w:rFonts w:ascii="Times New Roman" w:hAnsi="Times New Roman"/>
        </w:rPr>
        <w:t xml:space="preserve"> of the </w:t>
      </w:r>
      <w:r w:rsidR="007949B7" w:rsidRPr="00750806">
        <w:rPr>
          <w:rFonts w:ascii="Times New Roman" w:hAnsi="Times New Roman"/>
          <w:i/>
        </w:rPr>
        <w:t>Social Security Act</w:t>
      </w:r>
      <w:r w:rsidR="00251F34">
        <w:rPr>
          <w:rFonts w:ascii="Times New Roman" w:hAnsi="Times New Roman"/>
          <w:i/>
        </w:rPr>
        <w:t xml:space="preserve"> (Act)</w:t>
      </w:r>
      <w:r w:rsidR="007949B7">
        <w:rPr>
          <w:rFonts w:ascii="Times New Roman" w:hAnsi="Times New Roman"/>
        </w:rPr>
        <w:t xml:space="preserve"> to establish</w:t>
      </w:r>
      <w:r w:rsidR="00E35C0F">
        <w:rPr>
          <w:rFonts w:ascii="Times New Roman" w:hAnsi="Times New Roman"/>
        </w:rPr>
        <w:t xml:space="preserve"> </w:t>
      </w:r>
      <w:r w:rsidR="0054490A">
        <w:rPr>
          <w:rFonts w:ascii="Times New Roman" w:hAnsi="Times New Roman"/>
        </w:rPr>
        <w:t xml:space="preserve">a </w:t>
      </w:r>
      <w:r w:rsidR="008D31F8">
        <w:rPr>
          <w:rFonts w:ascii="Times New Roman" w:hAnsi="Times New Roman"/>
        </w:rPr>
        <w:t>s</w:t>
      </w:r>
      <w:r w:rsidR="00E35C0F">
        <w:rPr>
          <w:rFonts w:ascii="Times New Roman" w:hAnsi="Times New Roman"/>
        </w:rPr>
        <w:t xml:space="preserve">ubsidy program to </w:t>
      </w:r>
      <w:r w:rsidR="008D31F8">
        <w:rPr>
          <w:rFonts w:ascii="Times New Roman" w:hAnsi="Times New Roman"/>
        </w:rPr>
        <w:t>help</w:t>
      </w:r>
      <w:r w:rsidR="00E35C0F">
        <w:rPr>
          <w:rFonts w:ascii="Times New Roman" w:hAnsi="Times New Roman"/>
        </w:rPr>
        <w:t xml:space="preserve"> certain individuals </w:t>
      </w:r>
      <w:r w:rsidR="00E35C0F" w:rsidRPr="00E35C0F">
        <w:rPr>
          <w:rFonts w:ascii="Times New Roman" w:hAnsi="Times New Roman"/>
        </w:rPr>
        <w:t xml:space="preserve">with limited income and resources pay for </w:t>
      </w:r>
      <w:r w:rsidR="00E35C0F">
        <w:rPr>
          <w:rFonts w:ascii="Times New Roman" w:hAnsi="Times New Roman"/>
        </w:rPr>
        <w:t xml:space="preserve">Medicare Part D </w:t>
      </w:r>
      <w:r w:rsidR="00E35C0F" w:rsidRPr="00E35C0F">
        <w:rPr>
          <w:rFonts w:ascii="Times New Roman" w:hAnsi="Times New Roman"/>
        </w:rPr>
        <w:t>prescription drug coverage</w:t>
      </w:r>
      <w:r w:rsidR="00E35C0F">
        <w:rPr>
          <w:rFonts w:ascii="Times New Roman" w:hAnsi="Times New Roman"/>
        </w:rPr>
        <w:t>.</w:t>
      </w:r>
      <w:r w:rsidR="00750806">
        <w:rPr>
          <w:rFonts w:ascii="Times New Roman" w:hAnsi="Times New Roman"/>
        </w:rPr>
        <w:t xml:space="preserve">  We commonly refer to t</w:t>
      </w:r>
      <w:r w:rsidR="00791B0E">
        <w:rPr>
          <w:rFonts w:ascii="Times New Roman" w:hAnsi="Times New Roman"/>
        </w:rPr>
        <w:t xml:space="preserve">his </w:t>
      </w:r>
      <w:r w:rsidR="00E86E88">
        <w:rPr>
          <w:rFonts w:ascii="Times New Roman" w:hAnsi="Times New Roman"/>
        </w:rPr>
        <w:t xml:space="preserve">subsidy </w:t>
      </w:r>
      <w:r w:rsidR="00791B0E">
        <w:rPr>
          <w:rFonts w:ascii="Times New Roman" w:hAnsi="Times New Roman"/>
        </w:rPr>
        <w:t xml:space="preserve">program as Extra Help.  </w:t>
      </w:r>
      <w:r w:rsidR="002E1C0F">
        <w:rPr>
          <w:rFonts w:ascii="Times New Roman" w:hAnsi="Times New Roman"/>
        </w:rPr>
        <w:t xml:space="preserve">Some individuals may automatically become eligible for </w:t>
      </w:r>
      <w:r w:rsidR="00791B0E">
        <w:rPr>
          <w:rFonts w:ascii="Times New Roman" w:hAnsi="Times New Roman"/>
        </w:rPr>
        <w:t xml:space="preserve">Extra Help if they </w:t>
      </w:r>
      <w:r w:rsidR="00A504DE">
        <w:rPr>
          <w:rFonts w:ascii="Times New Roman" w:hAnsi="Times New Roman"/>
        </w:rPr>
        <w:t xml:space="preserve">have </w:t>
      </w:r>
      <w:r w:rsidR="00E86E88">
        <w:rPr>
          <w:rFonts w:ascii="Times New Roman" w:hAnsi="Times New Roman"/>
        </w:rPr>
        <w:t>Medicare and</w:t>
      </w:r>
      <w:r w:rsidR="00791B0E">
        <w:rPr>
          <w:rFonts w:ascii="Times New Roman" w:hAnsi="Times New Roman"/>
        </w:rPr>
        <w:t xml:space="preserve"> Supple</w:t>
      </w:r>
      <w:r w:rsidR="00750806">
        <w:rPr>
          <w:rFonts w:ascii="Times New Roman" w:hAnsi="Times New Roman"/>
        </w:rPr>
        <w:t xml:space="preserve">mental Security Income </w:t>
      </w:r>
      <w:r w:rsidR="00251F34">
        <w:rPr>
          <w:rFonts w:ascii="Times New Roman" w:hAnsi="Times New Roman"/>
        </w:rPr>
        <w:t>payments</w:t>
      </w:r>
      <w:r w:rsidR="00750806">
        <w:rPr>
          <w:rFonts w:ascii="Times New Roman" w:hAnsi="Times New Roman"/>
        </w:rPr>
        <w:t>;</w:t>
      </w:r>
      <w:r w:rsidR="00791B0E">
        <w:rPr>
          <w:rFonts w:ascii="Times New Roman" w:hAnsi="Times New Roman"/>
        </w:rPr>
        <w:t xml:space="preserve"> full Medicaid</w:t>
      </w:r>
      <w:r w:rsidR="00750806">
        <w:rPr>
          <w:rFonts w:ascii="Times New Roman" w:hAnsi="Times New Roman"/>
        </w:rPr>
        <w:t xml:space="preserve"> coverage;</w:t>
      </w:r>
      <w:r w:rsidR="006C4B2E">
        <w:rPr>
          <w:rFonts w:ascii="Times New Roman" w:hAnsi="Times New Roman"/>
        </w:rPr>
        <w:t xml:space="preserve"> or</w:t>
      </w:r>
      <w:r w:rsidR="00791B0E">
        <w:rPr>
          <w:rFonts w:ascii="Times New Roman" w:hAnsi="Times New Roman"/>
        </w:rPr>
        <w:t xml:space="preserve"> a Medicare Savings Program as a </w:t>
      </w:r>
      <w:r w:rsidR="00791B0E" w:rsidRPr="00791B0E">
        <w:rPr>
          <w:rFonts w:ascii="Times New Roman" w:hAnsi="Times New Roman"/>
        </w:rPr>
        <w:t>Qualified Medicare Beneficiaries (QMB)</w:t>
      </w:r>
      <w:r w:rsidR="00750806">
        <w:rPr>
          <w:rFonts w:ascii="Times New Roman" w:hAnsi="Times New Roman"/>
        </w:rPr>
        <w:t>;</w:t>
      </w:r>
      <w:r w:rsidR="00791B0E">
        <w:rPr>
          <w:rFonts w:ascii="Times New Roman" w:hAnsi="Times New Roman"/>
        </w:rPr>
        <w:t xml:space="preserve"> </w:t>
      </w:r>
      <w:r w:rsidR="00750806">
        <w:rPr>
          <w:rFonts w:ascii="Times New Roman" w:hAnsi="Times New Roman"/>
        </w:rPr>
        <w:t>Specified Low</w:t>
      </w:r>
      <w:r w:rsidR="00750806">
        <w:rPr>
          <w:rFonts w:ascii="Times New Roman" w:hAnsi="Times New Roman"/>
        </w:rPr>
        <w:noBreakHyphen/>
      </w:r>
      <w:r w:rsidR="00791B0E" w:rsidRPr="00791B0E">
        <w:rPr>
          <w:rFonts w:ascii="Times New Roman" w:hAnsi="Times New Roman"/>
        </w:rPr>
        <w:t>Income Medicare Beneficiaries (SLMB)</w:t>
      </w:r>
      <w:r w:rsidR="00750806">
        <w:rPr>
          <w:rFonts w:ascii="Times New Roman" w:hAnsi="Times New Roman"/>
        </w:rPr>
        <w:t>;</w:t>
      </w:r>
      <w:r w:rsidR="00791B0E">
        <w:rPr>
          <w:rFonts w:ascii="Times New Roman" w:hAnsi="Times New Roman"/>
        </w:rPr>
        <w:t xml:space="preserve"> or a</w:t>
      </w:r>
      <w:r w:rsidR="00251F34">
        <w:rPr>
          <w:rFonts w:ascii="Times New Roman" w:hAnsi="Times New Roman"/>
        </w:rPr>
        <w:t>re</w:t>
      </w:r>
      <w:r w:rsidR="00791B0E">
        <w:rPr>
          <w:rFonts w:ascii="Times New Roman" w:hAnsi="Times New Roman"/>
        </w:rPr>
        <w:t xml:space="preserve"> Qualifying Individuals (QI).  </w:t>
      </w:r>
      <w:r w:rsidR="006C4B2E">
        <w:rPr>
          <w:rFonts w:ascii="Times New Roman" w:hAnsi="Times New Roman"/>
        </w:rPr>
        <w:t>An individual</w:t>
      </w:r>
      <w:r w:rsidR="00B57117" w:rsidRPr="00B57117">
        <w:rPr>
          <w:rFonts w:ascii="Times New Roman" w:hAnsi="Times New Roman"/>
        </w:rPr>
        <w:t>, or a proper applicant acting on the behalf of an individual</w:t>
      </w:r>
      <w:r w:rsidR="00B57117">
        <w:rPr>
          <w:rFonts w:ascii="Times New Roman" w:hAnsi="Times New Roman"/>
        </w:rPr>
        <w:t>,</w:t>
      </w:r>
      <w:r w:rsidR="00B57117" w:rsidRPr="00B57117">
        <w:rPr>
          <w:rFonts w:ascii="Times New Roman" w:hAnsi="Times New Roman"/>
        </w:rPr>
        <w:t xml:space="preserve"> </w:t>
      </w:r>
      <w:r w:rsidR="006C4B2E">
        <w:rPr>
          <w:rFonts w:ascii="Times New Roman" w:hAnsi="Times New Roman"/>
        </w:rPr>
        <w:t>may have to</w:t>
      </w:r>
      <w:r w:rsidR="00251F34">
        <w:rPr>
          <w:rFonts w:ascii="Times New Roman" w:hAnsi="Times New Roman"/>
        </w:rPr>
        <w:t xml:space="preserve"> file a valid application</w:t>
      </w:r>
      <w:r w:rsidR="00B57117">
        <w:rPr>
          <w:rFonts w:ascii="Times New Roman" w:hAnsi="Times New Roman"/>
        </w:rPr>
        <w:t xml:space="preserve"> to become eligible for the Medicare Part D subsidy.  </w:t>
      </w:r>
    </w:p>
    <w:p w:rsidR="0070480A" w:rsidRDefault="0070480A" w:rsidP="006B5827">
      <w:pPr>
        <w:ind w:left="720"/>
        <w:rPr>
          <w:rFonts w:ascii="Times New Roman" w:hAnsi="Times New Roman"/>
        </w:rPr>
      </w:pPr>
    </w:p>
    <w:p w:rsidR="006B5827" w:rsidRPr="006B5827" w:rsidRDefault="00443DED" w:rsidP="006B5827">
      <w:pPr>
        <w:ind w:left="720"/>
        <w:rPr>
          <w:rFonts w:ascii="Times New Roman" w:hAnsi="Times New Roman"/>
        </w:rPr>
      </w:pPr>
      <w:r>
        <w:rPr>
          <w:rFonts w:ascii="Times New Roman" w:hAnsi="Times New Roman"/>
        </w:rPr>
        <w:t xml:space="preserve">The Social Security Administration </w:t>
      </w:r>
      <w:r w:rsidR="00B57117">
        <w:rPr>
          <w:rFonts w:ascii="Times New Roman" w:hAnsi="Times New Roman"/>
        </w:rPr>
        <w:t xml:space="preserve">reviews Medicare Part D </w:t>
      </w:r>
      <w:r>
        <w:rPr>
          <w:rFonts w:ascii="Times New Roman" w:hAnsi="Times New Roman"/>
        </w:rPr>
        <w:t xml:space="preserve">subsidy </w:t>
      </w:r>
      <w:r w:rsidR="00B57117">
        <w:rPr>
          <w:rFonts w:ascii="Times New Roman" w:hAnsi="Times New Roman"/>
        </w:rPr>
        <w:t xml:space="preserve">applications and makes </w:t>
      </w:r>
      <w:r>
        <w:rPr>
          <w:rFonts w:ascii="Times New Roman" w:hAnsi="Times New Roman"/>
        </w:rPr>
        <w:t xml:space="preserve">eligibility determinations. </w:t>
      </w:r>
      <w:r w:rsidR="00251F34">
        <w:rPr>
          <w:rFonts w:ascii="Times New Roman" w:hAnsi="Times New Roman"/>
        </w:rPr>
        <w:t xml:space="preserve">We described </w:t>
      </w:r>
      <w:r w:rsidR="00F519BB">
        <w:rPr>
          <w:rFonts w:ascii="Times New Roman" w:hAnsi="Times New Roman"/>
        </w:rPr>
        <w:t>E</w:t>
      </w:r>
      <w:r w:rsidR="006C4B2E">
        <w:rPr>
          <w:rFonts w:ascii="Times New Roman" w:hAnsi="Times New Roman"/>
        </w:rPr>
        <w:t>xtra Help e</w:t>
      </w:r>
      <w:r w:rsidR="00A504DE">
        <w:rPr>
          <w:rFonts w:ascii="Times New Roman" w:hAnsi="Times New Roman"/>
        </w:rPr>
        <w:t>ligibility criteria</w:t>
      </w:r>
      <w:r w:rsidR="00F519BB">
        <w:rPr>
          <w:rFonts w:ascii="Times New Roman" w:hAnsi="Times New Roman"/>
        </w:rPr>
        <w:t xml:space="preserve"> in </w:t>
      </w:r>
      <w:r w:rsidR="00251F34">
        <w:rPr>
          <w:rFonts w:ascii="Times New Roman" w:hAnsi="Times New Roman"/>
        </w:rPr>
        <w:t>s</w:t>
      </w:r>
      <w:r w:rsidR="00F519BB" w:rsidRPr="00251F34">
        <w:rPr>
          <w:rFonts w:ascii="Times New Roman" w:hAnsi="Times New Roman"/>
        </w:rPr>
        <w:t>ection</w:t>
      </w:r>
      <w:r w:rsidR="00F519BB" w:rsidRPr="00F519BB">
        <w:rPr>
          <w:rFonts w:ascii="Times New Roman" w:hAnsi="Times New Roman"/>
          <w:i/>
        </w:rPr>
        <w:t xml:space="preserve"> 1860D-14 </w:t>
      </w:r>
      <w:r w:rsidR="00F519BB">
        <w:rPr>
          <w:rFonts w:ascii="Times New Roman" w:hAnsi="Times New Roman"/>
        </w:rPr>
        <w:t xml:space="preserve">of </w:t>
      </w:r>
      <w:r w:rsidR="00F519BB" w:rsidRPr="00251F34">
        <w:rPr>
          <w:rFonts w:ascii="Times New Roman" w:hAnsi="Times New Roman"/>
        </w:rPr>
        <w:t>the</w:t>
      </w:r>
      <w:r w:rsidR="00F519BB" w:rsidRPr="00F519BB">
        <w:rPr>
          <w:rFonts w:ascii="Times New Roman" w:hAnsi="Times New Roman"/>
          <w:i/>
        </w:rPr>
        <w:t xml:space="preserve"> Act</w:t>
      </w:r>
      <w:r w:rsidR="00F519BB">
        <w:rPr>
          <w:rFonts w:ascii="Times New Roman" w:hAnsi="Times New Roman"/>
        </w:rPr>
        <w:t xml:space="preserve">.  </w:t>
      </w:r>
      <w:r w:rsidRPr="00704901">
        <w:rPr>
          <w:rFonts w:ascii="Times New Roman" w:hAnsi="Times New Roman"/>
          <w:i/>
        </w:rPr>
        <w:t>Section 1860D-14(a)(3)(B)(iv)(II)</w:t>
      </w:r>
      <w:r>
        <w:rPr>
          <w:rFonts w:ascii="Times New Roman" w:hAnsi="Times New Roman"/>
        </w:rPr>
        <w:t xml:space="preserve"> of </w:t>
      </w:r>
      <w:r w:rsidRPr="00251F34">
        <w:rPr>
          <w:rFonts w:ascii="Times New Roman" w:hAnsi="Times New Roman"/>
        </w:rPr>
        <w:t>the</w:t>
      </w:r>
      <w:r w:rsidRPr="00F519BB">
        <w:rPr>
          <w:rFonts w:ascii="Times New Roman" w:hAnsi="Times New Roman"/>
          <w:i/>
        </w:rPr>
        <w:t xml:space="preserve"> Act</w:t>
      </w:r>
      <w:r>
        <w:rPr>
          <w:rFonts w:ascii="Times New Roman" w:hAnsi="Times New Roman"/>
        </w:rPr>
        <w:t xml:space="preserve"> requires the Commissioner of the Social Security Administration (SSA) to establish a mechanism for individuals to appeal subsidy eligibility determinations using procedures described in Section </w:t>
      </w:r>
      <w:r w:rsidRPr="00704901">
        <w:rPr>
          <w:rFonts w:ascii="Times New Roman" w:hAnsi="Times New Roman"/>
          <w:i/>
        </w:rPr>
        <w:t>1631(c)(1)(A)</w:t>
      </w:r>
      <w:r>
        <w:rPr>
          <w:rFonts w:ascii="Times New Roman" w:hAnsi="Times New Roman"/>
        </w:rPr>
        <w:t>.</w:t>
      </w:r>
    </w:p>
    <w:p w:rsidR="00F57AD9" w:rsidRPr="00F57AD9" w:rsidRDefault="00F57AD9" w:rsidP="00F57AD9">
      <w:pPr>
        <w:rPr>
          <w:rFonts w:ascii="Times New Roman" w:hAnsi="Times New Roman"/>
        </w:rPr>
      </w:pPr>
    </w:p>
    <w:p w:rsidR="002E18CF" w:rsidRPr="002E18CF" w:rsidRDefault="00F56A74" w:rsidP="00F57AD9">
      <w:pPr>
        <w:numPr>
          <w:ilvl w:val="0"/>
          <w:numId w:val="20"/>
        </w:numPr>
        <w:rPr>
          <w:rFonts w:ascii="Times New Roman" w:hAnsi="Times New Roman"/>
        </w:rPr>
      </w:pPr>
      <w:r>
        <w:rPr>
          <w:rFonts w:ascii="Times New Roman" w:hAnsi="Times New Roman"/>
          <w:b/>
        </w:rPr>
        <w:t xml:space="preserve">Description of Collection </w:t>
      </w:r>
    </w:p>
    <w:p w:rsidR="0036696D" w:rsidRPr="006E4EED" w:rsidRDefault="006E4EED" w:rsidP="000C26E2">
      <w:pPr>
        <w:ind w:left="720"/>
        <w:rPr>
          <w:rFonts w:ascii="Times New Roman" w:hAnsi="Times New Roman"/>
        </w:rPr>
      </w:pPr>
      <w:r w:rsidRPr="006E4EED">
        <w:rPr>
          <w:rFonts w:ascii="Times New Roman" w:hAnsi="Times New Roman"/>
        </w:rPr>
        <w:t xml:space="preserve">SSA uses Form SSA-1021, Appeal of Determination for Help </w:t>
      </w:r>
      <w:proofErr w:type="gramStart"/>
      <w:r w:rsidRPr="006E4EED">
        <w:rPr>
          <w:rFonts w:ascii="Times New Roman" w:hAnsi="Times New Roman"/>
        </w:rPr>
        <w:t>With</w:t>
      </w:r>
      <w:proofErr w:type="gramEnd"/>
      <w:r w:rsidRPr="006E4EED">
        <w:rPr>
          <w:rFonts w:ascii="Times New Roman" w:hAnsi="Times New Roman"/>
        </w:rPr>
        <w:t xml:space="preserve"> Medicare Prescription Drug Plan Costs, to obtain information from individuals who appeal SSA’s decisions regarding eligibility or continuing eligibility for a Medicare Part D subsidy.  The respondents are Medicare beneficiaries, or proper applicants acting on behalf of a Medicare beneficiary, who do not agree with the outcome of an SSA subsidy eligibility determination, and are filing an appeal</w:t>
      </w:r>
      <w:r w:rsidR="00EE23E5" w:rsidRPr="006E4EED">
        <w:rPr>
          <w:rFonts w:ascii="Times New Roman" w:hAnsi="Times New Roman"/>
        </w:rPr>
        <w:t>.</w:t>
      </w:r>
    </w:p>
    <w:p w:rsidR="00A45D82" w:rsidRPr="00BC7F42" w:rsidRDefault="00EC7EFD" w:rsidP="00460EDF">
      <w:pPr>
        <w:ind w:left="1440"/>
        <w:rPr>
          <w:rFonts w:ascii="Times New Roman" w:hAnsi="Times New Roman"/>
        </w:rPr>
      </w:pPr>
      <w:r>
        <w:rPr>
          <w:rFonts w:ascii="Times New Roman" w:hAnsi="Times New Roman"/>
        </w:rPr>
        <w:t xml:space="preserve">  </w:t>
      </w:r>
    </w:p>
    <w:p w:rsidR="0036696D" w:rsidRPr="00386BFC" w:rsidRDefault="00A45D82" w:rsidP="00A45D82">
      <w:pPr>
        <w:numPr>
          <w:ilvl w:val="0"/>
          <w:numId w:val="20"/>
        </w:numPr>
        <w:rPr>
          <w:rFonts w:ascii="Times New Roman" w:hAnsi="Times New Roman"/>
        </w:rPr>
      </w:pPr>
      <w:r w:rsidRPr="00BC7F42">
        <w:rPr>
          <w:rFonts w:ascii="Times New Roman" w:hAnsi="Times New Roman"/>
          <w:b/>
        </w:rPr>
        <w:t>Use of Information Technology to Collect the Information</w:t>
      </w:r>
    </w:p>
    <w:p w:rsidR="00814772" w:rsidRPr="002E1C0F" w:rsidRDefault="00B67210" w:rsidP="002E1C0F">
      <w:pPr>
        <w:ind w:left="720"/>
        <w:rPr>
          <w:rFonts w:ascii="Times New Roman" w:hAnsi="Times New Roman"/>
        </w:rPr>
      </w:pPr>
      <w:r w:rsidRPr="002E1C0F">
        <w:rPr>
          <w:rFonts w:ascii="Times New Roman" w:hAnsi="Times New Roman"/>
        </w:rPr>
        <w:t>S</w:t>
      </w:r>
      <w:r w:rsidR="006E4EED">
        <w:rPr>
          <w:rFonts w:ascii="Times New Roman" w:hAnsi="Times New Roman"/>
        </w:rPr>
        <w:t>SA uses s</w:t>
      </w:r>
      <w:r w:rsidRPr="002E1C0F">
        <w:rPr>
          <w:rFonts w:ascii="Times New Roman" w:hAnsi="Times New Roman"/>
        </w:rPr>
        <w:t>everal modalities</w:t>
      </w:r>
      <w:r w:rsidR="006E4EED">
        <w:rPr>
          <w:rFonts w:ascii="Times New Roman" w:hAnsi="Times New Roman"/>
        </w:rPr>
        <w:t>,</w:t>
      </w:r>
      <w:r w:rsidRPr="002E1C0F">
        <w:rPr>
          <w:rFonts w:ascii="Times New Roman" w:hAnsi="Times New Roman"/>
        </w:rPr>
        <w:t xml:space="preserve"> including paper, </w:t>
      </w:r>
      <w:r w:rsidR="0071317A">
        <w:rPr>
          <w:rFonts w:ascii="Times New Roman" w:hAnsi="Times New Roman"/>
        </w:rPr>
        <w:t>PDF</w:t>
      </w:r>
      <w:r w:rsidR="006E4EED">
        <w:rPr>
          <w:rFonts w:ascii="Times New Roman" w:hAnsi="Times New Roman"/>
        </w:rPr>
        <w:t>, and an I</w:t>
      </w:r>
      <w:r w:rsidRPr="002E1C0F">
        <w:rPr>
          <w:rFonts w:ascii="Times New Roman" w:hAnsi="Times New Roman"/>
        </w:rPr>
        <w:t>ntranet</w:t>
      </w:r>
      <w:r w:rsidR="006E4EED">
        <w:rPr>
          <w:rFonts w:ascii="Times New Roman" w:hAnsi="Times New Roman"/>
        </w:rPr>
        <w:t xml:space="preserve"> application</w:t>
      </w:r>
      <w:r w:rsidRPr="002E1C0F">
        <w:rPr>
          <w:rFonts w:ascii="Times New Roman" w:hAnsi="Times New Roman"/>
        </w:rPr>
        <w:t xml:space="preserve"> to collect</w:t>
      </w:r>
      <w:r w:rsidR="006E4EED">
        <w:rPr>
          <w:rFonts w:ascii="Times New Roman" w:hAnsi="Times New Roman"/>
        </w:rPr>
        <w:t xml:space="preserve"> the information on</w:t>
      </w:r>
      <w:r w:rsidRPr="002E1C0F">
        <w:rPr>
          <w:rFonts w:ascii="Times New Roman" w:hAnsi="Times New Roman"/>
        </w:rPr>
        <w:t xml:space="preserve"> </w:t>
      </w:r>
      <w:r w:rsidR="006E4EED">
        <w:rPr>
          <w:rFonts w:ascii="Times New Roman" w:hAnsi="Times New Roman"/>
        </w:rPr>
        <w:t>F</w:t>
      </w:r>
      <w:r w:rsidR="002644E5">
        <w:rPr>
          <w:rFonts w:ascii="Times New Roman" w:hAnsi="Times New Roman"/>
        </w:rPr>
        <w:t>orm SSA-</w:t>
      </w:r>
      <w:r w:rsidRPr="002E1C0F">
        <w:rPr>
          <w:rFonts w:ascii="Times New Roman" w:hAnsi="Times New Roman"/>
        </w:rPr>
        <w:t>1021</w:t>
      </w:r>
      <w:r w:rsidR="006C4B2E">
        <w:rPr>
          <w:rFonts w:ascii="Times New Roman" w:hAnsi="Times New Roman"/>
        </w:rPr>
        <w:t xml:space="preserve">.  </w:t>
      </w:r>
      <w:r w:rsidR="002E1C0F" w:rsidRPr="002E1C0F">
        <w:rPr>
          <w:rFonts w:ascii="Times New Roman" w:hAnsi="Times New Roman"/>
        </w:rPr>
        <w:t>A</w:t>
      </w:r>
      <w:r w:rsidR="006E4EED">
        <w:rPr>
          <w:rFonts w:ascii="Times New Roman" w:hAnsi="Times New Roman"/>
        </w:rPr>
        <w:t xml:space="preserve"> fillable PDF version of Form SSA</w:t>
      </w:r>
      <w:r w:rsidR="006E4EED">
        <w:rPr>
          <w:rFonts w:ascii="Times New Roman" w:hAnsi="Times New Roman"/>
        </w:rPr>
        <w:noBreakHyphen/>
        <w:t>1021, which respondents can fill out, print, and mail to SSA, is available on SSA’s I</w:t>
      </w:r>
      <w:r w:rsidR="002E1C0F" w:rsidRPr="002E1C0F">
        <w:rPr>
          <w:rFonts w:ascii="Times New Roman" w:hAnsi="Times New Roman"/>
        </w:rPr>
        <w:t xml:space="preserve">nternet website.  </w:t>
      </w:r>
      <w:r w:rsidR="006E4EED">
        <w:rPr>
          <w:rFonts w:ascii="Times New Roman" w:hAnsi="Times New Roman"/>
        </w:rPr>
        <w:t xml:space="preserve">In addition, </w:t>
      </w:r>
      <w:r w:rsidR="002644E5">
        <w:rPr>
          <w:rFonts w:ascii="Times New Roman" w:hAnsi="Times New Roman"/>
        </w:rPr>
        <w:t>SSA</w:t>
      </w:r>
      <w:r w:rsidRPr="002E1C0F">
        <w:rPr>
          <w:rFonts w:ascii="Times New Roman" w:hAnsi="Times New Roman"/>
        </w:rPr>
        <w:t xml:space="preserve"> employees input the information into the</w:t>
      </w:r>
      <w:r w:rsidR="006E4EED">
        <w:rPr>
          <w:rFonts w:ascii="Times New Roman" w:hAnsi="Times New Roman"/>
        </w:rPr>
        <w:t xml:space="preserve"> Intranet</w:t>
      </w:r>
      <w:r w:rsidRPr="002E1C0F">
        <w:rPr>
          <w:rFonts w:ascii="Times New Roman" w:hAnsi="Times New Roman"/>
        </w:rPr>
        <w:t xml:space="preserve"> Medicare Application Processing System (MAPS)</w:t>
      </w:r>
      <w:r w:rsidR="006E4EED">
        <w:rPr>
          <w:rFonts w:ascii="Times New Roman" w:hAnsi="Times New Roman"/>
        </w:rPr>
        <w:t xml:space="preserve"> through an interview process with the respondents</w:t>
      </w:r>
      <w:r w:rsidRPr="002E1C0F">
        <w:rPr>
          <w:rFonts w:ascii="Times New Roman" w:hAnsi="Times New Roman"/>
        </w:rPr>
        <w:t xml:space="preserve">.  </w:t>
      </w:r>
      <w:r w:rsidR="002E1C0F" w:rsidRPr="002E1C0F">
        <w:rPr>
          <w:rFonts w:ascii="Times New Roman" w:hAnsi="Times New Roman"/>
        </w:rPr>
        <w:t xml:space="preserve">We estimate approximately </w:t>
      </w:r>
      <w:r w:rsidR="00C94863">
        <w:rPr>
          <w:rFonts w:ascii="Times New Roman" w:hAnsi="Times New Roman"/>
        </w:rPr>
        <w:t>77</w:t>
      </w:r>
      <w:r w:rsidR="002E1C0F" w:rsidRPr="002E1C0F">
        <w:rPr>
          <w:rFonts w:ascii="Times New Roman" w:hAnsi="Times New Roman"/>
        </w:rPr>
        <w:t xml:space="preserve"> percent of the appeals are filed using</w:t>
      </w:r>
      <w:r w:rsidR="006E4EED">
        <w:rPr>
          <w:rFonts w:ascii="Times New Roman" w:hAnsi="Times New Roman"/>
        </w:rPr>
        <w:t xml:space="preserve"> the</w:t>
      </w:r>
      <w:r w:rsidR="002E1C0F" w:rsidRPr="002E1C0F">
        <w:rPr>
          <w:rFonts w:ascii="Times New Roman" w:hAnsi="Times New Roman"/>
        </w:rPr>
        <w:t xml:space="preserve"> MAPS</w:t>
      </w:r>
      <w:r w:rsidR="006E4EED">
        <w:rPr>
          <w:rFonts w:ascii="Times New Roman" w:hAnsi="Times New Roman"/>
        </w:rPr>
        <w:t xml:space="preserve"> electronic system</w:t>
      </w:r>
      <w:r w:rsidR="002E1C0F" w:rsidRPr="002E1C0F">
        <w:rPr>
          <w:rFonts w:ascii="Times New Roman" w:hAnsi="Times New Roman"/>
        </w:rPr>
        <w:t>.</w:t>
      </w:r>
    </w:p>
    <w:p w:rsidR="00A45D82" w:rsidRPr="00BC7F42" w:rsidRDefault="00A45D82" w:rsidP="00A45D82">
      <w:pPr>
        <w:rPr>
          <w:rFonts w:ascii="Times New Roman" w:hAnsi="Times New Roman"/>
        </w:rPr>
      </w:pPr>
    </w:p>
    <w:p w:rsidR="000C1D18" w:rsidRDefault="00A45D82" w:rsidP="000C1D18">
      <w:pPr>
        <w:numPr>
          <w:ilvl w:val="0"/>
          <w:numId w:val="20"/>
        </w:numPr>
        <w:rPr>
          <w:rFonts w:ascii="Times New Roman" w:hAnsi="Times New Roman"/>
          <w:b/>
        </w:rPr>
      </w:pPr>
      <w:r w:rsidRPr="00BC7F42">
        <w:rPr>
          <w:rFonts w:ascii="Times New Roman" w:hAnsi="Times New Roman"/>
          <w:b/>
        </w:rPr>
        <w:lastRenderedPageBreak/>
        <w:t xml:space="preserve">Why </w:t>
      </w:r>
      <w:r w:rsidR="000C1D18">
        <w:rPr>
          <w:rFonts w:ascii="Times New Roman" w:hAnsi="Times New Roman"/>
          <w:b/>
        </w:rPr>
        <w:t>We Cannot Use Duplicate Information</w:t>
      </w:r>
    </w:p>
    <w:p w:rsidR="00A45D82" w:rsidRPr="00DA3272" w:rsidRDefault="00A45D82" w:rsidP="00DA3272">
      <w:pPr>
        <w:ind w:left="720"/>
        <w:rPr>
          <w:rFonts w:ascii="Times New Roman" w:hAnsi="Times New Roman"/>
        </w:rPr>
      </w:pPr>
      <w:r w:rsidRPr="00DA3272">
        <w:rPr>
          <w:rFonts w:ascii="Times New Roman" w:hAnsi="Times New Roman"/>
        </w:rPr>
        <w:t>The nature of the information</w:t>
      </w:r>
      <w:r w:rsidR="0071437B" w:rsidRPr="00DA3272">
        <w:rPr>
          <w:rFonts w:ascii="Times New Roman" w:hAnsi="Times New Roman"/>
        </w:rPr>
        <w:t xml:space="preserve"> we collect and the manner in which we collect</w:t>
      </w:r>
      <w:r w:rsidR="00077E0E" w:rsidRPr="00DA3272">
        <w:rPr>
          <w:rFonts w:ascii="Times New Roman" w:hAnsi="Times New Roman"/>
        </w:rPr>
        <w:t xml:space="preserve"> it preclude</w:t>
      </w:r>
      <w:r w:rsidR="003176E1" w:rsidRPr="00DA3272">
        <w:rPr>
          <w:rFonts w:ascii="Times New Roman" w:hAnsi="Times New Roman"/>
        </w:rPr>
        <w:t>s</w:t>
      </w:r>
      <w:r w:rsidR="00077E0E" w:rsidRPr="00DA3272">
        <w:rPr>
          <w:rFonts w:ascii="Times New Roman" w:hAnsi="Times New Roman"/>
        </w:rPr>
        <w:t xml:space="preserve"> duplication.  SSA does not use another collection instrument to obtain similar data.  </w:t>
      </w:r>
    </w:p>
    <w:p w:rsidR="00A45D82" w:rsidRPr="00BC7F42" w:rsidRDefault="00A45D82" w:rsidP="00A45D82">
      <w:pPr>
        <w:pStyle w:val="Header"/>
        <w:tabs>
          <w:tab w:val="clear" w:pos="4320"/>
          <w:tab w:val="clear" w:pos="8640"/>
        </w:tabs>
        <w:ind w:left="720"/>
        <w:rPr>
          <w:rFonts w:ascii="Times New Roman" w:hAnsi="Times New Roman"/>
        </w:rPr>
      </w:pPr>
    </w:p>
    <w:p w:rsidR="00077E0E" w:rsidRPr="00077E0E" w:rsidRDefault="00077E0E" w:rsidP="00A45D82">
      <w:pPr>
        <w:numPr>
          <w:ilvl w:val="0"/>
          <w:numId w:val="28"/>
        </w:numPr>
        <w:tabs>
          <w:tab w:val="clear" w:pos="360"/>
        </w:tabs>
        <w:ind w:left="720" w:hanging="720"/>
        <w:rPr>
          <w:rFonts w:ascii="Times New Roman" w:hAnsi="Times New Roman"/>
        </w:rPr>
      </w:pPr>
      <w:r>
        <w:rPr>
          <w:rFonts w:ascii="Times New Roman" w:hAnsi="Times New Roman"/>
          <w:b/>
        </w:rPr>
        <w:t>Minimizing Burden on Small Respondents</w:t>
      </w:r>
    </w:p>
    <w:p w:rsidR="00077E0E" w:rsidRDefault="00077E0E" w:rsidP="004B09F2">
      <w:pPr>
        <w:ind w:firstLine="720"/>
        <w:rPr>
          <w:rFonts w:ascii="Times New Roman" w:hAnsi="Times New Roman"/>
          <w:i/>
        </w:rPr>
      </w:pPr>
      <w:r w:rsidRPr="004B09F2">
        <w:rPr>
          <w:rFonts w:ascii="Times New Roman" w:hAnsi="Times New Roman"/>
        </w:rPr>
        <w:t xml:space="preserve">This collection does not affect small businesses or other small entities. </w:t>
      </w:r>
    </w:p>
    <w:p w:rsidR="00E75DB0" w:rsidRPr="00077E0E" w:rsidRDefault="00E75DB0" w:rsidP="004B09F2">
      <w:pPr>
        <w:rPr>
          <w:rFonts w:ascii="Times New Roman" w:hAnsi="Times New Roman"/>
          <w:b/>
          <w:u w:val="single"/>
        </w:rPr>
      </w:pPr>
    </w:p>
    <w:p w:rsidR="00A45D82" w:rsidRDefault="00A45D82" w:rsidP="006E4EED">
      <w:pPr>
        <w:numPr>
          <w:ilvl w:val="0"/>
          <w:numId w:val="28"/>
        </w:numPr>
        <w:tabs>
          <w:tab w:val="clear" w:pos="360"/>
          <w:tab w:val="num" w:pos="720"/>
        </w:tabs>
        <w:ind w:left="720" w:hanging="720"/>
        <w:rPr>
          <w:rFonts w:ascii="Times New Roman" w:hAnsi="Times New Roman"/>
        </w:rPr>
      </w:pPr>
      <w:r w:rsidRPr="00BC7F42">
        <w:rPr>
          <w:rFonts w:ascii="Times New Roman" w:hAnsi="Times New Roman"/>
          <w:b/>
        </w:rPr>
        <w:t xml:space="preserve">Consequence of Not Collecting Information or Collecting it Less Frequently </w:t>
      </w:r>
    </w:p>
    <w:p w:rsidR="00A45D82" w:rsidRPr="00417D1B" w:rsidRDefault="006E4EED" w:rsidP="006E4EED">
      <w:pPr>
        <w:ind w:left="720"/>
        <w:rPr>
          <w:rFonts w:ascii="Times New Roman" w:hAnsi="Times New Roman"/>
        </w:rPr>
      </w:pPr>
      <w:r>
        <w:rPr>
          <w:rFonts w:ascii="Times New Roman" w:hAnsi="Times New Roman"/>
        </w:rPr>
        <w:t>If we did not use F</w:t>
      </w:r>
      <w:r w:rsidR="00CD73F7">
        <w:rPr>
          <w:rFonts w:ascii="Times New Roman" w:hAnsi="Times New Roman"/>
        </w:rPr>
        <w:t xml:space="preserve">orm SSA-1021, the public would </w:t>
      </w:r>
      <w:r w:rsidR="002E1C0F">
        <w:rPr>
          <w:rFonts w:ascii="Times New Roman" w:hAnsi="Times New Roman"/>
        </w:rPr>
        <w:t xml:space="preserve">not </w:t>
      </w:r>
      <w:r w:rsidR="00CD73F7">
        <w:rPr>
          <w:rFonts w:ascii="Times New Roman" w:hAnsi="Times New Roman"/>
        </w:rPr>
        <w:t>have a structured way to appeal a subsidy determination i</w:t>
      </w:r>
      <w:r>
        <w:rPr>
          <w:rFonts w:ascii="Times New Roman" w:hAnsi="Times New Roman"/>
        </w:rPr>
        <w:t xml:space="preserve">n writing.  This would violate section </w:t>
      </w:r>
      <w:r w:rsidR="00CD73F7" w:rsidRPr="006E4EED">
        <w:rPr>
          <w:rFonts w:ascii="Times New Roman" w:hAnsi="Times New Roman"/>
          <w:i/>
        </w:rPr>
        <w:t>1860</w:t>
      </w:r>
      <w:r w:rsidR="002E1C0F" w:rsidRPr="006E4EED">
        <w:rPr>
          <w:rFonts w:ascii="Times New Roman" w:hAnsi="Times New Roman"/>
          <w:i/>
        </w:rPr>
        <w:t>D-14 (a</w:t>
      </w:r>
      <w:proofErr w:type="gramStart"/>
      <w:r w:rsidR="002E1C0F" w:rsidRPr="006E4EED">
        <w:rPr>
          <w:rFonts w:ascii="Times New Roman" w:hAnsi="Times New Roman"/>
          <w:i/>
        </w:rPr>
        <w:t>)(</w:t>
      </w:r>
      <w:proofErr w:type="gramEnd"/>
      <w:r w:rsidR="002E1C0F" w:rsidRPr="006E4EED">
        <w:rPr>
          <w:rFonts w:ascii="Times New Roman" w:hAnsi="Times New Roman"/>
          <w:i/>
        </w:rPr>
        <w:t>3)(B)(iv)</w:t>
      </w:r>
      <w:r w:rsidR="002E1C0F">
        <w:rPr>
          <w:rFonts w:ascii="Times New Roman" w:hAnsi="Times New Roman"/>
        </w:rPr>
        <w:t xml:space="preserve"> of the </w:t>
      </w:r>
      <w:r w:rsidR="002E1C0F" w:rsidRPr="006E4EED">
        <w:rPr>
          <w:rFonts w:ascii="Times New Roman" w:hAnsi="Times New Roman"/>
          <w:i/>
        </w:rPr>
        <w:t>Act</w:t>
      </w:r>
      <w:r w:rsidR="002E1C0F">
        <w:rPr>
          <w:rFonts w:ascii="Times New Roman" w:hAnsi="Times New Roman"/>
        </w:rPr>
        <w:t xml:space="preserve">.  </w:t>
      </w:r>
      <w:r w:rsidR="00B46EE1">
        <w:rPr>
          <w:rFonts w:ascii="Times New Roman" w:hAnsi="Times New Roman"/>
        </w:rPr>
        <w:t xml:space="preserve">Because we only collect the information </w:t>
      </w:r>
      <w:r w:rsidR="00A504DE">
        <w:rPr>
          <w:rFonts w:ascii="Times New Roman" w:hAnsi="Times New Roman"/>
        </w:rPr>
        <w:t>once,</w:t>
      </w:r>
      <w:r w:rsidR="00B46EE1">
        <w:rPr>
          <w:rFonts w:ascii="Times New Roman" w:hAnsi="Times New Roman"/>
        </w:rPr>
        <w:t xml:space="preserve"> we cannot collect it less frequently</w:t>
      </w:r>
      <w:r w:rsidR="00CD73F7">
        <w:rPr>
          <w:rFonts w:ascii="Times New Roman" w:hAnsi="Times New Roman"/>
        </w:rPr>
        <w:t>.</w:t>
      </w:r>
      <w:r>
        <w:rPr>
          <w:rFonts w:ascii="Times New Roman" w:hAnsi="Times New Roman"/>
        </w:rPr>
        <w:t xml:space="preserve">  </w:t>
      </w:r>
      <w:r w:rsidR="00A45D82" w:rsidRPr="00417D1B">
        <w:rPr>
          <w:rFonts w:ascii="Times New Roman" w:hAnsi="Times New Roman"/>
        </w:rPr>
        <w:t xml:space="preserve">There are no technical or legal obstacles </w:t>
      </w:r>
      <w:r w:rsidR="00127980" w:rsidRPr="00417D1B">
        <w:rPr>
          <w:rFonts w:ascii="Times New Roman" w:hAnsi="Times New Roman"/>
        </w:rPr>
        <w:t>to</w:t>
      </w:r>
      <w:r w:rsidR="00A45D82" w:rsidRPr="00417D1B">
        <w:rPr>
          <w:rFonts w:ascii="Times New Roman" w:hAnsi="Times New Roman"/>
        </w:rPr>
        <w:t xml:space="preserve"> burden reduction.</w:t>
      </w:r>
    </w:p>
    <w:p w:rsidR="00A45D82" w:rsidRPr="00BC7F42" w:rsidRDefault="00A45D82" w:rsidP="00A45D82">
      <w:pPr>
        <w:rPr>
          <w:rFonts w:ascii="Times New Roman" w:hAnsi="Times New Roman"/>
        </w:rPr>
      </w:pPr>
    </w:p>
    <w:p w:rsidR="00A45D82" w:rsidRPr="00B9687D" w:rsidRDefault="00A45D82" w:rsidP="00B9687D">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BC7F42"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r w:rsidRPr="00DA3272">
        <w:rPr>
          <w:rFonts w:ascii="Times New Roman" w:hAnsi="Times New Roman"/>
          <w:b w:val="0"/>
          <w:bCs w:val="0"/>
          <w:i w:val="0"/>
          <w:iCs w:val="0"/>
        </w:rPr>
        <w:t xml:space="preserve">There are no special circumstances that would cause </w:t>
      </w:r>
      <w:r w:rsidR="002A4C30" w:rsidRPr="00DA3272">
        <w:rPr>
          <w:rFonts w:ascii="Times New Roman" w:hAnsi="Times New Roman"/>
          <w:b w:val="0"/>
          <w:bCs w:val="0"/>
          <w:i w:val="0"/>
          <w:iCs w:val="0"/>
        </w:rPr>
        <w:t xml:space="preserve">SSA to conduct this information collection in a manner inconsistent with </w:t>
      </w:r>
      <w:proofErr w:type="gramStart"/>
      <w:r w:rsidRPr="006E4EED">
        <w:rPr>
          <w:rFonts w:ascii="Times New Roman" w:hAnsi="Times New Roman"/>
          <w:b w:val="0"/>
          <w:bCs w:val="0"/>
          <w:iCs w:val="0"/>
        </w:rPr>
        <w:t>5</w:t>
      </w:r>
      <w:proofErr w:type="gramEnd"/>
      <w:r w:rsidRPr="006E4EED">
        <w:rPr>
          <w:rFonts w:ascii="Times New Roman" w:hAnsi="Times New Roman"/>
          <w:b w:val="0"/>
          <w:bCs w:val="0"/>
          <w:iCs w:val="0"/>
        </w:rPr>
        <w:t xml:space="preserve"> CFR 1320.5</w:t>
      </w:r>
      <w:r w:rsidRPr="00DA3272">
        <w:rPr>
          <w:rFonts w:ascii="Times New Roman" w:hAnsi="Times New Roman"/>
          <w:b w:val="0"/>
          <w:bCs w:val="0"/>
          <w:i w:val="0"/>
          <w:iCs w:val="0"/>
        </w:rPr>
        <w:t>.</w:t>
      </w:r>
    </w:p>
    <w:p w:rsidR="00A45D82" w:rsidRPr="00BC7F42" w:rsidRDefault="00A45D82" w:rsidP="00A45D82">
      <w:pPr>
        <w:rPr>
          <w:rFonts w:ascii="Times New Roman" w:hAnsi="Times New Roman"/>
          <w:b/>
          <w:i/>
        </w:rPr>
      </w:pPr>
    </w:p>
    <w:p w:rsidR="00FD549D" w:rsidRDefault="00A45D82" w:rsidP="00B9687D">
      <w:pPr>
        <w:numPr>
          <w:ilvl w:val="0"/>
          <w:numId w:val="14"/>
        </w:numPr>
        <w:tabs>
          <w:tab w:val="clear" w:pos="720"/>
        </w:tabs>
        <w:rPr>
          <w:rFonts w:ascii="Times New Roman" w:hAnsi="Times New Roman"/>
        </w:rPr>
      </w:pPr>
      <w:r w:rsidRPr="00BC7F42">
        <w:rPr>
          <w:rFonts w:ascii="Times New Roman" w:hAnsi="Times New Roman"/>
          <w:b/>
        </w:rPr>
        <w:t>Solicitation of Public Comment and Other Consultations with the Public</w:t>
      </w:r>
    </w:p>
    <w:p w:rsidR="006E4EED" w:rsidRPr="006E4EED" w:rsidRDefault="006E4EED" w:rsidP="006E4EED">
      <w:pPr>
        <w:pStyle w:val="ListParagraph"/>
        <w:rPr>
          <w:rFonts w:ascii="Times New Roman" w:hAnsi="Times New Roman"/>
        </w:rPr>
      </w:pPr>
      <w:r w:rsidRPr="006E4EED">
        <w:rPr>
          <w:rFonts w:ascii="Times New Roman" w:hAnsi="Times New Roman"/>
        </w:rPr>
        <w:t>The 60-day advance Federal Register Notice published on</w:t>
      </w:r>
      <w:r w:rsidR="00BF7B5E">
        <w:rPr>
          <w:rFonts w:ascii="Times New Roman" w:hAnsi="Times New Roman"/>
        </w:rPr>
        <w:t xml:space="preserve"> February 21</w:t>
      </w:r>
      <w:r w:rsidRPr="006E4EED">
        <w:rPr>
          <w:rFonts w:ascii="Times New Roman" w:hAnsi="Times New Roman"/>
        </w:rPr>
        <w:t xml:space="preserve">, 2017, at </w:t>
      </w:r>
    </w:p>
    <w:p w:rsidR="00FD549D" w:rsidRPr="006E4EED" w:rsidRDefault="006E4EED" w:rsidP="006E4EED">
      <w:pPr>
        <w:pStyle w:val="ListParagraph"/>
        <w:rPr>
          <w:rFonts w:ascii="Times New Roman" w:hAnsi="Times New Roman"/>
        </w:rPr>
      </w:pPr>
      <w:r w:rsidRPr="006E4EED">
        <w:rPr>
          <w:rFonts w:ascii="Times New Roman" w:hAnsi="Times New Roman"/>
        </w:rPr>
        <w:t>82 FR</w:t>
      </w:r>
      <w:r w:rsidR="00BF7B5E">
        <w:rPr>
          <w:rFonts w:ascii="Times New Roman" w:hAnsi="Times New Roman"/>
        </w:rPr>
        <w:t xml:space="preserve"> </w:t>
      </w:r>
      <w:proofErr w:type="gramStart"/>
      <w:r w:rsidR="00BF7B5E" w:rsidRPr="00BF7B5E">
        <w:rPr>
          <w:rFonts w:ascii="Times New Roman" w:eastAsia="SimSun" w:hAnsi="Times New Roman"/>
          <w:bCs/>
          <w:snapToGrid/>
        </w:rPr>
        <w:t>11293</w:t>
      </w:r>
      <w:r w:rsidRPr="006E4EED">
        <w:rPr>
          <w:rFonts w:ascii="Times New Roman" w:hAnsi="Times New Roman"/>
        </w:rPr>
        <w:t>,</w:t>
      </w:r>
      <w:proofErr w:type="gramEnd"/>
      <w:r w:rsidRPr="006E4EED">
        <w:rPr>
          <w:rFonts w:ascii="Times New Roman" w:hAnsi="Times New Roman"/>
        </w:rPr>
        <w:t xml:space="preserve"> and we received no public comments.  The 30-day FRN published on </w:t>
      </w:r>
      <w:r w:rsidR="00BF7B5E">
        <w:rPr>
          <w:rFonts w:ascii="Times New Roman" w:hAnsi="Times New Roman"/>
        </w:rPr>
        <w:t>May 23</w:t>
      </w:r>
      <w:r w:rsidRPr="006E4EED">
        <w:rPr>
          <w:rFonts w:ascii="Times New Roman" w:hAnsi="Times New Roman"/>
        </w:rPr>
        <w:t>, 2017, at 81 FR</w:t>
      </w:r>
      <w:r w:rsidRPr="00BF7B5E">
        <w:rPr>
          <w:rFonts w:ascii="Times New Roman" w:hAnsi="Times New Roman"/>
        </w:rPr>
        <w:t xml:space="preserve"> </w:t>
      </w:r>
      <w:r w:rsidR="00BF7B5E" w:rsidRPr="00BF7B5E">
        <w:rPr>
          <w:rFonts w:ascii="Times New Roman" w:eastAsia="SimSun" w:hAnsi="Times New Roman"/>
          <w:bCs/>
          <w:snapToGrid/>
        </w:rPr>
        <w:t>23695</w:t>
      </w:r>
      <w:r w:rsidRPr="006E4EED">
        <w:rPr>
          <w:rFonts w:ascii="Times New Roman" w:hAnsi="Times New Roman"/>
        </w:rPr>
        <w:t>.  If we receive any comments in response to this Notice, we will forward them to OMB.  We did not consult with the public in the revision of this form</w:t>
      </w:r>
      <w:r w:rsidR="0006715D" w:rsidRPr="006E4EED">
        <w:rPr>
          <w:rFonts w:ascii="Times New Roman" w:hAnsi="Times New Roman"/>
        </w:rPr>
        <w:t>.</w:t>
      </w:r>
    </w:p>
    <w:p w:rsidR="00A45D82" w:rsidRPr="00BC7F42" w:rsidRDefault="00A45D82" w:rsidP="00A45D82">
      <w:pPr>
        <w:rPr>
          <w:rFonts w:ascii="Times New Roman" w:hAnsi="Times New Roman"/>
        </w:rPr>
      </w:pPr>
    </w:p>
    <w:p w:rsidR="00795BAB" w:rsidRPr="00B9687D" w:rsidRDefault="00A45D82" w:rsidP="00B9687D">
      <w:pPr>
        <w:numPr>
          <w:ilvl w:val="0"/>
          <w:numId w:val="14"/>
        </w:numPr>
        <w:rPr>
          <w:rFonts w:ascii="Times New Roman" w:hAnsi="Times New Roman"/>
          <w:b/>
        </w:rPr>
      </w:pPr>
      <w:r w:rsidRPr="00BC7F42">
        <w:rPr>
          <w:rFonts w:ascii="Times New Roman" w:hAnsi="Times New Roman"/>
          <w:b/>
        </w:rPr>
        <w:t>Payment or Gifts to Respondents</w:t>
      </w:r>
    </w:p>
    <w:p w:rsidR="00A45D82" w:rsidRPr="00B9687D" w:rsidRDefault="00795BAB" w:rsidP="00A45D82">
      <w:pPr>
        <w:ind w:left="720"/>
        <w:rPr>
          <w:rFonts w:ascii="Times New Roman" w:hAnsi="Times New Roman"/>
        </w:rPr>
      </w:pPr>
      <w:r w:rsidRPr="00B9687D">
        <w:rPr>
          <w:rFonts w:ascii="Times New Roman" w:hAnsi="Times New Roman"/>
        </w:rPr>
        <w:t>SSA does not provide payments or gifts</w:t>
      </w:r>
      <w:r w:rsidR="00A45D82" w:rsidRPr="00B9687D">
        <w:rPr>
          <w:rFonts w:ascii="Times New Roman" w:hAnsi="Times New Roman"/>
        </w:rPr>
        <w:t xml:space="preserve"> to the respondents. </w:t>
      </w:r>
    </w:p>
    <w:p w:rsidR="00A45D82" w:rsidRPr="00BC7F42" w:rsidRDefault="00A45D82" w:rsidP="00A45D82">
      <w:pPr>
        <w:rPr>
          <w:rFonts w:ascii="Times New Roman" w:hAnsi="Times New Roman"/>
        </w:rPr>
      </w:pPr>
    </w:p>
    <w:p w:rsidR="00A45D82" w:rsidRPr="00410CDE" w:rsidRDefault="00A45D82" w:rsidP="00A45D82">
      <w:pPr>
        <w:numPr>
          <w:ilvl w:val="0"/>
          <w:numId w:val="14"/>
        </w:numPr>
        <w:rPr>
          <w:rFonts w:ascii="Times New Roman" w:hAnsi="Times New Roman"/>
          <w:b/>
        </w:rPr>
      </w:pPr>
      <w:r w:rsidRPr="00BC7F42">
        <w:rPr>
          <w:rFonts w:ascii="Times New Roman" w:hAnsi="Times New Roman"/>
          <w:b/>
        </w:rPr>
        <w:t>Assurances of Confidentiality</w:t>
      </w:r>
    </w:p>
    <w:p w:rsidR="00A45D82" w:rsidRPr="00BC7F42" w:rsidRDefault="00631F1B" w:rsidP="00A45D82">
      <w:pPr>
        <w:ind w:left="720"/>
        <w:rPr>
          <w:rFonts w:ascii="Times New Roman" w:hAnsi="Times New Roman"/>
          <w:i/>
        </w:rPr>
      </w:pPr>
      <w:r w:rsidRPr="00410CDE">
        <w:rPr>
          <w:rFonts w:ascii="Times New Roman" w:hAnsi="Times New Roman"/>
        </w:rPr>
        <w:t>SSA pro</w:t>
      </w:r>
      <w:r w:rsidR="00D0011E" w:rsidRPr="00410CDE">
        <w:rPr>
          <w:rFonts w:ascii="Times New Roman" w:hAnsi="Times New Roman"/>
        </w:rPr>
        <w:t xml:space="preserve">tects and holds confidential the information it </w:t>
      </w:r>
      <w:r w:rsidR="00E0137B" w:rsidRPr="00410CDE">
        <w:rPr>
          <w:rFonts w:ascii="Times New Roman" w:hAnsi="Times New Roman"/>
        </w:rPr>
        <w:t>collects</w:t>
      </w:r>
      <w:r w:rsidR="00D0011E" w:rsidRPr="00410CDE">
        <w:rPr>
          <w:rFonts w:ascii="Times New Roman" w:hAnsi="Times New Roman"/>
        </w:rPr>
        <w:t xml:space="preserve"> i</w:t>
      </w:r>
      <w:r w:rsidR="00A45D82" w:rsidRPr="00410CDE">
        <w:rPr>
          <w:rFonts w:ascii="Times New Roman" w:hAnsi="Times New Roman"/>
        </w:rPr>
        <w:t xml:space="preserve">n accordance with </w:t>
      </w:r>
      <w:r w:rsidR="00A45D82" w:rsidRPr="00BF7B5E">
        <w:rPr>
          <w:rFonts w:ascii="Times New Roman" w:hAnsi="Times New Roman"/>
          <w:i/>
        </w:rPr>
        <w:t>42 U.S.C. 1306, 20 CFR 401</w:t>
      </w:r>
      <w:r w:rsidR="00A45D82" w:rsidRPr="00410CDE">
        <w:rPr>
          <w:rFonts w:ascii="Times New Roman" w:hAnsi="Times New Roman"/>
        </w:rPr>
        <w:t xml:space="preserve"> and </w:t>
      </w:r>
      <w:r w:rsidR="00A45D82" w:rsidRPr="00BF7B5E">
        <w:rPr>
          <w:rFonts w:ascii="Times New Roman" w:hAnsi="Times New Roman"/>
          <w:i/>
        </w:rPr>
        <w:t>402, 5 U.S.C. 552</w:t>
      </w:r>
      <w:r w:rsidR="00A45D82" w:rsidRPr="00410CDE">
        <w:rPr>
          <w:rFonts w:ascii="Times New Roman" w:hAnsi="Times New Roman"/>
        </w:rPr>
        <w:t xml:space="preserve"> (Freedom of Information Act), </w:t>
      </w:r>
      <w:r w:rsidR="00A45D82" w:rsidRPr="00BF7B5E">
        <w:rPr>
          <w:rFonts w:ascii="Times New Roman" w:hAnsi="Times New Roman"/>
          <w:i/>
        </w:rPr>
        <w:t>5 U.S.C. 552a</w:t>
      </w:r>
      <w:r w:rsidR="00A45D82" w:rsidRPr="00410CDE">
        <w:rPr>
          <w:rFonts w:ascii="Times New Roman" w:hAnsi="Times New Roman"/>
        </w:rPr>
        <w:t xml:space="preserve"> (Privacy Act of 1974)</w:t>
      </w:r>
      <w:r w:rsidR="00D0011E" w:rsidRPr="00410CDE">
        <w:rPr>
          <w:rFonts w:ascii="Times New Roman" w:hAnsi="Times New Roman"/>
        </w:rPr>
        <w:t>,</w:t>
      </w:r>
      <w:r w:rsidR="00A45D82" w:rsidRPr="00410CDE">
        <w:rPr>
          <w:rFonts w:ascii="Times New Roman" w:hAnsi="Times New Roman"/>
        </w:rPr>
        <w:t xml:space="preserve"> and OMB Circular No. A-130.</w:t>
      </w:r>
    </w:p>
    <w:p w:rsidR="00A45D82" w:rsidRPr="00BC7F42" w:rsidRDefault="00A45D82" w:rsidP="00A45D82">
      <w:pPr>
        <w:pStyle w:val="Header"/>
        <w:tabs>
          <w:tab w:val="clear" w:pos="4320"/>
          <w:tab w:val="clear" w:pos="8640"/>
        </w:tabs>
        <w:rPr>
          <w:rFonts w:ascii="Times New Roman" w:hAnsi="Times New Roman"/>
        </w:rPr>
      </w:pPr>
    </w:p>
    <w:p w:rsidR="00A45D82" w:rsidRPr="00410CDE" w:rsidRDefault="00A45D82" w:rsidP="00A45D82">
      <w:pPr>
        <w:numPr>
          <w:ilvl w:val="0"/>
          <w:numId w:val="14"/>
        </w:numPr>
        <w:rPr>
          <w:rFonts w:ascii="Times New Roman" w:hAnsi="Times New Roman"/>
          <w:b/>
        </w:rPr>
      </w:pPr>
      <w:r w:rsidRPr="00BC7F42">
        <w:rPr>
          <w:rFonts w:ascii="Times New Roman" w:hAnsi="Times New Roman"/>
          <w:b/>
        </w:rPr>
        <w:t>Justification for Sensitive Questions</w:t>
      </w:r>
    </w:p>
    <w:p w:rsidR="00A45D82" w:rsidRPr="00BC7F42"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r w:rsidRPr="00410CDE">
        <w:rPr>
          <w:rFonts w:ascii="Times New Roman" w:hAnsi="Times New Roman"/>
          <w:b w:val="0"/>
          <w:bCs w:val="0"/>
          <w:i w:val="0"/>
          <w:iCs w:val="0"/>
        </w:rPr>
        <w:t>The information collection does not contain any questions of a sensitive nature.</w:t>
      </w:r>
    </w:p>
    <w:p w:rsidR="00A45D82" w:rsidRPr="00BC7F42" w:rsidRDefault="00A45D82" w:rsidP="00A45D82">
      <w:pPr>
        <w:rPr>
          <w:rFonts w:ascii="Times New Roman" w:hAnsi="Times New Roman"/>
        </w:rPr>
      </w:pPr>
    </w:p>
    <w:p w:rsidR="00BB4E9D" w:rsidRPr="00BF7B5E" w:rsidRDefault="00A45D82" w:rsidP="00BF7B5E">
      <w:pPr>
        <w:numPr>
          <w:ilvl w:val="0"/>
          <w:numId w:val="14"/>
        </w:numPr>
        <w:rPr>
          <w:rFonts w:ascii="Times New Roman" w:hAnsi="Times New Roman"/>
          <w:b/>
        </w:rPr>
      </w:pPr>
      <w:r w:rsidRPr="00BB4E9D">
        <w:rPr>
          <w:rFonts w:ascii="Times New Roman" w:hAnsi="Times New Roman"/>
          <w:b/>
        </w:rPr>
        <w:t>Estimates of Public Reporting Burden</w:t>
      </w:r>
    </w:p>
    <w:p w:rsidR="00BB4E9D" w:rsidRDefault="00BB4E9D" w:rsidP="00BB4E9D">
      <w:pPr>
        <w:pStyle w:val="ListParagraph"/>
        <w:rPr>
          <w:rFonts w:ascii="Times New Roman" w:hAnsi="Times New Roman"/>
        </w:rPr>
      </w:pPr>
      <w:r w:rsidRPr="00BB4E9D">
        <w:rPr>
          <w:rFonts w:ascii="Times New Roman" w:hAnsi="Times New Roman"/>
        </w:rPr>
        <w:t>The total burden</w:t>
      </w:r>
      <w:r w:rsidR="00C94863">
        <w:rPr>
          <w:rFonts w:ascii="Times New Roman" w:hAnsi="Times New Roman"/>
        </w:rPr>
        <w:t xml:space="preserve"> for this ICR is 2,387</w:t>
      </w:r>
      <w:r w:rsidRPr="00BB4E9D">
        <w:rPr>
          <w:rFonts w:ascii="Times New Roman" w:hAnsi="Times New Roman"/>
        </w:rPr>
        <w:t xml:space="preserve"> hours.  This chart below represents the estimated total burden hours, and we did not calculate a separate cost burden.</w:t>
      </w:r>
    </w:p>
    <w:p w:rsidR="00933070" w:rsidRDefault="00933070" w:rsidP="00BB4E9D">
      <w:pPr>
        <w:pStyle w:val="ListParagraph"/>
        <w:rPr>
          <w:rFonts w:ascii="Times New Roman" w:hAnsi="Times New Roman"/>
        </w:rPr>
      </w:pPr>
    </w:p>
    <w:p w:rsidR="00933070" w:rsidRDefault="00933070" w:rsidP="00BB4E9D">
      <w:pPr>
        <w:pStyle w:val="ListParagraph"/>
        <w:rPr>
          <w:rFonts w:ascii="Times New Roman" w:hAnsi="Times New Roman"/>
        </w:rPr>
      </w:pPr>
    </w:p>
    <w:p w:rsidR="00933070" w:rsidRDefault="00933070" w:rsidP="00BB4E9D">
      <w:pPr>
        <w:pStyle w:val="ListParagraph"/>
        <w:rPr>
          <w:rFonts w:ascii="Times New Roman" w:hAnsi="Times New Roman"/>
        </w:rPr>
      </w:pPr>
    </w:p>
    <w:p w:rsidR="00933070" w:rsidRDefault="00933070" w:rsidP="00BB4E9D">
      <w:pPr>
        <w:pStyle w:val="ListParagraph"/>
        <w:rPr>
          <w:rFonts w:ascii="Times New Roman" w:hAnsi="Times New Roman"/>
        </w:rPr>
      </w:pPr>
    </w:p>
    <w:p w:rsidR="00933070" w:rsidRPr="00BB4E9D" w:rsidRDefault="00933070" w:rsidP="00BB4E9D">
      <w:pPr>
        <w:pStyle w:val="ListParagraph"/>
        <w:rPr>
          <w:rFonts w:ascii="Times New Roman" w:hAnsi="Times New Roman"/>
        </w:rPr>
      </w:pPr>
    </w:p>
    <w:p w:rsidR="00BB4E9D" w:rsidRPr="00386BFC" w:rsidRDefault="00BB4E9D" w:rsidP="00BB4E9D">
      <w:pPr>
        <w:ind w:left="720"/>
        <w:rPr>
          <w:rFonts w:ascii="Times New Roman" w:hAnsi="Times New Roman"/>
          <w:b/>
          <w:highlight w:val="yellow"/>
        </w:rPr>
      </w:pPr>
    </w:p>
    <w:p w:rsidR="00C22097" w:rsidRPr="00386BFC" w:rsidRDefault="00C22097" w:rsidP="00933070">
      <w:pPr>
        <w:rPr>
          <w:rFonts w:ascii="Times New Roman" w:hAnsi="Times New Roman"/>
          <w:highlight w:val="yellow"/>
        </w:rPr>
      </w:pPr>
    </w:p>
    <w:tbl>
      <w:tblPr>
        <w:tblW w:w="8407"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6"/>
        <w:gridCol w:w="1530"/>
        <w:gridCol w:w="1350"/>
        <w:gridCol w:w="1350"/>
        <w:gridCol w:w="1391"/>
      </w:tblGrid>
      <w:tr w:rsidR="00F14BA8" w:rsidRPr="00386BFC" w:rsidTr="00BF7B5E">
        <w:tc>
          <w:tcPr>
            <w:tcW w:w="2786" w:type="dxa"/>
          </w:tcPr>
          <w:p w:rsidR="00F14BA8" w:rsidRPr="00C3371C" w:rsidRDefault="00F14BA8" w:rsidP="00D678F8">
            <w:pPr>
              <w:jc w:val="center"/>
              <w:rPr>
                <w:rFonts w:ascii="Times New Roman" w:hAnsi="Times New Roman"/>
                <w:b/>
              </w:rPr>
            </w:pPr>
            <w:r w:rsidRPr="00C3371C">
              <w:rPr>
                <w:rFonts w:ascii="Times New Roman" w:hAnsi="Times New Roman"/>
                <w:b/>
              </w:rPr>
              <w:t>Modality of Completion</w:t>
            </w:r>
          </w:p>
        </w:tc>
        <w:tc>
          <w:tcPr>
            <w:tcW w:w="1530" w:type="dxa"/>
          </w:tcPr>
          <w:p w:rsidR="00F14BA8" w:rsidRPr="00C3371C" w:rsidRDefault="00F14BA8" w:rsidP="00BF7B5E">
            <w:pPr>
              <w:jc w:val="center"/>
              <w:rPr>
                <w:rFonts w:ascii="Times New Roman" w:hAnsi="Times New Roman"/>
                <w:b/>
              </w:rPr>
            </w:pPr>
            <w:r w:rsidRPr="00C3371C">
              <w:rPr>
                <w:rFonts w:ascii="Times New Roman" w:hAnsi="Times New Roman"/>
                <w:b/>
              </w:rPr>
              <w:t>Number of Respondents</w:t>
            </w:r>
          </w:p>
        </w:tc>
        <w:tc>
          <w:tcPr>
            <w:tcW w:w="1350" w:type="dxa"/>
          </w:tcPr>
          <w:p w:rsidR="00F14BA8" w:rsidRPr="00C3371C" w:rsidRDefault="00F14BA8" w:rsidP="00D678F8">
            <w:pPr>
              <w:jc w:val="center"/>
              <w:rPr>
                <w:rFonts w:ascii="Times New Roman" w:hAnsi="Times New Roman"/>
                <w:b/>
              </w:rPr>
            </w:pPr>
            <w:r w:rsidRPr="00C3371C">
              <w:rPr>
                <w:rFonts w:ascii="Times New Roman" w:hAnsi="Times New Roman"/>
                <w:b/>
              </w:rPr>
              <w:t>Frequency of Response</w:t>
            </w:r>
          </w:p>
        </w:tc>
        <w:tc>
          <w:tcPr>
            <w:tcW w:w="1350" w:type="dxa"/>
          </w:tcPr>
          <w:p w:rsidR="00F14BA8" w:rsidRPr="00C3371C" w:rsidRDefault="00BF7B5E" w:rsidP="00BF7B5E">
            <w:pPr>
              <w:jc w:val="center"/>
              <w:rPr>
                <w:rFonts w:ascii="Times New Roman" w:hAnsi="Times New Roman"/>
                <w:b/>
              </w:rPr>
            </w:pPr>
            <w:r>
              <w:rPr>
                <w:rFonts w:ascii="Times New Roman" w:hAnsi="Times New Roman"/>
                <w:b/>
              </w:rPr>
              <w:t>Average Burden Per Response</w:t>
            </w:r>
            <w:r w:rsidR="00F14BA8" w:rsidRPr="00C3371C">
              <w:rPr>
                <w:rFonts w:ascii="Times New Roman" w:hAnsi="Times New Roman"/>
                <w:b/>
              </w:rPr>
              <w:t xml:space="preserve"> (minutes)</w:t>
            </w:r>
          </w:p>
        </w:tc>
        <w:tc>
          <w:tcPr>
            <w:tcW w:w="1391" w:type="dxa"/>
          </w:tcPr>
          <w:p w:rsidR="00F14BA8" w:rsidRPr="00C3371C" w:rsidRDefault="00BF7B5E" w:rsidP="00BF7B5E">
            <w:pPr>
              <w:jc w:val="center"/>
              <w:rPr>
                <w:rFonts w:ascii="Times New Roman" w:hAnsi="Times New Roman"/>
                <w:b/>
              </w:rPr>
            </w:pPr>
            <w:r>
              <w:rPr>
                <w:rFonts w:ascii="Times New Roman" w:hAnsi="Times New Roman"/>
                <w:b/>
              </w:rPr>
              <w:t>Estimated Total Burden (hours)</w:t>
            </w:r>
          </w:p>
        </w:tc>
      </w:tr>
      <w:tr w:rsidR="00F14BA8" w:rsidRPr="00386BFC" w:rsidTr="00BF7B5E">
        <w:tc>
          <w:tcPr>
            <w:tcW w:w="2786" w:type="dxa"/>
          </w:tcPr>
          <w:p w:rsidR="005604E2" w:rsidRPr="00C3371C" w:rsidRDefault="00B46EE1" w:rsidP="00C22097">
            <w:pPr>
              <w:rPr>
                <w:rFonts w:ascii="Times New Roman" w:hAnsi="Times New Roman"/>
              </w:rPr>
            </w:pPr>
            <w:r w:rsidRPr="00C3371C">
              <w:rPr>
                <w:rFonts w:ascii="Times New Roman" w:hAnsi="Times New Roman"/>
              </w:rPr>
              <w:t xml:space="preserve">SSA-1021 </w:t>
            </w:r>
          </w:p>
          <w:p w:rsidR="00F14BA8" w:rsidRPr="00C3371C" w:rsidRDefault="005604E2" w:rsidP="00C22097">
            <w:pPr>
              <w:rPr>
                <w:rFonts w:ascii="Times New Roman" w:hAnsi="Times New Roman"/>
              </w:rPr>
            </w:pPr>
            <w:r w:rsidRPr="00C3371C">
              <w:rPr>
                <w:rFonts w:ascii="Times New Roman" w:hAnsi="Times New Roman"/>
              </w:rPr>
              <w:t>(</w:t>
            </w:r>
            <w:r w:rsidR="00F14BA8" w:rsidRPr="00C3371C">
              <w:rPr>
                <w:rFonts w:ascii="Times New Roman" w:hAnsi="Times New Roman"/>
              </w:rPr>
              <w:t>Paper version</w:t>
            </w:r>
            <w:r w:rsidRPr="00C3371C">
              <w:rPr>
                <w:rFonts w:ascii="Times New Roman" w:hAnsi="Times New Roman"/>
              </w:rPr>
              <w:t>)</w:t>
            </w:r>
          </w:p>
        </w:tc>
        <w:tc>
          <w:tcPr>
            <w:tcW w:w="1530" w:type="dxa"/>
          </w:tcPr>
          <w:p w:rsidR="00F14BA8" w:rsidRPr="00386BFC" w:rsidRDefault="00C94863" w:rsidP="00BF7B5E">
            <w:pPr>
              <w:jc w:val="right"/>
              <w:rPr>
                <w:rFonts w:ascii="Times New Roman" w:hAnsi="Times New Roman"/>
                <w:highlight w:val="yellow"/>
              </w:rPr>
            </w:pPr>
            <w:r>
              <w:rPr>
                <w:rFonts w:ascii="Times New Roman" w:hAnsi="Times New Roman"/>
              </w:rPr>
              <w:t>3,283</w:t>
            </w:r>
          </w:p>
        </w:tc>
        <w:tc>
          <w:tcPr>
            <w:tcW w:w="1350" w:type="dxa"/>
          </w:tcPr>
          <w:p w:rsidR="00F14BA8" w:rsidRPr="00C3371C" w:rsidRDefault="00B46EE1" w:rsidP="00BF7B5E">
            <w:pPr>
              <w:jc w:val="right"/>
              <w:rPr>
                <w:rFonts w:ascii="Times New Roman" w:hAnsi="Times New Roman"/>
              </w:rPr>
            </w:pPr>
            <w:r w:rsidRPr="00C3371C">
              <w:rPr>
                <w:rFonts w:ascii="Times New Roman" w:hAnsi="Times New Roman"/>
              </w:rPr>
              <w:t>1</w:t>
            </w:r>
          </w:p>
        </w:tc>
        <w:tc>
          <w:tcPr>
            <w:tcW w:w="1350" w:type="dxa"/>
          </w:tcPr>
          <w:p w:rsidR="00F14BA8" w:rsidRPr="00C3371C" w:rsidRDefault="00B46EE1" w:rsidP="00BF7B5E">
            <w:pPr>
              <w:jc w:val="right"/>
              <w:rPr>
                <w:rFonts w:ascii="Times New Roman" w:hAnsi="Times New Roman"/>
              </w:rPr>
            </w:pPr>
            <w:r w:rsidRPr="00C3371C">
              <w:rPr>
                <w:rFonts w:ascii="Times New Roman" w:hAnsi="Times New Roman"/>
              </w:rPr>
              <w:t>10</w:t>
            </w:r>
          </w:p>
        </w:tc>
        <w:tc>
          <w:tcPr>
            <w:tcW w:w="1391" w:type="dxa"/>
          </w:tcPr>
          <w:p w:rsidR="00F14BA8" w:rsidRPr="00386BFC" w:rsidRDefault="00C94863" w:rsidP="00BF7B5E">
            <w:pPr>
              <w:jc w:val="right"/>
              <w:rPr>
                <w:rFonts w:ascii="Times New Roman" w:hAnsi="Times New Roman"/>
                <w:highlight w:val="yellow"/>
              </w:rPr>
            </w:pPr>
            <w:r>
              <w:rPr>
                <w:rFonts w:ascii="Times New Roman" w:hAnsi="Times New Roman"/>
              </w:rPr>
              <w:t>547</w:t>
            </w:r>
          </w:p>
        </w:tc>
      </w:tr>
      <w:tr w:rsidR="00F14BA8" w:rsidRPr="00386BFC" w:rsidTr="00BF7B5E">
        <w:tc>
          <w:tcPr>
            <w:tcW w:w="2786" w:type="dxa"/>
          </w:tcPr>
          <w:p w:rsidR="005604E2" w:rsidRPr="00C3371C" w:rsidRDefault="00B46EE1" w:rsidP="00B46EE1">
            <w:pPr>
              <w:rPr>
                <w:rFonts w:ascii="Times New Roman" w:hAnsi="Times New Roman"/>
              </w:rPr>
            </w:pPr>
            <w:r w:rsidRPr="00C3371C">
              <w:rPr>
                <w:rFonts w:ascii="Times New Roman" w:hAnsi="Times New Roman"/>
              </w:rPr>
              <w:t xml:space="preserve">SSA-1021 </w:t>
            </w:r>
          </w:p>
          <w:p w:rsidR="00F14BA8" w:rsidRPr="00C3371C" w:rsidRDefault="00B46EE1" w:rsidP="00B46EE1">
            <w:pPr>
              <w:rPr>
                <w:rFonts w:ascii="Times New Roman" w:hAnsi="Times New Roman"/>
              </w:rPr>
            </w:pPr>
            <w:r w:rsidRPr="00C3371C">
              <w:rPr>
                <w:rFonts w:ascii="Times New Roman" w:hAnsi="Times New Roman"/>
              </w:rPr>
              <w:t>(</w:t>
            </w:r>
            <w:r w:rsidR="00F14BA8" w:rsidRPr="00C3371C">
              <w:rPr>
                <w:rFonts w:ascii="Times New Roman" w:hAnsi="Times New Roman"/>
              </w:rPr>
              <w:t xml:space="preserve">Intranet </w:t>
            </w:r>
            <w:r w:rsidR="00BF7B5E">
              <w:rPr>
                <w:rFonts w:ascii="Times New Roman" w:hAnsi="Times New Roman"/>
              </w:rPr>
              <w:t xml:space="preserve">version - </w:t>
            </w:r>
            <w:r w:rsidRPr="00C3371C">
              <w:rPr>
                <w:rFonts w:ascii="Times New Roman" w:hAnsi="Times New Roman"/>
              </w:rPr>
              <w:t>MAPS</w:t>
            </w:r>
            <w:r w:rsidR="00F14BA8" w:rsidRPr="00C3371C">
              <w:rPr>
                <w:rFonts w:ascii="Times New Roman" w:hAnsi="Times New Roman"/>
              </w:rPr>
              <w:t>)</w:t>
            </w:r>
          </w:p>
        </w:tc>
        <w:tc>
          <w:tcPr>
            <w:tcW w:w="1530" w:type="dxa"/>
          </w:tcPr>
          <w:p w:rsidR="00F14BA8" w:rsidRPr="00386BFC" w:rsidRDefault="00C94863" w:rsidP="00BF7B5E">
            <w:pPr>
              <w:jc w:val="right"/>
              <w:rPr>
                <w:rFonts w:ascii="Times New Roman" w:hAnsi="Times New Roman"/>
                <w:highlight w:val="yellow"/>
              </w:rPr>
            </w:pPr>
            <w:r>
              <w:rPr>
                <w:rFonts w:ascii="Times New Roman" w:hAnsi="Times New Roman"/>
              </w:rPr>
              <w:t>11,037</w:t>
            </w:r>
          </w:p>
        </w:tc>
        <w:tc>
          <w:tcPr>
            <w:tcW w:w="1350" w:type="dxa"/>
          </w:tcPr>
          <w:p w:rsidR="00F14BA8" w:rsidRPr="00C3371C" w:rsidRDefault="00B46EE1" w:rsidP="00BF7B5E">
            <w:pPr>
              <w:jc w:val="right"/>
              <w:rPr>
                <w:rFonts w:ascii="Times New Roman" w:hAnsi="Times New Roman"/>
              </w:rPr>
            </w:pPr>
            <w:r w:rsidRPr="00C3371C">
              <w:rPr>
                <w:rFonts w:ascii="Times New Roman" w:hAnsi="Times New Roman"/>
              </w:rPr>
              <w:t>1</w:t>
            </w:r>
          </w:p>
        </w:tc>
        <w:tc>
          <w:tcPr>
            <w:tcW w:w="1350" w:type="dxa"/>
          </w:tcPr>
          <w:p w:rsidR="00F14BA8" w:rsidRPr="00C3371C" w:rsidRDefault="00B46EE1" w:rsidP="00BF7B5E">
            <w:pPr>
              <w:jc w:val="right"/>
              <w:rPr>
                <w:rFonts w:ascii="Times New Roman" w:hAnsi="Times New Roman"/>
              </w:rPr>
            </w:pPr>
            <w:r w:rsidRPr="00C3371C">
              <w:rPr>
                <w:rFonts w:ascii="Times New Roman" w:hAnsi="Times New Roman"/>
              </w:rPr>
              <w:t>10</w:t>
            </w:r>
          </w:p>
        </w:tc>
        <w:tc>
          <w:tcPr>
            <w:tcW w:w="1391" w:type="dxa"/>
          </w:tcPr>
          <w:p w:rsidR="00F14BA8" w:rsidRPr="00386BFC" w:rsidRDefault="00C94863" w:rsidP="00BF7B5E">
            <w:pPr>
              <w:jc w:val="right"/>
              <w:rPr>
                <w:rFonts w:ascii="Times New Roman" w:hAnsi="Times New Roman"/>
                <w:highlight w:val="yellow"/>
              </w:rPr>
            </w:pPr>
            <w:r>
              <w:rPr>
                <w:rFonts w:ascii="Times New Roman" w:hAnsi="Times New Roman"/>
              </w:rPr>
              <w:t>1840</w:t>
            </w:r>
          </w:p>
        </w:tc>
      </w:tr>
      <w:tr w:rsidR="00F14BA8" w:rsidRPr="00386BFC" w:rsidTr="00BF7B5E">
        <w:tc>
          <w:tcPr>
            <w:tcW w:w="2786" w:type="dxa"/>
          </w:tcPr>
          <w:p w:rsidR="00F14BA8" w:rsidRPr="00C3371C" w:rsidRDefault="00F14BA8" w:rsidP="00C22097">
            <w:pPr>
              <w:rPr>
                <w:rFonts w:ascii="Times New Roman" w:hAnsi="Times New Roman"/>
                <w:b/>
              </w:rPr>
            </w:pPr>
            <w:r w:rsidRPr="00C3371C">
              <w:rPr>
                <w:rFonts w:ascii="Times New Roman" w:hAnsi="Times New Roman"/>
                <w:b/>
              </w:rPr>
              <w:t>Totals</w:t>
            </w:r>
          </w:p>
        </w:tc>
        <w:tc>
          <w:tcPr>
            <w:tcW w:w="1530" w:type="dxa"/>
          </w:tcPr>
          <w:p w:rsidR="00F14BA8" w:rsidRPr="00BF7B5E" w:rsidRDefault="00C94863" w:rsidP="00BF7B5E">
            <w:pPr>
              <w:jc w:val="right"/>
              <w:rPr>
                <w:rFonts w:ascii="Times New Roman" w:hAnsi="Times New Roman"/>
                <w:b/>
              </w:rPr>
            </w:pPr>
            <w:r w:rsidRPr="00BF7B5E">
              <w:rPr>
                <w:rFonts w:ascii="Times New Roman" w:hAnsi="Times New Roman"/>
                <w:b/>
              </w:rPr>
              <w:t>14,320</w:t>
            </w:r>
          </w:p>
        </w:tc>
        <w:tc>
          <w:tcPr>
            <w:tcW w:w="1350" w:type="dxa"/>
          </w:tcPr>
          <w:p w:rsidR="00F14BA8" w:rsidRPr="00C3371C" w:rsidRDefault="00F14BA8" w:rsidP="00BF7B5E">
            <w:pPr>
              <w:jc w:val="right"/>
              <w:rPr>
                <w:rFonts w:ascii="Times New Roman" w:hAnsi="Times New Roman"/>
              </w:rPr>
            </w:pPr>
          </w:p>
        </w:tc>
        <w:tc>
          <w:tcPr>
            <w:tcW w:w="1350" w:type="dxa"/>
          </w:tcPr>
          <w:p w:rsidR="00F14BA8" w:rsidRPr="00C3371C" w:rsidRDefault="00F14BA8" w:rsidP="00BF7B5E">
            <w:pPr>
              <w:jc w:val="right"/>
              <w:rPr>
                <w:rFonts w:ascii="Times New Roman" w:hAnsi="Times New Roman"/>
              </w:rPr>
            </w:pPr>
          </w:p>
        </w:tc>
        <w:tc>
          <w:tcPr>
            <w:tcW w:w="1391" w:type="dxa"/>
          </w:tcPr>
          <w:p w:rsidR="00F14BA8" w:rsidRPr="00C3371C" w:rsidRDefault="00C94863" w:rsidP="00BF7B5E">
            <w:pPr>
              <w:jc w:val="right"/>
              <w:rPr>
                <w:rFonts w:ascii="Times New Roman" w:hAnsi="Times New Roman"/>
                <w:b/>
              </w:rPr>
            </w:pPr>
            <w:r>
              <w:rPr>
                <w:rFonts w:ascii="Times New Roman" w:hAnsi="Times New Roman"/>
                <w:b/>
              </w:rPr>
              <w:t>2,387</w:t>
            </w:r>
          </w:p>
        </w:tc>
      </w:tr>
    </w:tbl>
    <w:p w:rsidR="003B15EC" w:rsidRPr="00386BFC" w:rsidRDefault="003B15EC" w:rsidP="00BB4E9D">
      <w:pPr>
        <w:tabs>
          <w:tab w:val="left" w:pos="360"/>
        </w:tabs>
        <w:rPr>
          <w:rFonts w:ascii="Times New Roman" w:hAnsi="Times New Roman"/>
          <w:b/>
          <w:highlight w:val="yellow"/>
          <w:u w:val="single"/>
        </w:rPr>
      </w:pPr>
    </w:p>
    <w:p w:rsidR="00A45D82" w:rsidRPr="00386BFC" w:rsidRDefault="00A45D82" w:rsidP="00A45D82">
      <w:pPr>
        <w:ind w:left="720" w:hanging="720"/>
        <w:rPr>
          <w:rFonts w:ascii="Times New Roman" w:hAnsi="Times New Roman"/>
        </w:rPr>
      </w:pPr>
      <w:r w:rsidRPr="00386BFC">
        <w:rPr>
          <w:rFonts w:ascii="Times New Roman" w:hAnsi="Times New Roman"/>
          <w:b/>
        </w:rPr>
        <w:t>13.</w:t>
      </w:r>
      <w:r w:rsidRPr="00386BFC">
        <w:rPr>
          <w:rFonts w:ascii="Times New Roman" w:hAnsi="Times New Roman"/>
        </w:rPr>
        <w:t xml:space="preserve"> </w:t>
      </w:r>
      <w:r w:rsidRPr="00386BFC">
        <w:rPr>
          <w:rFonts w:ascii="Times New Roman" w:hAnsi="Times New Roman"/>
        </w:rPr>
        <w:tab/>
      </w:r>
      <w:r w:rsidRPr="00386BFC">
        <w:rPr>
          <w:rFonts w:ascii="Times New Roman" w:hAnsi="Times New Roman"/>
          <w:b/>
        </w:rPr>
        <w:t>Annual</w:t>
      </w:r>
      <w:r w:rsidRPr="00386BFC">
        <w:rPr>
          <w:rFonts w:ascii="Times New Roman" w:hAnsi="Times New Roman"/>
        </w:rPr>
        <w:t xml:space="preserve"> </w:t>
      </w:r>
      <w:r w:rsidRPr="00386BFC">
        <w:rPr>
          <w:rFonts w:ascii="Times New Roman" w:hAnsi="Times New Roman"/>
          <w:b/>
        </w:rPr>
        <w:t>Cost to the Respondents (Other)</w:t>
      </w:r>
      <w:r w:rsidRPr="00386BFC">
        <w:rPr>
          <w:rFonts w:ascii="Times New Roman" w:hAnsi="Times New Roman"/>
        </w:rPr>
        <w:t xml:space="preserve"> </w:t>
      </w:r>
    </w:p>
    <w:p w:rsidR="00A45D82" w:rsidRPr="00BC7F42" w:rsidRDefault="00121032" w:rsidP="00A45D82">
      <w:pPr>
        <w:ind w:firstLine="720"/>
        <w:rPr>
          <w:rFonts w:ascii="Times New Roman" w:hAnsi="Times New Roman"/>
          <w:i/>
        </w:rPr>
      </w:pPr>
      <w:r w:rsidRPr="00386BFC">
        <w:rPr>
          <w:rFonts w:ascii="Times New Roman" w:hAnsi="Times New Roman"/>
        </w:rPr>
        <w:t xml:space="preserve">This collection does not impose a known cost burden </w:t>
      </w:r>
      <w:r w:rsidR="00AC39FD" w:rsidRPr="00386BFC">
        <w:rPr>
          <w:rFonts w:ascii="Times New Roman" w:hAnsi="Times New Roman"/>
        </w:rPr>
        <w:t>on</w:t>
      </w:r>
      <w:r w:rsidRPr="00386BFC">
        <w:rPr>
          <w:rFonts w:ascii="Times New Roman" w:hAnsi="Times New Roman"/>
        </w:rPr>
        <w:t xml:space="preserve"> the respondents</w:t>
      </w:r>
      <w:r w:rsidRPr="00386BFC">
        <w:rPr>
          <w:rFonts w:ascii="Times New Roman" w:hAnsi="Times New Roman"/>
          <w:i/>
        </w:rPr>
        <w:t>.</w:t>
      </w:r>
      <w:r>
        <w:rPr>
          <w:rFonts w:ascii="Times New Roman" w:hAnsi="Times New Roman"/>
          <w:i/>
        </w:rPr>
        <w:t xml:space="preserve"> </w:t>
      </w:r>
      <w:r w:rsidR="00A45D82" w:rsidRPr="00BC7F42">
        <w:rPr>
          <w:rFonts w:ascii="Times New Roman" w:hAnsi="Times New Roman"/>
          <w:i/>
        </w:rPr>
        <w:t xml:space="preserve">  </w:t>
      </w:r>
    </w:p>
    <w:p w:rsidR="00A45D82" w:rsidRPr="00BC7F42" w:rsidRDefault="00A45D82" w:rsidP="00A45D82">
      <w:pPr>
        <w:rPr>
          <w:rFonts w:ascii="Times New Roman" w:hAnsi="Times New Roman"/>
        </w:rPr>
      </w:pPr>
    </w:p>
    <w:p w:rsidR="00AF3BEA" w:rsidRPr="007B3DDB" w:rsidRDefault="00A45D82" w:rsidP="007B3DDB">
      <w:pPr>
        <w:numPr>
          <w:ilvl w:val="0"/>
          <w:numId w:val="27"/>
        </w:numPr>
        <w:tabs>
          <w:tab w:val="clear" w:pos="360"/>
          <w:tab w:val="left" w:pos="720"/>
        </w:tabs>
        <w:ind w:left="720" w:hanging="720"/>
        <w:rPr>
          <w:rFonts w:ascii="Times New Roman" w:hAnsi="Times New Roman"/>
        </w:rPr>
      </w:pPr>
      <w:r w:rsidRPr="00E86DEF">
        <w:rPr>
          <w:rFonts w:ascii="Times New Roman" w:hAnsi="Times New Roman"/>
          <w:b/>
        </w:rPr>
        <w:t>Annual Cost To Federal Government</w:t>
      </w:r>
      <w:r w:rsidR="00F0585C" w:rsidRPr="007B3DDB">
        <w:rPr>
          <w:rFonts w:ascii="Times New Roman" w:hAnsi="Times New Roman"/>
          <w:b/>
          <w:highlight w:val="yellow"/>
        </w:rPr>
        <w:t xml:space="preserve"> </w:t>
      </w:r>
      <w:r w:rsidR="00AA06A4" w:rsidRPr="007B3DDB">
        <w:rPr>
          <w:rFonts w:ascii="Times New Roman" w:hAnsi="Times New Roman"/>
          <w:highlight w:val="yellow"/>
        </w:rPr>
        <w:t xml:space="preserve"> </w:t>
      </w:r>
    </w:p>
    <w:p w:rsidR="00A45D82" w:rsidRPr="00EB4A9D" w:rsidRDefault="00B6703E" w:rsidP="007B3DDB">
      <w:pPr>
        <w:tabs>
          <w:tab w:val="left" w:pos="720"/>
        </w:tabs>
        <w:ind w:left="720"/>
        <w:rPr>
          <w:rFonts w:ascii="Times New Roman" w:hAnsi="Times New Roman"/>
        </w:rPr>
      </w:pPr>
      <w:r w:rsidRPr="00EB4A9D">
        <w:rPr>
          <w:rFonts w:ascii="Times New Roman" w:hAnsi="Times New Roman"/>
        </w:rPr>
        <w:t xml:space="preserve">The annual cost to the Federal Government </w:t>
      </w:r>
      <w:r w:rsidR="00CC0832" w:rsidRPr="00EB4A9D">
        <w:rPr>
          <w:rFonts w:ascii="Times New Roman" w:hAnsi="Times New Roman"/>
        </w:rPr>
        <w:t xml:space="preserve">for this </w:t>
      </w:r>
      <w:r w:rsidRPr="00EB4A9D">
        <w:rPr>
          <w:rFonts w:ascii="Times New Roman" w:hAnsi="Times New Roman"/>
        </w:rPr>
        <w:t>IC is approximately $</w:t>
      </w:r>
      <w:r w:rsidR="00C94863">
        <w:rPr>
          <w:rFonts w:ascii="Times New Roman" w:hAnsi="Times New Roman"/>
        </w:rPr>
        <w:t>53</w:t>
      </w:r>
      <w:r w:rsidR="0021594A">
        <w:rPr>
          <w:rFonts w:ascii="Times New Roman" w:hAnsi="Times New Roman"/>
        </w:rPr>
        <w:t>,937</w:t>
      </w:r>
      <w:r w:rsidRPr="00EB4A9D">
        <w:rPr>
          <w:rFonts w:ascii="Times New Roman" w:hAnsi="Times New Roman"/>
        </w:rPr>
        <w:t>.</w:t>
      </w:r>
      <w:r w:rsidR="00CC0832" w:rsidRPr="00EB4A9D">
        <w:rPr>
          <w:rFonts w:ascii="Times New Roman" w:hAnsi="Times New Roman"/>
        </w:rPr>
        <w:t xml:space="preserve">  This estimate is a projection of costs</w:t>
      </w:r>
      <w:r w:rsidR="002D440A" w:rsidRPr="00EB4A9D">
        <w:rPr>
          <w:rFonts w:ascii="Times New Roman" w:hAnsi="Times New Roman"/>
        </w:rPr>
        <w:t xml:space="preserve"> for</w:t>
      </w:r>
      <w:r w:rsidR="00CC0832" w:rsidRPr="00EB4A9D">
        <w:rPr>
          <w:rFonts w:ascii="Times New Roman" w:hAnsi="Times New Roman"/>
        </w:rPr>
        <w:t xml:space="preserve"> collect</w:t>
      </w:r>
      <w:r w:rsidR="002D440A" w:rsidRPr="00EB4A9D">
        <w:rPr>
          <w:rFonts w:ascii="Times New Roman" w:hAnsi="Times New Roman"/>
        </w:rPr>
        <w:t>ing</w:t>
      </w:r>
      <w:r w:rsidR="00CC0832" w:rsidRPr="00EB4A9D">
        <w:rPr>
          <w:rFonts w:ascii="Times New Roman" w:hAnsi="Times New Roman"/>
        </w:rPr>
        <w:t xml:space="preserve"> and process</w:t>
      </w:r>
      <w:r w:rsidR="00BF7B5E">
        <w:rPr>
          <w:rFonts w:ascii="Times New Roman" w:hAnsi="Times New Roman"/>
        </w:rPr>
        <w:t>ing Form SSA</w:t>
      </w:r>
      <w:r w:rsidR="00BF7B5E">
        <w:rPr>
          <w:rFonts w:ascii="Times New Roman" w:hAnsi="Times New Roman"/>
        </w:rPr>
        <w:noBreakHyphen/>
      </w:r>
      <w:r w:rsidR="002D440A" w:rsidRPr="00EB4A9D">
        <w:rPr>
          <w:rFonts w:ascii="Times New Roman" w:hAnsi="Times New Roman"/>
        </w:rPr>
        <w:t>1021.</w:t>
      </w:r>
      <w:r w:rsidRPr="00EB4A9D">
        <w:rPr>
          <w:rFonts w:ascii="Times New Roman" w:hAnsi="Times New Roman"/>
        </w:rPr>
        <w:t xml:space="preserve">  </w:t>
      </w:r>
    </w:p>
    <w:p w:rsidR="007B3DDB" w:rsidRPr="007B3DDB" w:rsidRDefault="007B3DDB" w:rsidP="007B3DDB">
      <w:pPr>
        <w:tabs>
          <w:tab w:val="left" w:pos="720"/>
        </w:tabs>
        <w:ind w:left="720"/>
        <w:rPr>
          <w:rFonts w:ascii="Times New Roman" w:hAnsi="Times New Roman"/>
          <w:highlight w:val="yellow"/>
        </w:rPr>
      </w:pPr>
    </w:p>
    <w:p w:rsidR="00063A05" w:rsidRPr="00911920" w:rsidRDefault="00A45D82" w:rsidP="00911920">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063A05" w:rsidRPr="00BB17F2" w:rsidRDefault="00BF7B5E" w:rsidP="00BB17F2">
      <w:pPr>
        <w:ind w:left="720"/>
        <w:rPr>
          <w:rFonts w:ascii="Times New Roman" w:hAnsi="Times New Roman"/>
        </w:rPr>
      </w:pPr>
      <w:r>
        <w:rPr>
          <w:rFonts w:ascii="Times New Roman" w:hAnsi="Times New Roman"/>
        </w:rPr>
        <w:t>The reduction in burden hours</w:t>
      </w:r>
      <w:r w:rsidR="00063A05" w:rsidRPr="00BB17F2">
        <w:rPr>
          <w:rFonts w:ascii="Times New Roman" w:hAnsi="Times New Roman"/>
        </w:rPr>
        <w:t xml:space="preserve"> stems from a decrease in the </w:t>
      </w:r>
      <w:r w:rsidR="00516A8A" w:rsidRPr="00BB17F2">
        <w:rPr>
          <w:rFonts w:ascii="Times New Roman" w:hAnsi="Times New Roman"/>
        </w:rPr>
        <w:t>number of respondents</w:t>
      </w:r>
      <w:r w:rsidR="00063A05" w:rsidRPr="00BB17F2">
        <w:rPr>
          <w:rFonts w:ascii="Times New Roman" w:hAnsi="Times New Roman"/>
        </w:rPr>
        <w:t xml:space="preserve"> </w:t>
      </w:r>
      <w:r>
        <w:rPr>
          <w:rFonts w:ascii="Times New Roman" w:hAnsi="Times New Roman"/>
        </w:rPr>
        <w:t>over the past three years</w:t>
      </w:r>
      <w:r w:rsidR="00C94863">
        <w:rPr>
          <w:rFonts w:ascii="Times New Roman" w:hAnsi="Times New Roman"/>
        </w:rPr>
        <w:t>.</w:t>
      </w:r>
    </w:p>
    <w:p w:rsidR="00A45D82" w:rsidRPr="00BC7F42" w:rsidRDefault="00A45D82" w:rsidP="00A45D82">
      <w:pPr>
        <w:rPr>
          <w:rFonts w:ascii="Times New Roman" w:hAnsi="Times New Roman"/>
        </w:rPr>
      </w:pPr>
    </w:p>
    <w:p w:rsidR="00063A05" w:rsidRDefault="00A45D82" w:rsidP="00A45D82">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Default="003B30B4" w:rsidP="003B30B4">
      <w:pPr>
        <w:pStyle w:val="NoSpacing"/>
        <w:ind w:firstLine="720"/>
        <w:rPr>
          <w:bCs/>
          <w:iCs/>
        </w:rPr>
      </w:pPr>
      <w:r w:rsidRPr="00410CDE">
        <w:t>SSA will not publish the results of the information collection.</w:t>
      </w:r>
    </w:p>
    <w:p w:rsidR="00A45D82" w:rsidRPr="00BC7F42" w:rsidRDefault="00A45D82" w:rsidP="00A45D82">
      <w:pPr>
        <w:pStyle w:val="Header"/>
        <w:tabs>
          <w:tab w:val="clear" w:pos="4320"/>
          <w:tab w:val="clear" w:pos="8640"/>
        </w:tabs>
        <w:rPr>
          <w:rFonts w:ascii="Times New Roman" w:hAnsi="Times New Roman"/>
        </w:rPr>
      </w:pPr>
    </w:p>
    <w:p w:rsidR="003B30B4" w:rsidRDefault="00A45D82" w:rsidP="00A45D82">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RPr="00410CDE" w:rsidRDefault="003B30B4" w:rsidP="003B30B4">
      <w:pPr>
        <w:pStyle w:val="NoSpacing"/>
        <w:ind w:left="720"/>
        <w:rPr>
          <w:bCs/>
          <w:iCs/>
        </w:rPr>
      </w:pPr>
      <w:r w:rsidRPr="00410CDE">
        <w:rPr>
          <w:bCs/>
          <w:iCs/>
        </w:rPr>
        <w:t>OMB granted SSA an exemption from the requirement to print the OMB expiration date on its program forms</w:t>
      </w:r>
      <w:r w:rsidR="00FA0FE2" w:rsidRPr="00410CDE">
        <w:rPr>
          <w:bCs/>
          <w:iCs/>
        </w:rPr>
        <w:t xml:space="preserve">.  </w:t>
      </w:r>
      <w:r w:rsidRPr="00410CDE">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45D82" w:rsidRPr="00BC7F42"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0B3B12" w:rsidRPr="00410CDE" w:rsidRDefault="00A45D82" w:rsidP="00410CDE">
      <w:pPr>
        <w:numPr>
          <w:ilvl w:val="0"/>
          <w:numId w:val="43"/>
        </w:numPr>
        <w:rPr>
          <w:rFonts w:ascii="Times New Roman" w:hAnsi="Times New Roman"/>
          <w:b/>
        </w:rPr>
      </w:pPr>
      <w:r w:rsidRPr="00BC7F42">
        <w:rPr>
          <w:rFonts w:ascii="Times New Roman" w:hAnsi="Times New Roman"/>
          <w:b/>
        </w:rPr>
        <w:t>Exceptions to Certification Statement</w:t>
      </w:r>
    </w:p>
    <w:p w:rsidR="0041131C" w:rsidRPr="00BC7F42"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r w:rsidRPr="00410CDE">
        <w:rPr>
          <w:rFonts w:ascii="Times New Roman" w:hAnsi="Times New Roman"/>
          <w:b w:val="0"/>
          <w:bCs w:val="0"/>
          <w:i w:val="0"/>
          <w:iCs w:val="0"/>
        </w:rPr>
        <w:t xml:space="preserve">SSA is not requesting an exception to the certification requirements at </w:t>
      </w:r>
      <w:r w:rsidRPr="00BF7B5E">
        <w:rPr>
          <w:rFonts w:ascii="Times New Roman" w:hAnsi="Times New Roman"/>
          <w:b w:val="0"/>
          <w:bCs w:val="0"/>
          <w:iCs w:val="0"/>
        </w:rPr>
        <w:t>5 CFR 1320.9</w:t>
      </w:r>
      <w:r w:rsidRPr="00410CDE">
        <w:rPr>
          <w:rFonts w:ascii="Times New Roman" w:hAnsi="Times New Roman"/>
          <w:b w:val="0"/>
          <w:bCs w:val="0"/>
          <w:i w:val="0"/>
          <w:iCs w:val="0"/>
        </w:rPr>
        <w:t xml:space="preserve"> and related provisions at </w:t>
      </w:r>
      <w:r w:rsidRPr="00BF7B5E">
        <w:rPr>
          <w:rFonts w:ascii="Times New Roman" w:hAnsi="Times New Roman"/>
          <w:b w:val="0"/>
          <w:bCs w:val="0"/>
          <w:iCs w:val="0"/>
        </w:rPr>
        <w:t>5 CFR 1320.8(b</w:t>
      </w:r>
      <w:proofErr w:type="gramStart"/>
      <w:r w:rsidRPr="00BF7B5E">
        <w:rPr>
          <w:rFonts w:ascii="Times New Roman" w:hAnsi="Times New Roman"/>
          <w:b w:val="0"/>
          <w:bCs w:val="0"/>
          <w:iCs w:val="0"/>
        </w:rPr>
        <w:t>)(</w:t>
      </w:r>
      <w:proofErr w:type="gramEnd"/>
      <w:r w:rsidRPr="00BF7B5E">
        <w:rPr>
          <w:rFonts w:ascii="Times New Roman" w:hAnsi="Times New Roman"/>
          <w:b w:val="0"/>
          <w:bCs w:val="0"/>
          <w:iCs w:val="0"/>
        </w:rPr>
        <w:t>3)</w:t>
      </w:r>
      <w:r w:rsidRPr="00410CDE">
        <w:rPr>
          <w:rFonts w:ascii="Times New Roman" w:hAnsi="Times New Roman"/>
          <w:b w:val="0"/>
          <w:bCs w:val="0"/>
          <w:i w:val="0"/>
          <w:iCs w:val="0"/>
        </w:rPr>
        <w:t>.</w:t>
      </w:r>
      <w:r w:rsidRPr="00BC7F42">
        <w:rPr>
          <w:rFonts w:ascii="Times New Roman" w:hAnsi="Times New Roman"/>
          <w:b w:val="0"/>
        </w:rPr>
        <w:t xml:space="preserve"> </w:t>
      </w:r>
    </w:p>
    <w:p w:rsidR="00A45D82" w:rsidRPr="00BC7F42" w:rsidRDefault="00A45D82" w:rsidP="00A45D82">
      <w:pPr>
        <w:rPr>
          <w:rFonts w:ascii="Times New Roman" w:hAnsi="Times New Roman"/>
        </w:rPr>
      </w:pPr>
    </w:p>
    <w:p w:rsidR="0041131C" w:rsidRPr="00410CDE" w:rsidRDefault="00A45D82" w:rsidP="00410CDE">
      <w:pPr>
        <w:rPr>
          <w:rFonts w:ascii="Times New Roman" w:hAnsi="Times New Roman"/>
          <w:b/>
          <w:u w:val="single"/>
        </w:rPr>
      </w:pPr>
      <w:r w:rsidRPr="0041131C">
        <w:rPr>
          <w:rFonts w:ascii="Times New Roman" w:hAnsi="Times New Roman"/>
          <w:b/>
        </w:rPr>
        <w:t xml:space="preserve">B. </w:t>
      </w:r>
      <w:r w:rsidR="00460EDF">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BF7B5E" w:rsidRDefault="00BF7B5E" w:rsidP="00460EDF">
      <w:pPr>
        <w:ind w:firstLine="720"/>
        <w:rPr>
          <w:rFonts w:ascii="Times New Roman" w:hAnsi="Times New Roman"/>
        </w:rPr>
      </w:pPr>
    </w:p>
    <w:p w:rsidR="0041131C" w:rsidRPr="002830AA" w:rsidRDefault="00DA3272" w:rsidP="00460EDF">
      <w:pPr>
        <w:ind w:firstLine="720"/>
        <w:rPr>
          <w:rFonts w:ascii="Times New Roman" w:hAnsi="Times New Roman"/>
        </w:rPr>
      </w:pPr>
      <w:r w:rsidRPr="00DA3272">
        <w:rPr>
          <w:rFonts w:ascii="Times New Roman" w:hAnsi="Times New Roman"/>
        </w:rPr>
        <w:t>SSA does not use statistical methods for this information collection.</w:t>
      </w:r>
    </w:p>
    <w:p w:rsidR="0041131C" w:rsidRDefault="0041131C" w:rsidP="0041131C">
      <w:pPr>
        <w:rPr>
          <w:rFonts w:ascii="Times New Roman" w:hAnsi="Times New Roman"/>
        </w:rPr>
      </w:pPr>
    </w:p>
    <w:p w:rsidR="00353ACC" w:rsidRDefault="00353ACC" w:rsidP="00353ACC">
      <w:pPr>
        <w:pStyle w:val="Heading1"/>
        <w:rPr>
          <w:rFonts w:ascii="Times New Roman" w:hAnsi="Times New Roman" w:cs="Times New Roman"/>
          <w:b w:val="0"/>
          <w:bCs w:val="0"/>
        </w:rPr>
      </w:pPr>
    </w:p>
    <w:p w:rsidR="00A45D82" w:rsidRPr="00BC7F42" w:rsidRDefault="00A45D82" w:rsidP="001C1878">
      <w:pPr>
        <w:pStyle w:val="Heading6"/>
        <w:jc w:val="left"/>
        <w:rPr>
          <w:rFonts w:ascii="Times New Roman" w:hAnsi="Times New Roman"/>
        </w:rPr>
      </w:pPr>
    </w:p>
    <w:sectPr w:rsidR="00A45D82" w:rsidRPr="00BC7F4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848" w:rsidRDefault="00921848">
      <w:r>
        <w:separator/>
      </w:r>
    </w:p>
  </w:endnote>
  <w:endnote w:type="continuationSeparator" w:id="0">
    <w:p w:rsidR="00921848" w:rsidRDefault="0092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3E5" w:rsidRDefault="00EE23E5" w:rsidP="00EE23E5">
    <w:pPr>
      <w:pStyle w:val="Footer"/>
      <w:jc w:val="center"/>
    </w:pPr>
    <w:r>
      <w:fldChar w:fldCharType="begin"/>
    </w:r>
    <w:r>
      <w:instrText xml:space="preserve"> PAGE   \* MERGEFORMAT </w:instrText>
    </w:r>
    <w:r>
      <w:fldChar w:fldCharType="separate"/>
    </w:r>
    <w:r w:rsidR="00D55FD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848" w:rsidRDefault="00921848">
      <w:r>
        <w:separator/>
      </w:r>
    </w:p>
  </w:footnote>
  <w:footnote w:type="continuationSeparator" w:id="0">
    <w:p w:rsidR="00921848" w:rsidRDefault="00921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5D75"/>
    <w:rsid w:val="0002677F"/>
    <w:rsid w:val="00031F57"/>
    <w:rsid w:val="00063A05"/>
    <w:rsid w:val="0006715D"/>
    <w:rsid w:val="0007189E"/>
    <w:rsid w:val="00077720"/>
    <w:rsid w:val="00077E0E"/>
    <w:rsid w:val="00085CF9"/>
    <w:rsid w:val="00086E84"/>
    <w:rsid w:val="000958AA"/>
    <w:rsid w:val="000A6AE3"/>
    <w:rsid w:val="000B2B68"/>
    <w:rsid w:val="000B3B12"/>
    <w:rsid w:val="000C151C"/>
    <w:rsid w:val="000C1D18"/>
    <w:rsid w:val="000C26E2"/>
    <w:rsid w:val="000D5F5C"/>
    <w:rsid w:val="001062B6"/>
    <w:rsid w:val="0011339C"/>
    <w:rsid w:val="00121032"/>
    <w:rsid w:val="00122EE2"/>
    <w:rsid w:val="00123231"/>
    <w:rsid w:val="00127980"/>
    <w:rsid w:val="00146275"/>
    <w:rsid w:val="0015576E"/>
    <w:rsid w:val="00157730"/>
    <w:rsid w:val="00192897"/>
    <w:rsid w:val="001970BA"/>
    <w:rsid w:val="001A3317"/>
    <w:rsid w:val="001A65F9"/>
    <w:rsid w:val="001B7CF4"/>
    <w:rsid w:val="001C1878"/>
    <w:rsid w:val="001C6D3A"/>
    <w:rsid w:val="001D0B21"/>
    <w:rsid w:val="001D5A10"/>
    <w:rsid w:val="001E1076"/>
    <w:rsid w:val="001E1FA0"/>
    <w:rsid w:val="00202C06"/>
    <w:rsid w:val="002038A7"/>
    <w:rsid w:val="00203C90"/>
    <w:rsid w:val="0021594A"/>
    <w:rsid w:val="002321B0"/>
    <w:rsid w:val="00240E6E"/>
    <w:rsid w:val="00246836"/>
    <w:rsid w:val="00251F34"/>
    <w:rsid w:val="0026052B"/>
    <w:rsid w:val="002644E5"/>
    <w:rsid w:val="00276AAF"/>
    <w:rsid w:val="002801F8"/>
    <w:rsid w:val="00283C7F"/>
    <w:rsid w:val="00287B91"/>
    <w:rsid w:val="002A4C30"/>
    <w:rsid w:val="002B0820"/>
    <w:rsid w:val="002B5578"/>
    <w:rsid w:val="002C5A18"/>
    <w:rsid w:val="002D440A"/>
    <w:rsid w:val="002E18CF"/>
    <w:rsid w:val="002E1C0F"/>
    <w:rsid w:val="002E335E"/>
    <w:rsid w:val="002F1C11"/>
    <w:rsid w:val="00302545"/>
    <w:rsid w:val="003176E1"/>
    <w:rsid w:val="00331821"/>
    <w:rsid w:val="00333D3D"/>
    <w:rsid w:val="003465DC"/>
    <w:rsid w:val="003469CA"/>
    <w:rsid w:val="00353ACC"/>
    <w:rsid w:val="0036696D"/>
    <w:rsid w:val="0038050B"/>
    <w:rsid w:val="00385A1C"/>
    <w:rsid w:val="00386BFC"/>
    <w:rsid w:val="003B15EC"/>
    <w:rsid w:val="003B30B4"/>
    <w:rsid w:val="003B7F09"/>
    <w:rsid w:val="003C10BD"/>
    <w:rsid w:val="003E145C"/>
    <w:rsid w:val="003F30F2"/>
    <w:rsid w:val="00405548"/>
    <w:rsid w:val="00410CDE"/>
    <w:rsid w:val="0041131C"/>
    <w:rsid w:val="00411F64"/>
    <w:rsid w:val="00417D1B"/>
    <w:rsid w:val="004317CB"/>
    <w:rsid w:val="00441A93"/>
    <w:rsid w:val="00443DED"/>
    <w:rsid w:val="00447EE9"/>
    <w:rsid w:val="0045065A"/>
    <w:rsid w:val="004509AD"/>
    <w:rsid w:val="00460EDF"/>
    <w:rsid w:val="00475350"/>
    <w:rsid w:val="00481B44"/>
    <w:rsid w:val="00484662"/>
    <w:rsid w:val="004915B5"/>
    <w:rsid w:val="004A62D7"/>
    <w:rsid w:val="004B09F2"/>
    <w:rsid w:val="004E146D"/>
    <w:rsid w:val="0050197F"/>
    <w:rsid w:val="005040EC"/>
    <w:rsid w:val="00506486"/>
    <w:rsid w:val="0051619C"/>
    <w:rsid w:val="00516A8A"/>
    <w:rsid w:val="0054490A"/>
    <w:rsid w:val="005604E2"/>
    <w:rsid w:val="0056163C"/>
    <w:rsid w:val="005721D4"/>
    <w:rsid w:val="00593A36"/>
    <w:rsid w:val="00594CB3"/>
    <w:rsid w:val="005A1198"/>
    <w:rsid w:val="005B15E5"/>
    <w:rsid w:val="005C2C39"/>
    <w:rsid w:val="005D3EEE"/>
    <w:rsid w:val="005D4107"/>
    <w:rsid w:val="005E4F21"/>
    <w:rsid w:val="005F208A"/>
    <w:rsid w:val="006002DD"/>
    <w:rsid w:val="006013A3"/>
    <w:rsid w:val="006160ED"/>
    <w:rsid w:val="00623B9E"/>
    <w:rsid w:val="00626C22"/>
    <w:rsid w:val="00631F1B"/>
    <w:rsid w:val="0063304D"/>
    <w:rsid w:val="00637AF5"/>
    <w:rsid w:val="00640A26"/>
    <w:rsid w:val="00663881"/>
    <w:rsid w:val="00664553"/>
    <w:rsid w:val="006806E1"/>
    <w:rsid w:val="0069667B"/>
    <w:rsid w:val="006B173F"/>
    <w:rsid w:val="006B17EF"/>
    <w:rsid w:val="006B297F"/>
    <w:rsid w:val="006B5827"/>
    <w:rsid w:val="006C4B2E"/>
    <w:rsid w:val="006E4EED"/>
    <w:rsid w:val="006F2B8B"/>
    <w:rsid w:val="006F4D0F"/>
    <w:rsid w:val="006F7B11"/>
    <w:rsid w:val="0070479A"/>
    <w:rsid w:val="0070480A"/>
    <w:rsid w:val="00704901"/>
    <w:rsid w:val="00712F1B"/>
    <w:rsid w:val="0071317A"/>
    <w:rsid w:val="0071437B"/>
    <w:rsid w:val="007245C9"/>
    <w:rsid w:val="007256B3"/>
    <w:rsid w:val="00742B56"/>
    <w:rsid w:val="00745462"/>
    <w:rsid w:val="00750806"/>
    <w:rsid w:val="00776D5A"/>
    <w:rsid w:val="00783A32"/>
    <w:rsid w:val="00791B0E"/>
    <w:rsid w:val="007949B7"/>
    <w:rsid w:val="00795BAB"/>
    <w:rsid w:val="007A08D1"/>
    <w:rsid w:val="007A2DEE"/>
    <w:rsid w:val="007B007C"/>
    <w:rsid w:val="007B3DDB"/>
    <w:rsid w:val="007B4288"/>
    <w:rsid w:val="007B74AB"/>
    <w:rsid w:val="007D061D"/>
    <w:rsid w:val="007D22EB"/>
    <w:rsid w:val="007E17BD"/>
    <w:rsid w:val="008058E7"/>
    <w:rsid w:val="00806984"/>
    <w:rsid w:val="00810485"/>
    <w:rsid w:val="00814772"/>
    <w:rsid w:val="00824D72"/>
    <w:rsid w:val="00825B97"/>
    <w:rsid w:val="0084775D"/>
    <w:rsid w:val="0086463A"/>
    <w:rsid w:val="008754ED"/>
    <w:rsid w:val="00891CA8"/>
    <w:rsid w:val="00892E12"/>
    <w:rsid w:val="00896BDB"/>
    <w:rsid w:val="008B6774"/>
    <w:rsid w:val="008B7603"/>
    <w:rsid w:val="008D158E"/>
    <w:rsid w:val="008D31F8"/>
    <w:rsid w:val="008E3A3A"/>
    <w:rsid w:val="00906892"/>
    <w:rsid w:val="00911920"/>
    <w:rsid w:val="00921848"/>
    <w:rsid w:val="009252AB"/>
    <w:rsid w:val="00933070"/>
    <w:rsid w:val="00951258"/>
    <w:rsid w:val="00952C5B"/>
    <w:rsid w:val="00955EC4"/>
    <w:rsid w:val="0096349E"/>
    <w:rsid w:val="009748B6"/>
    <w:rsid w:val="00975DD8"/>
    <w:rsid w:val="009A0B16"/>
    <w:rsid w:val="009E3C50"/>
    <w:rsid w:val="009F23D6"/>
    <w:rsid w:val="009F7251"/>
    <w:rsid w:val="009F7BB3"/>
    <w:rsid w:val="00A337E4"/>
    <w:rsid w:val="00A33C65"/>
    <w:rsid w:val="00A34222"/>
    <w:rsid w:val="00A45D82"/>
    <w:rsid w:val="00A504DE"/>
    <w:rsid w:val="00A651A7"/>
    <w:rsid w:val="00A67D76"/>
    <w:rsid w:val="00A706B8"/>
    <w:rsid w:val="00A90F01"/>
    <w:rsid w:val="00AA06A4"/>
    <w:rsid w:val="00AA0858"/>
    <w:rsid w:val="00AA0C27"/>
    <w:rsid w:val="00AB0CA7"/>
    <w:rsid w:val="00AC39FD"/>
    <w:rsid w:val="00AD0977"/>
    <w:rsid w:val="00AD0F0C"/>
    <w:rsid w:val="00AE0527"/>
    <w:rsid w:val="00AF3BEA"/>
    <w:rsid w:val="00B007C5"/>
    <w:rsid w:val="00B01D57"/>
    <w:rsid w:val="00B36661"/>
    <w:rsid w:val="00B46EE1"/>
    <w:rsid w:val="00B57117"/>
    <w:rsid w:val="00B63FB7"/>
    <w:rsid w:val="00B6703E"/>
    <w:rsid w:val="00B67210"/>
    <w:rsid w:val="00B741F6"/>
    <w:rsid w:val="00B92550"/>
    <w:rsid w:val="00B9687D"/>
    <w:rsid w:val="00BA1653"/>
    <w:rsid w:val="00BA401A"/>
    <w:rsid w:val="00BB17F2"/>
    <w:rsid w:val="00BB1F8E"/>
    <w:rsid w:val="00BB4E9D"/>
    <w:rsid w:val="00BC5531"/>
    <w:rsid w:val="00BC7F42"/>
    <w:rsid w:val="00BE1744"/>
    <w:rsid w:val="00BF026F"/>
    <w:rsid w:val="00BF7B5E"/>
    <w:rsid w:val="00C0290B"/>
    <w:rsid w:val="00C02F90"/>
    <w:rsid w:val="00C22097"/>
    <w:rsid w:val="00C241A2"/>
    <w:rsid w:val="00C25FDC"/>
    <w:rsid w:val="00C3371C"/>
    <w:rsid w:val="00C34A91"/>
    <w:rsid w:val="00C377BC"/>
    <w:rsid w:val="00C5104E"/>
    <w:rsid w:val="00C60E61"/>
    <w:rsid w:val="00C67C8A"/>
    <w:rsid w:val="00C67F83"/>
    <w:rsid w:val="00C829D4"/>
    <w:rsid w:val="00C91F3B"/>
    <w:rsid w:val="00C941E2"/>
    <w:rsid w:val="00C94863"/>
    <w:rsid w:val="00CA0B15"/>
    <w:rsid w:val="00CA59D5"/>
    <w:rsid w:val="00CA5F75"/>
    <w:rsid w:val="00CA6CAE"/>
    <w:rsid w:val="00CB7253"/>
    <w:rsid w:val="00CB7557"/>
    <w:rsid w:val="00CC0832"/>
    <w:rsid w:val="00CD07B4"/>
    <w:rsid w:val="00CD667A"/>
    <w:rsid w:val="00CD73F7"/>
    <w:rsid w:val="00CE23C1"/>
    <w:rsid w:val="00CE53D8"/>
    <w:rsid w:val="00D0011E"/>
    <w:rsid w:val="00D03E8A"/>
    <w:rsid w:val="00D337E1"/>
    <w:rsid w:val="00D42EFE"/>
    <w:rsid w:val="00D44900"/>
    <w:rsid w:val="00D5531A"/>
    <w:rsid w:val="00D55FD9"/>
    <w:rsid w:val="00D678F8"/>
    <w:rsid w:val="00DA3272"/>
    <w:rsid w:val="00DA7C23"/>
    <w:rsid w:val="00DB1DB4"/>
    <w:rsid w:val="00DB527A"/>
    <w:rsid w:val="00DD494D"/>
    <w:rsid w:val="00DE6186"/>
    <w:rsid w:val="00E0137B"/>
    <w:rsid w:val="00E065DA"/>
    <w:rsid w:val="00E3164F"/>
    <w:rsid w:val="00E35C0F"/>
    <w:rsid w:val="00E437C5"/>
    <w:rsid w:val="00E75DB0"/>
    <w:rsid w:val="00E80456"/>
    <w:rsid w:val="00E86DEF"/>
    <w:rsid w:val="00E86E88"/>
    <w:rsid w:val="00E956F3"/>
    <w:rsid w:val="00EB4A9D"/>
    <w:rsid w:val="00EC7EFD"/>
    <w:rsid w:val="00ED36D8"/>
    <w:rsid w:val="00EE23E5"/>
    <w:rsid w:val="00EE6086"/>
    <w:rsid w:val="00EF4071"/>
    <w:rsid w:val="00EF765F"/>
    <w:rsid w:val="00F028DE"/>
    <w:rsid w:val="00F0585C"/>
    <w:rsid w:val="00F107B7"/>
    <w:rsid w:val="00F11F57"/>
    <w:rsid w:val="00F14BA8"/>
    <w:rsid w:val="00F15EF8"/>
    <w:rsid w:val="00F16909"/>
    <w:rsid w:val="00F36E53"/>
    <w:rsid w:val="00F4316C"/>
    <w:rsid w:val="00F46176"/>
    <w:rsid w:val="00F5149E"/>
    <w:rsid w:val="00F519BB"/>
    <w:rsid w:val="00F56A74"/>
    <w:rsid w:val="00F57AD9"/>
    <w:rsid w:val="00F80307"/>
    <w:rsid w:val="00F832E5"/>
    <w:rsid w:val="00F870A3"/>
    <w:rsid w:val="00F91762"/>
    <w:rsid w:val="00F9405B"/>
    <w:rsid w:val="00FA0FE2"/>
    <w:rsid w:val="00FA2FAA"/>
    <w:rsid w:val="00FA34E8"/>
    <w:rsid w:val="00FA7D4E"/>
    <w:rsid w:val="00FB6964"/>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EE23E5"/>
    <w:rPr>
      <w:rFonts w:ascii="Courier" w:eastAsia="Times New Roman" w:hAnsi="Courier"/>
      <w:snapToGrid w:val="0"/>
      <w:sz w:val="24"/>
      <w:szCs w:val="24"/>
    </w:rPr>
  </w:style>
  <w:style w:type="character" w:customStyle="1" w:styleId="Heading1Char">
    <w:name w:val="Heading 1 Char"/>
    <w:basedOn w:val="DefaultParagraphFont"/>
    <w:link w:val="Heading1"/>
    <w:rsid w:val="00D55FD9"/>
    <w:rPr>
      <w:rFonts w:ascii="Courier New" w:eastAsia="Times New Roman" w:hAnsi="Courier New" w:cs="Courier New"/>
      <w:b/>
      <w:b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6EE64-0EFD-4088-97CE-607639A5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2017-05-03T14:31:00Z</dcterms:created>
  <dcterms:modified xsi:type="dcterms:W3CDTF">2017-06-13T16:07:00Z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1745429533</vt:i4>
  </property>
  <property fmtid="{D5CDD505-2E9C-101B-9397-08002B2CF9AE}" pid="3" name="_NewReviewCycle">
    <vt:lpwstr/>
  </property>
  <property fmtid="{D5CDD505-2E9C-101B-9397-08002B2CF9AE}" pid="4" name="_ReviewingToolsShownOnce">
    <vt:lpwstr/>
  </property>
</Properties>
</file>