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DBEB" w14:textId="77777777" w:rsidR="00232D22" w:rsidRPr="003C624B" w:rsidRDefault="00232D22" w:rsidP="00AA6774">
      <w:pPr>
        <w:tabs>
          <w:tab w:val="center" w:pos="4680"/>
        </w:tabs>
        <w:jc w:val="center"/>
      </w:pPr>
      <w:r w:rsidRPr="003C624B">
        <w:t>Supporting Statement for Skilled Nursing Facility (SNF)</w:t>
      </w:r>
    </w:p>
    <w:p w14:paraId="58C8B723" w14:textId="77777777" w:rsidR="00232D22" w:rsidRPr="003C624B" w:rsidRDefault="005E1349" w:rsidP="00AA6774">
      <w:pPr>
        <w:tabs>
          <w:tab w:val="center" w:pos="4680"/>
        </w:tabs>
        <w:jc w:val="center"/>
      </w:pPr>
      <w:r w:rsidRPr="003C624B">
        <w:t>Minimum Data Set (MDS) 3.0</w:t>
      </w:r>
      <w:r w:rsidR="00EA1467" w:rsidRPr="003C624B">
        <w:t xml:space="preserve"> Nursing Home and Swing </w:t>
      </w:r>
      <w:r w:rsidR="00735B66" w:rsidRPr="003C624B">
        <w:t>Bed Prospective</w:t>
      </w:r>
      <w:r w:rsidRPr="003C624B">
        <w:t xml:space="preserve"> Payment System (PPS) Item</w:t>
      </w:r>
      <w:r w:rsidR="00EA1467" w:rsidRPr="003C624B">
        <w:t xml:space="preserve"> Sets (NP, NO/SO, NS, NOD</w:t>
      </w:r>
      <w:r w:rsidR="00735B66" w:rsidRPr="003C624B">
        <w:t>, NSD</w:t>
      </w:r>
      <w:r w:rsidR="00EA1467" w:rsidRPr="003C624B">
        <w:t>)</w:t>
      </w:r>
      <w:r w:rsidR="00232D22" w:rsidRPr="003C624B">
        <w:t xml:space="preserve"> and</w:t>
      </w:r>
    </w:p>
    <w:p w14:paraId="2726A1B8" w14:textId="77777777" w:rsidR="00232D22" w:rsidRPr="003C624B" w:rsidRDefault="00232D22" w:rsidP="00AA6774">
      <w:pPr>
        <w:tabs>
          <w:tab w:val="center" w:pos="4680"/>
        </w:tabs>
        <w:jc w:val="center"/>
      </w:pPr>
      <w:r w:rsidRPr="003C624B">
        <w:t>Supporting Regulations in 42 CFR 413.337, 413.343, 424.32 and 483.20</w:t>
      </w:r>
    </w:p>
    <w:p w14:paraId="1016C7D2" w14:textId="29310B1E" w:rsidR="00F52FED" w:rsidRPr="003C624B" w:rsidRDefault="00F52FED" w:rsidP="00AA6774">
      <w:pPr>
        <w:tabs>
          <w:tab w:val="center" w:pos="4680"/>
        </w:tabs>
        <w:jc w:val="center"/>
      </w:pPr>
      <w:r w:rsidRPr="003C624B">
        <w:t xml:space="preserve">CMS-10387, </w:t>
      </w:r>
      <w:r w:rsidR="0099451A">
        <w:t>OMB</w:t>
      </w:r>
      <w:r w:rsidR="0099451A" w:rsidRPr="003C624B">
        <w:t xml:space="preserve"> </w:t>
      </w:r>
      <w:r w:rsidRPr="003C624B">
        <w:t>0938-1140</w:t>
      </w:r>
    </w:p>
    <w:p w14:paraId="54FC6AB3" w14:textId="77777777" w:rsidR="00232D22" w:rsidRPr="003C624B" w:rsidRDefault="00232D22" w:rsidP="00864CFB"/>
    <w:p w14:paraId="729643B2" w14:textId="77777777" w:rsidR="00232D22" w:rsidRPr="003C624B" w:rsidRDefault="00232D22" w:rsidP="00864CFB">
      <w:pPr>
        <w:rPr>
          <w:b/>
        </w:rPr>
      </w:pPr>
      <w:r w:rsidRPr="003C624B">
        <w:rPr>
          <w:b/>
        </w:rPr>
        <w:t>Background</w:t>
      </w:r>
    </w:p>
    <w:p w14:paraId="09AFE85F" w14:textId="77777777" w:rsidR="000E17CA" w:rsidRPr="003C624B" w:rsidRDefault="000E17CA" w:rsidP="00864CFB"/>
    <w:p w14:paraId="3C723CC9" w14:textId="1859B757" w:rsidR="00CA09CA" w:rsidRPr="003C624B" w:rsidRDefault="00EC0D49" w:rsidP="00864CFB">
      <w:r>
        <w:t>W</w:t>
      </w:r>
      <w:r w:rsidR="00232D22" w:rsidRPr="003C624B">
        <w:t xml:space="preserve">e </w:t>
      </w:r>
      <w:r w:rsidR="00495058" w:rsidRPr="003C624B">
        <w:t xml:space="preserve">are </w:t>
      </w:r>
      <w:r w:rsidR="00232D22" w:rsidRPr="003C624B">
        <w:t>request</w:t>
      </w:r>
      <w:r w:rsidR="00495058" w:rsidRPr="003C624B">
        <w:t>ing</w:t>
      </w:r>
      <w:r w:rsidR="00745082">
        <w:t xml:space="preserve"> a revision</w:t>
      </w:r>
      <w:r w:rsidR="002E2621" w:rsidRPr="003C624B">
        <w:t xml:space="preserve"> </w:t>
      </w:r>
      <w:r w:rsidR="00232D22" w:rsidRPr="003C624B">
        <w:t>of resident assessment information that Skilled Nursing Facilities (SNFs) are required to subm</w:t>
      </w:r>
      <w:r w:rsidR="00495058" w:rsidRPr="003C624B">
        <w:t>it as described at 42 CFR 413.343 and 483.20</w:t>
      </w:r>
      <w:r w:rsidR="00232D22" w:rsidRPr="003C624B">
        <w:t xml:space="preserve"> in the manner necessary to administer the payment rate methodology described in 42 CFR 413.337.  </w:t>
      </w:r>
      <w:r w:rsidR="005E1349" w:rsidRPr="003C624B">
        <w:t xml:space="preserve">Item sets </w:t>
      </w:r>
      <w:r w:rsidR="00232D22" w:rsidRPr="003C624B">
        <w:t>comprised of a subset of resident assessment information ha</w:t>
      </w:r>
      <w:r w:rsidR="005E1349" w:rsidRPr="003C624B">
        <w:t>ve</w:t>
      </w:r>
      <w:r w:rsidR="00232D22" w:rsidRPr="003C624B">
        <w:t xml:space="preserve"> been developed for use by SNFs to satisfy Medicare payment requirements</w:t>
      </w:r>
      <w:r w:rsidR="005A13C4">
        <w:t xml:space="preserve"> under the RUG-IV payment system</w:t>
      </w:r>
      <w:r w:rsidR="005E1349" w:rsidRPr="003C624B">
        <w:t xml:space="preserve">. </w:t>
      </w:r>
      <w:r w:rsidR="00232D22" w:rsidRPr="003C624B">
        <w:t>The burden associated with this is the SNF staff time required to complete</w:t>
      </w:r>
      <w:r w:rsidR="00DE416A" w:rsidRPr="003C624B">
        <w:t xml:space="preserve"> and transmit</w:t>
      </w:r>
      <w:r w:rsidR="00232D22" w:rsidRPr="003C624B">
        <w:t xml:space="preserve"> the </w:t>
      </w:r>
      <w:r w:rsidR="005E1349" w:rsidRPr="003C624B">
        <w:t xml:space="preserve">MDS payment item sets, specifically </w:t>
      </w:r>
      <w:r w:rsidR="00C93971" w:rsidRPr="003C624B">
        <w:t xml:space="preserve">the </w:t>
      </w:r>
      <w:r w:rsidR="007C6EEB" w:rsidRPr="003C624B">
        <w:t xml:space="preserve">required </w:t>
      </w:r>
      <w:r w:rsidR="00DE416A" w:rsidRPr="003C624B">
        <w:t>scheduled P</w:t>
      </w:r>
      <w:r w:rsidR="008179F9" w:rsidRPr="003C624B">
        <w:t xml:space="preserve">rospective </w:t>
      </w:r>
      <w:r w:rsidR="00DE416A" w:rsidRPr="003C624B">
        <w:t>P</w:t>
      </w:r>
      <w:r w:rsidR="008179F9" w:rsidRPr="003C624B">
        <w:t xml:space="preserve">ayment </w:t>
      </w:r>
      <w:r w:rsidR="00DE416A" w:rsidRPr="003C624B">
        <w:t>S</w:t>
      </w:r>
      <w:r w:rsidR="008179F9" w:rsidRPr="003C624B">
        <w:t>ystem (PPS)</w:t>
      </w:r>
      <w:r w:rsidR="007C6EEB" w:rsidRPr="003C624B">
        <w:t xml:space="preserve"> </w:t>
      </w:r>
      <w:r w:rsidR="005E1349" w:rsidRPr="003C624B">
        <w:t>assessments</w:t>
      </w:r>
      <w:r w:rsidR="007C6EEB" w:rsidRPr="003C624B">
        <w:t xml:space="preserve"> (NP) </w:t>
      </w:r>
      <w:r w:rsidR="005E1349" w:rsidRPr="003C624B">
        <w:t xml:space="preserve">, </w:t>
      </w:r>
      <w:r w:rsidR="002E101A" w:rsidRPr="003C624B">
        <w:t>the required</w:t>
      </w:r>
      <w:r w:rsidR="005E1349" w:rsidRPr="003C624B">
        <w:t xml:space="preserve"> unscheduled </w:t>
      </w:r>
      <w:r w:rsidR="007C6EEB" w:rsidRPr="003C624B">
        <w:t xml:space="preserve">PPS </w:t>
      </w:r>
      <w:r w:rsidR="005E1349" w:rsidRPr="003C624B">
        <w:t xml:space="preserve">Change of Therapy (COT) </w:t>
      </w:r>
      <w:r w:rsidR="00C93971" w:rsidRPr="003C624B">
        <w:t xml:space="preserve">and End of Therapy (EOT) </w:t>
      </w:r>
      <w:r w:rsidR="005E1349" w:rsidRPr="003C624B">
        <w:t>Other Medicare Related Assessment (OMRA)</w:t>
      </w:r>
      <w:r w:rsidR="00C93971" w:rsidRPr="003C624B">
        <w:t xml:space="preserve"> (NO/SO)</w:t>
      </w:r>
      <w:r w:rsidR="005E1349" w:rsidRPr="003C624B">
        <w:t>, and the optional Start of Therapy (SOT) OMRA</w:t>
      </w:r>
      <w:r w:rsidR="00C93971" w:rsidRPr="003C624B">
        <w:t xml:space="preserve"> (NS)</w:t>
      </w:r>
      <w:r w:rsidR="00735B66" w:rsidRPr="003C624B">
        <w:t xml:space="preserve"> as well as the COT/EOT combined with discharge (NOD) and the SOT combined with discharge (NSD)</w:t>
      </w:r>
      <w:r w:rsidR="00DE416A" w:rsidRPr="003C624B">
        <w:t>.</w:t>
      </w:r>
      <w:r w:rsidR="008179F9" w:rsidRPr="003C624B">
        <w:t xml:space="preserve">  </w:t>
      </w:r>
      <w:r w:rsidR="00C93971" w:rsidRPr="003C624B">
        <w:t xml:space="preserve">OMB Control Number (OCN) 0938-1140) </w:t>
      </w:r>
      <w:r w:rsidR="008179F9" w:rsidRPr="003C624B">
        <w:t>was</w:t>
      </w:r>
      <w:r w:rsidR="00940367" w:rsidRPr="003C624B">
        <w:t xml:space="preserve"> </w:t>
      </w:r>
      <w:r w:rsidR="00F408FA">
        <w:t xml:space="preserve">originally </w:t>
      </w:r>
      <w:r w:rsidR="008179F9" w:rsidRPr="003C624B">
        <w:t>effective with the establishment of the</w:t>
      </w:r>
      <w:r w:rsidR="00C93971" w:rsidRPr="003C624B">
        <w:t xml:space="preserve"> COT OMRA</w:t>
      </w:r>
      <w:r w:rsidR="005E328D">
        <w:t xml:space="preserve"> (NO/SO PPS Form)</w:t>
      </w:r>
      <w:r w:rsidR="00C93971" w:rsidRPr="003C624B">
        <w:t xml:space="preserve"> </w:t>
      </w:r>
      <w:r w:rsidR="008179F9" w:rsidRPr="003C624B">
        <w:t xml:space="preserve">which </w:t>
      </w:r>
      <w:r w:rsidR="00C93971" w:rsidRPr="003C624B">
        <w:t>was implemented in FY</w:t>
      </w:r>
      <w:r w:rsidR="00D761FB" w:rsidRPr="003C624B">
        <w:t xml:space="preserve"> </w:t>
      </w:r>
      <w:r w:rsidR="00C93971" w:rsidRPr="003C624B">
        <w:t>2011</w:t>
      </w:r>
      <w:r w:rsidR="00940367" w:rsidRPr="003C624B">
        <w:t>.</w:t>
      </w:r>
    </w:p>
    <w:p w14:paraId="2174A146" w14:textId="77777777" w:rsidR="00864CFB" w:rsidRDefault="00864CFB" w:rsidP="00864CFB">
      <w:pPr>
        <w:rPr>
          <w:szCs w:val="24"/>
        </w:rPr>
      </w:pPr>
    </w:p>
    <w:p w14:paraId="7E9D92BD" w14:textId="125BC510" w:rsidR="0074059B" w:rsidRPr="0074059B" w:rsidRDefault="0074059B" w:rsidP="00864CFB">
      <w:r>
        <w:t xml:space="preserve">The </w:t>
      </w:r>
      <w:r w:rsidR="006137F1">
        <w:t>OCN</w:t>
      </w:r>
      <w:r w:rsidR="00745082">
        <w:t xml:space="preserve"> recently</w:t>
      </w:r>
      <w:r>
        <w:t xml:space="preserve"> lapsed due to administrative issues. As explain</w:t>
      </w:r>
      <w:r w:rsidR="006137F1">
        <w:t>ed above, the OCN</w:t>
      </w:r>
      <w:r>
        <w:t xml:space="preserve"> was originally established for the NO/SO PPS </w:t>
      </w:r>
      <w:r w:rsidR="006137F1">
        <w:t>form only.  In 2013</w:t>
      </w:r>
      <w:r>
        <w:t xml:space="preserve">, we presented a revision of this OMB control number to include all of the PPS assessments named above. The package was reinstated in 2017; however, the supporting statement and burden estimates inadvertently addressed the 2011 version </w:t>
      </w:r>
      <w:r w:rsidR="006137F1">
        <w:t>and this was brought to our attention</w:t>
      </w:r>
      <w:r>
        <w:t xml:space="preserve"> only a</w:t>
      </w:r>
      <w:r w:rsidR="006137F1">
        <w:t xml:space="preserve">fter the package was reinstated.  </w:t>
      </w:r>
      <w:r>
        <w:t xml:space="preserve">The purpose of this </w:t>
      </w:r>
      <w:r w:rsidR="00745082">
        <w:t>revision</w:t>
      </w:r>
      <w:r>
        <w:t xml:space="preserve"> is to correctly address all of the forms that are associated with this </w:t>
      </w:r>
      <w:r w:rsidR="006137F1">
        <w:t>OCN</w:t>
      </w:r>
      <w:r>
        <w:t xml:space="preserve"> and to ensure that all burden estimates are reported accurately based on the number of forms included.</w:t>
      </w:r>
    </w:p>
    <w:p w14:paraId="6735C485" w14:textId="77777777" w:rsidR="005E328D" w:rsidRDefault="005E328D" w:rsidP="00864CFB"/>
    <w:p w14:paraId="14C10886" w14:textId="77777777" w:rsidR="00475AEC" w:rsidRDefault="00CA09CA" w:rsidP="00864CFB">
      <w:r w:rsidRPr="003C624B">
        <w:t>Although the total number of</w:t>
      </w:r>
      <w:r w:rsidR="008179F9" w:rsidRPr="003C624B">
        <w:t xml:space="preserve"> payment</w:t>
      </w:r>
      <w:r w:rsidRPr="003C624B">
        <w:t xml:space="preserve"> items between the various item sets used for PPS assessments, which are listed above, may vary, the NO/</w:t>
      </w:r>
      <w:r w:rsidR="00475AEC">
        <w:t>SO</w:t>
      </w:r>
      <w:r w:rsidRPr="003C624B">
        <w:t xml:space="preserve"> item set contains the maximum number of payment related items.  The </w:t>
      </w:r>
      <w:r w:rsidR="001A0EF5" w:rsidRPr="003C624B">
        <w:t>NP and NOD</w:t>
      </w:r>
      <w:r w:rsidRPr="003C624B">
        <w:t xml:space="preserve"> item sets include the same number of payment items as the NO/NS item set and the </w:t>
      </w:r>
      <w:r w:rsidR="001A0EF5" w:rsidRPr="003C624B">
        <w:t>NS and NSD</w:t>
      </w:r>
      <w:r w:rsidRPr="003C624B">
        <w:t xml:space="preserve"> item sets include fewer items since the assessment determines payment for a smaller subset of payment groups. Additionally, the non-payment items used for quality and care planning purposes vary between item sets. </w:t>
      </w:r>
      <w:r w:rsidR="00475AEC" w:rsidRPr="003C624B">
        <w:t>The</w:t>
      </w:r>
      <w:r w:rsidR="00F408FA">
        <w:t xml:space="preserve"> NO/SO</w:t>
      </w:r>
      <w:r w:rsidR="00475AEC" w:rsidRPr="003C624B">
        <w:t xml:space="preserve"> form was used as a proxy for the NP, NS, NOD and NSD Item sets inasmuch as it included all MDS payment items which were required to be considered under PRA.   </w:t>
      </w:r>
    </w:p>
    <w:p w14:paraId="581919D6" w14:textId="77777777" w:rsidR="00C93971" w:rsidRPr="003C624B" w:rsidRDefault="00C93971" w:rsidP="00864CFB"/>
    <w:p w14:paraId="5601133D" w14:textId="77777777" w:rsidR="00232D22" w:rsidRPr="003C624B" w:rsidRDefault="004C3B14" w:rsidP="00864CFB">
      <w:pPr>
        <w:rPr>
          <w:b/>
        </w:rPr>
      </w:pPr>
      <w:r w:rsidRPr="003C624B">
        <w:rPr>
          <w:b/>
        </w:rPr>
        <w:t>A</w:t>
      </w:r>
      <w:r w:rsidR="00232D22" w:rsidRPr="003C624B">
        <w:rPr>
          <w:b/>
        </w:rPr>
        <w:t>.</w:t>
      </w:r>
      <w:r w:rsidR="00232D22" w:rsidRPr="003C624B">
        <w:rPr>
          <w:b/>
        </w:rPr>
        <w:tab/>
        <w:t>Justification</w:t>
      </w:r>
      <w:r w:rsidR="008D42DD" w:rsidRPr="003C624B">
        <w:rPr>
          <w:b/>
        </w:rPr>
        <w:t xml:space="preserve"> </w:t>
      </w:r>
    </w:p>
    <w:p w14:paraId="024BE59A" w14:textId="77777777" w:rsidR="00232D22" w:rsidRPr="003C624B" w:rsidRDefault="00232D22" w:rsidP="00864CFB"/>
    <w:p w14:paraId="34B401A3" w14:textId="77777777" w:rsidR="00232D22" w:rsidRPr="003C624B" w:rsidRDefault="00232D22" w:rsidP="00864CFB">
      <w:pPr>
        <w:rPr>
          <w:u w:val="single"/>
        </w:rPr>
      </w:pPr>
      <w:r w:rsidRPr="003C624B">
        <w:t xml:space="preserve">1.  </w:t>
      </w:r>
      <w:r w:rsidRPr="003C624B">
        <w:rPr>
          <w:u w:val="single"/>
        </w:rPr>
        <w:t>Need and Legal Basis</w:t>
      </w:r>
    </w:p>
    <w:p w14:paraId="78AFA900" w14:textId="77777777" w:rsidR="00232D22" w:rsidRPr="003C624B" w:rsidRDefault="00232D22" w:rsidP="00864CFB">
      <w:pPr>
        <w:rPr>
          <w:u w:val="single"/>
        </w:rPr>
      </w:pPr>
    </w:p>
    <w:p w14:paraId="05F34D3B" w14:textId="2D837C32" w:rsidR="00232D22" w:rsidRPr="003C624B" w:rsidRDefault="00232D22" w:rsidP="00864CFB">
      <w:r w:rsidRPr="003C624B">
        <w:lastRenderedPageBreak/>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rsidRPr="003C624B">
        <w:t>ient assessment data for the 5</w:t>
      </w:r>
      <w:r w:rsidR="00495058" w:rsidRPr="003C624B">
        <w:rPr>
          <w:vertAlign w:val="superscript"/>
        </w:rPr>
        <w:t>th</w:t>
      </w:r>
      <w:r w:rsidRPr="003C624B">
        <w:t xml:space="preserve">, </w:t>
      </w:r>
      <w:r w:rsidR="00495058" w:rsidRPr="003C624B">
        <w:t>14</w:t>
      </w:r>
      <w:r w:rsidR="00495058" w:rsidRPr="003C624B">
        <w:rPr>
          <w:vertAlign w:val="superscript"/>
        </w:rPr>
        <w:t>th</w:t>
      </w:r>
      <w:r w:rsidR="00495058" w:rsidRPr="003C624B">
        <w:t>, 30</w:t>
      </w:r>
      <w:r w:rsidR="00495058" w:rsidRPr="003C624B">
        <w:rPr>
          <w:vertAlign w:val="superscript"/>
        </w:rPr>
        <w:t>th</w:t>
      </w:r>
      <w:r w:rsidR="00495058" w:rsidRPr="003C624B">
        <w:t>, 60</w:t>
      </w:r>
      <w:r w:rsidR="00495058" w:rsidRPr="003C624B">
        <w:rPr>
          <w:vertAlign w:val="superscript"/>
        </w:rPr>
        <w:t>th</w:t>
      </w:r>
      <w:r w:rsidR="00495058" w:rsidRPr="003C624B">
        <w:t xml:space="preserve"> and 90</w:t>
      </w:r>
      <w:r w:rsidR="00495058" w:rsidRPr="003C624B">
        <w:rPr>
          <w:vertAlign w:val="superscript"/>
        </w:rPr>
        <w:t>th</w:t>
      </w:r>
      <w:r w:rsidRPr="003C624B">
        <w:t xml:space="preserve"> days of the covered Part A stay</w:t>
      </w:r>
      <w:r w:rsidR="005E1349" w:rsidRPr="003C624B">
        <w:t xml:space="preserve"> and to address payment changes at the end of therapy, start of therapy and </w:t>
      </w:r>
      <w:r w:rsidR="006770CF" w:rsidRPr="003C624B">
        <w:t>when there is a change in reimbursable therapy minutes (RTM) as calculated over a seven-day span based on an Assessment Reference Date (ARD)</w:t>
      </w:r>
      <w:r w:rsidRPr="003C624B">
        <w:t xml:space="preserve">, necessary to administer the payment rate methodology described in 413.337, are subject to the PRA.  </w:t>
      </w:r>
    </w:p>
    <w:p w14:paraId="61E67705" w14:textId="77777777" w:rsidR="00495058" w:rsidRPr="003C624B" w:rsidRDefault="00495058" w:rsidP="00864CFB"/>
    <w:p w14:paraId="6170E98F" w14:textId="740CCBA6" w:rsidR="002F3EEA" w:rsidRDefault="00495058" w:rsidP="00864CFB">
      <w:r w:rsidRPr="003C624B">
        <w:t>OMB r</w:t>
      </w:r>
      <w:r w:rsidR="00363798" w:rsidRPr="003C624B">
        <w:t xml:space="preserve">eviewed and concurred with </w:t>
      </w:r>
      <w:r w:rsidR="002E2621" w:rsidRPr="003C624B">
        <w:t xml:space="preserve">revision to the SNF MDS Item Sets. </w:t>
      </w:r>
      <w:r w:rsidR="00363798" w:rsidRPr="003C624B">
        <w:t xml:space="preserve">  The OMB number </w:t>
      </w:r>
      <w:r w:rsidR="00DE416A" w:rsidRPr="003C624B">
        <w:t xml:space="preserve">is </w:t>
      </w:r>
      <w:r w:rsidR="00363798" w:rsidRPr="003C624B">
        <w:t>0938-</w:t>
      </w:r>
      <w:r w:rsidR="001B3839" w:rsidRPr="003C624B">
        <w:t>1140</w:t>
      </w:r>
      <w:r w:rsidR="00363798" w:rsidRPr="003C624B">
        <w:t xml:space="preserve">, </w:t>
      </w:r>
      <w:r w:rsidR="002F619F" w:rsidRPr="003C624B">
        <w:t xml:space="preserve">and the expiration date </w:t>
      </w:r>
      <w:r w:rsidR="002E2621" w:rsidRPr="003C624B">
        <w:t xml:space="preserve">was </w:t>
      </w:r>
      <w:r w:rsidR="006137F1">
        <w:t xml:space="preserve">January 31, 2015.  </w:t>
      </w:r>
      <w:r w:rsidR="008D744B" w:rsidRPr="003C624B">
        <w:t xml:space="preserve"> </w:t>
      </w:r>
      <w:r w:rsidR="006137F1">
        <w:t xml:space="preserve">This allowed this package </w:t>
      </w:r>
      <w:r w:rsidR="002E2621" w:rsidRPr="003C624B">
        <w:t xml:space="preserve">to </w:t>
      </w:r>
      <w:r w:rsidR="001B3839" w:rsidRPr="003C624B">
        <w:t xml:space="preserve">include the other PPS Item Sets (specifically the </w:t>
      </w:r>
      <w:r w:rsidR="00735B66" w:rsidRPr="003C624B">
        <w:t xml:space="preserve">NP, NS, NOD and NSD </w:t>
      </w:r>
      <w:r w:rsidR="001A495C" w:rsidRPr="003C624B">
        <w:t>Item Sets) as well as the NO/S</w:t>
      </w:r>
      <w:r w:rsidR="001B3839" w:rsidRPr="003C624B">
        <w:t>O Item set.  When we presented NO/SO for PRA consideration, the form</w:t>
      </w:r>
      <w:r w:rsidR="00735B66" w:rsidRPr="003C624B">
        <w:t xml:space="preserve"> was used as a proxy for the NP, NS, NOD and NSD </w:t>
      </w:r>
      <w:r w:rsidR="001B3839" w:rsidRPr="003C624B">
        <w:t xml:space="preserve">Item sets inasmuch as it included all MDS payment items which were required to be considered under PRA. </w:t>
      </w:r>
    </w:p>
    <w:p w14:paraId="43BCFE9F" w14:textId="77777777" w:rsidR="00F408FA" w:rsidRDefault="00F408FA" w:rsidP="00864CFB"/>
    <w:p w14:paraId="667DACAC" w14:textId="104C3F11" w:rsidR="0074059B" w:rsidRDefault="0074059B" w:rsidP="00864CFB">
      <w:r>
        <w:t xml:space="preserve">The </w:t>
      </w:r>
      <w:r w:rsidR="006137F1">
        <w:t>package</w:t>
      </w:r>
      <w:r>
        <w:t xml:space="preserve"> lapsed due to administrative issues. As explained above, the </w:t>
      </w:r>
      <w:r w:rsidR="006137F1">
        <w:t xml:space="preserve">OCN </w:t>
      </w:r>
      <w:r>
        <w:t xml:space="preserve">was originally established for the NO/SO PPS form only.  In 2013, we presented a revision of this OMB control number to include all of the PPS assessments named above. The package was reinstated in 2017; however, the supporting statement and burden estimates inadvertently addressed the 2011 version of </w:t>
      </w:r>
      <w:r w:rsidR="006137F1">
        <w:t>package</w:t>
      </w:r>
      <w:r>
        <w:t xml:space="preserve"> and it was only after</w:t>
      </w:r>
      <w:r w:rsidR="006137F1">
        <w:t xml:space="preserve"> it </w:t>
      </w:r>
      <w:r>
        <w:t xml:space="preserve">was reinstated that this was brought to our attention.  The purpose of this </w:t>
      </w:r>
      <w:r w:rsidR="00745082">
        <w:t>revision</w:t>
      </w:r>
      <w:r>
        <w:t xml:space="preserve"> is to correctly address all of the forms that are associated with this OMB Control Number and to ensure that all burden estimates are reported accurately based on the number of forms included.</w:t>
      </w:r>
    </w:p>
    <w:p w14:paraId="20D04771" w14:textId="77777777" w:rsidR="005E2C17" w:rsidRDefault="005E2C17" w:rsidP="00864CFB"/>
    <w:p w14:paraId="33E9CC9B" w14:textId="77777777" w:rsidR="00232D22" w:rsidRPr="003C624B" w:rsidRDefault="00232D22" w:rsidP="00864CFB">
      <w:r w:rsidRPr="003C624B">
        <w:t xml:space="preserve">2.  </w:t>
      </w:r>
      <w:r w:rsidRPr="003C624B">
        <w:rPr>
          <w:u w:val="single"/>
        </w:rPr>
        <w:t>Information Users</w:t>
      </w:r>
    </w:p>
    <w:p w14:paraId="2B5B1D91" w14:textId="77777777" w:rsidR="00232D22" w:rsidRPr="003C624B" w:rsidRDefault="00232D22" w:rsidP="00864CFB"/>
    <w:p w14:paraId="618A138C" w14:textId="77777777" w:rsidR="00E00DDD" w:rsidRPr="003C624B" w:rsidRDefault="00E00DDD" w:rsidP="00864CFB">
      <w:r w:rsidRPr="003C624B">
        <w:t xml:space="preserve">CMS uses </w:t>
      </w:r>
      <w:r w:rsidR="007E0D32" w:rsidRPr="003C624B">
        <w:t xml:space="preserve">the </w:t>
      </w:r>
      <w:r w:rsidR="008D744B" w:rsidRPr="003C624B">
        <w:t xml:space="preserve">MDS 3.0 PPS Item Set </w:t>
      </w:r>
      <w:r w:rsidRPr="003C624B">
        <w:t>data to reimburse skilled nursing facilities for SNF-level care furnished to Medicare beneficiaries.</w:t>
      </w:r>
    </w:p>
    <w:p w14:paraId="091CD3D4" w14:textId="77777777" w:rsidR="00E00DDD" w:rsidRPr="003C624B" w:rsidRDefault="00E00DDD" w:rsidP="00864CFB"/>
    <w:p w14:paraId="31F72A0F" w14:textId="77777777" w:rsidR="00232D22" w:rsidRPr="003C624B" w:rsidRDefault="00232D22" w:rsidP="00864CFB">
      <w:pPr>
        <w:rPr>
          <w:u w:val="single"/>
        </w:rPr>
      </w:pPr>
      <w:r w:rsidRPr="003C624B">
        <w:t xml:space="preserve">3.  </w:t>
      </w:r>
      <w:r w:rsidRPr="003C624B">
        <w:rPr>
          <w:u w:val="single"/>
        </w:rPr>
        <w:t>Improved Information Technology</w:t>
      </w:r>
    </w:p>
    <w:p w14:paraId="72154435" w14:textId="77777777" w:rsidR="00232D22" w:rsidRPr="003C624B" w:rsidRDefault="00232D22" w:rsidP="00864CFB"/>
    <w:p w14:paraId="34E69F63" w14:textId="77777777" w:rsidR="00E00DDD" w:rsidRPr="003C624B" w:rsidRDefault="00E00DDD" w:rsidP="00864CFB">
      <w:pPr>
        <w:pStyle w:val="BodyTextIndent2"/>
        <w:ind w:left="0"/>
      </w:pPr>
      <w:r w:rsidRPr="003C624B">
        <w:t xml:space="preserve">CMS has developed customized software that allows skilled nursing facilities to encode, store and transmit </w:t>
      </w:r>
      <w:r w:rsidR="008D744B" w:rsidRPr="003C624B">
        <w:t xml:space="preserve">MDS 3.0 </w:t>
      </w:r>
      <w:r w:rsidRPr="003C624B">
        <w:t>data.  The software is available free of charge, and CMS provides customer support for software and transmission problems encountered by the providers.</w:t>
      </w:r>
    </w:p>
    <w:p w14:paraId="0E7D75CE" w14:textId="77777777" w:rsidR="00232D22" w:rsidRPr="003C624B" w:rsidRDefault="00232D22" w:rsidP="00864CFB"/>
    <w:p w14:paraId="7E1D1555" w14:textId="77777777" w:rsidR="00232D22" w:rsidRPr="003C624B" w:rsidRDefault="00232D22" w:rsidP="00864CFB">
      <w:r w:rsidRPr="003C624B">
        <w:t xml:space="preserve">4.  </w:t>
      </w:r>
      <w:r w:rsidRPr="003C624B">
        <w:rPr>
          <w:u w:val="single"/>
        </w:rPr>
        <w:t>Duplication of Similar Information</w:t>
      </w:r>
    </w:p>
    <w:p w14:paraId="3CC8523E" w14:textId="77777777" w:rsidR="00232D22" w:rsidRPr="003C624B" w:rsidRDefault="00232D22" w:rsidP="00864CFB"/>
    <w:p w14:paraId="6C07F1CF" w14:textId="77777777" w:rsidR="00E00DDD" w:rsidRPr="003C624B" w:rsidRDefault="00E00DDD" w:rsidP="00864CFB">
      <w:r w:rsidRPr="003C624B">
        <w:t>The data required for reimbursement are not currently available from any other source.</w:t>
      </w:r>
    </w:p>
    <w:p w14:paraId="07D47183" w14:textId="77777777" w:rsidR="00232D22" w:rsidRPr="003C624B" w:rsidRDefault="00232D22" w:rsidP="00864CFB"/>
    <w:p w14:paraId="7C1363DC" w14:textId="77777777" w:rsidR="00232D22" w:rsidRPr="003C624B" w:rsidRDefault="00232D22" w:rsidP="00864CFB">
      <w:r w:rsidRPr="003C624B">
        <w:t xml:space="preserve">5.  </w:t>
      </w:r>
      <w:r w:rsidRPr="003C624B">
        <w:rPr>
          <w:u w:val="single"/>
        </w:rPr>
        <w:t xml:space="preserve">Small </w:t>
      </w:r>
      <w:r w:rsidR="00BF51A9" w:rsidRPr="003C624B">
        <w:rPr>
          <w:u w:val="single"/>
        </w:rPr>
        <w:t>Entities</w:t>
      </w:r>
    </w:p>
    <w:p w14:paraId="0EEAF4BF" w14:textId="77777777" w:rsidR="00232D22" w:rsidRPr="003C624B" w:rsidRDefault="00232D22" w:rsidP="00864CFB"/>
    <w:p w14:paraId="66BC06BF" w14:textId="0FB1BE96" w:rsidR="00E00DDD" w:rsidRPr="003C624B" w:rsidRDefault="00E00DDD" w:rsidP="00864CFB">
      <w:pPr>
        <w:pStyle w:val="BodyTextIndent"/>
        <w:ind w:left="0"/>
        <w:rPr>
          <w:i w:val="0"/>
        </w:rPr>
      </w:pPr>
      <w:r w:rsidRPr="003C624B">
        <w:rPr>
          <w:i w:val="0"/>
        </w:rPr>
        <w:lastRenderedPageBreak/>
        <w:t>As part of our PRA analysis for an extension of our existing approval, we considered whether the change impacts a significant number of small entities.  In this filing we utilized the instructions that pertain to the</w:t>
      </w:r>
      <w:r w:rsidR="002E101A" w:rsidRPr="003C624B">
        <w:rPr>
          <w:i w:val="0"/>
        </w:rPr>
        <w:t xml:space="preserve"> P</w:t>
      </w:r>
      <w:r w:rsidR="00426054" w:rsidRPr="003C624B">
        <w:rPr>
          <w:i w:val="0"/>
        </w:rPr>
        <w:t>aperwork Reduction Act Submission W</w:t>
      </w:r>
      <w:bookmarkStart w:id="0" w:name="_GoBack"/>
      <w:bookmarkEnd w:id="0"/>
      <w:r w:rsidR="00426054" w:rsidRPr="003C624B">
        <w:rPr>
          <w:i w:val="0"/>
        </w:rPr>
        <w:t>orksheet, Part II</w:t>
      </w:r>
      <w:r w:rsidRPr="003C624B">
        <w:rPr>
          <w:i w:val="0"/>
        </w:rPr>
        <w:t xml:space="preserve"> to determine the number of small entities.  </w:t>
      </w:r>
      <w:r w:rsidR="00426054" w:rsidRPr="003C624B">
        <w:rPr>
          <w:i w:val="0"/>
        </w:rPr>
        <w:t xml:space="preserve">Specifically, a small entity can be defined as a small organization that is any not-for-profit enterprise that is independently owned and operated and is not dominant in its field. </w:t>
      </w:r>
      <w:r w:rsidR="003B402D" w:rsidRPr="003C624B">
        <w:rPr>
          <w:i w:val="0"/>
        </w:rPr>
        <w:t>D</w:t>
      </w:r>
      <w:r w:rsidR="00426054" w:rsidRPr="003C624B">
        <w:rPr>
          <w:i w:val="0"/>
        </w:rPr>
        <w:t xml:space="preserve">ata </w:t>
      </w:r>
      <w:r w:rsidR="006770CF" w:rsidRPr="003C624B">
        <w:rPr>
          <w:i w:val="0"/>
        </w:rPr>
        <w:t xml:space="preserve">indicate that in </w:t>
      </w:r>
      <w:r w:rsidR="00956412">
        <w:rPr>
          <w:i w:val="0"/>
        </w:rPr>
        <w:t>2016</w:t>
      </w:r>
      <w:r w:rsidR="00940367" w:rsidRPr="003C624B">
        <w:rPr>
          <w:i w:val="0"/>
        </w:rPr>
        <w:t xml:space="preserve"> </w:t>
      </w:r>
      <w:r w:rsidR="006770CF" w:rsidRPr="003C624B">
        <w:rPr>
          <w:i w:val="0"/>
        </w:rPr>
        <w:t>2</w:t>
      </w:r>
      <w:r w:rsidR="00956412">
        <w:rPr>
          <w:i w:val="0"/>
        </w:rPr>
        <w:t>3</w:t>
      </w:r>
      <w:r w:rsidR="006770CF" w:rsidRPr="003C624B">
        <w:rPr>
          <w:i w:val="0"/>
        </w:rPr>
        <w:t xml:space="preserve">% of the total SNF number were non-profit.  This equates to </w:t>
      </w:r>
      <w:r w:rsidR="003B402D" w:rsidRPr="003C624B">
        <w:rPr>
          <w:i w:val="0"/>
        </w:rPr>
        <w:t>3,</w:t>
      </w:r>
      <w:r w:rsidR="00EC0D49">
        <w:rPr>
          <w:i w:val="0"/>
        </w:rPr>
        <w:t>590</w:t>
      </w:r>
      <w:r w:rsidR="00EC0D49" w:rsidRPr="003C624B">
        <w:rPr>
          <w:i w:val="0"/>
        </w:rPr>
        <w:t xml:space="preserve"> </w:t>
      </w:r>
      <w:r w:rsidR="006770CF" w:rsidRPr="003C624B">
        <w:rPr>
          <w:i w:val="0"/>
        </w:rPr>
        <w:t xml:space="preserve">non-profit SNFs. </w:t>
      </w:r>
      <w:r w:rsidRPr="003C624B">
        <w:rPr>
          <w:i w:val="0"/>
        </w:rPr>
        <w:t xml:space="preserve">  </w:t>
      </w:r>
      <w:r w:rsidR="00426054" w:rsidRPr="003C624B">
        <w:rPr>
          <w:i w:val="0"/>
        </w:rPr>
        <w:t xml:space="preserve"> </w:t>
      </w:r>
    </w:p>
    <w:p w14:paraId="565BB28A" w14:textId="77777777" w:rsidR="00232D22" w:rsidRPr="003C624B" w:rsidRDefault="00232D22" w:rsidP="00864CFB"/>
    <w:p w14:paraId="16DD3A37" w14:textId="77777777" w:rsidR="00232D22" w:rsidRPr="003C624B" w:rsidRDefault="00232D22" w:rsidP="00864CFB">
      <w:r w:rsidRPr="003C624B">
        <w:t xml:space="preserve">6.  </w:t>
      </w:r>
      <w:r w:rsidR="006770CF" w:rsidRPr="003C624B">
        <w:rPr>
          <w:u w:val="single"/>
        </w:rPr>
        <w:t>Collection Frequency</w:t>
      </w:r>
    </w:p>
    <w:p w14:paraId="400F20E7" w14:textId="77777777" w:rsidR="00232D22" w:rsidRPr="003C624B" w:rsidRDefault="00232D22" w:rsidP="00864CFB"/>
    <w:p w14:paraId="1F6E1E5A" w14:textId="7F476E12" w:rsidR="00EF3CBF" w:rsidRDefault="00EC0D49" w:rsidP="00864CFB">
      <w:r>
        <w:t>U</w:t>
      </w:r>
      <w:r w:rsidR="005A13C4">
        <w:t xml:space="preserve">nder the RUG-IV payment system </w:t>
      </w:r>
      <w:r w:rsidR="003A59C9">
        <w:t>w</w:t>
      </w:r>
      <w:r w:rsidR="00232D22" w:rsidRPr="003C624B">
        <w:t xml:space="preserve">e need to collect this information </w:t>
      </w:r>
      <w:r w:rsidR="00363798" w:rsidRPr="003C624B">
        <w:t>at</w:t>
      </w:r>
      <w:r w:rsidR="00232D22" w:rsidRPr="003C624B">
        <w:t xml:space="preserve"> the required frequency </w:t>
      </w:r>
      <w:r w:rsidR="00363798" w:rsidRPr="003C624B">
        <w:t xml:space="preserve">(i.e., at </w:t>
      </w:r>
      <w:r w:rsidR="006770CF" w:rsidRPr="003C624B">
        <w:t xml:space="preserve">scheduled </w:t>
      </w:r>
      <w:r w:rsidR="00363798" w:rsidRPr="003C624B">
        <w:t xml:space="preserve">time periods throughout the SNF Part A stay; that is, </w:t>
      </w:r>
      <w:r w:rsidR="006770CF" w:rsidRPr="003C624B">
        <w:t xml:space="preserve">approximately </w:t>
      </w:r>
      <w:r w:rsidR="00363798" w:rsidRPr="003C624B">
        <w:t xml:space="preserve">on </w:t>
      </w:r>
      <w:r w:rsidR="00897DC5">
        <w:t>D</w:t>
      </w:r>
      <w:r w:rsidR="00363798" w:rsidRPr="003C624B">
        <w:t>ays 5, 14, 30, 60, and 90</w:t>
      </w:r>
      <w:r w:rsidR="006770CF" w:rsidRPr="003C624B">
        <w:t xml:space="preserve"> as well as at </w:t>
      </w:r>
      <w:r w:rsidR="004A6568" w:rsidRPr="003C624B">
        <w:t>unscheduled</w:t>
      </w:r>
      <w:r w:rsidR="006770CF" w:rsidRPr="003C624B">
        <w:t xml:space="preserve"> time periods throughout the SNF Part A stay; that is when therapy starts, when therapy ends, and when there is a change in reimbursable therapy minutes (RTM) over a seven-day span based on the Assessment Reference Date (ARD) </w:t>
      </w:r>
      <w:r w:rsidR="00363798" w:rsidRPr="003C624B">
        <w:t xml:space="preserve"> in order to</w:t>
      </w:r>
      <w:r w:rsidR="00232D22" w:rsidRPr="003C624B">
        <w:t xml:space="preserve"> </w:t>
      </w:r>
      <w:r w:rsidR="00363798" w:rsidRPr="003C624B">
        <w:t>calculate</w:t>
      </w:r>
      <w:r w:rsidR="00232D22" w:rsidRPr="003C624B">
        <w:t xml:space="preserve"> payment</w:t>
      </w:r>
      <w:r w:rsidR="00363798" w:rsidRPr="003C624B">
        <w:t xml:space="preserve"> under the SNF PPS</w:t>
      </w:r>
      <w:r w:rsidR="003A59C9">
        <w:t>.</w:t>
      </w:r>
    </w:p>
    <w:p w14:paraId="050D2110" w14:textId="77777777" w:rsidR="003A59C9" w:rsidRDefault="003A59C9" w:rsidP="00864CFB"/>
    <w:p w14:paraId="36C1D493" w14:textId="65A3A6FD" w:rsidR="00232D22" w:rsidRPr="003C624B" w:rsidRDefault="00232D22" w:rsidP="00864CFB">
      <w:r w:rsidRPr="003C624B">
        <w:t xml:space="preserve">7.  </w:t>
      </w:r>
      <w:r w:rsidRPr="003C624B">
        <w:rPr>
          <w:u w:val="single"/>
        </w:rPr>
        <w:t>Special Circumstances</w:t>
      </w:r>
    </w:p>
    <w:p w14:paraId="4504D43C" w14:textId="77777777" w:rsidR="00232D22" w:rsidRPr="003C624B" w:rsidRDefault="00232D22" w:rsidP="00864CFB"/>
    <w:p w14:paraId="654ECA8D" w14:textId="77777777" w:rsidR="00EF3CBF" w:rsidRPr="003C624B" w:rsidRDefault="00EF3CBF" w:rsidP="00864CFB">
      <w:r w:rsidRPr="003C624B">
        <w:t xml:space="preserve">The information must be collected at periodic intervals throughout a skilled nursing facility inpatient admission, and is used to calculate the skilled nursing facility’s payment rate.  </w:t>
      </w:r>
    </w:p>
    <w:p w14:paraId="1ABD6B60" w14:textId="77777777" w:rsidR="00232D22" w:rsidRPr="003C624B" w:rsidRDefault="00232D22" w:rsidP="00864CFB"/>
    <w:p w14:paraId="6FCD07C8" w14:textId="77777777" w:rsidR="00232D22" w:rsidRDefault="00232D22" w:rsidP="00864CFB">
      <w:pPr>
        <w:rPr>
          <w:u w:val="single"/>
        </w:rPr>
      </w:pPr>
      <w:r w:rsidRPr="003C624B">
        <w:t xml:space="preserve">8.  </w:t>
      </w:r>
      <w:r w:rsidRPr="003C624B">
        <w:rPr>
          <w:u w:val="single"/>
        </w:rPr>
        <w:t>Federal Register Notice/Outside Consultation</w:t>
      </w:r>
    </w:p>
    <w:p w14:paraId="17885D84" w14:textId="77777777" w:rsidR="006137F1" w:rsidRDefault="006137F1" w:rsidP="00864CFB">
      <w:pPr>
        <w:rPr>
          <w:u w:val="single"/>
        </w:rPr>
      </w:pPr>
    </w:p>
    <w:p w14:paraId="5818DA5E" w14:textId="77777777" w:rsidR="00714611" w:rsidRPr="0041595B" w:rsidRDefault="00714611" w:rsidP="00864CFB">
      <w:pPr>
        <w:rPr>
          <w:szCs w:val="24"/>
        </w:rPr>
      </w:pPr>
      <w:r w:rsidRPr="0041595B">
        <w:rPr>
          <w:szCs w:val="24"/>
        </w:rPr>
        <w:t>The 60-day Federal Register notice published on July 21, 2015 (80 FR 43091). The 30-day Federal Register notice published on October 2, 2015 (80 FR 59781). No comments were received during the comment period.</w:t>
      </w:r>
    </w:p>
    <w:p w14:paraId="415F683D" w14:textId="77777777" w:rsidR="00232D22" w:rsidRPr="003C624B" w:rsidRDefault="00232D22" w:rsidP="00864CFB"/>
    <w:p w14:paraId="042EC7F4" w14:textId="77777777" w:rsidR="00232D22" w:rsidRPr="003C624B" w:rsidRDefault="00232D22" w:rsidP="00864CFB">
      <w:r w:rsidRPr="003C624B">
        <w:t xml:space="preserve">9.  </w:t>
      </w:r>
      <w:r w:rsidRPr="003C624B">
        <w:rPr>
          <w:u w:val="single"/>
        </w:rPr>
        <w:t xml:space="preserve">Payment/Gift </w:t>
      </w:r>
      <w:r w:rsidR="00F20412" w:rsidRPr="003C624B">
        <w:rPr>
          <w:u w:val="single"/>
        </w:rPr>
        <w:t>to</w:t>
      </w:r>
      <w:r w:rsidRPr="003C624B">
        <w:rPr>
          <w:u w:val="single"/>
        </w:rPr>
        <w:t xml:space="preserve"> Respondent</w:t>
      </w:r>
    </w:p>
    <w:p w14:paraId="11B97C50" w14:textId="77777777" w:rsidR="00232D22" w:rsidRPr="003C624B" w:rsidRDefault="00232D22" w:rsidP="00864CFB"/>
    <w:p w14:paraId="13E2C409" w14:textId="77777777" w:rsidR="00232D22" w:rsidRPr="003C624B" w:rsidRDefault="00232D22" w:rsidP="00864CFB">
      <w:r w:rsidRPr="003C624B">
        <w:t>There were no gifts and no payment to respondents.</w:t>
      </w:r>
    </w:p>
    <w:p w14:paraId="7D873EDE" w14:textId="77777777" w:rsidR="00232D22" w:rsidRPr="003C624B" w:rsidRDefault="00232D22" w:rsidP="00864CFB"/>
    <w:p w14:paraId="4883D44B" w14:textId="77777777" w:rsidR="00232D22" w:rsidRPr="003C624B" w:rsidRDefault="00232D22" w:rsidP="00864CFB">
      <w:r w:rsidRPr="003C624B">
        <w:t xml:space="preserve">10.  </w:t>
      </w:r>
      <w:r w:rsidRPr="003C624B">
        <w:rPr>
          <w:u w:val="single"/>
        </w:rPr>
        <w:t>Confidentiality</w:t>
      </w:r>
    </w:p>
    <w:p w14:paraId="04740EA7" w14:textId="77777777" w:rsidR="00F53D7F" w:rsidRPr="003C624B" w:rsidRDefault="00F53D7F" w:rsidP="00864CFB"/>
    <w:p w14:paraId="7362C221" w14:textId="77777777" w:rsidR="00F53D7F" w:rsidRPr="003C624B" w:rsidRDefault="00F53D7F" w:rsidP="00864CFB">
      <w:r w:rsidRPr="003C624B">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14:paraId="2EBE654C" w14:textId="77777777" w:rsidR="00232D22" w:rsidRPr="003C624B" w:rsidRDefault="00232D22" w:rsidP="00864CFB"/>
    <w:p w14:paraId="5940F172" w14:textId="77777777" w:rsidR="00232D22" w:rsidRPr="003C624B" w:rsidRDefault="00232D22" w:rsidP="00864CFB">
      <w:r w:rsidRPr="003C624B">
        <w:t xml:space="preserve">11.  </w:t>
      </w:r>
      <w:r w:rsidRPr="003C624B">
        <w:rPr>
          <w:u w:val="single"/>
        </w:rPr>
        <w:t>Sensitive Questions</w:t>
      </w:r>
    </w:p>
    <w:p w14:paraId="2B7B7E47" w14:textId="77777777" w:rsidR="00232D22" w:rsidRPr="003C624B" w:rsidRDefault="00232D22" w:rsidP="00864CFB"/>
    <w:p w14:paraId="3BA837CB" w14:textId="77777777" w:rsidR="00232D22" w:rsidRPr="003C624B" w:rsidRDefault="00232D22" w:rsidP="00864CFB">
      <w:r w:rsidRPr="003C624B">
        <w:t>There are no sensitive questions.</w:t>
      </w:r>
    </w:p>
    <w:p w14:paraId="3F7143F5" w14:textId="77777777" w:rsidR="00232D22" w:rsidRPr="003C624B" w:rsidRDefault="00232D22" w:rsidP="00864CFB"/>
    <w:p w14:paraId="7748E657" w14:textId="77777777" w:rsidR="00232D22" w:rsidRPr="003C624B" w:rsidRDefault="00232D22" w:rsidP="00864CFB">
      <w:r w:rsidRPr="003C624B">
        <w:lastRenderedPageBreak/>
        <w:t xml:space="preserve">12.  </w:t>
      </w:r>
      <w:r w:rsidRPr="003C624B">
        <w:rPr>
          <w:u w:val="single"/>
        </w:rPr>
        <w:t>Burden Estimate (Total Hours &amp; Wages)</w:t>
      </w:r>
    </w:p>
    <w:p w14:paraId="42B99DBA" w14:textId="77777777" w:rsidR="00EF3CBF" w:rsidRPr="003C624B" w:rsidRDefault="00EF3CBF" w:rsidP="00864CFB"/>
    <w:p w14:paraId="65E4C7CD" w14:textId="77777777" w:rsidR="00B542C8" w:rsidRPr="003C624B" w:rsidRDefault="00B542C8" w:rsidP="00864CFB">
      <w:r w:rsidRPr="00864CFB">
        <w:t xml:space="preserve">As required under Section 1888(e)(7) of the Act, skilled nursing facilities must be reimbursed under the SNF PPS.  We have updated the MDS burden estimates on </w:t>
      </w:r>
      <w:r w:rsidRPr="003C624B">
        <w:t>skilled nursing facilities</w:t>
      </w:r>
      <w:r w:rsidR="003C624B" w:rsidRPr="003C624B">
        <w:t xml:space="preserve">. </w:t>
      </w:r>
      <w:r w:rsidRPr="003C624B">
        <w:t>The hourly burden estimate for each assessment has not changed.  We have used FY</w:t>
      </w:r>
      <w:r w:rsidR="00D761FB" w:rsidRPr="003C624B">
        <w:t xml:space="preserve"> </w:t>
      </w:r>
      <w:r w:rsidRPr="003C624B">
        <w:t>201</w:t>
      </w:r>
      <w:r w:rsidR="003C624B" w:rsidRPr="003C624B">
        <w:t>6</w:t>
      </w:r>
      <w:r w:rsidRPr="003C624B">
        <w:t xml:space="preserve"> data to calculate the frequency and numbers of assessments completed.   Any burden estimate changes between FY</w:t>
      </w:r>
      <w:r w:rsidR="00D761FB" w:rsidRPr="003C624B">
        <w:t xml:space="preserve"> </w:t>
      </w:r>
      <w:r w:rsidRPr="003C624B">
        <w:t>201</w:t>
      </w:r>
      <w:r w:rsidR="003C624B" w:rsidRPr="003C624B">
        <w:t>3</w:t>
      </w:r>
      <w:r w:rsidRPr="003C624B">
        <w:t xml:space="preserve"> and now reflect the frequency with which the assessments are completed. This includes all of the updated wage and SNF demographic data. </w:t>
      </w:r>
    </w:p>
    <w:p w14:paraId="5BA12670" w14:textId="77777777" w:rsidR="001C7254" w:rsidRPr="003C624B" w:rsidRDefault="001C7254" w:rsidP="00864CFB"/>
    <w:p w14:paraId="112BD7FE" w14:textId="1F75A883" w:rsidR="00EF3CBF" w:rsidRPr="003C624B" w:rsidRDefault="001C7254" w:rsidP="00864CFB">
      <w:pPr>
        <w:pStyle w:val="ListParagraph"/>
        <w:numPr>
          <w:ilvl w:val="0"/>
          <w:numId w:val="7"/>
        </w:numPr>
        <w:ind w:left="0" w:firstLine="0"/>
        <w:contextualSpacing w:val="0"/>
        <w:rPr>
          <w:u w:val="single"/>
        </w:rPr>
      </w:pPr>
      <w:r>
        <w:t xml:space="preserve"> </w:t>
      </w:r>
      <w:r w:rsidR="006770CF" w:rsidRPr="003C624B">
        <w:rPr>
          <w:u w:val="single"/>
        </w:rPr>
        <w:t xml:space="preserve">MDS 3.0 </w:t>
      </w:r>
      <w:r w:rsidR="00F66435" w:rsidRPr="003C624B">
        <w:rPr>
          <w:u w:val="single"/>
        </w:rPr>
        <w:t>PPS Item</w:t>
      </w:r>
      <w:r w:rsidR="00370797" w:rsidRPr="003C624B">
        <w:rPr>
          <w:u w:val="single"/>
        </w:rPr>
        <w:t xml:space="preserve"> Sets</w:t>
      </w:r>
      <w:r w:rsidR="006770CF" w:rsidRPr="003C624B">
        <w:rPr>
          <w:u w:val="single"/>
        </w:rPr>
        <w:t xml:space="preserve">  </w:t>
      </w:r>
      <w:r w:rsidR="00EF3CBF" w:rsidRPr="003C624B">
        <w:rPr>
          <w:u w:val="single"/>
        </w:rPr>
        <w:t>Preparation, Encoding and Transmission Time</w:t>
      </w:r>
    </w:p>
    <w:p w14:paraId="5A09DD79" w14:textId="77777777" w:rsidR="00EF3CBF" w:rsidRPr="003C624B" w:rsidRDefault="00EF3CBF" w:rsidP="00864CFB"/>
    <w:p w14:paraId="47825F9F" w14:textId="1E1FE8A5" w:rsidR="00EF3CBF" w:rsidRPr="003C624B" w:rsidRDefault="00EF3CBF" w:rsidP="00864CFB">
      <w:bookmarkStart w:id="1" w:name="OLE_LINK1"/>
      <w:bookmarkStart w:id="2" w:name="OLE_LINK2"/>
      <w:r w:rsidRPr="003C624B">
        <w:t xml:space="preserve">According to </w:t>
      </w:r>
      <w:r w:rsidR="002E101A" w:rsidRPr="003C624B">
        <w:t xml:space="preserve">the On-Line </w:t>
      </w:r>
      <w:r w:rsidR="004A6568" w:rsidRPr="003C624B">
        <w:t xml:space="preserve">Certification </w:t>
      </w:r>
      <w:r w:rsidR="00F20412" w:rsidRPr="003C624B">
        <w:t>and</w:t>
      </w:r>
      <w:r w:rsidR="004A6568" w:rsidRPr="003C624B">
        <w:t xml:space="preserve"> Survey Provider Enhanced Reports (CASPER)</w:t>
      </w:r>
      <w:r w:rsidR="004B0DAF" w:rsidRPr="003C624B">
        <w:t xml:space="preserve"> there were </w:t>
      </w:r>
      <w:r w:rsidR="006668F5" w:rsidRPr="003C624B">
        <w:rPr>
          <w:szCs w:val="24"/>
        </w:rPr>
        <w:t>15,44</w:t>
      </w:r>
      <w:r w:rsidR="00897DC5">
        <w:rPr>
          <w:szCs w:val="24"/>
        </w:rPr>
        <w:t>7</w:t>
      </w:r>
      <w:r w:rsidR="006668F5" w:rsidRPr="003C624B">
        <w:rPr>
          <w:szCs w:val="24"/>
        </w:rPr>
        <w:t xml:space="preserve"> skilled nursing facilities certified to participate in the Medicare program during FY 2016</w:t>
      </w:r>
      <w:r w:rsidRPr="003C624B">
        <w:t xml:space="preserve">.  </w:t>
      </w:r>
      <w:r w:rsidR="00DE416A" w:rsidRPr="003C624B">
        <w:t xml:space="preserve">In that time </w:t>
      </w:r>
      <w:r w:rsidR="003812E9" w:rsidRPr="00B703A5">
        <w:t xml:space="preserve">6,563,344 </w:t>
      </w:r>
      <w:r w:rsidR="001E58FA" w:rsidRPr="003C624B">
        <w:t>PPS Assessments were completed</w:t>
      </w:r>
      <w:r w:rsidR="007364F8" w:rsidRPr="003C624B">
        <w:t xml:space="preserve"> for purposes of payment</w:t>
      </w:r>
      <w:r w:rsidR="001E58FA" w:rsidRPr="003C624B">
        <w:t xml:space="preserve">. </w:t>
      </w:r>
      <w:bookmarkEnd w:id="1"/>
      <w:bookmarkEnd w:id="2"/>
    </w:p>
    <w:p w14:paraId="6F9B297B" w14:textId="77777777" w:rsidR="00F408FA" w:rsidRDefault="00F408FA" w:rsidP="00864CFB">
      <w:pPr>
        <w:rPr>
          <w:szCs w:val="24"/>
        </w:rPr>
      </w:pPr>
    </w:p>
    <w:p w14:paraId="2E9341E8" w14:textId="1E854833" w:rsidR="003812E9" w:rsidRPr="003C624B" w:rsidRDefault="003812E9" w:rsidP="00864CFB">
      <w:r w:rsidRPr="003C624B">
        <w:rPr>
          <w:szCs w:val="24"/>
        </w:rPr>
        <w:t>According to the On-Line Survey and Certification System (OSCAR), there were approximately 15,44</w:t>
      </w:r>
      <w:r w:rsidR="00897DC5">
        <w:rPr>
          <w:szCs w:val="24"/>
        </w:rPr>
        <w:t>7</w:t>
      </w:r>
      <w:r w:rsidRPr="003C624B">
        <w:rPr>
          <w:szCs w:val="24"/>
        </w:rPr>
        <w:t xml:space="preserve"> skilled nursing facilities in FY 2016.  Based on our analysis of claims submitted during FY 2016 from a query of the SNF Standard Analytic File (SAF), we determined that during this t</w:t>
      </w:r>
      <w:r w:rsidRPr="003C624B">
        <w:t xml:space="preserve">ime </w:t>
      </w:r>
      <w:r w:rsidRPr="00B703A5">
        <w:t xml:space="preserve">6,563,344 </w:t>
      </w:r>
      <w:r w:rsidRPr="003C624B">
        <w:t>PPS Assessments were completed for purposes of payment</w:t>
      </w:r>
      <w:r w:rsidR="00D746F8">
        <w:rPr>
          <w:szCs w:val="24"/>
        </w:rPr>
        <w:t xml:space="preserve">.  </w:t>
      </w:r>
      <w:r w:rsidR="00AC7941">
        <w:rPr>
          <w:szCs w:val="24"/>
        </w:rPr>
        <w:t>As</w:t>
      </w:r>
      <w:r w:rsidR="00AC7941" w:rsidRPr="003C624B">
        <w:rPr>
          <w:szCs w:val="24"/>
        </w:rPr>
        <w:t xml:space="preserve"> </w:t>
      </w:r>
      <w:r w:rsidRPr="003C624B">
        <w:rPr>
          <w:szCs w:val="24"/>
        </w:rPr>
        <w:t xml:space="preserve">determined by the aforementioned claims analysis, and the number of SNFs, as determined by the aforementioned OSCAR query, we calculated that the </w:t>
      </w:r>
      <w:r w:rsidRPr="003C624B">
        <w:t>average per facility number of PPS Assessments completed</w:t>
      </w:r>
      <w:r w:rsidR="00BB4486">
        <w:t xml:space="preserve"> (rounded to the nearest whole number)</w:t>
      </w:r>
      <w:r w:rsidRPr="003C624B">
        <w:t xml:space="preserve"> is </w:t>
      </w:r>
      <w:r w:rsidR="00BB4486">
        <w:t>425</w:t>
      </w:r>
      <w:r w:rsidR="00AC7941" w:rsidRPr="003C624B">
        <w:t xml:space="preserve"> </w:t>
      </w:r>
      <w:r w:rsidRPr="003C624B">
        <w:t xml:space="preserve">assessments per year.  </w:t>
      </w:r>
      <w:r w:rsidRPr="003C624B">
        <w:rPr>
          <w:szCs w:val="24"/>
        </w:rPr>
        <w:t xml:space="preserve">We anticipate an average of </w:t>
      </w:r>
      <w:r w:rsidR="00BB4486">
        <w:rPr>
          <w:szCs w:val="24"/>
        </w:rPr>
        <w:t>425</w:t>
      </w:r>
      <w:r w:rsidR="00AC7941" w:rsidRPr="003C624B">
        <w:rPr>
          <w:szCs w:val="24"/>
        </w:rPr>
        <w:t xml:space="preserve"> </w:t>
      </w:r>
      <w:r w:rsidRPr="003C624B">
        <w:rPr>
          <w:szCs w:val="24"/>
        </w:rPr>
        <w:t>PPS assessments to be completed per year going forwar</w:t>
      </w:r>
      <w:r w:rsidR="007B3A96">
        <w:rPr>
          <w:szCs w:val="24"/>
        </w:rPr>
        <w:t>d</w:t>
      </w:r>
      <w:r w:rsidR="00237869">
        <w:rPr>
          <w:szCs w:val="24"/>
        </w:rPr>
        <w:t>.</w:t>
      </w:r>
      <w:r w:rsidRPr="003C624B">
        <w:rPr>
          <w:szCs w:val="24"/>
        </w:rPr>
        <w:t xml:space="preserve"> </w:t>
      </w:r>
    </w:p>
    <w:p w14:paraId="62541C40" w14:textId="77777777" w:rsidR="003812E9" w:rsidRPr="003C624B" w:rsidRDefault="003812E9" w:rsidP="00864CFB">
      <w:pPr>
        <w:rPr>
          <w:szCs w:val="24"/>
        </w:rPr>
      </w:pPr>
    </w:p>
    <w:p w14:paraId="4FCC9B37" w14:textId="329011D9" w:rsidR="003812E9" w:rsidRPr="003C624B" w:rsidRDefault="00CB716E" w:rsidP="00864CFB">
      <w:pPr>
        <w:rPr>
          <w:szCs w:val="24"/>
        </w:rPr>
      </w:pPr>
      <w:r>
        <w:rPr>
          <w:szCs w:val="24"/>
        </w:rPr>
        <w:t>Based on improved understanding of the MDS 3.0 and after discussions with clinicians, w</w:t>
      </w:r>
      <w:r w:rsidR="003812E9" w:rsidRPr="003C624B">
        <w:rPr>
          <w:szCs w:val="24"/>
        </w:rPr>
        <w:t xml:space="preserve">e estimate that it will take 40 minutes (0.6667 hours) to collect the information necessary for coding a </w:t>
      </w:r>
      <w:r w:rsidR="00960157" w:rsidRPr="003C624B">
        <w:rPr>
          <w:szCs w:val="24"/>
        </w:rPr>
        <w:t>PPS Assessment</w:t>
      </w:r>
      <w:r w:rsidR="003812E9" w:rsidRPr="003C624B">
        <w:rPr>
          <w:szCs w:val="24"/>
        </w:rPr>
        <w:t>, 10 minutes (0.1667 hours) to code the responses, and 1 minutes (0.0167 hours) to transmit the results, or a total of 51 minutes (</w:t>
      </w:r>
      <w:r w:rsidR="00C27C9F">
        <w:rPr>
          <w:szCs w:val="24"/>
        </w:rPr>
        <w:t>.85</w:t>
      </w:r>
      <w:r w:rsidR="003812E9" w:rsidRPr="003C624B">
        <w:rPr>
          <w:szCs w:val="24"/>
        </w:rPr>
        <w:t xml:space="preserve"> hours) to complete a single </w:t>
      </w:r>
      <w:r w:rsidR="00960157" w:rsidRPr="003C624B">
        <w:rPr>
          <w:szCs w:val="24"/>
        </w:rPr>
        <w:t>PPS Assessment</w:t>
      </w:r>
      <w:r w:rsidR="003812E9" w:rsidRPr="003C624B">
        <w:rPr>
          <w:szCs w:val="24"/>
        </w:rPr>
        <w:t xml:space="preserve">.  </w:t>
      </w:r>
    </w:p>
    <w:p w14:paraId="776B7042" w14:textId="77777777" w:rsidR="003812E9" w:rsidRPr="003C624B" w:rsidRDefault="003812E9" w:rsidP="00864CFB">
      <w:pPr>
        <w:rPr>
          <w:szCs w:val="24"/>
        </w:rPr>
      </w:pPr>
      <w:r w:rsidRPr="003C624B">
        <w:rPr>
          <w:szCs w:val="24"/>
        </w:rPr>
        <w:t xml:space="preserve">    </w:t>
      </w:r>
    </w:p>
    <w:p w14:paraId="6FBE87AA" w14:textId="365C30D8" w:rsidR="003812E9" w:rsidRPr="003C624B" w:rsidRDefault="003812E9" w:rsidP="00864CFB">
      <w:pPr>
        <w:rPr>
          <w:szCs w:val="24"/>
        </w:rPr>
      </w:pPr>
      <w:r w:rsidRPr="003C624B">
        <w:rPr>
          <w:szCs w:val="24"/>
        </w:rPr>
        <w:t xml:space="preserve">The total estimated hours for </w:t>
      </w:r>
      <w:r w:rsidR="00F408FA">
        <w:rPr>
          <w:szCs w:val="24"/>
        </w:rPr>
        <w:t>MDS 3.0 PPS Assessment</w:t>
      </w:r>
      <w:r w:rsidRPr="003C624B">
        <w:rPr>
          <w:szCs w:val="24"/>
        </w:rPr>
        <w:t xml:space="preserve"> preparation, coding and transmission</w:t>
      </w:r>
      <w:r w:rsidR="00CB716E">
        <w:rPr>
          <w:szCs w:val="24"/>
        </w:rPr>
        <w:t xml:space="preserve"> per facility are 361.</w:t>
      </w:r>
      <w:r w:rsidR="00ED6E62">
        <w:rPr>
          <w:szCs w:val="24"/>
        </w:rPr>
        <w:t>2925</w:t>
      </w:r>
      <w:r w:rsidR="00CB716E">
        <w:rPr>
          <w:szCs w:val="24"/>
        </w:rPr>
        <w:t xml:space="preserve"> hours/year (</w:t>
      </w:r>
      <w:r w:rsidR="00ED6E62">
        <w:rPr>
          <w:szCs w:val="24"/>
        </w:rPr>
        <w:t>283.3475</w:t>
      </w:r>
      <w:r w:rsidR="00ED6E62">
        <w:rPr>
          <w:szCs w:val="24"/>
        </w:rPr>
        <w:t xml:space="preserve"> </w:t>
      </w:r>
      <w:r w:rsidR="00CB716E">
        <w:rPr>
          <w:szCs w:val="24"/>
        </w:rPr>
        <w:t>+</w:t>
      </w:r>
      <w:r w:rsidR="00ED6E62">
        <w:rPr>
          <w:szCs w:val="24"/>
        </w:rPr>
        <w:t xml:space="preserve"> </w:t>
      </w:r>
      <w:r w:rsidR="00ED6E62">
        <w:rPr>
          <w:szCs w:val="24"/>
        </w:rPr>
        <w:t>70.8475</w:t>
      </w:r>
      <w:r w:rsidR="00ED6E62">
        <w:rPr>
          <w:szCs w:val="24"/>
        </w:rPr>
        <w:t xml:space="preserve"> </w:t>
      </w:r>
      <w:r w:rsidR="00CB716E">
        <w:rPr>
          <w:szCs w:val="24"/>
        </w:rPr>
        <w:t>+</w:t>
      </w:r>
      <w:r w:rsidR="00ED6E62">
        <w:rPr>
          <w:szCs w:val="24"/>
        </w:rPr>
        <w:t xml:space="preserve"> </w:t>
      </w:r>
      <w:r w:rsidR="00ED6E62">
        <w:rPr>
          <w:szCs w:val="24"/>
        </w:rPr>
        <w:t>7.0975</w:t>
      </w:r>
      <w:r w:rsidR="00CB716E">
        <w:rPr>
          <w:szCs w:val="24"/>
        </w:rPr>
        <w:t>).  The total estimated hours for MDS 3.0 PPS Assessment preparation and coding across all facilities</w:t>
      </w:r>
      <w:r w:rsidRPr="003C624B">
        <w:rPr>
          <w:szCs w:val="24"/>
        </w:rPr>
        <w:t xml:space="preserve"> are</w:t>
      </w:r>
      <w:r w:rsidR="00D46C82" w:rsidRPr="003C624B">
        <w:rPr>
          <w:szCs w:val="24"/>
        </w:rPr>
        <w:t xml:space="preserve"> </w:t>
      </w:r>
      <w:r w:rsidR="00BB4486">
        <w:rPr>
          <w:szCs w:val="24"/>
        </w:rPr>
        <w:t>5,580,885</w:t>
      </w:r>
      <w:r w:rsidR="00B053FC">
        <w:rPr>
          <w:szCs w:val="24"/>
        </w:rPr>
        <w:t xml:space="preserve"> </w:t>
      </w:r>
      <w:r w:rsidRPr="003C624B">
        <w:rPr>
          <w:szCs w:val="24"/>
        </w:rPr>
        <w:t>hours/year (</w:t>
      </w:r>
      <w:r w:rsidR="00BB4486">
        <w:rPr>
          <w:szCs w:val="24"/>
        </w:rPr>
        <w:t>4,376,869 + 1,094,381 + 109,635</w:t>
      </w:r>
      <w:r w:rsidR="00C36D8B">
        <w:rPr>
          <w:szCs w:val="24"/>
        </w:rPr>
        <w:t>)</w:t>
      </w:r>
      <w:r w:rsidRPr="003C624B">
        <w:rPr>
          <w:szCs w:val="24"/>
        </w:rPr>
        <w:t xml:space="preserve"> the break-out for each component of </w:t>
      </w:r>
      <w:r w:rsidR="00CB716E">
        <w:rPr>
          <w:szCs w:val="24"/>
        </w:rPr>
        <w:t>these estimates</w:t>
      </w:r>
      <w:r w:rsidRPr="003C624B">
        <w:rPr>
          <w:szCs w:val="24"/>
        </w:rPr>
        <w:t xml:space="preserve"> is shown below.</w:t>
      </w:r>
    </w:p>
    <w:p w14:paraId="4A3FC753" w14:textId="77777777" w:rsidR="00F53D7F" w:rsidRPr="003C624B" w:rsidRDefault="00F53D7F" w:rsidP="00864CFB"/>
    <w:p w14:paraId="0BCE9E96" w14:textId="77777777" w:rsidR="00EF3CBF" w:rsidRPr="00B703A5" w:rsidRDefault="00F66435" w:rsidP="00864CFB">
      <w:pPr>
        <w:outlineLvl w:val="0"/>
        <w:rPr>
          <w:b/>
        </w:rPr>
      </w:pPr>
      <w:r w:rsidRPr="00B703A5">
        <w:rPr>
          <w:b/>
        </w:rPr>
        <w:t>MDS 3.0 PPS Item</w:t>
      </w:r>
      <w:r w:rsidR="00E00E24" w:rsidRPr="00B703A5">
        <w:rPr>
          <w:b/>
        </w:rPr>
        <w:t xml:space="preserve"> Set</w:t>
      </w:r>
      <w:r w:rsidRPr="00B703A5">
        <w:rPr>
          <w:b/>
        </w:rPr>
        <w:t xml:space="preserve"> </w:t>
      </w:r>
      <w:r w:rsidR="00EF3CBF" w:rsidRPr="00B703A5">
        <w:rPr>
          <w:b/>
        </w:rPr>
        <w:t>Preparation</w:t>
      </w:r>
      <w:r w:rsidR="00D46C82" w:rsidRPr="003C624B">
        <w:rPr>
          <w:b/>
        </w:rPr>
        <w:t>:</w:t>
      </w:r>
    </w:p>
    <w:p w14:paraId="61BE004F" w14:textId="77777777" w:rsidR="00960157" w:rsidRPr="003C624B" w:rsidRDefault="00960157" w:rsidP="00864CFB">
      <w:pPr>
        <w:outlineLvl w:val="0"/>
        <w:rPr>
          <w:szCs w:val="24"/>
        </w:rPr>
      </w:pPr>
    </w:p>
    <w:tbl>
      <w:tblPr>
        <w:tblW w:w="1010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80"/>
        <w:gridCol w:w="1800"/>
        <w:gridCol w:w="1800"/>
        <w:gridCol w:w="2610"/>
      </w:tblGrid>
      <w:tr w:rsidR="00642CBF" w:rsidRPr="003C624B" w14:paraId="46B33E79" w14:textId="77777777" w:rsidTr="00642CBF">
        <w:tc>
          <w:tcPr>
            <w:tcW w:w="1911" w:type="dxa"/>
          </w:tcPr>
          <w:p w14:paraId="511EAE84" w14:textId="77777777" w:rsidR="00642CBF" w:rsidRPr="003C624B" w:rsidRDefault="00642CBF" w:rsidP="00864CFB">
            <w:pPr>
              <w:rPr>
                <w:szCs w:val="24"/>
              </w:rPr>
            </w:pPr>
            <w:r w:rsidRPr="003C624B">
              <w:rPr>
                <w:szCs w:val="24"/>
              </w:rPr>
              <w:t>Average No. of Assessments Reporting</w:t>
            </w:r>
          </w:p>
        </w:tc>
        <w:tc>
          <w:tcPr>
            <w:tcW w:w="1980" w:type="dxa"/>
          </w:tcPr>
          <w:p w14:paraId="76CBE02D" w14:textId="5DC7041C" w:rsidR="00642CBF" w:rsidRPr="003C624B" w:rsidRDefault="00642CBF" w:rsidP="00864CFB">
            <w:pPr>
              <w:rPr>
                <w:szCs w:val="24"/>
              </w:rPr>
            </w:pPr>
            <w:r>
              <w:rPr>
                <w:szCs w:val="24"/>
              </w:rPr>
              <w:t>Completion Time</w:t>
            </w:r>
          </w:p>
        </w:tc>
        <w:tc>
          <w:tcPr>
            <w:tcW w:w="1800" w:type="dxa"/>
          </w:tcPr>
          <w:p w14:paraId="6B79376F" w14:textId="66DEA1BC" w:rsidR="00642CBF" w:rsidRPr="003C624B" w:rsidRDefault="00642CBF" w:rsidP="00864CFB">
            <w:pPr>
              <w:rPr>
                <w:szCs w:val="24"/>
              </w:rPr>
            </w:pPr>
            <w:r>
              <w:rPr>
                <w:szCs w:val="24"/>
              </w:rPr>
              <w:t>Completion Time per facility per year</w:t>
            </w:r>
          </w:p>
        </w:tc>
        <w:tc>
          <w:tcPr>
            <w:tcW w:w="1800" w:type="dxa"/>
          </w:tcPr>
          <w:p w14:paraId="3D3FFD31" w14:textId="04E31F81" w:rsidR="00642CBF" w:rsidRPr="003C624B" w:rsidRDefault="00642CBF" w:rsidP="00864CFB">
            <w:pPr>
              <w:rPr>
                <w:szCs w:val="24"/>
              </w:rPr>
            </w:pPr>
            <w:r>
              <w:rPr>
                <w:szCs w:val="24"/>
              </w:rPr>
              <w:t>Number of Respondents</w:t>
            </w:r>
          </w:p>
        </w:tc>
        <w:tc>
          <w:tcPr>
            <w:tcW w:w="2610" w:type="dxa"/>
          </w:tcPr>
          <w:p w14:paraId="066408D3" w14:textId="0381BF83" w:rsidR="00642CBF" w:rsidRPr="003C624B" w:rsidRDefault="00642CBF" w:rsidP="00864CFB">
            <w:pPr>
              <w:rPr>
                <w:szCs w:val="24"/>
              </w:rPr>
            </w:pPr>
            <w:r w:rsidRPr="003C624B">
              <w:rPr>
                <w:szCs w:val="24"/>
              </w:rPr>
              <w:t xml:space="preserve">Total Annual Hour Burden </w:t>
            </w:r>
            <w:r>
              <w:rPr>
                <w:szCs w:val="24"/>
              </w:rPr>
              <w:t>Across all Facilities per year</w:t>
            </w:r>
          </w:p>
        </w:tc>
      </w:tr>
      <w:tr w:rsidR="00642CBF" w:rsidRPr="003C624B" w14:paraId="3A922A34" w14:textId="77777777" w:rsidTr="00642CBF">
        <w:tc>
          <w:tcPr>
            <w:tcW w:w="1911" w:type="dxa"/>
          </w:tcPr>
          <w:p w14:paraId="65708E28" w14:textId="4C2EA773" w:rsidR="00642CBF" w:rsidRPr="003C624B" w:rsidRDefault="00642CBF" w:rsidP="00864CFB">
            <w:pPr>
              <w:rPr>
                <w:szCs w:val="24"/>
              </w:rPr>
            </w:pPr>
            <w:r>
              <w:rPr>
                <w:szCs w:val="24"/>
              </w:rPr>
              <w:t>425</w:t>
            </w:r>
            <w:r w:rsidRPr="003C624B">
              <w:rPr>
                <w:szCs w:val="24"/>
              </w:rPr>
              <w:t xml:space="preserve"> Per Respondent/year</w:t>
            </w:r>
          </w:p>
        </w:tc>
        <w:tc>
          <w:tcPr>
            <w:tcW w:w="1980" w:type="dxa"/>
          </w:tcPr>
          <w:p w14:paraId="71945201" w14:textId="77777777" w:rsidR="00642CBF" w:rsidRPr="003C624B" w:rsidRDefault="00642CBF" w:rsidP="00864CFB">
            <w:pPr>
              <w:rPr>
                <w:szCs w:val="24"/>
              </w:rPr>
            </w:pPr>
            <w:r w:rsidRPr="003C624B">
              <w:rPr>
                <w:szCs w:val="24"/>
              </w:rPr>
              <w:t>0.6667 hours</w:t>
            </w:r>
          </w:p>
        </w:tc>
        <w:tc>
          <w:tcPr>
            <w:tcW w:w="1800" w:type="dxa"/>
          </w:tcPr>
          <w:p w14:paraId="43A116D3" w14:textId="04AF5117" w:rsidR="00642CBF" w:rsidRDefault="00730244" w:rsidP="00864CFB">
            <w:pPr>
              <w:rPr>
                <w:szCs w:val="24"/>
              </w:rPr>
            </w:pPr>
            <w:r>
              <w:rPr>
                <w:szCs w:val="24"/>
              </w:rPr>
              <w:t>283.3475</w:t>
            </w:r>
            <w:r w:rsidR="00642CBF">
              <w:rPr>
                <w:szCs w:val="24"/>
              </w:rPr>
              <w:t xml:space="preserve"> hours/year</w:t>
            </w:r>
          </w:p>
        </w:tc>
        <w:tc>
          <w:tcPr>
            <w:tcW w:w="1800" w:type="dxa"/>
          </w:tcPr>
          <w:p w14:paraId="0804600C" w14:textId="183C4187" w:rsidR="00642CBF" w:rsidRDefault="00642CBF" w:rsidP="00864CFB">
            <w:pPr>
              <w:rPr>
                <w:szCs w:val="24"/>
              </w:rPr>
            </w:pPr>
            <w:r>
              <w:rPr>
                <w:szCs w:val="24"/>
              </w:rPr>
              <w:t>15,447</w:t>
            </w:r>
          </w:p>
        </w:tc>
        <w:tc>
          <w:tcPr>
            <w:tcW w:w="2610" w:type="dxa"/>
          </w:tcPr>
          <w:p w14:paraId="621AD60A" w14:textId="5AE1158B" w:rsidR="00642CBF" w:rsidRPr="003C624B" w:rsidRDefault="00642CBF" w:rsidP="00864CFB">
            <w:pPr>
              <w:rPr>
                <w:szCs w:val="24"/>
              </w:rPr>
            </w:pPr>
            <w:r>
              <w:rPr>
                <w:szCs w:val="24"/>
              </w:rPr>
              <w:t xml:space="preserve">4,376,869 </w:t>
            </w:r>
            <w:r w:rsidRPr="003C624B">
              <w:rPr>
                <w:szCs w:val="24"/>
              </w:rPr>
              <w:t>hours/year</w:t>
            </w:r>
          </w:p>
        </w:tc>
      </w:tr>
    </w:tbl>
    <w:p w14:paraId="1469EE4D" w14:textId="77777777" w:rsidR="00960157" w:rsidRPr="003C624B" w:rsidRDefault="00960157" w:rsidP="00864CFB">
      <w:pPr>
        <w:rPr>
          <w:szCs w:val="24"/>
          <w:highlight w:val="yellow"/>
        </w:rPr>
      </w:pPr>
    </w:p>
    <w:p w14:paraId="3EE7B88B" w14:textId="77777777" w:rsidR="00960157" w:rsidRDefault="00960157" w:rsidP="00864CFB">
      <w:pPr>
        <w:outlineLvl w:val="0"/>
        <w:rPr>
          <w:b/>
          <w:szCs w:val="24"/>
        </w:rPr>
      </w:pPr>
      <w:r w:rsidRPr="003C624B">
        <w:rPr>
          <w:b/>
          <w:szCs w:val="24"/>
        </w:rPr>
        <w:t xml:space="preserve">MDS 3.0 PPS Item Set Coding:  </w:t>
      </w:r>
    </w:p>
    <w:p w14:paraId="63D8090B" w14:textId="77777777" w:rsidR="00642CBF" w:rsidRDefault="00642CBF" w:rsidP="00864CFB">
      <w:pPr>
        <w:outlineLvl w:val="0"/>
        <w:rPr>
          <w:b/>
          <w:szCs w:val="24"/>
        </w:rPr>
      </w:pPr>
    </w:p>
    <w:tbl>
      <w:tblPr>
        <w:tblW w:w="1010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80"/>
        <w:gridCol w:w="1800"/>
        <w:gridCol w:w="1800"/>
        <w:gridCol w:w="2610"/>
      </w:tblGrid>
      <w:tr w:rsidR="00642CBF" w:rsidRPr="003C624B" w14:paraId="2490831E" w14:textId="77777777" w:rsidTr="000A2F91">
        <w:tc>
          <w:tcPr>
            <w:tcW w:w="1911" w:type="dxa"/>
          </w:tcPr>
          <w:p w14:paraId="35FB78F3" w14:textId="77777777" w:rsidR="00642CBF" w:rsidRPr="003C624B" w:rsidRDefault="00642CBF" w:rsidP="00864CFB">
            <w:pPr>
              <w:rPr>
                <w:szCs w:val="24"/>
              </w:rPr>
            </w:pPr>
            <w:r w:rsidRPr="003C624B">
              <w:rPr>
                <w:szCs w:val="24"/>
              </w:rPr>
              <w:t>Average No. of Assessments Reporting</w:t>
            </w:r>
          </w:p>
        </w:tc>
        <w:tc>
          <w:tcPr>
            <w:tcW w:w="1980" w:type="dxa"/>
          </w:tcPr>
          <w:p w14:paraId="0B5BE02B" w14:textId="77777777" w:rsidR="00642CBF" w:rsidRPr="003C624B" w:rsidRDefault="00642CBF" w:rsidP="00864CFB">
            <w:pPr>
              <w:rPr>
                <w:szCs w:val="24"/>
              </w:rPr>
            </w:pPr>
            <w:r>
              <w:rPr>
                <w:szCs w:val="24"/>
              </w:rPr>
              <w:t>Completion Time</w:t>
            </w:r>
          </w:p>
        </w:tc>
        <w:tc>
          <w:tcPr>
            <w:tcW w:w="1800" w:type="dxa"/>
          </w:tcPr>
          <w:p w14:paraId="5EB37596" w14:textId="77777777" w:rsidR="00642CBF" w:rsidRPr="003C624B" w:rsidRDefault="00642CBF" w:rsidP="00864CFB">
            <w:pPr>
              <w:rPr>
                <w:szCs w:val="24"/>
              </w:rPr>
            </w:pPr>
            <w:r>
              <w:rPr>
                <w:szCs w:val="24"/>
              </w:rPr>
              <w:t>Completion Time per facility per year</w:t>
            </w:r>
          </w:p>
        </w:tc>
        <w:tc>
          <w:tcPr>
            <w:tcW w:w="1800" w:type="dxa"/>
          </w:tcPr>
          <w:p w14:paraId="25B2DC87" w14:textId="77777777" w:rsidR="00642CBF" w:rsidRPr="003C624B" w:rsidRDefault="00642CBF" w:rsidP="00864CFB">
            <w:pPr>
              <w:rPr>
                <w:szCs w:val="24"/>
              </w:rPr>
            </w:pPr>
            <w:r>
              <w:rPr>
                <w:szCs w:val="24"/>
              </w:rPr>
              <w:t>Number of Respondents</w:t>
            </w:r>
          </w:p>
        </w:tc>
        <w:tc>
          <w:tcPr>
            <w:tcW w:w="2610" w:type="dxa"/>
          </w:tcPr>
          <w:p w14:paraId="59C2E322" w14:textId="77777777" w:rsidR="00642CBF" w:rsidRPr="003C624B" w:rsidRDefault="00642CBF" w:rsidP="00864CFB">
            <w:pPr>
              <w:rPr>
                <w:szCs w:val="24"/>
              </w:rPr>
            </w:pPr>
            <w:r w:rsidRPr="003C624B">
              <w:rPr>
                <w:szCs w:val="24"/>
              </w:rPr>
              <w:t xml:space="preserve">Total Annual Hour Burden </w:t>
            </w:r>
            <w:r>
              <w:rPr>
                <w:szCs w:val="24"/>
              </w:rPr>
              <w:t>Across all Facilities per year</w:t>
            </w:r>
          </w:p>
        </w:tc>
      </w:tr>
      <w:tr w:rsidR="00642CBF" w:rsidRPr="003C624B" w14:paraId="1FE5D37A" w14:textId="77777777" w:rsidTr="000A2F91">
        <w:tc>
          <w:tcPr>
            <w:tcW w:w="1911" w:type="dxa"/>
          </w:tcPr>
          <w:p w14:paraId="5702E1BA" w14:textId="77777777" w:rsidR="00642CBF" w:rsidRPr="003C624B" w:rsidRDefault="00642CBF" w:rsidP="00864CFB">
            <w:pPr>
              <w:rPr>
                <w:szCs w:val="24"/>
              </w:rPr>
            </w:pPr>
            <w:r>
              <w:rPr>
                <w:szCs w:val="24"/>
              </w:rPr>
              <w:t>425</w:t>
            </w:r>
            <w:r w:rsidRPr="003C624B">
              <w:rPr>
                <w:szCs w:val="24"/>
              </w:rPr>
              <w:t xml:space="preserve"> Per Respondent/year</w:t>
            </w:r>
          </w:p>
        </w:tc>
        <w:tc>
          <w:tcPr>
            <w:tcW w:w="1980" w:type="dxa"/>
          </w:tcPr>
          <w:p w14:paraId="249A6F85" w14:textId="11042619" w:rsidR="00642CBF" w:rsidRPr="003C624B" w:rsidRDefault="00642CBF" w:rsidP="00864CFB">
            <w:pPr>
              <w:rPr>
                <w:szCs w:val="24"/>
              </w:rPr>
            </w:pPr>
            <w:r>
              <w:rPr>
                <w:szCs w:val="24"/>
              </w:rPr>
              <w:t>0.1667 hours</w:t>
            </w:r>
          </w:p>
        </w:tc>
        <w:tc>
          <w:tcPr>
            <w:tcW w:w="1800" w:type="dxa"/>
          </w:tcPr>
          <w:p w14:paraId="53B4F7B7" w14:textId="61C7DDDE" w:rsidR="00642CBF" w:rsidRDefault="00730244" w:rsidP="00864CFB">
            <w:pPr>
              <w:rPr>
                <w:szCs w:val="24"/>
              </w:rPr>
            </w:pPr>
            <w:r>
              <w:rPr>
                <w:szCs w:val="24"/>
              </w:rPr>
              <w:t xml:space="preserve">70.8475 </w:t>
            </w:r>
            <w:r w:rsidR="00642CBF">
              <w:rPr>
                <w:szCs w:val="24"/>
              </w:rPr>
              <w:t>hours/year</w:t>
            </w:r>
          </w:p>
        </w:tc>
        <w:tc>
          <w:tcPr>
            <w:tcW w:w="1800" w:type="dxa"/>
          </w:tcPr>
          <w:p w14:paraId="608FFC5F" w14:textId="77777777" w:rsidR="00642CBF" w:rsidRDefault="00642CBF" w:rsidP="00864CFB">
            <w:pPr>
              <w:rPr>
                <w:szCs w:val="24"/>
              </w:rPr>
            </w:pPr>
            <w:r>
              <w:rPr>
                <w:szCs w:val="24"/>
              </w:rPr>
              <w:t>15,447</w:t>
            </w:r>
          </w:p>
        </w:tc>
        <w:tc>
          <w:tcPr>
            <w:tcW w:w="2610" w:type="dxa"/>
          </w:tcPr>
          <w:p w14:paraId="0ED1C100" w14:textId="4A338343" w:rsidR="00642CBF" w:rsidRPr="003C624B" w:rsidRDefault="00642CBF" w:rsidP="00864CFB">
            <w:pPr>
              <w:rPr>
                <w:szCs w:val="24"/>
              </w:rPr>
            </w:pPr>
            <w:r>
              <w:rPr>
                <w:szCs w:val="24"/>
              </w:rPr>
              <w:t xml:space="preserve">1,094,381 </w:t>
            </w:r>
            <w:r w:rsidRPr="003C624B">
              <w:rPr>
                <w:szCs w:val="24"/>
              </w:rPr>
              <w:t>hours/year</w:t>
            </w:r>
          </w:p>
        </w:tc>
      </w:tr>
    </w:tbl>
    <w:p w14:paraId="2748D42F" w14:textId="77777777" w:rsidR="00960157" w:rsidRPr="003C624B" w:rsidRDefault="00960157" w:rsidP="00864CFB">
      <w:pPr>
        <w:rPr>
          <w:szCs w:val="24"/>
          <w:highlight w:val="yellow"/>
        </w:rPr>
      </w:pPr>
    </w:p>
    <w:p w14:paraId="3000E9AA" w14:textId="77777777" w:rsidR="00960157" w:rsidRDefault="00960157" w:rsidP="00864CFB">
      <w:pPr>
        <w:outlineLvl w:val="0"/>
        <w:rPr>
          <w:b/>
          <w:szCs w:val="24"/>
        </w:rPr>
      </w:pPr>
      <w:r w:rsidRPr="003C624B">
        <w:rPr>
          <w:b/>
          <w:szCs w:val="24"/>
        </w:rPr>
        <w:t xml:space="preserve">MDS 3.0 PPS Item Set Transmission:  </w:t>
      </w:r>
    </w:p>
    <w:p w14:paraId="32DF968E" w14:textId="77777777" w:rsidR="00642CBF" w:rsidRDefault="00642CBF" w:rsidP="00864CFB">
      <w:pPr>
        <w:outlineLvl w:val="0"/>
        <w:rPr>
          <w:b/>
          <w:szCs w:val="24"/>
        </w:rPr>
      </w:pPr>
    </w:p>
    <w:tbl>
      <w:tblPr>
        <w:tblW w:w="1010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80"/>
        <w:gridCol w:w="1800"/>
        <w:gridCol w:w="1800"/>
        <w:gridCol w:w="2610"/>
      </w:tblGrid>
      <w:tr w:rsidR="00642CBF" w:rsidRPr="003C624B" w14:paraId="085DCD4E" w14:textId="77777777" w:rsidTr="000A2F91">
        <w:tc>
          <w:tcPr>
            <w:tcW w:w="1911" w:type="dxa"/>
          </w:tcPr>
          <w:p w14:paraId="71724FC5" w14:textId="77777777" w:rsidR="00642CBF" w:rsidRPr="003C624B" w:rsidRDefault="00642CBF" w:rsidP="00864CFB">
            <w:pPr>
              <w:rPr>
                <w:szCs w:val="24"/>
              </w:rPr>
            </w:pPr>
            <w:r w:rsidRPr="003C624B">
              <w:rPr>
                <w:szCs w:val="24"/>
              </w:rPr>
              <w:t>Average No. of Assessments Reporting</w:t>
            </w:r>
          </w:p>
        </w:tc>
        <w:tc>
          <w:tcPr>
            <w:tcW w:w="1980" w:type="dxa"/>
          </w:tcPr>
          <w:p w14:paraId="496B3E2A" w14:textId="77777777" w:rsidR="00642CBF" w:rsidRPr="003C624B" w:rsidRDefault="00642CBF" w:rsidP="00864CFB">
            <w:pPr>
              <w:rPr>
                <w:szCs w:val="24"/>
              </w:rPr>
            </w:pPr>
            <w:r>
              <w:rPr>
                <w:szCs w:val="24"/>
              </w:rPr>
              <w:t>Completion Time</w:t>
            </w:r>
          </w:p>
        </w:tc>
        <w:tc>
          <w:tcPr>
            <w:tcW w:w="1800" w:type="dxa"/>
          </w:tcPr>
          <w:p w14:paraId="323CA601" w14:textId="77777777" w:rsidR="00642CBF" w:rsidRPr="003C624B" w:rsidRDefault="00642CBF" w:rsidP="00864CFB">
            <w:pPr>
              <w:rPr>
                <w:szCs w:val="24"/>
              </w:rPr>
            </w:pPr>
            <w:r>
              <w:rPr>
                <w:szCs w:val="24"/>
              </w:rPr>
              <w:t>Completion Time per facility per year</w:t>
            </w:r>
          </w:p>
        </w:tc>
        <w:tc>
          <w:tcPr>
            <w:tcW w:w="1800" w:type="dxa"/>
          </w:tcPr>
          <w:p w14:paraId="5BB9388C" w14:textId="77777777" w:rsidR="00642CBF" w:rsidRPr="003C624B" w:rsidRDefault="00642CBF" w:rsidP="00864CFB">
            <w:pPr>
              <w:rPr>
                <w:szCs w:val="24"/>
              </w:rPr>
            </w:pPr>
            <w:r>
              <w:rPr>
                <w:szCs w:val="24"/>
              </w:rPr>
              <w:t>Number of Respondents</w:t>
            </w:r>
          </w:p>
        </w:tc>
        <w:tc>
          <w:tcPr>
            <w:tcW w:w="2610" w:type="dxa"/>
          </w:tcPr>
          <w:p w14:paraId="6BBB37EF" w14:textId="77777777" w:rsidR="00642CBF" w:rsidRPr="003C624B" w:rsidRDefault="00642CBF" w:rsidP="00864CFB">
            <w:pPr>
              <w:rPr>
                <w:szCs w:val="24"/>
              </w:rPr>
            </w:pPr>
            <w:r w:rsidRPr="003C624B">
              <w:rPr>
                <w:szCs w:val="24"/>
              </w:rPr>
              <w:t xml:space="preserve">Total Annual Hour Burden </w:t>
            </w:r>
            <w:r>
              <w:rPr>
                <w:szCs w:val="24"/>
              </w:rPr>
              <w:t>Across all Facilities per year</w:t>
            </w:r>
          </w:p>
        </w:tc>
      </w:tr>
      <w:tr w:rsidR="00642CBF" w:rsidRPr="003C624B" w14:paraId="72C5678D" w14:textId="77777777" w:rsidTr="000A2F91">
        <w:tc>
          <w:tcPr>
            <w:tcW w:w="1911" w:type="dxa"/>
          </w:tcPr>
          <w:p w14:paraId="1199D805" w14:textId="77777777" w:rsidR="00642CBF" w:rsidRPr="003C624B" w:rsidRDefault="00642CBF" w:rsidP="00864CFB">
            <w:pPr>
              <w:rPr>
                <w:szCs w:val="24"/>
              </w:rPr>
            </w:pPr>
            <w:r>
              <w:rPr>
                <w:szCs w:val="24"/>
              </w:rPr>
              <w:t>425</w:t>
            </w:r>
            <w:r w:rsidRPr="003C624B">
              <w:rPr>
                <w:szCs w:val="24"/>
              </w:rPr>
              <w:t xml:space="preserve"> Per Respondent/year</w:t>
            </w:r>
          </w:p>
        </w:tc>
        <w:tc>
          <w:tcPr>
            <w:tcW w:w="1980" w:type="dxa"/>
          </w:tcPr>
          <w:p w14:paraId="5600F183" w14:textId="2F37900C" w:rsidR="00642CBF" w:rsidRPr="003C624B" w:rsidRDefault="00642CBF" w:rsidP="00864CFB">
            <w:pPr>
              <w:rPr>
                <w:szCs w:val="24"/>
              </w:rPr>
            </w:pPr>
            <w:r>
              <w:rPr>
                <w:szCs w:val="24"/>
              </w:rPr>
              <w:t>0.0167 hours</w:t>
            </w:r>
          </w:p>
        </w:tc>
        <w:tc>
          <w:tcPr>
            <w:tcW w:w="1800" w:type="dxa"/>
          </w:tcPr>
          <w:p w14:paraId="7D3E032E" w14:textId="0C7DC029" w:rsidR="00642CBF" w:rsidRDefault="00730244" w:rsidP="00864CFB">
            <w:pPr>
              <w:rPr>
                <w:szCs w:val="24"/>
              </w:rPr>
            </w:pPr>
            <w:r>
              <w:rPr>
                <w:szCs w:val="24"/>
              </w:rPr>
              <w:t>7.0975</w:t>
            </w:r>
            <w:r w:rsidR="00642CBF">
              <w:rPr>
                <w:szCs w:val="24"/>
              </w:rPr>
              <w:t xml:space="preserve"> hours/year</w:t>
            </w:r>
          </w:p>
        </w:tc>
        <w:tc>
          <w:tcPr>
            <w:tcW w:w="1800" w:type="dxa"/>
          </w:tcPr>
          <w:p w14:paraId="4F0CFEAF" w14:textId="77777777" w:rsidR="00642CBF" w:rsidRDefault="00642CBF" w:rsidP="00864CFB">
            <w:pPr>
              <w:rPr>
                <w:szCs w:val="24"/>
              </w:rPr>
            </w:pPr>
            <w:r>
              <w:rPr>
                <w:szCs w:val="24"/>
              </w:rPr>
              <w:t>15,447</w:t>
            </w:r>
          </w:p>
        </w:tc>
        <w:tc>
          <w:tcPr>
            <w:tcW w:w="2610" w:type="dxa"/>
          </w:tcPr>
          <w:p w14:paraId="40936CE5" w14:textId="1A2F0105" w:rsidR="00642CBF" w:rsidRPr="003C624B" w:rsidRDefault="00642CBF" w:rsidP="00864CFB">
            <w:pPr>
              <w:rPr>
                <w:szCs w:val="24"/>
              </w:rPr>
            </w:pPr>
            <w:r>
              <w:rPr>
                <w:szCs w:val="24"/>
              </w:rPr>
              <w:t>109,635</w:t>
            </w:r>
            <w:r w:rsidRPr="003C624B">
              <w:rPr>
                <w:szCs w:val="24"/>
              </w:rPr>
              <w:t xml:space="preserve"> hours/year</w:t>
            </w:r>
          </w:p>
        </w:tc>
      </w:tr>
    </w:tbl>
    <w:p w14:paraId="698357A4" w14:textId="77777777" w:rsidR="00F172A5" w:rsidRPr="003C624B" w:rsidRDefault="00F172A5" w:rsidP="00864CFB"/>
    <w:p w14:paraId="75CC33B2" w14:textId="77777777" w:rsidR="00EF3CBF" w:rsidRPr="003C624B" w:rsidRDefault="00EF3CBF" w:rsidP="00864CFB">
      <w:pPr>
        <w:numPr>
          <w:ilvl w:val="0"/>
          <w:numId w:val="3"/>
        </w:numPr>
        <w:ind w:left="0" w:firstLine="0"/>
      </w:pPr>
      <w:r w:rsidRPr="003C624B">
        <w:t xml:space="preserve">Estimated Costs Associated with the </w:t>
      </w:r>
      <w:r w:rsidR="00FB7701" w:rsidRPr="003C624B">
        <w:t xml:space="preserve">MDS 3.0 PPS Items </w:t>
      </w:r>
    </w:p>
    <w:p w14:paraId="35E82734" w14:textId="77777777" w:rsidR="00EF3CBF" w:rsidRPr="003C624B" w:rsidRDefault="00EF3CBF" w:rsidP="00864CFB"/>
    <w:p w14:paraId="7C8E1973" w14:textId="5B9E3867" w:rsidR="000349EB" w:rsidRDefault="00963F50" w:rsidP="00864CFB">
      <w:pPr>
        <w:rPr>
          <w:snapToGrid w:val="0"/>
          <w:szCs w:val="24"/>
        </w:rPr>
      </w:pPr>
      <w:r>
        <w:t>To derive average costs, we used data from the U.S. Bureau of Labor Statistics’ May 2015 National Occupational Employment and Wage Estimates for all salary estimates (</w:t>
      </w:r>
      <w:hyperlink r:id="rId8" w:history="1">
        <w:r w:rsidRPr="000546CB">
          <w:rPr>
            <w:rStyle w:val="Hyperlink"/>
          </w:rPr>
          <w:t>http://www.bls.gov/oes/current/oes_nat.htm</w:t>
        </w:r>
      </w:hyperlink>
      <w:r>
        <w:t xml:space="preserve">). </w:t>
      </w:r>
      <w:r w:rsidRPr="00D348AD">
        <w:rPr>
          <w:snapToGrid w:val="0"/>
          <w:szCs w:val="24"/>
        </w:rPr>
        <w:t xml:space="preserve">In deriving these figures, we </w:t>
      </w:r>
      <w:r>
        <w:rPr>
          <w:snapToGrid w:val="0"/>
          <w:szCs w:val="24"/>
        </w:rPr>
        <w:t xml:space="preserve">accounted for </w:t>
      </w:r>
      <w:r w:rsidRPr="00D348AD">
        <w:rPr>
          <w:snapToGrid w:val="0"/>
          <w:szCs w:val="24"/>
        </w:rPr>
        <w:t xml:space="preserve">Registered Nurses (RNs) and </w:t>
      </w:r>
      <w:r>
        <w:rPr>
          <w:snapToGrid w:val="0"/>
          <w:szCs w:val="24"/>
        </w:rPr>
        <w:t>D</w:t>
      </w:r>
      <w:r w:rsidRPr="00D348AD">
        <w:rPr>
          <w:snapToGrid w:val="0"/>
          <w:szCs w:val="24"/>
        </w:rPr>
        <w:t xml:space="preserve">ata </w:t>
      </w:r>
      <w:r>
        <w:rPr>
          <w:snapToGrid w:val="0"/>
          <w:szCs w:val="24"/>
        </w:rPr>
        <w:t>O</w:t>
      </w:r>
      <w:r w:rsidRPr="00D348AD">
        <w:rPr>
          <w:snapToGrid w:val="0"/>
          <w:szCs w:val="24"/>
        </w:rPr>
        <w:t xml:space="preserve">perators </w:t>
      </w:r>
      <w:r>
        <w:rPr>
          <w:snapToGrid w:val="0"/>
          <w:szCs w:val="24"/>
        </w:rPr>
        <w:t xml:space="preserve">at an adjusted rate of $68.28/hr and $38.88/hr, respectively. For preparation functions, we used Registered Nurse wages of $34.14, and added 100 percent of the mean hourly wage to account for fringe and overhead benefits, which calculates to $68.28, or $1.14 per minute. </w:t>
      </w:r>
      <w:r w:rsidRPr="00D348AD">
        <w:rPr>
          <w:snapToGrid w:val="0"/>
          <w:szCs w:val="24"/>
        </w:rPr>
        <w:t>For coding functions we calculated a bl</w:t>
      </w:r>
      <w:r>
        <w:rPr>
          <w:snapToGrid w:val="0"/>
          <w:szCs w:val="24"/>
        </w:rPr>
        <w:t>ended rate of $53.58</w:t>
      </w:r>
      <w:r w:rsidRPr="00D348AD">
        <w:rPr>
          <w:snapToGrid w:val="0"/>
          <w:szCs w:val="24"/>
        </w:rPr>
        <w:t>/hour; this</w:t>
      </w:r>
      <w:r>
        <w:rPr>
          <w:snapToGrid w:val="0"/>
          <w:szCs w:val="24"/>
        </w:rPr>
        <w:t xml:space="preserve"> was the average of the adjusted hourly rates for RNs ($68.28</w:t>
      </w:r>
      <w:r w:rsidRPr="00D348AD">
        <w:rPr>
          <w:snapToGrid w:val="0"/>
          <w:szCs w:val="24"/>
        </w:rPr>
        <w:t xml:space="preserve">/hour) and health information </w:t>
      </w:r>
      <w:r>
        <w:rPr>
          <w:snapToGrid w:val="0"/>
          <w:szCs w:val="24"/>
        </w:rPr>
        <w:t>technicians ($38.88</w:t>
      </w:r>
      <w:r w:rsidRPr="00D348AD">
        <w:rPr>
          <w:snapToGrid w:val="0"/>
          <w:szCs w:val="24"/>
        </w:rPr>
        <w:t>/hour)</w:t>
      </w:r>
      <w:r>
        <w:rPr>
          <w:snapToGrid w:val="0"/>
          <w:szCs w:val="24"/>
        </w:rPr>
        <w:t>.</w:t>
      </w:r>
      <w:r w:rsidR="000349EB" w:rsidRPr="00D348AD">
        <w:rPr>
          <w:snapToGrid w:val="0"/>
          <w:szCs w:val="24"/>
        </w:rPr>
        <w:t xml:space="preserve">The </w:t>
      </w:r>
      <w:r w:rsidR="000349EB">
        <w:rPr>
          <w:snapToGrid w:val="0"/>
          <w:szCs w:val="24"/>
        </w:rPr>
        <w:t>blended rate calculates to $0.89 per minute</w:t>
      </w:r>
      <w:r w:rsidR="000349EB" w:rsidRPr="00D348AD">
        <w:rPr>
          <w:snapToGrid w:val="0"/>
          <w:szCs w:val="24"/>
        </w:rPr>
        <w:t>. The blended rate of RN and data operator wages reflects the fact that SNF providers have historically used both RN and support staff for the data entry function.  For transmission personnel, we used health inform</w:t>
      </w:r>
      <w:r w:rsidR="000349EB">
        <w:rPr>
          <w:snapToGrid w:val="0"/>
          <w:szCs w:val="24"/>
        </w:rPr>
        <w:t>ation technician wages of $19.44 per hour, and added 100 percent</w:t>
      </w:r>
      <w:r w:rsidR="000349EB" w:rsidRPr="00D348AD">
        <w:rPr>
          <w:snapToGrid w:val="0"/>
          <w:szCs w:val="24"/>
        </w:rPr>
        <w:t xml:space="preserve"> of the mean hourly wage to account for fringe and overhead ben</w:t>
      </w:r>
      <w:r w:rsidR="000349EB">
        <w:rPr>
          <w:snapToGrid w:val="0"/>
          <w:szCs w:val="24"/>
        </w:rPr>
        <w:t>efits which calculates to $38.88 or $0.65</w:t>
      </w:r>
      <w:r w:rsidR="000349EB" w:rsidRPr="00D348AD">
        <w:rPr>
          <w:snapToGrid w:val="0"/>
          <w:szCs w:val="24"/>
        </w:rPr>
        <w:t xml:space="preserve"> per minute.</w:t>
      </w:r>
    </w:p>
    <w:p w14:paraId="7B7A5872" w14:textId="77777777" w:rsidR="00E837DE" w:rsidRDefault="00E837DE" w:rsidP="00864CFB">
      <w:pPr>
        <w:rPr>
          <w:szCs w:val="24"/>
        </w:rPr>
      </w:pPr>
    </w:p>
    <w:p w14:paraId="77FAA36B" w14:textId="12D66A18" w:rsidR="00D746F8" w:rsidRDefault="00D746F8" w:rsidP="00864CFB">
      <w:pPr>
        <w:rPr>
          <w:szCs w:val="24"/>
        </w:rPr>
      </w:pPr>
      <w:r>
        <w:rPr>
          <w:szCs w:val="24"/>
        </w:rPr>
        <w:t>Projected Annual Cost Burden Under RUG IV PPS System</w:t>
      </w:r>
    </w:p>
    <w:p w14:paraId="6F81FCC6" w14:textId="77777777" w:rsidR="00641F69" w:rsidRPr="00D348AD" w:rsidRDefault="00641F69" w:rsidP="00864CFB">
      <w:pPr>
        <w:rPr>
          <w:snapToGrid w:val="0"/>
          <w:szCs w:val="24"/>
        </w:rPr>
      </w:pPr>
    </w:p>
    <w:tbl>
      <w:tblPr>
        <w:tblStyle w:val="TableGrid"/>
        <w:tblW w:w="11070" w:type="dxa"/>
        <w:tblInd w:w="-1085" w:type="dxa"/>
        <w:tblLook w:val="04A0" w:firstRow="1" w:lastRow="0" w:firstColumn="1" w:lastColumn="0" w:noHBand="0" w:noVBand="1"/>
      </w:tblPr>
      <w:tblGrid>
        <w:gridCol w:w="2160"/>
        <w:gridCol w:w="1800"/>
        <w:gridCol w:w="1440"/>
        <w:gridCol w:w="2160"/>
        <w:gridCol w:w="3510"/>
      </w:tblGrid>
      <w:tr w:rsidR="00E837DE" w14:paraId="21A31F37" w14:textId="77777777" w:rsidTr="00CF6940">
        <w:tc>
          <w:tcPr>
            <w:tcW w:w="2160" w:type="dxa"/>
          </w:tcPr>
          <w:p w14:paraId="676816A5" w14:textId="7B90C76F" w:rsidR="00E837DE" w:rsidRDefault="00E837DE" w:rsidP="00864CFB">
            <w:pPr>
              <w:jc w:val="center"/>
              <w:rPr>
                <w:szCs w:val="24"/>
              </w:rPr>
            </w:pPr>
            <w:r w:rsidRPr="003C624B">
              <w:rPr>
                <w:szCs w:val="24"/>
              </w:rPr>
              <w:t>MDS Function</w:t>
            </w:r>
          </w:p>
        </w:tc>
        <w:tc>
          <w:tcPr>
            <w:tcW w:w="1800" w:type="dxa"/>
          </w:tcPr>
          <w:p w14:paraId="7BDD454E" w14:textId="49AC1641" w:rsidR="00E837DE" w:rsidRDefault="00E837DE" w:rsidP="00864CFB">
            <w:pPr>
              <w:jc w:val="center"/>
              <w:rPr>
                <w:szCs w:val="24"/>
              </w:rPr>
            </w:pPr>
            <w:r w:rsidRPr="003C624B">
              <w:rPr>
                <w:szCs w:val="24"/>
              </w:rPr>
              <w:t>Total Minutes Per Respondent</w:t>
            </w:r>
          </w:p>
        </w:tc>
        <w:tc>
          <w:tcPr>
            <w:tcW w:w="1440" w:type="dxa"/>
          </w:tcPr>
          <w:p w14:paraId="2D51EDE4" w14:textId="7AB9C8DC" w:rsidR="00E837DE" w:rsidRDefault="00E837DE" w:rsidP="00864CFB">
            <w:pPr>
              <w:jc w:val="center"/>
              <w:rPr>
                <w:szCs w:val="24"/>
              </w:rPr>
            </w:pPr>
            <w:r w:rsidRPr="003C624B">
              <w:rPr>
                <w:szCs w:val="24"/>
              </w:rPr>
              <w:t>Per Minute Loaded $ Rate</w:t>
            </w:r>
          </w:p>
        </w:tc>
        <w:tc>
          <w:tcPr>
            <w:tcW w:w="2160" w:type="dxa"/>
          </w:tcPr>
          <w:p w14:paraId="3B201893" w14:textId="445B975C" w:rsidR="00E837DE" w:rsidRDefault="00E837DE" w:rsidP="00864CFB">
            <w:pPr>
              <w:jc w:val="center"/>
              <w:rPr>
                <w:szCs w:val="24"/>
              </w:rPr>
            </w:pPr>
            <w:r w:rsidRPr="003C624B">
              <w:rPr>
                <w:szCs w:val="24"/>
              </w:rPr>
              <w:t>Estimated Cost Per Respondent per Assessment</w:t>
            </w:r>
          </w:p>
        </w:tc>
        <w:tc>
          <w:tcPr>
            <w:tcW w:w="3510" w:type="dxa"/>
          </w:tcPr>
          <w:p w14:paraId="595B8396" w14:textId="08F87189" w:rsidR="00E837DE" w:rsidRDefault="00E837DE" w:rsidP="00864CFB">
            <w:pPr>
              <w:jc w:val="center"/>
              <w:rPr>
                <w:szCs w:val="24"/>
              </w:rPr>
            </w:pPr>
            <w:r w:rsidRPr="003C624B">
              <w:rPr>
                <w:szCs w:val="24"/>
              </w:rPr>
              <w:t>Annual Cost Burden [(</w:t>
            </w:r>
            <w:r w:rsidR="00BB4486">
              <w:rPr>
                <w:szCs w:val="24"/>
              </w:rPr>
              <w:t>425</w:t>
            </w:r>
            <w:r w:rsidRPr="003C624B">
              <w:rPr>
                <w:szCs w:val="24"/>
              </w:rPr>
              <w:t xml:space="preserve"> Assessments per year * # of facilities * cost per Assessment)]</w:t>
            </w:r>
          </w:p>
        </w:tc>
      </w:tr>
      <w:tr w:rsidR="00E837DE" w14:paraId="09DD228F" w14:textId="77777777" w:rsidTr="00CF6940">
        <w:tc>
          <w:tcPr>
            <w:tcW w:w="2160" w:type="dxa"/>
          </w:tcPr>
          <w:p w14:paraId="7FC569E0" w14:textId="7C3FEFEC" w:rsidR="00E837DE" w:rsidRDefault="00E837DE" w:rsidP="00864CFB">
            <w:pPr>
              <w:jc w:val="center"/>
              <w:rPr>
                <w:szCs w:val="24"/>
              </w:rPr>
            </w:pPr>
            <w:r w:rsidRPr="003C624B">
              <w:rPr>
                <w:szCs w:val="24"/>
              </w:rPr>
              <w:t>Preparation</w:t>
            </w:r>
          </w:p>
        </w:tc>
        <w:tc>
          <w:tcPr>
            <w:tcW w:w="1800" w:type="dxa"/>
          </w:tcPr>
          <w:p w14:paraId="3621CEA8" w14:textId="69DEA9E8" w:rsidR="00E837DE" w:rsidRDefault="00E837DE" w:rsidP="00864CFB">
            <w:pPr>
              <w:jc w:val="center"/>
              <w:rPr>
                <w:szCs w:val="24"/>
              </w:rPr>
            </w:pPr>
            <w:r w:rsidRPr="003C624B">
              <w:rPr>
                <w:szCs w:val="24"/>
              </w:rPr>
              <w:t>40</w:t>
            </w:r>
          </w:p>
        </w:tc>
        <w:tc>
          <w:tcPr>
            <w:tcW w:w="1440" w:type="dxa"/>
          </w:tcPr>
          <w:p w14:paraId="09F13AAE" w14:textId="58B44088" w:rsidR="00E837DE" w:rsidRDefault="00E837DE" w:rsidP="00864CFB">
            <w:pPr>
              <w:jc w:val="center"/>
              <w:rPr>
                <w:szCs w:val="24"/>
              </w:rPr>
            </w:pPr>
            <w:r w:rsidRPr="003C624B">
              <w:rPr>
                <w:szCs w:val="24"/>
              </w:rPr>
              <w:t>$1.</w:t>
            </w:r>
            <w:r>
              <w:rPr>
                <w:szCs w:val="24"/>
              </w:rPr>
              <w:t>14</w:t>
            </w:r>
          </w:p>
        </w:tc>
        <w:tc>
          <w:tcPr>
            <w:tcW w:w="2160" w:type="dxa"/>
          </w:tcPr>
          <w:p w14:paraId="0664D372" w14:textId="161C8849" w:rsidR="00E837DE" w:rsidRDefault="00E837DE" w:rsidP="00864CFB">
            <w:pPr>
              <w:jc w:val="center"/>
              <w:rPr>
                <w:szCs w:val="24"/>
              </w:rPr>
            </w:pPr>
            <w:r w:rsidRPr="003C624B">
              <w:rPr>
                <w:szCs w:val="24"/>
              </w:rPr>
              <w:t>$</w:t>
            </w:r>
            <w:r>
              <w:rPr>
                <w:szCs w:val="24"/>
              </w:rPr>
              <w:t>45.60</w:t>
            </w:r>
          </w:p>
        </w:tc>
        <w:tc>
          <w:tcPr>
            <w:tcW w:w="3510" w:type="dxa"/>
          </w:tcPr>
          <w:p w14:paraId="651072A9" w14:textId="79EC8265" w:rsidR="00E837DE" w:rsidRDefault="00E837DE" w:rsidP="00864CFB">
            <w:pPr>
              <w:jc w:val="center"/>
              <w:rPr>
                <w:szCs w:val="24"/>
              </w:rPr>
            </w:pPr>
            <w:r w:rsidRPr="003C624B">
              <w:rPr>
                <w:szCs w:val="24"/>
              </w:rPr>
              <w:t>$</w:t>
            </w:r>
            <w:r w:rsidR="006A7C4C">
              <w:rPr>
                <w:szCs w:val="24"/>
              </w:rPr>
              <w:t>299,362,860</w:t>
            </w:r>
          </w:p>
        </w:tc>
      </w:tr>
      <w:tr w:rsidR="00E837DE" w14:paraId="7624F017" w14:textId="77777777" w:rsidTr="00CF6940">
        <w:tc>
          <w:tcPr>
            <w:tcW w:w="2160" w:type="dxa"/>
          </w:tcPr>
          <w:p w14:paraId="4B09E9AB" w14:textId="3BE421A7" w:rsidR="00E837DE" w:rsidRDefault="00E837DE" w:rsidP="00864CFB">
            <w:pPr>
              <w:jc w:val="center"/>
              <w:rPr>
                <w:szCs w:val="24"/>
              </w:rPr>
            </w:pPr>
            <w:r w:rsidRPr="003C624B">
              <w:rPr>
                <w:szCs w:val="24"/>
              </w:rPr>
              <w:t>Coding</w:t>
            </w:r>
          </w:p>
        </w:tc>
        <w:tc>
          <w:tcPr>
            <w:tcW w:w="1800" w:type="dxa"/>
          </w:tcPr>
          <w:p w14:paraId="40CE935D" w14:textId="1E291182" w:rsidR="00E837DE" w:rsidRDefault="00E837DE" w:rsidP="00864CFB">
            <w:pPr>
              <w:jc w:val="center"/>
              <w:rPr>
                <w:szCs w:val="24"/>
              </w:rPr>
            </w:pPr>
            <w:r w:rsidRPr="003C624B">
              <w:rPr>
                <w:szCs w:val="24"/>
              </w:rPr>
              <w:t>10</w:t>
            </w:r>
          </w:p>
        </w:tc>
        <w:tc>
          <w:tcPr>
            <w:tcW w:w="1440" w:type="dxa"/>
          </w:tcPr>
          <w:p w14:paraId="0383847F" w14:textId="5C0BCD50" w:rsidR="00E837DE" w:rsidRDefault="00E837DE" w:rsidP="00864CFB">
            <w:pPr>
              <w:jc w:val="center"/>
              <w:rPr>
                <w:szCs w:val="24"/>
              </w:rPr>
            </w:pPr>
            <w:r w:rsidRPr="003C624B">
              <w:rPr>
                <w:szCs w:val="24"/>
              </w:rPr>
              <w:t>$</w:t>
            </w:r>
            <w:r>
              <w:rPr>
                <w:szCs w:val="24"/>
              </w:rPr>
              <w:t>.89</w:t>
            </w:r>
          </w:p>
        </w:tc>
        <w:tc>
          <w:tcPr>
            <w:tcW w:w="2160" w:type="dxa"/>
          </w:tcPr>
          <w:p w14:paraId="677EA69E" w14:textId="4BD05F1D" w:rsidR="00E837DE" w:rsidRDefault="00E837DE" w:rsidP="00864CFB">
            <w:pPr>
              <w:jc w:val="center"/>
              <w:rPr>
                <w:szCs w:val="24"/>
              </w:rPr>
            </w:pPr>
            <w:r w:rsidRPr="003C624B">
              <w:rPr>
                <w:szCs w:val="24"/>
              </w:rPr>
              <w:t>$</w:t>
            </w:r>
            <w:r>
              <w:rPr>
                <w:szCs w:val="24"/>
              </w:rPr>
              <w:t>8.90</w:t>
            </w:r>
          </w:p>
        </w:tc>
        <w:tc>
          <w:tcPr>
            <w:tcW w:w="3510" w:type="dxa"/>
          </w:tcPr>
          <w:p w14:paraId="00CAFB3B" w14:textId="4A92D5CF" w:rsidR="00E837DE" w:rsidRDefault="00E837DE" w:rsidP="00864CFB">
            <w:pPr>
              <w:jc w:val="center"/>
              <w:rPr>
                <w:szCs w:val="24"/>
              </w:rPr>
            </w:pPr>
            <w:r w:rsidRPr="003C624B">
              <w:rPr>
                <w:szCs w:val="24"/>
              </w:rPr>
              <w:t>$</w:t>
            </w:r>
            <w:r w:rsidR="006A7C4C">
              <w:rPr>
                <w:szCs w:val="24"/>
              </w:rPr>
              <w:t>58,428,27</w:t>
            </w:r>
            <w:r w:rsidR="00595C9B">
              <w:rPr>
                <w:szCs w:val="24"/>
              </w:rPr>
              <w:t>7</w:t>
            </w:r>
          </w:p>
        </w:tc>
      </w:tr>
      <w:tr w:rsidR="00E837DE" w14:paraId="2908E76E" w14:textId="77777777" w:rsidTr="00CF6940">
        <w:trPr>
          <w:trHeight w:val="77"/>
        </w:trPr>
        <w:tc>
          <w:tcPr>
            <w:tcW w:w="2160" w:type="dxa"/>
          </w:tcPr>
          <w:p w14:paraId="42786352" w14:textId="26F5A919" w:rsidR="00E837DE" w:rsidRDefault="00E837DE" w:rsidP="00864CFB">
            <w:pPr>
              <w:jc w:val="center"/>
              <w:rPr>
                <w:szCs w:val="24"/>
              </w:rPr>
            </w:pPr>
            <w:r w:rsidRPr="003C624B">
              <w:rPr>
                <w:szCs w:val="24"/>
              </w:rPr>
              <w:t>Transmission</w:t>
            </w:r>
          </w:p>
        </w:tc>
        <w:tc>
          <w:tcPr>
            <w:tcW w:w="1800" w:type="dxa"/>
          </w:tcPr>
          <w:p w14:paraId="7C32610A" w14:textId="2891751B" w:rsidR="00E837DE" w:rsidRDefault="00E837DE" w:rsidP="00864CFB">
            <w:pPr>
              <w:jc w:val="center"/>
              <w:rPr>
                <w:szCs w:val="24"/>
              </w:rPr>
            </w:pPr>
            <w:r w:rsidRPr="003C624B">
              <w:rPr>
                <w:szCs w:val="24"/>
              </w:rPr>
              <w:t>1</w:t>
            </w:r>
          </w:p>
        </w:tc>
        <w:tc>
          <w:tcPr>
            <w:tcW w:w="1440" w:type="dxa"/>
          </w:tcPr>
          <w:p w14:paraId="021B86C3" w14:textId="398FCC0D" w:rsidR="00E837DE" w:rsidRDefault="00E837DE" w:rsidP="00864CFB">
            <w:pPr>
              <w:jc w:val="center"/>
              <w:rPr>
                <w:szCs w:val="24"/>
              </w:rPr>
            </w:pPr>
            <w:r w:rsidRPr="003C624B">
              <w:rPr>
                <w:szCs w:val="24"/>
              </w:rPr>
              <w:t>$0.</w:t>
            </w:r>
            <w:r>
              <w:rPr>
                <w:szCs w:val="24"/>
              </w:rPr>
              <w:t>65</w:t>
            </w:r>
          </w:p>
        </w:tc>
        <w:tc>
          <w:tcPr>
            <w:tcW w:w="2160" w:type="dxa"/>
          </w:tcPr>
          <w:p w14:paraId="750DA999" w14:textId="5C93DC46" w:rsidR="00E837DE" w:rsidRDefault="00E837DE" w:rsidP="00864CFB">
            <w:pPr>
              <w:jc w:val="center"/>
              <w:rPr>
                <w:szCs w:val="24"/>
              </w:rPr>
            </w:pPr>
            <w:r w:rsidRPr="003C624B">
              <w:rPr>
                <w:szCs w:val="24"/>
              </w:rPr>
              <w:t>$0.</w:t>
            </w:r>
            <w:r>
              <w:rPr>
                <w:szCs w:val="24"/>
              </w:rPr>
              <w:t>65</w:t>
            </w:r>
          </w:p>
        </w:tc>
        <w:tc>
          <w:tcPr>
            <w:tcW w:w="3510" w:type="dxa"/>
          </w:tcPr>
          <w:p w14:paraId="28304CB8" w14:textId="5DCD83DA" w:rsidR="00E837DE" w:rsidRDefault="00E837DE" w:rsidP="00864CFB">
            <w:pPr>
              <w:jc w:val="center"/>
              <w:rPr>
                <w:szCs w:val="24"/>
              </w:rPr>
            </w:pPr>
            <w:r w:rsidRPr="003C624B">
              <w:rPr>
                <w:szCs w:val="24"/>
              </w:rPr>
              <w:t>$</w:t>
            </w:r>
            <w:r w:rsidR="006A7C4C">
              <w:rPr>
                <w:szCs w:val="24"/>
              </w:rPr>
              <w:t>4,267,23</w:t>
            </w:r>
            <w:r w:rsidR="00595C9B">
              <w:rPr>
                <w:szCs w:val="24"/>
              </w:rPr>
              <w:t>3</w:t>
            </w:r>
          </w:p>
        </w:tc>
      </w:tr>
      <w:tr w:rsidR="00E837DE" w14:paraId="5C79E031" w14:textId="77777777" w:rsidTr="00CF6940">
        <w:tc>
          <w:tcPr>
            <w:tcW w:w="2160" w:type="dxa"/>
          </w:tcPr>
          <w:p w14:paraId="1EA4F230" w14:textId="2716A77D" w:rsidR="00E837DE" w:rsidRDefault="00E837DE" w:rsidP="00864CFB">
            <w:pPr>
              <w:jc w:val="center"/>
              <w:rPr>
                <w:szCs w:val="24"/>
              </w:rPr>
            </w:pPr>
            <w:r w:rsidRPr="003C624B">
              <w:rPr>
                <w:szCs w:val="24"/>
              </w:rPr>
              <w:t>TOTAL</w:t>
            </w:r>
          </w:p>
        </w:tc>
        <w:tc>
          <w:tcPr>
            <w:tcW w:w="1800" w:type="dxa"/>
          </w:tcPr>
          <w:p w14:paraId="2A08F468" w14:textId="6F464E38" w:rsidR="00E837DE" w:rsidRDefault="00E837DE" w:rsidP="00864CFB">
            <w:pPr>
              <w:jc w:val="center"/>
              <w:rPr>
                <w:szCs w:val="24"/>
              </w:rPr>
            </w:pPr>
            <w:r w:rsidRPr="003C624B">
              <w:rPr>
                <w:szCs w:val="24"/>
              </w:rPr>
              <w:t>51</w:t>
            </w:r>
          </w:p>
        </w:tc>
        <w:tc>
          <w:tcPr>
            <w:tcW w:w="1440" w:type="dxa"/>
          </w:tcPr>
          <w:p w14:paraId="55A31D5C" w14:textId="33C1B9FD" w:rsidR="00E837DE" w:rsidRDefault="00E837DE" w:rsidP="00864CFB">
            <w:pPr>
              <w:jc w:val="center"/>
              <w:rPr>
                <w:szCs w:val="24"/>
              </w:rPr>
            </w:pPr>
          </w:p>
        </w:tc>
        <w:tc>
          <w:tcPr>
            <w:tcW w:w="2160" w:type="dxa"/>
          </w:tcPr>
          <w:p w14:paraId="6DAA2750" w14:textId="41E41161" w:rsidR="00E837DE" w:rsidRDefault="00E837DE" w:rsidP="00864CFB">
            <w:pPr>
              <w:jc w:val="center"/>
              <w:rPr>
                <w:szCs w:val="24"/>
              </w:rPr>
            </w:pPr>
            <w:r>
              <w:rPr>
                <w:szCs w:val="24"/>
              </w:rPr>
              <w:t>$55.15</w:t>
            </w:r>
          </w:p>
        </w:tc>
        <w:tc>
          <w:tcPr>
            <w:tcW w:w="3510" w:type="dxa"/>
          </w:tcPr>
          <w:p w14:paraId="33B3208C" w14:textId="48090804" w:rsidR="00E837DE" w:rsidRDefault="00E837DE" w:rsidP="00864CFB">
            <w:pPr>
              <w:jc w:val="center"/>
              <w:rPr>
                <w:szCs w:val="24"/>
              </w:rPr>
            </w:pPr>
            <w:r w:rsidRPr="003C624B">
              <w:rPr>
                <w:szCs w:val="24"/>
              </w:rPr>
              <w:t>$</w:t>
            </w:r>
            <w:r w:rsidR="006A7C4C">
              <w:rPr>
                <w:szCs w:val="24"/>
              </w:rPr>
              <w:t>362,058,37</w:t>
            </w:r>
            <w:r w:rsidR="00595C9B">
              <w:rPr>
                <w:szCs w:val="24"/>
              </w:rPr>
              <w:t>0</w:t>
            </w:r>
          </w:p>
        </w:tc>
      </w:tr>
    </w:tbl>
    <w:p w14:paraId="15AC931E" w14:textId="77777777" w:rsidR="00E51EEF" w:rsidRDefault="00E51EEF" w:rsidP="00864CFB">
      <w:pPr>
        <w:pStyle w:val="BodyTextIndent2"/>
        <w:ind w:left="0"/>
        <w:rPr>
          <w:szCs w:val="24"/>
        </w:rPr>
      </w:pPr>
    </w:p>
    <w:p w14:paraId="54CA869F" w14:textId="5D4F79FF" w:rsidR="00D46C82" w:rsidRDefault="00D46C82" w:rsidP="00864CFB">
      <w:pPr>
        <w:pStyle w:val="BodyTextIndent2"/>
        <w:ind w:left="0"/>
        <w:rPr>
          <w:szCs w:val="24"/>
        </w:rPr>
      </w:pPr>
      <w:r w:rsidRPr="003C624B">
        <w:rPr>
          <w:szCs w:val="24"/>
        </w:rPr>
        <w:t>There were 15,44</w:t>
      </w:r>
      <w:r w:rsidR="005609EA">
        <w:rPr>
          <w:szCs w:val="24"/>
        </w:rPr>
        <w:t>7</w:t>
      </w:r>
      <w:r w:rsidRPr="003C624B">
        <w:rPr>
          <w:szCs w:val="24"/>
        </w:rPr>
        <w:t xml:space="preserve"> skilled nursing facilities which sought reimbursement under</w:t>
      </w:r>
      <w:r w:rsidR="00B053FC">
        <w:rPr>
          <w:szCs w:val="24"/>
        </w:rPr>
        <w:t xml:space="preserve"> </w:t>
      </w:r>
      <w:r w:rsidRPr="003C624B">
        <w:rPr>
          <w:szCs w:val="24"/>
        </w:rPr>
        <w:t xml:space="preserve">the year-to-date projected SNF PPS during FY 2016.  </w:t>
      </w:r>
      <w:r w:rsidR="00985992">
        <w:rPr>
          <w:szCs w:val="24"/>
        </w:rPr>
        <w:t xml:space="preserve">Under the current RUG IV Payment </w:t>
      </w:r>
      <w:r w:rsidR="00985992">
        <w:rPr>
          <w:szCs w:val="24"/>
        </w:rPr>
        <w:lastRenderedPageBreak/>
        <w:t>System, t</w:t>
      </w:r>
      <w:r w:rsidRPr="003C624B">
        <w:rPr>
          <w:szCs w:val="24"/>
        </w:rPr>
        <w:t>he cost per facility would be $</w:t>
      </w:r>
      <w:r w:rsidR="006A7C4C">
        <w:rPr>
          <w:szCs w:val="24"/>
        </w:rPr>
        <w:t>23,439</w:t>
      </w:r>
      <w:r w:rsidRPr="003C624B">
        <w:rPr>
          <w:szCs w:val="24"/>
        </w:rPr>
        <w:t xml:space="preserve"> ($</w:t>
      </w:r>
      <w:r w:rsidR="00595C9B">
        <w:rPr>
          <w:szCs w:val="24"/>
        </w:rPr>
        <w:t>362,058,370</w:t>
      </w:r>
      <w:r w:rsidRPr="003C624B">
        <w:rPr>
          <w:szCs w:val="24"/>
        </w:rPr>
        <w:t>/15,44</w:t>
      </w:r>
      <w:r w:rsidR="00985992">
        <w:rPr>
          <w:szCs w:val="24"/>
        </w:rPr>
        <w:t>7</w:t>
      </w:r>
      <w:r w:rsidRPr="003C624B">
        <w:rPr>
          <w:szCs w:val="24"/>
        </w:rPr>
        <w:t xml:space="preserve"> facilities), assuming </w:t>
      </w:r>
      <w:r w:rsidR="00BB4486">
        <w:rPr>
          <w:szCs w:val="24"/>
        </w:rPr>
        <w:t>425</w:t>
      </w:r>
      <w:r w:rsidR="00AC7941">
        <w:rPr>
          <w:szCs w:val="24"/>
        </w:rPr>
        <w:t xml:space="preserve"> </w:t>
      </w:r>
      <w:r w:rsidR="009937D0" w:rsidRPr="003C624B">
        <w:rPr>
          <w:szCs w:val="24"/>
        </w:rPr>
        <w:t xml:space="preserve">MDS PPS Assessments </w:t>
      </w:r>
      <w:r w:rsidRPr="003C624B">
        <w:rPr>
          <w:szCs w:val="24"/>
        </w:rPr>
        <w:t>per facility per year.</w:t>
      </w:r>
    </w:p>
    <w:p w14:paraId="789B6929" w14:textId="77777777" w:rsidR="00F408FA" w:rsidRPr="003C624B" w:rsidRDefault="00F408FA" w:rsidP="00864CFB">
      <w:pPr>
        <w:pStyle w:val="BodyTextIndent2"/>
        <w:ind w:left="0"/>
        <w:rPr>
          <w:szCs w:val="24"/>
        </w:rPr>
      </w:pPr>
    </w:p>
    <w:p w14:paraId="7D1E3D35" w14:textId="77777777" w:rsidR="00EF3CBF" w:rsidRPr="003C624B" w:rsidRDefault="00EF3CBF" w:rsidP="00864CFB">
      <w:pPr>
        <w:numPr>
          <w:ilvl w:val="0"/>
          <w:numId w:val="3"/>
        </w:numPr>
        <w:ind w:left="0" w:firstLine="0"/>
        <w:rPr>
          <w:u w:val="single"/>
        </w:rPr>
      </w:pPr>
      <w:r w:rsidRPr="003C624B">
        <w:rPr>
          <w:u w:val="single"/>
        </w:rPr>
        <w:t>Basic Requirements for all claims</w:t>
      </w:r>
    </w:p>
    <w:p w14:paraId="0C1F0914" w14:textId="77777777" w:rsidR="00EF3CBF" w:rsidRPr="003C624B" w:rsidRDefault="00EF3CBF" w:rsidP="00864CFB">
      <w:pPr>
        <w:rPr>
          <w:u w:val="single"/>
        </w:rPr>
      </w:pPr>
    </w:p>
    <w:p w14:paraId="1DABEA42" w14:textId="77777777" w:rsidR="00EF3CBF" w:rsidRPr="003C624B" w:rsidRDefault="00EF3CBF" w:rsidP="00864CFB">
      <w:pPr>
        <w:autoSpaceDE w:val="0"/>
        <w:autoSpaceDN w:val="0"/>
        <w:adjustRightInd w:val="0"/>
        <w:rPr>
          <w:rFonts w:cs="Tahoma"/>
          <w:szCs w:val="17"/>
        </w:rPr>
      </w:pPr>
      <w:r w:rsidRPr="003C624B">
        <w:t xml:space="preserve">In evaluating the impact of billing changes in the HCFA-1500 common claim form, approved under OMB number 0938-0008, our long-standing policy is to focus on changes in billing volume.  Under the SNF PPS, there will be no change in billing volume for </w:t>
      </w:r>
      <w:r w:rsidR="00C33B81" w:rsidRPr="003C624B">
        <w:t>skilled nursing facilities</w:t>
      </w:r>
      <w:r w:rsidRPr="003C624B">
        <w:t xml:space="preserve">.  </w:t>
      </w:r>
      <w:r w:rsidRPr="003C624B">
        <w:rPr>
          <w:rFonts w:cs="Tahoma"/>
          <w:szCs w:val="17"/>
        </w:rPr>
        <w:t xml:space="preserve">  </w:t>
      </w:r>
    </w:p>
    <w:p w14:paraId="67469CF9" w14:textId="77777777" w:rsidR="00232D22" w:rsidRPr="003C624B" w:rsidRDefault="00232D22" w:rsidP="00864CFB"/>
    <w:p w14:paraId="1B00E2BD" w14:textId="77777777" w:rsidR="00232D22" w:rsidRPr="003C624B" w:rsidRDefault="00232D22" w:rsidP="00864CFB">
      <w:pPr>
        <w:rPr>
          <w:u w:val="single"/>
        </w:rPr>
      </w:pPr>
      <w:r w:rsidRPr="003C624B">
        <w:t xml:space="preserve">13.  </w:t>
      </w:r>
      <w:r w:rsidRPr="003C624B">
        <w:rPr>
          <w:u w:val="single"/>
        </w:rPr>
        <w:t>Capital Costs (Maintenance of Capital Costs)</w:t>
      </w:r>
    </w:p>
    <w:p w14:paraId="0C071DD1" w14:textId="77777777" w:rsidR="00232D22" w:rsidRPr="003C624B" w:rsidRDefault="00232D22" w:rsidP="00864CFB"/>
    <w:p w14:paraId="080F9466" w14:textId="77777777" w:rsidR="00232D22" w:rsidRPr="003C624B" w:rsidRDefault="00232D22" w:rsidP="00864CFB">
      <w:r w:rsidRPr="003C624B">
        <w:t>Facilities are currently required to collect, compile, and transmit MDS data.  Therefore, there are no capital costs.  Any other cost can be considered a cost of doing business.</w:t>
      </w:r>
    </w:p>
    <w:p w14:paraId="58BCCCBE" w14:textId="77777777" w:rsidR="00232D22" w:rsidRPr="003C624B" w:rsidRDefault="00232D22" w:rsidP="00864CFB"/>
    <w:p w14:paraId="5E077DFF" w14:textId="77777777" w:rsidR="00232D22" w:rsidRPr="003C624B" w:rsidRDefault="00232D22" w:rsidP="00864CFB">
      <w:r w:rsidRPr="003C624B">
        <w:t xml:space="preserve">14.  </w:t>
      </w:r>
      <w:r w:rsidRPr="003C624B">
        <w:rPr>
          <w:u w:val="single"/>
        </w:rPr>
        <w:t>Cost to Federal Government</w:t>
      </w:r>
    </w:p>
    <w:p w14:paraId="60798BD5" w14:textId="77777777" w:rsidR="00232D22" w:rsidRPr="003C624B" w:rsidRDefault="00232D22" w:rsidP="00864CFB"/>
    <w:p w14:paraId="31F64F4F" w14:textId="77777777" w:rsidR="00EF3CBF" w:rsidRPr="003C624B" w:rsidRDefault="00414664" w:rsidP="00864CFB">
      <w:r w:rsidRPr="003C624B">
        <w:t>There are no additional costs to the Federal Government.</w:t>
      </w:r>
    </w:p>
    <w:p w14:paraId="514D56E0" w14:textId="77777777" w:rsidR="00232D22" w:rsidRPr="003C624B" w:rsidRDefault="00232D22" w:rsidP="00864CFB"/>
    <w:p w14:paraId="1F0AACAA" w14:textId="77777777" w:rsidR="00232D22" w:rsidRPr="003C624B" w:rsidRDefault="007C72D7" w:rsidP="00864CFB">
      <w:pPr>
        <w:numPr>
          <w:ilvl w:val="0"/>
          <w:numId w:val="1"/>
        </w:numPr>
        <w:ind w:left="0" w:firstLine="0"/>
        <w:rPr>
          <w:u w:val="single"/>
        </w:rPr>
      </w:pPr>
      <w:r w:rsidRPr="003C624B">
        <w:rPr>
          <w:u w:val="single"/>
        </w:rPr>
        <w:t xml:space="preserve">Program </w:t>
      </w:r>
      <w:r w:rsidR="00232D22" w:rsidRPr="003C624B">
        <w:rPr>
          <w:u w:val="single"/>
        </w:rPr>
        <w:t>Changes</w:t>
      </w:r>
    </w:p>
    <w:p w14:paraId="12E4D419" w14:textId="618E8FE1" w:rsidR="002F239A" w:rsidRDefault="002F239A" w:rsidP="00864CFB">
      <w:pPr>
        <w:rPr>
          <w:szCs w:val="24"/>
        </w:rPr>
      </w:pPr>
    </w:p>
    <w:p w14:paraId="33F34E2E" w14:textId="6FEF6893" w:rsidR="009B5FE2" w:rsidRDefault="009B5FE2" w:rsidP="00864CFB">
      <w:pPr>
        <w:rPr>
          <w:szCs w:val="24"/>
        </w:rPr>
      </w:pPr>
      <w:r>
        <w:rPr>
          <w:szCs w:val="24"/>
        </w:rPr>
        <w:t>The following describe</w:t>
      </w:r>
      <w:r w:rsidR="00F33561">
        <w:rPr>
          <w:szCs w:val="24"/>
        </w:rPr>
        <w:t>s</w:t>
      </w:r>
      <w:r>
        <w:rPr>
          <w:szCs w:val="24"/>
        </w:rPr>
        <w:t xml:space="preserve"> this iteration’s nonsubstantive changes</w:t>
      </w:r>
      <w:r w:rsidR="00CE3AE9">
        <w:rPr>
          <w:szCs w:val="24"/>
        </w:rPr>
        <w:t>, consisting of two corrections and one adjustment</w:t>
      </w:r>
      <w:r>
        <w:rPr>
          <w:szCs w:val="24"/>
        </w:rPr>
        <w:t>.</w:t>
      </w:r>
    </w:p>
    <w:p w14:paraId="180AF801" w14:textId="77777777" w:rsidR="009B5FE2" w:rsidRPr="003C624B" w:rsidRDefault="009B5FE2" w:rsidP="00864CFB">
      <w:pPr>
        <w:rPr>
          <w:szCs w:val="24"/>
        </w:rPr>
      </w:pPr>
    </w:p>
    <w:p w14:paraId="50565652" w14:textId="6AC26A58" w:rsidR="00E95811" w:rsidRPr="009B5FE2" w:rsidRDefault="000B3541" w:rsidP="00864CFB">
      <w:pPr>
        <w:rPr>
          <w:i/>
        </w:rPr>
      </w:pPr>
      <w:r w:rsidRPr="009B5FE2">
        <w:rPr>
          <w:i/>
        </w:rPr>
        <w:t>Correction #1</w:t>
      </w:r>
    </w:p>
    <w:p w14:paraId="1B3A7AF5" w14:textId="77777777" w:rsidR="00E95811" w:rsidRDefault="00E95811" w:rsidP="00864CFB"/>
    <w:p w14:paraId="0C20BF12" w14:textId="019203D1" w:rsidR="00413390" w:rsidRDefault="00A14771" w:rsidP="00864CFB">
      <w:r>
        <w:t xml:space="preserve">Our most recent </w:t>
      </w:r>
      <w:r w:rsidR="009F76CE">
        <w:t xml:space="preserve">information collection request </w:t>
      </w:r>
      <w:r>
        <w:t xml:space="preserve">(approved on </w:t>
      </w:r>
      <w:r w:rsidRPr="009F76CE">
        <w:t>Feb</w:t>
      </w:r>
      <w:r>
        <w:t xml:space="preserve">ruary </w:t>
      </w:r>
      <w:r w:rsidRPr="009F76CE">
        <w:t>6,</w:t>
      </w:r>
      <w:r>
        <w:t xml:space="preserve"> 2017) </w:t>
      </w:r>
      <w:r w:rsidR="009F76CE">
        <w:t xml:space="preserve">had </w:t>
      </w:r>
      <w:r w:rsidR="009F76CE" w:rsidRPr="006137F1">
        <w:t>in</w:t>
      </w:r>
      <w:r w:rsidR="009F76CE">
        <w:t xml:space="preserve">advertently </w:t>
      </w:r>
      <w:r w:rsidR="009F76CE" w:rsidRPr="006137F1">
        <w:t>exc</w:t>
      </w:r>
      <w:r w:rsidR="009F76CE">
        <w:t>l</w:t>
      </w:r>
      <w:r w:rsidR="009F76CE" w:rsidRPr="006137F1">
        <w:t xml:space="preserve">uded </w:t>
      </w:r>
      <w:r>
        <w:t xml:space="preserve">and </w:t>
      </w:r>
      <w:r w:rsidR="009F76CE" w:rsidRPr="006137F1">
        <w:t xml:space="preserve">burden that was approved </w:t>
      </w:r>
      <w:r>
        <w:t>o</w:t>
      </w:r>
      <w:r w:rsidR="009F76CE" w:rsidRPr="006137F1">
        <w:t>n Jan</w:t>
      </w:r>
      <w:r>
        <w:t>uary 15,</w:t>
      </w:r>
      <w:r w:rsidR="009F76CE" w:rsidRPr="006137F1">
        <w:t xml:space="preserve"> 2014. </w:t>
      </w:r>
    </w:p>
    <w:p w14:paraId="6E655A65" w14:textId="77777777" w:rsidR="00413390" w:rsidRDefault="00413390" w:rsidP="00864CFB"/>
    <w:p w14:paraId="59A923E5" w14:textId="60C9B26B" w:rsidR="00532A84" w:rsidRDefault="00413390" w:rsidP="00864CFB">
      <w:r>
        <w:t xml:space="preserve">The </w:t>
      </w:r>
      <w:r w:rsidRPr="006137F1">
        <w:t>Jan</w:t>
      </w:r>
      <w:r>
        <w:t xml:space="preserve">uary </w:t>
      </w:r>
      <w:r w:rsidRPr="006137F1">
        <w:t>2014</w:t>
      </w:r>
      <w:r>
        <w:t xml:space="preserve"> information collection request added the </w:t>
      </w:r>
      <w:r w:rsidRPr="00413390">
        <w:t>NP, NS, NOD, and NSD</w:t>
      </w:r>
      <w:r>
        <w:t xml:space="preserve"> assessments. </w:t>
      </w:r>
      <w:r w:rsidR="00532A84">
        <w:t xml:space="preserve">While the </w:t>
      </w:r>
      <w:r w:rsidR="00532A84" w:rsidRPr="009F76CE">
        <w:t>Feb</w:t>
      </w:r>
      <w:r w:rsidR="00532A84">
        <w:t xml:space="preserve">ruary 2017 request included the </w:t>
      </w:r>
      <w:r w:rsidR="003D62C2">
        <w:t xml:space="preserve">all of </w:t>
      </w:r>
      <w:r w:rsidR="00532A84">
        <w:t xml:space="preserve">correct instruments, the Supporting Statement inadvertantly set out text specific to the </w:t>
      </w:r>
      <w:r w:rsidR="00532A84" w:rsidRPr="00413390">
        <w:t>original request</w:t>
      </w:r>
      <w:r w:rsidR="003D62C2">
        <w:t xml:space="preserve">, namely </w:t>
      </w:r>
      <w:r w:rsidR="00532A84">
        <w:t xml:space="preserve">the </w:t>
      </w:r>
      <w:r w:rsidR="00532A84" w:rsidRPr="00413390">
        <w:t xml:space="preserve">NO/SO PPS </w:t>
      </w:r>
      <w:r w:rsidR="00532A84">
        <w:t xml:space="preserve">assessment. </w:t>
      </w:r>
      <w:r w:rsidR="003D62C2">
        <w:t xml:space="preserve">The </w:t>
      </w:r>
      <w:r w:rsidR="003D62C2">
        <w:t xml:space="preserve">Supporting Statement </w:t>
      </w:r>
      <w:r w:rsidR="003D62C2">
        <w:t xml:space="preserve"> incorrectly omitted the previously approved </w:t>
      </w:r>
      <w:r w:rsidR="00532A84">
        <w:t xml:space="preserve">text related to the </w:t>
      </w:r>
      <w:r w:rsidR="00532A84" w:rsidRPr="00413390">
        <w:t>NP, NS, NOD, and NSD</w:t>
      </w:r>
      <w:r w:rsidR="00532A84">
        <w:t xml:space="preserve"> assessments.</w:t>
      </w:r>
    </w:p>
    <w:p w14:paraId="48D2E028" w14:textId="77777777" w:rsidR="00532A84" w:rsidRDefault="00532A84" w:rsidP="00864CFB"/>
    <w:p w14:paraId="635C0445" w14:textId="77FBCCA9" w:rsidR="009B5FE2" w:rsidRDefault="009F76CE" w:rsidP="00864CFB">
      <w:r w:rsidRPr="006137F1">
        <w:t>This nonsubstantive iteration corrects th</w:t>
      </w:r>
      <w:r w:rsidR="00D9563B">
        <w:t xml:space="preserve">ose </w:t>
      </w:r>
      <w:r w:rsidRPr="006137F1">
        <w:t>omission</w:t>
      </w:r>
      <w:r w:rsidR="00D9563B">
        <w:t>s</w:t>
      </w:r>
      <w:r w:rsidRPr="006137F1">
        <w:t xml:space="preserve"> by including the </w:t>
      </w:r>
      <w:r w:rsidR="00D9563B">
        <w:t>previously approved (</w:t>
      </w:r>
      <w:r w:rsidRPr="006137F1">
        <w:t>Jan</w:t>
      </w:r>
      <w:r w:rsidR="004B4308">
        <w:t>uary</w:t>
      </w:r>
      <w:r w:rsidRPr="006137F1">
        <w:t xml:space="preserve"> 2014</w:t>
      </w:r>
      <w:r w:rsidR="00D9563B">
        <w:t>)</w:t>
      </w:r>
      <w:r w:rsidRPr="006137F1">
        <w:t xml:space="preserve"> burden</w:t>
      </w:r>
      <w:r w:rsidR="00D9563B">
        <w:t xml:space="preserve"> and by adding the previously approved text (also </w:t>
      </w:r>
      <w:r w:rsidR="00D9563B" w:rsidRPr="006137F1">
        <w:t>Jan</w:t>
      </w:r>
      <w:r w:rsidR="004B4308">
        <w:t>uary</w:t>
      </w:r>
      <w:r w:rsidR="00D9563B" w:rsidRPr="006137F1">
        <w:t xml:space="preserve"> 2014</w:t>
      </w:r>
      <w:r w:rsidR="00D9563B">
        <w:t xml:space="preserve">) related to the </w:t>
      </w:r>
      <w:r w:rsidR="00D9563B" w:rsidRPr="00413390">
        <w:t>NP, NS, NOD, and NSD</w:t>
      </w:r>
      <w:r w:rsidR="00D9563B">
        <w:t xml:space="preserve"> assessments.</w:t>
      </w:r>
    </w:p>
    <w:p w14:paraId="576C1AD5" w14:textId="77777777" w:rsidR="009F76CE" w:rsidRDefault="009F76CE" w:rsidP="00864CFB"/>
    <w:p w14:paraId="42A4ACF3" w14:textId="46097030" w:rsidR="000B3541" w:rsidRPr="009B5FE2" w:rsidRDefault="000B3541" w:rsidP="00864CFB">
      <w:pPr>
        <w:rPr>
          <w:i/>
        </w:rPr>
      </w:pPr>
      <w:r w:rsidRPr="009B5FE2">
        <w:rPr>
          <w:i/>
        </w:rPr>
        <w:t>Correction #2</w:t>
      </w:r>
    </w:p>
    <w:p w14:paraId="7321AA1D" w14:textId="77777777" w:rsidR="000B3541" w:rsidRDefault="000B3541" w:rsidP="00864CFB"/>
    <w:p w14:paraId="107DC4BE" w14:textId="19E7F2C0" w:rsidR="001E7A7B" w:rsidRDefault="001E7A7B" w:rsidP="00864CFB">
      <w:r>
        <w:t>T</w:t>
      </w:r>
      <w:r w:rsidR="009F76CE">
        <w:t>he February 2017 Supporting Statement</w:t>
      </w:r>
      <w:r w:rsidR="001F7FFE">
        <w:t>’s burden</w:t>
      </w:r>
      <w:r w:rsidR="009F76CE">
        <w:t xml:space="preserve"> </w:t>
      </w:r>
      <w:r w:rsidR="001F7FFE">
        <w:t xml:space="preserve">estimates </w:t>
      </w:r>
      <w:r w:rsidR="009F76CE">
        <w:t>d</w:t>
      </w:r>
      <w:r w:rsidR="001F7FFE">
        <w:t>o</w:t>
      </w:r>
      <w:r w:rsidR="009F76CE">
        <w:t xml:space="preserve"> not match the </w:t>
      </w:r>
      <w:r>
        <w:t xml:space="preserve">figures in the </w:t>
      </w:r>
      <w:r w:rsidR="009F76CE">
        <w:t xml:space="preserve">ROCIS </w:t>
      </w:r>
      <w:r>
        <w:t xml:space="preserve">burden </w:t>
      </w:r>
      <w:r w:rsidR="009F76CE">
        <w:t>table</w:t>
      </w:r>
      <w:r w:rsidR="001F7FFE">
        <w:t>.</w:t>
      </w:r>
    </w:p>
    <w:p w14:paraId="1EFB9592" w14:textId="77777777" w:rsidR="001E7A7B" w:rsidRDefault="001E7A7B" w:rsidP="00864CFB"/>
    <w:p w14:paraId="08CD8740" w14:textId="54BF2057" w:rsidR="009F76CE" w:rsidRDefault="001E7A7B" w:rsidP="00864CFB">
      <w:r w:rsidRPr="006137F1">
        <w:t>This nonsubstantive iteration corrects th</w:t>
      </w:r>
      <w:r>
        <w:t>e</w:t>
      </w:r>
      <w:r w:rsidR="009F76CE">
        <w:t xml:space="preserve"> </w:t>
      </w:r>
      <w:r>
        <w:t>ROCIS table</w:t>
      </w:r>
      <w:r w:rsidR="001F7FFE">
        <w:t>’s data entry errors</w:t>
      </w:r>
      <w:r w:rsidR="00CE4C5C">
        <w:t xml:space="preserve"> so they mirror what was in t</w:t>
      </w:r>
      <w:r w:rsidR="001F7FFE">
        <w:t>he Supporting Statement</w:t>
      </w:r>
      <w:r w:rsidR="00312402">
        <w:t>.</w:t>
      </w:r>
    </w:p>
    <w:p w14:paraId="2B2A1753" w14:textId="77777777" w:rsidR="009F76CE" w:rsidRDefault="009F76CE" w:rsidP="00864CFB"/>
    <w:p w14:paraId="6D882214" w14:textId="2C697D80" w:rsidR="000B3541" w:rsidRPr="009B5FE2" w:rsidRDefault="000B3541" w:rsidP="00864CFB">
      <w:pPr>
        <w:rPr>
          <w:i/>
        </w:rPr>
      </w:pPr>
      <w:r w:rsidRPr="009B5FE2">
        <w:rPr>
          <w:i/>
        </w:rPr>
        <w:t>Adjustment</w:t>
      </w:r>
    </w:p>
    <w:p w14:paraId="6947516A" w14:textId="77777777" w:rsidR="00EA48B9" w:rsidRDefault="00EA48B9" w:rsidP="00864CFB"/>
    <w:p w14:paraId="560C88B0" w14:textId="77777777" w:rsidR="008E3DDF" w:rsidRDefault="00CC709B" w:rsidP="00864CFB">
      <w:r w:rsidRPr="00A510E4">
        <w:t>Based on more recent data, t</w:t>
      </w:r>
      <w:r w:rsidR="00EA48B9" w:rsidRPr="00A510E4">
        <w:t xml:space="preserve">his nonsubstantive iteration </w:t>
      </w:r>
      <w:r w:rsidR="009F76CE" w:rsidRPr="00A510E4">
        <w:t>adjust</w:t>
      </w:r>
      <w:r w:rsidR="00EA48B9" w:rsidRPr="00A510E4">
        <w:t>s</w:t>
      </w:r>
      <w:r w:rsidR="008E3DDF">
        <w:t>:</w:t>
      </w:r>
    </w:p>
    <w:p w14:paraId="132AA073" w14:textId="77777777" w:rsidR="008E3DDF" w:rsidRDefault="008E3DDF" w:rsidP="00864CFB"/>
    <w:p w14:paraId="4E3E1D4C" w14:textId="77777777" w:rsidR="008E3DDF" w:rsidRDefault="008E3DDF" w:rsidP="00864CFB">
      <w:r>
        <w:t>-The number of respondents by +2.</w:t>
      </w:r>
    </w:p>
    <w:p w14:paraId="7AAEE9DC" w14:textId="0C191C28" w:rsidR="008E3DDF" w:rsidRDefault="008E3DDF" w:rsidP="00864CFB">
      <w:r>
        <w:t>-The number of responses (per respondent) by +8.</w:t>
      </w:r>
    </w:p>
    <w:p w14:paraId="103B3EC3" w14:textId="24E041D0" w:rsidR="008E3DDF" w:rsidRDefault="008E3DDF" w:rsidP="008E3DDF">
      <w:r>
        <w:t xml:space="preserve">-The number of responses </w:t>
      </w:r>
      <w:r>
        <w:t xml:space="preserve">(total) </w:t>
      </w:r>
      <w:r>
        <w:t>by +</w:t>
      </w:r>
      <w:r>
        <w:t>160,357</w:t>
      </w:r>
      <w:r>
        <w:t>.</w:t>
      </w:r>
    </w:p>
    <w:p w14:paraId="234E854D" w14:textId="5912A60E" w:rsidR="008E3DDF" w:rsidRDefault="008E3DDF" w:rsidP="00864CFB">
      <w:r>
        <w:t xml:space="preserve">-The number of hours (total) by </w:t>
      </w:r>
      <w:r w:rsidRPr="008E3DDF">
        <w:t>-917,808</w:t>
      </w:r>
      <w:r>
        <w:t>.</w:t>
      </w:r>
    </w:p>
    <w:p w14:paraId="6B7C7B16" w14:textId="77777777" w:rsidR="00CC709B" w:rsidRDefault="00CC709B" w:rsidP="00864CFB"/>
    <w:p w14:paraId="660066EC" w14:textId="5C9B2CD9" w:rsidR="000B3541" w:rsidRPr="009B5FE2" w:rsidRDefault="000B3541" w:rsidP="00864CFB">
      <w:pPr>
        <w:rPr>
          <w:i/>
        </w:rPr>
      </w:pPr>
      <w:r w:rsidRPr="009B5FE2">
        <w:rPr>
          <w:i/>
        </w:rPr>
        <w:t>Summary</w:t>
      </w:r>
      <w:r w:rsidR="009B5FE2">
        <w:rPr>
          <w:i/>
        </w:rPr>
        <w:t xml:space="preserve"> of Changes</w:t>
      </w:r>
    </w:p>
    <w:p w14:paraId="1AF13FA0" w14:textId="77777777" w:rsidR="006137F1" w:rsidRDefault="006137F1" w:rsidP="00103DA7">
      <w:pPr>
        <w:widowControl w:val="0"/>
        <w:ind w:left="144"/>
      </w:pPr>
    </w:p>
    <w:p w14:paraId="56B68F82" w14:textId="67CF9ED9" w:rsidR="008E3DDF" w:rsidRDefault="008E3DDF" w:rsidP="008E3DDF">
      <w:pPr>
        <w:rPr>
          <w:szCs w:val="24"/>
        </w:rPr>
      </w:pPr>
      <w:r>
        <w:rPr>
          <w:szCs w:val="24"/>
        </w:rPr>
        <w:t xml:space="preserve">The following </w:t>
      </w:r>
      <w:r>
        <w:rPr>
          <w:szCs w:val="24"/>
        </w:rPr>
        <w:t xml:space="preserve">figures reconcile this iterations </w:t>
      </w:r>
      <w:r>
        <w:rPr>
          <w:szCs w:val="24"/>
        </w:rPr>
        <w:t>nonsubstantive changes</w:t>
      </w:r>
      <w:r>
        <w:rPr>
          <w:szCs w:val="24"/>
        </w:rPr>
        <w:t xml:space="preserve"> which culminate in our final burden estimates.</w:t>
      </w:r>
    </w:p>
    <w:p w14:paraId="37EFFC6C" w14:textId="77777777" w:rsidR="008E3DDF" w:rsidRDefault="008E3DDF" w:rsidP="00103DA7">
      <w:pPr>
        <w:widowControl w:val="0"/>
        <w:ind w:left="144"/>
      </w:pPr>
    </w:p>
    <w:tbl>
      <w:tblPr>
        <w:tblW w:w="7740" w:type="dxa"/>
        <w:tblInd w:w="964" w:type="dxa"/>
        <w:tblLook w:val="04A0" w:firstRow="1" w:lastRow="0" w:firstColumn="1" w:lastColumn="0" w:noHBand="0" w:noVBand="1"/>
      </w:tblPr>
      <w:tblGrid>
        <w:gridCol w:w="3515"/>
        <w:gridCol w:w="4225"/>
      </w:tblGrid>
      <w:tr w:rsidR="00DF2CE9" w:rsidRPr="00DF2CE9" w14:paraId="024F7323" w14:textId="77777777" w:rsidTr="00A61DCB">
        <w:trPr>
          <w:trHeight w:val="86"/>
        </w:trPr>
        <w:tc>
          <w:tcPr>
            <w:tcW w:w="7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416E8" w14:textId="77777777" w:rsidR="00DF2CE9" w:rsidRPr="00DF2CE9" w:rsidRDefault="00DF2CE9" w:rsidP="00103DA7">
            <w:pPr>
              <w:widowControl w:val="0"/>
              <w:ind w:left="144"/>
              <w:jc w:val="center"/>
              <w:rPr>
                <w:b/>
                <w:bCs/>
                <w:color w:val="000000"/>
                <w:sz w:val="20"/>
              </w:rPr>
            </w:pPr>
            <w:r w:rsidRPr="00DF2CE9">
              <w:rPr>
                <w:b/>
                <w:bCs/>
                <w:color w:val="000000"/>
                <w:sz w:val="20"/>
              </w:rPr>
              <w:t>Respondents</w:t>
            </w:r>
          </w:p>
        </w:tc>
      </w:tr>
      <w:tr w:rsidR="00DF2CE9" w:rsidRPr="00DF2CE9" w14:paraId="2931384C"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C9AD" w14:textId="6ACF8242" w:rsidR="00DF2CE9" w:rsidRPr="00DF2CE9" w:rsidRDefault="00DF2CE9" w:rsidP="00103DA7">
            <w:pPr>
              <w:widowControl w:val="0"/>
              <w:ind w:left="144"/>
              <w:rPr>
                <w:color w:val="000000"/>
                <w:sz w:val="20"/>
              </w:rPr>
            </w:pPr>
            <w:r w:rsidRPr="009A301D">
              <w:rPr>
                <w:sz w:val="20"/>
              </w:rPr>
              <w:t>Jan 15, 2014 (</w:t>
            </w:r>
            <w:r w:rsidRPr="009A301D">
              <w:rPr>
                <w:color w:val="000000"/>
                <w:sz w:val="20"/>
              </w:rPr>
              <w:t>Supporting Statement)</w:t>
            </w:r>
          </w:p>
        </w:tc>
        <w:tc>
          <w:tcPr>
            <w:tcW w:w="4225" w:type="dxa"/>
            <w:tcBorders>
              <w:top w:val="single" w:sz="4" w:space="0" w:color="auto"/>
              <w:left w:val="nil"/>
              <w:bottom w:val="single" w:sz="4" w:space="0" w:color="auto"/>
              <w:right w:val="single" w:sz="4" w:space="0" w:color="auto"/>
            </w:tcBorders>
            <w:shd w:val="clear" w:color="auto" w:fill="auto"/>
            <w:noWrap/>
            <w:vAlign w:val="bottom"/>
            <w:hideMark/>
          </w:tcPr>
          <w:p w14:paraId="6245C206" w14:textId="628D317A" w:rsidR="00DF2CE9" w:rsidRPr="00DF2CE9" w:rsidRDefault="00DF2CE9" w:rsidP="00103DA7">
            <w:pPr>
              <w:widowControl w:val="0"/>
              <w:ind w:left="144"/>
              <w:jc w:val="right"/>
              <w:rPr>
                <w:color w:val="000000"/>
                <w:sz w:val="20"/>
              </w:rPr>
            </w:pPr>
            <w:r w:rsidRPr="00DF2CE9">
              <w:rPr>
                <w:color w:val="000000"/>
                <w:sz w:val="20"/>
              </w:rPr>
              <w:t>15,</w:t>
            </w:r>
            <w:r w:rsidR="00CF1EA7">
              <w:rPr>
                <w:color w:val="000000"/>
                <w:sz w:val="20"/>
              </w:rPr>
              <w:t>376</w:t>
            </w:r>
          </w:p>
        </w:tc>
      </w:tr>
      <w:tr w:rsidR="00DF2CE9" w:rsidRPr="00DF2CE9" w14:paraId="5BBB1108"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98676" w14:textId="4BB3168F" w:rsidR="00DF2CE9" w:rsidRPr="00DF2CE9" w:rsidRDefault="00DF2CE9" w:rsidP="00103DA7">
            <w:pPr>
              <w:widowControl w:val="0"/>
              <w:ind w:left="144"/>
              <w:rPr>
                <w:color w:val="000000"/>
                <w:sz w:val="20"/>
              </w:rPr>
            </w:pPr>
            <w:r w:rsidRPr="009A301D">
              <w:rPr>
                <w:color w:val="000000"/>
                <w:sz w:val="20"/>
              </w:rPr>
              <w:t>Feb 6, 2017 (Supporting Statement)</w:t>
            </w:r>
          </w:p>
        </w:tc>
        <w:tc>
          <w:tcPr>
            <w:tcW w:w="4225" w:type="dxa"/>
            <w:tcBorders>
              <w:top w:val="single" w:sz="4" w:space="0" w:color="auto"/>
              <w:left w:val="nil"/>
              <w:bottom w:val="single" w:sz="4" w:space="0" w:color="auto"/>
              <w:right w:val="single" w:sz="4" w:space="0" w:color="auto"/>
            </w:tcBorders>
            <w:shd w:val="clear" w:color="auto" w:fill="auto"/>
            <w:noWrap/>
            <w:vAlign w:val="bottom"/>
          </w:tcPr>
          <w:p w14:paraId="7FB84850" w14:textId="77777777" w:rsidR="00DF2CE9" w:rsidRPr="00DF2CE9" w:rsidRDefault="00DF2CE9" w:rsidP="00103DA7">
            <w:pPr>
              <w:widowControl w:val="0"/>
              <w:ind w:left="144"/>
              <w:jc w:val="right"/>
              <w:rPr>
                <w:color w:val="000000"/>
                <w:sz w:val="20"/>
              </w:rPr>
            </w:pPr>
            <w:r w:rsidRPr="00DF2CE9">
              <w:rPr>
                <w:color w:val="000000"/>
                <w:sz w:val="20"/>
              </w:rPr>
              <w:t>15,445</w:t>
            </w:r>
          </w:p>
        </w:tc>
      </w:tr>
      <w:tr w:rsidR="00DF2CE9" w:rsidRPr="00DF2CE9" w14:paraId="30C7E913"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9565E" w14:textId="1EDDA9B1" w:rsidR="00DF2CE9" w:rsidRPr="00DF2CE9" w:rsidRDefault="00DF2CE9" w:rsidP="00103DA7">
            <w:pPr>
              <w:widowControl w:val="0"/>
              <w:ind w:left="144"/>
              <w:rPr>
                <w:color w:val="000000"/>
                <w:sz w:val="20"/>
              </w:rPr>
            </w:pPr>
            <w:r w:rsidRPr="009A301D">
              <w:rPr>
                <w:color w:val="000000"/>
                <w:sz w:val="20"/>
              </w:rPr>
              <w:t>Correction #1</w:t>
            </w:r>
          </w:p>
        </w:tc>
        <w:tc>
          <w:tcPr>
            <w:tcW w:w="4225" w:type="dxa"/>
            <w:tcBorders>
              <w:top w:val="single" w:sz="4" w:space="0" w:color="auto"/>
              <w:left w:val="nil"/>
              <w:bottom w:val="single" w:sz="4" w:space="0" w:color="auto"/>
              <w:right w:val="single" w:sz="4" w:space="0" w:color="auto"/>
            </w:tcBorders>
            <w:shd w:val="clear" w:color="auto" w:fill="auto"/>
            <w:noWrap/>
            <w:vAlign w:val="bottom"/>
          </w:tcPr>
          <w:p w14:paraId="59C334A8" w14:textId="76E0D16C" w:rsidR="00DF2CE9" w:rsidRPr="00DF2CE9" w:rsidRDefault="000672C9" w:rsidP="00103DA7">
            <w:pPr>
              <w:widowControl w:val="0"/>
              <w:ind w:left="144"/>
              <w:jc w:val="right"/>
              <w:rPr>
                <w:color w:val="000000"/>
                <w:sz w:val="20"/>
              </w:rPr>
            </w:pPr>
            <w:r>
              <w:rPr>
                <w:color w:val="000000"/>
                <w:sz w:val="20"/>
              </w:rPr>
              <w:t>n/a</w:t>
            </w:r>
          </w:p>
        </w:tc>
      </w:tr>
      <w:tr w:rsidR="00DF2CE9" w:rsidRPr="00DF2CE9" w14:paraId="34388517"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4541CB" w14:textId="4738813A" w:rsidR="00DF2CE9" w:rsidRPr="00DF2CE9" w:rsidRDefault="00DF2CE9" w:rsidP="00103DA7">
            <w:pPr>
              <w:widowControl w:val="0"/>
              <w:ind w:left="144"/>
              <w:jc w:val="right"/>
              <w:rPr>
                <w:i/>
                <w:color w:val="000000"/>
                <w:sz w:val="20"/>
              </w:rPr>
            </w:pPr>
            <w:r w:rsidRPr="00725B4E">
              <w:rPr>
                <w:i/>
                <w:color w:val="000000"/>
                <w:sz w:val="20"/>
              </w:rPr>
              <w:t>Subtotal</w:t>
            </w:r>
          </w:p>
        </w:tc>
        <w:tc>
          <w:tcPr>
            <w:tcW w:w="4225"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F9AB96" w14:textId="35C509B9" w:rsidR="00DF2CE9" w:rsidRPr="00DF2CE9" w:rsidRDefault="00DF2CE9" w:rsidP="00103DA7">
            <w:pPr>
              <w:widowControl w:val="0"/>
              <w:ind w:left="144"/>
              <w:jc w:val="right"/>
              <w:rPr>
                <w:i/>
                <w:color w:val="000000"/>
                <w:sz w:val="20"/>
              </w:rPr>
            </w:pPr>
            <w:r w:rsidRPr="00DF2CE9">
              <w:rPr>
                <w:i/>
                <w:color w:val="000000"/>
                <w:sz w:val="20"/>
              </w:rPr>
              <w:t>15</w:t>
            </w:r>
            <w:r w:rsidR="000672C9">
              <w:rPr>
                <w:i/>
                <w:color w:val="000000"/>
                <w:sz w:val="20"/>
              </w:rPr>
              <w:t>,</w:t>
            </w:r>
            <w:r w:rsidRPr="00DF2CE9">
              <w:rPr>
                <w:i/>
                <w:color w:val="000000"/>
                <w:sz w:val="20"/>
              </w:rPr>
              <w:t>445</w:t>
            </w:r>
          </w:p>
        </w:tc>
      </w:tr>
      <w:tr w:rsidR="000672C9" w:rsidRPr="00DF2CE9" w14:paraId="0BF7D029"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1A7DE" w14:textId="18B75E27" w:rsidR="000672C9" w:rsidRPr="00725B4E" w:rsidRDefault="000672C9" w:rsidP="00103DA7">
            <w:pPr>
              <w:widowControl w:val="0"/>
              <w:ind w:left="144"/>
              <w:rPr>
                <w:i/>
                <w:color w:val="000000"/>
                <w:sz w:val="20"/>
              </w:rPr>
            </w:pPr>
            <w:r w:rsidRPr="009A301D">
              <w:rPr>
                <w:color w:val="000000"/>
                <w:sz w:val="20"/>
              </w:rPr>
              <w:t>Feb 6, 2017 (</w:t>
            </w:r>
            <w:r>
              <w:rPr>
                <w:color w:val="000000"/>
                <w:sz w:val="20"/>
              </w:rPr>
              <w:t>ROCIS burden</w:t>
            </w:r>
            <w:r w:rsidRPr="009A301D">
              <w:rPr>
                <w:color w:val="000000"/>
                <w:sz w:val="20"/>
              </w:rPr>
              <w:t>)</w:t>
            </w:r>
          </w:p>
        </w:tc>
        <w:tc>
          <w:tcPr>
            <w:tcW w:w="4225" w:type="dxa"/>
            <w:tcBorders>
              <w:top w:val="single" w:sz="4" w:space="0" w:color="auto"/>
              <w:left w:val="nil"/>
              <w:bottom w:val="single" w:sz="4" w:space="0" w:color="auto"/>
              <w:right w:val="single" w:sz="4" w:space="0" w:color="auto"/>
            </w:tcBorders>
            <w:shd w:val="clear" w:color="auto" w:fill="auto"/>
            <w:noWrap/>
            <w:vAlign w:val="bottom"/>
          </w:tcPr>
          <w:p w14:paraId="5CC1A585" w14:textId="50FDF283" w:rsidR="000672C9" w:rsidRPr="00DF2CE9" w:rsidRDefault="000672C9" w:rsidP="00103DA7">
            <w:pPr>
              <w:widowControl w:val="0"/>
              <w:ind w:left="144"/>
              <w:jc w:val="right"/>
              <w:rPr>
                <w:i/>
                <w:color w:val="000000"/>
                <w:sz w:val="20"/>
              </w:rPr>
            </w:pPr>
            <w:r w:rsidRPr="00DF2CE9">
              <w:rPr>
                <w:color w:val="000000"/>
                <w:sz w:val="20"/>
              </w:rPr>
              <w:t>15,</w:t>
            </w:r>
            <w:r>
              <w:rPr>
                <w:color w:val="000000"/>
                <w:sz w:val="20"/>
              </w:rPr>
              <w:t>421</w:t>
            </w:r>
          </w:p>
        </w:tc>
      </w:tr>
      <w:tr w:rsidR="000672C9" w:rsidRPr="00DF2CE9" w14:paraId="42E68F79"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56A549" w14:textId="06F67D5D" w:rsidR="000672C9" w:rsidRPr="00DF2CE9" w:rsidRDefault="000672C9" w:rsidP="00103DA7">
            <w:pPr>
              <w:widowControl w:val="0"/>
              <w:ind w:left="144"/>
              <w:rPr>
                <w:color w:val="000000"/>
                <w:sz w:val="20"/>
              </w:rPr>
            </w:pPr>
            <w:r w:rsidRPr="009A301D">
              <w:rPr>
                <w:color w:val="000000"/>
                <w:sz w:val="20"/>
              </w:rPr>
              <w:t>Correction #2</w:t>
            </w:r>
          </w:p>
        </w:tc>
        <w:tc>
          <w:tcPr>
            <w:tcW w:w="4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20FCADE" w14:textId="11C3CB59" w:rsidR="000672C9" w:rsidRPr="00DF2CE9" w:rsidRDefault="000672C9" w:rsidP="00103DA7">
            <w:pPr>
              <w:widowControl w:val="0"/>
              <w:ind w:left="144"/>
              <w:jc w:val="right"/>
              <w:rPr>
                <w:color w:val="000000"/>
                <w:sz w:val="20"/>
              </w:rPr>
            </w:pPr>
            <w:r w:rsidRPr="00DF2CE9">
              <w:rPr>
                <w:color w:val="000000"/>
                <w:sz w:val="20"/>
              </w:rPr>
              <w:t>+</w:t>
            </w:r>
            <w:r>
              <w:rPr>
                <w:color w:val="000000"/>
                <w:sz w:val="20"/>
              </w:rPr>
              <w:t>24</w:t>
            </w:r>
            <w:r w:rsidR="00E76AF2">
              <w:rPr>
                <w:color w:val="000000"/>
                <w:sz w:val="20"/>
              </w:rPr>
              <w:t xml:space="preserve"> (15,445 – 15,421)</w:t>
            </w:r>
          </w:p>
        </w:tc>
      </w:tr>
      <w:tr w:rsidR="000672C9" w:rsidRPr="00DF2CE9" w14:paraId="4FB9F5E2"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7DA4E8" w14:textId="06D54038" w:rsidR="000672C9" w:rsidRPr="009A301D" w:rsidRDefault="000672C9" w:rsidP="00103DA7">
            <w:pPr>
              <w:widowControl w:val="0"/>
              <w:ind w:left="144"/>
              <w:jc w:val="right"/>
              <w:rPr>
                <w:color w:val="000000"/>
                <w:sz w:val="20"/>
              </w:rPr>
            </w:pPr>
            <w:r w:rsidRPr="00725B4E">
              <w:rPr>
                <w:i/>
                <w:color w:val="000000"/>
                <w:sz w:val="20"/>
              </w:rPr>
              <w:t>Subtotal</w:t>
            </w:r>
          </w:p>
        </w:tc>
        <w:tc>
          <w:tcPr>
            <w:tcW w:w="4225"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2C25FC" w14:textId="5A4E4CB7" w:rsidR="000672C9" w:rsidRPr="00DF2CE9" w:rsidRDefault="000672C9" w:rsidP="00103DA7">
            <w:pPr>
              <w:widowControl w:val="0"/>
              <w:ind w:left="144"/>
              <w:jc w:val="right"/>
              <w:rPr>
                <w:color w:val="000000"/>
                <w:sz w:val="20"/>
              </w:rPr>
            </w:pPr>
            <w:r w:rsidRPr="00DF2CE9">
              <w:rPr>
                <w:i/>
                <w:color w:val="000000"/>
                <w:sz w:val="20"/>
              </w:rPr>
              <w:t>15</w:t>
            </w:r>
            <w:r>
              <w:rPr>
                <w:i/>
                <w:color w:val="000000"/>
                <w:sz w:val="20"/>
              </w:rPr>
              <w:t>,</w:t>
            </w:r>
            <w:r w:rsidRPr="00DF2CE9">
              <w:rPr>
                <w:i/>
                <w:color w:val="000000"/>
                <w:sz w:val="20"/>
              </w:rPr>
              <w:t>445</w:t>
            </w:r>
            <w:r w:rsidR="002C6988">
              <w:rPr>
                <w:i/>
                <w:color w:val="000000"/>
                <w:sz w:val="20"/>
              </w:rPr>
              <w:t xml:space="preserve"> (15,421 + 24)</w:t>
            </w:r>
          </w:p>
        </w:tc>
      </w:tr>
      <w:tr w:rsidR="000672C9" w:rsidRPr="00DF2CE9" w14:paraId="0FB50E99"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F338" w14:textId="1B266AC4" w:rsidR="000672C9" w:rsidRPr="00DF2CE9" w:rsidRDefault="000672C9" w:rsidP="00103DA7">
            <w:pPr>
              <w:widowControl w:val="0"/>
              <w:ind w:left="144"/>
              <w:rPr>
                <w:i/>
                <w:iCs/>
                <w:color w:val="000000"/>
                <w:sz w:val="20"/>
              </w:rPr>
            </w:pPr>
            <w:r w:rsidRPr="009A301D">
              <w:rPr>
                <w:color w:val="000000"/>
                <w:sz w:val="20"/>
              </w:rPr>
              <w:t>Adjustment</w:t>
            </w:r>
          </w:p>
        </w:tc>
        <w:tc>
          <w:tcPr>
            <w:tcW w:w="4225" w:type="dxa"/>
            <w:tcBorders>
              <w:top w:val="single" w:sz="4" w:space="0" w:color="auto"/>
              <w:left w:val="nil"/>
              <w:bottom w:val="single" w:sz="4" w:space="0" w:color="auto"/>
              <w:right w:val="single" w:sz="4" w:space="0" w:color="auto"/>
            </w:tcBorders>
            <w:shd w:val="clear" w:color="auto" w:fill="auto"/>
            <w:noWrap/>
            <w:vAlign w:val="bottom"/>
            <w:hideMark/>
          </w:tcPr>
          <w:p w14:paraId="7EF17226" w14:textId="7AD394C8" w:rsidR="000672C9" w:rsidRPr="00DF2CE9" w:rsidRDefault="000672C9" w:rsidP="00103DA7">
            <w:pPr>
              <w:widowControl w:val="0"/>
              <w:ind w:left="144"/>
              <w:jc w:val="right"/>
              <w:rPr>
                <w:i/>
                <w:iCs/>
                <w:color w:val="000000"/>
                <w:sz w:val="20"/>
              </w:rPr>
            </w:pPr>
            <w:r>
              <w:rPr>
                <w:i/>
                <w:iCs/>
                <w:color w:val="000000"/>
                <w:sz w:val="20"/>
              </w:rPr>
              <w:t>+2</w:t>
            </w:r>
          </w:p>
        </w:tc>
      </w:tr>
      <w:tr w:rsidR="000672C9" w:rsidRPr="00544EA1" w14:paraId="1BC638F3" w14:textId="77777777" w:rsidTr="00A61DCB">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F59319" w14:textId="6BC3D967" w:rsidR="000672C9" w:rsidRPr="00544EA1" w:rsidRDefault="000672C9" w:rsidP="00103DA7">
            <w:pPr>
              <w:widowControl w:val="0"/>
              <w:ind w:left="144"/>
              <w:jc w:val="right"/>
              <w:rPr>
                <w:b/>
                <w:color w:val="000000"/>
                <w:sz w:val="20"/>
              </w:rPr>
            </w:pPr>
            <w:r w:rsidRPr="00544EA1">
              <w:rPr>
                <w:b/>
                <w:iCs/>
                <w:color w:val="000000"/>
                <w:sz w:val="20"/>
              </w:rPr>
              <w:t>Final Estimate</w:t>
            </w:r>
          </w:p>
        </w:tc>
        <w:tc>
          <w:tcPr>
            <w:tcW w:w="422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918E999" w14:textId="2481BBCB" w:rsidR="000672C9" w:rsidRPr="00544EA1" w:rsidRDefault="000672C9" w:rsidP="00103DA7">
            <w:pPr>
              <w:widowControl w:val="0"/>
              <w:ind w:left="144"/>
              <w:jc w:val="right"/>
              <w:rPr>
                <w:b/>
                <w:iCs/>
                <w:color w:val="000000"/>
                <w:sz w:val="20"/>
              </w:rPr>
            </w:pPr>
            <w:r w:rsidRPr="00544EA1">
              <w:rPr>
                <w:b/>
                <w:iCs/>
                <w:color w:val="000000"/>
                <w:sz w:val="20"/>
              </w:rPr>
              <w:t>15,447</w:t>
            </w:r>
            <w:r w:rsidR="002A65A1">
              <w:rPr>
                <w:b/>
                <w:iCs/>
                <w:color w:val="000000"/>
                <w:sz w:val="20"/>
              </w:rPr>
              <w:t xml:space="preserve"> (15,445 + 2)</w:t>
            </w:r>
          </w:p>
        </w:tc>
      </w:tr>
    </w:tbl>
    <w:p w14:paraId="01860F11" w14:textId="77777777" w:rsidR="00A42202" w:rsidRPr="005F70EE" w:rsidRDefault="00A42202" w:rsidP="00103DA7">
      <w:pPr>
        <w:widowControl w:val="0"/>
        <w:ind w:left="144"/>
      </w:pPr>
    </w:p>
    <w:tbl>
      <w:tblPr>
        <w:tblW w:w="7740" w:type="dxa"/>
        <w:tblInd w:w="1303" w:type="dxa"/>
        <w:tblLook w:val="04A0" w:firstRow="1" w:lastRow="0" w:firstColumn="1" w:lastColumn="0" w:noHBand="0" w:noVBand="1"/>
      </w:tblPr>
      <w:tblGrid>
        <w:gridCol w:w="3515"/>
        <w:gridCol w:w="4225"/>
      </w:tblGrid>
      <w:tr w:rsidR="00A42202" w:rsidRPr="00725B4E" w14:paraId="0F9ADFA1" w14:textId="77777777" w:rsidTr="00FC4C76">
        <w:trPr>
          <w:trHeight w:val="80"/>
        </w:trPr>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FCB43A" w14:textId="77777777" w:rsidR="00A42202" w:rsidRPr="00103DA7" w:rsidRDefault="00A42202" w:rsidP="00103DA7">
            <w:pPr>
              <w:widowControl w:val="0"/>
              <w:ind w:left="144"/>
              <w:jc w:val="center"/>
              <w:rPr>
                <w:b/>
                <w:iCs/>
                <w:color w:val="000000"/>
                <w:sz w:val="20"/>
              </w:rPr>
            </w:pPr>
            <w:r w:rsidRPr="00103DA7">
              <w:rPr>
                <w:b/>
                <w:iCs/>
                <w:color w:val="000000"/>
                <w:sz w:val="20"/>
              </w:rPr>
              <w:t>Number of Responses (Assessments) Per Facility</w:t>
            </w:r>
          </w:p>
        </w:tc>
      </w:tr>
      <w:tr w:rsidR="00A42202" w:rsidRPr="009A301D" w14:paraId="034D830B"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4381D833" w14:textId="61A9A692" w:rsidR="00A42202" w:rsidRPr="009A301D" w:rsidRDefault="00A42202" w:rsidP="00103DA7">
            <w:pPr>
              <w:widowControl w:val="0"/>
              <w:ind w:left="144"/>
              <w:rPr>
                <w:color w:val="000000"/>
                <w:sz w:val="20"/>
              </w:rPr>
            </w:pPr>
            <w:r>
              <w:rPr>
                <w:sz w:val="20"/>
              </w:rPr>
              <w:t>Jan</w:t>
            </w:r>
            <w:r w:rsidRPr="009A301D">
              <w:rPr>
                <w:sz w:val="20"/>
              </w:rPr>
              <w:t xml:space="preserve"> 15, 2014 (</w:t>
            </w:r>
            <w:r w:rsidRPr="009A301D">
              <w:rPr>
                <w:color w:val="000000"/>
                <w:sz w:val="20"/>
              </w:rPr>
              <w:t>Supporting Statement)</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67500144" w14:textId="77777777" w:rsidR="00A42202" w:rsidRPr="009A301D" w:rsidRDefault="00A42202" w:rsidP="00103DA7">
            <w:pPr>
              <w:widowControl w:val="0"/>
              <w:ind w:left="144"/>
              <w:jc w:val="right"/>
              <w:rPr>
                <w:iCs/>
                <w:color w:val="000000"/>
                <w:sz w:val="20"/>
              </w:rPr>
            </w:pPr>
            <w:r w:rsidRPr="009A301D">
              <w:rPr>
                <w:iCs/>
                <w:color w:val="000000"/>
                <w:sz w:val="20"/>
              </w:rPr>
              <w:t>416</w:t>
            </w:r>
          </w:p>
        </w:tc>
      </w:tr>
      <w:tr w:rsidR="00A42202" w:rsidRPr="009A301D" w14:paraId="758CEABB"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4FA901B4" w14:textId="7B6C7DD0" w:rsidR="00A42202" w:rsidRPr="009A301D" w:rsidRDefault="00A42202" w:rsidP="00103DA7">
            <w:pPr>
              <w:widowControl w:val="0"/>
              <w:ind w:left="144"/>
              <w:rPr>
                <w:iCs/>
                <w:color w:val="000000"/>
                <w:sz w:val="20"/>
              </w:rPr>
            </w:pPr>
            <w:r w:rsidRPr="009A301D">
              <w:rPr>
                <w:color w:val="000000"/>
                <w:sz w:val="20"/>
              </w:rPr>
              <w:t>Feb 6, 2017 (Supporting Statement)</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21B345E3" w14:textId="278E94D4" w:rsidR="00A42202" w:rsidRPr="009A301D" w:rsidRDefault="00A42202" w:rsidP="00103DA7">
            <w:pPr>
              <w:widowControl w:val="0"/>
              <w:ind w:left="144"/>
              <w:jc w:val="right"/>
              <w:rPr>
                <w:iCs/>
                <w:color w:val="000000"/>
                <w:sz w:val="20"/>
              </w:rPr>
            </w:pPr>
            <w:r w:rsidRPr="009A301D">
              <w:rPr>
                <w:iCs/>
                <w:color w:val="000000"/>
                <w:sz w:val="20"/>
              </w:rPr>
              <w:t>45</w:t>
            </w:r>
          </w:p>
        </w:tc>
      </w:tr>
      <w:tr w:rsidR="00A42202" w:rsidRPr="009A301D" w14:paraId="59009BA0"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3A15FCE6" w14:textId="77777777" w:rsidR="00A42202" w:rsidRPr="009A301D" w:rsidRDefault="00A42202" w:rsidP="00103DA7">
            <w:pPr>
              <w:widowControl w:val="0"/>
              <w:ind w:left="144"/>
              <w:rPr>
                <w:iCs/>
                <w:color w:val="000000"/>
                <w:sz w:val="20"/>
              </w:rPr>
            </w:pPr>
            <w:r w:rsidRPr="009A301D">
              <w:rPr>
                <w:color w:val="000000"/>
                <w:sz w:val="20"/>
              </w:rPr>
              <w:t>Correction #1</w:t>
            </w:r>
          </w:p>
        </w:tc>
        <w:tc>
          <w:tcPr>
            <w:tcW w:w="4225" w:type="dxa"/>
            <w:tcBorders>
              <w:top w:val="nil"/>
              <w:left w:val="nil"/>
              <w:bottom w:val="single" w:sz="4" w:space="0" w:color="auto"/>
              <w:right w:val="single" w:sz="4" w:space="0" w:color="auto"/>
            </w:tcBorders>
            <w:shd w:val="clear" w:color="auto" w:fill="auto"/>
            <w:noWrap/>
            <w:vAlign w:val="bottom"/>
          </w:tcPr>
          <w:p w14:paraId="7893CBDB" w14:textId="2072581B" w:rsidR="00A42202" w:rsidRPr="009A301D" w:rsidRDefault="00A42202" w:rsidP="00103DA7">
            <w:pPr>
              <w:widowControl w:val="0"/>
              <w:ind w:left="144"/>
              <w:jc w:val="right"/>
              <w:rPr>
                <w:iCs/>
                <w:color w:val="000000"/>
                <w:sz w:val="20"/>
              </w:rPr>
            </w:pPr>
            <w:r w:rsidRPr="009A301D">
              <w:rPr>
                <w:iCs/>
                <w:color w:val="000000"/>
                <w:sz w:val="20"/>
              </w:rPr>
              <w:t>+371</w:t>
            </w:r>
          </w:p>
        </w:tc>
      </w:tr>
      <w:tr w:rsidR="00A42202" w:rsidRPr="00725B4E" w14:paraId="573AD4CF"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75F27C3" w14:textId="77777777" w:rsidR="00A42202" w:rsidRPr="00725B4E" w:rsidRDefault="00A42202" w:rsidP="00103DA7">
            <w:pPr>
              <w:widowControl w:val="0"/>
              <w:ind w:left="144"/>
              <w:jc w:val="right"/>
              <w:rPr>
                <w:i/>
                <w:iCs/>
                <w:color w:val="000000"/>
                <w:sz w:val="20"/>
              </w:rPr>
            </w:pPr>
            <w:r w:rsidRPr="00725B4E">
              <w:rPr>
                <w:i/>
                <w:color w:val="000000"/>
                <w:sz w:val="20"/>
              </w:rPr>
              <w:t>Subtotal</w:t>
            </w:r>
          </w:p>
        </w:tc>
        <w:tc>
          <w:tcPr>
            <w:tcW w:w="4225" w:type="dxa"/>
            <w:tcBorders>
              <w:top w:val="nil"/>
              <w:left w:val="nil"/>
              <w:bottom w:val="single" w:sz="4" w:space="0" w:color="auto"/>
              <w:right w:val="single" w:sz="4" w:space="0" w:color="auto"/>
            </w:tcBorders>
            <w:shd w:val="clear" w:color="auto" w:fill="F2F2F2" w:themeFill="background1" w:themeFillShade="F2"/>
            <w:noWrap/>
            <w:vAlign w:val="bottom"/>
          </w:tcPr>
          <w:p w14:paraId="68852720" w14:textId="7E129619" w:rsidR="00A42202" w:rsidRPr="00725B4E" w:rsidRDefault="00A42202" w:rsidP="00103DA7">
            <w:pPr>
              <w:widowControl w:val="0"/>
              <w:ind w:left="144"/>
              <w:jc w:val="right"/>
              <w:rPr>
                <w:i/>
                <w:iCs/>
                <w:color w:val="000000"/>
                <w:sz w:val="20"/>
              </w:rPr>
            </w:pPr>
            <w:r w:rsidRPr="00725B4E">
              <w:rPr>
                <w:i/>
                <w:iCs/>
                <w:color w:val="000000"/>
                <w:sz w:val="20"/>
              </w:rPr>
              <w:t>4</w:t>
            </w:r>
            <w:r>
              <w:rPr>
                <w:i/>
                <w:iCs/>
                <w:color w:val="000000"/>
                <w:sz w:val="20"/>
              </w:rPr>
              <w:t>16</w:t>
            </w:r>
            <w:r w:rsidR="002224BF">
              <w:rPr>
                <w:i/>
                <w:iCs/>
                <w:color w:val="000000"/>
                <w:sz w:val="20"/>
              </w:rPr>
              <w:t xml:space="preserve"> (45 + 371)</w:t>
            </w:r>
          </w:p>
        </w:tc>
      </w:tr>
      <w:tr w:rsidR="00FC4C76" w:rsidRPr="00725B4E" w14:paraId="2260858A"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67297DF0" w14:textId="746AECCA" w:rsidR="00FC4C76" w:rsidRPr="00725B4E" w:rsidRDefault="00FC4C76" w:rsidP="00103DA7">
            <w:pPr>
              <w:widowControl w:val="0"/>
              <w:ind w:left="144"/>
              <w:rPr>
                <w:i/>
                <w:color w:val="000000"/>
                <w:sz w:val="20"/>
              </w:rPr>
            </w:pPr>
            <w:r w:rsidRPr="009A301D">
              <w:rPr>
                <w:color w:val="000000"/>
                <w:sz w:val="20"/>
              </w:rPr>
              <w:t>Feb 6, 2017 (</w:t>
            </w:r>
            <w:r>
              <w:rPr>
                <w:color w:val="000000"/>
                <w:sz w:val="20"/>
              </w:rPr>
              <w:t>ROCIS burden</w:t>
            </w:r>
            <w:r w:rsidRPr="009A301D">
              <w:rPr>
                <w:color w:val="000000"/>
                <w:sz w:val="20"/>
              </w:rPr>
              <w:t>)</w:t>
            </w:r>
          </w:p>
        </w:tc>
        <w:tc>
          <w:tcPr>
            <w:tcW w:w="4225" w:type="dxa"/>
            <w:tcBorders>
              <w:top w:val="nil"/>
              <w:left w:val="nil"/>
              <w:bottom w:val="single" w:sz="4" w:space="0" w:color="auto"/>
              <w:right w:val="single" w:sz="4" w:space="0" w:color="auto"/>
            </w:tcBorders>
            <w:shd w:val="clear" w:color="auto" w:fill="auto"/>
            <w:noWrap/>
            <w:vAlign w:val="bottom"/>
          </w:tcPr>
          <w:p w14:paraId="3DD152C1" w14:textId="450AF90B" w:rsidR="00FC4C76" w:rsidRPr="00725B4E" w:rsidRDefault="00FC4C76" w:rsidP="00103DA7">
            <w:pPr>
              <w:widowControl w:val="0"/>
              <w:ind w:left="144"/>
              <w:jc w:val="right"/>
              <w:rPr>
                <w:i/>
                <w:iCs/>
                <w:color w:val="000000"/>
                <w:sz w:val="20"/>
              </w:rPr>
            </w:pPr>
            <w:r>
              <w:rPr>
                <w:i/>
                <w:iCs/>
                <w:color w:val="000000"/>
                <w:sz w:val="20"/>
              </w:rPr>
              <w:t>44</w:t>
            </w:r>
          </w:p>
        </w:tc>
      </w:tr>
      <w:tr w:rsidR="00FC4C76" w:rsidRPr="00725B4E" w14:paraId="50C1A0E8"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158E264F" w14:textId="0D915118" w:rsidR="00FC4C76" w:rsidRPr="009A301D" w:rsidRDefault="00FC4C76" w:rsidP="00103DA7">
            <w:pPr>
              <w:widowControl w:val="0"/>
              <w:ind w:left="144"/>
              <w:rPr>
                <w:color w:val="000000"/>
                <w:sz w:val="20"/>
              </w:rPr>
            </w:pPr>
            <w:r w:rsidRPr="009A301D">
              <w:rPr>
                <w:color w:val="000000"/>
                <w:sz w:val="20"/>
              </w:rPr>
              <w:t>Correction #2</w:t>
            </w:r>
          </w:p>
        </w:tc>
        <w:tc>
          <w:tcPr>
            <w:tcW w:w="4225" w:type="dxa"/>
            <w:tcBorders>
              <w:top w:val="nil"/>
              <w:left w:val="nil"/>
              <w:bottom w:val="single" w:sz="4" w:space="0" w:color="auto"/>
              <w:right w:val="single" w:sz="4" w:space="0" w:color="auto"/>
            </w:tcBorders>
            <w:shd w:val="clear" w:color="auto" w:fill="auto"/>
            <w:noWrap/>
            <w:vAlign w:val="bottom"/>
          </w:tcPr>
          <w:p w14:paraId="09605C4D" w14:textId="70012B02" w:rsidR="00FC4C76" w:rsidRDefault="00FC4C76" w:rsidP="00103DA7">
            <w:pPr>
              <w:widowControl w:val="0"/>
              <w:ind w:left="144"/>
              <w:jc w:val="right"/>
              <w:rPr>
                <w:i/>
                <w:iCs/>
                <w:color w:val="000000"/>
                <w:sz w:val="20"/>
              </w:rPr>
            </w:pPr>
            <w:r>
              <w:rPr>
                <w:iCs/>
                <w:color w:val="000000"/>
                <w:sz w:val="20"/>
              </w:rPr>
              <w:t>+1</w:t>
            </w:r>
            <w:r w:rsidR="00F53B56">
              <w:rPr>
                <w:iCs/>
                <w:color w:val="000000"/>
                <w:sz w:val="20"/>
              </w:rPr>
              <w:t xml:space="preserve"> (45 – </w:t>
            </w:r>
            <w:r w:rsidR="001A5F4F">
              <w:rPr>
                <w:iCs/>
                <w:color w:val="000000"/>
                <w:sz w:val="20"/>
              </w:rPr>
              <w:t>44</w:t>
            </w:r>
            <w:r w:rsidR="00F53B56">
              <w:rPr>
                <w:iCs/>
                <w:color w:val="000000"/>
                <w:sz w:val="20"/>
              </w:rPr>
              <w:t>)</w:t>
            </w:r>
          </w:p>
        </w:tc>
      </w:tr>
      <w:tr w:rsidR="00FC4C76" w:rsidRPr="009A301D" w14:paraId="228F71B0"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702EF68" w14:textId="79BD340D" w:rsidR="00FC4C76" w:rsidRPr="009A301D" w:rsidRDefault="00FC4C76" w:rsidP="00103DA7">
            <w:pPr>
              <w:widowControl w:val="0"/>
              <w:ind w:left="144"/>
              <w:jc w:val="right"/>
              <w:rPr>
                <w:color w:val="000000"/>
                <w:sz w:val="20"/>
              </w:rPr>
            </w:pPr>
            <w:r w:rsidRPr="00725B4E">
              <w:rPr>
                <w:i/>
                <w:color w:val="000000"/>
                <w:sz w:val="20"/>
              </w:rPr>
              <w:t>Subtotal</w:t>
            </w:r>
          </w:p>
        </w:tc>
        <w:tc>
          <w:tcPr>
            <w:tcW w:w="4225" w:type="dxa"/>
            <w:tcBorders>
              <w:top w:val="nil"/>
              <w:left w:val="nil"/>
              <w:bottom w:val="single" w:sz="4" w:space="0" w:color="auto"/>
              <w:right w:val="single" w:sz="4" w:space="0" w:color="auto"/>
            </w:tcBorders>
            <w:shd w:val="clear" w:color="auto" w:fill="F2F2F2" w:themeFill="background1" w:themeFillShade="F2"/>
            <w:noWrap/>
            <w:vAlign w:val="bottom"/>
          </w:tcPr>
          <w:p w14:paraId="16A712F8" w14:textId="10BB0A3E" w:rsidR="00FC4C76" w:rsidRPr="009A301D" w:rsidRDefault="00FC4C76" w:rsidP="00103DA7">
            <w:pPr>
              <w:widowControl w:val="0"/>
              <w:ind w:left="144"/>
              <w:jc w:val="right"/>
              <w:rPr>
                <w:iCs/>
                <w:color w:val="000000"/>
                <w:sz w:val="20"/>
              </w:rPr>
            </w:pPr>
            <w:r w:rsidRPr="00725B4E">
              <w:rPr>
                <w:i/>
                <w:iCs/>
                <w:color w:val="000000"/>
                <w:sz w:val="20"/>
              </w:rPr>
              <w:t>4</w:t>
            </w:r>
            <w:r>
              <w:rPr>
                <w:i/>
                <w:iCs/>
                <w:color w:val="000000"/>
                <w:sz w:val="20"/>
              </w:rPr>
              <w:t>1</w:t>
            </w:r>
            <w:r>
              <w:rPr>
                <w:i/>
                <w:iCs/>
                <w:color w:val="000000"/>
                <w:sz w:val="20"/>
              </w:rPr>
              <w:t>7</w:t>
            </w:r>
            <w:r w:rsidR="00AB0F78">
              <w:rPr>
                <w:i/>
                <w:iCs/>
                <w:color w:val="000000"/>
                <w:sz w:val="20"/>
              </w:rPr>
              <w:t xml:space="preserve"> (416 + 1)</w:t>
            </w:r>
          </w:p>
        </w:tc>
      </w:tr>
      <w:tr w:rsidR="00FC4C76" w:rsidRPr="009A301D" w14:paraId="7E789CD2"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74092C40" w14:textId="77777777" w:rsidR="00FC4C76" w:rsidRPr="009A301D" w:rsidRDefault="00FC4C76" w:rsidP="00103DA7">
            <w:pPr>
              <w:widowControl w:val="0"/>
              <w:ind w:left="144"/>
              <w:rPr>
                <w:iCs/>
                <w:color w:val="000000"/>
                <w:sz w:val="20"/>
              </w:rPr>
            </w:pPr>
            <w:r w:rsidRPr="009A301D">
              <w:rPr>
                <w:color w:val="000000"/>
                <w:sz w:val="20"/>
              </w:rPr>
              <w:t>Adjustment</w:t>
            </w:r>
          </w:p>
        </w:tc>
        <w:tc>
          <w:tcPr>
            <w:tcW w:w="4225" w:type="dxa"/>
            <w:tcBorders>
              <w:top w:val="nil"/>
              <w:left w:val="nil"/>
              <w:bottom w:val="single" w:sz="4" w:space="0" w:color="auto"/>
              <w:right w:val="single" w:sz="4" w:space="0" w:color="auto"/>
            </w:tcBorders>
            <w:shd w:val="clear" w:color="auto" w:fill="auto"/>
            <w:noWrap/>
            <w:vAlign w:val="bottom"/>
          </w:tcPr>
          <w:p w14:paraId="1EF37FC0" w14:textId="43DD4646" w:rsidR="00FC4C76" w:rsidRPr="009A301D" w:rsidRDefault="00FC4C76" w:rsidP="00103DA7">
            <w:pPr>
              <w:widowControl w:val="0"/>
              <w:ind w:left="144"/>
              <w:jc w:val="right"/>
              <w:rPr>
                <w:iCs/>
                <w:color w:val="000000"/>
                <w:sz w:val="20"/>
              </w:rPr>
            </w:pPr>
            <w:r w:rsidRPr="009A301D">
              <w:rPr>
                <w:iCs/>
                <w:color w:val="000000"/>
                <w:sz w:val="20"/>
              </w:rPr>
              <w:t>+</w:t>
            </w:r>
            <w:r>
              <w:rPr>
                <w:iCs/>
                <w:color w:val="000000"/>
                <w:sz w:val="20"/>
              </w:rPr>
              <w:t>8</w:t>
            </w:r>
          </w:p>
        </w:tc>
      </w:tr>
      <w:tr w:rsidR="00FC4C76" w:rsidRPr="009A301D" w14:paraId="1ECBDA2C" w14:textId="77777777" w:rsidTr="00FC4C76">
        <w:trPr>
          <w:trHeight w:val="80"/>
        </w:trPr>
        <w:tc>
          <w:tcPr>
            <w:tcW w:w="351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252DB4" w14:textId="77777777" w:rsidR="00FC4C76" w:rsidRPr="009A301D" w:rsidRDefault="00FC4C76" w:rsidP="00103DA7">
            <w:pPr>
              <w:widowControl w:val="0"/>
              <w:ind w:left="144"/>
              <w:jc w:val="right"/>
              <w:rPr>
                <w:b/>
                <w:iCs/>
                <w:color w:val="000000"/>
                <w:sz w:val="20"/>
              </w:rPr>
            </w:pPr>
            <w:r w:rsidRPr="009A301D">
              <w:rPr>
                <w:b/>
                <w:iCs/>
                <w:color w:val="000000"/>
                <w:sz w:val="20"/>
              </w:rPr>
              <w:t>Final Estimate</w:t>
            </w:r>
          </w:p>
        </w:tc>
        <w:tc>
          <w:tcPr>
            <w:tcW w:w="4225" w:type="dxa"/>
            <w:tcBorders>
              <w:top w:val="nil"/>
              <w:left w:val="nil"/>
              <w:bottom w:val="single" w:sz="4" w:space="0" w:color="auto"/>
              <w:right w:val="single" w:sz="4" w:space="0" w:color="auto"/>
            </w:tcBorders>
            <w:shd w:val="clear" w:color="auto" w:fill="D9D9D9" w:themeFill="background1" w:themeFillShade="D9"/>
            <w:noWrap/>
            <w:vAlign w:val="bottom"/>
          </w:tcPr>
          <w:p w14:paraId="515757B0" w14:textId="4CB90022" w:rsidR="00FC4C76" w:rsidRPr="009A301D" w:rsidRDefault="00FC4C76" w:rsidP="00103DA7">
            <w:pPr>
              <w:widowControl w:val="0"/>
              <w:ind w:left="144"/>
              <w:jc w:val="right"/>
              <w:rPr>
                <w:b/>
                <w:iCs/>
                <w:color w:val="000000"/>
                <w:sz w:val="20"/>
              </w:rPr>
            </w:pPr>
            <w:r w:rsidRPr="009A301D">
              <w:rPr>
                <w:b/>
                <w:iCs/>
                <w:color w:val="000000"/>
                <w:sz w:val="20"/>
              </w:rPr>
              <w:t>425</w:t>
            </w:r>
            <w:r w:rsidR="002673CA">
              <w:rPr>
                <w:b/>
                <w:iCs/>
                <w:color w:val="000000"/>
                <w:sz w:val="20"/>
              </w:rPr>
              <w:t xml:space="preserve"> (417 +8)</w:t>
            </w:r>
          </w:p>
        </w:tc>
      </w:tr>
    </w:tbl>
    <w:p w14:paraId="3DE8264C" w14:textId="77777777" w:rsidR="00DF2CE9" w:rsidRDefault="00DF2CE9" w:rsidP="00103DA7">
      <w:pPr>
        <w:widowControl w:val="0"/>
        <w:ind w:left="144"/>
      </w:pPr>
    </w:p>
    <w:tbl>
      <w:tblPr>
        <w:tblW w:w="7740" w:type="dxa"/>
        <w:tblInd w:w="1303" w:type="dxa"/>
        <w:tblLook w:val="04A0" w:firstRow="1" w:lastRow="0" w:firstColumn="1" w:lastColumn="0" w:noHBand="0" w:noVBand="1"/>
      </w:tblPr>
      <w:tblGrid>
        <w:gridCol w:w="3515"/>
        <w:gridCol w:w="4225"/>
      </w:tblGrid>
      <w:tr w:rsidR="00BD5BA8" w:rsidRPr="00725B4E" w14:paraId="00D73B9B" w14:textId="77777777" w:rsidTr="00BF78D2">
        <w:trPr>
          <w:trHeight w:val="80"/>
        </w:trPr>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673E8B" w14:textId="495B8755" w:rsidR="00BD5BA8" w:rsidRPr="00725B4E" w:rsidRDefault="00BD5BA8" w:rsidP="00103DA7">
            <w:pPr>
              <w:widowControl w:val="0"/>
              <w:ind w:left="144"/>
              <w:jc w:val="center"/>
              <w:rPr>
                <w:b/>
                <w:iCs/>
                <w:color w:val="000000"/>
                <w:sz w:val="20"/>
              </w:rPr>
            </w:pPr>
            <w:r>
              <w:rPr>
                <w:b/>
                <w:iCs/>
                <w:color w:val="000000"/>
                <w:sz w:val="20"/>
              </w:rPr>
              <w:t>Respon</w:t>
            </w:r>
            <w:r w:rsidR="00B471B2">
              <w:rPr>
                <w:b/>
                <w:iCs/>
                <w:color w:val="000000"/>
                <w:sz w:val="20"/>
              </w:rPr>
              <w:t>ses (Total)</w:t>
            </w:r>
          </w:p>
        </w:tc>
      </w:tr>
      <w:tr w:rsidR="00BD5BA8" w:rsidRPr="009A301D" w14:paraId="6610E069"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5C166C5E" w14:textId="77777777" w:rsidR="00BD5BA8" w:rsidRPr="009A301D" w:rsidRDefault="00BD5BA8" w:rsidP="00103DA7">
            <w:pPr>
              <w:widowControl w:val="0"/>
              <w:ind w:left="144"/>
              <w:rPr>
                <w:color w:val="000000"/>
                <w:sz w:val="20"/>
              </w:rPr>
            </w:pPr>
            <w:r w:rsidRPr="009A301D">
              <w:rPr>
                <w:sz w:val="20"/>
              </w:rPr>
              <w:t>Jan. 15, 2014 (</w:t>
            </w:r>
            <w:r w:rsidRPr="009A301D">
              <w:rPr>
                <w:color w:val="000000"/>
                <w:sz w:val="20"/>
              </w:rPr>
              <w:t>Supporting Statement)</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634841CA" w14:textId="77777777" w:rsidR="00BD5BA8" w:rsidRPr="009A301D" w:rsidRDefault="00BD5BA8" w:rsidP="00103DA7">
            <w:pPr>
              <w:widowControl w:val="0"/>
              <w:ind w:left="144"/>
              <w:jc w:val="right"/>
              <w:rPr>
                <w:iCs/>
                <w:color w:val="000000"/>
                <w:sz w:val="20"/>
              </w:rPr>
            </w:pPr>
            <w:r w:rsidRPr="00692C08">
              <w:rPr>
                <w:iCs/>
                <w:color w:val="000000"/>
                <w:sz w:val="20"/>
              </w:rPr>
              <w:t>6,392,971</w:t>
            </w:r>
          </w:p>
        </w:tc>
      </w:tr>
      <w:tr w:rsidR="00BD5BA8" w:rsidRPr="009A301D" w14:paraId="6F83C2A6"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307E09EA" w14:textId="77777777" w:rsidR="00BD5BA8" w:rsidRPr="009A301D" w:rsidRDefault="00BD5BA8" w:rsidP="00103DA7">
            <w:pPr>
              <w:widowControl w:val="0"/>
              <w:ind w:left="144"/>
              <w:rPr>
                <w:iCs/>
                <w:color w:val="000000"/>
                <w:sz w:val="20"/>
              </w:rPr>
            </w:pPr>
            <w:r w:rsidRPr="009A301D">
              <w:rPr>
                <w:color w:val="000000"/>
                <w:sz w:val="20"/>
              </w:rPr>
              <w:t>Feb 6, 2017 (Supporting Statement)</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6E4F33D1" w14:textId="77777777" w:rsidR="00BD5BA8" w:rsidRPr="009A301D" w:rsidRDefault="00BD5BA8" w:rsidP="00103DA7">
            <w:pPr>
              <w:widowControl w:val="0"/>
              <w:ind w:left="144"/>
              <w:jc w:val="right"/>
              <w:rPr>
                <w:iCs/>
                <w:color w:val="000000"/>
                <w:sz w:val="20"/>
              </w:rPr>
            </w:pPr>
            <w:r w:rsidRPr="0074076E">
              <w:rPr>
                <w:iCs/>
                <w:color w:val="000000"/>
                <w:sz w:val="20"/>
              </w:rPr>
              <w:t>688,540</w:t>
            </w:r>
          </w:p>
        </w:tc>
      </w:tr>
      <w:tr w:rsidR="00BD5BA8" w:rsidRPr="009A301D" w14:paraId="18708E2E"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2CCF3F89" w14:textId="77777777" w:rsidR="00BD5BA8" w:rsidRPr="009A301D" w:rsidRDefault="00BD5BA8" w:rsidP="00103DA7">
            <w:pPr>
              <w:widowControl w:val="0"/>
              <w:ind w:left="144"/>
              <w:rPr>
                <w:iCs/>
                <w:color w:val="000000"/>
                <w:sz w:val="20"/>
              </w:rPr>
            </w:pPr>
            <w:r w:rsidRPr="009A301D">
              <w:rPr>
                <w:color w:val="000000"/>
                <w:sz w:val="20"/>
              </w:rPr>
              <w:t>Correction #1</w:t>
            </w:r>
          </w:p>
        </w:tc>
        <w:tc>
          <w:tcPr>
            <w:tcW w:w="4225" w:type="dxa"/>
            <w:tcBorders>
              <w:top w:val="nil"/>
              <w:left w:val="nil"/>
              <w:bottom w:val="single" w:sz="4" w:space="0" w:color="auto"/>
              <w:right w:val="single" w:sz="4" w:space="0" w:color="auto"/>
            </w:tcBorders>
            <w:shd w:val="clear" w:color="auto" w:fill="auto"/>
            <w:noWrap/>
            <w:vAlign w:val="bottom"/>
          </w:tcPr>
          <w:p w14:paraId="25C52D88" w14:textId="19736E23" w:rsidR="00BD5BA8" w:rsidRPr="009A301D" w:rsidRDefault="00BD5BA8" w:rsidP="00103DA7">
            <w:pPr>
              <w:widowControl w:val="0"/>
              <w:ind w:left="144"/>
              <w:jc w:val="right"/>
              <w:rPr>
                <w:iCs/>
                <w:color w:val="000000"/>
                <w:sz w:val="20"/>
              </w:rPr>
            </w:pPr>
            <w:r w:rsidRPr="009A301D">
              <w:rPr>
                <w:iCs/>
                <w:color w:val="000000"/>
                <w:sz w:val="20"/>
              </w:rPr>
              <w:t>+</w:t>
            </w:r>
            <w:r w:rsidR="00605761">
              <w:rPr>
                <w:iCs/>
                <w:color w:val="000000"/>
                <w:sz w:val="20"/>
              </w:rPr>
              <w:t>5</w:t>
            </w:r>
            <w:r>
              <w:rPr>
                <w:iCs/>
                <w:color w:val="000000"/>
                <w:sz w:val="20"/>
              </w:rPr>
              <w:t>,</w:t>
            </w:r>
            <w:r w:rsidR="00605761">
              <w:rPr>
                <w:iCs/>
                <w:color w:val="000000"/>
                <w:sz w:val="20"/>
              </w:rPr>
              <w:t>704</w:t>
            </w:r>
            <w:r>
              <w:rPr>
                <w:iCs/>
                <w:color w:val="000000"/>
                <w:sz w:val="20"/>
              </w:rPr>
              <w:t>,</w:t>
            </w:r>
            <w:r w:rsidR="00605761">
              <w:rPr>
                <w:iCs/>
                <w:color w:val="000000"/>
                <w:sz w:val="20"/>
              </w:rPr>
              <w:t>431</w:t>
            </w:r>
          </w:p>
        </w:tc>
      </w:tr>
      <w:tr w:rsidR="00BD5BA8" w:rsidRPr="00D566E3" w14:paraId="5CF8F868"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10B3109" w14:textId="77777777" w:rsidR="00BD5BA8" w:rsidRPr="00D566E3" w:rsidRDefault="00BD5BA8" w:rsidP="00103DA7">
            <w:pPr>
              <w:widowControl w:val="0"/>
              <w:ind w:left="144"/>
              <w:jc w:val="right"/>
              <w:rPr>
                <w:i/>
                <w:iCs/>
                <w:color w:val="000000"/>
                <w:sz w:val="20"/>
              </w:rPr>
            </w:pPr>
            <w:r w:rsidRPr="00D566E3">
              <w:rPr>
                <w:i/>
                <w:color w:val="000000"/>
                <w:sz w:val="20"/>
              </w:rPr>
              <w:t>Subtotal</w:t>
            </w:r>
          </w:p>
        </w:tc>
        <w:tc>
          <w:tcPr>
            <w:tcW w:w="4225" w:type="dxa"/>
            <w:tcBorders>
              <w:top w:val="nil"/>
              <w:left w:val="nil"/>
              <w:bottom w:val="single" w:sz="4" w:space="0" w:color="auto"/>
              <w:right w:val="single" w:sz="4" w:space="0" w:color="auto"/>
            </w:tcBorders>
            <w:shd w:val="clear" w:color="auto" w:fill="F2F2F2" w:themeFill="background1" w:themeFillShade="F2"/>
            <w:noWrap/>
            <w:vAlign w:val="bottom"/>
          </w:tcPr>
          <w:p w14:paraId="1564F433" w14:textId="77777777" w:rsidR="00BD5BA8" w:rsidRPr="00D566E3" w:rsidRDefault="00BD5BA8" w:rsidP="00103DA7">
            <w:pPr>
              <w:widowControl w:val="0"/>
              <w:ind w:left="144"/>
              <w:jc w:val="right"/>
              <w:rPr>
                <w:i/>
                <w:iCs/>
                <w:color w:val="000000"/>
                <w:sz w:val="20"/>
              </w:rPr>
            </w:pPr>
            <w:r w:rsidRPr="00D566E3">
              <w:rPr>
                <w:i/>
                <w:iCs/>
                <w:color w:val="000000"/>
                <w:sz w:val="20"/>
              </w:rPr>
              <w:t>6,392,971</w:t>
            </w:r>
          </w:p>
        </w:tc>
      </w:tr>
      <w:tr w:rsidR="00A53EAF" w:rsidRPr="00725B4E" w14:paraId="299D8860"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0F8440A8" w14:textId="6CC78E8D" w:rsidR="00A53EAF" w:rsidRPr="00725B4E" w:rsidRDefault="00A53EAF" w:rsidP="00103DA7">
            <w:pPr>
              <w:widowControl w:val="0"/>
              <w:ind w:left="144"/>
              <w:rPr>
                <w:i/>
                <w:color w:val="000000"/>
                <w:sz w:val="20"/>
              </w:rPr>
            </w:pPr>
            <w:r w:rsidRPr="009A301D">
              <w:rPr>
                <w:color w:val="000000"/>
                <w:sz w:val="20"/>
              </w:rPr>
              <w:t>Feb 6, 2017 (</w:t>
            </w:r>
            <w:r>
              <w:rPr>
                <w:color w:val="000000"/>
                <w:sz w:val="20"/>
              </w:rPr>
              <w:t>ROCIS burden</w:t>
            </w:r>
            <w:r w:rsidRPr="009A301D">
              <w:rPr>
                <w:color w:val="000000"/>
                <w:sz w:val="20"/>
              </w:rPr>
              <w:t>)</w:t>
            </w:r>
          </w:p>
        </w:tc>
        <w:tc>
          <w:tcPr>
            <w:tcW w:w="4225" w:type="dxa"/>
            <w:tcBorders>
              <w:top w:val="nil"/>
              <w:left w:val="nil"/>
              <w:bottom w:val="single" w:sz="4" w:space="0" w:color="auto"/>
              <w:right w:val="single" w:sz="4" w:space="0" w:color="auto"/>
            </w:tcBorders>
            <w:shd w:val="clear" w:color="auto" w:fill="auto"/>
            <w:noWrap/>
            <w:vAlign w:val="bottom"/>
          </w:tcPr>
          <w:p w14:paraId="5FB12321" w14:textId="45494958" w:rsidR="00A53EAF" w:rsidRPr="00692C08" w:rsidRDefault="00BF78D2" w:rsidP="00103DA7">
            <w:pPr>
              <w:widowControl w:val="0"/>
              <w:ind w:left="144"/>
              <w:jc w:val="right"/>
              <w:rPr>
                <w:iCs/>
                <w:color w:val="000000"/>
                <w:sz w:val="20"/>
              </w:rPr>
            </w:pPr>
            <w:r w:rsidRPr="00BF78D2">
              <w:rPr>
                <w:iCs/>
                <w:color w:val="000000"/>
                <w:sz w:val="20"/>
              </w:rPr>
              <w:t>678,524</w:t>
            </w:r>
          </w:p>
        </w:tc>
      </w:tr>
      <w:tr w:rsidR="00A53EAF" w:rsidRPr="009A301D" w14:paraId="4E6EE5E3"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565E8A3E" w14:textId="07F03133" w:rsidR="00A53EAF" w:rsidRPr="009A301D" w:rsidRDefault="00A53EAF" w:rsidP="00103DA7">
            <w:pPr>
              <w:widowControl w:val="0"/>
              <w:ind w:left="144"/>
              <w:rPr>
                <w:color w:val="000000"/>
                <w:sz w:val="20"/>
              </w:rPr>
            </w:pPr>
            <w:r w:rsidRPr="009A301D">
              <w:rPr>
                <w:color w:val="000000"/>
                <w:sz w:val="20"/>
              </w:rPr>
              <w:t>Correction #2</w:t>
            </w:r>
          </w:p>
        </w:tc>
        <w:tc>
          <w:tcPr>
            <w:tcW w:w="4225" w:type="dxa"/>
            <w:tcBorders>
              <w:top w:val="nil"/>
              <w:left w:val="nil"/>
              <w:bottom w:val="single" w:sz="4" w:space="0" w:color="auto"/>
              <w:right w:val="single" w:sz="4" w:space="0" w:color="auto"/>
            </w:tcBorders>
            <w:shd w:val="clear" w:color="auto" w:fill="auto"/>
            <w:noWrap/>
            <w:vAlign w:val="bottom"/>
          </w:tcPr>
          <w:p w14:paraId="03EA4BE9" w14:textId="7345271A" w:rsidR="00A53EAF" w:rsidRPr="009A301D" w:rsidRDefault="00BF78D2" w:rsidP="00103DA7">
            <w:pPr>
              <w:widowControl w:val="0"/>
              <w:ind w:left="144"/>
              <w:jc w:val="right"/>
              <w:rPr>
                <w:iCs/>
                <w:color w:val="000000"/>
                <w:sz w:val="20"/>
              </w:rPr>
            </w:pPr>
            <w:r>
              <w:rPr>
                <w:iCs/>
                <w:color w:val="000000"/>
                <w:sz w:val="20"/>
              </w:rPr>
              <w:t>+10,016</w:t>
            </w:r>
            <w:r w:rsidR="00996525">
              <w:rPr>
                <w:iCs/>
                <w:color w:val="000000"/>
                <w:sz w:val="20"/>
              </w:rPr>
              <w:t xml:space="preserve"> (688,540 – 678,524)</w:t>
            </w:r>
          </w:p>
        </w:tc>
      </w:tr>
      <w:tr w:rsidR="00BF78D2" w:rsidRPr="00D566E3" w14:paraId="3BF7A6F8" w14:textId="77777777" w:rsidTr="00BF78D2">
        <w:trPr>
          <w:trHeight w:val="80"/>
        </w:trPr>
        <w:tc>
          <w:tcPr>
            <w:tcW w:w="351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FB1DA33" w14:textId="4EE2CDBA" w:rsidR="00BF78D2" w:rsidRPr="00D566E3" w:rsidRDefault="00BF78D2" w:rsidP="00103DA7">
            <w:pPr>
              <w:widowControl w:val="0"/>
              <w:ind w:left="144"/>
              <w:jc w:val="right"/>
              <w:rPr>
                <w:i/>
                <w:color w:val="000000"/>
                <w:sz w:val="20"/>
              </w:rPr>
            </w:pPr>
            <w:r w:rsidRPr="00D566E3">
              <w:rPr>
                <w:i/>
                <w:color w:val="000000"/>
                <w:sz w:val="20"/>
              </w:rPr>
              <w:t>Subtotal</w:t>
            </w:r>
          </w:p>
        </w:tc>
        <w:tc>
          <w:tcPr>
            <w:tcW w:w="4225" w:type="dxa"/>
            <w:tcBorders>
              <w:top w:val="nil"/>
              <w:left w:val="nil"/>
              <w:bottom w:val="single" w:sz="4" w:space="0" w:color="auto"/>
              <w:right w:val="single" w:sz="4" w:space="0" w:color="auto"/>
            </w:tcBorders>
            <w:shd w:val="clear" w:color="auto" w:fill="F2F2F2" w:themeFill="background1" w:themeFillShade="F2"/>
            <w:noWrap/>
            <w:vAlign w:val="bottom"/>
          </w:tcPr>
          <w:p w14:paraId="350C8283" w14:textId="0240F642" w:rsidR="00BF78D2" w:rsidRPr="00D566E3" w:rsidRDefault="00BF78D2" w:rsidP="00103DA7">
            <w:pPr>
              <w:widowControl w:val="0"/>
              <w:ind w:left="144"/>
              <w:jc w:val="right"/>
              <w:rPr>
                <w:i/>
                <w:iCs/>
                <w:color w:val="000000"/>
                <w:sz w:val="20"/>
              </w:rPr>
            </w:pPr>
            <w:r w:rsidRPr="00D566E3">
              <w:rPr>
                <w:i/>
                <w:iCs/>
                <w:color w:val="000000"/>
                <w:sz w:val="20"/>
              </w:rPr>
              <w:t>6,</w:t>
            </w:r>
            <w:r w:rsidRPr="00D566E3">
              <w:rPr>
                <w:i/>
                <w:iCs/>
                <w:color w:val="000000"/>
                <w:sz w:val="20"/>
              </w:rPr>
              <w:t>402</w:t>
            </w:r>
            <w:r w:rsidRPr="00D566E3">
              <w:rPr>
                <w:i/>
                <w:iCs/>
                <w:color w:val="000000"/>
                <w:sz w:val="20"/>
              </w:rPr>
              <w:t>,9</w:t>
            </w:r>
            <w:r w:rsidRPr="00D566E3">
              <w:rPr>
                <w:i/>
                <w:iCs/>
                <w:color w:val="000000"/>
                <w:sz w:val="20"/>
              </w:rPr>
              <w:t>8</w:t>
            </w:r>
            <w:r w:rsidRPr="00D566E3">
              <w:rPr>
                <w:i/>
                <w:iCs/>
                <w:color w:val="000000"/>
                <w:sz w:val="20"/>
              </w:rPr>
              <w:t>7</w:t>
            </w:r>
            <w:r w:rsidR="00996525" w:rsidRPr="00D566E3">
              <w:rPr>
                <w:i/>
                <w:iCs/>
                <w:color w:val="000000"/>
                <w:sz w:val="20"/>
              </w:rPr>
              <w:t xml:space="preserve"> (6,392,971 + 10,016)</w:t>
            </w:r>
          </w:p>
        </w:tc>
      </w:tr>
      <w:tr w:rsidR="00BF78D2" w:rsidRPr="009A301D" w14:paraId="31856CEE" w14:textId="77777777" w:rsidTr="00D566E3">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0F7610CE" w14:textId="77777777" w:rsidR="00BF78D2" w:rsidRPr="009A301D" w:rsidRDefault="00BF78D2" w:rsidP="00103DA7">
            <w:pPr>
              <w:widowControl w:val="0"/>
              <w:ind w:left="144"/>
              <w:rPr>
                <w:iCs/>
                <w:color w:val="000000"/>
                <w:sz w:val="20"/>
              </w:rPr>
            </w:pPr>
            <w:r w:rsidRPr="009A301D">
              <w:rPr>
                <w:color w:val="000000"/>
                <w:sz w:val="20"/>
              </w:rPr>
              <w:t>Adjustment</w:t>
            </w:r>
          </w:p>
        </w:tc>
        <w:tc>
          <w:tcPr>
            <w:tcW w:w="4225" w:type="dxa"/>
            <w:tcBorders>
              <w:top w:val="nil"/>
              <w:left w:val="nil"/>
              <w:bottom w:val="single" w:sz="4" w:space="0" w:color="auto"/>
              <w:right w:val="single" w:sz="4" w:space="0" w:color="auto"/>
            </w:tcBorders>
            <w:shd w:val="clear" w:color="auto" w:fill="auto"/>
            <w:noWrap/>
            <w:vAlign w:val="bottom"/>
          </w:tcPr>
          <w:p w14:paraId="3F6F726C" w14:textId="1240B018" w:rsidR="00BF78D2" w:rsidRPr="009A301D" w:rsidRDefault="00BF78D2" w:rsidP="00103DA7">
            <w:pPr>
              <w:widowControl w:val="0"/>
              <w:ind w:left="144"/>
              <w:jc w:val="right"/>
              <w:rPr>
                <w:iCs/>
                <w:color w:val="000000"/>
                <w:sz w:val="20"/>
              </w:rPr>
            </w:pPr>
            <w:r w:rsidRPr="009A301D">
              <w:rPr>
                <w:iCs/>
                <w:color w:val="000000"/>
                <w:sz w:val="20"/>
              </w:rPr>
              <w:t>+</w:t>
            </w:r>
            <w:r>
              <w:rPr>
                <w:iCs/>
                <w:color w:val="000000"/>
                <w:sz w:val="20"/>
              </w:rPr>
              <w:t>160,357</w:t>
            </w:r>
          </w:p>
        </w:tc>
      </w:tr>
      <w:tr w:rsidR="00BF78D2" w:rsidRPr="009A301D" w14:paraId="3DE6A258" w14:textId="77777777" w:rsidTr="00D566E3">
        <w:trPr>
          <w:trHeight w:val="80"/>
        </w:trPr>
        <w:tc>
          <w:tcPr>
            <w:tcW w:w="351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6B0BC2D" w14:textId="77777777" w:rsidR="00BF78D2" w:rsidRPr="009A301D" w:rsidRDefault="00BF78D2" w:rsidP="00103DA7">
            <w:pPr>
              <w:widowControl w:val="0"/>
              <w:ind w:left="144"/>
              <w:jc w:val="right"/>
              <w:rPr>
                <w:b/>
                <w:iCs/>
                <w:color w:val="000000"/>
                <w:sz w:val="20"/>
              </w:rPr>
            </w:pPr>
            <w:r w:rsidRPr="009A301D">
              <w:rPr>
                <w:b/>
                <w:iCs/>
                <w:color w:val="000000"/>
                <w:sz w:val="20"/>
              </w:rPr>
              <w:t>Final Estimate</w:t>
            </w:r>
          </w:p>
        </w:tc>
        <w:tc>
          <w:tcPr>
            <w:tcW w:w="4225" w:type="dxa"/>
            <w:tcBorders>
              <w:top w:val="nil"/>
              <w:left w:val="nil"/>
              <w:bottom w:val="single" w:sz="4" w:space="0" w:color="auto"/>
              <w:right w:val="single" w:sz="4" w:space="0" w:color="auto"/>
            </w:tcBorders>
            <w:shd w:val="clear" w:color="auto" w:fill="D9D9D9" w:themeFill="background1" w:themeFillShade="D9"/>
            <w:noWrap/>
            <w:vAlign w:val="bottom"/>
          </w:tcPr>
          <w:p w14:paraId="253002C2" w14:textId="77777777" w:rsidR="00BF78D2" w:rsidRPr="009A301D" w:rsidRDefault="00BF78D2" w:rsidP="00103DA7">
            <w:pPr>
              <w:widowControl w:val="0"/>
              <w:ind w:left="144"/>
              <w:jc w:val="right"/>
              <w:rPr>
                <w:b/>
                <w:iCs/>
                <w:color w:val="000000"/>
                <w:sz w:val="20"/>
              </w:rPr>
            </w:pPr>
            <w:r w:rsidRPr="00AF23DF">
              <w:rPr>
                <w:b/>
                <w:iCs/>
                <w:color w:val="000000"/>
                <w:sz w:val="20"/>
              </w:rPr>
              <w:t>6,563,344</w:t>
            </w:r>
          </w:p>
        </w:tc>
      </w:tr>
    </w:tbl>
    <w:p w14:paraId="13AEBAE9" w14:textId="77777777" w:rsidR="00BD5BA8" w:rsidRDefault="00BD5BA8" w:rsidP="00103DA7">
      <w:pPr>
        <w:widowControl w:val="0"/>
        <w:ind w:left="144"/>
      </w:pPr>
    </w:p>
    <w:tbl>
      <w:tblPr>
        <w:tblW w:w="7740" w:type="dxa"/>
        <w:tblInd w:w="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290"/>
        <w:gridCol w:w="1142"/>
        <w:gridCol w:w="1438"/>
      </w:tblGrid>
      <w:tr w:rsidR="00D72ADD" w:rsidRPr="009A301D" w14:paraId="0E5522DA" w14:textId="77777777" w:rsidTr="00A42202">
        <w:trPr>
          <w:trHeight w:val="80"/>
        </w:trPr>
        <w:tc>
          <w:tcPr>
            <w:tcW w:w="7740" w:type="dxa"/>
            <w:gridSpan w:val="4"/>
            <w:shd w:val="clear" w:color="auto" w:fill="FFFFFF" w:themeFill="background1"/>
            <w:noWrap/>
            <w:vAlign w:val="bottom"/>
          </w:tcPr>
          <w:p w14:paraId="2EF1D3BF" w14:textId="430B9527" w:rsidR="00D72ADD" w:rsidRPr="009A301D" w:rsidRDefault="00D72ADD" w:rsidP="00103DA7">
            <w:pPr>
              <w:widowControl w:val="0"/>
              <w:ind w:left="144"/>
              <w:jc w:val="center"/>
              <w:rPr>
                <w:i/>
                <w:iCs/>
                <w:color w:val="000000"/>
                <w:sz w:val="20"/>
              </w:rPr>
            </w:pPr>
            <w:r w:rsidRPr="009A301D">
              <w:rPr>
                <w:b/>
                <w:iCs/>
                <w:color w:val="000000"/>
                <w:sz w:val="20"/>
              </w:rPr>
              <w:t>Time Per Response</w:t>
            </w:r>
          </w:p>
        </w:tc>
      </w:tr>
      <w:tr w:rsidR="00D72ADD" w:rsidRPr="009A301D" w14:paraId="0CD6CE5F" w14:textId="77777777" w:rsidTr="00A42202">
        <w:trPr>
          <w:trHeight w:val="80"/>
        </w:trPr>
        <w:tc>
          <w:tcPr>
            <w:tcW w:w="3870" w:type="dxa"/>
            <w:shd w:val="clear" w:color="auto" w:fill="FFFFFF" w:themeFill="background1"/>
            <w:noWrap/>
            <w:vAlign w:val="bottom"/>
          </w:tcPr>
          <w:p w14:paraId="6ECC1D11" w14:textId="77777777" w:rsidR="00D72ADD" w:rsidRPr="009A301D" w:rsidRDefault="00D72ADD" w:rsidP="00103DA7">
            <w:pPr>
              <w:widowControl w:val="0"/>
              <w:ind w:left="144"/>
              <w:jc w:val="center"/>
              <w:rPr>
                <w:sz w:val="20"/>
              </w:rPr>
            </w:pPr>
          </w:p>
        </w:tc>
        <w:tc>
          <w:tcPr>
            <w:tcW w:w="1290" w:type="dxa"/>
            <w:shd w:val="clear" w:color="auto" w:fill="FFFFFF" w:themeFill="background1"/>
            <w:vAlign w:val="bottom"/>
          </w:tcPr>
          <w:p w14:paraId="5002449E" w14:textId="1BC55754" w:rsidR="00D72ADD" w:rsidRPr="009A301D" w:rsidRDefault="00D72ADD" w:rsidP="00103DA7">
            <w:pPr>
              <w:widowControl w:val="0"/>
              <w:ind w:left="144"/>
              <w:jc w:val="center"/>
              <w:rPr>
                <w:iCs/>
                <w:color w:val="000000"/>
                <w:sz w:val="20"/>
              </w:rPr>
            </w:pPr>
            <w:r w:rsidRPr="009A301D">
              <w:rPr>
                <w:iCs/>
                <w:color w:val="000000"/>
                <w:sz w:val="20"/>
              </w:rPr>
              <w:t>Preparation</w:t>
            </w:r>
          </w:p>
        </w:tc>
        <w:tc>
          <w:tcPr>
            <w:tcW w:w="1286" w:type="dxa"/>
            <w:shd w:val="clear" w:color="auto" w:fill="FFFFFF" w:themeFill="background1"/>
            <w:vAlign w:val="bottom"/>
          </w:tcPr>
          <w:p w14:paraId="020F3087" w14:textId="7CB3F267" w:rsidR="00D72ADD" w:rsidRPr="009A301D" w:rsidRDefault="00D72ADD" w:rsidP="00103DA7">
            <w:pPr>
              <w:widowControl w:val="0"/>
              <w:ind w:left="144"/>
              <w:jc w:val="center"/>
              <w:rPr>
                <w:iCs/>
                <w:color w:val="000000"/>
                <w:sz w:val="20"/>
              </w:rPr>
            </w:pPr>
            <w:r w:rsidRPr="009A301D">
              <w:rPr>
                <w:iCs/>
                <w:color w:val="000000"/>
                <w:sz w:val="20"/>
              </w:rPr>
              <w:t>Coding</w:t>
            </w:r>
          </w:p>
        </w:tc>
        <w:tc>
          <w:tcPr>
            <w:tcW w:w="1294" w:type="dxa"/>
            <w:shd w:val="clear" w:color="auto" w:fill="FFFFFF" w:themeFill="background1"/>
            <w:vAlign w:val="bottom"/>
          </w:tcPr>
          <w:p w14:paraId="2783F83C" w14:textId="211E4A6F" w:rsidR="00D72ADD" w:rsidRPr="009A301D" w:rsidRDefault="00D72ADD" w:rsidP="00103DA7">
            <w:pPr>
              <w:widowControl w:val="0"/>
              <w:ind w:left="144"/>
              <w:jc w:val="center"/>
              <w:rPr>
                <w:iCs/>
                <w:color w:val="000000"/>
                <w:sz w:val="20"/>
              </w:rPr>
            </w:pPr>
            <w:r w:rsidRPr="009A301D">
              <w:rPr>
                <w:iCs/>
                <w:color w:val="000000"/>
                <w:sz w:val="20"/>
              </w:rPr>
              <w:t>Transmission</w:t>
            </w:r>
          </w:p>
        </w:tc>
      </w:tr>
      <w:tr w:rsidR="002554BD" w:rsidRPr="009A301D" w14:paraId="2D3C886D" w14:textId="77777777" w:rsidTr="00A42202">
        <w:trPr>
          <w:trHeight w:val="80"/>
        </w:trPr>
        <w:tc>
          <w:tcPr>
            <w:tcW w:w="3870" w:type="dxa"/>
            <w:shd w:val="clear" w:color="auto" w:fill="FFFFFF" w:themeFill="background1"/>
            <w:noWrap/>
            <w:vAlign w:val="bottom"/>
          </w:tcPr>
          <w:p w14:paraId="5A4123D4" w14:textId="3D9F18C6" w:rsidR="002554BD" w:rsidRPr="009A301D" w:rsidRDefault="002554BD" w:rsidP="00103DA7">
            <w:pPr>
              <w:widowControl w:val="0"/>
              <w:ind w:left="144"/>
              <w:rPr>
                <w:b/>
                <w:iCs/>
                <w:color w:val="000000"/>
                <w:sz w:val="20"/>
              </w:rPr>
            </w:pPr>
            <w:r w:rsidRPr="009A301D">
              <w:rPr>
                <w:sz w:val="20"/>
              </w:rPr>
              <w:lastRenderedPageBreak/>
              <w:t>Jan. 15, 2014 (</w:t>
            </w:r>
            <w:r w:rsidRPr="009A301D">
              <w:rPr>
                <w:color w:val="000000"/>
                <w:sz w:val="20"/>
              </w:rPr>
              <w:t>Supporting Statement)</w:t>
            </w:r>
          </w:p>
        </w:tc>
        <w:tc>
          <w:tcPr>
            <w:tcW w:w="1290" w:type="dxa"/>
            <w:shd w:val="clear" w:color="auto" w:fill="FFFFFF" w:themeFill="background1"/>
            <w:vAlign w:val="bottom"/>
          </w:tcPr>
          <w:p w14:paraId="14E28C0E" w14:textId="6C41D492" w:rsidR="002554BD" w:rsidRPr="009A301D" w:rsidRDefault="00BC7896" w:rsidP="00103DA7">
            <w:pPr>
              <w:widowControl w:val="0"/>
              <w:ind w:left="144"/>
              <w:jc w:val="center"/>
              <w:rPr>
                <w:iCs/>
                <w:color w:val="000000"/>
                <w:sz w:val="20"/>
              </w:rPr>
            </w:pPr>
            <w:r w:rsidRPr="009A301D">
              <w:rPr>
                <w:iCs/>
                <w:color w:val="000000"/>
                <w:sz w:val="20"/>
              </w:rPr>
              <w:t>0.8333</w:t>
            </w:r>
          </w:p>
        </w:tc>
        <w:tc>
          <w:tcPr>
            <w:tcW w:w="1286" w:type="dxa"/>
            <w:shd w:val="clear" w:color="auto" w:fill="FFFFFF" w:themeFill="background1"/>
            <w:vAlign w:val="bottom"/>
          </w:tcPr>
          <w:p w14:paraId="5223ADCE" w14:textId="0026BDA4" w:rsidR="002554BD" w:rsidRPr="009A301D" w:rsidRDefault="00BC7896" w:rsidP="00103DA7">
            <w:pPr>
              <w:widowControl w:val="0"/>
              <w:ind w:left="144"/>
              <w:jc w:val="center"/>
              <w:rPr>
                <w:iCs/>
                <w:color w:val="000000"/>
                <w:sz w:val="20"/>
              </w:rPr>
            </w:pPr>
            <w:r w:rsidRPr="009A301D">
              <w:rPr>
                <w:iCs/>
                <w:color w:val="000000"/>
                <w:sz w:val="20"/>
              </w:rPr>
              <w:t>0.1667</w:t>
            </w:r>
          </w:p>
        </w:tc>
        <w:tc>
          <w:tcPr>
            <w:tcW w:w="1294" w:type="dxa"/>
            <w:shd w:val="clear" w:color="auto" w:fill="FFFFFF" w:themeFill="background1"/>
            <w:vAlign w:val="bottom"/>
          </w:tcPr>
          <w:p w14:paraId="100865F8" w14:textId="24538CBF" w:rsidR="002554BD" w:rsidRPr="009A301D" w:rsidRDefault="00BC7896" w:rsidP="00103DA7">
            <w:pPr>
              <w:widowControl w:val="0"/>
              <w:ind w:left="144"/>
              <w:jc w:val="center"/>
              <w:rPr>
                <w:iCs/>
                <w:color w:val="000000"/>
                <w:sz w:val="20"/>
              </w:rPr>
            </w:pPr>
            <w:r w:rsidRPr="009A301D">
              <w:rPr>
                <w:iCs/>
                <w:color w:val="000000"/>
                <w:sz w:val="20"/>
              </w:rPr>
              <w:t>0.0333</w:t>
            </w:r>
          </w:p>
        </w:tc>
      </w:tr>
      <w:tr w:rsidR="00C56D74" w:rsidRPr="009A301D" w14:paraId="53A263D3" w14:textId="77777777" w:rsidTr="00A42202">
        <w:trPr>
          <w:trHeight w:val="80"/>
        </w:trPr>
        <w:tc>
          <w:tcPr>
            <w:tcW w:w="3870" w:type="dxa"/>
            <w:shd w:val="clear" w:color="auto" w:fill="FFFFFF" w:themeFill="background1"/>
            <w:noWrap/>
            <w:vAlign w:val="bottom"/>
          </w:tcPr>
          <w:p w14:paraId="064A9352" w14:textId="4C1912A1" w:rsidR="00C56D74" w:rsidRPr="009A301D" w:rsidRDefault="00C56D74" w:rsidP="00103DA7">
            <w:pPr>
              <w:widowControl w:val="0"/>
              <w:ind w:left="144"/>
              <w:rPr>
                <w:b/>
                <w:iCs/>
                <w:color w:val="000000"/>
                <w:sz w:val="20"/>
              </w:rPr>
            </w:pPr>
            <w:r w:rsidRPr="009A301D">
              <w:rPr>
                <w:color w:val="000000"/>
                <w:sz w:val="20"/>
              </w:rPr>
              <w:t>Feb 6, 2017 (Supporting Statement)</w:t>
            </w:r>
          </w:p>
        </w:tc>
        <w:tc>
          <w:tcPr>
            <w:tcW w:w="1290" w:type="dxa"/>
            <w:shd w:val="clear" w:color="auto" w:fill="FFFFFF" w:themeFill="background1"/>
            <w:vAlign w:val="bottom"/>
          </w:tcPr>
          <w:p w14:paraId="6CDAB10F" w14:textId="33DD0A04" w:rsidR="00C56D74" w:rsidRPr="009A301D" w:rsidRDefault="00ED35E6" w:rsidP="00103DA7">
            <w:pPr>
              <w:widowControl w:val="0"/>
              <w:ind w:left="144"/>
              <w:jc w:val="center"/>
              <w:rPr>
                <w:iCs/>
                <w:color w:val="000000"/>
                <w:sz w:val="20"/>
              </w:rPr>
            </w:pPr>
            <w:r w:rsidRPr="009A301D">
              <w:rPr>
                <w:iCs/>
                <w:color w:val="000000"/>
                <w:sz w:val="20"/>
              </w:rPr>
              <w:t>0.6667</w:t>
            </w:r>
          </w:p>
        </w:tc>
        <w:tc>
          <w:tcPr>
            <w:tcW w:w="1286" w:type="dxa"/>
            <w:shd w:val="clear" w:color="auto" w:fill="FFFFFF" w:themeFill="background1"/>
            <w:vAlign w:val="bottom"/>
          </w:tcPr>
          <w:p w14:paraId="1CC76C0F" w14:textId="1B21AC84" w:rsidR="00C56D74" w:rsidRPr="009A301D" w:rsidRDefault="00ED35E6" w:rsidP="00103DA7">
            <w:pPr>
              <w:widowControl w:val="0"/>
              <w:ind w:left="144"/>
              <w:jc w:val="center"/>
              <w:rPr>
                <w:iCs/>
                <w:color w:val="000000"/>
                <w:sz w:val="20"/>
              </w:rPr>
            </w:pPr>
            <w:r w:rsidRPr="009A301D">
              <w:rPr>
                <w:iCs/>
                <w:color w:val="000000"/>
                <w:sz w:val="20"/>
              </w:rPr>
              <w:t>0.1667</w:t>
            </w:r>
          </w:p>
        </w:tc>
        <w:tc>
          <w:tcPr>
            <w:tcW w:w="1294" w:type="dxa"/>
            <w:shd w:val="clear" w:color="auto" w:fill="FFFFFF" w:themeFill="background1"/>
            <w:vAlign w:val="bottom"/>
          </w:tcPr>
          <w:p w14:paraId="76025C78" w14:textId="2EDCC8BE" w:rsidR="00C56D74" w:rsidRPr="009A301D" w:rsidRDefault="00ED35E6" w:rsidP="00103DA7">
            <w:pPr>
              <w:widowControl w:val="0"/>
              <w:ind w:left="144"/>
              <w:jc w:val="center"/>
              <w:rPr>
                <w:iCs/>
                <w:color w:val="000000"/>
                <w:sz w:val="20"/>
              </w:rPr>
            </w:pPr>
            <w:r w:rsidRPr="009A301D">
              <w:rPr>
                <w:iCs/>
                <w:color w:val="000000"/>
                <w:sz w:val="20"/>
              </w:rPr>
              <w:t>0.0167</w:t>
            </w:r>
          </w:p>
        </w:tc>
      </w:tr>
      <w:tr w:rsidR="00CB18A8" w:rsidRPr="009A301D" w14:paraId="2454DB9F" w14:textId="77777777" w:rsidTr="00D566E3">
        <w:trPr>
          <w:trHeight w:val="80"/>
        </w:trPr>
        <w:tc>
          <w:tcPr>
            <w:tcW w:w="3870" w:type="dxa"/>
            <w:shd w:val="clear" w:color="auto" w:fill="auto"/>
            <w:noWrap/>
            <w:vAlign w:val="bottom"/>
          </w:tcPr>
          <w:p w14:paraId="17DC75CA" w14:textId="774410A7" w:rsidR="00CB18A8" w:rsidRPr="009A301D" w:rsidRDefault="00CB18A8" w:rsidP="00103DA7">
            <w:pPr>
              <w:widowControl w:val="0"/>
              <w:ind w:left="144"/>
              <w:rPr>
                <w:iCs/>
                <w:color w:val="000000"/>
                <w:sz w:val="20"/>
              </w:rPr>
            </w:pPr>
            <w:r w:rsidRPr="009A301D">
              <w:rPr>
                <w:color w:val="000000"/>
                <w:sz w:val="20"/>
              </w:rPr>
              <w:t>Correction #1</w:t>
            </w:r>
          </w:p>
        </w:tc>
        <w:tc>
          <w:tcPr>
            <w:tcW w:w="1290" w:type="dxa"/>
            <w:shd w:val="clear" w:color="auto" w:fill="auto"/>
            <w:vAlign w:val="bottom"/>
          </w:tcPr>
          <w:p w14:paraId="16CEBFFD" w14:textId="55DF3CBE" w:rsidR="00CB18A8" w:rsidRPr="009A301D" w:rsidRDefault="00FF7495" w:rsidP="00103DA7">
            <w:pPr>
              <w:widowControl w:val="0"/>
              <w:ind w:left="144"/>
              <w:jc w:val="center"/>
              <w:rPr>
                <w:iCs/>
                <w:color w:val="000000"/>
                <w:sz w:val="20"/>
              </w:rPr>
            </w:pPr>
            <w:r w:rsidRPr="009A301D">
              <w:rPr>
                <w:iCs/>
                <w:color w:val="000000"/>
                <w:sz w:val="20"/>
              </w:rPr>
              <w:t>none (n/a)</w:t>
            </w:r>
          </w:p>
        </w:tc>
        <w:tc>
          <w:tcPr>
            <w:tcW w:w="1286" w:type="dxa"/>
            <w:shd w:val="clear" w:color="auto" w:fill="auto"/>
            <w:vAlign w:val="bottom"/>
          </w:tcPr>
          <w:p w14:paraId="14A806C2" w14:textId="5E014BAC" w:rsidR="00CB18A8" w:rsidRPr="009A301D" w:rsidRDefault="00FF7495" w:rsidP="00103DA7">
            <w:pPr>
              <w:widowControl w:val="0"/>
              <w:ind w:left="144"/>
              <w:jc w:val="center"/>
              <w:rPr>
                <w:iCs/>
                <w:color w:val="000000"/>
                <w:sz w:val="20"/>
              </w:rPr>
            </w:pPr>
            <w:r w:rsidRPr="009A301D">
              <w:rPr>
                <w:iCs/>
                <w:color w:val="000000"/>
                <w:sz w:val="20"/>
              </w:rPr>
              <w:t>none (n/a)</w:t>
            </w:r>
          </w:p>
        </w:tc>
        <w:tc>
          <w:tcPr>
            <w:tcW w:w="1294" w:type="dxa"/>
            <w:shd w:val="clear" w:color="auto" w:fill="auto"/>
            <w:vAlign w:val="bottom"/>
          </w:tcPr>
          <w:p w14:paraId="7F9F7B94" w14:textId="6F488817" w:rsidR="00CB18A8" w:rsidRPr="009A301D" w:rsidRDefault="00FF7495" w:rsidP="00103DA7">
            <w:pPr>
              <w:widowControl w:val="0"/>
              <w:ind w:left="144"/>
              <w:jc w:val="center"/>
              <w:rPr>
                <w:iCs/>
                <w:color w:val="000000"/>
                <w:sz w:val="20"/>
              </w:rPr>
            </w:pPr>
            <w:r w:rsidRPr="009A301D">
              <w:rPr>
                <w:iCs/>
                <w:color w:val="000000"/>
                <w:sz w:val="20"/>
              </w:rPr>
              <w:t>none (n/a)</w:t>
            </w:r>
          </w:p>
        </w:tc>
      </w:tr>
      <w:tr w:rsidR="009A301D" w:rsidRPr="009A301D" w14:paraId="41BAE9E3" w14:textId="77777777" w:rsidTr="00D566E3">
        <w:trPr>
          <w:trHeight w:val="80"/>
        </w:trPr>
        <w:tc>
          <w:tcPr>
            <w:tcW w:w="3870" w:type="dxa"/>
            <w:shd w:val="clear" w:color="auto" w:fill="auto"/>
            <w:noWrap/>
            <w:vAlign w:val="bottom"/>
          </w:tcPr>
          <w:p w14:paraId="2439C577" w14:textId="7B834062" w:rsidR="009A301D" w:rsidRPr="009A301D" w:rsidRDefault="009A301D" w:rsidP="00103DA7">
            <w:pPr>
              <w:widowControl w:val="0"/>
              <w:ind w:left="144"/>
              <w:rPr>
                <w:color w:val="000000"/>
                <w:sz w:val="20"/>
              </w:rPr>
            </w:pPr>
            <w:r w:rsidRPr="009A301D">
              <w:rPr>
                <w:color w:val="000000"/>
                <w:sz w:val="20"/>
              </w:rPr>
              <w:t>Correction #2</w:t>
            </w:r>
          </w:p>
        </w:tc>
        <w:tc>
          <w:tcPr>
            <w:tcW w:w="1290" w:type="dxa"/>
            <w:shd w:val="clear" w:color="auto" w:fill="auto"/>
            <w:vAlign w:val="bottom"/>
          </w:tcPr>
          <w:p w14:paraId="5759337B" w14:textId="043B4F79" w:rsidR="009A301D" w:rsidRPr="009A301D" w:rsidRDefault="009A301D" w:rsidP="00103DA7">
            <w:pPr>
              <w:widowControl w:val="0"/>
              <w:ind w:left="144"/>
              <w:jc w:val="center"/>
              <w:rPr>
                <w:iCs/>
                <w:color w:val="000000"/>
                <w:sz w:val="20"/>
              </w:rPr>
            </w:pPr>
            <w:r w:rsidRPr="009A301D">
              <w:rPr>
                <w:iCs/>
                <w:color w:val="000000"/>
                <w:sz w:val="20"/>
              </w:rPr>
              <w:t>none (n/a)</w:t>
            </w:r>
          </w:p>
        </w:tc>
        <w:tc>
          <w:tcPr>
            <w:tcW w:w="1286" w:type="dxa"/>
            <w:shd w:val="clear" w:color="auto" w:fill="auto"/>
            <w:vAlign w:val="bottom"/>
          </w:tcPr>
          <w:p w14:paraId="1418D9F1" w14:textId="72649551" w:rsidR="009A301D" w:rsidRPr="009A301D" w:rsidRDefault="009A301D" w:rsidP="00103DA7">
            <w:pPr>
              <w:widowControl w:val="0"/>
              <w:ind w:left="144"/>
              <w:jc w:val="center"/>
              <w:rPr>
                <w:iCs/>
                <w:color w:val="000000"/>
                <w:sz w:val="20"/>
              </w:rPr>
            </w:pPr>
            <w:r w:rsidRPr="009A301D">
              <w:rPr>
                <w:iCs/>
                <w:color w:val="000000"/>
                <w:sz w:val="20"/>
              </w:rPr>
              <w:t>none (n/a)</w:t>
            </w:r>
          </w:p>
        </w:tc>
        <w:tc>
          <w:tcPr>
            <w:tcW w:w="1294" w:type="dxa"/>
            <w:shd w:val="clear" w:color="auto" w:fill="auto"/>
            <w:vAlign w:val="bottom"/>
          </w:tcPr>
          <w:p w14:paraId="186DA761" w14:textId="17C145C1" w:rsidR="009A301D" w:rsidRPr="009A301D" w:rsidRDefault="009A301D" w:rsidP="00103DA7">
            <w:pPr>
              <w:widowControl w:val="0"/>
              <w:ind w:left="144"/>
              <w:jc w:val="center"/>
              <w:rPr>
                <w:iCs/>
                <w:color w:val="000000"/>
                <w:sz w:val="20"/>
              </w:rPr>
            </w:pPr>
            <w:r w:rsidRPr="009A301D">
              <w:rPr>
                <w:iCs/>
                <w:color w:val="000000"/>
                <w:sz w:val="20"/>
              </w:rPr>
              <w:t>none (n/a)</w:t>
            </w:r>
          </w:p>
        </w:tc>
      </w:tr>
      <w:tr w:rsidR="009A301D" w:rsidRPr="009A301D" w14:paraId="705DBD7D" w14:textId="77777777" w:rsidTr="00D566E3">
        <w:trPr>
          <w:trHeight w:val="80"/>
        </w:trPr>
        <w:tc>
          <w:tcPr>
            <w:tcW w:w="3870" w:type="dxa"/>
            <w:shd w:val="clear" w:color="auto" w:fill="auto"/>
            <w:noWrap/>
            <w:vAlign w:val="bottom"/>
          </w:tcPr>
          <w:p w14:paraId="6A35A985" w14:textId="11B986E8" w:rsidR="009A301D" w:rsidRPr="009A301D" w:rsidRDefault="009A301D" w:rsidP="00103DA7">
            <w:pPr>
              <w:widowControl w:val="0"/>
              <w:ind w:left="144"/>
              <w:rPr>
                <w:iCs/>
                <w:color w:val="000000"/>
                <w:sz w:val="20"/>
              </w:rPr>
            </w:pPr>
            <w:r w:rsidRPr="009A301D">
              <w:rPr>
                <w:color w:val="000000"/>
                <w:sz w:val="20"/>
              </w:rPr>
              <w:t>Adjustment</w:t>
            </w:r>
          </w:p>
        </w:tc>
        <w:tc>
          <w:tcPr>
            <w:tcW w:w="1290" w:type="dxa"/>
            <w:shd w:val="clear" w:color="auto" w:fill="auto"/>
            <w:vAlign w:val="bottom"/>
          </w:tcPr>
          <w:p w14:paraId="0F627724" w14:textId="5992113A" w:rsidR="009A301D" w:rsidRPr="009A301D" w:rsidRDefault="009A301D" w:rsidP="00103DA7">
            <w:pPr>
              <w:widowControl w:val="0"/>
              <w:ind w:left="144"/>
              <w:jc w:val="center"/>
              <w:rPr>
                <w:b/>
                <w:iCs/>
                <w:color w:val="000000"/>
                <w:sz w:val="20"/>
              </w:rPr>
            </w:pPr>
            <w:r w:rsidRPr="009A301D">
              <w:rPr>
                <w:iCs/>
                <w:color w:val="000000"/>
                <w:sz w:val="20"/>
              </w:rPr>
              <w:t>none (n/a)</w:t>
            </w:r>
          </w:p>
        </w:tc>
        <w:tc>
          <w:tcPr>
            <w:tcW w:w="1286" w:type="dxa"/>
            <w:shd w:val="clear" w:color="auto" w:fill="auto"/>
            <w:vAlign w:val="bottom"/>
          </w:tcPr>
          <w:p w14:paraId="4F816AB5" w14:textId="7EC3AB6A" w:rsidR="009A301D" w:rsidRPr="009A301D" w:rsidRDefault="009A301D" w:rsidP="00103DA7">
            <w:pPr>
              <w:widowControl w:val="0"/>
              <w:ind w:left="144"/>
              <w:jc w:val="center"/>
              <w:rPr>
                <w:b/>
                <w:iCs/>
                <w:color w:val="000000"/>
                <w:sz w:val="20"/>
              </w:rPr>
            </w:pPr>
            <w:r w:rsidRPr="009A301D">
              <w:rPr>
                <w:iCs/>
                <w:color w:val="000000"/>
                <w:sz w:val="20"/>
              </w:rPr>
              <w:t>none (n/a)</w:t>
            </w:r>
          </w:p>
        </w:tc>
        <w:tc>
          <w:tcPr>
            <w:tcW w:w="1294" w:type="dxa"/>
            <w:shd w:val="clear" w:color="auto" w:fill="auto"/>
            <w:vAlign w:val="bottom"/>
          </w:tcPr>
          <w:p w14:paraId="27B5467C" w14:textId="50ADADE1" w:rsidR="009A301D" w:rsidRPr="009A301D" w:rsidRDefault="009A301D" w:rsidP="00103DA7">
            <w:pPr>
              <w:widowControl w:val="0"/>
              <w:ind w:left="144"/>
              <w:jc w:val="center"/>
              <w:rPr>
                <w:b/>
                <w:iCs/>
                <w:color w:val="000000"/>
                <w:sz w:val="20"/>
              </w:rPr>
            </w:pPr>
            <w:r w:rsidRPr="009A301D">
              <w:rPr>
                <w:iCs/>
                <w:color w:val="000000"/>
                <w:sz w:val="20"/>
              </w:rPr>
              <w:t>none (n/a)</w:t>
            </w:r>
          </w:p>
        </w:tc>
      </w:tr>
      <w:tr w:rsidR="009A301D" w:rsidRPr="009F6599" w14:paraId="220F6111" w14:textId="77777777" w:rsidTr="00A26506">
        <w:trPr>
          <w:trHeight w:val="80"/>
        </w:trPr>
        <w:tc>
          <w:tcPr>
            <w:tcW w:w="3870" w:type="dxa"/>
            <w:shd w:val="clear" w:color="auto" w:fill="D9D9D9" w:themeFill="background1" w:themeFillShade="D9"/>
            <w:noWrap/>
            <w:vAlign w:val="bottom"/>
          </w:tcPr>
          <w:p w14:paraId="0BBAE34F" w14:textId="3C212BE3" w:rsidR="009A301D" w:rsidRPr="009F6599" w:rsidRDefault="009A301D" w:rsidP="00103DA7">
            <w:pPr>
              <w:widowControl w:val="0"/>
              <w:ind w:left="144"/>
              <w:jc w:val="right"/>
              <w:rPr>
                <w:b/>
                <w:iCs/>
                <w:color w:val="000000"/>
                <w:sz w:val="20"/>
              </w:rPr>
            </w:pPr>
            <w:r w:rsidRPr="009F6599">
              <w:rPr>
                <w:b/>
                <w:iCs/>
                <w:color w:val="000000"/>
                <w:sz w:val="20"/>
              </w:rPr>
              <w:t>Final Estimate</w:t>
            </w:r>
          </w:p>
        </w:tc>
        <w:tc>
          <w:tcPr>
            <w:tcW w:w="1290" w:type="dxa"/>
            <w:shd w:val="clear" w:color="auto" w:fill="D9D9D9" w:themeFill="background1" w:themeFillShade="D9"/>
            <w:vAlign w:val="bottom"/>
          </w:tcPr>
          <w:p w14:paraId="0BA6CC69" w14:textId="2E3D8E10" w:rsidR="009A301D" w:rsidRPr="009F6599" w:rsidRDefault="009A301D" w:rsidP="00103DA7">
            <w:pPr>
              <w:widowControl w:val="0"/>
              <w:ind w:left="144"/>
              <w:jc w:val="right"/>
              <w:rPr>
                <w:b/>
                <w:iCs/>
                <w:color w:val="000000"/>
                <w:sz w:val="20"/>
              </w:rPr>
            </w:pPr>
            <w:r w:rsidRPr="009F6599">
              <w:rPr>
                <w:b/>
                <w:iCs/>
                <w:color w:val="000000"/>
                <w:sz w:val="20"/>
              </w:rPr>
              <w:t>0.6667</w:t>
            </w:r>
          </w:p>
        </w:tc>
        <w:tc>
          <w:tcPr>
            <w:tcW w:w="1286" w:type="dxa"/>
            <w:shd w:val="clear" w:color="auto" w:fill="D9D9D9" w:themeFill="background1" w:themeFillShade="D9"/>
            <w:vAlign w:val="bottom"/>
          </w:tcPr>
          <w:p w14:paraId="18FC8EEB" w14:textId="0A7FD668" w:rsidR="009A301D" w:rsidRPr="009F6599" w:rsidRDefault="009A301D" w:rsidP="00103DA7">
            <w:pPr>
              <w:widowControl w:val="0"/>
              <w:ind w:left="144"/>
              <w:jc w:val="right"/>
              <w:rPr>
                <w:b/>
                <w:iCs/>
                <w:color w:val="000000"/>
                <w:sz w:val="20"/>
              </w:rPr>
            </w:pPr>
            <w:r w:rsidRPr="009F6599">
              <w:rPr>
                <w:b/>
                <w:iCs/>
                <w:color w:val="000000"/>
                <w:sz w:val="20"/>
              </w:rPr>
              <w:t>0.1667</w:t>
            </w:r>
          </w:p>
        </w:tc>
        <w:tc>
          <w:tcPr>
            <w:tcW w:w="1294" w:type="dxa"/>
            <w:shd w:val="clear" w:color="auto" w:fill="D9D9D9" w:themeFill="background1" w:themeFillShade="D9"/>
            <w:vAlign w:val="bottom"/>
          </w:tcPr>
          <w:p w14:paraId="1BAEF590" w14:textId="6550F80B" w:rsidR="009A301D" w:rsidRPr="009F6599" w:rsidRDefault="009A301D" w:rsidP="00103DA7">
            <w:pPr>
              <w:widowControl w:val="0"/>
              <w:ind w:left="144"/>
              <w:jc w:val="right"/>
              <w:rPr>
                <w:b/>
                <w:iCs/>
                <w:color w:val="000000"/>
                <w:sz w:val="20"/>
              </w:rPr>
            </w:pPr>
            <w:r w:rsidRPr="009F6599">
              <w:rPr>
                <w:b/>
                <w:iCs/>
                <w:color w:val="000000"/>
                <w:sz w:val="20"/>
              </w:rPr>
              <w:t>0.0167</w:t>
            </w:r>
          </w:p>
        </w:tc>
      </w:tr>
    </w:tbl>
    <w:p w14:paraId="5DDEA20C" w14:textId="77777777" w:rsidR="00692C08" w:rsidRDefault="00692C08" w:rsidP="00103DA7">
      <w:pPr>
        <w:widowControl w:val="0"/>
        <w:ind w:left="144"/>
      </w:pPr>
    </w:p>
    <w:tbl>
      <w:tblPr>
        <w:tblW w:w="7740" w:type="dxa"/>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225"/>
      </w:tblGrid>
      <w:tr w:rsidR="00B07A16" w:rsidRPr="006137F1" w14:paraId="6CCB4857" w14:textId="77777777" w:rsidTr="00A61DCB">
        <w:trPr>
          <w:trHeight w:val="86"/>
        </w:trPr>
        <w:tc>
          <w:tcPr>
            <w:tcW w:w="7740" w:type="dxa"/>
            <w:gridSpan w:val="2"/>
            <w:shd w:val="clear" w:color="auto" w:fill="auto"/>
            <w:noWrap/>
            <w:vAlign w:val="center"/>
            <w:hideMark/>
          </w:tcPr>
          <w:p w14:paraId="634BC4D7" w14:textId="6971ADE0" w:rsidR="00B07A16" w:rsidRPr="006137F1" w:rsidRDefault="00155246" w:rsidP="00103DA7">
            <w:pPr>
              <w:widowControl w:val="0"/>
              <w:ind w:left="144"/>
              <w:jc w:val="center"/>
              <w:rPr>
                <w:b/>
                <w:bCs/>
                <w:color w:val="000000"/>
                <w:sz w:val="22"/>
                <w:szCs w:val="22"/>
              </w:rPr>
            </w:pPr>
            <w:r>
              <w:rPr>
                <w:b/>
                <w:bCs/>
                <w:color w:val="000000"/>
                <w:sz w:val="22"/>
                <w:szCs w:val="22"/>
              </w:rPr>
              <w:t xml:space="preserve">Total </w:t>
            </w:r>
            <w:r w:rsidR="00B07A16">
              <w:rPr>
                <w:b/>
                <w:bCs/>
                <w:color w:val="000000"/>
                <w:sz w:val="22"/>
                <w:szCs w:val="22"/>
              </w:rPr>
              <w:t>Hour</w:t>
            </w:r>
            <w:r w:rsidR="00B07A16">
              <w:rPr>
                <w:b/>
                <w:bCs/>
                <w:color w:val="000000"/>
                <w:sz w:val="22"/>
                <w:szCs w:val="22"/>
              </w:rPr>
              <w:t>s (</w:t>
            </w:r>
            <w:r>
              <w:rPr>
                <w:b/>
                <w:bCs/>
                <w:color w:val="000000"/>
                <w:sz w:val="22"/>
                <w:szCs w:val="22"/>
              </w:rPr>
              <w:t>annual</w:t>
            </w:r>
            <w:r w:rsidR="00B07A16">
              <w:rPr>
                <w:b/>
                <w:bCs/>
                <w:color w:val="000000"/>
                <w:sz w:val="22"/>
                <w:szCs w:val="22"/>
              </w:rPr>
              <w:t>)</w:t>
            </w:r>
          </w:p>
        </w:tc>
      </w:tr>
      <w:tr w:rsidR="00155246" w:rsidRPr="006137F1" w14:paraId="2CD06F8F" w14:textId="77777777" w:rsidTr="00A61DCB">
        <w:trPr>
          <w:trHeight w:val="86"/>
        </w:trPr>
        <w:tc>
          <w:tcPr>
            <w:tcW w:w="3515" w:type="dxa"/>
            <w:shd w:val="clear" w:color="auto" w:fill="auto"/>
            <w:noWrap/>
            <w:vAlign w:val="bottom"/>
            <w:hideMark/>
          </w:tcPr>
          <w:p w14:paraId="4DA32272" w14:textId="0CFC2790" w:rsidR="00155246" w:rsidRPr="006137F1" w:rsidRDefault="00155246" w:rsidP="00AE27CA">
            <w:pPr>
              <w:widowControl w:val="0"/>
              <w:ind w:left="144"/>
              <w:rPr>
                <w:color w:val="000000"/>
                <w:sz w:val="22"/>
                <w:szCs w:val="22"/>
              </w:rPr>
            </w:pPr>
            <w:r w:rsidRPr="009A301D">
              <w:rPr>
                <w:sz w:val="20"/>
              </w:rPr>
              <w:t>Jan 15, 2014 (</w:t>
            </w:r>
            <w:r w:rsidRPr="009A301D">
              <w:rPr>
                <w:color w:val="000000"/>
                <w:sz w:val="20"/>
              </w:rPr>
              <w:t>Supporting Statement)</w:t>
            </w:r>
          </w:p>
        </w:tc>
        <w:tc>
          <w:tcPr>
            <w:tcW w:w="4225" w:type="dxa"/>
            <w:shd w:val="clear" w:color="auto" w:fill="auto"/>
            <w:noWrap/>
            <w:vAlign w:val="bottom"/>
            <w:hideMark/>
          </w:tcPr>
          <w:p w14:paraId="066D5E89" w14:textId="1E21F514" w:rsidR="00155246" w:rsidRPr="006137F1" w:rsidRDefault="00E03435" w:rsidP="00103DA7">
            <w:pPr>
              <w:widowControl w:val="0"/>
              <w:ind w:left="144"/>
              <w:jc w:val="right"/>
              <w:rPr>
                <w:color w:val="000000"/>
                <w:sz w:val="22"/>
                <w:szCs w:val="22"/>
              </w:rPr>
            </w:pPr>
            <w:r w:rsidRPr="00E03435">
              <w:rPr>
                <w:color w:val="000000"/>
                <w:sz w:val="22"/>
                <w:szCs w:val="22"/>
              </w:rPr>
              <w:t>6,608,971</w:t>
            </w:r>
          </w:p>
        </w:tc>
      </w:tr>
      <w:tr w:rsidR="00155246" w14:paraId="13153090" w14:textId="77777777" w:rsidTr="00A61DCB">
        <w:trPr>
          <w:trHeight w:val="86"/>
        </w:trPr>
        <w:tc>
          <w:tcPr>
            <w:tcW w:w="3515" w:type="dxa"/>
            <w:shd w:val="clear" w:color="auto" w:fill="auto"/>
            <w:noWrap/>
            <w:vAlign w:val="bottom"/>
          </w:tcPr>
          <w:p w14:paraId="535486DB" w14:textId="03AFB753" w:rsidR="00155246" w:rsidRPr="006137F1" w:rsidRDefault="00155246" w:rsidP="00103DA7">
            <w:pPr>
              <w:widowControl w:val="0"/>
              <w:ind w:left="144"/>
              <w:rPr>
                <w:color w:val="000000"/>
                <w:sz w:val="22"/>
                <w:szCs w:val="22"/>
              </w:rPr>
            </w:pPr>
            <w:r w:rsidRPr="009A301D">
              <w:rPr>
                <w:color w:val="000000"/>
                <w:sz w:val="20"/>
              </w:rPr>
              <w:t>Feb 6, 2017 (Supporting Statement)</w:t>
            </w:r>
          </w:p>
        </w:tc>
        <w:tc>
          <w:tcPr>
            <w:tcW w:w="4225" w:type="dxa"/>
            <w:shd w:val="clear" w:color="auto" w:fill="auto"/>
            <w:noWrap/>
            <w:vAlign w:val="bottom"/>
          </w:tcPr>
          <w:p w14:paraId="6CC66B74" w14:textId="5DB80D5E" w:rsidR="00155246" w:rsidRDefault="00155246" w:rsidP="00103DA7">
            <w:pPr>
              <w:widowControl w:val="0"/>
              <w:ind w:left="144"/>
              <w:jc w:val="right"/>
              <w:rPr>
                <w:color w:val="000000"/>
                <w:sz w:val="22"/>
                <w:szCs w:val="22"/>
              </w:rPr>
            </w:pPr>
            <w:r>
              <w:rPr>
                <w:color w:val="000000"/>
                <w:sz w:val="22"/>
                <w:szCs w:val="22"/>
              </w:rPr>
              <w:t>590,841</w:t>
            </w:r>
          </w:p>
        </w:tc>
      </w:tr>
      <w:tr w:rsidR="00155246" w14:paraId="57AC7ECA" w14:textId="77777777" w:rsidTr="00D566E3">
        <w:trPr>
          <w:trHeight w:val="86"/>
        </w:trPr>
        <w:tc>
          <w:tcPr>
            <w:tcW w:w="3515" w:type="dxa"/>
            <w:shd w:val="clear" w:color="auto" w:fill="auto"/>
            <w:noWrap/>
            <w:vAlign w:val="bottom"/>
          </w:tcPr>
          <w:p w14:paraId="2EF4BBB0" w14:textId="53F815C6" w:rsidR="00155246" w:rsidRDefault="00155246" w:rsidP="00103DA7">
            <w:pPr>
              <w:widowControl w:val="0"/>
              <w:ind w:left="144"/>
              <w:rPr>
                <w:color w:val="000000"/>
                <w:sz w:val="22"/>
                <w:szCs w:val="22"/>
              </w:rPr>
            </w:pPr>
            <w:r w:rsidRPr="009A301D">
              <w:rPr>
                <w:color w:val="000000"/>
                <w:sz w:val="20"/>
              </w:rPr>
              <w:t>Correction #1</w:t>
            </w:r>
          </w:p>
        </w:tc>
        <w:tc>
          <w:tcPr>
            <w:tcW w:w="4225" w:type="dxa"/>
            <w:shd w:val="clear" w:color="auto" w:fill="auto"/>
            <w:noWrap/>
            <w:vAlign w:val="bottom"/>
          </w:tcPr>
          <w:p w14:paraId="7DD10B54" w14:textId="02B9CF95" w:rsidR="00155246" w:rsidRDefault="00A10E45" w:rsidP="00103DA7">
            <w:pPr>
              <w:widowControl w:val="0"/>
              <w:ind w:left="144"/>
              <w:jc w:val="right"/>
              <w:rPr>
                <w:color w:val="000000"/>
                <w:sz w:val="22"/>
                <w:szCs w:val="22"/>
              </w:rPr>
            </w:pPr>
            <w:r>
              <w:rPr>
                <w:color w:val="000000"/>
                <w:sz w:val="22"/>
                <w:szCs w:val="22"/>
              </w:rPr>
              <w:t>+6,018,130</w:t>
            </w:r>
          </w:p>
        </w:tc>
      </w:tr>
      <w:tr w:rsidR="00155246" w:rsidRPr="00A26506" w14:paraId="653A7409" w14:textId="77777777" w:rsidTr="00D566E3">
        <w:trPr>
          <w:trHeight w:val="86"/>
        </w:trPr>
        <w:tc>
          <w:tcPr>
            <w:tcW w:w="3515" w:type="dxa"/>
            <w:shd w:val="clear" w:color="auto" w:fill="F2F2F2" w:themeFill="background1" w:themeFillShade="F2"/>
            <w:noWrap/>
            <w:vAlign w:val="bottom"/>
          </w:tcPr>
          <w:p w14:paraId="0F88ED2B" w14:textId="77777777" w:rsidR="00155246" w:rsidRPr="00A26506" w:rsidRDefault="00155246" w:rsidP="00103DA7">
            <w:pPr>
              <w:widowControl w:val="0"/>
              <w:ind w:left="144"/>
              <w:jc w:val="right"/>
              <w:rPr>
                <w:i/>
                <w:color w:val="000000"/>
                <w:sz w:val="22"/>
                <w:szCs w:val="22"/>
              </w:rPr>
            </w:pPr>
            <w:r w:rsidRPr="00A26506">
              <w:rPr>
                <w:i/>
                <w:color w:val="000000"/>
                <w:sz w:val="22"/>
                <w:szCs w:val="22"/>
              </w:rPr>
              <w:t>Subtotal</w:t>
            </w:r>
          </w:p>
        </w:tc>
        <w:tc>
          <w:tcPr>
            <w:tcW w:w="4225" w:type="dxa"/>
            <w:shd w:val="clear" w:color="auto" w:fill="F2F2F2" w:themeFill="background1" w:themeFillShade="F2"/>
            <w:noWrap/>
            <w:vAlign w:val="bottom"/>
          </w:tcPr>
          <w:p w14:paraId="12FF3FAC" w14:textId="32268D14" w:rsidR="00155246" w:rsidRPr="00A26506" w:rsidRDefault="00225611" w:rsidP="00103DA7">
            <w:pPr>
              <w:widowControl w:val="0"/>
              <w:ind w:left="144"/>
              <w:jc w:val="right"/>
              <w:rPr>
                <w:i/>
                <w:color w:val="000000"/>
                <w:sz w:val="22"/>
                <w:szCs w:val="22"/>
              </w:rPr>
            </w:pPr>
            <w:r w:rsidRPr="00A26506">
              <w:rPr>
                <w:i/>
                <w:color w:val="000000"/>
                <w:sz w:val="22"/>
                <w:szCs w:val="22"/>
              </w:rPr>
              <w:t>6,608,971</w:t>
            </w:r>
            <w:r w:rsidRPr="00A26506">
              <w:rPr>
                <w:i/>
                <w:color w:val="000000"/>
                <w:sz w:val="22"/>
                <w:szCs w:val="22"/>
              </w:rPr>
              <w:t xml:space="preserve"> (590,841 </w:t>
            </w:r>
            <w:r w:rsidRPr="00A26506">
              <w:rPr>
                <w:i/>
                <w:color w:val="000000"/>
                <w:sz w:val="22"/>
                <w:szCs w:val="22"/>
              </w:rPr>
              <w:t>+</w:t>
            </w:r>
            <w:r w:rsidRPr="00A26506">
              <w:rPr>
                <w:i/>
                <w:color w:val="000000"/>
                <w:sz w:val="22"/>
                <w:szCs w:val="22"/>
              </w:rPr>
              <w:t xml:space="preserve"> </w:t>
            </w:r>
            <w:r w:rsidRPr="00A26506">
              <w:rPr>
                <w:i/>
                <w:color w:val="000000"/>
                <w:sz w:val="22"/>
                <w:szCs w:val="22"/>
              </w:rPr>
              <w:t>6,018,130</w:t>
            </w:r>
            <w:r w:rsidRPr="00A26506">
              <w:rPr>
                <w:i/>
                <w:color w:val="000000"/>
                <w:sz w:val="22"/>
                <w:szCs w:val="22"/>
              </w:rPr>
              <w:t xml:space="preserve">) </w:t>
            </w:r>
          </w:p>
        </w:tc>
      </w:tr>
      <w:tr w:rsidR="00D27B55" w:rsidRPr="00225611" w14:paraId="649B4481" w14:textId="77777777" w:rsidTr="00A61DCB">
        <w:trPr>
          <w:trHeight w:val="86"/>
        </w:trPr>
        <w:tc>
          <w:tcPr>
            <w:tcW w:w="3515" w:type="dxa"/>
            <w:shd w:val="clear" w:color="auto" w:fill="auto"/>
            <w:noWrap/>
            <w:vAlign w:val="bottom"/>
          </w:tcPr>
          <w:p w14:paraId="1E29BCEC" w14:textId="4CBA9BF2" w:rsidR="00D27B55" w:rsidRPr="00225611" w:rsidRDefault="00D27B55" w:rsidP="00103DA7">
            <w:pPr>
              <w:widowControl w:val="0"/>
              <w:ind w:left="144"/>
              <w:rPr>
                <w:i/>
                <w:color w:val="000000"/>
                <w:sz w:val="22"/>
                <w:szCs w:val="22"/>
              </w:rPr>
            </w:pPr>
            <w:r>
              <w:rPr>
                <w:color w:val="000000"/>
                <w:sz w:val="20"/>
              </w:rPr>
              <w:t xml:space="preserve">Feb </w:t>
            </w:r>
            <w:r>
              <w:rPr>
                <w:color w:val="000000"/>
                <w:sz w:val="20"/>
              </w:rPr>
              <w:t xml:space="preserve">6, </w:t>
            </w:r>
            <w:r>
              <w:rPr>
                <w:color w:val="000000"/>
                <w:sz w:val="20"/>
              </w:rPr>
              <w:t xml:space="preserve">2017 </w:t>
            </w:r>
            <w:r w:rsidR="008A70BB">
              <w:rPr>
                <w:color w:val="000000"/>
                <w:sz w:val="20"/>
              </w:rPr>
              <w:t>(</w:t>
            </w:r>
            <w:r>
              <w:rPr>
                <w:color w:val="000000"/>
                <w:sz w:val="20"/>
              </w:rPr>
              <w:t>ROCIS</w:t>
            </w:r>
            <w:r>
              <w:rPr>
                <w:color w:val="000000"/>
                <w:sz w:val="20"/>
              </w:rPr>
              <w:t xml:space="preserve"> burden</w:t>
            </w:r>
            <w:r w:rsidR="008A70BB">
              <w:rPr>
                <w:color w:val="000000"/>
                <w:sz w:val="20"/>
              </w:rPr>
              <w:t>)</w:t>
            </w:r>
          </w:p>
        </w:tc>
        <w:tc>
          <w:tcPr>
            <w:tcW w:w="4225" w:type="dxa"/>
            <w:shd w:val="clear" w:color="auto" w:fill="auto"/>
            <w:noWrap/>
            <w:vAlign w:val="bottom"/>
          </w:tcPr>
          <w:p w14:paraId="424177BC" w14:textId="0D80A0C9" w:rsidR="00D27B55" w:rsidRPr="00E03435" w:rsidRDefault="00D27B55" w:rsidP="00103DA7">
            <w:pPr>
              <w:widowControl w:val="0"/>
              <w:ind w:left="144"/>
              <w:jc w:val="right"/>
              <w:rPr>
                <w:color w:val="000000"/>
                <w:sz w:val="22"/>
                <w:szCs w:val="22"/>
              </w:rPr>
            </w:pPr>
            <w:r w:rsidRPr="001137F0">
              <w:rPr>
                <w:color w:val="000000"/>
                <w:sz w:val="20"/>
              </w:rPr>
              <w:t>701,119</w:t>
            </w:r>
          </w:p>
        </w:tc>
      </w:tr>
      <w:tr w:rsidR="00F04D86" w:rsidRPr="00225611" w14:paraId="22B59A58" w14:textId="77777777" w:rsidTr="00D566E3">
        <w:trPr>
          <w:trHeight w:val="86"/>
        </w:trPr>
        <w:tc>
          <w:tcPr>
            <w:tcW w:w="3515" w:type="dxa"/>
            <w:shd w:val="clear" w:color="auto" w:fill="auto"/>
            <w:noWrap/>
            <w:vAlign w:val="bottom"/>
          </w:tcPr>
          <w:p w14:paraId="4DFAE663" w14:textId="005BF26A" w:rsidR="00F04D86" w:rsidRPr="00225611" w:rsidRDefault="00F04D86" w:rsidP="00103DA7">
            <w:pPr>
              <w:widowControl w:val="0"/>
              <w:ind w:left="144"/>
              <w:rPr>
                <w:i/>
                <w:color w:val="000000"/>
                <w:sz w:val="22"/>
                <w:szCs w:val="22"/>
              </w:rPr>
            </w:pPr>
            <w:r w:rsidRPr="009A301D">
              <w:rPr>
                <w:color w:val="000000"/>
                <w:sz w:val="20"/>
              </w:rPr>
              <w:t>Correction #2</w:t>
            </w:r>
            <w:r w:rsidR="001137F0">
              <w:rPr>
                <w:color w:val="000000"/>
                <w:sz w:val="20"/>
              </w:rPr>
              <w:t xml:space="preserve"> </w:t>
            </w:r>
          </w:p>
        </w:tc>
        <w:tc>
          <w:tcPr>
            <w:tcW w:w="4225" w:type="dxa"/>
            <w:shd w:val="clear" w:color="auto" w:fill="auto"/>
            <w:noWrap/>
            <w:vAlign w:val="bottom"/>
          </w:tcPr>
          <w:p w14:paraId="2D654FDD" w14:textId="2B7F589F" w:rsidR="00F04D86" w:rsidRPr="00E03435" w:rsidRDefault="00F5424B" w:rsidP="00103DA7">
            <w:pPr>
              <w:widowControl w:val="0"/>
              <w:ind w:left="144"/>
              <w:jc w:val="right"/>
              <w:rPr>
                <w:color w:val="000000"/>
                <w:sz w:val="22"/>
                <w:szCs w:val="22"/>
              </w:rPr>
            </w:pPr>
            <w:r>
              <w:rPr>
                <w:color w:val="000000"/>
                <w:sz w:val="22"/>
                <w:szCs w:val="22"/>
              </w:rPr>
              <w:t>-</w:t>
            </w:r>
            <w:r w:rsidR="001144EE">
              <w:rPr>
                <w:color w:val="000000"/>
                <w:sz w:val="22"/>
                <w:szCs w:val="22"/>
              </w:rPr>
              <w:t>110,278 (</w:t>
            </w:r>
            <w:r>
              <w:rPr>
                <w:color w:val="000000"/>
                <w:sz w:val="22"/>
                <w:szCs w:val="22"/>
              </w:rPr>
              <w:t>590,841</w:t>
            </w:r>
            <w:r>
              <w:rPr>
                <w:color w:val="000000"/>
                <w:sz w:val="22"/>
                <w:szCs w:val="22"/>
              </w:rPr>
              <w:t xml:space="preserve"> - </w:t>
            </w:r>
            <w:r w:rsidR="001144EE" w:rsidRPr="001144EE">
              <w:rPr>
                <w:color w:val="000000"/>
                <w:sz w:val="22"/>
                <w:szCs w:val="22"/>
              </w:rPr>
              <w:t>701,119</w:t>
            </w:r>
            <w:r w:rsidR="001144EE">
              <w:rPr>
                <w:color w:val="000000"/>
                <w:sz w:val="22"/>
                <w:szCs w:val="22"/>
              </w:rPr>
              <w:t>)</w:t>
            </w:r>
          </w:p>
        </w:tc>
      </w:tr>
      <w:tr w:rsidR="00D81E22" w:rsidRPr="00A26506" w14:paraId="5A2D50DD" w14:textId="77777777" w:rsidTr="00D566E3">
        <w:trPr>
          <w:trHeight w:val="86"/>
        </w:trPr>
        <w:tc>
          <w:tcPr>
            <w:tcW w:w="3515" w:type="dxa"/>
            <w:shd w:val="clear" w:color="auto" w:fill="F2F2F2" w:themeFill="background1" w:themeFillShade="F2"/>
            <w:noWrap/>
            <w:vAlign w:val="bottom"/>
          </w:tcPr>
          <w:p w14:paraId="002EECBA" w14:textId="1AFFD419" w:rsidR="00D81E22" w:rsidRPr="00A26506" w:rsidRDefault="00D81E22" w:rsidP="00103DA7">
            <w:pPr>
              <w:widowControl w:val="0"/>
              <w:ind w:left="144"/>
              <w:jc w:val="right"/>
              <w:rPr>
                <w:i/>
                <w:color w:val="000000"/>
                <w:sz w:val="20"/>
              </w:rPr>
            </w:pPr>
            <w:r w:rsidRPr="00A26506">
              <w:rPr>
                <w:i/>
                <w:color w:val="000000"/>
                <w:sz w:val="22"/>
                <w:szCs w:val="22"/>
              </w:rPr>
              <w:t>Subtotal</w:t>
            </w:r>
          </w:p>
        </w:tc>
        <w:tc>
          <w:tcPr>
            <w:tcW w:w="4225" w:type="dxa"/>
            <w:shd w:val="clear" w:color="auto" w:fill="F2F2F2" w:themeFill="background1" w:themeFillShade="F2"/>
            <w:noWrap/>
            <w:vAlign w:val="bottom"/>
          </w:tcPr>
          <w:p w14:paraId="233C44EF" w14:textId="085C4DF6" w:rsidR="00D81E22" w:rsidRPr="00A26506" w:rsidRDefault="00D81E22" w:rsidP="00103DA7">
            <w:pPr>
              <w:widowControl w:val="0"/>
              <w:ind w:left="144"/>
              <w:jc w:val="right"/>
              <w:rPr>
                <w:i/>
                <w:color w:val="000000"/>
                <w:sz w:val="22"/>
                <w:szCs w:val="22"/>
              </w:rPr>
            </w:pPr>
            <w:r w:rsidRPr="00A26506">
              <w:rPr>
                <w:i/>
                <w:color w:val="000000"/>
                <w:sz w:val="22"/>
                <w:szCs w:val="22"/>
              </w:rPr>
              <w:t>6,</w:t>
            </w:r>
            <w:r w:rsidRPr="00A26506">
              <w:rPr>
                <w:i/>
                <w:color w:val="000000"/>
                <w:sz w:val="22"/>
                <w:szCs w:val="22"/>
              </w:rPr>
              <w:t>498</w:t>
            </w:r>
            <w:r w:rsidRPr="00A26506">
              <w:rPr>
                <w:i/>
                <w:color w:val="000000"/>
                <w:sz w:val="22"/>
                <w:szCs w:val="22"/>
              </w:rPr>
              <w:t>,</w:t>
            </w:r>
            <w:r w:rsidRPr="00A26506">
              <w:rPr>
                <w:i/>
                <w:color w:val="000000"/>
                <w:sz w:val="22"/>
                <w:szCs w:val="22"/>
              </w:rPr>
              <w:t>693 (</w:t>
            </w:r>
            <w:r w:rsidRPr="00A26506">
              <w:rPr>
                <w:i/>
                <w:color w:val="000000"/>
                <w:sz w:val="22"/>
                <w:szCs w:val="22"/>
              </w:rPr>
              <w:t>6,608,971</w:t>
            </w:r>
            <w:r w:rsidRPr="00A26506">
              <w:rPr>
                <w:i/>
                <w:color w:val="000000"/>
                <w:sz w:val="22"/>
                <w:szCs w:val="22"/>
              </w:rPr>
              <w:t xml:space="preserve"> – 110,278) </w:t>
            </w:r>
          </w:p>
        </w:tc>
      </w:tr>
      <w:tr w:rsidR="00D81E22" w:rsidRPr="006137F1" w14:paraId="0783BADC" w14:textId="77777777" w:rsidTr="00D566E3">
        <w:trPr>
          <w:trHeight w:val="86"/>
        </w:trPr>
        <w:tc>
          <w:tcPr>
            <w:tcW w:w="3515" w:type="dxa"/>
            <w:shd w:val="clear" w:color="auto" w:fill="auto"/>
            <w:vAlign w:val="bottom"/>
            <w:hideMark/>
          </w:tcPr>
          <w:p w14:paraId="0E827336" w14:textId="6F23D76D" w:rsidR="00D81E22" w:rsidRPr="006137F1" w:rsidRDefault="00D81E22" w:rsidP="00103DA7">
            <w:pPr>
              <w:widowControl w:val="0"/>
              <w:ind w:left="144"/>
              <w:rPr>
                <w:color w:val="000000"/>
                <w:sz w:val="22"/>
                <w:szCs w:val="22"/>
              </w:rPr>
            </w:pPr>
            <w:r>
              <w:rPr>
                <w:color w:val="000000"/>
                <w:sz w:val="22"/>
                <w:szCs w:val="22"/>
              </w:rPr>
              <w:t>Adjustment</w:t>
            </w:r>
          </w:p>
        </w:tc>
        <w:tc>
          <w:tcPr>
            <w:tcW w:w="4225" w:type="dxa"/>
            <w:shd w:val="clear" w:color="auto" w:fill="auto"/>
            <w:noWrap/>
            <w:vAlign w:val="bottom"/>
            <w:hideMark/>
          </w:tcPr>
          <w:p w14:paraId="3D8A8E59" w14:textId="582796CE" w:rsidR="00D81E22" w:rsidRPr="006137F1" w:rsidRDefault="00D81E22" w:rsidP="00103DA7">
            <w:pPr>
              <w:widowControl w:val="0"/>
              <w:ind w:left="144"/>
              <w:jc w:val="right"/>
              <w:rPr>
                <w:color w:val="000000"/>
                <w:sz w:val="22"/>
                <w:szCs w:val="22"/>
              </w:rPr>
            </w:pPr>
            <w:r>
              <w:rPr>
                <w:color w:val="000000"/>
                <w:sz w:val="22"/>
                <w:szCs w:val="22"/>
              </w:rPr>
              <w:t>-917,808</w:t>
            </w:r>
          </w:p>
        </w:tc>
      </w:tr>
      <w:tr w:rsidR="00D81E22" w:rsidRPr="009F6599" w14:paraId="62D32BD7" w14:textId="77777777" w:rsidTr="00A26506">
        <w:trPr>
          <w:trHeight w:val="86"/>
        </w:trPr>
        <w:tc>
          <w:tcPr>
            <w:tcW w:w="3515" w:type="dxa"/>
            <w:shd w:val="clear" w:color="auto" w:fill="D9D9D9" w:themeFill="background1" w:themeFillShade="D9"/>
            <w:noWrap/>
            <w:vAlign w:val="bottom"/>
            <w:hideMark/>
          </w:tcPr>
          <w:p w14:paraId="63A44B2F" w14:textId="16031CD0" w:rsidR="00D81E22" w:rsidRPr="009F6599" w:rsidRDefault="00D81E22" w:rsidP="00103DA7">
            <w:pPr>
              <w:widowControl w:val="0"/>
              <w:ind w:left="144"/>
              <w:jc w:val="right"/>
              <w:rPr>
                <w:b/>
                <w:i/>
                <w:iCs/>
                <w:color w:val="000000"/>
                <w:sz w:val="22"/>
                <w:szCs w:val="22"/>
              </w:rPr>
            </w:pPr>
            <w:r w:rsidRPr="009F6599">
              <w:rPr>
                <w:b/>
                <w:iCs/>
                <w:color w:val="000000"/>
                <w:sz w:val="20"/>
              </w:rPr>
              <w:t>Final Estimate</w:t>
            </w:r>
            <w:r w:rsidR="00AE27CA">
              <w:rPr>
                <w:b/>
                <w:iCs/>
                <w:color w:val="000000"/>
                <w:sz w:val="20"/>
              </w:rPr>
              <w:t>*</w:t>
            </w:r>
          </w:p>
        </w:tc>
        <w:tc>
          <w:tcPr>
            <w:tcW w:w="4225" w:type="dxa"/>
            <w:shd w:val="clear" w:color="auto" w:fill="D9D9D9" w:themeFill="background1" w:themeFillShade="D9"/>
            <w:noWrap/>
            <w:vAlign w:val="bottom"/>
            <w:hideMark/>
          </w:tcPr>
          <w:p w14:paraId="30E52BEF" w14:textId="047E163E" w:rsidR="00D81E22" w:rsidRPr="009F6599" w:rsidRDefault="00D81E22" w:rsidP="00103DA7">
            <w:pPr>
              <w:widowControl w:val="0"/>
              <w:ind w:left="144"/>
              <w:jc w:val="right"/>
              <w:rPr>
                <w:b/>
                <w:i/>
                <w:iCs/>
                <w:color w:val="000000"/>
                <w:sz w:val="22"/>
                <w:szCs w:val="22"/>
              </w:rPr>
            </w:pPr>
            <w:r w:rsidRPr="009F6599">
              <w:rPr>
                <w:b/>
                <w:szCs w:val="24"/>
              </w:rPr>
              <w:t>5,580,885</w:t>
            </w:r>
          </w:p>
        </w:tc>
      </w:tr>
    </w:tbl>
    <w:p w14:paraId="0921F074" w14:textId="226B677D" w:rsidR="00BE5D1A" w:rsidRPr="00AE27CA" w:rsidRDefault="00AE27CA" w:rsidP="00103DA7">
      <w:pPr>
        <w:widowControl w:val="0"/>
        <w:ind w:left="144"/>
        <w:rPr>
          <w:sz w:val="18"/>
          <w:szCs w:val="18"/>
        </w:rPr>
      </w:pPr>
      <w:r w:rsidRPr="00AE27CA">
        <w:rPr>
          <w:sz w:val="18"/>
          <w:szCs w:val="18"/>
        </w:rPr>
        <w:t>*The Jan 15, 2014, information collection request estimated 6,392,971 assessments. This nonsubstantive change request corrects and adjusts the number of assessments to 6,563,344 (+170,373).</w:t>
      </w:r>
    </w:p>
    <w:p w14:paraId="7944718D" w14:textId="77777777" w:rsidR="00AE27CA" w:rsidRDefault="00AE27CA" w:rsidP="00103DA7">
      <w:pPr>
        <w:widowControl w:val="0"/>
        <w:ind w:left="144"/>
      </w:pPr>
    </w:p>
    <w:p w14:paraId="3BF415ED" w14:textId="77777777" w:rsidR="00232D22" w:rsidRPr="003C624B" w:rsidRDefault="00232D22" w:rsidP="00864CFB">
      <w:r w:rsidRPr="003C624B">
        <w:t xml:space="preserve">16.  </w:t>
      </w:r>
      <w:r w:rsidRPr="003C624B">
        <w:rPr>
          <w:u w:val="single"/>
        </w:rPr>
        <w:t>Publication and Tabulation Dates</w:t>
      </w:r>
    </w:p>
    <w:p w14:paraId="1DF9F1C0" w14:textId="77777777" w:rsidR="00A5470F" w:rsidRPr="003C624B" w:rsidRDefault="00A5470F" w:rsidP="00864CFB"/>
    <w:p w14:paraId="18BC25A0" w14:textId="77777777" w:rsidR="007D12E8" w:rsidRPr="003C624B" w:rsidRDefault="007D12E8" w:rsidP="00864CFB">
      <w:r w:rsidRPr="003C624B">
        <w:t>Not applicable.</w:t>
      </w:r>
    </w:p>
    <w:p w14:paraId="04FC1A8F" w14:textId="77777777" w:rsidR="00735B66" w:rsidRPr="003C624B" w:rsidRDefault="00735B66" w:rsidP="00864CFB"/>
    <w:p w14:paraId="5693929A" w14:textId="524A303F" w:rsidR="00232D22" w:rsidRPr="003C624B" w:rsidRDefault="00232D22" w:rsidP="00864CFB">
      <w:pPr>
        <w:numPr>
          <w:ilvl w:val="0"/>
          <w:numId w:val="2"/>
        </w:numPr>
        <w:ind w:left="0" w:firstLine="0"/>
      </w:pPr>
      <w:r w:rsidRPr="003C624B">
        <w:rPr>
          <w:u w:val="single"/>
        </w:rPr>
        <w:t>Expiration Date</w:t>
      </w:r>
    </w:p>
    <w:p w14:paraId="766BEFB0" w14:textId="77777777" w:rsidR="00A5470F" w:rsidRPr="003C624B" w:rsidRDefault="00A5470F" w:rsidP="00864CFB"/>
    <w:p w14:paraId="25D739A9" w14:textId="77777777" w:rsidR="00EF3CBF" w:rsidRPr="003C624B" w:rsidRDefault="00EF3CBF" w:rsidP="00864CFB">
      <w:r w:rsidRPr="003C624B">
        <w:t>With respect to the OMB approval, CMS does not object to the displaying of the expiration date.</w:t>
      </w:r>
    </w:p>
    <w:p w14:paraId="4CCBD2A6" w14:textId="77777777" w:rsidR="00224EF7" w:rsidRPr="003C624B" w:rsidRDefault="00224EF7" w:rsidP="00864CFB"/>
    <w:p w14:paraId="425D045E" w14:textId="77777777" w:rsidR="00232D22" w:rsidRPr="003C624B" w:rsidRDefault="00232D22" w:rsidP="00864CFB">
      <w:r w:rsidRPr="003C624B">
        <w:t xml:space="preserve">18.  </w:t>
      </w:r>
      <w:r w:rsidRPr="003C624B">
        <w:rPr>
          <w:u w:val="single"/>
        </w:rPr>
        <w:t>Certification Statement</w:t>
      </w:r>
    </w:p>
    <w:p w14:paraId="057D70BB" w14:textId="77777777" w:rsidR="00A5470F" w:rsidRPr="003C624B" w:rsidRDefault="00A5470F" w:rsidP="00864CFB"/>
    <w:p w14:paraId="385A5C99" w14:textId="77777777" w:rsidR="00232D22" w:rsidRPr="003C624B" w:rsidRDefault="00232D22" w:rsidP="00864CFB">
      <w:r w:rsidRPr="003C624B">
        <w:t>There are no exceptions.</w:t>
      </w:r>
    </w:p>
    <w:p w14:paraId="7D9F28ED" w14:textId="77777777" w:rsidR="00232D22" w:rsidRPr="003C624B" w:rsidRDefault="00232D22" w:rsidP="00864CFB"/>
    <w:p w14:paraId="5DF21A03" w14:textId="77777777" w:rsidR="00232D22" w:rsidRPr="003C624B" w:rsidRDefault="004C3B14" w:rsidP="00864CFB">
      <w:pPr>
        <w:rPr>
          <w:b/>
        </w:rPr>
      </w:pPr>
      <w:r w:rsidRPr="003C624B">
        <w:rPr>
          <w:b/>
        </w:rPr>
        <w:t>B</w:t>
      </w:r>
      <w:r w:rsidR="00232D22" w:rsidRPr="003C624B">
        <w:rPr>
          <w:b/>
        </w:rPr>
        <w:t>.</w:t>
      </w:r>
      <w:r w:rsidR="00232D22" w:rsidRPr="003C624B">
        <w:rPr>
          <w:b/>
        </w:rPr>
        <w:tab/>
        <w:t>Collection of Information Employing Statistical Methods</w:t>
      </w:r>
    </w:p>
    <w:p w14:paraId="2BDCC021" w14:textId="77777777" w:rsidR="00A5470F" w:rsidRPr="003C624B" w:rsidRDefault="00A5470F" w:rsidP="00864CFB"/>
    <w:p w14:paraId="4EC38010" w14:textId="77777777" w:rsidR="00232D22" w:rsidRPr="003C624B" w:rsidRDefault="00FD18D9" w:rsidP="00864CFB">
      <w:r w:rsidRPr="003C624B">
        <w:t>N</w:t>
      </w:r>
      <w:r w:rsidR="00232D22" w:rsidRPr="003C624B">
        <w:t>ot applicable</w:t>
      </w:r>
      <w:r w:rsidRPr="003C624B">
        <w:t>.</w:t>
      </w:r>
    </w:p>
    <w:p w14:paraId="3D14C9FE" w14:textId="77777777" w:rsidR="00FD18D9" w:rsidRPr="003C624B" w:rsidRDefault="00FD18D9" w:rsidP="00864CFB"/>
    <w:sectPr w:rsidR="00FD18D9" w:rsidRPr="003C624B">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0B468" w14:textId="77777777" w:rsidR="00DD0717" w:rsidRDefault="00DD0717">
      <w:r>
        <w:separator/>
      </w:r>
    </w:p>
  </w:endnote>
  <w:endnote w:type="continuationSeparator" w:id="0">
    <w:p w14:paraId="46B70D19" w14:textId="77777777" w:rsidR="00DD0717" w:rsidRDefault="00DD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F42D2" w14:textId="77777777" w:rsidR="001C7254" w:rsidRDefault="001C7254">
    <w:pPr>
      <w:spacing w:line="240" w:lineRule="exact"/>
    </w:pPr>
  </w:p>
  <w:p w14:paraId="5A1352A5" w14:textId="77777777" w:rsidR="001C7254" w:rsidRDefault="001C7254">
    <w:pPr>
      <w:framePr w:w="9361" w:wrap="notBeside" w:vAnchor="text" w:hAnchor="text" w:x="1" w:y="1"/>
      <w:jc w:val="center"/>
    </w:pPr>
    <w:r>
      <w:fldChar w:fldCharType="begin"/>
    </w:r>
    <w:r>
      <w:instrText xml:space="preserve">PAGE </w:instrText>
    </w:r>
    <w:r>
      <w:fldChar w:fldCharType="separate"/>
    </w:r>
    <w:r w:rsidR="008E3DDF">
      <w:rPr>
        <w:noProof/>
      </w:rPr>
      <w:t>7</w:t>
    </w:r>
    <w:r>
      <w:fldChar w:fldCharType="end"/>
    </w:r>
  </w:p>
  <w:p w14:paraId="32567469" w14:textId="77777777" w:rsidR="001C7254" w:rsidRDefault="001C72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C2EE0" w14:textId="77777777" w:rsidR="00DD0717" w:rsidRDefault="00DD0717">
      <w:r>
        <w:separator/>
      </w:r>
    </w:p>
  </w:footnote>
  <w:footnote w:type="continuationSeparator" w:id="0">
    <w:p w14:paraId="2B1F5004" w14:textId="77777777" w:rsidR="00DD0717" w:rsidRDefault="00DD0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3" w15:restartNumberingAfterBreak="0">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9" w15:restartNumberingAfterBreak="0">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9"/>
  </w:num>
  <w:num w:numId="6">
    <w:abstractNumId w:val="1"/>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58"/>
    <w:rsid w:val="000342BE"/>
    <w:rsid w:val="000349EB"/>
    <w:rsid w:val="00035E91"/>
    <w:rsid w:val="00043817"/>
    <w:rsid w:val="000672C9"/>
    <w:rsid w:val="00077535"/>
    <w:rsid w:val="000779D6"/>
    <w:rsid w:val="000873E6"/>
    <w:rsid w:val="000B3541"/>
    <w:rsid w:val="000E17CA"/>
    <w:rsid w:val="000E21AE"/>
    <w:rsid w:val="000E23F0"/>
    <w:rsid w:val="000E608A"/>
    <w:rsid w:val="000F427A"/>
    <w:rsid w:val="00103DA7"/>
    <w:rsid w:val="00111355"/>
    <w:rsid w:val="001137F0"/>
    <w:rsid w:val="001144EE"/>
    <w:rsid w:val="0011587C"/>
    <w:rsid w:val="00145B55"/>
    <w:rsid w:val="00146327"/>
    <w:rsid w:val="00155246"/>
    <w:rsid w:val="001579C7"/>
    <w:rsid w:val="001647C0"/>
    <w:rsid w:val="0018008E"/>
    <w:rsid w:val="00193D4A"/>
    <w:rsid w:val="001A0EF5"/>
    <w:rsid w:val="001A495C"/>
    <w:rsid w:val="001A5F4F"/>
    <w:rsid w:val="001B29F1"/>
    <w:rsid w:val="001B3839"/>
    <w:rsid w:val="001B54F6"/>
    <w:rsid w:val="001B7F34"/>
    <w:rsid w:val="001C2761"/>
    <w:rsid w:val="001C576E"/>
    <w:rsid w:val="001C7254"/>
    <w:rsid w:val="001C72C0"/>
    <w:rsid w:val="001E4F95"/>
    <w:rsid w:val="001E58FA"/>
    <w:rsid w:val="001E7A7B"/>
    <w:rsid w:val="001E7D2E"/>
    <w:rsid w:val="001F7FFE"/>
    <w:rsid w:val="0020110E"/>
    <w:rsid w:val="00201A6B"/>
    <w:rsid w:val="00212A11"/>
    <w:rsid w:val="00213EE1"/>
    <w:rsid w:val="002224BF"/>
    <w:rsid w:val="00224EF7"/>
    <w:rsid w:val="00225611"/>
    <w:rsid w:val="002305D0"/>
    <w:rsid w:val="00232D22"/>
    <w:rsid w:val="00234427"/>
    <w:rsid w:val="002356E2"/>
    <w:rsid w:val="00237869"/>
    <w:rsid w:val="00245A35"/>
    <w:rsid w:val="00251AE6"/>
    <w:rsid w:val="0025329F"/>
    <w:rsid w:val="002554BD"/>
    <w:rsid w:val="002668DC"/>
    <w:rsid w:val="002673CA"/>
    <w:rsid w:val="002906E0"/>
    <w:rsid w:val="002A65A1"/>
    <w:rsid w:val="002B6E4E"/>
    <w:rsid w:val="002B7DE2"/>
    <w:rsid w:val="002C6988"/>
    <w:rsid w:val="002E101A"/>
    <w:rsid w:val="002E2621"/>
    <w:rsid w:val="002F239A"/>
    <w:rsid w:val="002F3EEA"/>
    <w:rsid w:val="002F619F"/>
    <w:rsid w:val="003121ED"/>
    <w:rsid w:val="00312402"/>
    <w:rsid w:val="003151F2"/>
    <w:rsid w:val="003153F7"/>
    <w:rsid w:val="003157E1"/>
    <w:rsid w:val="0032748F"/>
    <w:rsid w:val="003424F2"/>
    <w:rsid w:val="00343819"/>
    <w:rsid w:val="00344FAB"/>
    <w:rsid w:val="00345C45"/>
    <w:rsid w:val="00352908"/>
    <w:rsid w:val="003561F0"/>
    <w:rsid w:val="00357585"/>
    <w:rsid w:val="00363798"/>
    <w:rsid w:val="00370797"/>
    <w:rsid w:val="0038106F"/>
    <w:rsid w:val="003812E9"/>
    <w:rsid w:val="003A59C9"/>
    <w:rsid w:val="003B402D"/>
    <w:rsid w:val="003C3411"/>
    <w:rsid w:val="003C624B"/>
    <w:rsid w:val="003D62C2"/>
    <w:rsid w:val="003D6607"/>
    <w:rsid w:val="003E69D8"/>
    <w:rsid w:val="003F5CFF"/>
    <w:rsid w:val="003F7C3C"/>
    <w:rsid w:val="00413390"/>
    <w:rsid w:val="00414664"/>
    <w:rsid w:val="004213A9"/>
    <w:rsid w:val="00426054"/>
    <w:rsid w:val="00454F24"/>
    <w:rsid w:val="00475AEC"/>
    <w:rsid w:val="00480018"/>
    <w:rsid w:val="00495058"/>
    <w:rsid w:val="00495E65"/>
    <w:rsid w:val="004970D5"/>
    <w:rsid w:val="004A4F1C"/>
    <w:rsid w:val="004A64E8"/>
    <w:rsid w:val="004A6568"/>
    <w:rsid w:val="004B0DAF"/>
    <w:rsid w:val="004B3F68"/>
    <w:rsid w:val="004B4308"/>
    <w:rsid w:val="004C3B14"/>
    <w:rsid w:val="004E67C7"/>
    <w:rsid w:val="004E7E07"/>
    <w:rsid w:val="0050349A"/>
    <w:rsid w:val="005129AB"/>
    <w:rsid w:val="00515929"/>
    <w:rsid w:val="00524AAD"/>
    <w:rsid w:val="00532A84"/>
    <w:rsid w:val="00544EA1"/>
    <w:rsid w:val="00545C17"/>
    <w:rsid w:val="00550F6C"/>
    <w:rsid w:val="00551725"/>
    <w:rsid w:val="005517FC"/>
    <w:rsid w:val="005609EA"/>
    <w:rsid w:val="00565519"/>
    <w:rsid w:val="0056576D"/>
    <w:rsid w:val="0056579E"/>
    <w:rsid w:val="00595C9B"/>
    <w:rsid w:val="005A13C4"/>
    <w:rsid w:val="005C3BF2"/>
    <w:rsid w:val="005D035F"/>
    <w:rsid w:val="005D0D24"/>
    <w:rsid w:val="005D1912"/>
    <w:rsid w:val="005E1349"/>
    <w:rsid w:val="005E2C17"/>
    <w:rsid w:val="005E328D"/>
    <w:rsid w:val="005F3419"/>
    <w:rsid w:val="005F70EE"/>
    <w:rsid w:val="006027C4"/>
    <w:rsid w:val="00605761"/>
    <w:rsid w:val="006137F1"/>
    <w:rsid w:val="00641F69"/>
    <w:rsid w:val="00642CBF"/>
    <w:rsid w:val="0066103A"/>
    <w:rsid w:val="00661B9A"/>
    <w:rsid w:val="006668F5"/>
    <w:rsid w:val="006705C2"/>
    <w:rsid w:val="006709BF"/>
    <w:rsid w:val="006770CF"/>
    <w:rsid w:val="00692C08"/>
    <w:rsid w:val="006A0867"/>
    <w:rsid w:val="006A6D20"/>
    <w:rsid w:val="006A7C4C"/>
    <w:rsid w:val="006B406B"/>
    <w:rsid w:val="006B525F"/>
    <w:rsid w:val="006D1424"/>
    <w:rsid w:val="006D3098"/>
    <w:rsid w:val="006E5F6C"/>
    <w:rsid w:val="00701599"/>
    <w:rsid w:val="00714611"/>
    <w:rsid w:val="00725B4E"/>
    <w:rsid w:val="00730244"/>
    <w:rsid w:val="007332F9"/>
    <w:rsid w:val="00735B66"/>
    <w:rsid w:val="007364F8"/>
    <w:rsid w:val="0074059B"/>
    <w:rsid w:val="00740650"/>
    <w:rsid w:val="0074076E"/>
    <w:rsid w:val="00745082"/>
    <w:rsid w:val="00745A0E"/>
    <w:rsid w:val="007607F4"/>
    <w:rsid w:val="00763D56"/>
    <w:rsid w:val="00775E5F"/>
    <w:rsid w:val="0077768C"/>
    <w:rsid w:val="00780127"/>
    <w:rsid w:val="00781423"/>
    <w:rsid w:val="00787394"/>
    <w:rsid w:val="00796DE8"/>
    <w:rsid w:val="007B1C23"/>
    <w:rsid w:val="007B3A96"/>
    <w:rsid w:val="007B56D5"/>
    <w:rsid w:val="007B6BB1"/>
    <w:rsid w:val="007B76C7"/>
    <w:rsid w:val="007C3848"/>
    <w:rsid w:val="007C5FE7"/>
    <w:rsid w:val="007C6EEB"/>
    <w:rsid w:val="007C72D7"/>
    <w:rsid w:val="007D12E8"/>
    <w:rsid w:val="007D250B"/>
    <w:rsid w:val="007D44AC"/>
    <w:rsid w:val="007D6CE5"/>
    <w:rsid w:val="007E0D32"/>
    <w:rsid w:val="007E30C7"/>
    <w:rsid w:val="007F0F19"/>
    <w:rsid w:val="007F144A"/>
    <w:rsid w:val="007F7474"/>
    <w:rsid w:val="00805A60"/>
    <w:rsid w:val="008179F9"/>
    <w:rsid w:val="00830E21"/>
    <w:rsid w:val="00842BED"/>
    <w:rsid w:val="008533DE"/>
    <w:rsid w:val="00856396"/>
    <w:rsid w:val="00862A2A"/>
    <w:rsid w:val="00864CFB"/>
    <w:rsid w:val="00865CBA"/>
    <w:rsid w:val="00866E57"/>
    <w:rsid w:val="00897DC5"/>
    <w:rsid w:val="00897E8B"/>
    <w:rsid w:val="008A2B3E"/>
    <w:rsid w:val="008A3FBE"/>
    <w:rsid w:val="008A558F"/>
    <w:rsid w:val="008A70BB"/>
    <w:rsid w:val="008A753B"/>
    <w:rsid w:val="008D42DD"/>
    <w:rsid w:val="008D744B"/>
    <w:rsid w:val="008E2E33"/>
    <w:rsid w:val="008E3DDF"/>
    <w:rsid w:val="009022B3"/>
    <w:rsid w:val="0090741D"/>
    <w:rsid w:val="009272C7"/>
    <w:rsid w:val="00940367"/>
    <w:rsid w:val="009419F5"/>
    <w:rsid w:val="00956412"/>
    <w:rsid w:val="00960157"/>
    <w:rsid w:val="009625C0"/>
    <w:rsid w:val="00963F50"/>
    <w:rsid w:val="00964572"/>
    <w:rsid w:val="00975C9E"/>
    <w:rsid w:val="00975D83"/>
    <w:rsid w:val="00984256"/>
    <w:rsid w:val="00985992"/>
    <w:rsid w:val="00992CF2"/>
    <w:rsid w:val="009937D0"/>
    <w:rsid w:val="0099451A"/>
    <w:rsid w:val="00995393"/>
    <w:rsid w:val="00996525"/>
    <w:rsid w:val="009A301D"/>
    <w:rsid w:val="009A7804"/>
    <w:rsid w:val="009B5FE2"/>
    <w:rsid w:val="009D22F9"/>
    <w:rsid w:val="009D6B89"/>
    <w:rsid w:val="009F6599"/>
    <w:rsid w:val="009F76CE"/>
    <w:rsid w:val="00A06902"/>
    <w:rsid w:val="00A10E45"/>
    <w:rsid w:val="00A11E32"/>
    <w:rsid w:val="00A14771"/>
    <w:rsid w:val="00A16082"/>
    <w:rsid w:val="00A24B82"/>
    <w:rsid w:val="00A26506"/>
    <w:rsid w:val="00A4073F"/>
    <w:rsid w:val="00A42202"/>
    <w:rsid w:val="00A4517F"/>
    <w:rsid w:val="00A46842"/>
    <w:rsid w:val="00A510E4"/>
    <w:rsid w:val="00A51E25"/>
    <w:rsid w:val="00A53EAF"/>
    <w:rsid w:val="00A5470F"/>
    <w:rsid w:val="00A61DCB"/>
    <w:rsid w:val="00A71B76"/>
    <w:rsid w:val="00A72DA4"/>
    <w:rsid w:val="00AA6774"/>
    <w:rsid w:val="00AB0CBA"/>
    <w:rsid w:val="00AB0F78"/>
    <w:rsid w:val="00AB5D13"/>
    <w:rsid w:val="00AC7941"/>
    <w:rsid w:val="00AD3415"/>
    <w:rsid w:val="00AD562C"/>
    <w:rsid w:val="00AE27CA"/>
    <w:rsid w:val="00AE5ED3"/>
    <w:rsid w:val="00AE6048"/>
    <w:rsid w:val="00AF23DF"/>
    <w:rsid w:val="00B053FC"/>
    <w:rsid w:val="00B07A16"/>
    <w:rsid w:val="00B11F47"/>
    <w:rsid w:val="00B46382"/>
    <w:rsid w:val="00B471B2"/>
    <w:rsid w:val="00B542C8"/>
    <w:rsid w:val="00B56564"/>
    <w:rsid w:val="00B703A5"/>
    <w:rsid w:val="00B72B8F"/>
    <w:rsid w:val="00B76F5B"/>
    <w:rsid w:val="00B85A68"/>
    <w:rsid w:val="00B90DF8"/>
    <w:rsid w:val="00B912D1"/>
    <w:rsid w:val="00B93375"/>
    <w:rsid w:val="00BA18AC"/>
    <w:rsid w:val="00BB173F"/>
    <w:rsid w:val="00BB4486"/>
    <w:rsid w:val="00BB7436"/>
    <w:rsid w:val="00BC51AF"/>
    <w:rsid w:val="00BC51B6"/>
    <w:rsid w:val="00BC7896"/>
    <w:rsid w:val="00BD58D6"/>
    <w:rsid w:val="00BD5BA8"/>
    <w:rsid w:val="00BE5D1A"/>
    <w:rsid w:val="00BF3AD4"/>
    <w:rsid w:val="00BF51A9"/>
    <w:rsid w:val="00BF78D2"/>
    <w:rsid w:val="00C00E05"/>
    <w:rsid w:val="00C139B4"/>
    <w:rsid w:val="00C2234E"/>
    <w:rsid w:val="00C233C9"/>
    <w:rsid w:val="00C26B97"/>
    <w:rsid w:val="00C27C9F"/>
    <w:rsid w:val="00C33B81"/>
    <w:rsid w:val="00C36D8B"/>
    <w:rsid w:val="00C373C4"/>
    <w:rsid w:val="00C56D74"/>
    <w:rsid w:val="00C60E2D"/>
    <w:rsid w:val="00C666DF"/>
    <w:rsid w:val="00C86B54"/>
    <w:rsid w:val="00C92600"/>
    <w:rsid w:val="00C93971"/>
    <w:rsid w:val="00C9414A"/>
    <w:rsid w:val="00CA09CA"/>
    <w:rsid w:val="00CB18A8"/>
    <w:rsid w:val="00CB716E"/>
    <w:rsid w:val="00CC3F8C"/>
    <w:rsid w:val="00CC709B"/>
    <w:rsid w:val="00CE15FB"/>
    <w:rsid w:val="00CE3AE9"/>
    <w:rsid w:val="00CE3C7E"/>
    <w:rsid w:val="00CE4C5C"/>
    <w:rsid w:val="00CF1EA7"/>
    <w:rsid w:val="00CF647A"/>
    <w:rsid w:val="00CF6940"/>
    <w:rsid w:val="00D03397"/>
    <w:rsid w:val="00D1347C"/>
    <w:rsid w:val="00D27B55"/>
    <w:rsid w:val="00D37EB3"/>
    <w:rsid w:val="00D46C82"/>
    <w:rsid w:val="00D566E3"/>
    <w:rsid w:val="00D63EAB"/>
    <w:rsid w:val="00D64FF8"/>
    <w:rsid w:val="00D70871"/>
    <w:rsid w:val="00D72ADD"/>
    <w:rsid w:val="00D746F8"/>
    <w:rsid w:val="00D761FB"/>
    <w:rsid w:val="00D81E22"/>
    <w:rsid w:val="00D9563B"/>
    <w:rsid w:val="00DA4A63"/>
    <w:rsid w:val="00DC6294"/>
    <w:rsid w:val="00DD0717"/>
    <w:rsid w:val="00DD1AE6"/>
    <w:rsid w:val="00DD7747"/>
    <w:rsid w:val="00DE2298"/>
    <w:rsid w:val="00DE2F76"/>
    <w:rsid w:val="00DE32D9"/>
    <w:rsid w:val="00DE3A25"/>
    <w:rsid w:val="00DE416A"/>
    <w:rsid w:val="00DF2CE9"/>
    <w:rsid w:val="00E00DDD"/>
    <w:rsid w:val="00E00E24"/>
    <w:rsid w:val="00E03435"/>
    <w:rsid w:val="00E10DC0"/>
    <w:rsid w:val="00E241E7"/>
    <w:rsid w:val="00E41051"/>
    <w:rsid w:val="00E4475D"/>
    <w:rsid w:val="00E44A1F"/>
    <w:rsid w:val="00E50FFB"/>
    <w:rsid w:val="00E51EEF"/>
    <w:rsid w:val="00E576E0"/>
    <w:rsid w:val="00E65956"/>
    <w:rsid w:val="00E75D6D"/>
    <w:rsid w:val="00E76AF2"/>
    <w:rsid w:val="00E837DE"/>
    <w:rsid w:val="00E838DB"/>
    <w:rsid w:val="00E91188"/>
    <w:rsid w:val="00E916FF"/>
    <w:rsid w:val="00E95811"/>
    <w:rsid w:val="00EA1467"/>
    <w:rsid w:val="00EA48B9"/>
    <w:rsid w:val="00EB5AE8"/>
    <w:rsid w:val="00EC0D49"/>
    <w:rsid w:val="00ED35E6"/>
    <w:rsid w:val="00ED6E62"/>
    <w:rsid w:val="00EF1187"/>
    <w:rsid w:val="00EF3CBF"/>
    <w:rsid w:val="00F04D86"/>
    <w:rsid w:val="00F172A5"/>
    <w:rsid w:val="00F20412"/>
    <w:rsid w:val="00F33561"/>
    <w:rsid w:val="00F37F02"/>
    <w:rsid w:val="00F408FA"/>
    <w:rsid w:val="00F4621D"/>
    <w:rsid w:val="00F51356"/>
    <w:rsid w:val="00F52FED"/>
    <w:rsid w:val="00F53B56"/>
    <w:rsid w:val="00F53D7F"/>
    <w:rsid w:val="00F5424B"/>
    <w:rsid w:val="00F66435"/>
    <w:rsid w:val="00FB01C5"/>
    <w:rsid w:val="00FB7701"/>
    <w:rsid w:val="00FC4C76"/>
    <w:rsid w:val="00FD18D9"/>
    <w:rsid w:val="00FD736C"/>
    <w:rsid w:val="00FE1037"/>
    <w:rsid w:val="00FF2AD8"/>
    <w:rsid w:val="00FF637D"/>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15:docId w15:val="{7734F280-72A7-4022-B9F8-4AD76061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basedOn w:val="Normal"/>
    <w:link w:val="CommentTextChar"/>
    <w:uiPriority w:val="99"/>
    <w:rsid w:val="005E1349"/>
    <w:rPr>
      <w:sz w:val="20"/>
    </w:rPr>
  </w:style>
  <w:style w:type="character" w:customStyle="1" w:styleId="CommentTextChar">
    <w:name w:val="Comment Tex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5ECF-362C-4F31-9B69-47CBD91D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8</Pages>
  <Words>2591</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16981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Mitch Bryman</cp:lastModifiedBy>
  <cp:revision>94</cp:revision>
  <cp:lastPrinted>2017-04-07T13:09:00Z</cp:lastPrinted>
  <dcterms:created xsi:type="dcterms:W3CDTF">2017-04-07T11:41:00Z</dcterms:created>
  <dcterms:modified xsi:type="dcterms:W3CDTF">2017-04-12T15:24:00Z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-1573654297</vt:i4>
  </property>
  <property fmtid="{D5CDD505-2E9C-101B-9397-08002B2CF9AE}" pid="3" name="_NewReviewCycle">
    <vt:lpwstr/>
  </property>
  <property fmtid="{D5CDD505-2E9C-101B-9397-08002B2CF9AE}" pid="4" name="_EmailSubject">
    <vt:lpwstr>Supporting Statement and Justification (CMS-10387, OMB 0938-1140)</vt:lpwstr>
  </property>
  <property fmtid="{D5CDD505-2E9C-101B-9397-08002B2CF9AE}" pid="5" name="_AuthorEmail">
    <vt:lpwstr>Penny.Gershman@cms.hhs.gov</vt:lpwstr>
  </property>
  <property fmtid="{D5CDD505-2E9C-101B-9397-08002B2CF9AE}" pid="6" name="_AuthorEmailDisplayName">
    <vt:lpwstr>Gershman, Penny P.(CMS/CM)</vt:lpwstr>
  </property>
  <property fmtid="{D5CDD505-2E9C-101B-9397-08002B2CF9AE}" pid="7" name="_PreviousAdHocReviewCycleID">
    <vt:i4>1582344661</vt:i4>
  </property>
  <property fmtid="{D5CDD505-2E9C-101B-9397-08002B2CF9AE}" pid="8" name="_ReviewingToolsShownOnce">
    <vt:lpwstr/>
  </property>
</Properties>
</file>