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F5" w:rsidRDefault="00054AF5" w:rsidP="00054AF5">
      <w:pPr>
        <w:spacing w:after="0" w:line="259" w:lineRule="auto"/>
        <w:ind w:left="235" w:firstLine="0"/>
      </w:pPr>
      <w:r>
        <w:rPr>
          <w:b/>
          <w:sz w:val="32"/>
          <w:u w:val="single" w:color="000000"/>
        </w:rPr>
        <w:t>Supporting Statement for Paperwork Reduction Act Submissions:</w:t>
      </w:r>
      <w:r>
        <w:rPr>
          <w:b/>
          <w:sz w:val="32"/>
        </w:rPr>
        <w:t xml:space="preserve"> </w:t>
      </w:r>
    </w:p>
    <w:p w:rsidR="00054AF5" w:rsidRDefault="00054AF5" w:rsidP="00054AF5">
      <w:pPr>
        <w:spacing w:after="0" w:line="259" w:lineRule="auto"/>
        <w:ind w:left="178" w:firstLine="0"/>
      </w:pPr>
      <w:r>
        <w:rPr>
          <w:b/>
          <w:sz w:val="32"/>
          <w:u w:val="single" w:color="000000"/>
        </w:rPr>
        <w:t>Establishment of Exchanges and Qualified Health Plans; Exchange</w:t>
      </w:r>
      <w:r>
        <w:rPr>
          <w:b/>
          <w:sz w:val="32"/>
        </w:rPr>
        <w:t xml:space="preserve"> </w:t>
      </w:r>
    </w:p>
    <w:p w:rsidR="00054AF5" w:rsidRDefault="00054AF5" w:rsidP="00054AF5">
      <w:pPr>
        <w:spacing w:after="0" w:line="259" w:lineRule="auto"/>
        <w:ind w:left="0" w:right="4" w:firstLine="0"/>
        <w:jc w:val="center"/>
        <w:rPr>
          <w:b/>
          <w:u w:val="single" w:color="000000"/>
        </w:rPr>
      </w:pPr>
      <w:r>
        <w:rPr>
          <w:b/>
          <w:sz w:val="32"/>
        </w:rPr>
        <w:t xml:space="preserve">Standards for Employers </w:t>
      </w:r>
    </w:p>
    <w:p w:rsidR="00FB35D4" w:rsidRPr="00054AF5" w:rsidRDefault="00D146CF">
      <w:pPr>
        <w:spacing w:after="867" w:line="259" w:lineRule="auto"/>
        <w:ind w:left="0" w:right="4" w:firstLine="0"/>
        <w:jc w:val="center"/>
      </w:pPr>
      <w:bookmarkStart w:id="0" w:name="_GoBack"/>
      <w:bookmarkEnd w:id="0"/>
      <w:r w:rsidRPr="00054AF5">
        <w:rPr>
          <w:b/>
        </w:rPr>
        <w:t>(CMS-10592/OMB Control No. 0938-NEW)</w:t>
      </w:r>
    </w:p>
    <w:p w:rsidR="00FB35D4" w:rsidRDefault="00D146CF">
      <w:pPr>
        <w:pStyle w:val="Heading1"/>
        <w:tabs>
          <w:tab w:val="center" w:pos="1066"/>
        </w:tabs>
        <w:ind w:left="-15" w:right="0" w:firstLine="0"/>
      </w:pPr>
      <w:r>
        <w:t>A.</w:t>
      </w:r>
      <w:r>
        <w:tab/>
        <w:t>Background</w:t>
      </w:r>
    </w:p>
    <w:p w:rsidR="00FB35D4" w:rsidRDefault="00D146CF">
      <w:pPr>
        <w:ind w:left="432" w:firstLine="288"/>
      </w:pPr>
      <w:r>
        <w:t xml:space="preserve">The Patient Protection and Affordable Care Act, Public Law 111-148, enacted on March 23, 2010, and the Health Care and Education Reconciliation Act, Public Law 111-152, enacted on March 30, 2010 (collectively, “Affordable Care Act”), expand access to health insurance for individuals and employees of small businesses through the establishment of new Affordable Insurance Marketplaces (Marketplaces), including the Small Business Health Options Program (SHOP).  The Marketplaces, which became operational by January 1, 2014, enhance competition in the health insurance market, expand access to affordable health insurance for millions of Americans, and provide consumers with a place to easily compare and shop for health insurance coverage.   </w:t>
      </w:r>
    </w:p>
    <w:p w:rsidR="00FB35D4" w:rsidRDefault="00D146CF">
      <w:pPr>
        <w:ind w:left="432" w:firstLine="288"/>
      </w:pPr>
      <w:r>
        <w:t xml:space="preserve">The reporting requirements and data collection in the Exchange rule address minimum requirements that health insurance issuers must meet with respect to participation and to offer qualified health plans (QHPs) in a State based or Federally-facilitated Marketplace; and compliance with other provisions of the Affordable Care Act.  </w:t>
      </w:r>
    </w:p>
    <w:p w:rsidR="00FB35D4" w:rsidRDefault="00D146CF">
      <w:pPr>
        <w:spacing w:after="0"/>
        <w:ind w:left="432" w:firstLine="288"/>
      </w:pPr>
      <w:r>
        <w:t xml:space="preserve">The submission seeks OMB approval of the regulatory PRA requirements associated with the minimum requirements that health insurance issuers must meet with respect to participation in the Marketplaces, specifically the following sections of 45 CFR Part 156: </w:t>
      </w:r>
    </w:p>
    <w:p w:rsidR="00FB35D4" w:rsidRDefault="00D146CF">
      <w:pPr>
        <w:numPr>
          <w:ilvl w:val="0"/>
          <w:numId w:val="1"/>
        </w:numPr>
        <w:spacing w:after="10"/>
        <w:ind w:hanging="751"/>
      </w:pPr>
      <w:r>
        <w:t>QHP issuer notice of effective date (§156.260(b))</w:t>
      </w:r>
    </w:p>
    <w:p w:rsidR="00FB35D4" w:rsidRDefault="00D146CF">
      <w:pPr>
        <w:numPr>
          <w:ilvl w:val="0"/>
          <w:numId w:val="1"/>
        </w:numPr>
        <w:spacing w:after="10"/>
        <w:ind w:hanging="751"/>
      </w:pPr>
      <w:r>
        <w:t>QHP issuer reconciliation of enrollment files with Exchange (§156.265(f))</w:t>
      </w:r>
    </w:p>
    <w:p w:rsidR="00FB35D4" w:rsidRDefault="00D146CF">
      <w:pPr>
        <w:numPr>
          <w:ilvl w:val="0"/>
          <w:numId w:val="1"/>
        </w:numPr>
        <w:spacing w:after="10"/>
        <w:ind w:hanging="751"/>
      </w:pPr>
      <w:r>
        <w:t>QHP issuer termination notice to the enrollee and Exchange (§156.270(b))</w:t>
      </w:r>
    </w:p>
    <w:p w:rsidR="00FB35D4" w:rsidRDefault="00D146CF">
      <w:pPr>
        <w:numPr>
          <w:ilvl w:val="0"/>
          <w:numId w:val="1"/>
        </w:numPr>
        <w:spacing w:after="10"/>
        <w:ind w:hanging="751"/>
      </w:pPr>
      <w:r>
        <w:t>QHP issuer notice of enrollee nonpayment of premium (§156.270(d))</w:t>
      </w:r>
    </w:p>
    <w:p w:rsidR="00FB35D4" w:rsidRDefault="00D146CF">
      <w:pPr>
        <w:numPr>
          <w:ilvl w:val="0"/>
          <w:numId w:val="1"/>
        </w:numPr>
        <w:spacing w:after="0"/>
        <w:ind w:hanging="751"/>
      </w:pPr>
      <w:r>
        <w:t>QHP issuer notice to providers of the possibility for denied claims (§156.270(d)(3))</w:t>
      </w:r>
    </w:p>
    <w:p w:rsidR="00FB35D4" w:rsidRDefault="00D146CF">
      <w:pPr>
        <w:numPr>
          <w:ilvl w:val="0"/>
          <w:numId w:val="1"/>
        </w:numPr>
        <w:spacing w:after="10"/>
        <w:ind w:hanging="751"/>
      </w:pPr>
      <w:r>
        <w:t>QHP issuer notice of payment delinquency to an enrollee (§156.270(e))</w:t>
      </w:r>
    </w:p>
    <w:p w:rsidR="00FB35D4" w:rsidRDefault="00D146CF">
      <w:pPr>
        <w:numPr>
          <w:ilvl w:val="0"/>
          <w:numId w:val="1"/>
        </w:numPr>
        <w:spacing w:after="10"/>
        <w:ind w:hanging="751"/>
      </w:pPr>
      <w:r>
        <w:t>QHP issuers maintenance of records of terminations of coverage (§156.270(h))</w:t>
      </w:r>
    </w:p>
    <w:p w:rsidR="00FB35D4" w:rsidRDefault="00D146CF">
      <w:pPr>
        <w:numPr>
          <w:ilvl w:val="0"/>
          <w:numId w:val="1"/>
        </w:numPr>
        <w:spacing w:after="543"/>
        <w:ind w:hanging="751"/>
      </w:pPr>
      <w:r>
        <w:t>QHP issuer notification of plan non-renewal (§156.290)</w:t>
      </w:r>
    </w:p>
    <w:p w:rsidR="00FB35D4" w:rsidRDefault="00D146CF">
      <w:pPr>
        <w:pStyle w:val="Heading1"/>
        <w:tabs>
          <w:tab w:val="center" w:pos="1066"/>
        </w:tabs>
        <w:ind w:left="-15" w:right="0" w:firstLine="0"/>
      </w:pPr>
      <w:r>
        <w:lastRenderedPageBreak/>
        <w:t>B.</w:t>
      </w:r>
      <w:r>
        <w:tab/>
        <w:t>Justification</w:t>
      </w:r>
    </w:p>
    <w:p w:rsidR="00FB35D4" w:rsidRDefault="00D146CF">
      <w:pPr>
        <w:pStyle w:val="Heading2"/>
        <w:tabs>
          <w:tab w:val="center" w:pos="1481"/>
        </w:tabs>
        <w:ind w:left="-15" w:firstLine="0"/>
      </w:pPr>
      <w:r>
        <w:rPr>
          <w:u w:val="none"/>
        </w:rPr>
        <w:t>1.</w:t>
      </w:r>
      <w:r>
        <w:rPr>
          <w:u w:val="none"/>
        </w:rPr>
        <w:tab/>
      </w:r>
      <w:r>
        <w:t>Need and Legal Basis</w:t>
      </w:r>
    </w:p>
    <w:p w:rsidR="00FB35D4" w:rsidRDefault="00D146CF">
      <w:pPr>
        <w:spacing w:after="211" w:line="238" w:lineRule="auto"/>
        <w:ind w:left="139" w:right="238" w:firstLine="26"/>
        <w:jc w:val="center"/>
      </w:pPr>
      <w:r>
        <w:t>Section 1321(a) requires HHS to issue regulations setting standards for meeting the requirements under Title I of the Affordable Care Act including the offering of qualified health plans through the Marketplaces. On March 27, 2012, HHS published the rule CMS-</w:t>
      </w:r>
    </w:p>
    <w:p w:rsidR="00FB35D4" w:rsidRDefault="00D146CF">
      <w:pPr>
        <w:spacing w:after="541"/>
      </w:pPr>
      <w:r>
        <w:t xml:space="preserve">9989-F: </w:t>
      </w:r>
      <w:r>
        <w:rPr>
          <w:i/>
        </w:rPr>
        <w:t>Establishment of Exchanges and Qualified Health Plans; Exchange Standards for Employers</w:t>
      </w:r>
      <w:r>
        <w:t xml:space="preserve">. The Exchange rule contains provisions that mandate reporting and data collections necessary to ensure that health insurance issuers are meeting the requirements of the Affordable Care Act. These information collection requirements are set forth in 45 CFR Part 156. </w:t>
      </w:r>
    </w:p>
    <w:p w:rsidR="00FB35D4" w:rsidRDefault="00D146CF">
      <w:pPr>
        <w:pStyle w:val="Heading2"/>
        <w:tabs>
          <w:tab w:val="center" w:pos="1308"/>
        </w:tabs>
        <w:ind w:left="-15" w:firstLine="0"/>
      </w:pPr>
      <w:r>
        <w:rPr>
          <w:u w:val="none"/>
        </w:rPr>
        <w:t>2.</w:t>
      </w:r>
      <w:r>
        <w:rPr>
          <w:u w:val="none"/>
        </w:rPr>
        <w:tab/>
      </w:r>
      <w:r>
        <w:t>Information Users</w:t>
      </w:r>
    </w:p>
    <w:p w:rsidR="00FB35D4" w:rsidRDefault="00D146CF">
      <w:r>
        <w:t xml:space="preserve"> </w:t>
      </w:r>
      <w:r>
        <w:tab/>
        <w:t xml:space="preserve">The data collection and reporting requirements will assist HHS in creating a seamless and coordinated system of eligibility and enrollment. The data collected by health insurance issuers will help to inform HHS, Marketplaces, and health insurance issuers as to the participation of individuals, employers, and employees in the individual Exchange.    </w:t>
      </w:r>
    </w:p>
    <w:p w:rsidR="00FB35D4" w:rsidRDefault="00D146CF">
      <w:pPr>
        <w:pStyle w:val="Heading2"/>
        <w:tabs>
          <w:tab w:val="center" w:pos="1956"/>
        </w:tabs>
        <w:ind w:left="-15" w:firstLine="0"/>
      </w:pPr>
      <w:r>
        <w:rPr>
          <w:u w:val="none"/>
        </w:rPr>
        <w:t>3.</w:t>
      </w:r>
      <w:r>
        <w:rPr>
          <w:u w:val="none"/>
        </w:rPr>
        <w:tab/>
      </w:r>
      <w:r>
        <w:t>Use of Information Technology</w:t>
      </w:r>
    </w:p>
    <w:p w:rsidR="00FB35D4" w:rsidRDefault="00D146CF">
      <w:pPr>
        <w:ind w:left="360" w:firstLine="360"/>
      </w:pPr>
      <w:r>
        <w:t xml:space="preserve">HHS anticipates that a majority of the systems, notices, and information collection required by this rule will be automated. Marketplaces and health insurance issuers are expected to develop automated notice templates for many of the required notices. The entities issuing notices or collecting information will develop the initial template after which the templates will be automatically populated with the appropriate information for the receiving party. A majority of the information that is required by the collection of information for this rule will be submitted electronically. HHS staff will analyze or review the data in the same manner by which it was submitted and communicate with States and health insurance issuers using email, telephone, or other electronic means.   </w:t>
      </w:r>
    </w:p>
    <w:p w:rsidR="00FB35D4" w:rsidRDefault="00D146CF">
      <w:pPr>
        <w:tabs>
          <w:tab w:val="center" w:pos="1490"/>
        </w:tabs>
        <w:spacing w:after="252" w:line="259" w:lineRule="auto"/>
        <w:ind w:left="-15" w:firstLine="0"/>
      </w:pPr>
      <w:r>
        <w:t>4.</w:t>
      </w:r>
      <w:r>
        <w:tab/>
      </w:r>
      <w:r>
        <w:rPr>
          <w:u w:val="single" w:color="000000"/>
        </w:rPr>
        <w:t>Duplication of Efforts</w:t>
      </w:r>
    </w:p>
    <w:p w:rsidR="00FB35D4" w:rsidRDefault="00D146CF">
      <w:pPr>
        <w:ind w:left="730"/>
      </w:pPr>
      <w:r>
        <w:t xml:space="preserve">This information collection does not duplicate any other Federal effort. </w:t>
      </w:r>
    </w:p>
    <w:p w:rsidR="00FB35D4" w:rsidRDefault="00D146CF">
      <w:pPr>
        <w:pStyle w:val="Heading2"/>
        <w:tabs>
          <w:tab w:val="center" w:pos="1268"/>
        </w:tabs>
        <w:ind w:left="-15" w:firstLine="0"/>
      </w:pPr>
      <w:r>
        <w:rPr>
          <w:u w:val="none"/>
        </w:rPr>
        <w:t>5.</w:t>
      </w:r>
      <w:r>
        <w:rPr>
          <w:u w:val="none"/>
        </w:rPr>
        <w:tab/>
      </w:r>
      <w:r>
        <w:t>Small Businesses</w:t>
      </w:r>
    </w:p>
    <w:p w:rsidR="00FB35D4" w:rsidRDefault="00D146CF">
      <w:r>
        <w:t xml:space="preserve"> We estimate minimal burden on small business as they are not required to participate in the SHOP.  </w:t>
      </w:r>
    </w:p>
    <w:p w:rsidR="00FB35D4" w:rsidRDefault="00D146CF">
      <w:pPr>
        <w:pStyle w:val="Heading2"/>
        <w:tabs>
          <w:tab w:val="center" w:pos="1638"/>
        </w:tabs>
        <w:ind w:left="-15" w:firstLine="0"/>
      </w:pPr>
      <w:r>
        <w:rPr>
          <w:u w:val="none"/>
        </w:rPr>
        <w:t>6.</w:t>
      </w:r>
      <w:r>
        <w:rPr>
          <w:u w:val="none"/>
        </w:rPr>
        <w:tab/>
      </w:r>
      <w:r>
        <w:t>Less Frequent Collection</w:t>
      </w:r>
    </w:p>
    <w:p w:rsidR="00FB35D4" w:rsidRDefault="00D146CF">
      <w:r>
        <w:t xml:space="preserve"> </w:t>
      </w:r>
      <w:r>
        <w:tab/>
        <w:t xml:space="preserve">Due to the required flow of information between multiple parties and flow of funds for payments for health insurance coverage within the Marketplace, it is necessary to collect information according to the indicated frequencies.  If the information is collected less frequently, the result would be less accurate, untimely or unavailable eligibility, enrollment or payment information for Marketplaces, insurers, employers and individuals.  This would lead to delayed payments to insurers; late charges to or payments by employers and enrollees; inaccurate or inappropriate payments of advance premium tax credits and cost sharing reductions; the release of misleading information regarding health care coverage to potential enrollees; and an overall stress on the organizational structure of the Marketplaces. </w:t>
      </w:r>
    </w:p>
    <w:p w:rsidR="00FB35D4" w:rsidRDefault="00D146CF">
      <w:pPr>
        <w:pStyle w:val="Heading2"/>
        <w:tabs>
          <w:tab w:val="center" w:pos="1520"/>
        </w:tabs>
        <w:ind w:left="-15" w:firstLine="0"/>
      </w:pPr>
      <w:r>
        <w:rPr>
          <w:u w:val="none"/>
        </w:rPr>
        <w:t>7.</w:t>
      </w:r>
      <w:r>
        <w:rPr>
          <w:u w:val="none"/>
        </w:rPr>
        <w:tab/>
      </w:r>
      <w:r>
        <w:t>Special Circumstances</w:t>
      </w:r>
    </w:p>
    <w:p w:rsidR="00FB35D4" w:rsidRDefault="00D146CF">
      <w:r>
        <w:t xml:space="preserve"> </w:t>
      </w:r>
      <w:r>
        <w:tab/>
        <w:t xml:space="preserve">In order for the flow of payments to be made in a timely manner (often monthly), it is necessary to collect information such as enrollment data on a monthly basis. As such, the final Exchange rule states in §155.400(d) that the Marketplace must reconcile enrollment information with QHP issuers and HHS no less than on a monthly basis.  </w:t>
      </w:r>
    </w:p>
    <w:p w:rsidR="00FB35D4" w:rsidRDefault="00D146CF">
      <w:pPr>
        <w:pStyle w:val="Heading2"/>
        <w:tabs>
          <w:tab w:val="center" w:pos="2273"/>
        </w:tabs>
        <w:spacing w:after="177"/>
        <w:ind w:left="-15" w:firstLine="0"/>
      </w:pPr>
      <w:r>
        <w:rPr>
          <w:u w:val="none"/>
        </w:rPr>
        <w:t>8.</w:t>
      </w:r>
      <w:r>
        <w:rPr>
          <w:u w:val="none"/>
        </w:rPr>
        <w:tab/>
      </w:r>
      <w:r>
        <w:t>Federal Register/Outside Consultation</w:t>
      </w:r>
    </w:p>
    <w:p w:rsidR="00FB35D4" w:rsidRDefault="00D146CF">
      <w:pPr>
        <w:spacing w:after="552"/>
        <w:ind w:left="432" w:firstLine="288"/>
      </w:pPr>
      <w:r>
        <w:t xml:space="preserve">As required by the Paperwork Reduction Act of 1995 (44 U.S.C.2506 (c)(2)(A)), CMS published a notice in the Federal Register </w:t>
      </w:r>
      <w:r w:rsidRPr="00D146CF">
        <w:t>(80 FR 75463,</w:t>
      </w:r>
      <w:r>
        <w:t xml:space="preserve">; </w:t>
      </w:r>
      <w:r w:rsidRPr="00D146CF">
        <w:t>December 2, 2015)</w:t>
      </w:r>
      <w:r>
        <w:t xml:space="preserve">  requesting a 60-day public comment process on the proposed modification of the information collection requirements in this information collection.  No comments were received.  Content remained unchanged in the 30-day FR Notice (81 FR 14851; March 8, 2016) submission and no comments were received.  </w:t>
      </w:r>
    </w:p>
    <w:p w:rsidR="00D146CF" w:rsidRDefault="00D146CF">
      <w:pPr>
        <w:spacing w:after="552"/>
        <w:ind w:left="432" w:firstLine="288"/>
      </w:pPr>
      <w:r>
        <w:t>No outside consultation was sought.</w:t>
      </w:r>
    </w:p>
    <w:p w:rsidR="00FB35D4" w:rsidRDefault="00D146CF">
      <w:pPr>
        <w:tabs>
          <w:tab w:val="center" w:pos="1939"/>
        </w:tabs>
        <w:spacing w:after="252" w:line="259" w:lineRule="auto"/>
        <w:ind w:left="-15" w:firstLine="0"/>
      </w:pPr>
      <w:r>
        <w:t>9.</w:t>
      </w:r>
      <w:r>
        <w:tab/>
      </w:r>
      <w:r>
        <w:rPr>
          <w:u w:val="single" w:color="000000"/>
        </w:rPr>
        <w:t>Payments/Gifts to Respondents</w:t>
      </w:r>
    </w:p>
    <w:p w:rsidR="00FB35D4" w:rsidRDefault="00D146CF">
      <w:r>
        <w:t>No payments and/or gifts will be provided to respondents.</w:t>
      </w:r>
    </w:p>
    <w:p w:rsidR="00FB35D4" w:rsidRDefault="00D146CF">
      <w:pPr>
        <w:pStyle w:val="Heading2"/>
        <w:ind w:left="-5"/>
      </w:pPr>
      <w:r>
        <w:rPr>
          <w:u w:val="none"/>
        </w:rPr>
        <w:t xml:space="preserve">10. </w:t>
      </w:r>
      <w:r>
        <w:t>Confidentiality</w:t>
      </w:r>
    </w:p>
    <w:p w:rsidR="00FB35D4" w:rsidRDefault="00D146CF">
      <w:r>
        <w:t>To the extent of the applicable law and HHS policies, we will maintain respondent privacy with respect to the information collected.</w:t>
      </w:r>
    </w:p>
    <w:p w:rsidR="00FB35D4" w:rsidRDefault="00D146CF">
      <w:pPr>
        <w:spacing w:after="252" w:line="259" w:lineRule="auto"/>
        <w:ind w:left="-5"/>
      </w:pPr>
      <w:r>
        <w:t xml:space="preserve">11. </w:t>
      </w:r>
      <w:r>
        <w:rPr>
          <w:u w:val="single" w:color="000000"/>
        </w:rPr>
        <w:t>Sensitive Questions</w:t>
      </w:r>
    </w:p>
    <w:p w:rsidR="00FB35D4" w:rsidRDefault="00D146CF">
      <w:pPr>
        <w:spacing w:after="538"/>
      </w:pPr>
      <w:r>
        <w:t>There are no sensitive questions included in this information collection effort.</w:t>
      </w:r>
    </w:p>
    <w:p w:rsidR="00FB35D4" w:rsidRDefault="00D146CF">
      <w:pPr>
        <w:pStyle w:val="Heading2"/>
        <w:spacing w:after="91"/>
        <w:ind w:left="-5"/>
      </w:pPr>
      <w:r>
        <w:rPr>
          <w:u w:val="none"/>
        </w:rPr>
        <w:t xml:space="preserve">12. </w:t>
      </w:r>
      <w:r>
        <w:t>Burden Estimates (Hours &amp; Wages)</w:t>
      </w:r>
    </w:p>
    <w:p w:rsidR="00FB35D4" w:rsidRDefault="00D146CF">
      <w:pPr>
        <w:ind w:left="-15" w:firstLine="432"/>
      </w:pPr>
      <w:r>
        <w:t xml:space="preserve">For purposes of presenting an estimate of paperwork burden, we reflect the participation of fifty States and the District of Columbia in operating a Marketplace. However, we recognize that not all States have elected to operate their own Marketplace and that territories may participate in operating a Marketplace. We also note that these estimates generally reflect burden for the first year, and that the associated burden in subsequent years will be significantly lower because many of the standards in the regulation can be fulfilled through automated processes.  Therefore, these estimates should be considered an upper bound of burden estimates for non-Federal entities.  </w:t>
      </w:r>
    </w:p>
    <w:p w:rsidR="00FB35D4" w:rsidRDefault="00D146CF">
      <w:pPr>
        <w:spacing w:after="546"/>
        <w:ind w:left="-15" w:firstLine="720"/>
      </w:pPr>
      <w:r>
        <w:t xml:space="preserve">Salaries for the positions cited in the labor category of the burden charts, except for the health policy analyst, the senior manager, and the private actuary, were mainly taken from the Bureau of Labor Statistics (BLS) Web site (http://www.bls.gov). The salaries for the health policy analyst and the senior manager were taken from the Office of Personnel Web site. The salary for the private actuary is derived from the PRA package for the Rate Review Program, CMS-10379. Fringe benefit estimates were taken from the BLS March June 2015 Employer Costs for Employee Compensation report.   </w:t>
      </w:r>
    </w:p>
    <w:p w:rsidR="00FB35D4" w:rsidRDefault="00D146CF">
      <w:pPr>
        <w:pStyle w:val="Heading1"/>
        <w:ind w:left="0" w:right="0" w:firstLine="0"/>
      </w:pPr>
      <w:r>
        <w:rPr>
          <w:u w:val="none"/>
        </w:rPr>
        <w:t xml:space="preserve">Qualified Health Plan Minimum Certification Standards (§156.200 through §156.295) </w:t>
      </w:r>
    </w:p>
    <w:p w:rsidR="00FB35D4" w:rsidRDefault="00D146CF">
      <w:pPr>
        <w:ind w:left="-15" w:firstLine="722"/>
      </w:pPr>
      <w:r>
        <w:t xml:space="preserve">In part 156, subpart C, we describe data collection and reporting requirements for health insurance issuers related to the certification of qualified health plans.  Section 156.200 includes some of the basic requirements that a health insurance issuer must meet to be certified as a QHP issuer. Section 156.260(b) requires that a QHP issuer provide notice of an effective date of coverage to an individual.  The burden estimate associated with this requirement includes the time and effort needed to develop the notice and distribute it through an automated process when appropriate, either electronically or by mail depending upon the enrollee’s preference. We estimate that 1,200 QHP issuers will participate in the Exchanges and would be subject to this requirement. As such, we estimate that it will take approximately 40 hours annually for the time and effort to develop and transmit the notice for a total of 48,000 hours across all QHP issuers.  </w:t>
      </w:r>
    </w:p>
    <w:tbl>
      <w:tblPr>
        <w:tblStyle w:val="TableGrid"/>
        <w:tblW w:w="10171" w:type="dxa"/>
        <w:tblInd w:w="-540" w:type="dxa"/>
        <w:tblCellMar>
          <w:top w:w="0" w:type="dxa"/>
          <w:left w:w="0" w:type="dxa"/>
          <w:bottom w:w="0" w:type="dxa"/>
          <w:right w:w="48" w:type="dxa"/>
        </w:tblCellMar>
        <w:tblLook w:val="04A0" w:firstRow="1" w:lastRow="0" w:firstColumn="1" w:lastColumn="0" w:noHBand="0" w:noVBand="1"/>
      </w:tblPr>
      <w:tblGrid>
        <w:gridCol w:w="2071"/>
        <w:gridCol w:w="1406"/>
        <w:gridCol w:w="1769"/>
        <w:gridCol w:w="1361"/>
        <w:gridCol w:w="228"/>
        <w:gridCol w:w="1589"/>
        <w:gridCol w:w="1747"/>
      </w:tblGrid>
      <w:tr w:rsidR="00FB35D4">
        <w:trPr>
          <w:trHeight w:val="1390"/>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Labor Category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6" w:firstLine="0"/>
            </w:pPr>
            <w:r>
              <w:rPr>
                <w:b/>
              </w:rPr>
              <w:t xml:space="preserve">Number of Employees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Hourly Labor Costs (Hourly rate + </w:t>
            </w:r>
            <w:r w:rsidR="00054AF5">
              <w:rPr>
                <w:b/>
              </w:rPr>
              <w:t>100%</w:t>
            </w:r>
            <w:r>
              <w:rPr>
                <w:b/>
              </w:rPr>
              <w:t xml:space="preserve"> Fringe benefits) </w:t>
            </w:r>
          </w:p>
        </w:tc>
        <w:tc>
          <w:tcPr>
            <w:tcW w:w="1361" w:type="dxa"/>
            <w:tcBorders>
              <w:top w:val="single" w:sz="4" w:space="0" w:color="000000"/>
              <w:left w:val="single" w:sz="4" w:space="0" w:color="000000"/>
              <w:bottom w:val="single" w:sz="4" w:space="0" w:color="000000"/>
              <w:right w:val="nil"/>
            </w:tcBorders>
          </w:tcPr>
          <w:p w:rsidR="00FB35D4" w:rsidRDefault="00D146CF">
            <w:pPr>
              <w:spacing w:after="0" w:line="259" w:lineRule="auto"/>
              <w:ind w:left="108" w:firstLine="0"/>
            </w:pPr>
            <w:r>
              <w:rPr>
                <w:b/>
              </w:rPr>
              <w:t xml:space="preserve">Burden Hours </w:t>
            </w:r>
          </w:p>
        </w:tc>
        <w:tc>
          <w:tcPr>
            <w:tcW w:w="228" w:type="dxa"/>
            <w:tcBorders>
              <w:top w:val="single" w:sz="4" w:space="0" w:color="000000"/>
              <w:left w:val="nil"/>
              <w:bottom w:val="single" w:sz="4" w:space="0" w:color="000000"/>
              <w:right w:val="single" w:sz="4" w:space="0" w:color="000000"/>
            </w:tcBorders>
          </w:tcPr>
          <w:p w:rsidR="00FB35D4" w:rsidRDefault="00FB35D4">
            <w:pPr>
              <w:spacing w:after="160" w:line="259" w:lineRule="auto"/>
              <w:ind w:left="0" w:firstLine="0"/>
            </w:pP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w:t>
            </w:r>
          </w:p>
          <w:p w:rsidR="00FB35D4" w:rsidRDefault="00D146CF">
            <w:pPr>
              <w:spacing w:after="0" w:line="259" w:lineRule="auto"/>
              <w:ind w:left="108" w:firstLine="0"/>
            </w:pPr>
            <w:r>
              <w:rPr>
                <w:b/>
              </w:rPr>
              <w:t xml:space="preserve">Burden </w:t>
            </w:r>
          </w:p>
          <w:p w:rsidR="00FB35D4" w:rsidRDefault="00D146CF">
            <w:pPr>
              <w:spacing w:after="0" w:line="259" w:lineRule="auto"/>
              <w:ind w:left="108" w:firstLine="0"/>
            </w:pPr>
            <w:r>
              <w:rPr>
                <w:b/>
              </w:rPr>
              <w:t xml:space="preserve">Costs </w:t>
            </w:r>
          </w:p>
        </w:tc>
        <w:tc>
          <w:tcPr>
            <w:tcW w:w="1747"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Burden Costs (per year) </w:t>
            </w:r>
          </w:p>
        </w:tc>
      </w:tr>
      <w:tr w:rsidR="00FB35D4">
        <w:trPr>
          <w:trHeight w:val="564"/>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Health Policy Analyst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82.67</w:t>
            </w:r>
            <w:r>
              <w:t xml:space="preserve"> </w:t>
            </w:r>
          </w:p>
        </w:tc>
        <w:tc>
          <w:tcPr>
            <w:tcW w:w="1361"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22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firstLine="0"/>
              <w:jc w:val="both"/>
            </w:pPr>
            <w:r>
              <w:t xml:space="preserve">4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rsidRPr="00AD6F5D">
              <w:t>330.68</w:t>
            </w:r>
          </w:p>
        </w:tc>
        <w:tc>
          <w:tcPr>
            <w:tcW w:w="1747"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8"/>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Senior Manager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rsidP="00AD6F5D">
            <w:pPr>
              <w:spacing w:after="0" w:line="259" w:lineRule="auto"/>
              <w:ind w:left="0" w:right="60" w:firstLine="0"/>
              <w:jc w:val="right"/>
            </w:pPr>
            <w:r>
              <w:t>$</w:t>
            </w:r>
            <w:r w:rsidR="00AD6F5D">
              <w:t>143.</w:t>
            </w:r>
            <w:r>
              <w:t>7</w:t>
            </w:r>
            <w:r w:rsidR="00AD6F5D">
              <w:t>1</w:t>
            </w:r>
            <w:r>
              <w:t xml:space="preserve"> </w:t>
            </w:r>
          </w:p>
        </w:tc>
        <w:tc>
          <w:tcPr>
            <w:tcW w:w="1589" w:type="dxa"/>
            <w:gridSpan w:val="2"/>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rsidP="00AD6F5D">
            <w:pPr>
              <w:spacing w:after="0" w:line="259" w:lineRule="auto"/>
              <w:ind w:left="0" w:right="60" w:firstLine="0"/>
              <w:jc w:val="right"/>
            </w:pPr>
            <w:r>
              <w:t>$</w:t>
            </w:r>
            <w:r w:rsidR="00AD6F5D">
              <w:t>143.71</w:t>
            </w:r>
            <w:r>
              <w:t xml:space="preserve"> </w:t>
            </w:r>
          </w:p>
        </w:tc>
        <w:tc>
          <w:tcPr>
            <w:tcW w:w="1747"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2"/>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pPr>
            <w:r>
              <w:t xml:space="preserve">Operations Analyst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rsidP="00AD6F5D">
            <w:pPr>
              <w:spacing w:after="0" w:line="259" w:lineRule="auto"/>
              <w:ind w:left="0" w:right="60" w:firstLine="0"/>
              <w:jc w:val="right"/>
            </w:pPr>
            <w:r>
              <w:t>$</w:t>
            </w:r>
            <w:r w:rsidR="00AD6F5D">
              <w:t>94</w:t>
            </w:r>
            <w:r>
              <w:t>.</w:t>
            </w:r>
            <w:r w:rsidR="00AD6F5D">
              <w:t>08</w:t>
            </w:r>
            <w:r>
              <w:t xml:space="preserve"> </w:t>
            </w:r>
          </w:p>
        </w:tc>
        <w:tc>
          <w:tcPr>
            <w:tcW w:w="1589" w:type="dxa"/>
            <w:gridSpan w:val="2"/>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3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rsidRPr="00AD6F5D">
              <w:t>282.24</w:t>
            </w:r>
          </w:p>
        </w:tc>
        <w:tc>
          <w:tcPr>
            <w:tcW w:w="1747"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2"/>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Computer Programmer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rsidP="00AD6F5D">
            <w:pPr>
              <w:spacing w:after="0" w:line="259" w:lineRule="auto"/>
              <w:ind w:left="0" w:right="60" w:firstLine="0"/>
              <w:jc w:val="right"/>
            </w:pPr>
            <w:r>
              <w:t>$</w:t>
            </w:r>
            <w:r w:rsidR="00AD6F5D">
              <w:t>73.13</w:t>
            </w:r>
            <w:r>
              <w:t xml:space="preserve"> </w:t>
            </w:r>
          </w:p>
        </w:tc>
        <w:tc>
          <w:tcPr>
            <w:tcW w:w="1589" w:type="dxa"/>
            <w:gridSpan w:val="2"/>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32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rsidRPr="00AD6F5D">
              <w:t>2</w:t>
            </w:r>
            <w:r w:rsidR="00AD6F5D">
              <w:t>,</w:t>
            </w:r>
            <w:r w:rsidR="00AD6F5D" w:rsidRPr="00AD6F5D">
              <w:t>340.16</w:t>
            </w:r>
          </w:p>
        </w:tc>
        <w:tc>
          <w:tcPr>
            <w:tcW w:w="1747"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6"/>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rPr>
                <w:b/>
              </w:rPr>
              <w:t xml:space="preserve">Total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1769"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1589" w:type="dxa"/>
            <w:gridSpan w:val="2"/>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 xml:space="preserve">40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D1032D" w:rsidRPr="00D1032D">
              <w:rPr>
                <w:b/>
              </w:rPr>
              <w:t>3096.79</w:t>
            </w:r>
          </w:p>
        </w:tc>
        <w:tc>
          <w:tcPr>
            <w:tcW w:w="1747"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654601" w:rsidRPr="00654601">
              <w:rPr>
                <w:b/>
              </w:rPr>
              <w:t>3</w:t>
            </w:r>
            <w:r w:rsidR="00654601">
              <w:rPr>
                <w:b/>
              </w:rPr>
              <w:t>,</w:t>
            </w:r>
            <w:r w:rsidR="00654601" w:rsidRPr="00654601">
              <w:rPr>
                <w:b/>
              </w:rPr>
              <w:t>716</w:t>
            </w:r>
            <w:r w:rsidR="00654601">
              <w:rPr>
                <w:b/>
              </w:rPr>
              <w:t>,</w:t>
            </w:r>
            <w:r w:rsidR="00654601" w:rsidRPr="00654601">
              <w:rPr>
                <w:b/>
              </w:rPr>
              <w:t>148</w:t>
            </w:r>
          </w:p>
        </w:tc>
      </w:tr>
    </w:tbl>
    <w:p w:rsidR="00FB35D4" w:rsidRDefault="00D146CF">
      <w:pPr>
        <w:spacing w:after="0" w:line="242" w:lineRule="auto"/>
        <w:ind w:left="0" w:firstLine="720"/>
      </w:pPr>
      <w:r>
        <w:t xml:space="preserve">Section 155.400(d), states that the QHP issuer must reconcile enrollment files with the Exchange. </w:t>
      </w:r>
      <w:r>
        <w:rPr>
          <w:sz w:val="23"/>
        </w:rPr>
        <w:t xml:space="preserve">At least monthly, issuers and the FFMs will exchange enrollment and financial data files to verify the integrity of the enrollment transaction processing and resulting records. The FFMs employ an automated monthly reconciliation process comparing certain data fields with issuer data.  </w:t>
      </w:r>
    </w:p>
    <w:p w:rsidR="00FB35D4" w:rsidRDefault="00D146CF">
      <w:pPr>
        <w:spacing w:after="10"/>
        <w:ind w:left="-5"/>
      </w:pPr>
      <w:r>
        <w:rPr>
          <w:sz w:val="23"/>
        </w:rPr>
        <w:t xml:space="preserve">Reconciliation ensures that QHP issuers and the Marketplaces have equivalent enrollment information. Accurate enrollment information allows CMS to make correct payments for APTCs and CSRs, and to assess FFM user fees. It also prevents multiple enrollments by one individual and ensures that the data used for analytics and metrics are accurate. </w:t>
      </w:r>
      <w:r>
        <w:t xml:space="preserve">We expect that QHP issuers will maintain the enrollment information in an electronic data system. We estimate that 1,200 QHP issuers will participate in the Marketplaces that will be subject to this requirement. As such, we estimate that it will take 19 hours for a QHP issuer to reconcile information on a monthly basis for a total of 273,600 hours across all QHP issuers annually. This estimate is similar to estimates provided by Medicare Part D in their rule on data submissions. For example, Medicare Part D estimated that it would take plan sponsors approximately 10 hours annually for plan sponsors to submit data on aggregated negotiated drug pricing from pharmaceutical companies described in §423.104. We provided a higher estimate for the submission of data due to the potential increased complexity of reconciling enrollment data. </w:t>
      </w:r>
      <w:r>
        <w:rPr>
          <w:sz w:val="23"/>
        </w:rPr>
        <w:t xml:space="preserve"> </w:t>
      </w:r>
    </w:p>
    <w:tbl>
      <w:tblPr>
        <w:tblStyle w:val="TableGrid"/>
        <w:tblW w:w="10260" w:type="dxa"/>
        <w:tblInd w:w="-540" w:type="dxa"/>
        <w:tblCellMar>
          <w:top w:w="0" w:type="dxa"/>
          <w:left w:w="0" w:type="dxa"/>
          <w:bottom w:w="0" w:type="dxa"/>
          <w:right w:w="48" w:type="dxa"/>
        </w:tblCellMar>
        <w:tblLook w:val="04A0" w:firstRow="1" w:lastRow="0" w:firstColumn="1" w:lastColumn="0" w:noHBand="0" w:noVBand="1"/>
      </w:tblPr>
      <w:tblGrid>
        <w:gridCol w:w="2071"/>
        <w:gridCol w:w="1406"/>
        <w:gridCol w:w="1769"/>
        <w:gridCol w:w="1121"/>
        <w:gridCol w:w="468"/>
        <w:gridCol w:w="1589"/>
        <w:gridCol w:w="1836"/>
      </w:tblGrid>
      <w:tr w:rsidR="00FB35D4">
        <w:trPr>
          <w:trHeight w:val="1390"/>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Labor Category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6" w:firstLine="0"/>
            </w:pPr>
            <w:r>
              <w:rPr>
                <w:b/>
              </w:rPr>
              <w:t xml:space="preserve">Number of Employees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Hourly Labor Costs (Hourly rate + </w:t>
            </w:r>
            <w:r w:rsidR="00054AF5">
              <w:rPr>
                <w:b/>
              </w:rPr>
              <w:t>100%</w:t>
            </w:r>
            <w:r>
              <w:rPr>
                <w:b/>
              </w:rPr>
              <w:t xml:space="preserve"> Fringe benefits) </w:t>
            </w:r>
          </w:p>
        </w:tc>
        <w:tc>
          <w:tcPr>
            <w:tcW w:w="1121" w:type="dxa"/>
            <w:tcBorders>
              <w:top w:val="single" w:sz="4" w:space="0" w:color="000000"/>
              <w:left w:val="single" w:sz="4" w:space="0" w:color="000000"/>
              <w:bottom w:val="single" w:sz="4" w:space="0" w:color="000000"/>
              <w:right w:val="nil"/>
            </w:tcBorders>
          </w:tcPr>
          <w:p w:rsidR="00FB35D4" w:rsidRDefault="00D146CF">
            <w:pPr>
              <w:spacing w:after="0" w:line="259" w:lineRule="auto"/>
              <w:ind w:left="108" w:firstLine="0"/>
            </w:pPr>
            <w:r>
              <w:rPr>
                <w:b/>
              </w:rPr>
              <w:t xml:space="preserve">Burden Hours </w:t>
            </w:r>
          </w:p>
        </w:tc>
        <w:tc>
          <w:tcPr>
            <w:tcW w:w="468" w:type="dxa"/>
            <w:tcBorders>
              <w:top w:val="single" w:sz="4" w:space="0" w:color="000000"/>
              <w:left w:val="nil"/>
              <w:bottom w:val="single" w:sz="4" w:space="0" w:color="000000"/>
              <w:right w:val="single" w:sz="4" w:space="0" w:color="000000"/>
            </w:tcBorders>
          </w:tcPr>
          <w:p w:rsidR="00FB35D4" w:rsidRDefault="00FB35D4">
            <w:pPr>
              <w:spacing w:after="160" w:line="259" w:lineRule="auto"/>
              <w:ind w:left="0" w:firstLine="0"/>
            </w:pP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w:t>
            </w:r>
          </w:p>
          <w:p w:rsidR="00FB35D4" w:rsidRDefault="00D146CF">
            <w:pPr>
              <w:spacing w:after="0" w:line="259" w:lineRule="auto"/>
              <w:ind w:left="108" w:firstLine="0"/>
            </w:pPr>
            <w:r>
              <w:rPr>
                <w:b/>
              </w:rPr>
              <w:t xml:space="preserve">Burden </w:t>
            </w:r>
          </w:p>
          <w:p w:rsidR="00FB35D4" w:rsidRDefault="00D146CF">
            <w:pPr>
              <w:spacing w:after="0" w:line="259" w:lineRule="auto"/>
              <w:ind w:left="108" w:firstLine="0"/>
            </w:pPr>
            <w:r>
              <w:rPr>
                <w:b/>
              </w:rPr>
              <w:t xml:space="preserve">Costs </w:t>
            </w:r>
          </w:p>
        </w:tc>
        <w:tc>
          <w:tcPr>
            <w:tcW w:w="183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right="45" w:firstLine="0"/>
            </w:pPr>
            <w:r>
              <w:rPr>
                <w:b/>
              </w:rPr>
              <w:t xml:space="preserve">Total Burden Costs (per year) </w:t>
            </w:r>
          </w:p>
        </w:tc>
      </w:tr>
      <w:tr w:rsidR="00FB35D4">
        <w:trPr>
          <w:trHeight w:val="562"/>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Health Policy Analyst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82.67</w:t>
            </w:r>
            <w:r>
              <w:t xml:space="preserve"> </w:t>
            </w:r>
          </w:p>
        </w:tc>
        <w:tc>
          <w:tcPr>
            <w:tcW w:w="1121"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68" w:type="dxa"/>
            <w:tcBorders>
              <w:top w:val="single" w:sz="4" w:space="0" w:color="000000"/>
              <w:left w:val="nil"/>
              <w:bottom w:val="single" w:sz="4" w:space="0" w:color="000000"/>
              <w:right w:val="single" w:sz="4" w:space="0" w:color="000000"/>
            </w:tcBorders>
          </w:tcPr>
          <w:p w:rsidR="00FB35D4" w:rsidRDefault="00D146CF">
            <w:pPr>
              <w:spacing w:after="0" w:line="259" w:lineRule="auto"/>
              <w:ind w:left="120" w:firstLine="0"/>
            </w:pPr>
            <w:r>
              <w:t xml:space="preserve">60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D1032D" w:rsidRPr="00D1032D">
              <w:t>4</w:t>
            </w:r>
            <w:r w:rsidR="00D1032D">
              <w:t>,</w:t>
            </w:r>
            <w:r w:rsidR="00D1032D" w:rsidRPr="00D1032D">
              <w:t>960.2</w:t>
            </w:r>
            <w:r w:rsidR="00D1032D">
              <w:t>0</w:t>
            </w:r>
          </w:p>
        </w:tc>
        <w:tc>
          <w:tcPr>
            <w:tcW w:w="1836"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6"/>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Senior Manager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143.71</w:t>
            </w:r>
            <w:r>
              <w:t xml:space="preserve"> </w:t>
            </w:r>
          </w:p>
        </w:tc>
        <w:tc>
          <w:tcPr>
            <w:tcW w:w="1121"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68" w:type="dxa"/>
            <w:tcBorders>
              <w:top w:val="single" w:sz="4" w:space="0" w:color="000000"/>
              <w:left w:val="nil"/>
              <w:bottom w:val="single" w:sz="4" w:space="0" w:color="000000"/>
              <w:right w:val="single" w:sz="4" w:space="0" w:color="000000"/>
            </w:tcBorders>
          </w:tcPr>
          <w:p w:rsidR="00FB35D4" w:rsidRDefault="00D146CF">
            <w:pPr>
              <w:spacing w:after="0" w:line="259" w:lineRule="auto"/>
              <w:ind w:left="120" w:firstLine="0"/>
            </w:pPr>
            <w:r>
              <w:t xml:space="preserve">24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D1032D" w:rsidRPr="00D1032D">
              <w:t>3</w:t>
            </w:r>
            <w:r w:rsidR="00D1032D">
              <w:t>,</w:t>
            </w:r>
            <w:r w:rsidR="00D1032D" w:rsidRPr="00D1032D">
              <w:t>449.04</w:t>
            </w:r>
          </w:p>
        </w:tc>
        <w:tc>
          <w:tcPr>
            <w:tcW w:w="1836"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4"/>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right="60" w:firstLine="0"/>
            </w:pPr>
            <w:r>
              <w:t xml:space="preserve">Operations Analyst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94.08</w:t>
            </w:r>
            <w:r>
              <w:t xml:space="preserve"> </w:t>
            </w:r>
          </w:p>
        </w:tc>
        <w:tc>
          <w:tcPr>
            <w:tcW w:w="1121"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68" w:type="dxa"/>
            <w:tcBorders>
              <w:top w:val="single" w:sz="4" w:space="0" w:color="000000"/>
              <w:left w:val="nil"/>
              <w:bottom w:val="single" w:sz="4" w:space="0" w:color="000000"/>
              <w:right w:val="single" w:sz="4" w:space="0" w:color="000000"/>
            </w:tcBorders>
          </w:tcPr>
          <w:p w:rsidR="00FB35D4" w:rsidRDefault="00D146CF">
            <w:pPr>
              <w:spacing w:after="0" w:line="259" w:lineRule="auto"/>
              <w:ind w:left="120" w:firstLine="0"/>
            </w:pPr>
            <w:r>
              <w:t xml:space="preserve">60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D1032D" w:rsidRPr="00D1032D">
              <w:t>5</w:t>
            </w:r>
            <w:r w:rsidR="00D1032D">
              <w:t>,</w:t>
            </w:r>
            <w:r w:rsidR="00D1032D" w:rsidRPr="00D1032D">
              <w:t>644.8</w:t>
            </w:r>
            <w:r w:rsidR="00D1032D">
              <w:t>0</w:t>
            </w:r>
          </w:p>
        </w:tc>
        <w:tc>
          <w:tcPr>
            <w:tcW w:w="1836"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2"/>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Computer Programmer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76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73.13</w:t>
            </w:r>
            <w:r>
              <w:t xml:space="preserve"> </w:t>
            </w:r>
          </w:p>
        </w:tc>
        <w:tc>
          <w:tcPr>
            <w:tcW w:w="1121"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68" w:type="dxa"/>
            <w:tcBorders>
              <w:top w:val="single" w:sz="4" w:space="0" w:color="000000"/>
              <w:left w:val="nil"/>
              <w:bottom w:val="single" w:sz="4" w:space="0" w:color="000000"/>
              <w:right w:val="single" w:sz="4" w:space="0" w:color="000000"/>
            </w:tcBorders>
          </w:tcPr>
          <w:p w:rsidR="00FB35D4" w:rsidRDefault="00D146CF">
            <w:pPr>
              <w:spacing w:after="0" w:line="259" w:lineRule="auto"/>
              <w:ind w:left="120" w:firstLine="0"/>
            </w:pPr>
            <w:r>
              <w:t xml:space="preserve">84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D1032D" w:rsidRPr="00D1032D">
              <w:t>6</w:t>
            </w:r>
            <w:r w:rsidR="00D1032D">
              <w:t>,</w:t>
            </w:r>
            <w:r w:rsidR="00D1032D" w:rsidRPr="00D1032D">
              <w:t>142.92</w:t>
            </w:r>
          </w:p>
        </w:tc>
        <w:tc>
          <w:tcPr>
            <w:tcW w:w="1836"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6"/>
        </w:trPr>
        <w:tc>
          <w:tcPr>
            <w:tcW w:w="207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w:t>
            </w:r>
          </w:p>
        </w:tc>
        <w:tc>
          <w:tcPr>
            <w:tcW w:w="1406"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1769"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1121"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6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firstLine="0"/>
              <w:jc w:val="both"/>
            </w:pPr>
            <w:r>
              <w:rPr>
                <w:b/>
              </w:rPr>
              <w:t xml:space="preserve">228 </w:t>
            </w:r>
          </w:p>
        </w:tc>
        <w:tc>
          <w:tcPr>
            <w:tcW w:w="158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D1032D" w:rsidRPr="00D1032D">
              <w:rPr>
                <w:b/>
              </w:rPr>
              <w:t>20</w:t>
            </w:r>
            <w:r w:rsidR="00D1032D">
              <w:rPr>
                <w:b/>
              </w:rPr>
              <w:t>,</w:t>
            </w:r>
            <w:r w:rsidR="00D1032D" w:rsidRPr="00D1032D">
              <w:rPr>
                <w:b/>
              </w:rPr>
              <w:t>196.96</w:t>
            </w:r>
          </w:p>
        </w:tc>
        <w:tc>
          <w:tcPr>
            <w:tcW w:w="1836" w:type="dxa"/>
            <w:tcBorders>
              <w:top w:val="single" w:sz="4" w:space="0" w:color="000000"/>
              <w:left w:val="single" w:sz="4" w:space="0" w:color="000000"/>
              <w:bottom w:val="single" w:sz="4" w:space="0" w:color="000000"/>
              <w:right w:val="single" w:sz="4" w:space="0" w:color="000000"/>
            </w:tcBorders>
          </w:tcPr>
          <w:p w:rsidR="00FB35D4" w:rsidRDefault="00D146CF" w:rsidP="00D1032D">
            <w:pPr>
              <w:spacing w:after="0" w:line="259" w:lineRule="auto"/>
              <w:ind w:left="0" w:right="60" w:firstLine="0"/>
              <w:jc w:val="right"/>
            </w:pPr>
            <w:r>
              <w:rPr>
                <w:b/>
              </w:rPr>
              <w:t>$</w:t>
            </w:r>
            <w:r w:rsidR="00654601" w:rsidRPr="00654601">
              <w:rPr>
                <w:b/>
              </w:rPr>
              <w:t>24</w:t>
            </w:r>
            <w:r w:rsidR="00654601">
              <w:rPr>
                <w:b/>
              </w:rPr>
              <w:t>,</w:t>
            </w:r>
            <w:r w:rsidR="00654601" w:rsidRPr="00654601">
              <w:rPr>
                <w:b/>
              </w:rPr>
              <w:t>236</w:t>
            </w:r>
            <w:r w:rsidR="00654601">
              <w:rPr>
                <w:b/>
              </w:rPr>
              <w:t>,</w:t>
            </w:r>
            <w:r w:rsidR="00654601" w:rsidRPr="00654601">
              <w:rPr>
                <w:b/>
              </w:rPr>
              <w:t>352</w:t>
            </w:r>
            <w:r>
              <w:rPr>
                <w:b/>
              </w:rPr>
              <w:t xml:space="preserve"> </w:t>
            </w:r>
          </w:p>
        </w:tc>
      </w:tr>
    </w:tbl>
    <w:p w:rsidR="00D146CF" w:rsidRDefault="00D146CF">
      <w:pPr>
        <w:spacing w:after="10"/>
        <w:ind w:left="-15" w:firstLine="720"/>
      </w:pPr>
    </w:p>
    <w:p w:rsidR="00FB35D4" w:rsidRDefault="00D146CF">
      <w:pPr>
        <w:spacing w:after="10"/>
        <w:ind w:left="-15" w:firstLine="720"/>
      </w:pPr>
      <w:r>
        <w:t xml:space="preserve">Section 156.270(b) states that the QHP issuer must provide notice to the enrollee and the Exchange if an enrollee’s coverage in a QHP is terminated. The notice must inform the enrollee of the reason for the termination and the termination effective date.  We expect that issuers will be able to leverage existing termination notices, which may help to limit the burden.  The burden estimate associated with this requirement includes the time and effort needed to develop the notice and to distribute it through an automated process to the enrollee as appropriate. We estimate that 1,200 QHP issuers will participate in the Marketplaces. As such, we estimate that it will take approximately 40 hours annually for the time and effort to develop and transmit the notice for a total of 48,000 hours across all QHP issuers.  </w:t>
      </w:r>
    </w:p>
    <w:tbl>
      <w:tblPr>
        <w:tblStyle w:val="TableGrid"/>
        <w:tblW w:w="9996" w:type="dxa"/>
        <w:tblInd w:w="-5" w:type="dxa"/>
        <w:tblCellMar>
          <w:top w:w="0" w:type="dxa"/>
          <w:left w:w="106" w:type="dxa"/>
          <w:bottom w:w="0" w:type="dxa"/>
          <w:right w:w="72" w:type="dxa"/>
        </w:tblCellMar>
        <w:tblLook w:val="04A0" w:firstRow="1" w:lastRow="0" w:firstColumn="1" w:lastColumn="0" w:noHBand="0" w:noVBand="1"/>
      </w:tblPr>
      <w:tblGrid>
        <w:gridCol w:w="2124"/>
        <w:gridCol w:w="1530"/>
        <w:gridCol w:w="2111"/>
        <w:gridCol w:w="1080"/>
        <w:gridCol w:w="1531"/>
        <w:gridCol w:w="1620"/>
      </w:tblGrid>
      <w:tr w:rsidR="00FB35D4" w:rsidTr="00D146CF">
        <w:trPr>
          <w:trHeight w:val="1114"/>
        </w:trPr>
        <w:tc>
          <w:tcPr>
            <w:tcW w:w="2124"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Labor Category </w:t>
            </w:r>
          </w:p>
        </w:tc>
        <w:tc>
          <w:tcPr>
            <w:tcW w:w="153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rPr>
                <w:b/>
              </w:rPr>
              <w:t xml:space="preserve">Number </w:t>
            </w:r>
          </w:p>
          <w:p w:rsidR="00FB35D4" w:rsidRDefault="00D146CF">
            <w:pPr>
              <w:spacing w:after="0" w:line="259" w:lineRule="auto"/>
              <w:ind w:left="0" w:firstLine="0"/>
            </w:pPr>
            <w:r>
              <w:rPr>
                <w:b/>
              </w:rPr>
              <w:t xml:space="preserve">of </w:t>
            </w:r>
          </w:p>
          <w:p w:rsidR="00FB35D4" w:rsidRDefault="00D146CF" w:rsidP="00D146CF">
            <w:pPr>
              <w:spacing w:after="0" w:line="259" w:lineRule="auto"/>
              <w:ind w:left="0" w:firstLine="0"/>
            </w:pPr>
            <w:r>
              <w:rPr>
                <w:b/>
              </w:rPr>
              <w:t xml:space="preserve">Employees </w:t>
            </w:r>
          </w:p>
        </w:tc>
        <w:tc>
          <w:tcPr>
            <w:tcW w:w="211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2" w:firstLine="0"/>
            </w:pPr>
            <w:r>
              <w:rPr>
                <w:b/>
              </w:rPr>
              <w:t xml:space="preserve">Hourly Labor </w:t>
            </w:r>
          </w:p>
          <w:p w:rsidR="00FB35D4" w:rsidRDefault="00D146CF">
            <w:pPr>
              <w:spacing w:after="0" w:line="259" w:lineRule="auto"/>
              <w:ind w:left="2" w:firstLine="0"/>
            </w:pPr>
            <w:r>
              <w:rPr>
                <w:b/>
              </w:rPr>
              <w:t xml:space="preserve">Costs (Hourly rate </w:t>
            </w:r>
          </w:p>
          <w:p w:rsidR="00FB35D4" w:rsidRDefault="00D146CF">
            <w:pPr>
              <w:spacing w:after="0" w:line="259" w:lineRule="auto"/>
              <w:ind w:left="2" w:firstLine="0"/>
            </w:pPr>
            <w:r>
              <w:rPr>
                <w:b/>
              </w:rPr>
              <w:t xml:space="preserve">+ </w:t>
            </w:r>
            <w:r w:rsidR="00054AF5">
              <w:rPr>
                <w:b/>
              </w:rPr>
              <w:t>100%</w:t>
            </w:r>
            <w:r>
              <w:rPr>
                <w:b/>
              </w:rPr>
              <w:t xml:space="preserve"> Fringe</w:t>
            </w:r>
          </w:p>
          <w:p w:rsidR="00FB35D4" w:rsidRDefault="00D146CF">
            <w:pPr>
              <w:spacing w:after="0" w:line="259" w:lineRule="auto"/>
              <w:ind w:left="2" w:firstLine="0"/>
            </w:pPr>
            <w:r>
              <w:rPr>
                <w:b/>
              </w:rPr>
              <w:t xml:space="preserve">benefits </w:t>
            </w:r>
          </w:p>
        </w:tc>
        <w:tc>
          <w:tcPr>
            <w:tcW w:w="108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Burden Hours </w:t>
            </w:r>
          </w:p>
        </w:tc>
        <w:tc>
          <w:tcPr>
            <w:tcW w:w="153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Total </w:t>
            </w:r>
          </w:p>
          <w:p w:rsidR="00FB35D4" w:rsidRDefault="00D146CF">
            <w:pPr>
              <w:spacing w:after="0" w:line="259" w:lineRule="auto"/>
              <w:ind w:left="2" w:firstLine="0"/>
            </w:pPr>
            <w:r>
              <w:rPr>
                <w:b/>
              </w:rPr>
              <w:t xml:space="preserve">Burden </w:t>
            </w:r>
          </w:p>
          <w:p w:rsidR="00FB35D4" w:rsidRDefault="00D146CF">
            <w:pPr>
              <w:spacing w:after="0" w:line="259" w:lineRule="auto"/>
              <w:ind w:left="2" w:firstLine="0"/>
            </w:pPr>
            <w:r>
              <w:rPr>
                <w:b/>
              </w:rPr>
              <w:t xml:space="preserve">Costs </w:t>
            </w:r>
          </w:p>
        </w:tc>
        <w:tc>
          <w:tcPr>
            <w:tcW w:w="162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Total Burden Cost (per year) </w:t>
            </w:r>
          </w:p>
        </w:tc>
      </w:tr>
      <w:tr w:rsidR="00FB35D4" w:rsidTr="00D146CF">
        <w:trPr>
          <w:trHeight w:val="605"/>
        </w:trPr>
        <w:tc>
          <w:tcPr>
            <w:tcW w:w="2124"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2" w:firstLine="0"/>
            </w:pPr>
            <w:r>
              <w:t xml:space="preserve">Health Policy Analyst </w:t>
            </w:r>
          </w:p>
        </w:tc>
        <w:tc>
          <w:tcPr>
            <w:tcW w:w="153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t xml:space="preserve">1 </w:t>
            </w:r>
          </w:p>
        </w:tc>
        <w:tc>
          <w:tcPr>
            <w:tcW w:w="211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w:t>
            </w:r>
            <w:r w:rsidR="00AD6F5D">
              <w:t>82.67</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 xml:space="preserve">4 </w:t>
            </w:r>
          </w:p>
        </w:tc>
        <w:tc>
          <w:tcPr>
            <w:tcW w:w="153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w:t>
            </w:r>
            <w:r w:rsidR="00654601" w:rsidRPr="00654601">
              <w:t>330.68</w:t>
            </w:r>
          </w:p>
        </w:tc>
        <w:tc>
          <w:tcPr>
            <w:tcW w:w="162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rsidTr="00D146CF">
        <w:trPr>
          <w:trHeight w:val="403"/>
        </w:trPr>
        <w:tc>
          <w:tcPr>
            <w:tcW w:w="2124"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 xml:space="preserve">Senior Manager </w:t>
            </w:r>
          </w:p>
        </w:tc>
        <w:tc>
          <w:tcPr>
            <w:tcW w:w="153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t xml:space="preserve">1 </w:t>
            </w:r>
          </w:p>
        </w:tc>
        <w:tc>
          <w:tcPr>
            <w:tcW w:w="211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w:t>
            </w:r>
            <w:r w:rsidR="00AD6F5D">
              <w:t>143.71</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 xml:space="preserve">1 </w:t>
            </w:r>
          </w:p>
        </w:tc>
        <w:tc>
          <w:tcPr>
            <w:tcW w:w="153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w:t>
            </w:r>
            <w:r w:rsidR="00AD6F5D">
              <w:t>143.71</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654601" w:rsidTr="0068457D">
        <w:trPr>
          <w:trHeight w:val="406"/>
        </w:trPr>
        <w:tc>
          <w:tcPr>
            <w:tcW w:w="2124"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t xml:space="preserve">Operations Analyst </w:t>
            </w:r>
          </w:p>
        </w:tc>
        <w:tc>
          <w:tcPr>
            <w:tcW w:w="1530"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firstLine="0"/>
            </w:pPr>
            <w:r>
              <w:t xml:space="preserve">1 </w:t>
            </w:r>
          </w:p>
        </w:tc>
        <w:tc>
          <w:tcPr>
            <w:tcW w:w="2111"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t xml:space="preserve">$94.08 </w:t>
            </w:r>
          </w:p>
        </w:tc>
        <w:tc>
          <w:tcPr>
            <w:tcW w:w="1080"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t xml:space="preserve">3 </w:t>
            </w:r>
          </w:p>
        </w:tc>
        <w:tc>
          <w:tcPr>
            <w:tcW w:w="153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pPr>
            <w:r>
              <w:t>$</w:t>
            </w:r>
            <w:r w:rsidRPr="00AD6F5D">
              <w:t>282.24</w:t>
            </w:r>
          </w:p>
        </w:tc>
        <w:tc>
          <w:tcPr>
            <w:tcW w:w="162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rsidTr="0068457D">
        <w:trPr>
          <w:trHeight w:val="562"/>
        </w:trPr>
        <w:tc>
          <w:tcPr>
            <w:tcW w:w="2124"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2" w:firstLine="0"/>
            </w:pPr>
            <w:r>
              <w:t xml:space="preserve">Computer Programmer </w:t>
            </w:r>
          </w:p>
        </w:tc>
        <w:tc>
          <w:tcPr>
            <w:tcW w:w="1530"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firstLine="0"/>
            </w:pPr>
            <w:r>
              <w:t xml:space="preserve">1 </w:t>
            </w:r>
          </w:p>
        </w:tc>
        <w:tc>
          <w:tcPr>
            <w:tcW w:w="2111"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t xml:space="preserve">$73.13 </w:t>
            </w:r>
          </w:p>
        </w:tc>
        <w:tc>
          <w:tcPr>
            <w:tcW w:w="1080"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t xml:space="preserve">32 </w:t>
            </w:r>
          </w:p>
        </w:tc>
        <w:tc>
          <w:tcPr>
            <w:tcW w:w="153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pPr>
            <w:r>
              <w:t>$</w:t>
            </w:r>
            <w:r w:rsidRPr="00AD6F5D">
              <w:t>2</w:t>
            </w:r>
            <w:r>
              <w:t>,</w:t>
            </w:r>
            <w:r w:rsidRPr="00AD6F5D">
              <w:t>340.16</w:t>
            </w:r>
          </w:p>
        </w:tc>
        <w:tc>
          <w:tcPr>
            <w:tcW w:w="162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rsidTr="0068457D">
        <w:trPr>
          <w:trHeight w:val="425"/>
        </w:trPr>
        <w:tc>
          <w:tcPr>
            <w:tcW w:w="2124"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rPr>
                <w:b/>
              </w:rPr>
              <w:t xml:space="preserve">Total </w:t>
            </w:r>
          </w:p>
        </w:tc>
        <w:tc>
          <w:tcPr>
            <w:tcW w:w="153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c>
          <w:tcPr>
            <w:tcW w:w="211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rPr>
                <w:b/>
              </w:rPr>
              <w:t xml:space="preserve">40 </w:t>
            </w:r>
          </w:p>
        </w:tc>
        <w:tc>
          <w:tcPr>
            <w:tcW w:w="153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pPr>
            <w:r>
              <w:rPr>
                <w:b/>
              </w:rPr>
              <w:t>$</w:t>
            </w:r>
            <w:r w:rsidRPr="00D1032D">
              <w:rPr>
                <w:b/>
              </w:rPr>
              <w:t>3096.79</w:t>
            </w:r>
          </w:p>
        </w:tc>
        <w:tc>
          <w:tcPr>
            <w:tcW w:w="162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rPr>
                <w:b/>
              </w:rPr>
              <w:t>$</w:t>
            </w:r>
            <w:r w:rsidRPr="00654601">
              <w:rPr>
                <w:b/>
              </w:rPr>
              <w:t>3</w:t>
            </w:r>
            <w:r>
              <w:rPr>
                <w:b/>
              </w:rPr>
              <w:t>,</w:t>
            </w:r>
            <w:r w:rsidRPr="00654601">
              <w:rPr>
                <w:b/>
              </w:rPr>
              <w:t>716</w:t>
            </w:r>
            <w:r>
              <w:rPr>
                <w:b/>
              </w:rPr>
              <w:t>,</w:t>
            </w:r>
            <w:r w:rsidRPr="00654601">
              <w:rPr>
                <w:b/>
              </w:rPr>
              <w:t>148</w:t>
            </w:r>
          </w:p>
        </w:tc>
      </w:tr>
    </w:tbl>
    <w:p w:rsidR="00FB35D4" w:rsidRDefault="00D146CF">
      <w:pPr>
        <w:spacing w:after="10"/>
        <w:ind w:left="-15" w:firstLine="720"/>
      </w:pPr>
      <w:r>
        <w:t xml:space="preserve">Section 156.270(d) requires that the QHP issuer provide two types of notice in the event of a nonpayment of premium by an enrollee. Section 156.270(d)(2) requires that the QHP issuer must notify HHS of the non-payment of a premium by an enrollee. The notice serves the purpose of informing HHS of the need for a grace period for an enrollee who received advanced payments of premium tax credits. The burden estimate associated with this requirement includes the time and effort needed to develop the notice and to electronically transmit the notice to HHS as appropriate. We estimate that 1,200 QHP issuers will participate in the Marketplaces. As such, we estimate that it will take approximately 40 hours annually for the time and effort to develop and transmit the notice for a total of 48,000 hours across all QHP issuers.  </w:t>
      </w:r>
    </w:p>
    <w:tbl>
      <w:tblPr>
        <w:tblStyle w:val="TableGrid"/>
        <w:tblW w:w="10008" w:type="dxa"/>
        <w:tblInd w:w="-5" w:type="dxa"/>
        <w:tblCellMar>
          <w:top w:w="0" w:type="dxa"/>
          <w:left w:w="108" w:type="dxa"/>
          <w:bottom w:w="0" w:type="dxa"/>
          <w:right w:w="48" w:type="dxa"/>
        </w:tblCellMar>
        <w:tblLook w:val="04A0" w:firstRow="1" w:lastRow="0" w:firstColumn="1" w:lastColumn="0" w:noHBand="0" w:noVBand="1"/>
      </w:tblPr>
      <w:tblGrid>
        <w:gridCol w:w="2262"/>
        <w:gridCol w:w="1322"/>
        <w:gridCol w:w="1766"/>
        <w:gridCol w:w="1320"/>
        <w:gridCol w:w="1536"/>
        <w:gridCol w:w="1802"/>
      </w:tblGrid>
      <w:tr w:rsidR="00FB35D4">
        <w:trPr>
          <w:trHeight w:val="1114"/>
        </w:trPr>
        <w:tc>
          <w:tcPr>
            <w:tcW w:w="226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Labor Category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38" w:lineRule="auto"/>
              <w:ind w:left="0" w:right="54" w:firstLine="0"/>
            </w:pPr>
            <w:r>
              <w:rPr>
                <w:b/>
              </w:rPr>
              <w:t xml:space="preserve">Number of </w:t>
            </w:r>
          </w:p>
          <w:p w:rsidR="00FB35D4" w:rsidRDefault="00D146CF">
            <w:pPr>
              <w:spacing w:after="0" w:line="259" w:lineRule="auto"/>
              <w:ind w:left="0" w:firstLine="0"/>
              <w:jc w:val="both"/>
            </w:pPr>
            <w:r>
              <w:rPr>
                <w:b/>
              </w:rPr>
              <w:t xml:space="preserve">Employees </w:t>
            </w:r>
          </w:p>
        </w:tc>
        <w:tc>
          <w:tcPr>
            <w:tcW w:w="176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rPr>
                <w:b/>
              </w:rPr>
              <w:t xml:space="preserve">Hourly Labor Costs (Hourly rate + </w:t>
            </w:r>
            <w:r w:rsidR="00054AF5">
              <w:rPr>
                <w:b/>
              </w:rPr>
              <w:t>100%</w:t>
            </w:r>
            <w:r>
              <w:rPr>
                <w:b/>
              </w:rPr>
              <w:t xml:space="preserve"> Fringe benefits </w:t>
            </w:r>
          </w:p>
        </w:tc>
        <w:tc>
          <w:tcPr>
            <w:tcW w:w="132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Burden Hours </w:t>
            </w:r>
          </w:p>
        </w:tc>
        <w:tc>
          <w:tcPr>
            <w:tcW w:w="1536"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Total </w:t>
            </w:r>
          </w:p>
          <w:p w:rsidR="00FB35D4" w:rsidRDefault="00D146CF">
            <w:pPr>
              <w:spacing w:after="0" w:line="259" w:lineRule="auto"/>
              <w:ind w:left="0" w:firstLine="0"/>
            </w:pPr>
            <w:r>
              <w:rPr>
                <w:b/>
              </w:rPr>
              <w:t xml:space="preserve">Burden </w:t>
            </w:r>
          </w:p>
          <w:p w:rsidR="00FB35D4" w:rsidRDefault="00D146CF">
            <w:pPr>
              <w:spacing w:after="0" w:line="259" w:lineRule="auto"/>
              <w:ind w:left="0" w:firstLine="0"/>
            </w:pPr>
            <w:r>
              <w:rPr>
                <w:b/>
              </w:rPr>
              <w:t xml:space="preserve">Costs </w:t>
            </w:r>
          </w:p>
        </w:tc>
        <w:tc>
          <w:tcPr>
            <w:tcW w:w="180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11" w:firstLine="0"/>
            </w:pPr>
            <w:r>
              <w:rPr>
                <w:b/>
              </w:rPr>
              <w:t xml:space="preserve">Total Burden Costs (per year) </w:t>
            </w:r>
          </w:p>
        </w:tc>
      </w:tr>
    </w:tbl>
    <w:p w:rsidR="00FB35D4" w:rsidRDefault="00FB35D4">
      <w:pPr>
        <w:sectPr w:rsidR="00FB35D4">
          <w:headerReference w:type="default" r:id="rId7"/>
          <w:footerReference w:type="even" r:id="rId8"/>
          <w:footerReference w:type="default" r:id="rId9"/>
          <w:footerReference w:type="first" r:id="rId10"/>
          <w:pgSz w:w="12240" w:h="15840"/>
          <w:pgMar w:top="2007" w:right="1296" w:bottom="1690" w:left="1440" w:header="877" w:footer="1623" w:gutter="0"/>
          <w:cols w:space="720"/>
          <w:titlePg/>
        </w:sectPr>
      </w:pPr>
    </w:p>
    <w:tbl>
      <w:tblPr>
        <w:tblStyle w:val="TableGrid"/>
        <w:tblW w:w="10008" w:type="dxa"/>
        <w:tblInd w:w="-5" w:type="dxa"/>
        <w:tblCellMar>
          <w:top w:w="0" w:type="dxa"/>
          <w:left w:w="108" w:type="dxa"/>
          <w:bottom w:w="0" w:type="dxa"/>
          <w:right w:w="48" w:type="dxa"/>
        </w:tblCellMar>
        <w:tblLook w:val="04A0" w:firstRow="1" w:lastRow="0" w:firstColumn="1" w:lastColumn="0" w:noHBand="0" w:noVBand="1"/>
      </w:tblPr>
      <w:tblGrid>
        <w:gridCol w:w="2262"/>
        <w:gridCol w:w="1322"/>
        <w:gridCol w:w="1766"/>
        <w:gridCol w:w="1320"/>
        <w:gridCol w:w="1536"/>
        <w:gridCol w:w="1802"/>
      </w:tblGrid>
      <w:tr w:rsidR="00FB35D4" w:rsidTr="00654601">
        <w:trPr>
          <w:trHeight w:val="564"/>
        </w:trPr>
        <w:tc>
          <w:tcPr>
            <w:tcW w:w="226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Health Policy Analyst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1 </w:t>
            </w:r>
          </w:p>
        </w:tc>
        <w:tc>
          <w:tcPr>
            <w:tcW w:w="1766"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AD6F5D">
              <w:t>82.67</w:t>
            </w:r>
            <w:r>
              <w:t xml:space="preserve"> </w:t>
            </w:r>
          </w:p>
        </w:tc>
        <w:tc>
          <w:tcPr>
            <w:tcW w:w="132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4 </w:t>
            </w:r>
          </w:p>
        </w:tc>
        <w:tc>
          <w:tcPr>
            <w:tcW w:w="1536" w:type="dxa"/>
            <w:tcBorders>
              <w:top w:val="single" w:sz="4" w:space="0" w:color="000000"/>
              <w:left w:val="single" w:sz="4" w:space="0" w:color="000000"/>
              <w:bottom w:val="single" w:sz="4" w:space="0" w:color="000000"/>
              <w:right w:val="single" w:sz="4" w:space="0" w:color="000000"/>
            </w:tcBorders>
            <w:vAlign w:val="bottom"/>
          </w:tcPr>
          <w:p w:rsidR="00FB35D4" w:rsidRDefault="00654601">
            <w:pPr>
              <w:spacing w:after="0" w:line="259" w:lineRule="auto"/>
              <w:ind w:left="0" w:right="60" w:firstLine="0"/>
              <w:jc w:val="right"/>
            </w:pPr>
            <w:r w:rsidRPr="00654601">
              <w:t>$330.68</w:t>
            </w:r>
          </w:p>
        </w:tc>
        <w:tc>
          <w:tcPr>
            <w:tcW w:w="180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rsidTr="00654601">
        <w:trPr>
          <w:trHeight w:val="324"/>
        </w:trPr>
        <w:tc>
          <w:tcPr>
            <w:tcW w:w="226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Senior Manager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176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143.71</w:t>
            </w:r>
            <w:r>
              <w:t xml:space="preserve"> </w:t>
            </w:r>
          </w:p>
        </w:tc>
        <w:tc>
          <w:tcPr>
            <w:tcW w:w="132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153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143.71</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654601" w:rsidTr="00654601">
        <w:trPr>
          <w:trHeight w:val="314"/>
        </w:trPr>
        <w:tc>
          <w:tcPr>
            <w:tcW w:w="226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firstLine="0"/>
            </w:pPr>
            <w:r>
              <w:t xml:space="preserve">Operations Analyst </w:t>
            </w:r>
          </w:p>
        </w:tc>
        <w:tc>
          <w:tcPr>
            <w:tcW w:w="132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1 </w:t>
            </w:r>
          </w:p>
        </w:tc>
        <w:tc>
          <w:tcPr>
            <w:tcW w:w="176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$94.08 </w:t>
            </w:r>
          </w:p>
        </w:tc>
        <w:tc>
          <w:tcPr>
            <w:tcW w:w="132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3 </w:t>
            </w:r>
          </w:p>
        </w:tc>
        <w:tc>
          <w:tcPr>
            <w:tcW w:w="153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w:t>
            </w:r>
            <w:r w:rsidRPr="00AD6F5D">
              <w:t>282.24</w:t>
            </w:r>
          </w:p>
        </w:tc>
        <w:tc>
          <w:tcPr>
            <w:tcW w:w="180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rsidTr="00654601">
        <w:trPr>
          <w:trHeight w:val="562"/>
        </w:trPr>
        <w:tc>
          <w:tcPr>
            <w:tcW w:w="226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firstLine="0"/>
            </w:pPr>
            <w:r>
              <w:t xml:space="preserve">Computer Programmer </w:t>
            </w:r>
          </w:p>
        </w:tc>
        <w:tc>
          <w:tcPr>
            <w:tcW w:w="1322"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1 </w:t>
            </w:r>
          </w:p>
        </w:tc>
        <w:tc>
          <w:tcPr>
            <w:tcW w:w="1766"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$73.13 </w:t>
            </w:r>
          </w:p>
        </w:tc>
        <w:tc>
          <w:tcPr>
            <w:tcW w:w="1320"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32 </w:t>
            </w:r>
          </w:p>
        </w:tc>
        <w:tc>
          <w:tcPr>
            <w:tcW w:w="153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w:t>
            </w:r>
            <w:r w:rsidRPr="00AD6F5D">
              <w:t>2</w:t>
            </w:r>
            <w:r>
              <w:t>,</w:t>
            </w:r>
            <w:r w:rsidRPr="00AD6F5D">
              <w:t>340.16</w:t>
            </w:r>
          </w:p>
        </w:tc>
        <w:tc>
          <w:tcPr>
            <w:tcW w:w="180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rsidTr="00654601">
        <w:trPr>
          <w:trHeight w:val="298"/>
        </w:trPr>
        <w:tc>
          <w:tcPr>
            <w:tcW w:w="226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firstLine="0"/>
            </w:pPr>
            <w:r>
              <w:rPr>
                <w:b/>
              </w:rPr>
              <w:t xml:space="preserve">Total </w:t>
            </w:r>
          </w:p>
        </w:tc>
        <w:tc>
          <w:tcPr>
            <w:tcW w:w="132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c>
          <w:tcPr>
            <w:tcW w:w="176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c>
          <w:tcPr>
            <w:tcW w:w="132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rPr>
                <w:b/>
              </w:rPr>
              <w:t xml:space="preserve">40 </w:t>
            </w:r>
          </w:p>
        </w:tc>
        <w:tc>
          <w:tcPr>
            <w:tcW w:w="153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rPr>
                <w:b/>
              </w:rPr>
              <w:t>$</w:t>
            </w:r>
            <w:r w:rsidRPr="00D1032D">
              <w:rPr>
                <w:b/>
              </w:rPr>
              <w:t>3096.79</w:t>
            </w:r>
          </w:p>
        </w:tc>
        <w:tc>
          <w:tcPr>
            <w:tcW w:w="180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rPr>
                <w:b/>
              </w:rPr>
              <w:t>$</w:t>
            </w:r>
            <w:r w:rsidRPr="00654601">
              <w:rPr>
                <w:b/>
              </w:rPr>
              <w:t>3</w:t>
            </w:r>
            <w:r>
              <w:rPr>
                <w:b/>
              </w:rPr>
              <w:t>,</w:t>
            </w:r>
            <w:r w:rsidRPr="00654601">
              <w:rPr>
                <w:b/>
              </w:rPr>
              <w:t>716</w:t>
            </w:r>
            <w:r>
              <w:rPr>
                <w:b/>
              </w:rPr>
              <w:t>,</w:t>
            </w:r>
            <w:r w:rsidRPr="00654601">
              <w:rPr>
                <w:b/>
              </w:rPr>
              <w:t>148</w:t>
            </w:r>
          </w:p>
        </w:tc>
      </w:tr>
    </w:tbl>
    <w:p w:rsidR="00FB35D4" w:rsidRDefault="00D146CF">
      <w:pPr>
        <w:spacing w:after="10"/>
        <w:ind w:left="-15" w:firstLine="720"/>
      </w:pPr>
      <w:r>
        <w:t xml:space="preserve">Section 156.270(d)(3) requires that the QHP issuer provide a notice to providers of the possibility for denied claims when an enrollee is in the second and third months of the grace period. We assume that both notices will be provided electronically. The burden estimate associated with this requirement includes the time and effort needed to develop the notice and to electronically transmit the notice to the provider as appropriate. We estimate that 1,200 QHP issuers will participate in the Marketplaces. As such, we estimate that it will take approximately 40 hours annually for the time and effort to develop and transmit the notice for a total of 48,000 hours across all QHP issuers.  </w:t>
      </w:r>
    </w:p>
    <w:tbl>
      <w:tblPr>
        <w:tblStyle w:val="TableGrid"/>
        <w:tblW w:w="10445" w:type="dxa"/>
        <w:tblInd w:w="-5" w:type="dxa"/>
        <w:tblCellMar>
          <w:top w:w="0" w:type="dxa"/>
          <w:left w:w="106" w:type="dxa"/>
          <w:bottom w:w="0" w:type="dxa"/>
          <w:right w:w="48" w:type="dxa"/>
        </w:tblCellMar>
        <w:tblLook w:val="04A0" w:firstRow="1" w:lastRow="0" w:firstColumn="1" w:lastColumn="0" w:noHBand="0" w:noVBand="1"/>
      </w:tblPr>
      <w:tblGrid>
        <w:gridCol w:w="2261"/>
        <w:gridCol w:w="1322"/>
        <w:gridCol w:w="1901"/>
        <w:gridCol w:w="1186"/>
        <w:gridCol w:w="1536"/>
        <w:gridCol w:w="2239"/>
      </w:tblGrid>
      <w:tr w:rsidR="00FB35D4">
        <w:trPr>
          <w:trHeight w:val="1114"/>
        </w:trPr>
        <w:tc>
          <w:tcPr>
            <w:tcW w:w="226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Labor Category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Number </w:t>
            </w:r>
          </w:p>
          <w:p w:rsidR="00FB35D4" w:rsidRDefault="00D146CF">
            <w:pPr>
              <w:spacing w:after="0" w:line="259" w:lineRule="auto"/>
              <w:ind w:left="2" w:firstLine="0"/>
            </w:pPr>
            <w:r>
              <w:rPr>
                <w:b/>
              </w:rPr>
              <w:t xml:space="preserve">of </w:t>
            </w:r>
          </w:p>
          <w:p w:rsidR="00FB35D4" w:rsidRDefault="00D146CF">
            <w:pPr>
              <w:spacing w:after="0" w:line="259" w:lineRule="auto"/>
              <w:ind w:left="2" w:firstLine="0"/>
              <w:jc w:val="both"/>
            </w:pPr>
            <w:r>
              <w:rPr>
                <w:b/>
              </w:rPr>
              <w:t xml:space="preserve">Employees </w:t>
            </w:r>
          </w:p>
        </w:tc>
        <w:tc>
          <w:tcPr>
            <w:tcW w:w="190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2" w:firstLine="0"/>
            </w:pPr>
            <w:r>
              <w:rPr>
                <w:b/>
              </w:rPr>
              <w:t xml:space="preserve">Hourly Labor Costs (Hourly rate + </w:t>
            </w:r>
            <w:r w:rsidR="00054AF5">
              <w:rPr>
                <w:b/>
              </w:rPr>
              <w:t>100%</w:t>
            </w:r>
            <w:r>
              <w:rPr>
                <w:b/>
              </w:rPr>
              <w:t xml:space="preserve"> Fringe benefits </w:t>
            </w:r>
          </w:p>
        </w:tc>
        <w:tc>
          <w:tcPr>
            <w:tcW w:w="1186"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Burden Hours </w:t>
            </w:r>
          </w:p>
        </w:tc>
        <w:tc>
          <w:tcPr>
            <w:tcW w:w="1536"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Total </w:t>
            </w:r>
          </w:p>
          <w:p w:rsidR="00FB35D4" w:rsidRDefault="00D146CF">
            <w:pPr>
              <w:spacing w:after="0" w:line="259" w:lineRule="auto"/>
              <w:ind w:left="2" w:firstLine="0"/>
            </w:pPr>
            <w:r>
              <w:rPr>
                <w:b/>
              </w:rPr>
              <w:t xml:space="preserve">Burden </w:t>
            </w:r>
          </w:p>
          <w:p w:rsidR="00FB35D4" w:rsidRDefault="00D146CF">
            <w:pPr>
              <w:spacing w:after="0" w:line="259" w:lineRule="auto"/>
              <w:ind w:left="2" w:firstLine="0"/>
            </w:pPr>
            <w:r>
              <w:rPr>
                <w:b/>
              </w:rPr>
              <w:t xml:space="preserve">Costs </w:t>
            </w:r>
          </w:p>
        </w:tc>
        <w:tc>
          <w:tcPr>
            <w:tcW w:w="2239"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rPr>
                <w:b/>
              </w:rPr>
              <w:t xml:space="preserve">Total Burden Costs (per year) </w:t>
            </w:r>
          </w:p>
        </w:tc>
      </w:tr>
      <w:tr w:rsidR="00FB35D4">
        <w:trPr>
          <w:trHeight w:val="562"/>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2" w:firstLine="0"/>
            </w:pPr>
            <w:r>
              <w:t xml:space="preserve">Health Policy Analyst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2" w:firstLine="0"/>
            </w:pPr>
            <w:r>
              <w:t xml:space="preserve">1 </w:t>
            </w:r>
          </w:p>
        </w:tc>
        <w:tc>
          <w:tcPr>
            <w:tcW w:w="190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2" w:firstLine="0"/>
              <w:jc w:val="right"/>
            </w:pPr>
            <w:r>
              <w:t>$</w:t>
            </w:r>
            <w:r w:rsidR="00AD6F5D">
              <w:t>82.67</w:t>
            </w:r>
            <w:r>
              <w:t xml:space="preserve"> </w:t>
            </w:r>
          </w:p>
        </w:tc>
        <w:tc>
          <w:tcPr>
            <w:tcW w:w="1186"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2" w:firstLine="0"/>
              <w:jc w:val="right"/>
            </w:pPr>
            <w:r>
              <w:t xml:space="preserve">4 </w:t>
            </w:r>
          </w:p>
        </w:tc>
        <w:tc>
          <w:tcPr>
            <w:tcW w:w="1536"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654601" w:rsidRPr="00654601">
              <w:t>330.68</w:t>
            </w:r>
          </w:p>
        </w:tc>
        <w:tc>
          <w:tcPr>
            <w:tcW w:w="2239"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24"/>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2" w:firstLine="0"/>
            </w:pPr>
            <w:r>
              <w:t xml:space="preserve">Senior Manager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2" w:firstLine="0"/>
            </w:pPr>
            <w:r>
              <w:t xml:space="preserve">1 </w:t>
            </w:r>
          </w:p>
        </w:tc>
        <w:tc>
          <w:tcPr>
            <w:tcW w:w="190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w:t>
            </w:r>
            <w:r w:rsidR="00AD6F5D">
              <w:t>143.71</w:t>
            </w:r>
            <w:r>
              <w:t xml:space="preserve"> </w:t>
            </w:r>
          </w:p>
        </w:tc>
        <w:tc>
          <w:tcPr>
            <w:tcW w:w="118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 xml:space="preserve">1 </w:t>
            </w:r>
          </w:p>
        </w:tc>
        <w:tc>
          <w:tcPr>
            <w:tcW w:w="1536"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143.71</w:t>
            </w:r>
            <w:r>
              <w:t xml:space="preserve"> </w:t>
            </w:r>
          </w:p>
        </w:tc>
        <w:tc>
          <w:tcPr>
            <w:tcW w:w="2239"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654601">
        <w:trPr>
          <w:trHeight w:val="314"/>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2" w:firstLine="0"/>
            </w:pPr>
            <w:r>
              <w:t xml:space="preserve">Operations Analyst </w:t>
            </w:r>
          </w:p>
        </w:tc>
        <w:tc>
          <w:tcPr>
            <w:tcW w:w="132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2" w:firstLine="0"/>
            </w:pPr>
            <w:r>
              <w:t xml:space="preserve">1 </w:t>
            </w:r>
          </w:p>
        </w:tc>
        <w:tc>
          <w:tcPr>
            <w:tcW w:w="190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2" w:firstLine="0"/>
              <w:jc w:val="right"/>
            </w:pPr>
            <w:r>
              <w:t xml:space="preserve">$94.08 </w:t>
            </w:r>
          </w:p>
        </w:tc>
        <w:tc>
          <w:tcPr>
            <w:tcW w:w="118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2" w:firstLine="0"/>
              <w:jc w:val="right"/>
            </w:pPr>
            <w:r>
              <w:t xml:space="preserve">3 </w:t>
            </w:r>
          </w:p>
        </w:tc>
        <w:tc>
          <w:tcPr>
            <w:tcW w:w="153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w:t>
            </w:r>
            <w:r w:rsidRPr="00AD6F5D">
              <w:t>282.24</w:t>
            </w:r>
          </w:p>
        </w:tc>
        <w:tc>
          <w:tcPr>
            <w:tcW w:w="2239"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rsidTr="00B21EDC">
        <w:trPr>
          <w:trHeight w:val="562"/>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2" w:firstLine="0"/>
            </w:pPr>
            <w:r>
              <w:t xml:space="preserve">Computer Programmer </w:t>
            </w:r>
          </w:p>
        </w:tc>
        <w:tc>
          <w:tcPr>
            <w:tcW w:w="1322"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2" w:firstLine="0"/>
            </w:pPr>
            <w:r>
              <w:t xml:space="preserve">1 </w:t>
            </w:r>
          </w:p>
        </w:tc>
        <w:tc>
          <w:tcPr>
            <w:tcW w:w="1901"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2" w:firstLine="0"/>
              <w:jc w:val="right"/>
            </w:pPr>
            <w:r>
              <w:t xml:space="preserve">$73.13 </w:t>
            </w:r>
          </w:p>
        </w:tc>
        <w:tc>
          <w:tcPr>
            <w:tcW w:w="1186"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2" w:firstLine="0"/>
              <w:jc w:val="right"/>
            </w:pPr>
            <w:r>
              <w:t xml:space="preserve">32 </w:t>
            </w:r>
          </w:p>
        </w:tc>
        <w:tc>
          <w:tcPr>
            <w:tcW w:w="153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w:t>
            </w:r>
            <w:r w:rsidRPr="00AD6F5D">
              <w:t>2</w:t>
            </w:r>
            <w:r>
              <w:t>,</w:t>
            </w:r>
            <w:r w:rsidRPr="00AD6F5D">
              <w:t>340.16</w:t>
            </w:r>
          </w:p>
        </w:tc>
        <w:tc>
          <w:tcPr>
            <w:tcW w:w="2239"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trPr>
          <w:trHeight w:val="298"/>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2" w:firstLine="0"/>
            </w:pPr>
            <w:r>
              <w:rPr>
                <w:b/>
              </w:rPr>
              <w:t xml:space="preserve">Total </w:t>
            </w:r>
          </w:p>
        </w:tc>
        <w:tc>
          <w:tcPr>
            <w:tcW w:w="132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c>
          <w:tcPr>
            <w:tcW w:w="190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c>
          <w:tcPr>
            <w:tcW w:w="118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2" w:firstLine="0"/>
              <w:jc w:val="right"/>
            </w:pPr>
            <w:r>
              <w:rPr>
                <w:b/>
              </w:rPr>
              <w:t xml:space="preserve">40 </w:t>
            </w:r>
          </w:p>
        </w:tc>
        <w:tc>
          <w:tcPr>
            <w:tcW w:w="1536"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rPr>
                <w:b/>
              </w:rPr>
              <w:t>$</w:t>
            </w:r>
            <w:r w:rsidRPr="00D1032D">
              <w:rPr>
                <w:b/>
              </w:rPr>
              <w:t>3</w:t>
            </w:r>
            <w:r>
              <w:rPr>
                <w:b/>
              </w:rPr>
              <w:t>,</w:t>
            </w:r>
            <w:r w:rsidRPr="00D1032D">
              <w:rPr>
                <w:b/>
              </w:rPr>
              <w:t>096.79</w:t>
            </w:r>
          </w:p>
        </w:tc>
        <w:tc>
          <w:tcPr>
            <w:tcW w:w="2239"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rPr>
                <w:b/>
              </w:rPr>
              <w:t>$</w:t>
            </w:r>
            <w:r w:rsidRPr="00654601">
              <w:rPr>
                <w:b/>
              </w:rPr>
              <w:t>3</w:t>
            </w:r>
            <w:r>
              <w:rPr>
                <w:b/>
              </w:rPr>
              <w:t>,</w:t>
            </w:r>
            <w:r w:rsidRPr="00654601">
              <w:rPr>
                <w:b/>
              </w:rPr>
              <w:t>716</w:t>
            </w:r>
            <w:r>
              <w:rPr>
                <w:b/>
              </w:rPr>
              <w:t>,</w:t>
            </w:r>
            <w:r w:rsidRPr="00654601">
              <w:rPr>
                <w:b/>
              </w:rPr>
              <w:t>148</w:t>
            </w:r>
          </w:p>
        </w:tc>
      </w:tr>
    </w:tbl>
    <w:p w:rsidR="00FB35D4" w:rsidRDefault="00D146CF">
      <w:pPr>
        <w:spacing w:after="0"/>
        <w:ind w:left="-15" w:firstLine="720"/>
      </w:pPr>
      <w:r>
        <w:t xml:space="preserve">Section 156.270(e) requires that the QHP issuer provide notice of payment delinquency to an enrollee who is delinquent on premium payment. The burden estimate associated with this requirement includes the time and effort needed to develop the notice and develop an automated process to distribute to individuals as appropriate. We anticipate that half of enrollees will request electronic notification while the other half will receive the notice by mail. As a result, we estimated the associated mailing costs for the time and effort needed to mail notices in bulk to enrollees as appropriate. We estimate that 1,200 QHP issuers will participate in the Marketplaces. As such, we estimate that it will take approximately 42 hours annually for the time and effort to develop and transmit the notice for a total of 50,400 hours across all QHP issuers.  </w:t>
      </w:r>
    </w:p>
    <w:tbl>
      <w:tblPr>
        <w:tblStyle w:val="TableGrid"/>
        <w:tblW w:w="10445" w:type="dxa"/>
        <w:tblInd w:w="-5" w:type="dxa"/>
        <w:tblCellMar>
          <w:top w:w="0" w:type="dxa"/>
          <w:left w:w="0" w:type="dxa"/>
          <w:bottom w:w="0" w:type="dxa"/>
          <w:right w:w="48" w:type="dxa"/>
        </w:tblCellMar>
        <w:tblLook w:val="04A0" w:firstRow="1" w:lastRow="0" w:firstColumn="1" w:lastColumn="0" w:noHBand="0" w:noVBand="1"/>
      </w:tblPr>
      <w:tblGrid>
        <w:gridCol w:w="2261"/>
        <w:gridCol w:w="1322"/>
        <w:gridCol w:w="2021"/>
        <w:gridCol w:w="1099"/>
        <w:gridCol w:w="348"/>
        <w:gridCol w:w="1594"/>
        <w:gridCol w:w="1800"/>
      </w:tblGrid>
      <w:tr w:rsidR="00FB35D4">
        <w:trPr>
          <w:trHeight w:val="1116"/>
        </w:trPr>
        <w:tc>
          <w:tcPr>
            <w:tcW w:w="226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Labor Category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Number </w:t>
            </w:r>
          </w:p>
          <w:p w:rsidR="00FB35D4" w:rsidRDefault="00D146CF">
            <w:pPr>
              <w:spacing w:after="0" w:line="259" w:lineRule="auto"/>
              <w:ind w:left="108" w:firstLine="0"/>
            </w:pPr>
            <w:r>
              <w:rPr>
                <w:b/>
              </w:rPr>
              <w:t xml:space="preserve">of </w:t>
            </w:r>
          </w:p>
          <w:p w:rsidR="00FB35D4" w:rsidRDefault="00D146CF">
            <w:pPr>
              <w:spacing w:after="0" w:line="259" w:lineRule="auto"/>
              <w:ind w:left="108" w:firstLine="0"/>
              <w:jc w:val="both"/>
            </w:pPr>
            <w:r>
              <w:rPr>
                <w:b/>
              </w:rPr>
              <w:t xml:space="preserve">Employees </w:t>
            </w:r>
          </w:p>
        </w:tc>
        <w:tc>
          <w:tcPr>
            <w:tcW w:w="202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Hourly Labor Costs (Hourly rate + </w:t>
            </w:r>
            <w:r w:rsidR="00054AF5">
              <w:rPr>
                <w:b/>
              </w:rPr>
              <w:t>100%</w:t>
            </w:r>
            <w:r>
              <w:rPr>
                <w:b/>
              </w:rPr>
              <w:t xml:space="preserve"> Fringe benefits </w:t>
            </w:r>
          </w:p>
        </w:tc>
        <w:tc>
          <w:tcPr>
            <w:tcW w:w="1099" w:type="dxa"/>
            <w:tcBorders>
              <w:top w:val="single" w:sz="4" w:space="0" w:color="000000"/>
              <w:left w:val="single" w:sz="4" w:space="0" w:color="000000"/>
              <w:bottom w:val="single" w:sz="4" w:space="0" w:color="000000"/>
              <w:right w:val="nil"/>
            </w:tcBorders>
            <w:vAlign w:val="bottom"/>
          </w:tcPr>
          <w:p w:rsidR="00FB35D4" w:rsidRDefault="00D146CF">
            <w:pPr>
              <w:spacing w:after="0" w:line="259" w:lineRule="auto"/>
              <w:ind w:left="106" w:firstLine="0"/>
            </w:pPr>
            <w:r>
              <w:rPr>
                <w:b/>
              </w:rPr>
              <w:t xml:space="preserve">Burden Hours </w:t>
            </w:r>
          </w:p>
        </w:tc>
        <w:tc>
          <w:tcPr>
            <w:tcW w:w="348" w:type="dxa"/>
            <w:tcBorders>
              <w:top w:val="single" w:sz="4" w:space="0" w:color="000000"/>
              <w:left w:val="nil"/>
              <w:bottom w:val="single" w:sz="4" w:space="0" w:color="000000"/>
              <w:right w:val="single" w:sz="4" w:space="0" w:color="000000"/>
            </w:tcBorders>
          </w:tcPr>
          <w:p w:rsidR="00FB35D4" w:rsidRDefault="00FB35D4">
            <w:pPr>
              <w:spacing w:after="160" w:line="259" w:lineRule="auto"/>
              <w:ind w:left="0" w:firstLine="0"/>
            </w:pPr>
          </w:p>
        </w:tc>
        <w:tc>
          <w:tcPr>
            <w:tcW w:w="1594"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Total </w:t>
            </w:r>
          </w:p>
          <w:p w:rsidR="00FB35D4" w:rsidRDefault="00D146CF">
            <w:pPr>
              <w:spacing w:after="0" w:line="259" w:lineRule="auto"/>
              <w:ind w:left="108" w:firstLine="0"/>
            </w:pPr>
            <w:r>
              <w:rPr>
                <w:b/>
              </w:rPr>
              <w:t xml:space="preserve">Burden </w:t>
            </w:r>
          </w:p>
          <w:p w:rsidR="00FB35D4" w:rsidRDefault="00D146CF">
            <w:pPr>
              <w:spacing w:after="0" w:line="259" w:lineRule="auto"/>
              <w:ind w:left="108" w:firstLine="0"/>
            </w:pPr>
            <w:r>
              <w:rPr>
                <w:b/>
              </w:rPr>
              <w:t xml:space="preserve">Costs </w:t>
            </w:r>
          </w:p>
        </w:tc>
        <w:tc>
          <w:tcPr>
            <w:tcW w:w="180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Total Burden Cost (per year) </w:t>
            </w:r>
          </w:p>
        </w:tc>
      </w:tr>
      <w:tr w:rsidR="00654601">
        <w:trPr>
          <w:trHeight w:val="612"/>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108" w:firstLine="0"/>
            </w:pPr>
            <w:r>
              <w:t xml:space="preserve">Health Policy Analyst </w:t>
            </w:r>
          </w:p>
        </w:tc>
        <w:tc>
          <w:tcPr>
            <w:tcW w:w="1322"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1 </w:t>
            </w:r>
          </w:p>
        </w:tc>
        <w:tc>
          <w:tcPr>
            <w:tcW w:w="2021"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$82.67 </w:t>
            </w:r>
          </w:p>
        </w:tc>
        <w:tc>
          <w:tcPr>
            <w:tcW w:w="1099" w:type="dxa"/>
            <w:tcBorders>
              <w:top w:val="single" w:sz="4" w:space="0" w:color="000000"/>
              <w:left w:val="single" w:sz="4" w:space="0" w:color="000000"/>
              <w:bottom w:val="single" w:sz="4" w:space="0" w:color="000000"/>
              <w:right w:val="nil"/>
            </w:tcBorders>
          </w:tcPr>
          <w:p w:rsidR="00654601" w:rsidRDefault="00654601" w:rsidP="00654601">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vAlign w:val="bottom"/>
          </w:tcPr>
          <w:p w:rsidR="00654601" w:rsidRDefault="00654601" w:rsidP="00654601">
            <w:pPr>
              <w:spacing w:after="0" w:line="259" w:lineRule="auto"/>
              <w:ind w:left="120" w:firstLine="0"/>
            </w:pPr>
            <w:r>
              <w:t xml:space="preserve">4 </w:t>
            </w:r>
          </w:p>
        </w:tc>
        <w:tc>
          <w:tcPr>
            <w:tcW w:w="1594"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w:t>
            </w:r>
            <w:r w:rsidRPr="00654601">
              <w:t>330.68</w:t>
            </w:r>
          </w:p>
        </w:tc>
        <w:tc>
          <w:tcPr>
            <w:tcW w:w="180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trPr>
          <w:trHeight w:val="331"/>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108" w:firstLine="0"/>
            </w:pPr>
            <w:r>
              <w:t xml:space="preserve">Senior Manager </w:t>
            </w:r>
          </w:p>
        </w:tc>
        <w:tc>
          <w:tcPr>
            <w:tcW w:w="132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1 </w:t>
            </w:r>
          </w:p>
        </w:tc>
        <w:tc>
          <w:tcPr>
            <w:tcW w:w="202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143.71 </w:t>
            </w:r>
          </w:p>
        </w:tc>
        <w:tc>
          <w:tcPr>
            <w:tcW w:w="1099" w:type="dxa"/>
            <w:tcBorders>
              <w:top w:val="single" w:sz="4" w:space="0" w:color="000000"/>
              <w:left w:val="single" w:sz="4" w:space="0" w:color="000000"/>
              <w:bottom w:val="single" w:sz="4" w:space="0" w:color="000000"/>
              <w:right w:val="nil"/>
            </w:tcBorders>
          </w:tcPr>
          <w:p w:rsidR="00654601" w:rsidRDefault="00654601" w:rsidP="00654601">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654601" w:rsidRDefault="00654601" w:rsidP="00654601">
            <w:pPr>
              <w:spacing w:after="0" w:line="259" w:lineRule="auto"/>
              <w:ind w:left="120" w:firstLine="0"/>
            </w:pPr>
            <w:r>
              <w:t xml:space="preserve">1 </w:t>
            </w:r>
          </w:p>
        </w:tc>
        <w:tc>
          <w:tcPr>
            <w:tcW w:w="1594"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$143.71 </w:t>
            </w:r>
          </w:p>
        </w:tc>
        <w:tc>
          <w:tcPr>
            <w:tcW w:w="180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trPr>
          <w:trHeight w:val="334"/>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108" w:firstLine="0"/>
            </w:pPr>
            <w:r>
              <w:t xml:space="preserve">Operations Analyst </w:t>
            </w:r>
          </w:p>
        </w:tc>
        <w:tc>
          <w:tcPr>
            <w:tcW w:w="1322"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1 </w:t>
            </w:r>
          </w:p>
        </w:tc>
        <w:tc>
          <w:tcPr>
            <w:tcW w:w="202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 xml:space="preserve">94.08 </w:t>
            </w:r>
          </w:p>
        </w:tc>
        <w:tc>
          <w:tcPr>
            <w:tcW w:w="1099" w:type="dxa"/>
            <w:tcBorders>
              <w:top w:val="single" w:sz="4" w:space="0" w:color="000000"/>
              <w:left w:val="single" w:sz="4" w:space="0" w:color="000000"/>
              <w:bottom w:val="single" w:sz="4" w:space="0" w:color="000000"/>
              <w:right w:val="nil"/>
            </w:tcBorders>
          </w:tcPr>
          <w:p w:rsidR="00654601" w:rsidRDefault="00654601" w:rsidP="00654601">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654601" w:rsidRDefault="00654601" w:rsidP="00654601">
            <w:pPr>
              <w:spacing w:after="0" w:line="259" w:lineRule="auto"/>
              <w:ind w:left="120" w:firstLine="0"/>
            </w:pPr>
            <w:r>
              <w:t xml:space="preserve">3 </w:t>
            </w:r>
          </w:p>
        </w:tc>
        <w:tc>
          <w:tcPr>
            <w:tcW w:w="1594"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w:t>
            </w:r>
            <w:r w:rsidRPr="00AD6F5D">
              <w:t>282.24</w:t>
            </w:r>
          </w:p>
        </w:tc>
        <w:tc>
          <w:tcPr>
            <w:tcW w:w="180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654601" w:rsidTr="003B3D0E">
        <w:trPr>
          <w:trHeight w:val="586"/>
        </w:trPr>
        <w:tc>
          <w:tcPr>
            <w:tcW w:w="2261"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108" w:firstLine="0"/>
            </w:pPr>
            <w:r>
              <w:t xml:space="preserve">Computer Programmer </w:t>
            </w:r>
          </w:p>
        </w:tc>
        <w:tc>
          <w:tcPr>
            <w:tcW w:w="1322"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1 </w:t>
            </w:r>
          </w:p>
        </w:tc>
        <w:tc>
          <w:tcPr>
            <w:tcW w:w="2021" w:type="dxa"/>
            <w:tcBorders>
              <w:top w:val="single" w:sz="4" w:space="0" w:color="000000"/>
              <w:left w:val="single" w:sz="4" w:space="0" w:color="000000"/>
              <w:bottom w:val="single" w:sz="4" w:space="0" w:color="000000"/>
              <w:right w:val="single" w:sz="4" w:space="0" w:color="000000"/>
            </w:tcBorders>
            <w:vAlign w:val="bottom"/>
          </w:tcPr>
          <w:p w:rsidR="00654601" w:rsidRDefault="00654601" w:rsidP="00654601">
            <w:pPr>
              <w:spacing w:after="0" w:line="259" w:lineRule="auto"/>
              <w:ind w:left="0" w:right="60" w:firstLine="0"/>
              <w:jc w:val="right"/>
            </w:pPr>
            <w:r>
              <w:t xml:space="preserve">$73.13 </w:t>
            </w:r>
          </w:p>
        </w:tc>
        <w:tc>
          <w:tcPr>
            <w:tcW w:w="1099" w:type="dxa"/>
            <w:tcBorders>
              <w:top w:val="single" w:sz="4" w:space="0" w:color="000000"/>
              <w:left w:val="single" w:sz="4" w:space="0" w:color="000000"/>
              <w:bottom w:val="single" w:sz="4" w:space="0" w:color="000000"/>
              <w:right w:val="nil"/>
            </w:tcBorders>
          </w:tcPr>
          <w:p w:rsidR="00654601" w:rsidRDefault="00654601" w:rsidP="00654601">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vAlign w:val="bottom"/>
          </w:tcPr>
          <w:p w:rsidR="00654601" w:rsidRDefault="00654601" w:rsidP="00654601">
            <w:pPr>
              <w:spacing w:after="0" w:line="259" w:lineRule="auto"/>
              <w:ind w:left="0" w:firstLine="0"/>
              <w:jc w:val="both"/>
            </w:pPr>
            <w:r>
              <w:t xml:space="preserve">32 </w:t>
            </w:r>
          </w:p>
        </w:tc>
        <w:tc>
          <w:tcPr>
            <w:tcW w:w="1594"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0" w:line="259" w:lineRule="auto"/>
              <w:ind w:left="0" w:right="60" w:firstLine="0"/>
              <w:jc w:val="right"/>
            </w:pPr>
            <w:r>
              <w:t>$</w:t>
            </w:r>
            <w:r w:rsidRPr="00AD6F5D">
              <w:t>2</w:t>
            </w:r>
            <w:r>
              <w:t>,</w:t>
            </w:r>
            <w:r w:rsidRPr="00AD6F5D">
              <w:t>340.16</w:t>
            </w:r>
          </w:p>
        </w:tc>
        <w:tc>
          <w:tcPr>
            <w:tcW w:w="1800" w:type="dxa"/>
            <w:tcBorders>
              <w:top w:val="single" w:sz="4" w:space="0" w:color="000000"/>
              <w:left w:val="single" w:sz="4" w:space="0" w:color="000000"/>
              <w:bottom w:val="single" w:sz="4" w:space="0" w:color="000000"/>
              <w:right w:val="single" w:sz="4" w:space="0" w:color="000000"/>
            </w:tcBorders>
          </w:tcPr>
          <w:p w:rsidR="00654601" w:rsidRDefault="00654601" w:rsidP="00654601">
            <w:pPr>
              <w:spacing w:after="160" w:line="259" w:lineRule="auto"/>
              <w:ind w:left="0" w:firstLine="0"/>
            </w:pPr>
          </w:p>
        </w:tc>
      </w:tr>
      <w:tr w:rsidR="00FB35D4">
        <w:trPr>
          <w:trHeight w:val="386"/>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Fulfillment Manager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2021" w:type="dxa"/>
            <w:tcBorders>
              <w:top w:val="single" w:sz="4" w:space="0" w:color="000000"/>
              <w:left w:val="single" w:sz="4" w:space="0" w:color="000000"/>
              <w:bottom w:val="single" w:sz="4" w:space="0" w:color="000000"/>
              <w:right w:val="single" w:sz="4" w:space="0" w:color="000000"/>
            </w:tcBorders>
          </w:tcPr>
          <w:p w:rsidR="00FB35D4" w:rsidRDefault="00D146CF" w:rsidP="00654601">
            <w:pPr>
              <w:spacing w:after="0" w:line="259" w:lineRule="auto"/>
              <w:ind w:left="0" w:right="60" w:firstLine="0"/>
              <w:jc w:val="right"/>
            </w:pPr>
            <w:r>
              <w:t>$</w:t>
            </w:r>
            <w:r w:rsidR="00654601">
              <w:t>51.18</w:t>
            </w:r>
            <w:r>
              <w:t xml:space="preserve"> </w:t>
            </w:r>
          </w:p>
        </w:tc>
        <w:tc>
          <w:tcPr>
            <w:tcW w:w="1099"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FB35D4" w:rsidRDefault="00D146CF">
            <w:pPr>
              <w:spacing w:after="0" w:line="259" w:lineRule="auto"/>
              <w:ind w:left="120" w:firstLine="0"/>
            </w:pPr>
            <w:r>
              <w:t xml:space="preserve">2 </w:t>
            </w:r>
          </w:p>
        </w:tc>
        <w:tc>
          <w:tcPr>
            <w:tcW w:w="1594"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t>$</w:t>
            </w:r>
            <w:r w:rsidR="00654601" w:rsidRPr="00654601">
              <w:t>102.36</w:t>
            </w:r>
          </w:p>
        </w:tc>
        <w:tc>
          <w:tcPr>
            <w:tcW w:w="180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86"/>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2021" w:type="dxa"/>
            <w:tcBorders>
              <w:top w:val="single" w:sz="4" w:space="0" w:color="000000"/>
              <w:left w:val="single" w:sz="4" w:space="0" w:color="000000"/>
              <w:bottom w:val="single" w:sz="4" w:space="0" w:color="000000"/>
              <w:right w:val="single" w:sz="4" w:space="0" w:color="000000"/>
            </w:tcBorders>
            <w:vAlign w:val="center"/>
          </w:tcPr>
          <w:p w:rsidR="00FB35D4" w:rsidRDefault="00FB35D4">
            <w:pPr>
              <w:spacing w:after="160" w:line="259" w:lineRule="auto"/>
              <w:ind w:left="0" w:firstLine="0"/>
            </w:pPr>
          </w:p>
        </w:tc>
        <w:tc>
          <w:tcPr>
            <w:tcW w:w="1099"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firstLine="0"/>
              <w:jc w:val="both"/>
            </w:pPr>
            <w:r>
              <w:rPr>
                <w:b/>
              </w:rPr>
              <w:t xml:space="preserve">42 </w:t>
            </w:r>
          </w:p>
        </w:tc>
        <w:tc>
          <w:tcPr>
            <w:tcW w:w="1594"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right"/>
            </w:pPr>
            <w:r>
              <w:rPr>
                <w:b/>
              </w:rPr>
              <w:t>$</w:t>
            </w:r>
            <w:r w:rsidR="000D0297" w:rsidRPr="000D0297">
              <w:rPr>
                <w:b/>
              </w:rPr>
              <w:t>3</w:t>
            </w:r>
            <w:r w:rsidR="000D0297">
              <w:rPr>
                <w:b/>
              </w:rPr>
              <w:t>,</w:t>
            </w:r>
            <w:r w:rsidR="000D0297" w:rsidRPr="000D0297">
              <w:rPr>
                <w:b/>
              </w:rPr>
              <w:t>199.15</w:t>
            </w:r>
          </w:p>
        </w:tc>
        <w:tc>
          <w:tcPr>
            <w:tcW w:w="180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0D0297" w:rsidRPr="000D0297">
              <w:rPr>
                <w:b/>
              </w:rPr>
              <w:t>3</w:t>
            </w:r>
            <w:r w:rsidR="000D0297">
              <w:rPr>
                <w:b/>
              </w:rPr>
              <w:t>,</w:t>
            </w:r>
            <w:r w:rsidR="000D0297" w:rsidRPr="000D0297">
              <w:rPr>
                <w:b/>
              </w:rPr>
              <w:t>838</w:t>
            </w:r>
            <w:r w:rsidR="000D0297">
              <w:rPr>
                <w:b/>
              </w:rPr>
              <w:t>,</w:t>
            </w:r>
            <w:r w:rsidR="000D0297" w:rsidRPr="000D0297">
              <w:rPr>
                <w:b/>
              </w:rPr>
              <w:t>980</w:t>
            </w:r>
          </w:p>
        </w:tc>
      </w:tr>
    </w:tbl>
    <w:p w:rsidR="00FB35D4" w:rsidRDefault="00D146CF">
      <w:pPr>
        <w:spacing w:after="10"/>
        <w:ind w:left="-15" w:firstLine="720"/>
      </w:pPr>
      <w:r>
        <w:t xml:space="preserve">Section 156.270(h) requires QHP issuers to maintain records of terminations of coverage in accordance with 155.430(c). We expect that QHP issuers will maintain this information in an electronic data system. The burden estimate associated with this requirement includes the time and effort needed to program the issuer’s electronic data system to retain this information. We estimate that 1,200 QHP issuers will participate in the Marketplaces and be subject to this requirement. As such, we estimate that it will take approximately 60 hours annually for the time and effort to maintain the records for a total of 72,000 hours across all QHP issuers.  </w:t>
      </w:r>
    </w:p>
    <w:tbl>
      <w:tblPr>
        <w:tblStyle w:val="TableGrid"/>
        <w:tblW w:w="10440" w:type="dxa"/>
        <w:tblInd w:w="-5" w:type="dxa"/>
        <w:tblCellMar>
          <w:top w:w="0" w:type="dxa"/>
          <w:left w:w="108" w:type="dxa"/>
          <w:bottom w:w="0" w:type="dxa"/>
          <w:right w:w="48" w:type="dxa"/>
        </w:tblCellMar>
        <w:tblLook w:val="04A0" w:firstRow="1" w:lastRow="0" w:firstColumn="1" w:lastColumn="0" w:noHBand="0" w:noVBand="1"/>
      </w:tblPr>
      <w:tblGrid>
        <w:gridCol w:w="2262"/>
        <w:gridCol w:w="1322"/>
        <w:gridCol w:w="2222"/>
        <w:gridCol w:w="1303"/>
        <w:gridCol w:w="1529"/>
        <w:gridCol w:w="1802"/>
      </w:tblGrid>
      <w:tr w:rsidR="00FB35D4">
        <w:trPr>
          <w:trHeight w:val="1114"/>
        </w:trPr>
        <w:tc>
          <w:tcPr>
            <w:tcW w:w="226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Labor Category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Number </w:t>
            </w:r>
          </w:p>
          <w:p w:rsidR="00FB35D4" w:rsidRDefault="00D146CF">
            <w:pPr>
              <w:spacing w:after="0" w:line="259" w:lineRule="auto"/>
              <w:ind w:left="0" w:firstLine="0"/>
            </w:pPr>
            <w:r>
              <w:rPr>
                <w:b/>
              </w:rPr>
              <w:t xml:space="preserve">of </w:t>
            </w:r>
          </w:p>
          <w:p w:rsidR="00FB35D4" w:rsidRDefault="00D146CF">
            <w:pPr>
              <w:spacing w:after="0" w:line="259" w:lineRule="auto"/>
              <w:ind w:left="0" w:firstLine="0"/>
              <w:jc w:val="both"/>
            </w:pPr>
            <w:r>
              <w:rPr>
                <w:b/>
              </w:rPr>
              <w:t xml:space="preserve">Employees </w:t>
            </w:r>
          </w:p>
        </w:tc>
        <w:tc>
          <w:tcPr>
            <w:tcW w:w="22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rPr>
                <w:b/>
              </w:rPr>
              <w:t xml:space="preserve">Hourly Labor </w:t>
            </w:r>
          </w:p>
          <w:p w:rsidR="00FB35D4" w:rsidRDefault="00D146CF">
            <w:pPr>
              <w:spacing w:after="0" w:line="259" w:lineRule="auto"/>
              <w:ind w:left="0" w:firstLine="0"/>
            </w:pPr>
            <w:r>
              <w:rPr>
                <w:b/>
              </w:rPr>
              <w:t xml:space="preserve">Costs (Hourly rate </w:t>
            </w:r>
          </w:p>
          <w:p w:rsidR="00FB35D4" w:rsidRDefault="00D146CF">
            <w:pPr>
              <w:spacing w:after="0" w:line="259" w:lineRule="auto"/>
              <w:ind w:left="0" w:firstLine="0"/>
            </w:pPr>
            <w:r>
              <w:rPr>
                <w:b/>
              </w:rPr>
              <w:t xml:space="preserve">+ </w:t>
            </w:r>
            <w:r w:rsidR="00054AF5">
              <w:rPr>
                <w:b/>
              </w:rPr>
              <w:t>100%</w:t>
            </w:r>
            <w:r>
              <w:rPr>
                <w:b/>
              </w:rPr>
              <w:t xml:space="preserve"> Fringe</w:t>
            </w:r>
          </w:p>
          <w:p w:rsidR="00FB35D4" w:rsidRDefault="003036C0">
            <w:pPr>
              <w:spacing w:after="0" w:line="259" w:lineRule="auto"/>
              <w:ind w:left="0" w:firstLine="0"/>
            </w:pPr>
            <w:r>
              <w:rPr>
                <w:b/>
              </w:rPr>
              <w:t>B</w:t>
            </w:r>
            <w:r w:rsidR="00D146CF">
              <w:rPr>
                <w:b/>
              </w:rPr>
              <w:t>enefits</w:t>
            </w:r>
          </w:p>
        </w:tc>
        <w:tc>
          <w:tcPr>
            <w:tcW w:w="1303"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Burden Hours </w:t>
            </w:r>
          </w:p>
        </w:tc>
        <w:tc>
          <w:tcPr>
            <w:tcW w:w="1529"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firstLine="0"/>
            </w:pPr>
            <w:r>
              <w:rPr>
                <w:b/>
              </w:rPr>
              <w:t xml:space="preserve">Total </w:t>
            </w:r>
          </w:p>
          <w:p w:rsidR="00FB35D4" w:rsidRDefault="00D146CF">
            <w:pPr>
              <w:spacing w:after="0" w:line="259" w:lineRule="auto"/>
              <w:ind w:left="0" w:firstLine="0"/>
            </w:pPr>
            <w:r>
              <w:rPr>
                <w:b/>
              </w:rPr>
              <w:t xml:space="preserve">Burden </w:t>
            </w:r>
          </w:p>
          <w:p w:rsidR="00FB35D4" w:rsidRDefault="00D146CF">
            <w:pPr>
              <w:spacing w:after="0" w:line="259" w:lineRule="auto"/>
              <w:ind w:left="0" w:firstLine="0"/>
            </w:pPr>
            <w:r>
              <w:rPr>
                <w:b/>
              </w:rPr>
              <w:t xml:space="preserve">Costs </w:t>
            </w:r>
          </w:p>
        </w:tc>
        <w:tc>
          <w:tcPr>
            <w:tcW w:w="180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11" w:firstLine="0"/>
            </w:pPr>
            <w:r>
              <w:rPr>
                <w:b/>
              </w:rPr>
              <w:t xml:space="preserve">Total Burden Costs (per year) </w:t>
            </w:r>
          </w:p>
        </w:tc>
      </w:tr>
      <w:tr w:rsidR="00FB35D4">
        <w:trPr>
          <w:trHeight w:val="564"/>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Health Policy Analyst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1 </w:t>
            </w:r>
          </w:p>
        </w:tc>
        <w:tc>
          <w:tcPr>
            <w:tcW w:w="22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AD6F5D">
              <w:t>82.67</w:t>
            </w:r>
            <w:r>
              <w:t xml:space="preserve"> </w:t>
            </w:r>
          </w:p>
        </w:tc>
        <w:tc>
          <w:tcPr>
            <w:tcW w:w="1303"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10 </w:t>
            </w:r>
          </w:p>
        </w:tc>
        <w:tc>
          <w:tcPr>
            <w:tcW w:w="1529"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0D0297" w:rsidRPr="000D0297">
              <w:t>826.7</w:t>
            </w:r>
            <w:r w:rsidR="000D0297">
              <w:t>0</w:t>
            </w:r>
          </w:p>
        </w:tc>
        <w:tc>
          <w:tcPr>
            <w:tcW w:w="180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2"/>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Computer Programmer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1 </w:t>
            </w:r>
          </w:p>
        </w:tc>
        <w:tc>
          <w:tcPr>
            <w:tcW w:w="22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AD6F5D">
              <w:t>73.13</w:t>
            </w:r>
            <w:r>
              <w:t xml:space="preserve"> </w:t>
            </w:r>
          </w:p>
        </w:tc>
        <w:tc>
          <w:tcPr>
            <w:tcW w:w="1303"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40 </w:t>
            </w:r>
          </w:p>
        </w:tc>
        <w:tc>
          <w:tcPr>
            <w:tcW w:w="1529"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0D0297" w:rsidRPr="000D0297">
              <w:t>2</w:t>
            </w:r>
            <w:r w:rsidR="000D0297">
              <w:t>,</w:t>
            </w:r>
            <w:r w:rsidR="000D0297" w:rsidRPr="000D0297">
              <w:t>925.2</w:t>
            </w:r>
            <w:r w:rsidR="000D0297">
              <w:t>0</w:t>
            </w:r>
          </w:p>
        </w:tc>
        <w:tc>
          <w:tcPr>
            <w:tcW w:w="180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10"/>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Operations Analyst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22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94.08</w:t>
            </w: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10 </w:t>
            </w:r>
          </w:p>
        </w:tc>
        <w:tc>
          <w:tcPr>
            <w:tcW w:w="152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0D0297" w:rsidRPr="000D0297">
              <w:t>940.8</w:t>
            </w:r>
            <w:r w:rsidR="000D0297">
              <w:t>0</w:t>
            </w:r>
          </w:p>
        </w:tc>
        <w:tc>
          <w:tcPr>
            <w:tcW w:w="180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10"/>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rPr>
                <w:b/>
              </w:rPr>
              <w:t xml:space="preserve">Total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222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1303"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 xml:space="preserve"> 60 </w:t>
            </w:r>
          </w:p>
        </w:tc>
        <w:tc>
          <w:tcPr>
            <w:tcW w:w="152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0D0297" w:rsidRPr="000D0297">
              <w:rPr>
                <w:b/>
              </w:rPr>
              <w:t>4</w:t>
            </w:r>
            <w:r w:rsidR="000D0297">
              <w:rPr>
                <w:b/>
              </w:rPr>
              <w:t>,</w:t>
            </w:r>
            <w:r w:rsidR="000D0297" w:rsidRPr="000D0297">
              <w:rPr>
                <w:b/>
              </w:rPr>
              <w:t>692.7</w:t>
            </w:r>
            <w:r w:rsidR="000D0297">
              <w:rPr>
                <w:b/>
              </w:rPr>
              <w:t>0</w:t>
            </w:r>
          </w:p>
        </w:tc>
        <w:tc>
          <w:tcPr>
            <w:tcW w:w="180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0D0297" w:rsidRPr="000D0297">
              <w:rPr>
                <w:b/>
              </w:rPr>
              <w:t>5</w:t>
            </w:r>
            <w:r w:rsidR="000D0297">
              <w:rPr>
                <w:b/>
              </w:rPr>
              <w:t>,</w:t>
            </w:r>
            <w:r w:rsidR="000D0297" w:rsidRPr="000D0297">
              <w:rPr>
                <w:b/>
              </w:rPr>
              <w:t>631</w:t>
            </w:r>
            <w:r w:rsidR="000D0297">
              <w:rPr>
                <w:b/>
              </w:rPr>
              <w:t>,</w:t>
            </w:r>
            <w:r w:rsidR="000D0297" w:rsidRPr="000D0297">
              <w:rPr>
                <w:b/>
              </w:rPr>
              <w:t>240</w:t>
            </w:r>
          </w:p>
        </w:tc>
      </w:tr>
    </w:tbl>
    <w:p w:rsidR="00FB35D4" w:rsidRDefault="00D146CF">
      <w:pPr>
        <w:spacing w:after="0"/>
        <w:ind w:left="-15" w:firstLine="720"/>
      </w:pPr>
      <w:r>
        <w:t xml:space="preserve">Section 156.290 requires QHP issuers to notify the Exchange and each enrollee if the QHP issuer voluntarily decides not to renew participation of a QHP on the Exchange. The burden estimate associated with each of these requirements includes the time and effort needed to draft separate notices of non-renewal to HHS and to enrollees, and to develop an automated process to distribute to the notice to enrollees as appropriate. We anticipate that half of enrollees will request electronic notification while the other half will receive the notice by mail. As a result, we estimated the associated mailing costs for the time and effort needed to mail notices in bulk to enrollees as appropriate. We estimate that 1,200 issuers will participate in the Exchanges, and of that amount, less than 5% might elect to not renew participation annually.  This represents an upper bound for the estimate. We estimate that it will take approximately 41 hours annually for the time and effort to develop and transmit both notices, for a total of 2,460 hours across all affected QHP issuers.  </w:t>
      </w:r>
    </w:p>
    <w:tbl>
      <w:tblPr>
        <w:tblStyle w:val="TableGrid"/>
        <w:tblW w:w="10322" w:type="dxa"/>
        <w:tblInd w:w="-5" w:type="dxa"/>
        <w:tblCellMar>
          <w:top w:w="0" w:type="dxa"/>
          <w:left w:w="0" w:type="dxa"/>
          <w:bottom w:w="0" w:type="dxa"/>
          <w:right w:w="48" w:type="dxa"/>
        </w:tblCellMar>
        <w:tblLook w:val="04A0" w:firstRow="1" w:lastRow="0" w:firstColumn="1" w:lastColumn="0" w:noHBand="0" w:noVBand="1"/>
      </w:tblPr>
      <w:tblGrid>
        <w:gridCol w:w="2261"/>
        <w:gridCol w:w="1322"/>
        <w:gridCol w:w="2119"/>
        <w:gridCol w:w="1092"/>
        <w:gridCol w:w="408"/>
        <w:gridCol w:w="1620"/>
        <w:gridCol w:w="1500"/>
      </w:tblGrid>
      <w:tr w:rsidR="00FB35D4">
        <w:trPr>
          <w:trHeight w:val="1114"/>
        </w:trPr>
        <w:tc>
          <w:tcPr>
            <w:tcW w:w="2261"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Labor Category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Number </w:t>
            </w:r>
          </w:p>
          <w:p w:rsidR="00FB35D4" w:rsidRDefault="00D146CF">
            <w:pPr>
              <w:spacing w:after="0" w:line="259" w:lineRule="auto"/>
              <w:ind w:left="108" w:firstLine="0"/>
            </w:pPr>
            <w:r>
              <w:rPr>
                <w:b/>
              </w:rPr>
              <w:t xml:space="preserve">of </w:t>
            </w:r>
          </w:p>
          <w:p w:rsidR="00FB35D4" w:rsidRDefault="00D146CF">
            <w:pPr>
              <w:spacing w:after="0" w:line="259" w:lineRule="auto"/>
              <w:ind w:left="108" w:firstLine="0"/>
              <w:jc w:val="both"/>
            </w:pPr>
            <w:r>
              <w:rPr>
                <w:b/>
              </w:rPr>
              <w:t xml:space="preserve">Employees </w:t>
            </w:r>
          </w:p>
        </w:tc>
        <w:tc>
          <w:tcPr>
            <w:tcW w:w="211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right="59" w:firstLine="0"/>
            </w:pPr>
            <w:r>
              <w:rPr>
                <w:b/>
              </w:rPr>
              <w:t xml:space="preserve">Hourly Labor Costs (Hourly rate + </w:t>
            </w:r>
            <w:r w:rsidR="00054AF5">
              <w:rPr>
                <w:b/>
              </w:rPr>
              <w:t>100%</w:t>
            </w:r>
            <w:r>
              <w:rPr>
                <w:b/>
              </w:rPr>
              <w:t xml:space="preserve"> Fringe benefits </w:t>
            </w:r>
          </w:p>
        </w:tc>
        <w:tc>
          <w:tcPr>
            <w:tcW w:w="1092" w:type="dxa"/>
            <w:tcBorders>
              <w:top w:val="single" w:sz="4" w:space="0" w:color="000000"/>
              <w:left w:val="single" w:sz="4" w:space="0" w:color="000000"/>
              <w:bottom w:val="single" w:sz="4" w:space="0" w:color="000000"/>
              <w:right w:val="nil"/>
            </w:tcBorders>
            <w:vAlign w:val="bottom"/>
          </w:tcPr>
          <w:p w:rsidR="00FB35D4" w:rsidRDefault="00D146CF">
            <w:pPr>
              <w:spacing w:after="0" w:line="259" w:lineRule="auto"/>
              <w:ind w:left="108" w:firstLine="0"/>
            </w:pPr>
            <w:r>
              <w:rPr>
                <w:b/>
              </w:rPr>
              <w:t xml:space="preserve">Burden Hours </w:t>
            </w:r>
          </w:p>
        </w:tc>
        <w:tc>
          <w:tcPr>
            <w:tcW w:w="408" w:type="dxa"/>
            <w:tcBorders>
              <w:top w:val="single" w:sz="4" w:space="0" w:color="000000"/>
              <w:left w:val="nil"/>
              <w:bottom w:val="single" w:sz="4" w:space="0" w:color="000000"/>
              <w:right w:val="single" w:sz="4" w:space="0" w:color="000000"/>
            </w:tcBorders>
          </w:tcPr>
          <w:p w:rsidR="00FB35D4" w:rsidRDefault="00FB35D4">
            <w:pPr>
              <w:spacing w:after="160" w:line="259" w:lineRule="auto"/>
              <w:ind w:left="0" w:firstLine="0"/>
            </w:pPr>
          </w:p>
        </w:tc>
        <w:tc>
          <w:tcPr>
            <w:tcW w:w="162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108" w:firstLine="0"/>
            </w:pPr>
            <w:r>
              <w:rPr>
                <w:b/>
              </w:rPr>
              <w:t xml:space="preserve">Total Burden Costs  </w:t>
            </w:r>
          </w:p>
        </w:tc>
        <w:tc>
          <w:tcPr>
            <w:tcW w:w="150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w:t>
            </w:r>
          </w:p>
          <w:p w:rsidR="00FB35D4" w:rsidRDefault="00D146CF">
            <w:pPr>
              <w:spacing w:after="0" w:line="259" w:lineRule="auto"/>
              <w:ind w:left="108" w:firstLine="0"/>
            </w:pPr>
            <w:r>
              <w:rPr>
                <w:b/>
              </w:rPr>
              <w:t xml:space="preserve">Burden </w:t>
            </w:r>
          </w:p>
          <w:p w:rsidR="00FB35D4" w:rsidRDefault="00D146CF">
            <w:pPr>
              <w:spacing w:after="0" w:line="259" w:lineRule="auto"/>
              <w:ind w:left="108" w:firstLine="0"/>
            </w:pPr>
            <w:r>
              <w:rPr>
                <w:b/>
              </w:rPr>
              <w:t xml:space="preserve">Costs (per year) </w:t>
            </w:r>
          </w:p>
        </w:tc>
      </w:tr>
      <w:tr w:rsidR="00FB35D4">
        <w:trPr>
          <w:trHeight w:val="360"/>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Operations Analyst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94.08</w:t>
            </w:r>
            <w:r>
              <w:t xml:space="preserve"> </w:t>
            </w:r>
          </w:p>
        </w:tc>
        <w:tc>
          <w:tcPr>
            <w:tcW w:w="1092"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0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right="60" w:firstLine="0"/>
              <w:jc w:val="right"/>
            </w:pPr>
            <w:r>
              <w:t xml:space="preserve">6 </w:t>
            </w:r>
          </w:p>
        </w:tc>
        <w:tc>
          <w:tcPr>
            <w:tcW w:w="162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3036C0" w:rsidRPr="003036C0">
              <w:t>564.48</w:t>
            </w:r>
          </w:p>
        </w:tc>
        <w:tc>
          <w:tcPr>
            <w:tcW w:w="150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12"/>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Senior Manager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143.71</w:t>
            </w:r>
            <w:r>
              <w:t xml:space="preserve"> </w:t>
            </w:r>
          </w:p>
        </w:tc>
        <w:tc>
          <w:tcPr>
            <w:tcW w:w="1092"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0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AD6F5D">
              <w:t>143.71</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2"/>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Health Policy Analyst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1 </w:t>
            </w:r>
          </w:p>
        </w:tc>
        <w:tc>
          <w:tcPr>
            <w:tcW w:w="2119"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$51.48 </w:t>
            </w:r>
          </w:p>
        </w:tc>
        <w:tc>
          <w:tcPr>
            <w:tcW w:w="1092"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08" w:type="dxa"/>
            <w:tcBorders>
              <w:top w:val="single" w:sz="4" w:space="0" w:color="000000"/>
              <w:left w:val="nil"/>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6 </w:t>
            </w:r>
          </w:p>
        </w:tc>
        <w:tc>
          <w:tcPr>
            <w:tcW w:w="162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$308.88 </w:t>
            </w:r>
          </w:p>
        </w:tc>
        <w:tc>
          <w:tcPr>
            <w:tcW w:w="150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562"/>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Computer Programmer </w:t>
            </w:r>
          </w:p>
        </w:tc>
        <w:tc>
          <w:tcPr>
            <w:tcW w:w="1322"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 xml:space="preserve">1 </w:t>
            </w:r>
          </w:p>
        </w:tc>
        <w:tc>
          <w:tcPr>
            <w:tcW w:w="2119"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AD6F5D">
              <w:t>73.13</w:t>
            </w:r>
            <w:r>
              <w:t xml:space="preserve"> </w:t>
            </w:r>
          </w:p>
        </w:tc>
        <w:tc>
          <w:tcPr>
            <w:tcW w:w="1092"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08" w:type="dxa"/>
            <w:tcBorders>
              <w:top w:val="single" w:sz="4" w:space="0" w:color="000000"/>
              <w:left w:val="nil"/>
              <w:bottom w:val="single" w:sz="4" w:space="0" w:color="000000"/>
              <w:right w:val="single" w:sz="4" w:space="0" w:color="000000"/>
            </w:tcBorders>
            <w:vAlign w:val="bottom"/>
          </w:tcPr>
          <w:p w:rsidR="00FB35D4" w:rsidRDefault="00D146CF">
            <w:pPr>
              <w:spacing w:after="0" w:line="259" w:lineRule="auto"/>
              <w:ind w:left="60" w:firstLine="0"/>
              <w:jc w:val="both"/>
            </w:pPr>
            <w:r>
              <w:t xml:space="preserve">24 </w:t>
            </w:r>
          </w:p>
        </w:tc>
        <w:tc>
          <w:tcPr>
            <w:tcW w:w="1620" w:type="dxa"/>
            <w:tcBorders>
              <w:top w:val="single" w:sz="4" w:space="0" w:color="000000"/>
              <w:left w:val="single" w:sz="4" w:space="0" w:color="000000"/>
              <w:bottom w:val="single" w:sz="4" w:space="0" w:color="000000"/>
              <w:right w:val="single" w:sz="4" w:space="0" w:color="000000"/>
            </w:tcBorders>
            <w:vAlign w:val="bottom"/>
          </w:tcPr>
          <w:p w:rsidR="00FB35D4" w:rsidRDefault="00D146CF">
            <w:pPr>
              <w:spacing w:after="0" w:line="259" w:lineRule="auto"/>
              <w:ind w:left="0" w:right="60" w:firstLine="0"/>
              <w:jc w:val="right"/>
            </w:pPr>
            <w:r>
              <w:t>$</w:t>
            </w:r>
            <w:r w:rsidR="003036C0" w:rsidRPr="003036C0">
              <w:t>1</w:t>
            </w:r>
            <w:r w:rsidR="003036C0">
              <w:t>,</w:t>
            </w:r>
            <w:r w:rsidR="003036C0" w:rsidRPr="003036C0">
              <w:t>755.12</w:t>
            </w:r>
          </w:p>
        </w:tc>
        <w:tc>
          <w:tcPr>
            <w:tcW w:w="150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10"/>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t xml:space="preserve">Fulfillment Manager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FB35D4" w:rsidRDefault="003036C0">
            <w:pPr>
              <w:spacing w:after="0" w:line="259" w:lineRule="auto"/>
              <w:ind w:left="0" w:right="60" w:firstLine="0"/>
              <w:jc w:val="right"/>
            </w:pPr>
            <w:r>
              <w:t>$51.18</w:t>
            </w:r>
            <w:r w:rsidR="00D146CF">
              <w:t xml:space="preserve"> </w:t>
            </w:r>
          </w:p>
        </w:tc>
        <w:tc>
          <w:tcPr>
            <w:tcW w:w="1092"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0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right="60" w:firstLine="0"/>
              <w:jc w:val="right"/>
            </w:pPr>
            <w:r>
              <w:t xml:space="preserve">4 </w:t>
            </w:r>
          </w:p>
        </w:tc>
        <w:tc>
          <w:tcPr>
            <w:tcW w:w="162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w:t>
            </w:r>
            <w:r w:rsidR="003036C0" w:rsidRPr="003036C0">
              <w:t>204.72</w:t>
            </w:r>
          </w:p>
        </w:tc>
        <w:tc>
          <w:tcPr>
            <w:tcW w:w="150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310"/>
        </w:trPr>
        <w:tc>
          <w:tcPr>
            <w:tcW w:w="2261"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08" w:firstLine="0"/>
            </w:pPr>
            <w:r>
              <w:rPr>
                <w:b/>
              </w:rPr>
              <w:t xml:space="preserve">Total </w:t>
            </w:r>
          </w:p>
        </w:tc>
        <w:tc>
          <w:tcPr>
            <w:tcW w:w="1322"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2119"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1092" w:type="dxa"/>
            <w:tcBorders>
              <w:top w:val="single" w:sz="4" w:space="0" w:color="000000"/>
              <w:left w:val="single" w:sz="4" w:space="0" w:color="000000"/>
              <w:bottom w:val="single" w:sz="4" w:space="0" w:color="000000"/>
              <w:right w:val="nil"/>
            </w:tcBorders>
          </w:tcPr>
          <w:p w:rsidR="00FB35D4" w:rsidRDefault="00FB35D4">
            <w:pPr>
              <w:spacing w:after="160" w:line="259" w:lineRule="auto"/>
              <w:ind w:left="0" w:firstLine="0"/>
            </w:pPr>
          </w:p>
        </w:tc>
        <w:tc>
          <w:tcPr>
            <w:tcW w:w="408" w:type="dxa"/>
            <w:tcBorders>
              <w:top w:val="single" w:sz="4" w:space="0" w:color="000000"/>
              <w:left w:val="nil"/>
              <w:bottom w:val="single" w:sz="4" w:space="0" w:color="000000"/>
              <w:right w:val="single" w:sz="4" w:space="0" w:color="000000"/>
            </w:tcBorders>
          </w:tcPr>
          <w:p w:rsidR="00FB35D4" w:rsidRDefault="00D146CF">
            <w:pPr>
              <w:spacing w:after="0" w:line="259" w:lineRule="auto"/>
              <w:ind w:left="0" w:firstLine="0"/>
              <w:jc w:val="both"/>
            </w:pPr>
            <w:r>
              <w:rPr>
                <w:b/>
              </w:rPr>
              <w:t xml:space="preserve"> 41 </w:t>
            </w:r>
          </w:p>
        </w:tc>
        <w:tc>
          <w:tcPr>
            <w:tcW w:w="162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w:t>
            </w:r>
            <w:r w:rsidR="003036C0" w:rsidRPr="003036C0">
              <w:rPr>
                <w:b/>
              </w:rPr>
              <w:t>2</w:t>
            </w:r>
            <w:r w:rsidR="003036C0">
              <w:rPr>
                <w:b/>
              </w:rPr>
              <w:t>,</w:t>
            </w:r>
            <w:r w:rsidR="003036C0" w:rsidRPr="003036C0">
              <w:rPr>
                <w:b/>
              </w:rPr>
              <w:t>976.91</w:t>
            </w:r>
          </w:p>
        </w:tc>
        <w:tc>
          <w:tcPr>
            <w:tcW w:w="150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192" w:firstLine="0"/>
            </w:pPr>
            <w:r>
              <w:rPr>
                <w:b/>
              </w:rPr>
              <w:t>$</w:t>
            </w:r>
            <w:r w:rsidR="0053280C" w:rsidRPr="0053280C">
              <w:rPr>
                <w:b/>
              </w:rPr>
              <w:t>178</w:t>
            </w:r>
            <w:r w:rsidR="0053280C">
              <w:rPr>
                <w:b/>
              </w:rPr>
              <w:t>,</w:t>
            </w:r>
            <w:r w:rsidR="0053280C" w:rsidRPr="0053280C">
              <w:rPr>
                <w:b/>
              </w:rPr>
              <w:t>614.6</w:t>
            </w:r>
            <w:r w:rsidR="0053280C">
              <w:rPr>
                <w:b/>
              </w:rPr>
              <w:t>0</w:t>
            </w:r>
          </w:p>
        </w:tc>
      </w:tr>
    </w:tbl>
    <w:p w:rsidR="00FB35D4" w:rsidRDefault="00D146CF">
      <w:pPr>
        <w:spacing w:after="252" w:line="259" w:lineRule="auto"/>
        <w:ind w:left="-5"/>
      </w:pPr>
      <w:r>
        <w:t xml:space="preserve">13. </w:t>
      </w:r>
      <w:r>
        <w:rPr>
          <w:u w:val="single" w:color="000000"/>
        </w:rPr>
        <w:t>Capital Costs</w:t>
      </w:r>
    </w:p>
    <w:p w:rsidR="00FB35D4" w:rsidRDefault="00D146CF">
      <w:pPr>
        <w:ind w:left="370"/>
      </w:pPr>
      <w:r>
        <w:t>There are no additional record keeping/capital costs.</w:t>
      </w:r>
    </w:p>
    <w:p w:rsidR="00FB35D4" w:rsidRDefault="00D146CF">
      <w:pPr>
        <w:pStyle w:val="Heading2"/>
        <w:ind w:left="-5"/>
      </w:pPr>
      <w:r>
        <w:rPr>
          <w:u w:val="none"/>
        </w:rPr>
        <w:t xml:space="preserve">14. </w:t>
      </w:r>
      <w:r>
        <w:t>Cost to Federal Government</w:t>
      </w:r>
    </w:p>
    <w:p w:rsidR="00FB35D4" w:rsidRDefault="00D146CF">
      <w:pPr>
        <w:spacing w:after="10"/>
        <w:ind w:left="-15" w:firstLine="432"/>
      </w:pPr>
      <w:r>
        <w:t xml:space="preserve">The burden to the Federal Government to ensure compliance of qualified health plans with reporting requirements is $133,483.20. The calculations for CCIIO employees’ hourly salary were obtained from the OPM Web site: </w:t>
      </w:r>
      <w:hyperlink r:id="rId11">
        <w:r>
          <w:rPr>
            <w:color w:val="0000FF"/>
            <w:u w:val="single" w:color="0000FF"/>
          </w:rPr>
          <w:t>https://www.opm.gov/policy-data-oversight/pay-leave/salaries</w:t>
        </w:r>
      </w:hyperlink>
      <w:hyperlink r:id="rId12">
        <w:r>
          <w:rPr>
            <w:color w:val="0000FF"/>
            <w:u w:val="single" w:color="0000FF"/>
          </w:rPr>
          <w:t>wages/salary-tables/pdf/2015/DCB_h.pdf.</w:t>
        </w:r>
      </w:hyperlink>
      <w:hyperlink r:id="rId13">
        <w:r>
          <w:t xml:space="preserve"> </w:t>
        </w:r>
      </w:hyperlink>
      <w:r>
        <w:t xml:space="preserve"> </w:t>
      </w:r>
    </w:p>
    <w:tbl>
      <w:tblPr>
        <w:tblStyle w:val="TableGrid"/>
        <w:tblW w:w="9720" w:type="dxa"/>
        <w:tblInd w:w="-108" w:type="dxa"/>
        <w:tblCellMar>
          <w:top w:w="0" w:type="dxa"/>
          <w:left w:w="108" w:type="dxa"/>
          <w:bottom w:w="0" w:type="dxa"/>
          <w:right w:w="48" w:type="dxa"/>
        </w:tblCellMar>
        <w:tblLook w:val="04A0" w:firstRow="1" w:lastRow="0" w:firstColumn="1" w:lastColumn="0" w:noHBand="0" w:noVBand="1"/>
      </w:tblPr>
      <w:tblGrid>
        <w:gridCol w:w="4860"/>
        <w:gridCol w:w="4860"/>
      </w:tblGrid>
      <w:tr w:rsidR="00FB35D4">
        <w:trPr>
          <w:trHeight w:val="286"/>
        </w:trPr>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59" w:firstLine="0"/>
              <w:jc w:val="center"/>
            </w:pPr>
            <w:r>
              <w:rPr>
                <w:b/>
              </w:rPr>
              <w:t xml:space="preserve">Task </w:t>
            </w:r>
          </w:p>
        </w:tc>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2" w:firstLine="0"/>
              <w:jc w:val="center"/>
            </w:pPr>
            <w:r>
              <w:rPr>
                <w:b/>
              </w:rPr>
              <w:t xml:space="preserve">Estimated Cost </w:t>
            </w:r>
          </w:p>
        </w:tc>
      </w:tr>
      <w:tr w:rsidR="00FB35D4">
        <w:trPr>
          <w:trHeight w:val="288"/>
        </w:trPr>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Review of  Issuer data </w:t>
            </w:r>
          </w:p>
        </w:tc>
        <w:tc>
          <w:tcPr>
            <w:tcW w:w="486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6"/>
        </w:trPr>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     5 GS-13: 5 x $43.52 x 480 hours </w:t>
            </w:r>
          </w:p>
        </w:tc>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$104,448.00 </w:t>
            </w:r>
          </w:p>
        </w:tc>
      </w:tr>
      <w:tr w:rsidR="00FB35D4">
        <w:trPr>
          <w:trHeight w:val="286"/>
        </w:trPr>
        <w:tc>
          <w:tcPr>
            <w:tcW w:w="486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486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8"/>
        </w:trPr>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Managerial Review and Oversight </w:t>
            </w:r>
          </w:p>
        </w:tc>
        <w:tc>
          <w:tcPr>
            <w:tcW w:w="486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6"/>
        </w:trPr>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t xml:space="preserve">     1 GS-15: 1 x $60.49 x 480 hours </w:t>
            </w:r>
          </w:p>
        </w:tc>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t xml:space="preserve">$29,035.20 </w:t>
            </w:r>
          </w:p>
        </w:tc>
      </w:tr>
      <w:tr w:rsidR="00FB35D4">
        <w:trPr>
          <w:trHeight w:val="286"/>
        </w:trPr>
        <w:tc>
          <w:tcPr>
            <w:tcW w:w="486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c>
          <w:tcPr>
            <w:tcW w:w="4860" w:type="dxa"/>
            <w:tcBorders>
              <w:top w:val="single" w:sz="4" w:space="0" w:color="000000"/>
              <w:left w:val="single" w:sz="4" w:space="0" w:color="000000"/>
              <w:bottom w:val="single" w:sz="4" w:space="0" w:color="000000"/>
              <w:right w:val="single" w:sz="4" w:space="0" w:color="000000"/>
            </w:tcBorders>
          </w:tcPr>
          <w:p w:rsidR="00FB35D4" w:rsidRDefault="00FB35D4">
            <w:pPr>
              <w:spacing w:after="160" w:line="259" w:lineRule="auto"/>
              <w:ind w:left="0" w:firstLine="0"/>
            </w:pPr>
          </w:p>
        </w:tc>
      </w:tr>
      <w:tr w:rsidR="00FB35D4">
        <w:trPr>
          <w:trHeight w:val="286"/>
        </w:trPr>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firstLine="0"/>
            </w:pPr>
            <w:r>
              <w:rPr>
                <w:b/>
              </w:rPr>
              <w:t xml:space="preserve">Total Costs to Government </w:t>
            </w:r>
          </w:p>
        </w:tc>
        <w:tc>
          <w:tcPr>
            <w:tcW w:w="4860" w:type="dxa"/>
            <w:tcBorders>
              <w:top w:val="single" w:sz="4" w:space="0" w:color="000000"/>
              <w:left w:val="single" w:sz="4" w:space="0" w:color="000000"/>
              <w:bottom w:val="single" w:sz="4" w:space="0" w:color="000000"/>
              <w:right w:val="single" w:sz="4" w:space="0" w:color="000000"/>
            </w:tcBorders>
          </w:tcPr>
          <w:p w:rsidR="00FB35D4" w:rsidRDefault="00D146CF">
            <w:pPr>
              <w:spacing w:after="0" w:line="259" w:lineRule="auto"/>
              <w:ind w:left="0" w:right="60" w:firstLine="0"/>
              <w:jc w:val="right"/>
            </w:pPr>
            <w:r>
              <w:rPr>
                <w:b/>
              </w:rPr>
              <w:t xml:space="preserve">$133,483.20 </w:t>
            </w:r>
          </w:p>
        </w:tc>
      </w:tr>
    </w:tbl>
    <w:p w:rsidR="00054AF5" w:rsidRDefault="00054AF5">
      <w:pPr>
        <w:pStyle w:val="Heading2"/>
        <w:ind w:left="-5"/>
        <w:rPr>
          <w:u w:val="none"/>
        </w:rPr>
      </w:pPr>
    </w:p>
    <w:p w:rsidR="00FB35D4" w:rsidRDefault="00D146CF">
      <w:pPr>
        <w:pStyle w:val="Heading2"/>
        <w:ind w:left="-5"/>
      </w:pPr>
      <w:r>
        <w:rPr>
          <w:u w:val="none"/>
        </w:rPr>
        <w:t xml:space="preserve">15. </w:t>
      </w:r>
      <w:r>
        <w:t>Explanation for Program Changes or Adjustments</w:t>
      </w:r>
    </w:p>
    <w:p w:rsidR="00D146CF" w:rsidRDefault="00054AF5" w:rsidP="00D146CF">
      <w:pPr>
        <w:spacing w:after="542"/>
        <w:ind w:left="-5"/>
      </w:pPr>
      <w:r>
        <w:t>T</w:t>
      </w:r>
      <w:r w:rsidR="00D146CF">
        <w:t>his is a new information collection request.</w:t>
      </w:r>
    </w:p>
    <w:p w:rsidR="00D146CF" w:rsidRDefault="00D146CF" w:rsidP="00D146CF">
      <w:pPr>
        <w:spacing w:after="542"/>
        <w:ind w:left="-5"/>
      </w:pPr>
      <w:r>
        <w:t xml:space="preserve">16. </w:t>
      </w:r>
      <w:r>
        <w:rPr>
          <w:u w:val="single" w:color="000000"/>
        </w:rPr>
        <w:t>Publication/Tabulation Dates</w:t>
      </w:r>
    </w:p>
    <w:p w:rsidR="00D146CF" w:rsidRDefault="00D146CF" w:rsidP="00D146CF">
      <w:pPr>
        <w:spacing w:after="0" w:line="476" w:lineRule="auto"/>
        <w:ind w:left="432" w:right="43" w:firstLine="0"/>
      </w:pPr>
      <w:r>
        <w:t>Data collection results will not be published.</w:t>
      </w:r>
    </w:p>
    <w:p w:rsidR="00D146CF" w:rsidRPr="00D146CF" w:rsidRDefault="00D146CF" w:rsidP="00D146CF">
      <w:pPr>
        <w:pStyle w:val="ListParagraph"/>
        <w:numPr>
          <w:ilvl w:val="0"/>
          <w:numId w:val="3"/>
        </w:numPr>
        <w:spacing w:after="0" w:line="476" w:lineRule="auto"/>
        <w:ind w:left="360" w:right="6470"/>
      </w:pPr>
      <w:r>
        <w:rPr>
          <w:u w:val="single" w:color="000000"/>
        </w:rPr>
        <w:t xml:space="preserve"> </w:t>
      </w:r>
      <w:r w:rsidRPr="00D146CF">
        <w:rPr>
          <w:u w:val="single" w:color="000000"/>
        </w:rPr>
        <w:t>Expiration Date</w:t>
      </w:r>
    </w:p>
    <w:p w:rsidR="00FB35D4" w:rsidRDefault="00D146CF" w:rsidP="00D146CF">
      <w:pPr>
        <w:spacing w:after="0" w:line="476" w:lineRule="auto"/>
        <w:ind w:left="432" w:right="43" w:firstLine="0"/>
      </w:pPr>
      <w:r>
        <w:t>Not applicable as the collection does not include data collection instruments.</w:t>
      </w:r>
    </w:p>
    <w:sectPr w:rsidR="00FB35D4" w:rsidSect="00054AF5">
      <w:headerReference w:type="even" r:id="rId14"/>
      <w:headerReference w:type="default" r:id="rId15"/>
      <w:footerReference w:type="even" r:id="rId16"/>
      <w:footerReference w:type="default" r:id="rId17"/>
      <w:headerReference w:type="first" r:id="rId18"/>
      <w:footerReference w:type="first" r:id="rId19"/>
      <w:pgSz w:w="12240" w:h="15840"/>
      <w:pgMar w:top="1440" w:right="1307" w:bottom="1440" w:left="1440" w:header="877" w:footer="162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F81" w:rsidRDefault="00884F81">
      <w:pPr>
        <w:spacing w:after="0" w:line="240" w:lineRule="auto"/>
      </w:pPr>
      <w:r>
        <w:separator/>
      </w:r>
    </w:p>
  </w:endnote>
  <w:endnote w:type="continuationSeparator" w:id="0">
    <w:p w:rsidR="00884F81" w:rsidRDefault="00884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tabs>
        <w:tab w:val="center" w:pos="4766"/>
      </w:tabs>
      <w:spacing w:after="0" w:line="259" w:lineRule="auto"/>
      <w:ind w:left="0" w:firstLine="0"/>
    </w:pPr>
    <w:r>
      <w:tab/>
    </w:r>
    <w:r>
      <w:fldChar w:fldCharType="begin"/>
    </w:r>
    <w:r>
      <w:instrText xml:space="preserve"> PAGE   \* MERGEFORMAT </w:instrText>
    </w:r>
    <w:r>
      <w:fldChar w:fldCharType="separate"/>
    </w:r>
    <w:r w:rsidR="00054AF5">
      <w:rPr>
        <w:noProof/>
      </w:rP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spacing w:after="0" w:line="259" w:lineRule="auto"/>
      <w:ind w:left="29" w:firstLine="0"/>
      <w:jc w:val="center"/>
    </w:pPr>
    <w:r>
      <w:fldChar w:fldCharType="begin"/>
    </w:r>
    <w:r>
      <w:instrText xml:space="preserve"> PAGE   \* MERGEFORMAT </w:instrText>
    </w:r>
    <w:r>
      <w:fldChar w:fldCharType="separate"/>
    </w:r>
    <w:r w:rsidR="0053280C">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spacing w:after="0" w:line="259" w:lineRule="auto"/>
      <w:ind w:left="29" w:firstLine="0"/>
      <w:jc w:val="center"/>
    </w:pPr>
    <w:r>
      <w:fldChar w:fldCharType="begin"/>
    </w:r>
    <w:r>
      <w:instrText xml:space="preserve"> PAGE   \* MERGEFORMAT </w:instrText>
    </w:r>
    <w:r>
      <w:fldChar w:fldCharType="separate"/>
    </w:r>
    <w:r w:rsidR="00884F81">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spacing w:after="0" w:line="259" w:lineRule="auto"/>
      <w:ind w:left="4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spacing w:after="0" w:line="259" w:lineRule="auto"/>
      <w:ind w:left="40" w:firstLine="0"/>
      <w:jc w:val="center"/>
    </w:pPr>
    <w:r>
      <w:fldChar w:fldCharType="begin"/>
    </w:r>
    <w:r>
      <w:instrText xml:space="preserve"> PAGE   \* MERGEFORMAT </w:instrText>
    </w:r>
    <w:r>
      <w:fldChar w:fldCharType="separate"/>
    </w:r>
    <w:r w:rsidR="0053280C">
      <w:rPr>
        <w:noProof/>
      </w:rPr>
      <w:t>10</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spacing w:after="0" w:line="259" w:lineRule="auto"/>
      <w:ind w:left="4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F81" w:rsidRDefault="00884F81">
      <w:pPr>
        <w:spacing w:after="0" w:line="240" w:lineRule="auto"/>
      </w:pPr>
      <w:r>
        <w:separator/>
      </w:r>
    </w:p>
  </w:footnote>
  <w:footnote w:type="continuationSeparator" w:id="0">
    <w:p w:rsidR="00884F81" w:rsidRDefault="00884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8475" name="Group 18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9B39DE7" id="Group 18475"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uWW+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CF" w:rsidRDefault="00D146CF">
    <w:pPr>
      <w:spacing w:after="0" w:line="259" w:lineRule="auto"/>
      <w:ind w:left="235" w:firstLine="0"/>
    </w:pPr>
    <w:r>
      <w:rPr>
        <w:b/>
        <w:sz w:val="32"/>
        <w:u w:val="single" w:color="000000"/>
      </w:rPr>
      <w:t>Supporting Statement for Paperwork Reduction Act Submissions:</w:t>
    </w:r>
    <w:r>
      <w:rPr>
        <w:b/>
        <w:sz w:val="32"/>
      </w:rPr>
      <w:t xml:space="preserve"> </w:t>
    </w:r>
  </w:p>
  <w:p w:rsidR="00D146CF" w:rsidRDefault="00D146CF">
    <w:pPr>
      <w:spacing w:after="0" w:line="238" w:lineRule="auto"/>
      <w:ind w:left="0" w:firstLine="0"/>
      <w:jc w:val="center"/>
    </w:pPr>
    <w:r>
      <w:rPr>
        <w:b/>
        <w:sz w:val="32"/>
        <w:u w:val="single" w:color="000000"/>
      </w:rPr>
      <w:t>Establishment of Exchanges and Qualified Health Plans; Exchange</w:t>
    </w:r>
    <w:r>
      <w:rPr>
        <w:b/>
        <w:sz w:val="32"/>
      </w:rPr>
      <w:t xml:space="preserve"> </w:t>
    </w:r>
    <w:r>
      <w:rPr>
        <w:b/>
        <w:sz w:val="32"/>
        <w:u w:val="single" w:color="000000"/>
      </w:rPr>
      <w:t>Standards for Employers</w:t>
    </w:r>
    <w:r>
      <w:rPr>
        <w:b/>
        <w:sz w:val="32"/>
      </w:rPr>
      <w:t xml:space="preserve"> </w:t>
    </w:r>
  </w:p>
  <w:p w:rsidR="00D146CF" w:rsidRDefault="00D146CF">
    <w:pPr>
      <w:spacing w:after="0" w:line="259" w:lineRule="auto"/>
      <w:ind w:left="7" w:firstLine="0"/>
      <w:jc w:val="center"/>
    </w:pPr>
    <w:r>
      <w:rPr>
        <w:b/>
        <w:u w:val="single" w:color="000000"/>
      </w:rPr>
      <w:t>(CMS-10592/OMB Control No. 0938-NEW)</w:t>
    </w:r>
  </w:p>
  <w:p w:rsidR="00D146CF" w:rsidRDefault="00D146CF">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18620" name="Group 186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F5E8506" id="Group 18620"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sICBKTwEAALA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F008C"/>
    <w:multiLevelType w:val="hybridMultilevel"/>
    <w:tmpl w:val="6A76B346"/>
    <w:lvl w:ilvl="0" w:tplc="F35CBFF8">
      <w:start w:val="1"/>
      <w:numFmt w:val="bullet"/>
      <w:lvlText w:val="•"/>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8AA6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4A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CF29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4DC7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2D9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B69C7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A19F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8DAB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077FDD"/>
    <w:multiLevelType w:val="hybridMultilevel"/>
    <w:tmpl w:val="1958BD32"/>
    <w:lvl w:ilvl="0" w:tplc="BFD4B04C">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27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4A2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C0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66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28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45E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C7F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CF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B10C78"/>
    <w:multiLevelType w:val="hybridMultilevel"/>
    <w:tmpl w:val="EE5E4E32"/>
    <w:lvl w:ilvl="0" w:tplc="522E30DC">
      <w:start w:val="17"/>
      <w:numFmt w:val="decimal"/>
      <w:lvlText w:val="%1."/>
      <w:lvlJc w:val="left"/>
      <w:pPr>
        <w:ind w:left="792" w:hanging="360"/>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D4"/>
    <w:rsid w:val="00054AF5"/>
    <w:rsid w:val="000D0297"/>
    <w:rsid w:val="003036C0"/>
    <w:rsid w:val="0053280C"/>
    <w:rsid w:val="00654601"/>
    <w:rsid w:val="00884F81"/>
    <w:rsid w:val="00AD6F5D"/>
    <w:rsid w:val="00D1032D"/>
    <w:rsid w:val="00D146CF"/>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2919B-4E44-431C-8BEF-B00CA09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49" w:lineRule="auto"/>
      <w:ind w:left="44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7"/>
      <w:ind w:left="10" w:right="4"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252"/>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146CF"/>
    <w:pPr>
      <w:ind w:left="720"/>
      <w:contextualSpacing/>
    </w:pPr>
  </w:style>
  <w:style w:type="paragraph" w:styleId="Header">
    <w:name w:val="header"/>
    <w:basedOn w:val="Normal"/>
    <w:link w:val="HeaderChar"/>
    <w:uiPriority w:val="99"/>
    <w:unhideWhenUsed/>
    <w:rsid w:val="0005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AF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salary-tables/pdf/2015/DCB_h.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opm.gov/policy-data-oversight/pay-leave/salaries-wages/salary-tables/pdf/2015/DCB_h.pdf."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15/DCB_h.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CMS-10592 Establishment of Exchanges and QHPs Final Rule Supporting</vt:lpstr>
    </vt:vector>
  </TitlesOfParts>
  <Company>CMS</Company>
  <LinksUpToDate>false</LinksUpToDate>
  <CharactersWithSpaces>19469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CMS-10592 Establishment of Exchanges and QHPs Final Rule Supporting</dc:title>
  <dc:subject/>
  <dc:creator>CMS</dc:creator>
  <cp:keywords/>
  <cp:lastModifiedBy>JAMAA HILL</cp:lastModifiedBy>
  <cp:revision>2</cp:revision>
  <dcterms:created xsi:type="dcterms:W3CDTF">2017-03-31T17:45:00Z</dcterms:created>
  <dcterms:modified xsi:type="dcterms:W3CDTF">2017-03-31T17:45:00Z</dcterms:modified>
</cp:coreProperties>
</file>