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3C517" w14:textId="77777777" w:rsidR="00C154CA" w:rsidRDefault="00D91479" w:rsidP="00D91479">
      <w:pPr>
        <w:spacing w:before="66" w:after="0" w:line="271" w:lineRule="exact"/>
        <w:ind w:left="227" w:right="-20"/>
        <w:jc w:val="center"/>
        <w:rPr>
          <w:rFonts w:ascii="Times New Roman" w:eastAsia="Times New Roman" w:hAnsi="Times New Roman" w:cs="Times New Roman"/>
          <w:b/>
          <w:bCs/>
          <w:spacing w:val="1"/>
          <w:position w:val="-1"/>
          <w:sz w:val="28"/>
          <w:szCs w:val="28"/>
        </w:rPr>
      </w:pPr>
      <w:r w:rsidRPr="00C87370">
        <w:rPr>
          <w:rFonts w:ascii="Times New Roman" w:eastAsia="Times New Roman" w:hAnsi="Times New Roman" w:cs="Times New Roman"/>
          <w:b/>
          <w:bCs/>
          <w:spacing w:val="1"/>
          <w:position w:val="-1"/>
          <w:sz w:val="28"/>
          <w:szCs w:val="28"/>
        </w:rPr>
        <w:t>Supp</w:t>
      </w:r>
      <w:r w:rsidRPr="00C87370">
        <w:rPr>
          <w:rFonts w:ascii="Times New Roman" w:eastAsia="Times New Roman" w:hAnsi="Times New Roman" w:cs="Times New Roman"/>
          <w:b/>
          <w:bCs/>
          <w:position w:val="-1"/>
          <w:sz w:val="28"/>
          <w:szCs w:val="28"/>
        </w:rPr>
        <w:t>o</w:t>
      </w:r>
      <w:r w:rsidRPr="00C87370">
        <w:rPr>
          <w:rFonts w:ascii="Times New Roman" w:eastAsia="Times New Roman" w:hAnsi="Times New Roman" w:cs="Times New Roman"/>
          <w:b/>
          <w:bCs/>
          <w:spacing w:val="-1"/>
          <w:position w:val="-1"/>
          <w:sz w:val="28"/>
          <w:szCs w:val="28"/>
        </w:rPr>
        <w:t>rt</w:t>
      </w:r>
      <w:r w:rsidRPr="00C87370">
        <w:rPr>
          <w:rFonts w:ascii="Times New Roman" w:eastAsia="Times New Roman" w:hAnsi="Times New Roman" w:cs="Times New Roman"/>
          <w:b/>
          <w:bCs/>
          <w:position w:val="-1"/>
          <w:sz w:val="28"/>
          <w:szCs w:val="28"/>
        </w:rPr>
        <w:t>i</w:t>
      </w:r>
      <w:r w:rsidRPr="00C87370">
        <w:rPr>
          <w:rFonts w:ascii="Times New Roman" w:eastAsia="Times New Roman" w:hAnsi="Times New Roman" w:cs="Times New Roman"/>
          <w:b/>
          <w:bCs/>
          <w:spacing w:val="1"/>
          <w:position w:val="-1"/>
          <w:sz w:val="28"/>
          <w:szCs w:val="28"/>
        </w:rPr>
        <w:t>ng</w:t>
      </w:r>
      <w:r w:rsidRPr="00C87370">
        <w:rPr>
          <w:rFonts w:ascii="Times New Roman" w:eastAsia="Times New Roman" w:hAnsi="Times New Roman" w:cs="Times New Roman"/>
          <w:b/>
          <w:bCs/>
          <w:spacing w:val="-1"/>
          <w:position w:val="-1"/>
          <w:sz w:val="28"/>
          <w:szCs w:val="28"/>
        </w:rPr>
        <w:t xml:space="preserve"> </w:t>
      </w:r>
      <w:r w:rsidRPr="00C87370">
        <w:rPr>
          <w:rFonts w:ascii="Times New Roman" w:eastAsia="Times New Roman" w:hAnsi="Times New Roman" w:cs="Times New Roman"/>
          <w:b/>
          <w:bCs/>
          <w:spacing w:val="1"/>
          <w:position w:val="-1"/>
          <w:sz w:val="28"/>
          <w:szCs w:val="28"/>
        </w:rPr>
        <w:t>S</w:t>
      </w:r>
      <w:r w:rsidRPr="00C87370">
        <w:rPr>
          <w:rFonts w:ascii="Times New Roman" w:eastAsia="Times New Roman" w:hAnsi="Times New Roman" w:cs="Times New Roman"/>
          <w:b/>
          <w:bCs/>
          <w:spacing w:val="-1"/>
          <w:position w:val="-1"/>
          <w:sz w:val="28"/>
          <w:szCs w:val="28"/>
        </w:rPr>
        <w:t>t</w:t>
      </w:r>
      <w:r w:rsidRPr="00C87370">
        <w:rPr>
          <w:rFonts w:ascii="Times New Roman" w:eastAsia="Times New Roman" w:hAnsi="Times New Roman" w:cs="Times New Roman"/>
          <w:b/>
          <w:bCs/>
          <w:position w:val="-1"/>
          <w:sz w:val="28"/>
          <w:szCs w:val="28"/>
        </w:rPr>
        <w:t>a</w:t>
      </w:r>
      <w:r w:rsidRPr="00C87370">
        <w:rPr>
          <w:rFonts w:ascii="Times New Roman" w:eastAsia="Times New Roman" w:hAnsi="Times New Roman" w:cs="Times New Roman"/>
          <w:b/>
          <w:bCs/>
          <w:spacing w:val="-1"/>
          <w:position w:val="-1"/>
          <w:sz w:val="28"/>
          <w:szCs w:val="28"/>
        </w:rPr>
        <w:t>te</w:t>
      </w:r>
      <w:r w:rsidRPr="00C87370">
        <w:rPr>
          <w:rFonts w:ascii="Times New Roman" w:eastAsia="Times New Roman" w:hAnsi="Times New Roman" w:cs="Times New Roman"/>
          <w:b/>
          <w:bCs/>
          <w:spacing w:val="-3"/>
          <w:position w:val="-1"/>
          <w:sz w:val="28"/>
          <w:szCs w:val="28"/>
        </w:rPr>
        <w:t>m</w:t>
      </w:r>
      <w:r w:rsidRPr="00C87370">
        <w:rPr>
          <w:rFonts w:ascii="Times New Roman" w:eastAsia="Times New Roman" w:hAnsi="Times New Roman" w:cs="Times New Roman"/>
          <w:b/>
          <w:bCs/>
          <w:spacing w:val="-1"/>
          <w:position w:val="-1"/>
          <w:sz w:val="28"/>
          <w:szCs w:val="28"/>
        </w:rPr>
        <w:t>e</w:t>
      </w:r>
      <w:r w:rsidRPr="00C87370">
        <w:rPr>
          <w:rFonts w:ascii="Times New Roman" w:eastAsia="Times New Roman" w:hAnsi="Times New Roman" w:cs="Times New Roman"/>
          <w:b/>
          <w:bCs/>
          <w:spacing w:val="1"/>
          <w:position w:val="-1"/>
          <w:sz w:val="28"/>
          <w:szCs w:val="28"/>
        </w:rPr>
        <w:t xml:space="preserve">nt for Information Collection Requirements </w:t>
      </w:r>
    </w:p>
    <w:p w14:paraId="42ECABF7" w14:textId="77777777" w:rsidR="00D91479" w:rsidRPr="00C87370" w:rsidRDefault="00D91479" w:rsidP="00D91479">
      <w:pPr>
        <w:spacing w:before="66" w:after="0" w:line="271" w:lineRule="exact"/>
        <w:ind w:left="227" w:right="-20"/>
        <w:jc w:val="center"/>
        <w:rPr>
          <w:rFonts w:ascii="Times New Roman" w:eastAsia="Times New Roman" w:hAnsi="Times New Roman" w:cs="Times New Roman"/>
          <w:sz w:val="28"/>
          <w:szCs w:val="28"/>
        </w:rPr>
      </w:pPr>
      <w:r w:rsidRPr="00C87370">
        <w:rPr>
          <w:rFonts w:ascii="Times New Roman" w:eastAsia="Times New Roman" w:hAnsi="Times New Roman" w:cs="Times New Roman"/>
          <w:b/>
          <w:bCs/>
          <w:spacing w:val="1"/>
          <w:position w:val="-1"/>
          <w:sz w:val="28"/>
          <w:szCs w:val="28"/>
        </w:rPr>
        <w:t xml:space="preserve">for </w:t>
      </w:r>
      <w:r w:rsidR="00803BA8">
        <w:rPr>
          <w:rFonts w:ascii="Times New Roman" w:eastAsia="Times New Roman" w:hAnsi="Times New Roman" w:cs="Times New Roman"/>
          <w:b/>
          <w:bCs/>
          <w:spacing w:val="1"/>
          <w:position w:val="-1"/>
          <w:sz w:val="28"/>
          <w:szCs w:val="28"/>
        </w:rPr>
        <w:t>Non-Exchange Entities</w:t>
      </w:r>
      <w:r w:rsidR="006D2126">
        <w:rPr>
          <w:rFonts w:ascii="Times New Roman" w:eastAsia="Times New Roman" w:hAnsi="Times New Roman" w:cs="Times New Roman"/>
          <w:b/>
          <w:bCs/>
          <w:spacing w:val="1"/>
          <w:position w:val="-1"/>
          <w:sz w:val="28"/>
          <w:szCs w:val="28"/>
        </w:rPr>
        <w:t xml:space="preserve"> – CMS-10633</w:t>
      </w:r>
    </w:p>
    <w:p w14:paraId="0C8E0DCF" w14:textId="77777777" w:rsidR="00D91479" w:rsidRDefault="00D91479" w:rsidP="00D91479">
      <w:pPr>
        <w:spacing w:before="6" w:after="0" w:line="260" w:lineRule="exact"/>
        <w:rPr>
          <w:sz w:val="26"/>
          <w:szCs w:val="26"/>
        </w:rPr>
      </w:pPr>
    </w:p>
    <w:p w14:paraId="40B46F5A"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b/>
          <w:bCs/>
          <w:spacing w:val="20"/>
          <w:position w:val="-1"/>
          <w:sz w:val="24"/>
          <w:szCs w:val="24"/>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14:paraId="6520AF87" w14:textId="77777777" w:rsidR="00D91479" w:rsidRDefault="00D91479" w:rsidP="00D91479">
      <w:pPr>
        <w:spacing w:before="2" w:after="0" w:line="260" w:lineRule="exact"/>
        <w:rPr>
          <w:sz w:val="26"/>
          <w:szCs w:val="26"/>
        </w:rPr>
      </w:pPr>
    </w:p>
    <w:p w14:paraId="31FAB419" w14:textId="77777777" w:rsidR="00D91479" w:rsidRDefault="00D91479" w:rsidP="00D91479">
      <w:pPr>
        <w:spacing w:before="29" w:after="0" w:line="240" w:lineRule="auto"/>
        <w:ind w:left="180" w:right="-20"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71283F">
        <w:rPr>
          <w:rFonts w:ascii="Times New Roman" w:eastAsia="Times New Roman" w:hAnsi="Times New Roman" w:cs="Times New Roman"/>
          <w:sz w:val="24"/>
          <w:szCs w:val="24"/>
        </w:rPr>
        <w:t xml:space="preserve"> Pa</w:t>
      </w:r>
      <w:r>
        <w:rPr>
          <w:rFonts w:ascii="Times New Roman" w:eastAsia="Times New Roman" w:hAnsi="Times New Roman" w:cs="Times New Roman"/>
          <w:sz w:val="24"/>
          <w:szCs w:val="24"/>
        </w:rPr>
        <w:t>ti</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71283F">
        <w:rPr>
          <w:rFonts w:ascii="Times New Roman" w:eastAsia="Times New Roman" w:hAnsi="Times New Roman" w:cs="Times New Roman"/>
          <w:sz w:val="24"/>
          <w:szCs w:val="24"/>
        </w:rPr>
        <w:t>Pr</w:t>
      </w:r>
      <w:r>
        <w:rPr>
          <w:rFonts w:ascii="Times New Roman" w:eastAsia="Times New Roman" w:hAnsi="Times New Roman" w:cs="Times New Roman"/>
          <w:sz w:val="24"/>
          <w:szCs w:val="24"/>
        </w:rPr>
        <w:t>ot</w:t>
      </w:r>
      <w:r w:rsidRPr="0071283F">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 </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nd A</w:t>
      </w:r>
      <w:r w:rsidRPr="0071283F">
        <w:rPr>
          <w:rFonts w:ascii="Times New Roman" w:eastAsia="Times New Roman" w:hAnsi="Times New Roman" w:cs="Times New Roman"/>
          <w:sz w:val="24"/>
          <w:szCs w:val="24"/>
        </w:rPr>
        <w:t>ff</w:t>
      </w:r>
      <w:r>
        <w:rPr>
          <w:rFonts w:ascii="Times New Roman" w:eastAsia="Times New Roman" w:hAnsi="Times New Roman" w:cs="Times New Roman"/>
          <w:sz w:val="24"/>
          <w:szCs w:val="24"/>
        </w:rPr>
        <w:t>o</w:t>
      </w:r>
      <w:r w:rsidRPr="0071283F">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71283F">
        <w:rPr>
          <w:rFonts w:ascii="Times New Roman" w:eastAsia="Times New Roman" w:hAnsi="Times New Roman" w:cs="Times New Roman"/>
          <w:sz w:val="24"/>
          <w:szCs w:val="24"/>
        </w:rPr>
        <w:t xml:space="preserve"> Car</w:t>
      </w:r>
      <w:r>
        <w:rPr>
          <w:rFonts w:ascii="Times New Roman" w:eastAsia="Times New Roman" w:hAnsi="Times New Roman" w:cs="Times New Roman"/>
          <w:sz w:val="24"/>
          <w:szCs w:val="24"/>
        </w:rPr>
        <w:t>e</w:t>
      </w:r>
      <w:r w:rsidRPr="00712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1283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71283F">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Pr="0071283F">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w 111</w:t>
      </w:r>
      <w:r w:rsidRPr="00712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148, </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71283F">
        <w:rPr>
          <w:rFonts w:ascii="Times New Roman" w:eastAsia="Times New Roman" w:hAnsi="Times New Roman" w:cs="Times New Roman"/>
          <w:sz w:val="24"/>
          <w:szCs w:val="24"/>
        </w:rPr>
        <w:t>ac</w:t>
      </w:r>
      <w:r>
        <w:rPr>
          <w:rFonts w:ascii="Times New Roman" w:eastAsia="Times New Roman" w:hAnsi="Times New Roman" w:cs="Times New Roman"/>
          <w:sz w:val="24"/>
          <w:szCs w:val="24"/>
        </w:rPr>
        <w:t>t</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d on M</w:t>
      </w:r>
      <w:r w:rsidRPr="0071283F">
        <w:rPr>
          <w:rFonts w:ascii="Times New Roman" w:eastAsia="Times New Roman" w:hAnsi="Times New Roman" w:cs="Times New Roman"/>
          <w:sz w:val="24"/>
          <w:szCs w:val="24"/>
        </w:rPr>
        <w:t>arc</w:t>
      </w:r>
      <w:r>
        <w:rPr>
          <w:rFonts w:ascii="Times New Roman" w:eastAsia="Times New Roman" w:hAnsi="Times New Roman" w:cs="Times New Roman"/>
          <w:sz w:val="24"/>
          <w:szCs w:val="24"/>
        </w:rPr>
        <w:t xml:space="preserve">h 23, 2010,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152,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30, 2010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 to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Options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which became operational 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1, 2014,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millions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shop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p>
    <w:p w14:paraId="79DBE5B1" w14:textId="77777777" w:rsidR="00D91479" w:rsidRDefault="00D91479" w:rsidP="00D91479">
      <w:pPr>
        <w:spacing w:before="4" w:after="0" w:line="280" w:lineRule="exact"/>
        <w:ind w:left="180"/>
        <w:rPr>
          <w:sz w:val="28"/>
          <w:szCs w:val="28"/>
        </w:rPr>
      </w:pPr>
    </w:p>
    <w:p w14:paraId="0407A380" w14:textId="77777777" w:rsidR="005B26B1" w:rsidRDefault="00D91479" w:rsidP="005B26B1">
      <w:pPr>
        <w:spacing w:before="29" w:after="0" w:line="246" w:lineRule="auto"/>
        <w:ind w:left="160"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Request (ICR) serves as the formal request for a new data collection clearance</w:t>
      </w:r>
      <w:r w:rsidR="005B26B1">
        <w:rPr>
          <w:rFonts w:ascii="Times New Roman" w:eastAsia="Times New Roman" w:hAnsi="Times New Roman" w:cs="Times New Roman"/>
          <w:sz w:val="24"/>
          <w:szCs w:val="24"/>
        </w:rPr>
        <w:t xml:space="preserve"> associated with </w:t>
      </w:r>
      <w:r w:rsidR="005B26B1" w:rsidRPr="00FF4D45">
        <w:rPr>
          <w:rFonts w:ascii="Times New Roman" w:eastAsia="Times New Roman" w:hAnsi="Times New Roman" w:cs="Times New Roman"/>
          <w:sz w:val="24"/>
          <w:szCs w:val="24"/>
        </w:rPr>
        <w:t xml:space="preserve">the HHS Notice of Benefit and Payment Parameters for 2018 </w:t>
      </w:r>
      <w:r w:rsidR="00C154CA">
        <w:rPr>
          <w:rFonts w:ascii="Times New Roman" w:eastAsia="Times New Roman" w:hAnsi="Times New Roman" w:cs="Times New Roman"/>
          <w:sz w:val="24"/>
          <w:szCs w:val="24"/>
        </w:rPr>
        <w:t>Final</w:t>
      </w:r>
      <w:r w:rsidR="005B26B1" w:rsidRPr="00FF4D45">
        <w:rPr>
          <w:rFonts w:ascii="Times New Roman" w:eastAsia="Times New Roman" w:hAnsi="Times New Roman" w:cs="Times New Roman"/>
          <w:sz w:val="24"/>
          <w:szCs w:val="24"/>
        </w:rPr>
        <w:t xml:space="preserve"> Rule (2018 Payment Notice)</w:t>
      </w:r>
      <w:r>
        <w:rPr>
          <w:rFonts w:ascii="Times New Roman" w:eastAsia="Times New Roman" w:hAnsi="Times New Roman" w:cs="Times New Roman"/>
          <w:sz w:val="24"/>
          <w:szCs w:val="24"/>
        </w:rPr>
        <w:t>. This ICR includes ICRs</w:t>
      </w:r>
      <w:r w:rsidR="005B26B1">
        <w:rPr>
          <w:rFonts w:ascii="Times New Roman" w:eastAsia="Times New Roman" w:hAnsi="Times New Roman" w:cs="Times New Roman"/>
          <w:sz w:val="24"/>
          <w:szCs w:val="24"/>
        </w:rPr>
        <w:t xml:space="preserve"> related to the ability of states to permit agents and brokers to assist qualified individuals, qualified employers, or qualified employees enrolling in Qualified Health Plans in the Federally Facilitated Exchange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 xml:space="preserve">§155.220) and </w:t>
      </w:r>
      <w:r w:rsidR="005B26B1" w:rsidRPr="00FF4D45">
        <w:rPr>
          <w:rFonts w:ascii="Times New Roman" w:eastAsia="Times New Roman" w:hAnsi="Times New Roman" w:cs="Times New Roman"/>
          <w:spacing w:val="-6"/>
          <w:sz w:val="24"/>
          <w:szCs w:val="24"/>
          <w:u w:color="000000"/>
        </w:rPr>
        <w:t>I</w:t>
      </w:r>
      <w:r w:rsidR="005B26B1" w:rsidRPr="00FF4D45">
        <w:rPr>
          <w:rFonts w:ascii="Times New Roman" w:eastAsia="Times New Roman" w:hAnsi="Times New Roman" w:cs="Times New Roman"/>
          <w:spacing w:val="1"/>
          <w:sz w:val="24"/>
          <w:szCs w:val="24"/>
          <w:u w:color="000000"/>
        </w:rPr>
        <w:t>CRs</w:t>
      </w:r>
      <w:r w:rsidR="005B26B1" w:rsidRPr="00FF4D45">
        <w:rPr>
          <w:rFonts w:ascii="Times New Roman" w:eastAsia="Times New Roman" w:hAnsi="Times New Roman" w:cs="Times New Roman"/>
          <w:sz w:val="24"/>
          <w:szCs w:val="24"/>
          <w:u w:color="000000"/>
        </w:rPr>
        <w:t xml:space="preserve"> </w:t>
      </w:r>
      <w:r w:rsidR="005B26B1" w:rsidRPr="00FF4D45">
        <w:rPr>
          <w:rFonts w:ascii="Times New Roman" w:eastAsia="Times New Roman" w:hAnsi="Times New Roman" w:cs="Times New Roman"/>
          <w:spacing w:val="1"/>
          <w:sz w:val="24"/>
          <w:szCs w:val="24"/>
          <w:u w:color="000000"/>
        </w:rPr>
        <w:t>r</w:t>
      </w:r>
      <w:r w:rsidR="005B26B1" w:rsidRPr="00FF4D45">
        <w:rPr>
          <w:rFonts w:ascii="Times New Roman" w:eastAsia="Times New Roman" w:hAnsi="Times New Roman" w:cs="Times New Roman"/>
          <w:spacing w:val="-1"/>
          <w:sz w:val="24"/>
          <w:szCs w:val="24"/>
          <w:u w:color="000000"/>
        </w:rPr>
        <w:t>e</w:t>
      </w:r>
      <w:r w:rsidR="005B26B1" w:rsidRPr="00FF4D45">
        <w:rPr>
          <w:rFonts w:ascii="Times New Roman" w:eastAsia="Times New Roman" w:hAnsi="Times New Roman" w:cs="Times New Roman"/>
          <w:sz w:val="24"/>
          <w:szCs w:val="24"/>
          <w:u w:color="000000"/>
        </w:rPr>
        <w:t>l</w:t>
      </w:r>
      <w:r w:rsidR="005B26B1" w:rsidRPr="00FF4D45">
        <w:rPr>
          <w:rFonts w:ascii="Times New Roman" w:eastAsia="Times New Roman" w:hAnsi="Times New Roman" w:cs="Times New Roman"/>
          <w:spacing w:val="-1"/>
          <w:sz w:val="24"/>
          <w:szCs w:val="24"/>
          <w:u w:color="000000"/>
        </w:rPr>
        <w:t>a</w:t>
      </w:r>
      <w:r w:rsidR="005B26B1" w:rsidRPr="00FF4D45">
        <w:rPr>
          <w:rFonts w:ascii="Times New Roman" w:eastAsia="Times New Roman" w:hAnsi="Times New Roman" w:cs="Times New Roman"/>
          <w:sz w:val="24"/>
          <w:szCs w:val="24"/>
          <w:u w:color="000000"/>
        </w:rPr>
        <w:t>t</w:t>
      </w:r>
      <w:r w:rsidR="005B26B1" w:rsidRPr="00FF4D45">
        <w:rPr>
          <w:rFonts w:ascii="Times New Roman" w:eastAsia="Times New Roman" w:hAnsi="Times New Roman" w:cs="Times New Roman"/>
          <w:spacing w:val="-1"/>
          <w:sz w:val="24"/>
          <w:szCs w:val="24"/>
          <w:u w:color="000000"/>
        </w:rPr>
        <w:t>ed</w:t>
      </w:r>
      <w:r w:rsidR="005B26B1" w:rsidRPr="00FF4D45">
        <w:rPr>
          <w:rFonts w:ascii="Times New Roman" w:eastAsia="Times New Roman" w:hAnsi="Times New Roman" w:cs="Times New Roman"/>
          <w:spacing w:val="1"/>
          <w:sz w:val="24"/>
          <w:szCs w:val="24"/>
          <w:u w:color="000000"/>
        </w:rPr>
        <w:t xml:space="preserve"> </w:t>
      </w:r>
      <w:r w:rsidR="005B26B1" w:rsidRPr="00FF4D45">
        <w:rPr>
          <w:rFonts w:ascii="Times New Roman" w:eastAsia="Times New Roman" w:hAnsi="Times New Roman" w:cs="Times New Roman"/>
          <w:sz w:val="24"/>
          <w:szCs w:val="24"/>
          <w:u w:color="000000"/>
        </w:rPr>
        <w:t xml:space="preserve">to non-exchange entities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§155.260</w:t>
      </w:r>
      <w:r w:rsidR="005B26B1" w:rsidRPr="00FF4D45">
        <w:rPr>
          <w:rFonts w:ascii="Times New Roman" w:eastAsia="Times New Roman" w:hAnsi="Times New Roman" w:cs="Times New Roman"/>
          <w:spacing w:val="-1"/>
          <w:sz w:val="24"/>
          <w:szCs w:val="24"/>
          <w:u w:color="000000"/>
        </w:rPr>
        <w:t>).</w:t>
      </w:r>
    </w:p>
    <w:p w14:paraId="34182411" w14:textId="77777777" w:rsidR="00D91479" w:rsidRDefault="00D91479" w:rsidP="00D91479">
      <w:pPr>
        <w:tabs>
          <w:tab w:val="left" w:pos="580"/>
        </w:tabs>
        <w:spacing w:before="29" w:after="0" w:line="271" w:lineRule="exact"/>
        <w:ind w:left="160" w:right="-20"/>
        <w:rPr>
          <w:rFonts w:ascii="Times New Roman" w:eastAsia="Times New Roman" w:hAnsi="Times New Roman" w:cs="Times New Roman"/>
          <w:sz w:val="24"/>
          <w:szCs w:val="24"/>
        </w:rPr>
      </w:pPr>
    </w:p>
    <w:p w14:paraId="1D2C6D5B" w14:textId="77777777" w:rsidR="0091010A" w:rsidRDefault="0091010A" w:rsidP="00D91479">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4C6BF2FB" w14:textId="77777777" w:rsidR="0091010A" w:rsidRDefault="0091010A" w:rsidP="0091010A">
      <w:pPr>
        <w:spacing w:before="2" w:after="0" w:line="260" w:lineRule="exact"/>
        <w:rPr>
          <w:sz w:val="26"/>
          <w:szCs w:val="26"/>
        </w:rPr>
      </w:pPr>
    </w:p>
    <w:p w14:paraId="6455667E"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eed</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nd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14:paraId="3B49CB69" w14:textId="77777777" w:rsidR="0091010A" w:rsidRDefault="0091010A" w:rsidP="0091010A">
      <w:pPr>
        <w:spacing w:before="14" w:after="0" w:line="280" w:lineRule="exact"/>
        <w:rPr>
          <w:sz w:val="28"/>
          <w:szCs w:val="28"/>
        </w:rPr>
      </w:pPr>
    </w:p>
    <w:p w14:paraId="190D5A9B" w14:textId="77777777" w:rsidR="0091010A" w:rsidRDefault="0091010A" w:rsidP="0091010A">
      <w:pPr>
        <w:spacing w:after="0" w:line="246" w:lineRule="auto"/>
        <w:ind w:left="160" w:right="291" w:firstLine="4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1312</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 xml:space="preserve">res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in QH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p>
    <w:p w14:paraId="3059AF85" w14:textId="77777777" w:rsidR="0091010A" w:rsidRDefault="0091010A" w:rsidP="00713486">
      <w:pPr>
        <w:spacing w:after="0" w:line="240" w:lineRule="auto"/>
        <w:ind w:left="120" w:right="-20"/>
        <w:rPr>
          <w:rFonts w:ascii="Times New Roman" w:eastAsia="Times New Roman" w:hAnsi="Times New Roman" w:cs="Times New Roman"/>
          <w:spacing w:val="-6"/>
          <w:sz w:val="24"/>
          <w:szCs w:val="24"/>
          <w:u w:val="single" w:color="000000"/>
        </w:rPr>
      </w:pPr>
    </w:p>
    <w:p w14:paraId="7BAF5888"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sidRPr="0091010A">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14:paraId="10E443BC" w14:textId="77777777" w:rsidR="0091010A" w:rsidRDefault="0091010A" w:rsidP="0091010A">
      <w:pPr>
        <w:spacing w:before="10" w:after="0" w:line="280" w:lineRule="exact"/>
        <w:rPr>
          <w:sz w:val="28"/>
          <w:szCs w:val="28"/>
        </w:rPr>
      </w:pPr>
    </w:p>
    <w:p w14:paraId="20072D2F" w14:textId="77777777" w:rsidR="0091010A" w:rsidRDefault="0091010A" w:rsidP="0091010A">
      <w:pPr>
        <w:spacing w:after="0" w:line="246" w:lineRule="auto"/>
        <w:ind w:left="160" w:right="166"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collection will assist HHS in monitoring Web-brokers for compliance with Federal Web-broker standards. </w:t>
      </w:r>
    </w:p>
    <w:p w14:paraId="4E5D2C28" w14:textId="77777777" w:rsidR="0091010A" w:rsidRDefault="0091010A" w:rsidP="0091010A">
      <w:pPr>
        <w:spacing w:before="14" w:after="0" w:line="240" w:lineRule="exact"/>
        <w:rPr>
          <w:sz w:val="24"/>
          <w:szCs w:val="24"/>
        </w:rPr>
      </w:pPr>
    </w:p>
    <w:p w14:paraId="6773CA54"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Use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14:paraId="6025E383" w14:textId="77777777" w:rsidR="0091010A" w:rsidRDefault="0091010A" w:rsidP="0091010A">
      <w:pPr>
        <w:spacing w:before="6" w:after="0" w:line="260" w:lineRule="exact"/>
        <w:rPr>
          <w:sz w:val="26"/>
          <w:szCs w:val="26"/>
        </w:rPr>
      </w:pPr>
    </w:p>
    <w:p w14:paraId="2896011E" w14:textId="77777777" w:rsidR="0091010A" w:rsidRDefault="0091010A" w:rsidP="0091010A">
      <w:pPr>
        <w:spacing w:before="29" w:after="0" w:line="246" w:lineRule="auto"/>
        <w:ind w:left="160" w:right="12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w:t>
      </w:r>
    </w:p>
    <w:p w14:paraId="1DB59E4A" w14:textId="77777777" w:rsidR="0091010A" w:rsidRDefault="0091010A" w:rsidP="0091010A">
      <w:pPr>
        <w:spacing w:before="4" w:after="0" w:line="280" w:lineRule="exact"/>
        <w:rPr>
          <w:sz w:val="28"/>
          <w:szCs w:val="28"/>
        </w:rPr>
      </w:pPr>
    </w:p>
    <w:p w14:paraId="5B862DCF"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14:paraId="45984F7E" w14:textId="77777777" w:rsidR="0091010A" w:rsidRDefault="0091010A" w:rsidP="0091010A">
      <w:pPr>
        <w:spacing w:before="10" w:after="0" w:line="280" w:lineRule="exact"/>
        <w:rPr>
          <w:sz w:val="28"/>
          <w:szCs w:val="28"/>
        </w:rPr>
      </w:pPr>
    </w:p>
    <w:p w14:paraId="7F2E60D2" w14:textId="77777777" w:rsidR="0091010A" w:rsidRDefault="0091010A" w:rsidP="0091010A">
      <w:pPr>
        <w:spacing w:after="0" w:line="271" w:lineRule="exact"/>
        <w:ind w:left="592"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tion do</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not dupli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ny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Fe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era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eff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t.</w:t>
      </w:r>
    </w:p>
    <w:p w14:paraId="31456681" w14:textId="77777777" w:rsidR="0091010A" w:rsidRDefault="0091010A" w:rsidP="0091010A">
      <w:pPr>
        <w:spacing w:before="6" w:after="0" w:line="260" w:lineRule="exact"/>
        <w:rPr>
          <w:sz w:val="26"/>
          <w:szCs w:val="26"/>
        </w:rPr>
      </w:pPr>
    </w:p>
    <w:p w14:paraId="4E7A3369"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ll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usin</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41132719" w14:textId="77777777" w:rsidR="0091010A" w:rsidRDefault="0091010A" w:rsidP="0091010A">
      <w:pPr>
        <w:spacing w:before="6" w:after="0" w:line="260" w:lineRule="exact"/>
        <w:rPr>
          <w:sz w:val="26"/>
          <w:szCs w:val="26"/>
        </w:rPr>
      </w:pPr>
    </w:p>
    <w:p w14:paraId="16CFCFC3" w14:textId="77777777" w:rsidR="0091010A" w:rsidRDefault="0091010A" w:rsidP="0091010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3D6231F9" w14:textId="77777777" w:rsidR="0091010A" w:rsidRDefault="0091010A" w:rsidP="0091010A">
      <w:pPr>
        <w:spacing w:before="10" w:after="0" w:line="280" w:lineRule="exact"/>
        <w:rPr>
          <w:sz w:val="28"/>
          <w:szCs w:val="28"/>
        </w:rPr>
      </w:pPr>
    </w:p>
    <w:p w14:paraId="7B23F7E4"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ss </w:t>
      </w:r>
      <w:r>
        <w:rPr>
          <w:rFonts w:ascii="Times New Roman" w:eastAsia="Times New Roman" w:hAnsi="Times New Roman" w:cs="Times New Roman"/>
          <w:spacing w:val="-1"/>
          <w:sz w:val="24"/>
          <w:szCs w:val="24"/>
          <w:u w:val="single" w:color="000000"/>
        </w:rPr>
        <w:t>Fre</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oll</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tion</w:t>
      </w:r>
    </w:p>
    <w:p w14:paraId="2DE9EF40" w14:textId="77777777" w:rsidR="0091010A" w:rsidRDefault="0091010A" w:rsidP="0091010A">
      <w:pPr>
        <w:spacing w:before="10" w:after="0" w:line="280" w:lineRule="exact"/>
        <w:rPr>
          <w:sz w:val="28"/>
          <w:szCs w:val="28"/>
        </w:rPr>
      </w:pPr>
    </w:p>
    <w:p w14:paraId="028C22D3" w14:textId="77777777" w:rsidR="0091010A" w:rsidRDefault="00A46BC2" w:rsidP="002A432F">
      <w:pPr>
        <w:spacing w:before="4" w:after="0" w:line="280" w:lineRule="exact"/>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If information is collected on a less frequent basis, the enrollment for qualified individuals and providers will be affected.</w:t>
      </w:r>
    </w:p>
    <w:p w14:paraId="5520B172" w14:textId="77777777" w:rsidR="002A432F" w:rsidRDefault="002A432F" w:rsidP="002A432F">
      <w:pPr>
        <w:spacing w:before="4" w:after="0" w:line="280" w:lineRule="exact"/>
        <w:ind w:left="630"/>
        <w:rPr>
          <w:sz w:val="28"/>
          <w:szCs w:val="28"/>
        </w:rPr>
      </w:pPr>
    </w:p>
    <w:p w14:paraId="6244567B"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rc</w:t>
      </w:r>
      <w:r>
        <w:rPr>
          <w:rFonts w:ascii="Times New Roman" w:eastAsia="Times New Roman" w:hAnsi="Times New Roman" w:cs="Times New Roman"/>
          <w:sz w:val="24"/>
          <w:szCs w:val="24"/>
          <w:u w:val="single" w:color="000000"/>
        </w:rPr>
        <w:t>umst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ces</w:t>
      </w:r>
    </w:p>
    <w:p w14:paraId="72B68505" w14:textId="77777777" w:rsidR="0091010A" w:rsidRDefault="0091010A" w:rsidP="0091010A">
      <w:pPr>
        <w:spacing w:before="10" w:after="0" w:line="280" w:lineRule="exact"/>
        <w:rPr>
          <w:sz w:val="28"/>
          <w:szCs w:val="28"/>
        </w:rPr>
      </w:pPr>
    </w:p>
    <w:p w14:paraId="5F1A16F0" w14:textId="77777777" w:rsidR="0091010A" w:rsidRDefault="0091010A" w:rsidP="0091010A">
      <w:pPr>
        <w:spacing w:after="0" w:line="246" w:lineRule="auto"/>
        <w:ind w:left="160" w:right="258"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06EED46D" w14:textId="77777777" w:rsidR="0091010A" w:rsidRDefault="0091010A" w:rsidP="0091010A">
      <w:pPr>
        <w:spacing w:before="14" w:after="0" w:line="240" w:lineRule="exact"/>
        <w:rPr>
          <w:sz w:val="24"/>
          <w:szCs w:val="24"/>
        </w:rPr>
      </w:pPr>
    </w:p>
    <w:p w14:paraId="135807E8"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/Outside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14:paraId="33340C80" w14:textId="77777777" w:rsidR="0091010A" w:rsidRDefault="0091010A" w:rsidP="0091010A">
      <w:pPr>
        <w:spacing w:before="6" w:after="0" w:line="260" w:lineRule="exact"/>
        <w:rPr>
          <w:sz w:val="26"/>
          <w:szCs w:val="26"/>
        </w:rPr>
      </w:pPr>
    </w:p>
    <w:p w14:paraId="6ED04D55" w14:textId="77777777" w:rsidR="006D2126" w:rsidRDefault="0091010A" w:rsidP="0091010A">
      <w:pPr>
        <w:spacing w:after="0" w:line="246" w:lineRule="auto"/>
        <w:ind w:left="160" w:right="201" w:firstLine="432"/>
        <w:rPr>
          <w:rFonts w:ascii="Times New Roman" w:eastAsia="Times New Roman" w:hAnsi="Times New Roman" w:cs="Times New Roman"/>
          <w:position w:val="-1"/>
          <w:sz w:val="24"/>
          <w:szCs w:val="24"/>
        </w:rPr>
      </w:pPr>
      <w:r w:rsidRPr="000D00EC">
        <w:rPr>
          <w:rFonts w:ascii="Times New Roman" w:eastAsia="Times New Roman" w:hAnsi="Times New Roman" w:cs="Times New Roman"/>
          <w:position w:val="-1"/>
          <w:sz w:val="24"/>
          <w:szCs w:val="24"/>
        </w:rPr>
        <w:t xml:space="preserve"> </w:t>
      </w:r>
      <w:r w:rsidR="005B26B1">
        <w:rPr>
          <w:rFonts w:ascii="Times New Roman" w:eastAsia="Times New Roman" w:hAnsi="Times New Roman" w:cs="Times New Roman"/>
          <w:position w:val="-1"/>
          <w:sz w:val="24"/>
          <w:szCs w:val="24"/>
        </w:rPr>
        <w:t>The p</w:t>
      </w:r>
      <w:r w:rsidR="00A61880">
        <w:rPr>
          <w:rFonts w:ascii="Times New Roman" w:eastAsia="Times New Roman" w:hAnsi="Times New Roman" w:cs="Times New Roman"/>
          <w:position w:val="-1"/>
          <w:sz w:val="24"/>
          <w:szCs w:val="24"/>
        </w:rPr>
        <w:t>roposed</w:t>
      </w:r>
      <w:r w:rsidR="005B26B1">
        <w:rPr>
          <w:rFonts w:ascii="Times New Roman" w:eastAsia="Times New Roman" w:hAnsi="Times New Roman" w:cs="Times New Roman"/>
          <w:position w:val="-1"/>
          <w:sz w:val="24"/>
          <w:szCs w:val="24"/>
        </w:rPr>
        <w:t xml:space="preserve"> rule</w:t>
      </w:r>
      <w:r w:rsidR="00A61880">
        <w:rPr>
          <w:rFonts w:ascii="Times New Roman" w:eastAsia="Times New Roman" w:hAnsi="Times New Roman" w:cs="Times New Roman"/>
          <w:position w:val="-1"/>
          <w:sz w:val="24"/>
          <w:szCs w:val="24"/>
        </w:rPr>
        <w:t xml:space="preserve"> </w:t>
      </w:r>
      <w:r w:rsidR="005B26B1">
        <w:rPr>
          <w:rFonts w:ascii="Times New Roman" w:eastAsia="Times New Roman" w:hAnsi="Times New Roman" w:cs="Times New Roman"/>
          <w:position w:val="-1"/>
          <w:sz w:val="24"/>
          <w:szCs w:val="24"/>
        </w:rPr>
        <w:t xml:space="preserve">HHS Notice of Benefit and Payment Parameters for 2018 </w:t>
      </w:r>
      <w:r w:rsidR="006D2126">
        <w:rPr>
          <w:rFonts w:ascii="Times New Roman" w:eastAsia="Times New Roman" w:hAnsi="Times New Roman" w:cs="Times New Roman"/>
          <w:position w:val="-1"/>
          <w:sz w:val="24"/>
          <w:szCs w:val="24"/>
        </w:rPr>
        <w:t>published September 6, 2016</w:t>
      </w:r>
      <w:r>
        <w:rPr>
          <w:rFonts w:ascii="Times New Roman" w:eastAsia="Times New Roman" w:hAnsi="Times New Roman" w:cs="Times New Roman"/>
          <w:position w:val="-1"/>
          <w:sz w:val="24"/>
          <w:szCs w:val="24"/>
        </w:rPr>
        <w:t xml:space="preserve"> </w:t>
      </w:r>
      <w:r w:rsidR="00896716">
        <w:rPr>
          <w:rFonts w:ascii="Times New Roman" w:eastAsia="Times New Roman" w:hAnsi="Times New Roman" w:cs="Times New Roman"/>
          <w:position w:val="-1"/>
          <w:sz w:val="24"/>
          <w:szCs w:val="24"/>
        </w:rPr>
        <w:t xml:space="preserve">(81 FR </w:t>
      </w:r>
      <w:r w:rsidR="00896716" w:rsidRPr="00896716">
        <w:rPr>
          <w:rFonts w:ascii="Times New Roman" w:eastAsia="Times New Roman" w:hAnsi="Times New Roman" w:cs="Times New Roman"/>
          <w:position w:val="-1"/>
          <w:sz w:val="24"/>
          <w:szCs w:val="24"/>
        </w:rPr>
        <w:t>61455</w:t>
      </w:r>
      <w:r w:rsidR="0089671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providing the public with a 60-day period to submit written comments on the ICRs</w:t>
      </w:r>
      <w:r w:rsidR="00A61880">
        <w:rPr>
          <w:rFonts w:ascii="Times New Roman" w:eastAsia="Times New Roman" w:hAnsi="Times New Roman" w:cs="Times New Roman"/>
          <w:position w:val="-1"/>
          <w:sz w:val="24"/>
          <w:szCs w:val="24"/>
        </w:rPr>
        <w:t xml:space="preserve"> included with the rule</w:t>
      </w:r>
      <w:r>
        <w:rPr>
          <w:rFonts w:ascii="Times New Roman" w:eastAsia="Times New Roman" w:hAnsi="Times New Roman" w:cs="Times New Roman"/>
          <w:position w:val="-1"/>
          <w:sz w:val="24"/>
          <w:szCs w:val="24"/>
        </w:rPr>
        <w:t>.</w:t>
      </w:r>
      <w:r w:rsidR="006D2126">
        <w:rPr>
          <w:rFonts w:ascii="Times New Roman" w:eastAsia="Times New Roman" w:hAnsi="Times New Roman" w:cs="Times New Roman"/>
          <w:position w:val="-1"/>
          <w:sz w:val="24"/>
          <w:szCs w:val="24"/>
        </w:rPr>
        <w:t xml:space="preserve"> The final rule published December 22, 2016</w:t>
      </w:r>
      <w:r w:rsidR="00896716">
        <w:rPr>
          <w:rFonts w:ascii="Times New Roman" w:eastAsia="Times New Roman" w:hAnsi="Times New Roman" w:cs="Times New Roman"/>
          <w:position w:val="-1"/>
          <w:sz w:val="24"/>
          <w:szCs w:val="24"/>
        </w:rPr>
        <w:t xml:space="preserve"> (81 FR </w:t>
      </w:r>
      <w:r w:rsidR="00896716" w:rsidRPr="00896716">
        <w:rPr>
          <w:rFonts w:ascii="Times New Roman" w:eastAsia="Times New Roman" w:hAnsi="Times New Roman" w:cs="Times New Roman"/>
          <w:position w:val="-1"/>
          <w:sz w:val="24"/>
          <w:szCs w:val="24"/>
        </w:rPr>
        <w:t>94058</w:t>
      </w:r>
      <w:r w:rsidR="00896716">
        <w:rPr>
          <w:rFonts w:ascii="Times New Roman" w:eastAsia="Times New Roman" w:hAnsi="Times New Roman" w:cs="Times New Roman"/>
          <w:position w:val="-1"/>
          <w:sz w:val="24"/>
          <w:szCs w:val="24"/>
        </w:rPr>
        <w:t>)</w:t>
      </w:r>
      <w:r w:rsidR="006D2126">
        <w:rPr>
          <w:rFonts w:ascii="Times New Roman" w:eastAsia="Times New Roman" w:hAnsi="Times New Roman" w:cs="Times New Roman"/>
          <w:position w:val="-1"/>
          <w:sz w:val="24"/>
          <w:szCs w:val="24"/>
        </w:rPr>
        <w:t xml:space="preserve">.  </w:t>
      </w:r>
      <w:r w:rsidR="006D2126" w:rsidRPr="006D2126">
        <w:rPr>
          <w:rFonts w:ascii="Times New Roman" w:eastAsia="Times New Roman" w:hAnsi="Times New Roman" w:cs="Times New Roman"/>
          <w:position w:val="-1"/>
          <w:sz w:val="24"/>
          <w:szCs w:val="24"/>
        </w:rPr>
        <w:t xml:space="preserve">No comments were received.  </w:t>
      </w:r>
      <w:bookmarkStart w:id="0" w:name="_GoBack"/>
      <w:bookmarkEnd w:id="0"/>
    </w:p>
    <w:p w14:paraId="4833B6FB" w14:textId="77777777" w:rsidR="006D2126" w:rsidRDefault="006D2126" w:rsidP="0091010A">
      <w:pPr>
        <w:spacing w:after="0" w:line="246" w:lineRule="auto"/>
        <w:ind w:left="160" w:right="201" w:firstLine="432"/>
        <w:rPr>
          <w:rFonts w:ascii="Times New Roman" w:eastAsia="Times New Roman" w:hAnsi="Times New Roman" w:cs="Times New Roman"/>
          <w:position w:val="-1"/>
          <w:sz w:val="24"/>
          <w:szCs w:val="24"/>
        </w:rPr>
      </w:pPr>
    </w:p>
    <w:p w14:paraId="02FF93D4" w14:textId="77777777" w:rsidR="006D2126" w:rsidRPr="000D00EC" w:rsidRDefault="006D2126" w:rsidP="0091010A">
      <w:pPr>
        <w:spacing w:after="0" w:line="246" w:lineRule="auto"/>
        <w:ind w:left="160" w:right="201" w:firstLine="432"/>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Outside consultation was not sought.</w:t>
      </w:r>
    </w:p>
    <w:p w14:paraId="21D6DAEC" w14:textId="77777777" w:rsidR="0091010A" w:rsidRDefault="0091010A" w:rsidP="0091010A">
      <w:pPr>
        <w:spacing w:before="6" w:after="0" w:line="280" w:lineRule="exact"/>
        <w:rPr>
          <w:sz w:val="28"/>
          <w:szCs w:val="28"/>
        </w:rPr>
      </w:pPr>
    </w:p>
    <w:p w14:paraId="4A995E56"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nts/Gi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 xml:space="preserve">ts to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p>
    <w:p w14:paraId="78C4E879" w14:textId="77777777" w:rsidR="0091010A" w:rsidRDefault="0091010A" w:rsidP="0091010A">
      <w:pPr>
        <w:spacing w:before="10" w:after="0" w:line="280" w:lineRule="exact"/>
        <w:rPr>
          <w:sz w:val="28"/>
          <w:szCs w:val="28"/>
        </w:rPr>
      </w:pPr>
    </w:p>
    <w:p w14:paraId="351764FE" w14:textId="77777777" w:rsidR="0091010A" w:rsidRPr="002A5A4B" w:rsidRDefault="0091010A" w:rsidP="0091010A">
      <w:pPr>
        <w:spacing w:after="0" w:line="271" w:lineRule="exact"/>
        <w:ind w:left="592" w:right="-20"/>
        <w:rPr>
          <w:rFonts w:ascii="Times New Roman" w:eastAsia="Times New Roman" w:hAnsi="Times New Roman" w:cs="Times New Roman"/>
          <w:sz w:val="24"/>
          <w:szCs w:val="24"/>
        </w:rPr>
      </w:pPr>
      <w:r w:rsidRPr="002A5A4B">
        <w:rPr>
          <w:rFonts w:ascii="Times New Roman" w:eastAsia="Times New Roman" w:hAnsi="Times New Roman" w:cs="Times New Roman"/>
          <w:sz w:val="24"/>
          <w:szCs w:val="24"/>
        </w:rPr>
        <w:t>No payments and/or gifts will be provided to respondents.</w:t>
      </w:r>
    </w:p>
    <w:p w14:paraId="5D8A21A3" w14:textId="77777777" w:rsidR="0091010A" w:rsidRDefault="0091010A" w:rsidP="0091010A">
      <w:pPr>
        <w:spacing w:before="6" w:after="0" w:line="260" w:lineRule="exact"/>
        <w:rPr>
          <w:sz w:val="26"/>
          <w:szCs w:val="26"/>
        </w:rPr>
      </w:pPr>
    </w:p>
    <w:p w14:paraId="1739615B" w14:textId="77777777" w:rsidR="0091010A" w:rsidRDefault="0091010A" w:rsidP="0091010A">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14:paraId="0F588C32" w14:textId="77777777" w:rsidR="0091010A" w:rsidRDefault="0091010A" w:rsidP="0091010A">
      <w:pPr>
        <w:spacing w:before="6" w:after="0" w:line="260" w:lineRule="exact"/>
        <w:rPr>
          <w:sz w:val="26"/>
          <w:szCs w:val="26"/>
        </w:rPr>
      </w:pPr>
    </w:p>
    <w:p w14:paraId="53070D1D" w14:textId="77777777" w:rsidR="0091010A" w:rsidRDefault="0091010A" w:rsidP="0091010A">
      <w:pPr>
        <w:spacing w:before="29" w:after="0" w:line="246" w:lineRule="auto"/>
        <w:ind w:left="160" w:right="48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Nothing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should be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own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508EFF28" w14:textId="77777777" w:rsidR="0091010A" w:rsidRDefault="0091010A" w:rsidP="0091010A">
      <w:pPr>
        <w:spacing w:before="4" w:after="0" w:line="280" w:lineRule="exact"/>
        <w:rPr>
          <w:sz w:val="28"/>
          <w:szCs w:val="28"/>
        </w:rPr>
      </w:pPr>
    </w:p>
    <w:p w14:paraId="18DF7168" w14:textId="77777777" w:rsidR="0091010A" w:rsidRDefault="0091010A" w:rsidP="002A432F">
      <w:pPr>
        <w:spacing w:after="0" w:line="271" w:lineRule="exact"/>
        <w:ind w:left="18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nsitive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stions</w:t>
      </w:r>
    </w:p>
    <w:p w14:paraId="4F0E6E62" w14:textId="77777777" w:rsidR="0091010A" w:rsidRDefault="0091010A" w:rsidP="0091010A">
      <w:pPr>
        <w:spacing w:before="61" w:after="0" w:line="240" w:lineRule="auto"/>
        <w:ind w:left="5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14:paraId="77AD8A01" w14:textId="77777777" w:rsidR="0091010A" w:rsidRDefault="0091010A" w:rsidP="0091010A">
      <w:pPr>
        <w:spacing w:before="10" w:after="0" w:line="280" w:lineRule="exact"/>
        <w:rPr>
          <w:sz w:val="28"/>
          <w:szCs w:val="28"/>
        </w:rPr>
      </w:pPr>
    </w:p>
    <w:p w14:paraId="5794317D" w14:textId="77777777" w:rsidR="0091010A" w:rsidRDefault="0091010A" w:rsidP="00CB3261">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Estim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Hou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 &amp;</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6B3B5C41" w14:textId="77777777" w:rsidR="0091010A" w:rsidRDefault="0091010A" w:rsidP="0091010A">
      <w:pPr>
        <w:spacing w:before="10" w:after="0" w:line="280" w:lineRule="exact"/>
        <w:rPr>
          <w:sz w:val="28"/>
          <w:szCs w:val="28"/>
        </w:rPr>
      </w:pPr>
    </w:p>
    <w:p w14:paraId="5F4F0D44" w14:textId="77777777" w:rsidR="0091010A" w:rsidRDefault="0091010A" w:rsidP="00896716">
      <w:pPr>
        <w:spacing w:before="29" w:after="0" w:line="246" w:lineRule="auto"/>
        <w:ind w:left="160" w:right="48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impos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sons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positions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sidR="00896716">
        <w:rPr>
          <w:rFonts w:ascii="Times New Roman" w:eastAsia="Times New Roman" w:hAnsi="Times New Roman" w:cs="Times New Roman"/>
          <w:spacing w:val="-1"/>
          <w:sz w:val="24"/>
          <w:szCs w:val="24"/>
        </w:rPr>
        <w:t xml:space="preserve">, </w:t>
      </w:r>
      <w:r w:rsidR="00896716" w:rsidRPr="00896716">
        <w:rPr>
          <w:rFonts w:ascii="Times New Roman" w:eastAsia="Times New Roman" w:hAnsi="Times New Roman" w:cs="Times New Roman"/>
          <w:spacing w:val="-1"/>
          <w:sz w:val="24"/>
          <w:szCs w:val="24"/>
        </w:rPr>
        <w:t>Occupational</w:t>
      </w:r>
      <w:r w:rsidR="00896716">
        <w:rPr>
          <w:rFonts w:ascii="Times New Roman" w:eastAsia="Times New Roman" w:hAnsi="Times New Roman" w:cs="Times New Roman"/>
          <w:spacing w:val="-1"/>
          <w:sz w:val="24"/>
          <w:szCs w:val="24"/>
        </w:rPr>
        <w:t xml:space="preserve"> Outlook Handbook, December 2015,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sidRPr="002A58BF">
        <w:rPr>
          <w:rFonts w:ascii="Times New Roman" w:eastAsia="Times New Roman" w:hAnsi="Times New Roman" w:cs="Times New Roman"/>
          <w:color w:val="0000FF"/>
          <w:sz w:val="24"/>
          <w:szCs w:val="24"/>
          <w:u w:val="single" w:color="0000FF"/>
        </w:rPr>
        <w:t>http://www.bls.gov/ooh/</w:t>
      </w:r>
      <w:r>
        <w:rPr>
          <w:rFonts w:ascii="Times New Roman" w:eastAsia="Times New Roman" w:hAnsi="Times New Roman" w:cs="Times New Roman"/>
          <w:color w:val="000000"/>
          <w:spacing w:val="-1"/>
          <w:sz w:val="24"/>
          <w:szCs w:val="24"/>
        </w:rPr>
        <w:t>).</w:t>
      </w:r>
    </w:p>
    <w:p w14:paraId="544A4C1C" w14:textId="77777777" w:rsidR="00713486" w:rsidRDefault="00713486" w:rsidP="00713486">
      <w:pPr>
        <w:spacing w:after="0" w:line="240" w:lineRule="auto"/>
        <w:ind w:left="160" w:right="-20"/>
        <w:rPr>
          <w:sz w:val="9"/>
          <w:szCs w:val="9"/>
        </w:rPr>
      </w:pPr>
    </w:p>
    <w:p w14:paraId="611867A5" w14:textId="77777777" w:rsidR="00D94397" w:rsidRPr="006E3A2D" w:rsidRDefault="00D94397" w:rsidP="00D94397">
      <w:pPr>
        <w:spacing w:before="29" w:line="246" w:lineRule="auto"/>
        <w:ind w:left="160" w:right="302"/>
        <w:rPr>
          <w:rFonts w:ascii="Times New Roman" w:eastAsia="Times New Roman" w:hAnsi="Times New Roman"/>
          <w:spacing w:val="-6"/>
          <w:sz w:val="24"/>
          <w:szCs w:val="24"/>
          <w:u w:val="single" w:color="000000"/>
        </w:rPr>
      </w:pPr>
      <w:r w:rsidRPr="006E3A2D">
        <w:rPr>
          <w:rFonts w:ascii="Times New Roman" w:eastAsia="Times New Roman" w:hAnsi="Times New Roman"/>
          <w:spacing w:val="-6"/>
          <w:sz w:val="24"/>
          <w:szCs w:val="24"/>
          <w:u w:val="single" w:color="000000"/>
        </w:rPr>
        <w:t>ICR Regarding Differential Display of Standardized Options on the Web Sites of Agents and Brokers (§155.220) and QHP Issuers (§156.265)</w:t>
      </w:r>
    </w:p>
    <w:p w14:paraId="004D21DA" w14:textId="77777777" w:rsidR="00D94397" w:rsidRDefault="00D94397" w:rsidP="00D94397">
      <w:pPr>
        <w:ind w:left="90" w:firstLine="450"/>
        <w:rPr>
          <w:rFonts w:ascii="Times New Roman" w:eastAsia="Times New Roman" w:hAnsi="Times New Roman"/>
          <w:sz w:val="24"/>
          <w:szCs w:val="24"/>
        </w:rPr>
      </w:pPr>
      <w:r w:rsidRPr="006E3A2D">
        <w:rPr>
          <w:rFonts w:ascii="Times New Roman" w:eastAsia="Times New Roman" w:hAnsi="Times New Roman"/>
          <w:sz w:val="24"/>
          <w:szCs w:val="24"/>
        </w:rPr>
        <w:t>We propose to require web-brokers and QHP issuers that utilize the direct enrollment pathway to differentially display standardized options in the 2018 plan year and beyond, consistent with the approach adopted by HHS for display on the Exchange Web site, unless HHS approved a deviation.  This policy would require direct enrollment entities to prominently display standardized options in a manner that makes them clear to consumers.  We estimate that a total of 160 web-brokers and QHP issuers participate in the FFEs and SBE-FPs and would be required to comply with the standard.  We estimate it would take a mid-level software developer (at a rate of $96.82 per hour) approximately 2 hours annually to develop a differential display for standardized options.  We estimate an annual cost burden of approximately $193.64 per direct enrollment entity.  The total annual burden will be 320 hours with an equivalent cost of approximately $</w:t>
      </w:r>
      <w:r>
        <w:rPr>
          <w:rFonts w:ascii="Times New Roman" w:eastAsia="Times New Roman" w:hAnsi="Times New Roman"/>
          <w:sz w:val="24"/>
          <w:szCs w:val="24"/>
        </w:rPr>
        <w:t>30,982.40. </w:t>
      </w:r>
    </w:p>
    <w:p w14:paraId="2A1853CE" w14:textId="77777777" w:rsidR="00D94397" w:rsidRPr="006E3A2D" w:rsidRDefault="00D94397" w:rsidP="00D94397">
      <w:pPr>
        <w:ind w:left="90" w:firstLine="450"/>
        <w:rPr>
          <w:rFonts w:ascii="Times New Roman" w:eastAsia="Times New Roman" w:hAnsi="Times New Roman"/>
          <w:sz w:val="24"/>
          <w:szCs w:val="24"/>
        </w:rPr>
      </w:pPr>
      <w:r w:rsidRPr="006E3A2D">
        <w:rPr>
          <w:rFonts w:ascii="Times New Roman" w:eastAsia="Times New Roman" w:hAnsi="Times New Roman"/>
          <w:sz w:val="24"/>
          <w:szCs w:val="24"/>
        </w:rPr>
        <w:t>We anticipate that fewer than 10 web-brokers and issuers would submit a request to deviate from the manner adopted by HHS for display on HealthCare.gov.  Under 5 CFR 1320.3(c)(4), this ICR is not subject to the PRA as it would affect fewer than 10 entities in a 12-month period.</w:t>
      </w:r>
    </w:p>
    <w:p w14:paraId="0253D4BE" w14:textId="77777777" w:rsidR="00D94397" w:rsidRDefault="00D94397" w:rsidP="00713486">
      <w:pPr>
        <w:spacing w:before="15" w:after="0" w:line="240" w:lineRule="exact"/>
        <w:rPr>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D94397" w14:paraId="1B4DFB39" w14:textId="77777777" w:rsidTr="00540AAD">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651522C9" w14:textId="77777777" w:rsidR="00D94397" w:rsidRDefault="00D94397" w:rsidP="00540AA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76E467D6" w14:textId="77777777" w:rsidR="00D94397" w:rsidRDefault="00D94397" w:rsidP="00540AAD">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33708663"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EE0515D"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7E9E4EF9" w14:textId="77777777" w:rsidR="00D94397" w:rsidRDefault="00D94397" w:rsidP="00540AAD">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1A489FC5"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F25FF09"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1FB5FE7F" w14:textId="77777777" w:rsidR="00D94397" w:rsidRDefault="00D94397" w:rsidP="00540AAD">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3F11C4A" w14:textId="77777777" w:rsidR="00D94397" w:rsidRDefault="00D94397" w:rsidP="00540AAD">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73D707AA" w14:textId="77777777" w:rsidR="00D94397" w:rsidRDefault="00D94397" w:rsidP="00540AAD">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D94397" w14:paraId="68FD6FBC" w14:textId="77777777" w:rsidTr="00540AAD">
        <w:trPr>
          <w:trHeight w:hRule="exact" w:val="937"/>
        </w:trPr>
        <w:tc>
          <w:tcPr>
            <w:tcW w:w="1565" w:type="dxa"/>
            <w:tcBorders>
              <w:top w:val="single" w:sz="4" w:space="0" w:color="000000"/>
              <w:left w:val="single" w:sz="4" w:space="0" w:color="000000"/>
              <w:bottom w:val="single" w:sz="4" w:space="0" w:color="000000"/>
              <w:right w:val="single" w:sz="4" w:space="0" w:color="000000"/>
            </w:tcBorders>
          </w:tcPr>
          <w:p w14:paraId="19AB73EE" w14:textId="77777777" w:rsidR="00D94397" w:rsidRDefault="00D94397" w:rsidP="00540AA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Software Developer</w:t>
            </w:r>
          </w:p>
        </w:tc>
        <w:tc>
          <w:tcPr>
            <w:tcW w:w="1375" w:type="dxa"/>
            <w:tcBorders>
              <w:top w:val="single" w:sz="4" w:space="0" w:color="000000"/>
              <w:left w:val="single" w:sz="4" w:space="0" w:color="000000"/>
              <w:bottom w:val="single" w:sz="4" w:space="0" w:color="000000"/>
              <w:right w:val="single" w:sz="4" w:space="0" w:color="000000"/>
            </w:tcBorders>
          </w:tcPr>
          <w:p w14:paraId="618B2A1B" w14:textId="77777777" w:rsidR="00D94397" w:rsidRDefault="00D94397" w:rsidP="00540AAD">
            <w:pPr>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740" w:type="dxa"/>
            <w:tcBorders>
              <w:top w:val="single" w:sz="4" w:space="0" w:color="000000"/>
              <w:left w:val="single" w:sz="4" w:space="0" w:color="000000"/>
              <w:bottom w:val="single" w:sz="4" w:space="0" w:color="000000"/>
              <w:right w:val="single" w:sz="4" w:space="0" w:color="000000"/>
            </w:tcBorders>
          </w:tcPr>
          <w:p w14:paraId="32DB33F0" w14:textId="77777777" w:rsidR="00D94397" w:rsidRDefault="00D94397" w:rsidP="00D94397">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$96.82</w:t>
            </w:r>
          </w:p>
        </w:tc>
        <w:tc>
          <w:tcPr>
            <w:tcW w:w="1375" w:type="dxa"/>
            <w:tcBorders>
              <w:top w:val="single" w:sz="4" w:space="0" w:color="000000"/>
              <w:left w:val="single" w:sz="4" w:space="0" w:color="000000"/>
              <w:bottom w:val="single" w:sz="4" w:space="0" w:color="000000"/>
              <w:right w:val="single" w:sz="4" w:space="0" w:color="000000"/>
            </w:tcBorders>
          </w:tcPr>
          <w:p w14:paraId="1E6447C5" w14:textId="77777777" w:rsidR="00D94397" w:rsidRDefault="00D94397" w:rsidP="00540AAD">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4" w:type="dxa"/>
            <w:tcBorders>
              <w:top w:val="single" w:sz="4" w:space="0" w:color="000000"/>
              <w:left w:val="single" w:sz="4" w:space="0" w:color="000000"/>
              <w:bottom w:val="single" w:sz="4" w:space="0" w:color="000000"/>
              <w:right w:val="single" w:sz="4" w:space="0" w:color="000000"/>
            </w:tcBorders>
          </w:tcPr>
          <w:p w14:paraId="08221248" w14:textId="77777777" w:rsidR="00D94397" w:rsidRDefault="00D94397" w:rsidP="00D94397">
            <w:pPr>
              <w:spacing w:after="0" w:line="240" w:lineRule="auto"/>
              <w:ind w:left="3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$193.64</w:t>
            </w:r>
          </w:p>
        </w:tc>
        <w:tc>
          <w:tcPr>
            <w:tcW w:w="1651" w:type="dxa"/>
            <w:tcBorders>
              <w:top w:val="single" w:sz="4" w:space="0" w:color="000000"/>
              <w:left w:val="single" w:sz="4" w:space="0" w:color="000000"/>
              <w:bottom w:val="single" w:sz="4" w:space="0" w:color="000000"/>
              <w:right w:val="single" w:sz="4" w:space="0" w:color="000000"/>
            </w:tcBorders>
          </w:tcPr>
          <w:p w14:paraId="1E241319" w14:textId="77777777" w:rsidR="00D94397" w:rsidRDefault="00D94397" w:rsidP="00D94397">
            <w:pPr>
              <w:ind w:left="242"/>
            </w:pPr>
            <w:r>
              <w:rPr>
                <w:rFonts w:ascii="Times New Roman" w:hAnsi="Times New Roman" w:cs="Times New Roman"/>
              </w:rPr>
              <w:t>$30,982</w:t>
            </w:r>
          </w:p>
        </w:tc>
      </w:tr>
    </w:tbl>
    <w:p w14:paraId="5DB46E57" w14:textId="77777777" w:rsidR="00D94397" w:rsidRDefault="00D94397" w:rsidP="00713486">
      <w:pPr>
        <w:spacing w:before="15" w:after="0" w:line="240" w:lineRule="exact"/>
        <w:rPr>
          <w:sz w:val="24"/>
          <w:szCs w:val="24"/>
        </w:rPr>
      </w:pPr>
    </w:p>
    <w:p w14:paraId="6DF9E0C9" w14:textId="77777777" w:rsidR="00D94397" w:rsidRDefault="00D94397" w:rsidP="00713486">
      <w:pPr>
        <w:spacing w:before="15" w:after="0" w:line="240" w:lineRule="exact"/>
        <w:rPr>
          <w:sz w:val="24"/>
          <w:szCs w:val="24"/>
        </w:rPr>
      </w:pPr>
    </w:p>
    <w:p w14:paraId="26316F6A" w14:textId="77777777" w:rsidR="00D91479" w:rsidRDefault="00D91479" w:rsidP="00D91479">
      <w:pPr>
        <w:spacing w:before="29"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13.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pit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osts</w:t>
      </w:r>
    </w:p>
    <w:p w14:paraId="518BFAAA" w14:textId="77777777" w:rsidR="00D91479" w:rsidRDefault="00D91479" w:rsidP="00D91479">
      <w:pPr>
        <w:spacing w:before="6" w:after="0" w:line="260" w:lineRule="exact"/>
        <w:rPr>
          <w:sz w:val="26"/>
          <w:szCs w:val="26"/>
        </w:rPr>
      </w:pPr>
    </w:p>
    <w:p w14:paraId="021C3EB4"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109E24EF" w14:textId="77777777" w:rsidR="00D91479" w:rsidRDefault="00D91479" w:rsidP="00D91479">
      <w:pPr>
        <w:spacing w:before="10" w:after="0" w:line="280" w:lineRule="exact"/>
        <w:rPr>
          <w:sz w:val="28"/>
          <w:szCs w:val="28"/>
        </w:rPr>
      </w:pPr>
    </w:p>
    <w:p w14:paraId="1DFB9861" w14:textId="77777777" w:rsidR="00D91479" w:rsidRDefault="00D91479" w:rsidP="00D91479">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14:paraId="58118A84" w14:textId="77777777" w:rsidR="00D91479" w:rsidRDefault="00D91479" w:rsidP="00D91479">
      <w:pPr>
        <w:spacing w:before="10" w:after="0" w:line="280" w:lineRule="exact"/>
        <w:rPr>
          <w:sz w:val="28"/>
          <w:szCs w:val="28"/>
        </w:rPr>
      </w:pPr>
    </w:p>
    <w:p w14:paraId="33FBDC85" w14:textId="77777777" w:rsidR="00D91479" w:rsidRDefault="00D91479" w:rsidP="00B04E1E">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continuing</w:t>
      </w:r>
      <w:r w:rsidR="00197ED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 xml:space="preserve">established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is $</w:t>
      </w:r>
      <w:r w:rsidR="00197ED3">
        <w:rPr>
          <w:rFonts w:ascii="Times New Roman" w:eastAsia="Times New Roman" w:hAnsi="Times New Roman" w:cs="Times New Roman"/>
          <w:sz w:val="24"/>
          <w:szCs w:val="24"/>
        </w:rPr>
        <w:t>37,776.62</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6"/>
          <w:sz w:val="24"/>
          <w:szCs w:val="24"/>
        </w:rPr>
        <w:t>II</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Pr="000845C9">
        <w:rPr>
          <w:rFonts w:ascii="Times New Roman" w:eastAsia="Times New Roman" w:hAnsi="Times New Roman" w:cs="Times New Roman"/>
          <w:color w:val="000000"/>
          <w:sz w:val="24"/>
          <w:szCs w:val="24"/>
        </w:rPr>
        <w:t>https://www.opm.gov/policy-data-oversight/pay-leave/salaries-wages/salary-tables/pdf/2016/DCB_h.pdf</w:t>
      </w:r>
    </w:p>
    <w:p w14:paraId="6047A9BD" w14:textId="77777777" w:rsidR="00D91479" w:rsidRDefault="00D91479" w:rsidP="00D91479">
      <w:pPr>
        <w:spacing w:before="14" w:after="0" w:line="240" w:lineRule="exact"/>
        <w:rPr>
          <w:sz w:val="24"/>
          <w:szCs w:val="24"/>
        </w:rPr>
      </w:pPr>
    </w:p>
    <w:p w14:paraId="3847A62E" w14:textId="77777777" w:rsidR="00D91479" w:rsidRDefault="00D91479" w:rsidP="00D91479">
      <w:pPr>
        <w:spacing w:before="29" w:after="0" w:line="240" w:lineRule="auto"/>
        <w:ind w:left="928" w:right="4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 Administ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p>
    <w:p w14:paraId="2FBF097B" w14:textId="77777777" w:rsidR="00D91479" w:rsidRDefault="00D91479" w:rsidP="00D91479">
      <w:pPr>
        <w:spacing w:before="7" w:after="0" w:line="240" w:lineRule="auto"/>
        <w:ind w:left="2709" w:right="225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4EDB7432" w14:textId="77777777" w:rsidR="00D91479" w:rsidRDefault="00D91479" w:rsidP="00D91479">
      <w:pPr>
        <w:spacing w:before="8" w:after="0" w:line="280" w:lineRule="exact"/>
        <w:rPr>
          <w:sz w:val="28"/>
          <w:szCs w:val="28"/>
        </w:rPr>
      </w:pPr>
    </w:p>
    <w:tbl>
      <w:tblPr>
        <w:tblW w:w="9540" w:type="dxa"/>
        <w:tblInd w:w="175" w:type="dxa"/>
        <w:tblLayout w:type="fixed"/>
        <w:tblCellMar>
          <w:left w:w="0" w:type="dxa"/>
          <w:right w:w="0" w:type="dxa"/>
        </w:tblCellMar>
        <w:tblLook w:val="01E0" w:firstRow="1" w:lastRow="1" w:firstColumn="1" w:lastColumn="1" w:noHBand="0" w:noVBand="0"/>
      </w:tblPr>
      <w:tblGrid>
        <w:gridCol w:w="5130"/>
        <w:gridCol w:w="4410"/>
      </w:tblGrid>
      <w:tr w:rsidR="00D91479" w14:paraId="79B7CAAE"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54058B10" w14:textId="77777777" w:rsidR="00D91479" w:rsidRDefault="00D91479" w:rsidP="00357755">
            <w:pPr>
              <w:spacing w:before="22" w:after="0" w:line="240" w:lineRule="auto"/>
              <w:ind w:left="2260" w:right="224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ask</w:t>
            </w:r>
          </w:p>
        </w:tc>
        <w:tc>
          <w:tcPr>
            <w:tcW w:w="4410" w:type="dxa"/>
            <w:tcBorders>
              <w:top w:val="single" w:sz="4" w:space="0" w:color="000000"/>
              <w:left w:val="single" w:sz="4" w:space="0" w:color="000000"/>
              <w:bottom w:val="single" w:sz="4" w:space="0" w:color="000000"/>
              <w:right w:val="single" w:sz="4" w:space="0" w:color="000000"/>
            </w:tcBorders>
          </w:tcPr>
          <w:p w14:paraId="73B4CA0A" w14:textId="77777777" w:rsidR="00D91479" w:rsidRDefault="00D91479" w:rsidP="00357755">
            <w:pPr>
              <w:spacing w:before="22" w:after="0" w:line="240" w:lineRule="auto"/>
              <w:ind w:left="143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p>
        </w:tc>
      </w:tr>
      <w:tr w:rsidR="00D91479" w14:paraId="6C08B9C6"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1AE76887"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tc>
        <w:tc>
          <w:tcPr>
            <w:tcW w:w="4410" w:type="dxa"/>
            <w:tcBorders>
              <w:top w:val="single" w:sz="4" w:space="0" w:color="000000"/>
              <w:left w:val="single" w:sz="4" w:space="0" w:color="000000"/>
              <w:bottom w:val="single" w:sz="4" w:space="0" w:color="000000"/>
              <w:right w:val="single" w:sz="4" w:space="0" w:color="000000"/>
            </w:tcBorders>
          </w:tcPr>
          <w:p w14:paraId="3AA1CB80" w14:textId="77777777" w:rsidR="00D91479" w:rsidRDefault="00D91479" w:rsidP="00357755"/>
        </w:tc>
      </w:tr>
      <w:tr w:rsidR="00D91479" w14:paraId="59D84378"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25CBDDB0" w14:textId="77777777" w:rsidR="00D91479" w:rsidRDefault="00D91479" w:rsidP="00197ED3">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 15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$44.15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single" w:sz="4" w:space="0" w:color="000000"/>
              <w:left w:val="single" w:sz="4" w:space="0" w:color="000000"/>
              <w:bottom w:val="single" w:sz="4" w:space="0" w:color="000000"/>
              <w:right w:val="single" w:sz="4" w:space="0" w:color="000000"/>
            </w:tcBorders>
          </w:tcPr>
          <w:p w14:paraId="19046D0D" w14:textId="77777777"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33,112.50</w:t>
            </w:r>
          </w:p>
        </w:tc>
      </w:tr>
      <w:tr w:rsidR="00D91479" w14:paraId="3FCD2B27"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58A131D4"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3B0166AF" w14:textId="77777777" w:rsidR="00D91479" w:rsidRDefault="00D91479" w:rsidP="00357755"/>
        </w:tc>
      </w:tr>
      <w:tr w:rsidR="00D91479" w14:paraId="06686D09"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3CFD605E"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p>
        </w:tc>
        <w:tc>
          <w:tcPr>
            <w:tcW w:w="4410" w:type="dxa"/>
            <w:tcBorders>
              <w:top w:val="single" w:sz="4" w:space="0" w:color="000000"/>
              <w:left w:val="single" w:sz="4" w:space="0" w:color="000000"/>
              <w:bottom w:val="single" w:sz="4" w:space="0" w:color="000000"/>
              <w:right w:val="single" w:sz="4" w:space="0" w:color="000000"/>
            </w:tcBorders>
          </w:tcPr>
          <w:p w14:paraId="5F66D0E3" w14:textId="77777777" w:rsidR="00D91479" w:rsidRDefault="00D91479" w:rsidP="00357755"/>
        </w:tc>
      </w:tr>
      <w:tr w:rsidR="00D91479" w14:paraId="669CFFAD" w14:textId="77777777" w:rsidTr="00357755">
        <w:trPr>
          <w:trHeight w:hRule="exact" w:val="305"/>
        </w:trPr>
        <w:tc>
          <w:tcPr>
            <w:tcW w:w="5130" w:type="dxa"/>
            <w:tcBorders>
              <w:top w:val="nil"/>
              <w:left w:val="single" w:sz="4" w:space="0" w:color="000000"/>
              <w:bottom w:val="single" w:sz="4" w:space="0" w:color="000000"/>
              <w:right w:val="single" w:sz="4" w:space="0" w:color="000000"/>
            </w:tcBorders>
          </w:tcPr>
          <w:p w14:paraId="6F2B9A34" w14:textId="77777777" w:rsidR="00D91479" w:rsidRDefault="00D91479" w:rsidP="00197ED3">
            <w:pPr>
              <w:spacing w:before="18"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 2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$61.37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nil"/>
              <w:left w:val="single" w:sz="4" w:space="0" w:color="000000"/>
              <w:bottom w:val="single" w:sz="4" w:space="0" w:color="000000"/>
              <w:right w:val="single" w:sz="4" w:space="0" w:color="000000"/>
            </w:tcBorders>
          </w:tcPr>
          <w:p w14:paraId="76C7B5F9" w14:textId="77777777" w:rsidR="00D91479" w:rsidRDefault="00D91479" w:rsidP="00197ED3">
            <w:pPr>
              <w:spacing w:before="18"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4,664.12</w:t>
            </w:r>
          </w:p>
        </w:tc>
      </w:tr>
      <w:tr w:rsidR="00D91479" w14:paraId="5E10D520"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3009712E"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7547C9AC" w14:textId="77777777" w:rsidR="00D91479" w:rsidRDefault="00D91479" w:rsidP="00357755"/>
        </w:tc>
      </w:tr>
      <w:tr w:rsidR="00D91479" w14:paraId="7B889979"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46CD2064"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410" w:type="dxa"/>
            <w:tcBorders>
              <w:top w:val="single" w:sz="4" w:space="0" w:color="000000"/>
              <w:left w:val="single" w:sz="4" w:space="0" w:color="000000"/>
              <w:bottom w:val="single" w:sz="4" w:space="0" w:color="000000"/>
              <w:right w:val="single" w:sz="4" w:space="0" w:color="000000"/>
            </w:tcBorders>
          </w:tcPr>
          <w:p w14:paraId="46606828" w14:textId="77777777"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37,776.62</w:t>
            </w:r>
          </w:p>
        </w:tc>
      </w:tr>
    </w:tbl>
    <w:p w14:paraId="4274BA15" w14:textId="77777777" w:rsidR="00D91479" w:rsidRDefault="00D91479" w:rsidP="00D91479">
      <w:pPr>
        <w:spacing w:before="4" w:after="0" w:line="280" w:lineRule="exact"/>
        <w:rPr>
          <w:sz w:val="28"/>
          <w:szCs w:val="28"/>
        </w:rPr>
      </w:pPr>
    </w:p>
    <w:p w14:paraId="13138CAD" w14:textId="77777777" w:rsidR="00D91479" w:rsidRDefault="00D91479" w:rsidP="00D91479">
      <w:pPr>
        <w:spacing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15.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 to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p>
    <w:p w14:paraId="7008828A" w14:textId="77777777" w:rsidR="00D91479" w:rsidRDefault="00D91479" w:rsidP="00D91479">
      <w:pPr>
        <w:spacing w:before="6" w:after="0" w:line="260" w:lineRule="exact"/>
        <w:rPr>
          <w:sz w:val="26"/>
          <w:szCs w:val="26"/>
        </w:rPr>
      </w:pPr>
    </w:p>
    <w:p w14:paraId="1184E318"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3208C60B" w14:textId="77777777" w:rsidR="00D91479" w:rsidRDefault="00D91479" w:rsidP="00D91479">
      <w:pPr>
        <w:spacing w:before="10" w:after="0" w:line="280" w:lineRule="exact"/>
        <w:rPr>
          <w:sz w:val="28"/>
          <w:szCs w:val="28"/>
        </w:rPr>
      </w:pPr>
    </w:p>
    <w:p w14:paraId="15A261ED" w14:textId="77777777" w:rsidR="00D91479" w:rsidRDefault="00D91479" w:rsidP="00D91479">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ubli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bul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119370FB" w14:textId="77777777" w:rsidR="00D91479" w:rsidRDefault="00D91479" w:rsidP="00D91479">
      <w:pPr>
        <w:spacing w:before="10" w:after="0" w:line="280" w:lineRule="exact"/>
        <w:rPr>
          <w:sz w:val="28"/>
          <w:szCs w:val="28"/>
        </w:rPr>
      </w:pPr>
    </w:p>
    <w:p w14:paraId="60620348" w14:textId="77777777" w:rsidR="006D2126" w:rsidRDefault="005755AD" w:rsidP="00D91479">
      <w:pPr>
        <w:spacing w:before="6" w:after="0" w:line="260" w:lineRule="exact"/>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There are no plans to publish the outcome of the data collection.</w:t>
      </w:r>
    </w:p>
    <w:p w14:paraId="2B24C08B" w14:textId="77777777" w:rsidR="00D91479" w:rsidRDefault="00D91479" w:rsidP="00D91479">
      <w:pPr>
        <w:spacing w:before="6" w:after="0" w:line="260" w:lineRule="exact"/>
        <w:rPr>
          <w:sz w:val="26"/>
          <w:szCs w:val="26"/>
        </w:rPr>
      </w:pPr>
    </w:p>
    <w:p w14:paraId="3BFB50BD"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14:paraId="33553E00" w14:textId="77777777" w:rsidR="00D91479" w:rsidRDefault="00D91479" w:rsidP="00D91479">
      <w:pPr>
        <w:spacing w:before="6" w:after="0" w:line="260" w:lineRule="exact"/>
        <w:rPr>
          <w:sz w:val="26"/>
          <w:szCs w:val="26"/>
        </w:rPr>
      </w:pPr>
    </w:p>
    <w:p w14:paraId="68384995" w14:textId="77777777" w:rsidR="00D91479" w:rsidRDefault="005755AD" w:rsidP="00D91479">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expiration date will </w:t>
      </w:r>
      <w:r w:rsidR="006D2126">
        <w:rPr>
          <w:rFonts w:ascii="Times New Roman" w:eastAsia="Times New Roman" w:hAnsi="Times New Roman" w:cs="Times New Roman"/>
          <w:sz w:val="24"/>
          <w:szCs w:val="24"/>
        </w:rPr>
        <w:t>be displayed on each instrument (top, right-hand corner)</w:t>
      </w:r>
    </w:p>
    <w:p w14:paraId="526BD330" w14:textId="77777777" w:rsidR="00D91479" w:rsidRDefault="00D91479" w:rsidP="00D91479">
      <w:pPr>
        <w:spacing w:before="10" w:after="0" w:line="280" w:lineRule="exact"/>
        <w:rPr>
          <w:sz w:val="28"/>
          <w:szCs w:val="28"/>
        </w:rPr>
      </w:pPr>
    </w:p>
    <w:p w14:paraId="0D91AE29" w14:textId="77777777" w:rsidR="00AA73A9" w:rsidRDefault="00AA73A9"/>
    <w:sectPr w:rsidR="00AA7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84F4C" w14:textId="77777777" w:rsidR="00DB4C34" w:rsidRDefault="00DB4C34" w:rsidP="00713486">
      <w:pPr>
        <w:spacing w:after="0" w:line="240" w:lineRule="auto"/>
      </w:pPr>
      <w:r>
        <w:separator/>
      </w:r>
    </w:p>
  </w:endnote>
  <w:endnote w:type="continuationSeparator" w:id="0">
    <w:p w14:paraId="1F18D1AF" w14:textId="77777777" w:rsidR="00DB4C34" w:rsidRDefault="00DB4C34" w:rsidP="0071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D2F2B" w14:textId="77777777" w:rsidR="00DB4C34" w:rsidRDefault="00DB4C34" w:rsidP="00713486">
      <w:pPr>
        <w:spacing w:after="0" w:line="240" w:lineRule="auto"/>
      </w:pPr>
      <w:r>
        <w:separator/>
      </w:r>
    </w:p>
  </w:footnote>
  <w:footnote w:type="continuationSeparator" w:id="0">
    <w:p w14:paraId="6D6A73BA" w14:textId="77777777" w:rsidR="00DB4C34" w:rsidRDefault="00DB4C34" w:rsidP="0071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5A59"/>
    <w:multiLevelType w:val="hybridMultilevel"/>
    <w:tmpl w:val="D6C273E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42D"/>
    <w:multiLevelType w:val="hybridMultilevel"/>
    <w:tmpl w:val="86803B62"/>
    <w:lvl w:ilvl="0" w:tplc="E1F8730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7EA43693"/>
    <w:multiLevelType w:val="hybridMultilevel"/>
    <w:tmpl w:val="0670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6"/>
    <w:rsid w:val="00006A68"/>
    <w:rsid w:val="00033C0F"/>
    <w:rsid w:val="000A654D"/>
    <w:rsid w:val="00100704"/>
    <w:rsid w:val="00136E85"/>
    <w:rsid w:val="0018526A"/>
    <w:rsid w:val="00197ED3"/>
    <w:rsid w:val="00232484"/>
    <w:rsid w:val="00260275"/>
    <w:rsid w:val="0026572A"/>
    <w:rsid w:val="002730FC"/>
    <w:rsid w:val="002A432F"/>
    <w:rsid w:val="002A5147"/>
    <w:rsid w:val="002B3A53"/>
    <w:rsid w:val="002C0DF6"/>
    <w:rsid w:val="00334CC2"/>
    <w:rsid w:val="00395493"/>
    <w:rsid w:val="00397F1F"/>
    <w:rsid w:val="00426C19"/>
    <w:rsid w:val="004B00B7"/>
    <w:rsid w:val="004D6965"/>
    <w:rsid w:val="004E388E"/>
    <w:rsid w:val="005334D1"/>
    <w:rsid w:val="00575560"/>
    <w:rsid w:val="005755AD"/>
    <w:rsid w:val="005B26B1"/>
    <w:rsid w:val="005D3A71"/>
    <w:rsid w:val="00613541"/>
    <w:rsid w:val="0064574B"/>
    <w:rsid w:val="00676EA2"/>
    <w:rsid w:val="006D2126"/>
    <w:rsid w:val="006D4D0D"/>
    <w:rsid w:val="00713486"/>
    <w:rsid w:val="00743997"/>
    <w:rsid w:val="0075049D"/>
    <w:rsid w:val="007B7FF3"/>
    <w:rsid w:val="007E5171"/>
    <w:rsid w:val="00803BA8"/>
    <w:rsid w:val="008402C2"/>
    <w:rsid w:val="00847CF8"/>
    <w:rsid w:val="008607FC"/>
    <w:rsid w:val="00896716"/>
    <w:rsid w:val="0091010A"/>
    <w:rsid w:val="00966AA0"/>
    <w:rsid w:val="009B63C6"/>
    <w:rsid w:val="009E6246"/>
    <w:rsid w:val="00A024A4"/>
    <w:rsid w:val="00A344E3"/>
    <w:rsid w:val="00A46BC2"/>
    <w:rsid w:val="00A570AD"/>
    <w:rsid w:val="00A57C00"/>
    <w:rsid w:val="00A61880"/>
    <w:rsid w:val="00A64B39"/>
    <w:rsid w:val="00AA51FA"/>
    <w:rsid w:val="00AA73A9"/>
    <w:rsid w:val="00AD409B"/>
    <w:rsid w:val="00AE14ED"/>
    <w:rsid w:val="00B04E1E"/>
    <w:rsid w:val="00B50CF4"/>
    <w:rsid w:val="00B54A67"/>
    <w:rsid w:val="00B80BD8"/>
    <w:rsid w:val="00B961A6"/>
    <w:rsid w:val="00BA43E3"/>
    <w:rsid w:val="00BE7397"/>
    <w:rsid w:val="00BF668A"/>
    <w:rsid w:val="00C14D4C"/>
    <w:rsid w:val="00C154CA"/>
    <w:rsid w:val="00C33167"/>
    <w:rsid w:val="00C6088F"/>
    <w:rsid w:val="00C95EC9"/>
    <w:rsid w:val="00CA2C32"/>
    <w:rsid w:val="00CB3261"/>
    <w:rsid w:val="00CB6768"/>
    <w:rsid w:val="00D06582"/>
    <w:rsid w:val="00D07FEF"/>
    <w:rsid w:val="00D153AB"/>
    <w:rsid w:val="00D252C1"/>
    <w:rsid w:val="00D4329C"/>
    <w:rsid w:val="00D8209B"/>
    <w:rsid w:val="00D83FEF"/>
    <w:rsid w:val="00D91479"/>
    <w:rsid w:val="00D94397"/>
    <w:rsid w:val="00DB4C34"/>
    <w:rsid w:val="00EC33BF"/>
    <w:rsid w:val="00F24CD8"/>
    <w:rsid w:val="00F57F4D"/>
    <w:rsid w:val="00FF4D45"/>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8B1E"/>
  <w15:chartTrackingRefBased/>
  <w15:docId w15:val="{CCB1AE4C-ACE3-4E42-B5E1-81D80A0D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86"/>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5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4B04-3A89-49A0-BADD-F170714A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JAMAA HILL</cp:lastModifiedBy>
  <cp:revision>2</cp:revision>
  <dcterms:created xsi:type="dcterms:W3CDTF">2017-05-22T19:12:00Z</dcterms:created>
  <dcterms:modified xsi:type="dcterms:W3CDTF">2017-05-22T19:12:00Z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2071419615</vt:i4>
  </property>
  <property fmtid="{D5CDD505-2E9C-101B-9397-08002B2CF9AE}" pid="4" name="_EmailSubject">
    <vt:lpwstr>CMS-10633 - PRA - Let's discuss.</vt:lpwstr>
  </property>
  <property fmtid="{D5CDD505-2E9C-101B-9397-08002B2CF9AE}" pid="5" name="_AuthorEmail">
    <vt:lpwstr>Joshua.Annas@cms.hhs.gov</vt:lpwstr>
  </property>
  <property fmtid="{D5CDD505-2E9C-101B-9397-08002B2CF9AE}" pid="6" name="_AuthorEmailDisplayName">
    <vt:lpwstr>Annas, Joshua C. (CMS/CCIIO)</vt:lpwstr>
  </property>
  <property fmtid="{D5CDD505-2E9C-101B-9397-08002B2CF9AE}" pid="7" name="_ReviewingToolsShownOnce">
    <vt:lpwstr/>
  </property>
</Properties>
</file>