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62FCA" w14:textId="717F7FF9" w:rsidR="00F214C8" w:rsidRPr="00EE6AFB" w:rsidRDefault="00F214C8" w:rsidP="005261F0">
      <w:pPr>
        <w:pStyle w:val="Heading7"/>
        <w:jc w:val="center"/>
        <w:rPr>
          <w:rFonts w:ascii="Times New Roman" w:hAnsi="Times New Roman"/>
          <w:b/>
          <w:sz w:val="32"/>
          <w:szCs w:val="32"/>
        </w:rPr>
      </w:pPr>
      <w:r w:rsidRPr="00EE6AFB">
        <w:rPr>
          <w:rFonts w:ascii="Times New Roman" w:hAnsi="Times New Roman"/>
          <w:b/>
          <w:sz w:val="32"/>
          <w:szCs w:val="32"/>
        </w:rPr>
        <w:t>Medicare Part C Plan Reporting Requirements</w:t>
      </w:r>
    </w:p>
    <w:p w14:paraId="02243D77" w14:textId="77777777" w:rsidR="00F214C8" w:rsidRPr="00EE6AFB" w:rsidRDefault="00F214C8" w:rsidP="005261F0">
      <w:pPr>
        <w:jc w:val="center"/>
        <w:rPr>
          <w:b/>
          <w:sz w:val="32"/>
          <w:szCs w:val="32"/>
        </w:rPr>
      </w:pPr>
      <w:r w:rsidRPr="00EE6AFB">
        <w:rPr>
          <w:b/>
          <w:sz w:val="32"/>
          <w:szCs w:val="32"/>
        </w:rPr>
        <w:t>Technical Specifications Document</w:t>
      </w:r>
    </w:p>
    <w:p w14:paraId="4356B2FB" w14:textId="29F8F475" w:rsidR="00456F30" w:rsidRPr="00EE6AFB" w:rsidRDefault="00456F30" w:rsidP="005261F0">
      <w:pPr>
        <w:jc w:val="center"/>
        <w:rPr>
          <w:b/>
          <w:sz w:val="32"/>
          <w:szCs w:val="32"/>
        </w:rPr>
      </w:pPr>
      <w:r w:rsidRPr="00EE6AFB">
        <w:rPr>
          <w:b/>
          <w:sz w:val="32"/>
          <w:szCs w:val="32"/>
        </w:rPr>
        <w:t xml:space="preserve">Contract Year </w:t>
      </w:r>
      <w:r w:rsidR="00A02E22" w:rsidRPr="00EE6AFB">
        <w:rPr>
          <w:b/>
          <w:sz w:val="32"/>
          <w:szCs w:val="32"/>
        </w:rPr>
        <w:t>2017</w:t>
      </w:r>
    </w:p>
    <w:p w14:paraId="701D1C3A" w14:textId="77777777" w:rsidR="00456F30" w:rsidRDefault="00456F30" w:rsidP="005261F0">
      <w:pPr>
        <w:jc w:val="center"/>
        <w:rPr>
          <w:b/>
          <w:sz w:val="28"/>
          <w:szCs w:val="28"/>
        </w:rPr>
      </w:pPr>
    </w:p>
    <w:p w14:paraId="27D0D422" w14:textId="77777777" w:rsidR="00456F30" w:rsidRDefault="00456F30" w:rsidP="005261F0">
      <w:pPr>
        <w:jc w:val="center"/>
        <w:rPr>
          <w:b/>
          <w:sz w:val="28"/>
          <w:szCs w:val="28"/>
        </w:rPr>
      </w:pPr>
    </w:p>
    <w:p w14:paraId="1166E7F5" w14:textId="4EC6FB2E" w:rsidR="00456F30" w:rsidRPr="00456F30" w:rsidRDefault="00456F30" w:rsidP="005261F0">
      <w:pPr>
        <w:jc w:val="center"/>
        <w:rPr>
          <w:b/>
          <w:sz w:val="28"/>
          <w:szCs w:val="28"/>
          <w:u w:val="single"/>
        </w:rPr>
      </w:pPr>
      <w:r w:rsidRPr="00456F30">
        <w:rPr>
          <w:b/>
          <w:sz w:val="28"/>
          <w:szCs w:val="28"/>
          <w:u w:val="single"/>
        </w:rPr>
        <w:t xml:space="preserve">Effective Date: January </w:t>
      </w:r>
      <w:r w:rsidR="00736EB9">
        <w:rPr>
          <w:b/>
          <w:sz w:val="28"/>
          <w:szCs w:val="28"/>
          <w:u w:val="single"/>
        </w:rPr>
        <w:t>1</w:t>
      </w:r>
      <w:r w:rsidRPr="00456F30">
        <w:rPr>
          <w:b/>
          <w:sz w:val="28"/>
          <w:szCs w:val="28"/>
          <w:u w:val="single"/>
        </w:rPr>
        <w:t xml:space="preserve">, </w:t>
      </w:r>
      <w:r w:rsidR="00A02E22">
        <w:rPr>
          <w:b/>
          <w:sz w:val="28"/>
          <w:szCs w:val="28"/>
          <w:u w:val="single"/>
        </w:rPr>
        <w:t>2017</w:t>
      </w:r>
    </w:p>
    <w:p w14:paraId="33DD600C" w14:textId="77777777" w:rsidR="00F214C8" w:rsidRPr="00912B52" w:rsidRDefault="00F214C8" w:rsidP="005261F0">
      <w:pPr>
        <w:jc w:val="center"/>
        <w:rPr>
          <w:b/>
          <w:sz w:val="28"/>
          <w:szCs w:val="28"/>
        </w:rPr>
      </w:pPr>
    </w:p>
    <w:p w14:paraId="4EBA6F1F" w14:textId="77777777" w:rsidR="00F214C8" w:rsidRPr="00912B52" w:rsidRDefault="00F214C8" w:rsidP="00F214C8">
      <w:pPr>
        <w:jc w:val="center"/>
        <w:rPr>
          <w:b/>
          <w:sz w:val="28"/>
          <w:szCs w:val="28"/>
        </w:rPr>
      </w:pPr>
    </w:p>
    <w:p w14:paraId="6145CC08" w14:textId="77777777" w:rsidR="00F214C8" w:rsidRPr="00912B52" w:rsidRDefault="00F214C8" w:rsidP="00F214C8">
      <w:pPr>
        <w:jc w:val="center"/>
        <w:rPr>
          <w:b/>
          <w:sz w:val="28"/>
          <w:szCs w:val="28"/>
        </w:rPr>
      </w:pPr>
    </w:p>
    <w:p w14:paraId="4DB12B98" w14:textId="77777777" w:rsidR="00F214C8" w:rsidRPr="00912B52" w:rsidRDefault="00F214C8" w:rsidP="00F214C8">
      <w:pPr>
        <w:jc w:val="center"/>
        <w:rPr>
          <w:b/>
          <w:sz w:val="28"/>
          <w:szCs w:val="28"/>
        </w:rPr>
      </w:pPr>
    </w:p>
    <w:p w14:paraId="20E23425" w14:textId="77777777" w:rsidR="00F214C8" w:rsidRPr="00912B52" w:rsidRDefault="00F214C8" w:rsidP="00F214C8">
      <w:pPr>
        <w:jc w:val="center"/>
        <w:rPr>
          <w:b/>
          <w:sz w:val="28"/>
          <w:szCs w:val="28"/>
        </w:rPr>
      </w:pPr>
    </w:p>
    <w:p w14:paraId="20F745B0" w14:textId="77777777" w:rsidR="00F214C8" w:rsidRPr="00912B52" w:rsidRDefault="00F214C8" w:rsidP="00F214C8">
      <w:pPr>
        <w:jc w:val="center"/>
        <w:rPr>
          <w:b/>
          <w:sz w:val="28"/>
          <w:szCs w:val="28"/>
        </w:rPr>
      </w:pPr>
    </w:p>
    <w:p w14:paraId="49392709" w14:textId="77777777" w:rsidR="00F214C8" w:rsidRPr="00912B52" w:rsidRDefault="00F214C8" w:rsidP="00F214C8">
      <w:pPr>
        <w:jc w:val="center"/>
        <w:rPr>
          <w:b/>
          <w:sz w:val="28"/>
          <w:szCs w:val="28"/>
        </w:rPr>
      </w:pPr>
    </w:p>
    <w:p w14:paraId="544AE046" w14:textId="77777777" w:rsidR="00F214C8" w:rsidRPr="00912B52" w:rsidRDefault="00F214C8" w:rsidP="00F214C8">
      <w:pPr>
        <w:jc w:val="center"/>
        <w:rPr>
          <w:sz w:val="28"/>
          <w:szCs w:val="28"/>
        </w:rPr>
      </w:pPr>
    </w:p>
    <w:p w14:paraId="578AB8C4" w14:textId="77777777" w:rsidR="00F214C8" w:rsidRPr="00912B52" w:rsidRDefault="00F214C8" w:rsidP="00F214C8">
      <w:pPr>
        <w:jc w:val="center"/>
        <w:rPr>
          <w:sz w:val="28"/>
          <w:szCs w:val="28"/>
        </w:rPr>
      </w:pPr>
    </w:p>
    <w:p w14:paraId="7FDF2126" w14:textId="77777777" w:rsidR="00F214C8" w:rsidRPr="00912B52" w:rsidRDefault="00F214C8" w:rsidP="00F214C8">
      <w:pPr>
        <w:jc w:val="center"/>
        <w:rPr>
          <w:sz w:val="28"/>
          <w:szCs w:val="28"/>
        </w:rPr>
      </w:pPr>
    </w:p>
    <w:p w14:paraId="2E07A8DD" w14:textId="77777777" w:rsidR="00F214C8" w:rsidRPr="00912B52" w:rsidRDefault="00F214C8" w:rsidP="00F214C8">
      <w:pPr>
        <w:jc w:val="center"/>
        <w:rPr>
          <w:sz w:val="28"/>
          <w:szCs w:val="28"/>
        </w:rPr>
      </w:pPr>
    </w:p>
    <w:p w14:paraId="76E5FC13" w14:textId="77777777" w:rsidR="00F214C8" w:rsidRPr="00912B52" w:rsidRDefault="00F214C8" w:rsidP="00F214C8">
      <w:pPr>
        <w:jc w:val="center"/>
        <w:rPr>
          <w:sz w:val="28"/>
          <w:szCs w:val="28"/>
        </w:rPr>
      </w:pPr>
    </w:p>
    <w:p w14:paraId="70046447" w14:textId="77777777" w:rsidR="00F214C8" w:rsidRPr="00912B52" w:rsidRDefault="00F214C8" w:rsidP="00F214C8">
      <w:pPr>
        <w:jc w:val="center"/>
        <w:rPr>
          <w:sz w:val="28"/>
          <w:szCs w:val="28"/>
        </w:rPr>
      </w:pPr>
    </w:p>
    <w:p w14:paraId="7387EFE6" w14:textId="77777777" w:rsidR="00F214C8" w:rsidRPr="00912B52" w:rsidRDefault="00F214C8" w:rsidP="00F214C8">
      <w:pPr>
        <w:jc w:val="center"/>
        <w:rPr>
          <w:sz w:val="28"/>
          <w:szCs w:val="28"/>
        </w:rPr>
      </w:pPr>
    </w:p>
    <w:p w14:paraId="410B515A" w14:textId="77777777" w:rsidR="00F214C8" w:rsidRPr="00912B52" w:rsidRDefault="00F214C8" w:rsidP="00105306">
      <w:pPr>
        <w:jc w:val="right"/>
        <w:rPr>
          <w:sz w:val="28"/>
          <w:szCs w:val="28"/>
        </w:rPr>
      </w:pPr>
    </w:p>
    <w:p w14:paraId="6A3CBAD7" w14:textId="77777777" w:rsidR="00F214C8" w:rsidRPr="00912B52" w:rsidRDefault="00F214C8" w:rsidP="00F214C8">
      <w:pPr>
        <w:jc w:val="center"/>
        <w:rPr>
          <w:sz w:val="28"/>
          <w:szCs w:val="28"/>
        </w:rPr>
      </w:pPr>
    </w:p>
    <w:p w14:paraId="36D8BF72" w14:textId="77777777" w:rsidR="00F214C8" w:rsidRPr="00912B52" w:rsidRDefault="00F214C8" w:rsidP="00AA1A8A">
      <w:pPr>
        <w:rPr>
          <w:b/>
          <w:sz w:val="28"/>
          <w:szCs w:val="28"/>
        </w:rPr>
      </w:pPr>
      <w:r w:rsidRPr="00912B52">
        <w:rPr>
          <w:b/>
          <w:sz w:val="28"/>
          <w:szCs w:val="28"/>
        </w:rPr>
        <w:t>Prepared by:</w:t>
      </w:r>
    </w:p>
    <w:p w14:paraId="34353D20" w14:textId="77777777" w:rsidR="004A54E8" w:rsidRDefault="00B54006" w:rsidP="00AA1A8A">
      <w:pPr>
        <w:rPr>
          <w:b/>
          <w:sz w:val="28"/>
          <w:szCs w:val="28"/>
        </w:rPr>
      </w:pPr>
      <w:r>
        <w:rPr>
          <w:b/>
          <w:sz w:val="28"/>
          <w:szCs w:val="28"/>
        </w:rPr>
        <w:t>Center</w:t>
      </w:r>
      <w:r w:rsidR="00AA1A8A">
        <w:rPr>
          <w:b/>
          <w:sz w:val="28"/>
          <w:szCs w:val="28"/>
        </w:rPr>
        <w:t>s</w:t>
      </w:r>
      <w:r w:rsidR="000D6575">
        <w:rPr>
          <w:b/>
          <w:sz w:val="28"/>
          <w:szCs w:val="28"/>
        </w:rPr>
        <w:t xml:space="preserve"> </w:t>
      </w:r>
      <w:r w:rsidR="00F214C8" w:rsidRPr="00912B52">
        <w:rPr>
          <w:b/>
          <w:sz w:val="28"/>
          <w:szCs w:val="28"/>
        </w:rPr>
        <w:t xml:space="preserve">for Medicare </w:t>
      </w:r>
      <w:r w:rsidR="00AA1A8A">
        <w:rPr>
          <w:b/>
          <w:sz w:val="28"/>
          <w:szCs w:val="28"/>
        </w:rPr>
        <w:t>&amp; Medicaid Services</w:t>
      </w:r>
    </w:p>
    <w:p w14:paraId="7976BDC0" w14:textId="77777777" w:rsidR="00AA1A8A" w:rsidRDefault="00AA1A8A" w:rsidP="00AA1A8A">
      <w:pPr>
        <w:rPr>
          <w:b/>
          <w:sz w:val="28"/>
          <w:szCs w:val="28"/>
        </w:rPr>
      </w:pPr>
      <w:r>
        <w:rPr>
          <w:b/>
          <w:sz w:val="28"/>
          <w:szCs w:val="28"/>
        </w:rPr>
        <w:t>Center for Medicare</w:t>
      </w:r>
    </w:p>
    <w:p w14:paraId="5B5A79BE" w14:textId="77777777" w:rsidR="00AA1A8A" w:rsidRDefault="00AA1A8A" w:rsidP="00AA1A8A">
      <w:pPr>
        <w:rPr>
          <w:b/>
          <w:sz w:val="28"/>
          <w:szCs w:val="28"/>
        </w:rPr>
      </w:pPr>
      <w:r>
        <w:rPr>
          <w:b/>
          <w:sz w:val="28"/>
          <w:szCs w:val="28"/>
        </w:rPr>
        <w:t>Medicare Drug Benefit and C&amp;D Data Group</w:t>
      </w:r>
    </w:p>
    <w:p w14:paraId="38FD45C4" w14:textId="77777777" w:rsidR="00AA1A8A" w:rsidRDefault="00AA1A8A" w:rsidP="00AA1A8A">
      <w:pPr>
        <w:rPr>
          <w:b/>
          <w:sz w:val="28"/>
          <w:szCs w:val="28"/>
        </w:rPr>
      </w:pPr>
    </w:p>
    <w:p w14:paraId="676A3E93" w14:textId="77777777" w:rsidR="00C5785D" w:rsidRDefault="00C5785D" w:rsidP="00AA1A8A">
      <w:pPr>
        <w:rPr>
          <w:b/>
          <w:sz w:val="28"/>
          <w:szCs w:val="28"/>
        </w:rPr>
      </w:pPr>
    </w:p>
    <w:p w14:paraId="71EF8D74" w14:textId="77777777" w:rsidR="00C5785D" w:rsidRDefault="00C5785D" w:rsidP="00AA1A8A">
      <w:pPr>
        <w:rPr>
          <w:b/>
          <w:sz w:val="28"/>
          <w:szCs w:val="28"/>
        </w:rPr>
      </w:pPr>
    </w:p>
    <w:p w14:paraId="0E12853E" w14:textId="77777777" w:rsidR="00C5785D" w:rsidRDefault="00C5785D" w:rsidP="00AA1A8A">
      <w:pPr>
        <w:rPr>
          <w:b/>
          <w:sz w:val="28"/>
          <w:szCs w:val="28"/>
        </w:rPr>
      </w:pPr>
    </w:p>
    <w:p w14:paraId="778E56CA" w14:textId="77777777" w:rsidR="00C5785D" w:rsidRDefault="00C5785D" w:rsidP="00AA1A8A">
      <w:pPr>
        <w:rPr>
          <w:b/>
          <w:sz w:val="28"/>
          <w:szCs w:val="28"/>
        </w:rPr>
      </w:pPr>
    </w:p>
    <w:p w14:paraId="2AA47739" w14:textId="77777777" w:rsidR="00C5785D" w:rsidRDefault="00C5785D" w:rsidP="00AA1A8A">
      <w:pPr>
        <w:rPr>
          <w:b/>
          <w:sz w:val="28"/>
          <w:szCs w:val="28"/>
        </w:rPr>
      </w:pPr>
    </w:p>
    <w:p w14:paraId="1E9ED4D4" w14:textId="77777777" w:rsidR="000D7D13" w:rsidRDefault="000D7D13" w:rsidP="000D7D13">
      <w:pPr>
        <w:rPr>
          <w:b/>
          <w:sz w:val="28"/>
          <w:szCs w:val="28"/>
        </w:rPr>
      </w:pPr>
      <w:r w:rsidRPr="00EF633F">
        <w:rPr>
          <w:b/>
          <w:bCs/>
          <w:color w:val="000000"/>
          <w:sz w:val="20"/>
          <w:szCs w:val="20"/>
        </w:rPr>
        <w:t>PRA Disclosure Statement According to the Paperwork Reduction Act of 1995, no persons are required to respond to a collection of information unless it displays a valid OMB control number. The valid OMB control number for this information collection is 0938-1054 (expires</w:t>
      </w:r>
      <w:r w:rsidRPr="00EF633F">
        <w:rPr>
          <w:bCs/>
          <w:color w:val="000000"/>
          <w:sz w:val="20"/>
          <w:szCs w:val="20"/>
        </w:rPr>
        <w:t>:</w:t>
      </w:r>
      <w:r w:rsidRPr="00EF633F">
        <w:rPr>
          <w:rFonts w:ascii="ArialMT" w:hAnsi="ArialMT" w:cs="ArialMT"/>
          <w:sz w:val="20"/>
          <w:szCs w:val="20"/>
        </w:rPr>
        <w:t xml:space="preserve"> </w:t>
      </w:r>
      <w:r w:rsidRPr="00EF633F">
        <w:rPr>
          <w:rFonts w:ascii="ArialMT" w:hAnsi="ArialMT" w:cs="ArialMT"/>
          <w:b/>
          <w:sz w:val="20"/>
          <w:szCs w:val="20"/>
        </w:rPr>
        <w:t>0</w:t>
      </w:r>
      <w:r w:rsidRPr="00EF633F">
        <w:rPr>
          <w:b/>
          <w:sz w:val="20"/>
          <w:szCs w:val="20"/>
        </w:rPr>
        <w:t>1/31/2020</w:t>
      </w:r>
      <w:r w:rsidRPr="00EF633F">
        <w:rPr>
          <w:b/>
          <w:bCs/>
          <w:color w:val="000000"/>
          <w:sz w:val="20"/>
          <w:szCs w:val="20"/>
        </w:rPr>
        <w:t>). The time required to complete this information collection is estimated to average 48 hours per response, including the time to review instructions, search existing data resources, and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dt>
      <w:sdtPr>
        <w:rPr>
          <w:b/>
          <w:bCs/>
        </w:rPr>
        <w:id w:val="-909764264"/>
        <w:docPartObj>
          <w:docPartGallery w:val="Table of Contents"/>
          <w:docPartUnique/>
        </w:docPartObj>
      </w:sdtPr>
      <w:sdtEndPr>
        <w:rPr>
          <w:b w:val="0"/>
          <w:bCs w:val="0"/>
          <w:noProof/>
        </w:rPr>
      </w:sdtEndPr>
      <w:sdtContent>
        <w:p w14:paraId="254B5EBF" w14:textId="77777777" w:rsidR="009403B2" w:rsidRDefault="009403B2" w:rsidP="00870602">
          <w:pPr>
            <w:rPr>
              <w:b/>
              <w:bCs/>
            </w:rPr>
          </w:pPr>
        </w:p>
        <w:p w14:paraId="71F70092" w14:textId="577E9183" w:rsidR="00A26E5E" w:rsidRPr="00D61AD1" w:rsidRDefault="00766BFA" w:rsidP="00870602">
          <w:pPr>
            <w:rPr>
              <w:b/>
              <w:color w:val="365F91" w:themeColor="accent1" w:themeShade="BF"/>
              <w:sz w:val="32"/>
              <w:szCs w:val="32"/>
            </w:rPr>
          </w:pPr>
          <w:r w:rsidRPr="00D61AD1">
            <w:rPr>
              <w:b/>
              <w:color w:val="365F91" w:themeColor="accent1" w:themeShade="BF"/>
              <w:sz w:val="32"/>
              <w:szCs w:val="32"/>
            </w:rPr>
            <w:lastRenderedPageBreak/>
            <w:t>Table of Contents</w:t>
          </w:r>
        </w:p>
        <w:p w14:paraId="4002EEE4" w14:textId="77777777" w:rsidR="00CB7935" w:rsidRPr="00870602" w:rsidRDefault="00CB7935" w:rsidP="00870602">
          <w:pPr>
            <w:rPr>
              <w:lang w:eastAsia="ja-JP"/>
            </w:rPr>
          </w:pPr>
        </w:p>
        <w:p w14:paraId="345278E1" w14:textId="484B7ED8" w:rsidR="001A6406" w:rsidRDefault="00766BFA">
          <w:pPr>
            <w:pStyle w:val="TOC2"/>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475956094" w:history="1">
            <w:r w:rsidR="001A6406" w:rsidRPr="001F1E08">
              <w:rPr>
                <w:rStyle w:val="Hyperlink"/>
                <w:caps/>
              </w:rPr>
              <w:t>Background and Introduction</w:t>
            </w:r>
            <w:r w:rsidR="001A6406">
              <w:rPr>
                <w:webHidden/>
              </w:rPr>
              <w:tab/>
              <w:t xml:space="preserve"> </w:t>
            </w:r>
            <w:r w:rsidR="00C5544E">
              <w:rPr>
                <w:webHidden/>
              </w:rPr>
              <w:t xml:space="preserve"> </w:t>
            </w:r>
            <w:r w:rsidR="001A6406">
              <w:rPr>
                <w:webHidden/>
              </w:rPr>
              <w:fldChar w:fldCharType="begin"/>
            </w:r>
            <w:r w:rsidR="001A6406">
              <w:rPr>
                <w:webHidden/>
              </w:rPr>
              <w:instrText xml:space="preserve"> PAGEREF _Toc475956094 \h </w:instrText>
            </w:r>
            <w:r w:rsidR="001A6406">
              <w:rPr>
                <w:webHidden/>
              </w:rPr>
            </w:r>
            <w:r w:rsidR="001A6406">
              <w:rPr>
                <w:webHidden/>
              </w:rPr>
              <w:fldChar w:fldCharType="separate"/>
            </w:r>
            <w:r w:rsidR="005866C2">
              <w:rPr>
                <w:webHidden/>
              </w:rPr>
              <w:t>1</w:t>
            </w:r>
            <w:r w:rsidR="001A6406">
              <w:rPr>
                <w:webHidden/>
              </w:rPr>
              <w:fldChar w:fldCharType="end"/>
            </w:r>
          </w:hyperlink>
        </w:p>
        <w:p w14:paraId="5AF41532" w14:textId="0FC9B5AE" w:rsidR="001A6406" w:rsidRDefault="009D70F7">
          <w:pPr>
            <w:pStyle w:val="TOC2"/>
            <w:rPr>
              <w:rFonts w:asciiTheme="minorHAnsi" w:eastAsiaTheme="minorEastAsia" w:hAnsiTheme="minorHAnsi" w:cstheme="minorBidi"/>
              <w:sz w:val="22"/>
              <w:szCs w:val="22"/>
            </w:rPr>
          </w:pPr>
          <w:hyperlink w:anchor="_Toc475956095" w:history="1">
            <w:r w:rsidR="001A6406" w:rsidRPr="001F1E08">
              <w:rPr>
                <w:rStyle w:val="Hyperlink"/>
                <w:caps/>
              </w:rPr>
              <w:t>General Information</w:t>
            </w:r>
            <w:r w:rsidR="001A6406">
              <w:rPr>
                <w:webHidden/>
              </w:rPr>
              <w:tab/>
              <w:t xml:space="preserve"> </w:t>
            </w:r>
            <w:r w:rsidR="00C5544E">
              <w:rPr>
                <w:webHidden/>
              </w:rPr>
              <w:t xml:space="preserve"> </w:t>
            </w:r>
            <w:r w:rsidR="001A6406">
              <w:rPr>
                <w:webHidden/>
              </w:rPr>
              <w:fldChar w:fldCharType="begin"/>
            </w:r>
            <w:r w:rsidR="001A6406">
              <w:rPr>
                <w:webHidden/>
              </w:rPr>
              <w:instrText xml:space="preserve"> PAGEREF _Toc475956095 \h </w:instrText>
            </w:r>
            <w:r w:rsidR="001A6406">
              <w:rPr>
                <w:webHidden/>
              </w:rPr>
            </w:r>
            <w:r w:rsidR="001A6406">
              <w:rPr>
                <w:webHidden/>
              </w:rPr>
              <w:fldChar w:fldCharType="separate"/>
            </w:r>
            <w:r w:rsidR="005866C2">
              <w:rPr>
                <w:webHidden/>
              </w:rPr>
              <w:t>1</w:t>
            </w:r>
            <w:r w:rsidR="001A6406">
              <w:rPr>
                <w:webHidden/>
              </w:rPr>
              <w:fldChar w:fldCharType="end"/>
            </w:r>
          </w:hyperlink>
        </w:p>
        <w:p w14:paraId="60DE079D" w14:textId="7BF8B877" w:rsidR="001A6406" w:rsidRDefault="009D70F7">
          <w:pPr>
            <w:pStyle w:val="TOC2"/>
            <w:rPr>
              <w:rFonts w:asciiTheme="minorHAnsi" w:eastAsiaTheme="minorEastAsia" w:hAnsiTheme="minorHAnsi" w:cstheme="minorBidi"/>
              <w:sz w:val="22"/>
              <w:szCs w:val="22"/>
            </w:rPr>
          </w:pPr>
          <w:hyperlink w:anchor="_Toc475956096" w:history="1">
            <w:r w:rsidR="001A6406" w:rsidRPr="001F1E08">
              <w:rPr>
                <w:rStyle w:val="Hyperlink"/>
                <w:caps/>
              </w:rPr>
              <w:t>Reporting Requirement Reporting Sections List</w:t>
            </w:r>
            <w:r w:rsidR="001A6406">
              <w:rPr>
                <w:webHidden/>
              </w:rPr>
              <w:tab/>
              <w:t xml:space="preserve"> </w:t>
            </w:r>
            <w:r w:rsidR="00C5544E">
              <w:rPr>
                <w:webHidden/>
              </w:rPr>
              <w:t xml:space="preserve"> </w:t>
            </w:r>
            <w:r w:rsidR="001A6406">
              <w:rPr>
                <w:webHidden/>
              </w:rPr>
              <w:fldChar w:fldCharType="begin"/>
            </w:r>
            <w:r w:rsidR="001A6406">
              <w:rPr>
                <w:webHidden/>
              </w:rPr>
              <w:instrText xml:space="preserve"> PAGEREF _Toc475956096 \h </w:instrText>
            </w:r>
            <w:r w:rsidR="001A6406">
              <w:rPr>
                <w:webHidden/>
              </w:rPr>
            </w:r>
            <w:r w:rsidR="001A6406">
              <w:rPr>
                <w:webHidden/>
              </w:rPr>
              <w:fldChar w:fldCharType="separate"/>
            </w:r>
            <w:r w:rsidR="005866C2">
              <w:rPr>
                <w:webHidden/>
              </w:rPr>
              <w:t>5</w:t>
            </w:r>
            <w:r w:rsidR="001A6406">
              <w:rPr>
                <w:webHidden/>
              </w:rPr>
              <w:fldChar w:fldCharType="end"/>
            </w:r>
          </w:hyperlink>
        </w:p>
        <w:p w14:paraId="40D6F3D1" w14:textId="11467F69" w:rsidR="001A6406" w:rsidRDefault="009D70F7">
          <w:pPr>
            <w:pStyle w:val="TOC2"/>
            <w:rPr>
              <w:rFonts w:asciiTheme="minorHAnsi" w:eastAsiaTheme="minorEastAsia" w:hAnsiTheme="minorHAnsi" w:cstheme="minorBidi"/>
              <w:sz w:val="22"/>
              <w:szCs w:val="22"/>
            </w:rPr>
          </w:pPr>
          <w:hyperlink w:anchor="_Toc475956097" w:history="1">
            <w:r w:rsidR="001A6406" w:rsidRPr="001F1E08">
              <w:rPr>
                <w:rStyle w:val="Hyperlink"/>
                <w:caps/>
              </w:rPr>
              <w:t>Reporting Sections</w:t>
            </w:r>
            <w:r w:rsidR="001A6406">
              <w:rPr>
                <w:webHidden/>
              </w:rPr>
              <w:tab/>
              <w:t xml:space="preserve">  </w:t>
            </w:r>
            <w:r w:rsidR="001A6406">
              <w:rPr>
                <w:webHidden/>
              </w:rPr>
              <w:fldChar w:fldCharType="begin"/>
            </w:r>
            <w:r w:rsidR="001A6406">
              <w:rPr>
                <w:webHidden/>
              </w:rPr>
              <w:instrText xml:space="preserve"> PAGEREF _Toc475956097 \h </w:instrText>
            </w:r>
            <w:r w:rsidR="001A6406">
              <w:rPr>
                <w:webHidden/>
              </w:rPr>
            </w:r>
            <w:r w:rsidR="001A6406">
              <w:rPr>
                <w:webHidden/>
              </w:rPr>
              <w:fldChar w:fldCharType="separate"/>
            </w:r>
            <w:r w:rsidR="005866C2">
              <w:rPr>
                <w:webHidden/>
              </w:rPr>
              <w:t>8</w:t>
            </w:r>
            <w:r w:rsidR="001A6406">
              <w:rPr>
                <w:webHidden/>
              </w:rPr>
              <w:fldChar w:fldCharType="end"/>
            </w:r>
          </w:hyperlink>
        </w:p>
        <w:p w14:paraId="11547457" w14:textId="77777777" w:rsidR="001A6406" w:rsidRDefault="009D70F7">
          <w:pPr>
            <w:pStyle w:val="TOC3"/>
            <w:rPr>
              <w:rFonts w:asciiTheme="minorHAnsi" w:eastAsiaTheme="minorEastAsia" w:hAnsiTheme="minorHAnsi" w:cstheme="minorBidi"/>
              <w:sz w:val="22"/>
              <w:szCs w:val="22"/>
            </w:rPr>
          </w:pPr>
          <w:hyperlink w:anchor="_Toc475956098" w:history="1">
            <w:r w:rsidR="001A6406" w:rsidRPr="001F1E08">
              <w:rPr>
                <w:rStyle w:val="Hyperlink"/>
                <w:caps/>
              </w:rPr>
              <w:t>1. benefit utilization (suspended)</w:t>
            </w:r>
            <w:r w:rsidR="001A6406">
              <w:rPr>
                <w:webHidden/>
              </w:rPr>
              <w:tab/>
            </w:r>
            <w:r w:rsidR="001A6406">
              <w:rPr>
                <w:webHidden/>
              </w:rPr>
              <w:fldChar w:fldCharType="begin"/>
            </w:r>
            <w:r w:rsidR="001A6406">
              <w:rPr>
                <w:webHidden/>
              </w:rPr>
              <w:instrText xml:space="preserve"> PAGEREF _Toc475956098 \h </w:instrText>
            </w:r>
            <w:r w:rsidR="001A6406">
              <w:rPr>
                <w:webHidden/>
              </w:rPr>
            </w:r>
            <w:r w:rsidR="001A6406">
              <w:rPr>
                <w:webHidden/>
              </w:rPr>
              <w:fldChar w:fldCharType="separate"/>
            </w:r>
            <w:r w:rsidR="005866C2">
              <w:rPr>
                <w:webHidden/>
              </w:rPr>
              <w:t>8</w:t>
            </w:r>
            <w:r w:rsidR="001A6406">
              <w:rPr>
                <w:webHidden/>
              </w:rPr>
              <w:fldChar w:fldCharType="end"/>
            </w:r>
          </w:hyperlink>
        </w:p>
        <w:p w14:paraId="6FFFF828" w14:textId="77777777" w:rsidR="001A6406" w:rsidRDefault="009D70F7">
          <w:pPr>
            <w:pStyle w:val="TOC3"/>
            <w:rPr>
              <w:rFonts w:asciiTheme="minorHAnsi" w:eastAsiaTheme="minorEastAsia" w:hAnsiTheme="minorHAnsi" w:cstheme="minorBidi"/>
              <w:sz w:val="22"/>
              <w:szCs w:val="22"/>
            </w:rPr>
          </w:pPr>
          <w:hyperlink w:anchor="_Toc475956099" w:history="1">
            <w:r w:rsidR="001A6406" w:rsidRPr="001F1E08">
              <w:rPr>
                <w:rStyle w:val="Hyperlink"/>
                <w:caps/>
              </w:rPr>
              <w:t>2. procedure frequency (suspended)</w:t>
            </w:r>
            <w:r w:rsidR="001A6406">
              <w:rPr>
                <w:webHidden/>
              </w:rPr>
              <w:tab/>
            </w:r>
            <w:r w:rsidR="001A6406">
              <w:rPr>
                <w:webHidden/>
              </w:rPr>
              <w:fldChar w:fldCharType="begin"/>
            </w:r>
            <w:r w:rsidR="001A6406">
              <w:rPr>
                <w:webHidden/>
              </w:rPr>
              <w:instrText xml:space="preserve"> PAGEREF _Toc475956099 \h </w:instrText>
            </w:r>
            <w:r w:rsidR="001A6406">
              <w:rPr>
                <w:webHidden/>
              </w:rPr>
            </w:r>
            <w:r w:rsidR="001A6406">
              <w:rPr>
                <w:webHidden/>
              </w:rPr>
              <w:fldChar w:fldCharType="separate"/>
            </w:r>
            <w:r w:rsidR="005866C2">
              <w:rPr>
                <w:webHidden/>
              </w:rPr>
              <w:t>8</w:t>
            </w:r>
            <w:r w:rsidR="001A6406">
              <w:rPr>
                <w:webHidden/>
              </w:rPr>
              <w:fldChar w:fldCharType="end"/>
            </w:r>
          </w:hyperlink>
        </w:p>
        <w:p w14:paraId="49E00C78" w14:textId="77777777" w:rsidR="001A6406" w:rsidRDefault="009D70F7">
          <w:pPr>
            <w:pStyle w:val="TOC3"/>
            <w:rPr>
              <w:rFonts w:asciiTheme="minorHAnsi" w:eastAsiaTheme="minorEastAsia" w:hAnsiTheme="minorHAnsi" w:cstheme="minorBidi"/>
              <w:sz w:val="22"/>
              <w:szCs w:val="22"/>
            </w:rPr>
          </w:pPr>
          <w:hyperlink w:anchor="_Toc475956100" w:history="1">
            <w:r w:rsidR="001A6406" w:rsidRPr="001F1E08">
              <w:rPr>
                <w:rStyle w:val="Hyperlink"/>
                <w:caps/>
              </w:rPr>
              <w:t>3. serious reportable adverse events (suspended)</w:t>
            </w:r>
            <w:r w:rsidR="001A6406">
              <w:rPr>
                <w:webHidden/>
              </w:rPr>
              <w:tab/>
            </w:r>
            <w:r w:rsidR="001A6406">
              <w:rPr>
                <w:webHidden/>
              </w:rPr>
              <w:fldChar w:fldCharType="begin"/>
            </w:r>
            <w:r w:rsidR="001A6406">
              <w:rPr>
                <w:webHidden/>
              </w:rPr>
              <w:instrText xml:space="preserve"> PAGEREF _Toc475956100 \h </w:instrText>
            </w:r>
            <w:r w:rsidR="001A6406">
              <w:rPr>
                <w:webHidden/>
              </w:rPr>
            </w:r>
            <w:r w:rsidR="001A6406">
              <w:rPr>
                <w:webHidden/>
              </w:rPr>
              <w:fldChar w:fldCharType="separate"/>
            </w:r>
            <w:r w:rsidR="005866C2">
              <w:rPr>
                <w:webHidden/>
              </w:rPr>
              <w:t>8</w:t>
            </w:r>
            <w:r w:rsidR="001A6406">
              <w:rPr>
                <w:webHidden/>
              </w:rPr>
              <w:fldChar w:fldCharType="end"/>
            </w:r>
          </w:hyperlink>
        </w:p>
        <w:p w14:paraId="334B2DD6" w14:textId="77777777" w:rsidR="001A6406" w:rsidRDefault="009D70F7">
          <w:pPr>
            <w:pStyle w:val="TOC3"/>
            <w:rPr>
              <w:rFonts w:asciiTheme="minorHAnsi" w:eastAsiaTheme="minorEastAsia" w:hAnsiTheme="minorHAnsi" w:cstheme="minorBidi"/>
              <w:sz w:val="22"/>
              <w:szCs w:val="22"/>
            </w:rPr>
          </w:pPr>
          <w:hyperlink w:anchor="_Toc475956101" w:history="1">
            <w:r w:rsidR="001A6406" w:rsidRPr="001F1E08">
              <w:rPr>
                <w:rStyle w:val="Hyperlink"/>
                <w:caps/>
              </w:rPr>
              <w:t>4. provider network adequacy (suspended)</w:t>
            </w:r>
            <w:r w:rsidR="001A6406">
              <w:rPr>
                <w:webHidden/>
              </w:rPr>
              <w:tab/>
            </w:r>
            <w:r w:rsidR="001A6406">
              <w:rPr>
                <w:webHidden/>
              </w:rPr>
              <w:fldChar w:fldCharType="begin"/>
            </w:r>
            <w:r w:rsidR="001A6406">
              <w:rPr>
                <w:webHidden/>
              </w:rPr>
              <w:instrText xml:space="preserve"> PAGEREF _Toc475956101 \h </w:instrText>
            </w:r>
            <w:r w:rsidR="001A6406">
              <w:rPr>
                <w:webHidden/>
              </w:rPr>
            </w:r>
            <w:r w:rsidR="001A6406">
              <w:rPr>
                <w:webHidden/>
              </w:rPr>
              <w:fldChar w:fldCharType="separate"/>
            </w:r>
            <w:r w:rsidR="005866C2">
              <w:rPr>
                <w:webHidden/>
              </w:rPr>
              <w:t>8</w:t>
            </w:r>
            <w:r w:rsidR="001A6406">
              <w:rPr>
                <w:webHidden/>
              </w:rPr>
              <w:fldChar w:fldCharType="end"/>
            </w:r>
          </w:hyperlink>
        </w:p>
        <w:p w14:paraId="662A4734" w14:textId="77777777" w:rsidR="001A6406" w:rsidRDefault="009D70F7">
          <w:pPr>
            <w:pStyle w:val="TOC3"/>
            <w:rPr>
              <w:rFonts w:asciiTheme="minorHAnsi" w:eastAsiaTheme="minorEastAsia" w:hAnsiTheme="minorHAnsi" w:cstheme="minorBidi"/>
              <w:sz w:val="22"/>
              <w:szCs w:val="22"/>
            </w:rPr>
          </w:pPr>
          <w:hyperlink w:anchor="_Toc475956102" w:history="1">
            <w:r w:rsidR="001A6406" w:rsidRPr="001F1E08">
              <w:rPr>
                <w:rStyle w:val="Hyperlink"/>
                <w:caps/>
              </w:rPr>
              <w:t>5. grievances</w:t>
            </w:r>
            <w:r w:rsidR="001A6406">
              <w:rPr>
                <w:webHidden/>
              </w:rPr>
              <w:tab/>
            </w:r>
            <w:r w:rsidR="001A6406">
              <w:rPr>
                <w:webHidden/>
              </w:rPr>
              <w:fldChar w:fldCharType="begin"/>
            </w:r>
            <w:r w:rsidR="001A6406">
              <w:rPr>
                <w:webHidden/>
              </w:rPr>
              <w:instrText xml:space="preserve"> PAGEREF _Toc475956102 \h </w:instrText>
            </w:r>
            <w:r w:rsidR="001A6406">
              <w:rPr>
                <w:webHidden/>
              </w:rPr>
            </w:r>
            <w:r w:rsidR="001A6406">
              <w:rPr>
                <w:webHidden/>
              </w:rPr>
              <w:fldChar w:fldCharType="separate"/>
            </w:r>
            <w:r w:rsidR="005866C2">
              <w:rPr>
                <w:webHidden/>
              </w:rPr>
              <w:t>8</w:t>
            </w:r>
            <w:r w:rsidR="001A6406">
              <w:rPr>
                <w:webHidden/>
              </w:rPr>
              <w:fldChar w:fldCharType="end"/>
            </w:r>
          </w:hyperlink>
        </w:p>
        <w:p w14:paraId="7EFA7545" w14:textId="77777777" w:rsidR="001A6406" w:rsidRDefault="009D70F7">
          <w:pPr>
            <w:pStyle w:val="TOC3"/>
            <w:rPr>
              <w:rFonts w:asciiTheme="minorHAnsi" w:eastAsiaTheme="minorEastAsia" w:hAnsiTheme="minorHAnsi" w:cstheme="minorBidi"/>
              <w:sz w:val="22"/>
              <w:szCs w:val="22"/>
            </w:rPr>
          </w:pPr>
          <w:hyperlink w:anchor="_Toc475956103" w:history="1">
            <w:r w:rsidR="001A6406" w:rsidRPr="001F1E08">
              <w:rPr>
                <w:rStyle w:val="Hyperlink"/>
                <w:caps/>
              </w:rPr>
              <w:t>6. Organization Determinations/Reconsiderations</w:t>
            </w:r>
            <w:r w:rsidR="001A6406">
              <w:rPr>
                <w:webHidden/>
              </w:rPr>
              <w:tab/>
            </w:r>
            <w:r w:rsidR="001A6406">
              <w:rPr>
                <w:webHidden/>
              </w:rPr>
              <w:fldChar w:fldCharType="begin"/>
            </w:r>
            <w:r w:rsidR="001A6406">
              <w:rPr>
                <w:webHidden/>
              </w:rPr>
              <w:instrText xml:space="preserve"> PAGEREF _Toc475956103 \h </w:instrText>
            </w:r>
            <w:r w:rsidR="001A6406">
              <w:rPr>
                <w:webHidden/>
              </w:rPr>
            </w:r>
            <w:r w:rsidR="001A6406">
              <w:rPr>
                <w:webHidden/>
              </w:rPr>
              <w:fldChar w:fldCharType="separate"/>
            </w:r>
            <w:r w:rsidR="005866C2">
              <w:rPr>
                <w:webHidden/>
              </w:rPr>
              <w:t>13</w:t>
            </w:r>
            <w:r w:rsidR="001A6406">
              <w:rPr>
                <w:webHidden/>
              </w:rPr>
              <w:fldChar w:fldCharType="end"/>
            </w:r>
          </w:hyperlink>
        </w:p>
        <w:p w14:paraId="6971E108" w14:textId="77777777" w:rsidR="001A6406" w:rsidRDefault="009D70F7">
          <w:pPr>
            <w:pStyle w:val="TOC3"/>
          </w:pPr>
          <w:hyperlink w:anchor="_Toc475956104" w:history="1">
            <w:r w:rsidR="001A6406" w:rsidRPr="001F1E08">
              <w:rPr>
                <w:rStyle w:val="Hyperlink"/>
                <w:caps/>
              </w:rPr>
              <w:t>7. Employer Group Plan Sponsors</w:t>
            </w:r>
            <w:r w:rsidR="001A6406">
              <w:rPr>
                <w:webHidden/>
              </w:rPr>
              <w:tab/>
            </w:r>
            <w:r w:rsidR="001A6406">
              <w:rPr>
                <w:webHidden/>
              </w:rPr>
              <w:fldChar w:fldCharType="begin"/>
            </w:r>
            <w:r w:rsidR="001A6406">
              <w:rPr>
                <w:webHidden/>
              </w:rPr>
              <w:instrText xml:space="preserve"> PAGEREF _Toc475956104 \h </w:instrText>
            </w:r>
            <w:r w:rsidR="001A6406">
              <w:rPr>
                <w:webHidden/>
              </w:rPr>
            </w:r>
            <w:r w:rsidR="001A6406">
              <w:rPr>
                <w:webHidden/>
              </w:rPr>
              <w:fldChar w:fldCharType="separate"/>
            </w:r>
            <w:r w:rsidR="005866C2">
              <w:rPr>
                <w:webHidden/>
              </w:rPr>
              <w:t>20</w:t>
            </w:r>
            <w:r w:rsidR="001A6406">
              <w:rPr>
                <w:webHidden/>
              </w:rPr>
              <w:fldChar w:fldCharType="end"/>
            </w:r>
          </w:hyperlink>
        </w:p>
        <w:p w14:paraId="53F7BF04" w14:textId="32A5CEA1" w:rsidR="005866C2" w:rsidRDefault="005866C2" w:rsidP="005866C2">
          <w:pPr>
            <w:ind w:left="446"/>
            <w:rPr>
              <w:rFonts w:eastAsiaTheme="minorEastAsia"/>
              <w:noProof/>
            </w:rPr>
          </w:pPr>
          <w:r>
            <w:rPr>
              <w:rFonts w:eastAsiaTheme="minorEastAsia"/>
              <w:noProof/>
            </w:rPr>
            <w:t>8.</w:t>
          </w:r>
          <w:r w:rsidRPr="00DF5B1A">
            <w:rPr>
              <w:rFonts w:eastAsiaTheme="minorEastAsia"/>
              <w:noProof/>
              <w:color w:val="FF0000"/>
            </w:rPr>
            <w:t xml:space="preserve"> PRIVATE FEE-FOR SERVICE (PFFS) PLAN ENROLLMENT VERIFICATION      CALLS; MONITORING PURPOSES ONLY (SUSPENDED</w:t>
          </w:r>
          <w:r>
            <w:rPr>
              <w:rFonts w:eastAsiaTheme="minorEastAsia"/>
              <w:noProof/>
            </w:rPr>
            <w:t>)………………………...22</w:t>
          </w:r>
        </w:p>
        <w:p w14:paraId="60E2FC43" w14:textId="77777777" w:rsidR="005866C2" w:rsidRDefault="005866C2" w:rsidP="005866C2">
          <w:pPr>
            <w:ind w:left="446"/>
            <w:rPr>
              <w:rFonts w:eastAsiaTheme="minorEastAsia"/>
              <w:noProof/>
            </w:rPr>
          </w:pPr>
        </w:p>
        <w:p w14:paraId="5E367DCE" w14:textId="44473373" w:rsidR="005866C2" w:rsidRPr="005866C2" w:rsidRDefault="005866C2" w:rsidP="005866C2">
          <w:pPr>
            <w:ind w:left="446"/>
            <w:rPr>
              <w:rFonts w:eastAsiaTheme="minorEastAsia"/>
              <w:noProof/>
            </w:rPr>
          </w:pPr>
          <w:r>
            <w:rPr>
              <w:rFonts w:eastAsiaTheme="minorEastAsia"/>
              <w:noProof/>
            </w:rPr>
            <w:t>9. PFFS PROVIDER PAYMENT DISPUTE RESOLUTION PROCESS; MONITORING      PURPOSES ONLY……………………………………………………………………...22</w:t>
          </w:r>
        </w:p>
        <w:p w14:paraId="50D2F19B" w14:textId="77777777" w:rsidR="001A6406" w:rsidRDefault="009D70F7">
          <w:pPr>
            <w:pStyle w:val="TOC3"/>
            <w:rPr>
              <w:rFonts w:asciiTheme="minorHAnsi" w:eastAsiaTheme="minorEastAsia" w:hAnsiTheme="minorHAnsi" w:cstheme="minorBidi"/>
              <w:sz w:val="22"/>
              <w:szCs w:val="22"/>
            </w:rPr>
          </w:pPr>
          <w:hyperlink w:anchor="_Toc475956105" w:history="1">
            <w:r w:rsidR="001A6406" w:rsidRPr="001F1E08">
              <w:rPr>
                <w:rStyle w:val="Hyperlink"/>
                <w:caps/>
              </w:rPr>
              <w:t>10. Agent Compensation Structure – suspended</w:t>
            </w:r>
            <w:r w:rsidR="001A6406">
              <w:rPr>
                <w:webHidden/>
              </w:rPr>
              <w:tab/>
            </w:r>
            <w:r w:rsidR="001A6406">
              <w:rPr>
                <w:webHidden/>
              </w:rPr>
              <w:fldChar w:fldCharType="begin"/>
            </w:r>
            <w:r w:rsidR="001A6406">
              <w:rPr>
                <w:webHidden/>
              </w:rPr>
              <w:instrText xml:space="preserve"> PAGEREF _Toc475956105 \h </w:instrText>
            </w:r>
            <w:r w:rsidR="001A6406">
              <w:rPr>
                <w:webHidden/>
              </w:rPr>
            </w:r>
            <w:r w:rsidR="001A6406">
              <w:rPr>
                <w:webHidden/>
              </w:rPr>
              <w:fldChar w:fldCharType="separate"/>
            </w:r>
            <w:r w:rsidR="005866C2">
              <w:rPr>
                <w:webHidden/>
              </w:rPr>
              <w:t>23</w:t>
            </w:r>
            <w:r w:rsidR="001A6406">
              <w:rPr>
                <w:webHidden/>
              </w:rPr>
              <w:fldChar w:fldCharType="end"/>
            </w:r>
          </w:hyperlink>
        </w:p>
        <w:p w14:paraId="478BB142" w14:textId="77777777" w:rsidR="001A6406" w:rsidRDefault="009D70F7">
          <w:pPr>
            <w:pStyle w:val="TOC3"/>
            <w:rPr>
              <w:rFonts w:asciiTheme="minorHAnsi" w:eastAsiaTheme="minorEastAsia" w:hAnsiTheme="minorHAnsi" w:cstheme="minorBidi"/>
              <w:sz w:val="22"/>
              <w:szCs w:val="22"/>
            </w:rPr>
          </w:pPr>
          <w:hyperlink w:anchor="_Toc475956106" w:history="1">
            <w:r w:rsidR="001A6406" w:rsidRPr="001F1E08">
              <w:rPr>
                <w:rStyle w:val="Hyperlink"/>
                <w:caps/>
              </w:rPr>
              <w:t>11. Agent Training and Testing – suspended</w:t>
            </w:r>
            <w:r w:rsidR="001A6406">
              <w:rPr>
                <w:webHidden/>
              </w:rPr>
              <w:tab/>
            </w:r>
            <w:r w:rsidR="001A6406">
              <w:rPr>
                <w:webHidden/>
              </w:rPr>
              <w:fldChar w:fldCharType="begin"/>
            </w:r>
            <w:r w:rsidR="001A6406">
              <w:rPr>
                <w:webHidden/>
              </w:rPr>
              <w:instrText xml:space="preserve"> PAGEREF _Toc475956106 \h </w:instrText>
            </w:r>
            <w:r w:rsidR="001A6406">
              <w:rPr>
                <w:webHidden/>
              </w:rPr>
            </w:r>
            <w:r w:rsidR="001A6406">
              <w:rPr>
                <w:webHidden/>
              </w:rPr>
              <w:fldChar w:fldCharType="separate"/>
            </w:r>
            <w:r w:rsidR="005866C2">
              <w:rPr>
                <w:webHidden/>
              </w:rPr>
              <w:t>23</w:t>
            </w:r>
            <w:r w:rsidR="001A6406">
              <w:rPr>
                <w:webHidden/>
              </w:rPr>
              <w:fldChar w:fldCharType="end"/>
            </w:r>
          </w:hyperlink>
        </w:p>
        <w:p w14:paraId="551C04AC" w14:textId="77777777" w:rsidR="001A6406" w:rsidRDefault="009D70F7">
          <w:pPr>
            <w:pStyle w:val="TOC3"/>
            <w:rPr>
              <w:rFonts w:asciiTheme="minorHAnsi" w:eastAsiaTheme="minorEastAsia" w:hAnsiTheme="minorHAnsi" w:cstheme="minorBidi"/>
              <w:sz w:val="22"/>
              <w:szCs w:val="22"/>
            </w:rPr>
          </w:pPr>
          <w:hyperlink w:anchor="_Toc475956107" w:history="1">
            <w:r w:rsidR="001A6406" w:rsidRPr="001F1E08">
              <w:rPr>
                <w:rStyle w:val="Hyperlink"/>
                <w:caps/>
              </w:rPr>
              <w:t>12.  Sponsor Oversight of Agents – SUSPENDED</w:t>
            </w:r>
            <w:r w:rsidR="001A6406">
              <w:rPr>
                <w:webHidden/>
              </w:rPr>
              <w:tab/>
            </w:r>
            <w:r w:rsidR="001A6406">
              <w:rPr>
                <w:webHidden/>
              </w:rPr>
              <w:fldChar w:fldCharType="begin"/>
            </w:r>
            <w:r w:rsidR="001A6406">
              <w:rPr>
                <w:webHidden/>
              </w:rPr>
              <w:instrText xml:space="preserve"> PAGEREF _Toc475956107 \h </w:instrText>
            </w:r>
            <w:r w:rsidR="001A6406">
              <w:rPr>
                <w:webHidden/>
              </w:rPr>
            </w:r>
            <w:r w:rsidR="001A6406">
              <w:rPr>
                <w:webHidden/>
              </w:rPr>
              <w:fldChar w:fldCharType="separate"/>
            </w:r>
            <w:r w:rsidR="005866C2">
              <w:rPr>
                <w:webHidden/>
              </w:rPr>
              <w:t>23</w:t>
            </w:r>
            <w:r w:rsidR="001A6406">
              <w:rPr>
                <w:webHidden/>
              </w:rPr>
              <w:fldChar w:fldCharType="end"/>
            </w:r>
          </w:hyperlink>
        </w:p>
        <w:p w14:paraId="2EEC1034" w14:textId="77777777" w:rsidR="001A6406" w:rsidRDefault="009D70F7">
          <w:pPr>
            <w:pStyle w:val="TOC3"/>
            <w:rPr>
              <w:rFonts w:asciiTheme="minorHAnsi" w:eastAsiaTheme="minorEastAsia" w:hAnsiTheme="minorHAnsi" w:cstheme="minorBidi"/>
              <w:sz w:val="22"/>
              <w:szCs w:val="22"/>
            </w:rPr>
          </w:pPr>
          <w:hyperlink w:anchor="_Toc475956108" w:history="1">
            <w:r w:rsidR="001A6406" w:rsidRPr="001F1E08">
              <w:rPr>
                <w:rStyle w:val="Hyperlink"/>
                <w:caps/>
              </w:rPr>
              <w:t>13. Special Needs Plans (SNP) Care Management</w:t>
            </w:r>
            <w:r w:rsidR="001A6406">
              <w:rPr>
                <w:webHidden/>
              </w:rPr>
              <w:tab/>
            </w:r>
            <w:r w:rsidR="001A6406">
              <w:rPr>
                <w:webHidden/>
              </w:rPr>
              <w:fldChar w:fldCharType="begin"/>
            </w:r>
            <w:r w:rsidR="001A6406">
              <w:rPr>
                <w:webHidden/>
              </w:rPr>
              <w:instrText xml:space="preserve"> PAGEREF _Toc475956108 \h </w:instrText>
            </w:r>
            <w:r w:rsidR="001A6406">
              <w:rPr>
                <w:webHidden/>
              </w:rPr>
            </w:r>
            <w:r w:rsidR="001A6406">
              <w:rPr>
                <w:webHidden/>
              </w:rPr>
              <w:fldChar w:fldCharType="separate"/>
            </w:r>
            <w:r w:rsidR="005866C2">
              <w:rPr>
                <w:webHidden/>
              </w:rPr>
              <w:t>23</w:t>
            </w:r>
            <w:r w:rsidR="001A6406">
              <w:rPr>
                <w:webHidden/>
              </w:rPr>
              <w:fldChar w:fldCharType="end"/>
            </w:r>
          </w:hyperlink>
        </w:p>
        <w:p w14:paraId="31366CF0" w14:textId="77777777" w:rsidR="001A6406" w:rsidRDefault="009D70F7">
          <w:pPr>
            <w:pStyle w:val="TOC3"/>
            <w:rPr>
              <w:rFonts w:asciiTheme="minorHAnsi" w:eastAsiaTheme="minorEastAsia" w:hAnsiTheme="minorHAnsi" w:cstheme="minorBidi"/>
              <w:sz w:val="22"/>
              <w:szCs w:val="22"/>
            </w:rPr>
          </w:pPr>
          <w:hyperlink w:anchor="_Toc475956109" w:history="1">
            <w:r w:rsidR="001A6406" w:rsidRPr="001F1E08">
              <w:rPr>
                <w:rStyle w:val="Hyperlink"/>
                <w:caps/>
              </w:rPr>
              <w:t>14. Enrollment and Disenrollment</w:t>
            </w:r>
            <w:r w:rsidR="001A6406">
              <w:rPr>
                <w:webHidden/>
              </w:rPr>
              <w:tab/>
            </w:r>
            <w:r w:rsidR="001A6406">
              <w:rPr>
                <w:webHidden/>
              </w:rPr>
              <w:fldChar w:fldCharType="begin"/>
            </w:r>
            <w:r w:rsidR="001A6406">
              <w:rPr>
                <w:webHidden/>
              </w:rPr>
              <w:instrText xml:space="preserve"> PAGEREF _Toc475956109 \h </w:instrText>
            </w:r>
            <w:r w:rsidR="001A6406">
              <w:rPr>
                <w:webHidden/>
              </w:rPr>
            </w:r>
            <w:r w:rsidR="001A6406">
              <w:rPr>
                <w:webHidden/>
              </w:rPr>
              <w:fldChar w:fldCharType="separate"/>
            </w:r>
            <w:r w:rsidR="005866C2">
              <w:rPr>
                <w:webHidden/>
              </w:rPr>
              <w:t>29</w:t>
            </w:r>
            <w:r w:rsidR="001A6406">
              <w:rPr>
                <w:webHidden/>
              </w:rPr>
              <w:fldChar w:fldCharType="end"/>
            </w:r>
          </w:hyperlink>
        </w:p>
        <w:p w14:paraId="0FFE090F" w14:textId="57C35401" w:rsidR="001A6406" w:rsidRDefault="009D70F7">
          <w:pPr>
            <w:pStyle w:val="TOC3"/>
            <w:rPr>
              <w:rFonts w:asciiTheme="minorHAnsi" w:eastAsiaTheme="minorEastAsia" w:hAnsiTheme="minorHAnsi" w:cstheme="minorBidi"/>
              <w:sz w:val="22"/>
              <w:szCs w:val="22"/>
            </w:rPr>
          </w:pPr>
          <w:hyperlink w:anchor="_Toc475956110" w:history="1">
            <w:r w:rsidR="001A6406" w:rsidRPr="001F1E08">
              <w:rPr>
                <w:rStyle w:val="Hyperlink"/>
                <w:caps/>
              </w:rPr>
              <w:t>15. Rewards and Incentives Programs</w:t>
            </w:r>
            <w:r w:rsidR="001A6406">
              <w:rPr>
                <w:webHidden/>
              </w:rPr>
              <w:tab/>
            </w:r>
            <w:r w:rsidR="001A6406">
              <w:rPr>
                <w:webHidden/>
              </w:rPr>
              <w:fldChar w:fldCharType="begin"/>
            </w:r>
            <w:r w:rsidR="001A6406">
              <w:rPr>
                <w:webHidden/>
              </w:rPr>
              <w:instrText xml:space="preserve"> PAGEREF _Toc475956110 \h </w:instrText>
            </w:r>
            <w:r w:rsidR="001A6406">
              <w:rPr>
                <w:webHidden/>
              </w:rPr>
            </w:r>
            <w:r w:rsidR="001A6406">
              <w:rPr>
                <w:webHidden/>
              </w:rPr>
              <w:fldChar w:fldCharType="separate"/>
            </w:r>
            <w:r w:rsidR="005866C2">
              <w:rPr>
                <w:webHidden/>
              </w:rPr>
              <w:t>33</w:t>
            </w:r>
            <w:r w:rsidR="001A6406">
              <w:rPr>
                <w:webHidden/>
              </w:rPr>
              <w:fldChar w:fldCharType="end"/>
            </w:r>
          </w:hyperlink>
        </w:p>
        <w:p w14:paraId="1FAE3E12" w14:textId="04AB288C" w:rsidR="001A6406" w:rsidRDefault="009D70F7">
          <w:pPr>
            <w:pStyle w:val="TOC3"/>
            <w:rPr>
              <w:rFonts w:asciiTheme="minorHAnsi" w:eastAsiaTheme="minorEastAsia" w:hAnsiTheme="minorHAnsi" w:cstheme="minorBidi"/>
              <w:sz w:val="22"/>
              <w:szCs w:val="22"/>
            </w:rPr>
          </w:pPr>
          <w:hyperlink w:anchor="_Toc475956111" w:history="1">
            <w:r w:rsidR="001A6406" w:rsidRPr="001F1E08">
              <w:rPr>
                <w:rStyle w:val="Hyperlink"/>
                <w:caps/>
              </w:rPr>
              <w:t>16. Mid-Year Network Changes</w:t>
            </w:r>
            <w:r w:rsidR="001A6406">
              <w:rPr>
                <w:webHidden/>
              </w:rPr>
              <w:tab/>
            </w:r>
            <w:r w:rsidR="001A6406">
              <w:rPr>
                <w:webHidden/>
              </w:rPr>
              <w:fldChar w:fldCharType="begin"/>
            </w:r>
            <w:r w:rsidR="001A6406">
              <w:rPr>
                <w:webHidden/>
              </w:rPr>
              <w:instrText xml:space="preserve"> PAGEREF _Toc475956111 \h </w:instrText>
            </w:r>
            <w:r w:rsidR="001A6406">
              <w:rPr>
                <w:webHidden/>
              </w:rPr>
            </w:r>
            <w:r w:rsidR="001A6406">
              <w:rPr>
                <w:webHidden/>
              </w:rPr>
              <w:fldChar w:fldCharType="separate"/>
            </w:r>
            <w:r w:rsidR="005866C2">
              <w:rPr>
                <w:webHidden/>
              </w:rPr>
              <w:t>35</w:t>
            </w:r>
            <w:r w:rsidR="001A6406">
              <w:rPr>
                <w:webHidden/>
              </w:rPr>
              <w:fldChar w:fldCharType="end"/>
            </w:r>
          </w:hyperlink>
        </w:p>
        <w:p w14:paraId="7A900629" w14:textId="243BBE30" w:rsidR="001A6406" w:rsidRDefault="009D70F7">
          <w:pPr>
            <w:pStyle w:val="TOC3"/>
            <w:rPr>
              <w:rFonts w:asciiTheme="minorHAnsi" w:eastAsiaTheme="minorEastAsia" w:hAnsiTheme="minorHAnsi" w:cstheme="minorBidi"/>
              <w:sz w:val="22"/>
              <w:szCs w:val="22"/>
            </w:rPr>
          </w:pPr>
          <w:hyperlink w:anchor="_Toc475956112" w:history="1">
            <w:r w:rsidR="001A6406" w:rsidRPr="001F1E08">
              <w:rPr>
                <w:rStyle w:val="Hyperlink"/>
                <w:caps/>
              </w:rPr>
              <w:t>17. PAYMENTS TO PROVIDERS</w:t>
            </w:r>
            <w:r w:rsidR="001A6406">
              <w:rPr>
                <w:webHidden/>
              </w:rPr>
              <w:tab/>
            </w:r>
            <w:r w:rsidR="001A6406">
              <w:rPr>
                <w:webHidden/>
              </w:rPr>
              <w:fldChar w:fldCharType="begin"/>
            </w:r>
            <w:r w:rsidR="001A6406">
              <w:rPr>
                <w:webHidden/>
              </w:rPr>
              <w:instrText xml:space="preserve"> PAGEREF _Toc475956112 \h </w:instrText>
            </w:r>
            <w:r w:rsidR="001A6406">
              <w:rPr>
                <w:webHidden/>
              </w:rPr>
            </w:r>
            <w:r w:rsidR="001A6406">
              <w:rPr>
                <w:webHidden/>
              </w:rPr>
              <w:fldChar w:fldCharType="separate"/>
            </w:r>
            <w:r w:rsidR="005866C2">
              <w:rPr>
                <w:webHidden/>
              </w:rPr>
              <w:t>38</w:t>
            </w:r>
            <w:r w:rsidR="001A6406">
              <w:rPr>
                <w:webHidden/>
              </w:rPr>
              <w:fldChar w:fldCharType="end"/>
            </w:r>
          </w:hyperlink>
        </w:p>
        <w:p w14:paraId="72D8EFD6" w14:textId="77777777" w:rsidR="001A6406" w:rsidRDefault="00766BFA">
          <w:pPr>
            <w:rPr>
              <w:noProof/>
            </w:rPr>
          </w:pPr>
          <w:r>
            <w:rPr>
              <w:noProof/>
            </w:rPr>
            <w:fldChar w:fldCharType="end"/>
          </w:r>
        </w:p>
        <w:p w14:paraId="50051C8E" w14:textId="0775E4FC" w:rsidR="00766BFA" w:rsidRDefault="009D70F7"/>
      </w:sdtContent>
    </w:sdt>
    <w:p w14:paraId="72867DD9" w14:textId="30E23BF3" w:rsidR="00766BFA" w:rsidRDefault="00766BFA" w:rsidP="00C36585">
      <w:pPr>
        <w:pStyle w:val="TOCHeading"/>
      </w:pPr>
    </w:p>
    <w:p w14:paraId="7CA0BCEC" w14:textId="77777777" w:rsidR="002C44FC" w:rsidRDefault="002C44FC" w:rsidP="007F3E42">
      <w:pPr>
        <w:pStyle w:val="Heading2"/>
        <w:rPr>
          <w:b w:val="0"/>
          <w:sz w:val="28"/>
          <w:szCs w:val="28"/>
          <w:u w:val="single"/>
        </w:rPr>
        <w:sectPr w:rsidR="002C44FC" w:rsidSect="002C5EE1">
          <w:footerReference w:type="even" r:id="rId8"/>
          <w:footerReference w:type="default" r:id="rId9"/>
          <w:footerReference w:type="first" r:id="rId10"/>
          <w:pgSz w:w="12240" w:h="15840" w:code="1"/>
          <w:pgMar w:top="1440" w:right="1440" w:bottom="1440" w:left="1440" w:header="720" w:footer="720" w:gutter="0"/>
          <w:pgNumType w:start="1"/>
          <w:cols w:space="720"/>
          <w:docGrid w:linePitch="360"/>
        </w:sectPr>
      </w:pPr>
    </w:p>
    <w:p w14:paraId="6D1FCD38" w14:textId="3559A6B7" w:rsidR="007F3E42" w:rsidRPr="00C36585" w:rsidRDefault="00416832" w:rsidP="00C36585">
      <w:pPr>
        <w:pStyle w:val="Heading2"/>
        <w:ind w:right="0"/>
        <w:rPr>
          <w:rFonts w:ascii="Times New Roman" w:hAnsi="Times New Roman"/>
          <w:caps/>
          <w:smallCaps w:val="0"/>
        </w:rPr>
      </w:pPr>
      <w:bookmarkStart w:id="0" w:name="_Toc373236784"/>
      <w:bookmarkStart w:id="1" w:name="_Toc436825803"/>
      <w:bookmarkStart w:id="2" w:name="_Toc475956094"/>
      <w:r>
        <w:rPr>
          <w:rFonts w:ascii="Times New Roman" w:hAnsi="Times New Roman"/>
          <w:caps/>
          <w:smallCaps w:val="0"/>
        </w:rPr>
        <w:lastRenderedPageBreak/>
        <w:t>BA</w:t>
      </w:r>
      <w:r w:rsidR="007F3E42" w:rsidRPr="00C36585">
        <w:rPr>
          <w:rFonts w:ascii="Times New Roman" w:hAnsi="Times New Roman"/>
          <w:caps/>
          <w:smallCaps w:val="0"/>
        </w:rPr>
        <w:t>ckground and Introduction</w:t>
      </w:r>
      <w:bookmarkEnd w:id="0"/>
      <w:bookmarkEnd w:id="1"/>
      <w:bookmarkEnd w:id="2"/>
    </w:p>
    <w:p w14:paraId="7810C68A" w14:textId="77777777" w:rsidR="007F3E42" w:rsidRDefault="007F3E42" w:rsidP="007F3E42">
      <w:r w:rsidRPr="00912B52">
        <w:t xml:space="preserve">CMS has authority to establish reporting requirements for Medicare Advantage Organizations (MAOs) as described in 42CFR §422.516 (a).  Pursuant to that authority, each MAO must have an effective procedure to develop, compile, evaluate, and report information to CMS in the time and manner that CMS requires.  Additional regulatory support for the Medicare Part C Reporting Requirements </w:t>
      </w:r>
      <w:r>
        <w:t>is</w:t>
      </w:r>
      <w:r w:rsidRPr="00912B52">
        <w:t xml:space="preserve"> also found in the Final Rule entitled “Medicare Program; Revisions to the Medicare Advantage and Prescription Drug Program” (CMS 4131-F</w:t>
      </w:r>
      <w:r w:rsidR="00E14143">
        <w:t>).</w:t>
      </w:r>
    </w:p>
    <w:p w14:paraId="369D9D3C" w14:textId="77777777" w:rsidR="00C51A58" w:rsidRPr="00912B52" w:rsidRDefault="00C51A58" w:rsidP="007F3E42"/>
    <w:p w14:paraId="57A5DF70" w14:textId="77777777" w:rsidR="007F3E42" w:rsidRPr="00686089" w:rsidRDefault="007F3E42" w:rsidP="007F3E42">
      <w:pPr>
        <w:rPr>
          <w:b/>
        </w:rPr>
      </w:pPr>
      <w:r w:rsidRPr="00912B52">
        <w:t xml:space="preserve">This document provides a description of the </w:t>
      </w:r>
      <w:r w:rsidR="00AA4C79">
        <w:t>reporting section</w:t>
      </w:r>
      <w:r w:rsidRPr="00912B52">
        <w:t>s,</w:t>
      </w:r>
      <w:r w:rsidR="00AA4C79">
        <w:rPr>
          <w:rStyle w:val="FootnoteReference"/>
        </w:rPr>
        <w:footnoteReference w:id="1"/>
      </w:r>
      <w:r w:rsidRPr="00912B52">
        <w:t xml:space="preserve"> reporting timeframes and deadlines, and specific data elements for each </w:t>
      </w:r>
      <w:r w:rsidR="00AA4C79">
        <w:t>reporting section</w:t>
      </w:r>
      <w:r w:rsidRPr="00912B52">
        <w:t xml:space="preserve">. </w:t>
      </w:r>
    </w:p>
    <w:p w14:paraId="1179A0F6" w14:textId="77777777" w:rsidR="007F3E42" w:rsidRPr="00686089" w:rsidRDefault="007F3E42" w:rsidP="007F3E42">
      <w:pPr>
        <w:pStyle w:val="Default"/>
        <w:rPr>
          <w:rFonts w:ascii="Times New Roman" w:hAnsi="Times New Roman" w:cs="Times New Roman"/>
          <w:b/>
          <w:color w:val="auto"/>
        </w:rPr>
      </w:pPr>
    </w:p>
    <w:p w14:paraId="0220A59C" w14:textId="77777777" w:rsidR="007F3E42" w:rsidRPr="00912B52" w:rsidRDefault="007F3E42" w:rsidP="007F3E42">
      <w:pPr>
        <w:pStyle w:val="Default"/>
        <w:rPr>
          <w:rFonts w:ascii="Times New Roman" w:hAnsi="Times New Roman" w:cs="Times New Roman"/>
          <w:color w:val="auto"/>
        </w:rPr>
      </w:pPr>
      <w:r w:rsidRPr="00912B52">
        <w:rPr>
          <w:rFonts w:ascii="Times New Roman" w:hAnsi="Times New Roman" w:cs="Times New Roman"/>
          <w:color w:val="auto"/>
        </w:rPr>
        <w:t>The technical specifications contained in this document should be used to develop a common understanding of the data, to assist organizations in preparing and submitting datasets, to ensure a high level of accuracy in the data reported to CMS, and to reduce the need for organization</w:t>
      </w:r>
      <w:r>
        <w:rPr>
          <w:rFonts w:ascii="Times New Roman" w:hAnsi="Times New Roman" w:cs="Times New Roman"/>
          <w:color w:val="auto"/>
        </w:rPr>
        <w:t>s to correct and resubmit data.</w:t>
      </w:r>
    </w:p>
    <w:p w14:paraId="397DF38A" w14:textId="77777777" w:rsidR="007F3E42" w:rsidRPr="00912B52" w:rsidRDefault="007F3E42" w:rsidP="007F3E42">
      <w:pPr>
        <w:pStyle w:val="Default"/>
        <w:rPr>
          <w:rFonts w:ascii="Times New Roman" w:hAnsi="Times New Roman" w:cs="Times New Roman"/>
          <w:color w:val="auto"/>
        </w:rPr>
      </w:pPr>
    </w:p>
    <w:p w14:paraId="2FF4D2DF" w14:textId="77777777" w:rsidR="007F3E42" w:rsidRPr="00912B52" w:rsidRDefault="007F3E42" w:rsidP="007F3E42">
      <w:pPr>
        <w:autoSpaceDE w:val="0"/>
        <w:autoSpaceDN w:val="0"/>
        <w:adjustRightInd w:val="0"/>
      </w:pPr>
      <w:r w:rsidRPr="00912B52">
        <w:t xml:space="preserve">Each Part C Reporting Requirement </w:t>
      </w:r>
      <w:r w:rsidR="00AA4C79">
        <w:t>reporting section</w:t>
      </w:r>
      <w:r w:rsidR="00C51A58" w:rsidRPr="00912B52">
        <w:t xml:space="preserve"> </w:t>
      </w:r>
      <w:r w:rsidRPr="00912B52">
        <w:t xml:space="preserve">of this document has the following information presented in a standardized way for ease of use: </w:t>
      </w:r>
    </w:p>
    <w:p w14:paraId="5E4A8868" w14:textId="77777777" w:rsidR="007F3E42" w:rsidRPr="00912B52" w:rsidRDefault="007F3E42" w:rsidP="007F3E42">
      <w:pPr>
        <w:pStyle w:val="Style1"/>
        <w:rPr>
          <w:b w:val="0"/>
          <w:bCs w:val="0"/>
        </w:rPr>
      </w:pPr>
      <w:r w:rsidRPr="00912B52">
        <w:rPr>
          <w:b w:val="0"/>
          <w:bCs w:val="0"/>
        </w:rPr>
        <w:t>Data element definitions - details for each data element reported to CMS</w:t>
      </w:r>
      <w:r w:rsidR="00974730">
        <w:rPr>
          <w:b w:val="0"/>
          <w:bCs w:val="0"/>
        </w:rPr>
        <w:t>.</w:t>
      </w:r>
      <w:r w:rsidRPr="00912B52">
        <w:rPr>
          <w:b w:val="0"/>
          <w:bCs w:val="0"/>
        </w:rPr>
        <w:t xml:space="preserve"> </w:t>
      </w:r>
    </w:p>
    <w:p w14:paraId="6C5FDDFD" w14:textId="77777777" w:rsidR="007F3E42" w:rsidRPr="00912B52" w:rsidRDefault="007F3E42" w:rsidP="007F3E42">
      <w:pPr>
        <w:pStyle w:val="Style1"/>
        <w:rPr>
          <w:b w:val="0"/>
          <w:bCs w:val="0"/>
        </w:rPr>
      </w:pPr>
      <w:r w:rsidRPr="00912B52">
        <w:rPr>
          <w:b w:val="0"/>
          <w:bCs w:val="0"/>
        </w:rPr>
        <w:t>Notes - additional clarifications to a reporting section derived from the responses to comments received under the OMB clearance process.</w:t>
      </w:r>
    </w:p>
    <w:p w14:paraId="34D41571" w14:textId="77777777" w:rsidR="007F3E42" w:rsidRPr="002612BF" w:rsidRDefault="007F3E42" w:rsidP="007F3E42">
      <w:pPr>
        <w:pStyle w:val="Style1"/>
        <w:rPr>
          <w:u w:val="single"/>
        </w:rPr>
      </w:pPr>
      <w:r w:rsidRPr="00570AA9">
        <w:rPr>
          <w:b w:val="0"/>
        </w:rPr>
        <w:t>Reminder:</w:t>
      </w:r>
      <w:r w:rsidRPr="002612BF">
        <w:rPr>
          <w:u w:val="single"/>
        </w:rPr>
        <w:t xml:space="preserve"> Underlined passages indicate updates and/or new information</w:t>
      </w:r>
      <w:r w:rsidR="003C3BF7">
        <w:rPr>
          <w:u w:val="single"/>
        </w:rPr>
        <w:t xml:space="preserve"> from the last version including draft versions</w:t>
      </w:r>
      <w:r w:rsidRPr="002612BF">
        <w:rPr>
          <w:u w:val="single"/>
        </w:rPr>
        <w:t>.</w:t>
      </w:r>
    </w:p>
    <w:p w14:paraId="4747647F" w14:textId="77777777" w:rsidR="007F3E42" w:rsidRPr="00912B52" w:rsidRDefault="007F3E42" w:rsidP="007F3E42">
      <w:pPr>
        <w:pStyle w:val="Default"/>
        <w:rPr>
          <w:rFonts w:ascii="Times New Roman" w:hAnsi="Times New Roman" w:cs="Times New Roman"/>
          <w:color w:val="auto"/>
        </w:rPr>
      </w:pPr>
    </w:p>
    <w:p w14:paraId="18E72AD0" w14:textId="31D18384" w:rsidR="007F3E42" w:rsidRPr="00C36585" w:rsidRDefault="007F3E42" w:rsidP="00C36585">
      <w:pPr>
        <w:pStyle w:val="Heading2"/>
        <w:ind w:right="0"/>
        <w:rPr>
          <w:rFonts w:ascii="Times New Roman" w:hAnsi="Times New Roman"/>
          <w:caps/>
          <w:smallCaps w:val="0"/>
        </w:rPr>
      </w:pPr>
      <w:bookmarkStart w:id="3" w:name="_Toc373236785"/>
      <w:bookmarkStart w:id="4" w:name="_Toc436825804"/>
      <w:bookmarkStart w:id="5" w:name="_Toc475956095"/>
      <w:r w:rsidRPr="00C36585">
        <w:rPr>
          <w:rFonts w:ascii="Times New Roman" w:hAnsi="Times New Roman"/>
          <w:caps/>
          <w:smallCaps w:val="0"/>
        </w:rPr>
        <w:t>General Information</w:t>
      </w:r>
      <w:bookmarkEnd w:id="3"/>
      <w:bookmarkEnd w:id="4"/>
      <w:bookmarkEnd w:id="5"/>
    </w:p>
    <w:p w14:paraId="77623CC2" w14:textId="77777777" w:rsidR="00A429AC" w:rsidRDefault="007F3E42" w:rsidP="007F3E42">
      <w:pPr>
        <w:rPr>
          <w:szCs w:val="22"/>
        </w:rPr>
      </w:pPr>
      <w:r w:rsidRPr="00912B52">
        <w:rPr>
          <w:b/>
          <w:szCs w:val="22"/>
        </w:rPr>
        <w:t>Organizations for which these specifications apply are required to collect these data.</w:t>
      </w:r>
      <w:r w:rsidRPr="00912B52">
        <w:rPr>
          <w:szCs w:val="22"/>
        </w:rPr>
        <w:t xml:space="preserve">  Reporting will vary depending on the plan type and </w:t>
      </w:r>
      <w:r w:rsidR="00AA4C79">
        <w:rPr>
          <w:szCs w:val="22"/>
        </w:rPr>
        <w:t>reporting section</w:t>
      </w:r>
      <w:r w:rsidRPr="00912B52">
        <w:rPr>
          <w:szCs w:val="22"/>
        </w:rPr>
        <w:t xml:space="preserve">.  </w:t>
      </w:r>
      <w:r w:rsidR="005F49F3">
        <w:rPr>
          <w:szCs w:val="22"/>
        </w:rPr>
        <w:t>Most</w:t>
      </w:r>
      <w:r w:rsidR="005F49F3" w:rsidRPr="00912B52">
        <w:rPr>
          <w:szCs w:val="22"/>
        </w:rPr>
        <w:t xml:space="preserve"> </w:t>
      </w:r>
      <w:r w:rsidR="00AA4C79">
        <w:rPr>
          <w:szCs w:val="22"/>
        </w:rPr>
        <w:t>reporting section</w:t>
      </w:r>
      <w:r w:rsidRPr="00912B52">
        <w:rPr>
          <w:szCs w:val="22"/>
        </w:rPr>
        <w:t>s will be reported annually</w:t>
      </w:r>
      <w:r w:rsidR="005D28C2">
        <w:rPr>
          <w:szCs w:val="22"/>
        </w:rPr>
        <w:t>.</w:t>
      </w:r>
      <w:r w:rsidRPr="00912B52">
        <w:rPr>
          <w:szCs w:val="22"/>
        </w:rPr>
        <w:t xml:space="preserve"> </w:t>
      </w:r>
    </w:p>
    <w:p w14:paraId="0EC1DE75" w14:textId="77777777" w:rsidR="007F3E42" w:rsidRPr="00912B52" w:rsidRDefault="007F3E42" w:rsidP="007F3E42">
      <w:pPr>
        <w:rPr>
          <w:szCs w:val="22"/>
        </w:rPr>
      </w:pPr>
      <w:r w:rsidRPr="00912B52">
        <w:rPr>
          <w:szCs w:val="22"/>
        </w:rPr>
        <w:t xml:space="preserve"> </w:t>
      </w:r>
      <w:r w:rsidRPr="00912B52">
        <w:t xml:space="preserve"> </w:t>
      </w:r>
    </w:p>
    <w:p w14:paraId="3E7FEB45" w14:textId="77777777" w:rsidR="007F3E42" w:rsidRPr="00AA412F" w:rsidRDefault="007F3E42" w:rsidP="007F3E42">
      <w:r w:rsidRPr="00AA412F">
        <w:rPr>
          <w:b/>
        </w:rPr>
        <w:t xml:space="preserve">Reporting Part C Data: </w:t>
      </w:r>
      <w:r w:rsidRPr="00AA412F">
        <w:t xml:space="preserve">The information here should be used (unless otherwise indicated, or instructed by CMS) </w:t>
      </w:r>
      <w:r w:rsidRPr="00AA412F">
        <w:rPr>
          <w:color w:val="000000"/>
        </w:rPr>
        <w:t>for reporting from this point forward.</w:t>
      </w:r>
    </w:p>
    <w:p w14:paraId="4C719BD2" w14:textId="77777777" w:rsidR="00BF4E3B" w:rsidRPr="00912B52" w:rsidRDefault="001457CC" w:rsidP="00F214C8">
      <w:r>
        <w:t xml:space="preserve">                                                                                                                                   </w:t>
      </w:r>
    </w:p>
    <w:p w14:paraId="3D739464" w14:textId="77777777" w:rsidR="00F214C8" w:rsidRPr="00912B52" w:rsidRDefault="00F214C8" w:rsidP="00F214C8">
      <w:r w:rsidRPr="00912B52">
        <w:t>The followi</w:t>
      </w:r>
      <w:r w:rsidR="006F19FA" w:rsidRPr="00912B52">
        <w:t xml:space="preserve">ng data elements </w:t>
      </w:r>
      <w:r w:rsidRPr="00912B52">
        <w:t xml:space="preserve">listed </w:t>
      </w:r>
      <w:r w:rsidR="006F19FA" w:rsidRPr="00912B52">
        <w:t xml:space="preserve">directly below are </w:t>
      </w:r>
      <w:r w:rsidRPr="00912B52">
        <w:t>considered proprietary</w:t>
      </w:r>
      <w:r w:rsidR="005C063E" w:rsidRPr="00912B52">
        <w:t xml:space="preserve">, </w:t>
      </w:r>
      <w:r w:rsidRPr="00912B52">
        <w:t>and</w:t>
      </w:r>
      <w:r w:rsidR="000A37F0" w:rsidRPr="00912B52">
        <w:t xml:space="preserve"> CMS</w:t>
      </w:r>
      <w:r w:rsidRPr="00912B52">
        <w:t xml:space="preserve"> </w:t>
      </w:r>
      <w:r w:rsidR="000A37F0" w:rsidRPr="00912B52">
        <w:t xml:space="preserve">considers these as </w:t>
      </w:r>
      <w:r w:rsidRPr="00912B52">
        <w:t>not subject to public disclosure under provisions of the Freedom of Information Act (FOIA):</w:t>
      </w:r>
      <w:r w:rsidR="000A37F0" w:rsidRPr="00912B52">
        <w:t>*</w:t>
      </w:r>
    </w:p>
    <w:p w14:paraId="161096A6" w14:textId="77777777" w:rsidR="00F214C8" w:rsidRPr="00912B52" w:rsidRDefault="00F214C8" w:rsidP="00B26FC2">
      <w:pPr>
        <w:widowControl w:val="0"/>
        <w:numPr>
          <w:ilvl w:val="0"/>
          <w:numId w:val="1"/>
        </w:numPr>
        <w:autoSpaceDE w:val="0"/>
        <w:autoSpaceDN w:val="0"/>
        <w:adjustRightInd w:val="0"/>
      </w:pPr>
      <w:r w:rsidRPr="00912B52">
        <w:t>Employer DBA and Legal Name, Employer Address, Employer Tax Identificatio</w:t>
      </w:r>
      <w:r w:rsidR="007B10C9" w:rsidRPr="002612BF">
        <w:t>n Numbers (Employer Group Sponso</w:t>
      </w:r>
      <w:r w:rsidRPr="002612BF">
        <w:t>rs</w:t>
      </w:r>
      <w:r w:rsidRPr="00912B52">
        <w:t>)</w:t>
      </w:r>
      <w:r w:rsidR="00A429AC">
        <w:t>, Agent/Broker Name, and Beneficiary Name.</w:t>
      </w:r>
    </w:p>
    <w:p w14:paraId="15701B60" w14:textId="77777777" w:rsidR="000A37F0" w:rsidRPr="00912B52" w:rsidRDefault="000A37F0" w:rsidP="000A37F0">
      <w:pPr>
        <w:suppressLineNumbers/>
        <w:rPr>
          <w:szCs w:val="22"/>
        </w:rPr>
      </w:pPr>
    </w:p>
    <w:p w14:paraId="08D6E6C7" w14:textId="77777777" w:rsidR="00F214C8" w:rsidRPr="00912B52" w:rsidRDefault="000A37F0" w:rsidP="000A37F0">
      <w:pPr>
        <w:suppressLineNumbers/>
        <w:rPr>
          <w:szCs w:val="22"/>
        </w:rPr>
      </w:pPr>
      <w:r w:rsidRPr="00912B52">
        <w:rPr>
          <w:szCs w:val="22"/>
        </w:rPr>
        <w:t>*Under FOIA</w:t>
      </w:r>
      <w:r w:rsidR="00A873A1" w:rsidRPr="00912B52">
        <w:rPr>
          <w:szCs w:val="22"/>
        </w:rPr>
        <w:t>,</w:t>
      </w:r>
      <w:r w:rsidR="00461770" w:rsidRPr="00912B52">
        <w:rPr>
          <w:szCs w:val="22"/>
        </w:rPr>
        <w:t xml:space="preserve"> Plans</w:t>
      </w:r>
      <w:r w:rsidRPr="00912B52">
        <w:rPr>
          <w:szCs w:val="22"/>
        </w:rPr>
        <w:t xml:space="preserve"> may need to independently provide justification for protecting these data if a FOIA</w:t>
      </w:r>
      <w:r w:rsidR="00461770" w:rsidRPr="00912B52">
        <w:rPr>
          <w:szCs w:val="22"/>
        </w:rPr>
        <w:t xml:space="preserve"> request is submitted.</w:t>
      </w:r>
    </w:p>
    <w:p w14:paraId="37601CE9" w14:textId="77777777" w:rsidR="000A37F0" w:rsidRPr="00912B52" w:rsidRDefault="000A37F0" w:rsidP="00F214C8">
      <w:pPr>
        <w:rPr>
          <w:szCs w:val="22"/>
        </w:rPr>
      </w:pPr>
    </w:p>
    <w:p w14:paraId="7D41EE75" w14:textId="72226EC9" w:rsidR="00F214C8" w:rsidRPr="00AA412F" w:rsidRDefault="00F214C8" w:rsidP="00F214C8">
      <w:pPr>
        <w:rPr>
          <w:szCs w:val="22"/>
        </w:rPr>
      </w:pPr>
      <w:r w:rsidRPr="00912B52">
        <w:rPr>
          <w:szCs w:val="22"/>
        </w:rPr>
        <w:lastRenderedPageBreak/>
        <w:t xml:space="preserve">In order to provide guidance </w:t>
      </w:r>
      <w:r w:rsidR="000235DD">
        <w:rPr>
          <w:szCs w:val="22"/>
        </w:rPr>
        <w:t>t</w:t>
      </w:r>
      <w:r w:rsidRPr="00912B52">
        <w:rPr>
          <w:szCs w:val="22"/>
        </w:rPr>
        <w:t>o</w:t>
      </w:r>
      <w:r w:rsidR="000235DD" w:rsidRPr="000235DD">
        <w:rPr>
          <w:szCs w:val="22"/>
        </w:rPr>
        <w:t xml:space="preserve"> </w:t>
      </w:r>
      <w:r w:rsidR="000235DD" w:rsidRPr="00912B52">
        <w:rPr>
          <w:szCs w:val="22"/>
        </w:rPr>
        <w:t xml:space="preserve">Part C </w:t>
      </w:r>
      <w:r w:rsidR="002E3CBF">
        <w:rPr>
          <w:szCs w:val="22"/>
        </w:rPr>
        <w:t>S</w:t>
      </w:r>
      <w:r w:rsidR="000235DD" w:rsidRPr="00912B52">
        <w:rPr>
          <w:szCs w:val="22"/>
        </w:rPr>
        <w:t xml:space="preserve">ponsors </w:t>
      </w:r>
      <w:r w:rsidR="000235DD">
        <w:rPr>
          <w:szCs w:val="22"/>
        </w:rPr>
        <w:t>o</w:t>
      </w:r>
      <w:r w:rsidRPr="00912B52">
        <w:rPr>
          <w:szCs w:val="22"/>
        </w:rPr>
        <w:t>n the actual process of entering reporting requirements data into the Health Plan Management System</w:t>
      </w:r>
      <w:r w:rsidRPr="00AA412F">
        <w:rPr>
          <w:szCs w:val="22"/>
        </w:rPr>
        <w:t xml:space="preserve">, a separate </w:t>
      </w:r>
      <w:r w:rsidRPr="00AA412F">
        <w:t>H</w:t>
      </w:r>
      <w:r w:rsidR="00C70B2D" w:rsidRPr="00AA412F">
        <w:t xml:space="preserve">ealth </w:t>
      </w:r>
      <w:r w:rsidRPr="00AA412F">
        <w:t>P</w:t>
      </w:r>
      <w:r w:rsidR="00C70B2D" w:rsidRPr="00AA412F">
        <w:t xml:space="preserve">lan </w:t>
      </w:r>
      <w:r w:rsidRPr="00AA412F">
        <w:t>M</w:t>
      </w:r>
      <w:r w:rsidR="00C70B2D" w:rsidRPr="00AA412F">
        <w:t xml:space="preserve">anagement </w:t>
      </w:r>
      <w:r w:rsidRPr="00AA412F">
        <w:t>S</w:t>
      </w:r>
      <w:r w:rsidR="00C70B2D" w:rsidRPr="00AA412F">
        <w:t>ystem (HPMS)</w:t>
      </w:r>
      <w:r w:rsidRPr="00AA412F">
        <w:t xml:space="preserve"> Plan Reporting Module </w:t>
      </w:r>
      <w:r w:rsidR="00C70B2D" w:rsidRPr="00AA412F">
        <w:t xml:space="preserve">(PRM) </w:t>
      </w:r>
      <w:r w:rsidRPr="00AA412F">
        <w:t>User Guide</w:t>
      </w:r>
      <w:r w:rsidRPr="00AA412F">
        <w:rPr>
          <w:szCs w:val="22"/>
        </w:rPr>
        <w:t xml:space="preserve"> </w:t>
      </w:r>
      <w:r w:rsidR="00C70B2D" w:rsidRPr="00AA412F">
        <w:rPr>
          <w:szCs w:val="22"/>
        </w:rPr>
        <w:t xml:space="preserve">may be found on the PRM </w:t>
      </w:r>
      <w:r w:rsidR="00F4359D" w:rsidRPr="00AA412F">
        <w:rPr>
          <w:szCs w:val="22"/>
        </w:rPr>
        <w:t>s</w:t>
      </w:r>
      <w:r w:rsidR="00C70B2D" w:rsidRPr="00AA412F">
        <w:rPr>
          <w:szCs w:val="22"/>
        </w:rPr>
        <w:t xml:space="preserve">tart </w:t>
      </w:r>
      <w:r w:rsidR="00F4359D" w:rsidRPr="00AA412F">
        <w:rPr>
          <w:szCs w:val="22"/>
        </w:rPr>
        <w:t>p</w:t>
      </w:r>
      <w:r w:rsidR="00C70B2D" w:rsidRPr="00AA412F">
        <w:rPr>
          <w:szCs w:val="22"/>
        </w:rPr>
        <w:t xml:space="preserve">age. </w:t>
      </w:r>
    </w:p>
    <w:p w14:paraId="6565FA35" w14:textId="0A1AF3B5" w:rsidR="00F214C8" w:rsidRPr="00A52D1D" w:rsidRDefault="00F214C8" w:rsidP="00C36585">
      <w:pPr>
        <w:spacing w:before="240" w:after="120"/>
      </w:pPr>
      <w:bookmarkStart w:id="6" w:name="_Toc373236786"/>
      <w:bookmarkStart w:id="7" w:name="_Toc436825805"/>
      <w:r w:rsidRPr="00C36585">
        <w:rPr>
          <w:b/>
        </w:rPr>
        <w:t>Exclusions from Reporting</w:t>
      </w:r>
      <w:bookmarkEnd w:id="6"/>
      <w:bookmarkEnd w:id="7"/>
    </w:p>
    <w:p w14:paraId="143CBF43" w14:textId="37CD30DD" w:rsidR="00F214C8" w:rsidRPr="00912B52" w:rsidRDefault="00F214C8" w:rsidP="00F214C8">
      <w:r w:rsidRPr="00912B52">
        <w:t xml:space="preserve">National PACE </w:t>
      </w:r>
      <w:r w:rsidR="00CB7935">
        <w:t>P</w:t>
      </w:r>
      <w:r w:rsidRPr="00912B52">
        <w:t xml:space="preserve">lans and 1833 </w:t>
      </w:r>
      <w:r w:rsidR="00CB7935">
        <w:t>C</w:t>
      </w:r>
      <w:r w:rsidRPr="00912B52">
        <w:t xml:space="preserve">ost </w:t>
      </w:r>
      <w:r w:rsidR="00CB7935">
        <w:t>P</w:t>
      </w:r>
      <w:r w:rsidRPr="00912B52">
        <w:t xml:space="preserve">lans are excluded from reporting all Part C Reporting Requirements </w:t>
      </w:r>
      <w:r w:rsidR="00AA4C79">
        <w:t>reporting section</w:t>
      </w:r>
      <w:r w:rsidRPr="00912B52">
        <w:t>s.</w:t>
      </w:r>
    </w:p>
    <w:p w14:paraId="4B11D495" w14:textId="77777777" w:rsidR="00A15FE7" w:rsidRDefault="00A15FE7" w:rsidP="00C36585">
      <w:pPr>
        <w:spacing w:before="240" w:after="120"/>
        <w:contextualSpacing/>
        <w:rPr>
          <w:b/>
        </w:rPr>
      </w:pPr>
      <w:bookmarkStart w:id="8" w:name="_Toc373236787"/>
      <w:bookmarkStart w:id="9" w:name="_Toc436825806"/>
    </w:p>
    <w:p w14:paraId="7982386A" w14:textId="36CC683A" w:rsidR="00F3251D" w:rsidRPr="00A52D1D" w:rsidRDefault="00D320D3" w:rsidP="00C36585">
      <w:pPr>
        <w:spacing w:before="240" w:after="120"/>
        <w:contextualSpacing/>
      </w:pPr>
      <w:r>
        <w:rPr>
          <w:b/>
        </w:rPr>
        <w:t>Reporting Sections s</w:t>
      </w:r>
      <w:r w:rsidR="00F3251D" w:rsidRPr="00C36585">
        <w:rPr>
          <w:b/>
        </w:rPr>
        <w:t xml:space="preserve">uspended </w:t>
      </w:r>
      <w:bookmarkEnd w:id="8"/>
      <w:bookmarkEnd w:id="9"/>
      <w:r w:rsidR="00F3251D" w:rsidRPr="00C36585">
        <w:rPr>
          <w:b/>
        </w:rPr>
        <w:t xml:space="preserve"> </w:t>
      </w:r>
    </w:p>
    <w:p w14:paraId="13BB3ADD" w14:textId="0D9E2974" w:rsidR="007B10C9" w:rsidRDefault="007B10C9" w:rsidP="007B10C9">
      <w:pPr>
        <w:contextualSpacing/>
      </w:pPr>
      <w:r w:rsidRPr="002612BF">
        <w:t xml:space="preserve">#1 </w:t>
      </w:r>
      <w:r w:rsidRPr="00FA78C7">
        <w:rPr>
          <w:i/>
        </w:rPr>
        <w:t>Benefit Utilization</w:t>
      </w:r>
    </w:p>
    <w:p w14:paraId="10CDE99C" w14:textId="229432D4" w:rsidR="0078797A" w:rsidRDefault="0078797A" w:rsidP="007B10C9">
      <w:pPr>
        <w:rPr>
          <w:i/>
        </w:rPr>
      </w:pPr>
      <w:r>
        <w:t xml:space="preserve">#2 </w:t>
      </w:r>
      <w:r w:rsidR="00190023" w:rsidRPr="00190023">
        <w:rPr>
          <w:i/>
        </w:rPr>
        <w:t>Procedure Frequency</w:t>
      </w:r>
    </w:p>
    <w:p w14:paraId="4687B76D" w14:textId="1BF44BD4" w:rsidR="00746C4F" w:rsidRPr="003C3BF7" w:rsidRDefault="00746C4F" w:rsidP="007B10C9">
      <w:r w:rsidRPr="00D955AB">
        <w:t xml:space="preserve">#3 </w:t>
      </w:r>
      <w:r w:rsidRPr="00D955AB">
        <w:rPr>
          <w:i/>
        </w:rPr>
        <w:t>Serious Reportable Adverse Events</w:t>
      </w:r>
    </w:p>
    <w:p w14:paraId="7FAE0AE7" w14:textId="3200C601" w:rsidR="00620A8F" w:rsidRDefault="0078797A" w:rsidP="007B10C9">
      <w:pPr>
        <w:rPr>
          <w:i/>
        </w:rPr>
      </w:pPr>
      <w:r>
        <w:t xml:space="preserve">#4 </w:t>
      </w:r>
      <w:r w:rsidR="00190023" w:rsidRPr="00190023">
        <w:rPr>
          <w:i/>
        </w:rPr>
        <w:t>Provider Network Adequacy</w:t>
      </w:r>
    </w:p>
    <w:p w14:paraId="242A9D66" w14:textId="52E541D8" w:rsidR="00F5128A" w:rsidRPr="00570AA9" w:rsidRDefault="00F5128A" w:rsidP="00620A8F">
      <w:pPr>
        <w:rPr>
          <w:i/>
        </w:rPr>
      </w:pPr>
      <w:r w:rsidRPr="00570AA9">
        <w:rPr>
          <w:i/>
          <w:u w:val="single"/>
        </w:rPr>
        <w:t xml:space="preserve"># 8 Private Fee for Service (PFFS) </w:t>
      </w:r>
      <w:r w:rsidR="00FB764F" w:rsidRPr="00570AA9">
        <w:rPr>
          <w:i/>
          <w:u w:val="single"/>
        </w:rPr>
        <w:t xml:space="preserve">Plan </w:t>
      </w:r>
      <w:r w:rsidRPr="00570AA9">
        <w:rPr>
          <w:i/>
          <w:u w:val="single"/>
        </w:rPr>
        <w:t>Enrollment Verif</w:t>
      </w:r>
      <w:r w:rsidR="00FB764F" w:rsidRPr="00570AA9">
        <w:rPr>
          <w:i/>
          <w:u w:val="single"/>
        </w:rPr>
        <w:t>i</w:t>
      </w:r>
      <w:r w:rsidRPr="00570AA9">
        <w:rPr>
          <w:i/>
          <w:u w:val="single"/>
        </w:rPr>
        <w:t xml:space="preserve">cation Calls </w:t>
      </w:r>
    </w:p>
    <w:p w14:paraId="631C7639" w14:textId="1C458811" w:rsidR="00404884" w:rsidRDefault="003C2056" w:rsidP="00544745">
      <w:r w:rsidRPr="00912B52">
        <w:t>#</w:t>
      </w:r>
      <w:r w:rsidR="00544745" w:rsidRPr="00912B52">
        <w:t xml:space="preserve">10 </w:t>
      </w:r>
      <w:r w:rsidR="00544745" w:rsidRPr="00912B52">
        <w:rPr>
          <w:i/>
        </w:rPr>
        <w:t>Agent Compensation Structure</w:t>
      </w:r>
      <w:r w:rsidR="00544745" w:rsidRPr="00912B52">
        <w:t xml:space="preserve"> </w:t>
      </w:r>
    </w:p>
    <w:p w14:paraId="55F054AD" w14:textId="37ACADEE" w:rsidR="00404884" w:rsidRDefault="003C2056" w:rsidP="00544745">
      <w:pPr>
        <w:rPr>
          <w:i/>
        </w:rPr>
      </w:pPr>
      <w:r w:rsidRPr="00912B52">
        <w:t>#</w:t>
      </w:r>
      <w:r w:rsidR="00544745" w:rsidRPr="00912B52">
        <w:t xml:space="preserve">11 </w:t>
      </w:r>
      <w:r w:rsidR="00544745" w:rsidRPr="00912B52">
        <w:rPr>
          <w:i/>
        </w:rPr>
        <w:t>Agent Training and Testing</w:t>
      </w:r>
      <w:r w:rsidR="00404884" w:rsidRPr="00404884">
        <w:t>;</w:t>
      </w:r>
      <w:r w:rsidR="00404884">
        <w:rPr>
          <w:i/>
        </w:rPr>
        <w:t xml:space="preserve"> </w:t>
      </w:r>
    </w:p>
    <w:p w14:paraId="658DD806" w14:textId="76994ED6" w:rsidR="00714DEE" w:rsidRPr="00B9542A" w:rsidRDefault="00714DEE" w:rsidP="00544745">
      <w:pPr>
        <w:rPr>
          <w:u w:val="single"/>
        </w:rPr>
      </w:pPr>
      <w:r w:rsidRPr="00B9542A">
        <w:rPr>
          <w:u w:val="single"/>
        </w:rPr>
        <w:t xml:space="preserve">#12 </w:t>
      </w:r>
      <w:r w:rsidRPr="00B9542A">
        <w:rPr>
          <w:i/>
          <w:u w:val="single"/>
        </w:rPr>
        <w:t>Sponsor Oversight of Agents</w:t>
      </w:r>
    </w:p>
    <w:p w14:paraId="7FED673B" w14:textId="18458965" w:rsidR="00327F5C" w:rsidRDefault="00327F5C" w:rsidP="00570AA9">
      <w:pPr>
        <w:tabs>
          <w:tab w:val="left" w:pos="6110"/>
        </w:tabs>
        <w:rPr>
          <w:b/>
          <w:u w:val="single"/>
        </w:rPr>
      </w:pPr>
    </w:p>
    <w:p w14:paraId="41E2269F" w14:textId="77777777" w:rsidR="00620A8F" w:rsidRPr="00620A8F" w:rsidRDefault="00D320D3" w:rsidP="00570AA9">
      <w:pPr>
        <w:tabs>
          <w:tab w:val="left" w:pos="6110"/>
        </w:tabs>
        <w:contextualSpacing/>
        <w:rPr>
          <w:b/>
        </w:rPr>
      </w:pPr>
      <w:r w:rsidRPr="00620A8F">
        <w:rPr>
          <w:b/>
        </w:rPr>
        <w:t>Reporting Sections requiring validation</w:t>
      </w:r>
    </w:p>
    <w:p w14:paraId="1EE5E692" w14:textId="22705DAB" w:rsidR="00D320D3" w:rsidRPr="00570AA9" w:rsidRDefault="00D320D3" w:rsidP="00570AA9">
      <w:pPr>
        <w:tabs>
          <w:tab w:val="left" w:pos="6110"/>
        </w:tabs>
        <w:contextualSpacing/>
      </w:pPr>
      <w:r w:rsidRPr="00570AA9">
        <w:t>#</w:t>
      </w:r>
      <w:r w:rsidR="00187FAF" w:rsidRPr="00570AA9">
        <w:t>5 Organizations</w:t>
      </w:r>
      <w:r w:rsidRPr="00570AA9">
        <w:t>, Determinations &amp; Reconsiderations</w:t>
      </w:r>
    </w:p>
    <w:p w14:paraId="0F3B1450" w14:textId="0ECD3702" w:rsidR="00D320D3" w:rsidRPr="00570AA9" w:rsidRDefault="00D320D3" w:rsidP="00570AA9">
      <w:pPr>
        <w:tabs>
          <w:tab w:val="left" w:pos="6110"/>
        </w:tabs>
      </w:pPr>
      <w:r w:rsidRPr="00570AA9">
        <w:t>#</w:t>
      </w:r>
      <w:r w:rsidR="00187FAF" w:rsidRPr="00570AA9">
        <w:t>6 Grievances</w:t>
      </w:r>
      <w:r w:rsidRPr="00570AA9">
        <w:t xml:space="preserve"> </w:t>
      </w:r>
    </w:p>
    <w:p w14:paraId="416AA57D" w14:textId="047ADDBD" w:rsidR="00D320D3" w:rsidRPr="00570AA9" w:rsidRDefault="00D320D3" w:rsidP="00570AA9">
      <w:pPr>
        <w:tabs>
          <w:tab w:val="left" w:pos="6110"/>
        </w:tabs>
      </w:pPr>
      <w:r w:rsidRPr="00570AA9">
        <w:t>#13</w:t>
      </w:r>
      <w:r w:rsidR="00620A8F">
        <w:t xml:space="preserve"> </w:t>
      </w:r>
      <w:r w:rsidRPr="00570AA9">
        <w:t xml:space="preserve">Special Needs Plans </w:t>
      </w:r>
    </w:p>
    <w:p w14:paraId="60CB4D6C" w14:textId="77777777" w:rsidR="00C134D2" w:rsidRDefault="00C134D2" w:rsidP="00570AA9">
      <w:pPr>
        <w:tabs>
          <w:tab w:val="left" w:pos="6110"/>
        </w:tabs>
        <w:rPr>
          <w:b/>
          <w:sz w:val="20"/>
          <w:szCs w:val="20"/>
          <w:u w:val="single"/>
        </w:rPr>
      </w:pPr>
    </w:p>
    <w:p w14:paraId="0FE9E605" w14:textId="50EBAD91" w:rsidR="00D320D3" w:rsidRPr="00570AA9" w:rsidRDefault="00C134D2" w:rsidP="00570AA9">
      <w:pPr>
        <w:tabs>
          <w:tab w:val="left" w:pos="6110"/>
        </w:tabs>
        <w:rPr>
          <w:sz w:val="20"/>
          <w:szCs w:val="20"/>
        </w:rPr>
      </w:pPr>
      <w:r w:rsidRPr="00570AA9">
        <w:rPr>
          <w:b/>
          <w:sz w:val="20"/>
          <w:szCs w:val="20"/>
        </w:rPr>
        <w:t>Note:</w:t>
      </w:r>
      <w:r w:rsidR="001A6406">
        <w:rPr>
          <w:sz w:val="20"/>
          <w:szCs w:val="20"/>
        </w:rPr>
        <w:t xml:space="preserve"> All other Reporting S</w:t>
      </w:r>
      <w:r w:rsidRPr="00570AA9">
        <w:rPr>
          <w:sz w:val="20"/>
          <w:szCs w:val="20"/>
        </w:rPr>
        <w:t xml:space="preserve">ections are for monitoring purposes only and do not have to be validated at this time.  </w:t>
      </w:r>
    </w:p>
    <w:p w14:paraId="42C589BE" w14:textId="77777777" w:rsidR="00C134D2" w:rsidRDefault="00C134D2" w:rsidP="00544745">
      <w:pPr>
        <w:rPr>
          <w:b/>
          <w:u w:val="single"/>
        </w:rPr>
      </w:pPr>
    </w:p>
    <w:p w14:paraId="519E4256" w14:textId="0ED3BBA2" w:rsidR="00AE5570" w:rsidRPr="00570AA9" w:rsidRDefault="00AE5570" w:rsidP="00544745">
      <w:pPr>
        <w:rPr>
          <w:rFonts w:ascii="Arial" w:hAnsi="Arial" w:cs="Arial"/>
          <w:b/>
        </w:rPr>
      </w:pPr>
      <w:r w:rsidRPr="00570AA9">
        <w:rPr>
          <w:b/>
        </w:rPr>
        <w:t xml:space="preserve">Major Changes from CY </w:t>
      </w:r>
      <w:r w:rsidR="0077191F" w:rsidRPr="00570AA9">
        <w:rPr>
          <w:b/>
        </w:rPr>
        <w:t xml:space="preserve">2016 </w:t>
      </w:r>
      <w:r w:rsidRPr="00570AA9">
        <w:rPr>
          <w:b/>
        </w:rPr>
        <w:t>Technical Specifications</w:t>
      </w:r>
    </w:p>
    <w:p w14:paraId="2F268385" w14:textId="1F3A611C" w:rsidR="0077191F" w:rsidRPr="00FA5932" w:rsidRDefault="00982B94" w:rsidP="00CE78A8">
      <w:pPr>
        <w:rPr>
          <w:bCs/>
          <w:iCs/>
          <w:szCs w:val="28"/>
          <w:u w:val="single"/>
        </w:rPr>
      </w:pPr>
      <w:r w:rsidRPr="00570AA9">
        <w:rPr>
          <w:b/>
          <w:bCs/>
          <w:iCs/>
          <w:szCs w:val="28"/>
        </w:rPr>
        <w:t xml:space="preserve">#6 </w:t>
      </w:r>
      <w:r w:rsidR="0077191F" w:rsidRPr="00570AA9">
        <w:rPr>
          <w:b/>
          <w:bCs/>
          <w:iCs/>
          <w:szCs w:val="28"/>
        </w:rPr>
        <w:t xml:space="preserve">Organization Determinations and Reconsiderations has </w:t>
      </w:r>
      <w:r w:rsidR="00E9092E" w:rsidRPr="00570AA9">
        <w:rPr>
          <w:b/>
          <w:bCs/>
          <w:iCs/>
          <w:szCs w:val="28"/>
        </w:rPr>
        <w:t xml:space="preserve">four </w:t>
      </w:r>
      <w:r w:rsidR="0077191F" w:rsidRPr="00570AA9">
        <w:rPr>
          <w:b/>
          <w:bCs/>
          <w:iCs/>
          <w:szCs w:val="28"/>
        </w:rPr>
        <w:t>new data elements</w:t>
      </w:r>
      <w:r w:rsidR="0077191F" w:rsidRPr="00570AA9">
        <w:rPr>
          <w:bCs/>
          <w:iCs/>
          <w:szCs w:val="28"/>
        </w:rPr>
        <w:t>:</w:t>
      </w:r>
    </w:p>
    <w:p w14:paraId="770780C9" w14:textId="77777777" w:rsidR="0077191F" w:rsidRPr="00570AA9" w:rsidRDefault="0077191F" w:rsidP="0077191F">
      <w:pPr>
        <w:pStyle w:val="ListParagraph"/>
        <w:numPr>
          <w:ilvl w:val="0"/>
          <w:numId w:val="29"/>
        </w:numPr>
        <w:rPr>
          <w:rFonts w:ascii="Times New Roman" w:eastAsiaTheme="minorHAnsi" w:hAnsi="Times New Roman"/>
          <w:sz w:val="24"/>
          <w:szCs w:val="24"/>
        </w:rPr>
      </w:pPr>
      <w:r w:rsidRPr="00570AA9">
        <w:rPr>
          <w:rFonts w:ascii="Times New Roman" w:eastAsiaTheme="minorHAnsi" w:hAnsi="Times New Roman"/>
          <w:sz w:val="24"/>
          <w:szCs w:val="24"/>
        </w:rPr>
        <w:t>Was the case processed under the expedited timeframe? (Y/N)</w:t>
      </w:r>
    </w:p>
    <w:p w14:paraId="75E490C2" w14:textId="77777777" w:rsidR="0077191F" w:rsidRPr="00570AA9" w:rsidRDefault="0077191F" w:rsidP="0077191F">
      <w:pPr>
        <w:pStyle w:val="ListParagraph"/>
        <w:numPr>
          <w:ilvl w:val="0"/>
          <w:numId w:val="29"/>
        </w:numPr>
        <w:rPr>
          <w:rFonts w:ascii="Times New Roman" w:eastAsiaTheme="minorHAnsi" w:hAnsi="Times New Roman"/>
          <w:sz w:val="24"/>
          <w:szCs w:val="24"/>
        </w:rPr>
      </w:pPr>
      <w:r w:rsidRPr="00570AA9">
        <w:rPr>
          <w:rFonts w:ascii="Times New Roman" w:eastAsiaTheme="minorHAnsi" w:hAnsi="Times New Roman"/>
          <w:sz w:val="24"/>
          <w:szCs w:val="24"/>
        </w:rPr>
        <w:t>Case Type (Service or Payment)</w:t>
      </w:r>
    </w:p>
    <w:p w14:paraId="5C92587D" w14:textId="77777777" w:rsidR="0077191F" w:rsidRPr="00570AA9" w:rsidRDefault="0077191F" w:rsidP="0077191F">
      <w:pPr>
        <w:pStyle w:val="ListParagraph"/>
        <w:numPr>
          <w:ilvl w:val="0"/>
          <w:numId w:val="29"/>
        </w:numPr>
        <w:rPr>
          <w:rFonts w:ascii="Times New Roman" w:eastAsiaTheme="minorHAnsi" w:hAnsi="Times New Roman"/>
          <w:sz w:val="24"/>
          <w:szCs w:val="24"/>
        </w:rPr>
      </w:pPr>
      <w:r w:rsidRPr="00570AA9">
        <w:rPr>
          <w:rFonts w:ascii="Times New Roman" w:eastAsiaTheme="minorHAnsi" w:hAnsi="Times New Roman"/>
          <w:sz w:val="24"/>
          <w:szCs w:val="24"/>
        </w:rPr>
        <w:t>Status of treating provider (Contract or Non-Contract)</w:t>
      </w:r>
    </w:p>
    <w:p w14:paraId="7559908B" w14:textId="77777777" w:rsidR="0077191F" w:rsidRPr="00570AA9" w:rsidRDefault="0077191F" w:rsidP="0077191F">
      <w:pPr>
        <w:pStyle w:val="ListParagraph"/>
        <w:numPr>
          <w:ilvl w:val="0"/>
          <w:numId w:val="29"/>
        </w:numPr>
        <w:rPr>
          <w:rFonts w:ascii="Times New Roman" w:eastAsiaTheme="minorHAnsi" w:hAnsi="Times New Roman"/>
          <w:sz w:val="24"/>
          <w:szCs w:val="24"/>
        </w:rPr>
      </w:pPr>
      <w:r w:rsidRPr="00570AA9">
        <w:rPr>
          <w:rFonts w:ascii="Times New Roman" w:eastAsiaTheme="minorHAnsi" w:hAnsi="Times New Roman"/>
          <w:sz w:val="24"/>
          <w:szCs w:val="24"/>
        </w:rPr>
        <w:t xml:space="preserve">Additional Information (optional)   </w:t>
      </w:r>
    </w:p>
    <w:p w14:paraId="5D15DAD7" w14:textId="77777777" w:rsidR="00C71CEC" w:rsidRDefault="00C71CEC" w:rsidP="00B9542A">
      <w:pPr>
        <w:rPr>
          <w:rFonts w:eastAsiaTheme="minorHAnsi"/>
          <w:b/>
        </w:rPr>
      </w:pPr>
    </w:p>
    <w:p w14:paraId="7C6788D2" w14:textId="70E4FE86" w:rsidR="00FA0BEC" w:rsidRPr="00570AA9" w:rsidRDefault="00982B94" w:rsidP="00B9542A">
      <w:pPr>
        <w:rPr>
          <w:rFonts w:eastAsiaTheme="minorHAnsi"/>
          <w:b/>
          <w:u w:val="single"/>
        </w:rPr>
      </w:pPr>
      <w:r w:rsidRPr="00570AA9">
        <w:rPr>
          <w:rFonts w:eastAsiaTheme="minorHAnsi"/>
          <w:b/>
        </w:rPr>
        <w:t xml:space="preserve">#17 </w:t>
      </w:r>
      <w:r w:rsidR="00FA0BEC" w:rsidRPr="00570AA9">
        <w:rPr>
          <w:rFonts w:eastAsiaTheme="minorHAnsi"/>
          <w:b/>
        </w:rPr>
        <w:t>Payments to Providers has four new data elements</w:t>
      </w:r>
      <w:r w:rsidR="00C71CEC">
        <w:rPr>
          <w:rFonts w:eastAsiaTheme="minorHAnsi"/>
          <w:b/>
          <w:u w:val="single"/>
        </w:rPr>
        <w:t>:</w:t>
      </w:r>
    </w:p>
    <w:p w14:paraId="608F030E" w14:textId="77777777" w:rsidR="00E9092E" w:rsidRPr="00570AA9" w:rsidRDefault="00E9092E" w:rsidP="00E9092E">
      <w:pPr>
        <w:pStyle w:val="ListParagraph"/>
        <w:numPr>
          <w:ilvl w:val="0"/>
          <w:numId w:val="37"/>
        </w:numPr>
        <w:rPr>
          <w:rFonts w:ascii="Times New Roman" w:eastAsiaTheme="minorHAnsi" w:hAnsi="Times New Roman"/>
          <w:sz w:val="24"/>
          <w:szCs w:val="24"/>
        </w:rPr>
      </w:pPr>
      <w:r w:rsidRPr="00570AA9">
        <w:rPr>
          <w:rFonts w:ascii="Times New Roman" w:eastAsiaTheme="minorHAnsi" w:hAnsi="Times New Roman"/>
          <w:sz w:val="24"/>
          <w:szCs w:val="24"/>
        </w:rPr>
        <w:t xml:space="preserve">Total Risk-based payments not linked to quality (e.g. 3N in APM definitional framework). </w:t>
      </w:r>
    </w:p>
    <w:p w14:paraId="69751071" w14:textId="77777777" w:rsidR="00E9092E" w:rsidRPr="00570AA9" w:rsidRDefault="00E9092E" w:rsidP="00E9092E">
      <w:pPr>
        <w:pStyle w:val="ListParagraph"/>
        <w:numPr>
          <w:ilvl w:val="0"/>
          <w:numId w:val="37"/>
        </w:numPr>
        <w:rPr>
          <w:rFonts w:ascii="Times New Roman" w:eastAsiaTheme="minorHAnsi" w:hAnsi="Times New Roman"/>
          <w:sz w:val="24"/>
          <w:szCs w:val="24"/>
        </w:rPr>
      </w:pPr>
      <w:r w:rsidRPr="00570AA9">
        <w:rPr>
          <w:rFonts w:ascii="Times New Roman" w:hAnsi="Times New Roman"/>
          <w:sz w:val="24"/>
          <w:szCs w:val="24"/>
        </w:rPr>
        <w:t>Total capitation payment not linked to quality (e.g. 4N in the APM definitional framework)</w:t>
      </w:r>
    </w:p>
    <w:p w14:paraId="4B04AF85" w14:textId="77777777" w:rsidR="00E9092E" w:rsidRPr="00570AA9" w:rsidRDefault="00E9092E" w:rsidP="00E9092E">
      <w:pPr>
        <w:pStyle w:val="ListParagraph"/>
        <w:numPr>
          <w:ilvl w:val="0"/>
          <w:numId w:val="37"/>
        </w:numPr>
        <w:rPr>
          <w:rFonts w:ascii="Times New Roman" w:eastAsiaTheme="minorHAnsi" w:hAnsi="Times New Roman"/>
          <w:sz w:val="24"/>
          <w:szCs w:val="24"/>
        </w:rPr>
      </w:pPr>
      <w:r w:rsidRPr="00570AA9">
        <w:rPr>
          <w:rFonts w:ascii="Times New Roman" w:hAnsi="Times New Roman"/>
          <w:sz w:val="24"/>
          <w:szCs w:val="24"/>
        </w:rPr>
        <w:t>Total Medicare Advantage contracted providers paid based risk-based payments not linked to quality (e.g. 3N in the APM definitional framework)</w:t>
      </w:r>
    </w:p>
    <w:p w14:paraId="0DCE4D72" w14:textId="77777777" w:rsidR="00E9092E" w:rsidRPr="00570AA9" w:rsidRDefault="00E9092E" w:rsidP="00E9092E">
      <w:pPr>
        <w:pStyle w:val="ListParagraph"/>
        <w:numPr>
          <w:ilvl w:val="0"/>
          <w:numId w:val="37"/>
        </w:numPr>
        <w:rPr>
          <w:rFonts w:ascii="Times New Roman" w:eastAsiaTheme="minorHAnsi" w:hAnsi="Times New Roman"/>
          <w:sz w:val="24"/>
          <w:szCs w:val="24"/>
        </w:rPr>
      </w:pPr>
      <w:r w:rsidRPr="00570AA9">
        <w:rPr>
          <w:rFonts w:ascii="Times New Roman" w:hAnsi="Times New Roman"/>
          <w:sz w:val="24"/>
          <w:szCs w:val="24"/>
        </w:rPr>
        <w:t>Total Medicare Advantage contracted providers paid based on capitation with no link to quality (e.g. category 4N in the APM definitional framework).</w:t>
      </w:r>
    </w:p>
    <w:p w14:paraId="611085B3" w14:textId="77777777" w:rsidR="00A15FE7" w:rsidRDefault="00A15FE7" w:rsidP="00FA5932">
      <w:pPr>
        <w:rPr>
          <w:rFonts w:eastAsiaTheme="minorHAnsi"/>
        </w:rPr>
      </w:pPr>
    </w:p>
    <w:p w14:paraId="3E7DD6DF" w14:textId="1F238053" w:rsidR="00E9092E" w:rsidRPr="00E64F49" w:rsidRDefault="00C71CEC" w:rsidP="00FA5932">
      <w:pPr>
        <w:rPr>
          <w:rFonts w:eastAsiaTheme="minorHAnsi"/>
          <w:b/>
        </w:rPr>
      </w:pPr>
      <w:r w:rsidRPr="00E64F49">
        <w:rPr>
          <w:rFonts w:eastAsiaTheme="minorHAnsi"/>
          <w:b/>
        </w:rPr>
        <w:t>Rep</w:t>
      </w:r>
      <w:r w:rsidR="001A6406" w:rsidRPr="00E64F49">
        <w:rPr>
          <w:rFonts w:eastAsiaTheme="minorHAnsi"/>
          <w:b/>
        </w:rPr>
        <w:t>o</w:t>
      </w:r>
      <w:r w:rsidRPr="00E64F49">
        <w:rPr>
          <w:rFonts w:eastAsiaTheme="minorHAnsi"/>
          <w:b/>
        </w:rPr>
        <w:t xml:space="preserve">rting </w:t>
      </w:r>
      <w:r w:rsidR="001A6406" w:rsidRPr="00E64F49">
        <w:rPr>
          <w:rFonts w:eastAsiaTheme="minorHAnsi"/>
          <w:b/>
        </w:rPr>
        <w:t>Sections</w:t>
      </w:r>
      <w:r w:rsidRPr="00E64F49">
        <w:rPr>
          <w:rFonts w:eastAsiaTheme="minorHAnsi"/>
          <w:b/>
        </w:rPr>
        <w:t xml:space="preserve"> newly s</w:t>
      </w:r>
      <w:r w:rsidR="00E9092E" w:rsidRPr="00E64F49">
        <w:rPr>
          <w:rFonts w:eastAsiaTheme="minorHAnsi"/>
          <w:b/>
        </w:rPr>
        <w:t>uspended</w:t>
      </w:r>
    </w:p>
    <w:p w14:paraId="20D0B383" w14:textId="1C0553D7" w:rsidR="00AF2930" w:rsidRPr="00A15FE7" w:rsidRDefault="00FA5932" w:rsidP="00570AA9">
      <w:pPr>
        <w:pStyle w:val="ListParagraph"/>
        <w:numPr>
          <w:ilvl w:val="0"/>
          <w:numId w:val="38"/>
        </w:numPr>
        <w:rPr>
          <w:rFonts w:eastAsiaTheme="minorHAnsi"/>
        </w:rPr>
      </w:pPr>
      <w:r w:rsidRPr="00A15FE7">
        <w:rPr>
          <w:rFonts w:ascii="Times New Roman" w:eastAsiaTheme="minorHAnsi" w:hAnsi="Times New Roman"/>
          <w:sz w:val="24"/>
          <w:szCs w:val="24"/>
        </w:rPr>
        <w:t xml:space="preserve">Sponsor Oversight of Agents </w:t>
      </w:r>
    </w:p>
    <w:p w14:paraId="18201B0C" w14:textId="136E2E02" w:rsidR="00FA5932" w:rsidRPr="00A15FE7" w:rsidRDefault="00AF2930" w:rsidP="00570AA9">
      <w:pPr>
        <w:pStyle w:val="ListParagraph"/>
        <w:numPr>
          <w:ilvl w:val="0"/>
          <w:numId w:val="38"/>
        </w:numPr>
        <w:rPr>
          <w:rFonts w:eastAsiaTheme="minorHAnsi"/>
        </w:rPr>
      </w:pPr>
      <w:r w:rsidRPr="00A15FE7">
        <w:rPr>
          <w:rFonts w:ascii="Times New Roman" w:eastAsiaTheme="minorHAnsi" w:hAnsi="Times New Roman"/>
          <w:sz w:val="24"/>
          <w:szCs w:val="24"/>
        </w:rPr>
        <w:t>Private Fee-For-Service (PFFS) Plan Enrollment Verification Calls</w:t>
      </w:r>
    </w:p>
    <w:p w14:paraId="35DE171F" w14:textId="77777777" w:rsidR="00FA0BEC" w:rsidRDefault="00FA0BEC" w:rsidP="00FA5932">
      <w:pPr>
        <w:rPr>
          <w:rFonts w:eastAsiaTheme="minorHAnsi"/>
          <w:u w:val="single"/>
        </w:rPr>
      </w:pPr>
    </w:p>
    <w:p w14:paraId="29AC5845" w14:textId="1CA4B19E" w:rsidR="00E9092E" w:rsidRPr="00E64F49" w:rsidRDefault="00E64F49" w:rsidP="00FA5932">
      <w:pPr>
        <w:rPr>
          <w:rFonts w:eastAsiaTheme="minorHAnsi"/>
          <w:b/>
        </w:rPr>
      </w:pPr>
      <w:r>
        <w:rPr>
          <w:rFonts w:eastAsiaTheme="minorHAnsi"/>
          <w:b/>
        </w:rPr>
        <w:t>Added C</w:t>
      </w:r>
      <w:r w:rsidR="00E9092E" w:rsidRPr="00E64F49">
        <w:rPr>
          <w:rFonts w:eastAsiaTheme="minorHAnsi"/>
          <w:b/>
        </w:rPr>
        <w:t>larifications</w:t>
      </w:r>
    </w:p>
    <w:p w14:paraId="01279C68" w14:textId="04E7C079" w:rsidR="00E9092E" w:rsidRPr="00C71CEC" w:rsidRDefault="000602B2" w:rsidP="00570AA9">
      <w:pPr>
        <w:pStyle w:val="ListParagraph"/>
        <w:numPr>
          <w:ilvl w:val="0"/>
          <w:numId w:val="39"/>
        </w:numPr>
        <w:rPr>
          <w:rFonts w:eastAsiaTheme="minorHAnsi"/>
        </w:rPr>
      </w:pPr>
      <w:r w:rsidRPr="00570AA9">
        <w:rPr>
          <w:rFonts w:ascii="Times New Roman" w:eastAsiaTheme="minorHAnsi" w:hAnsi="Times New Roman"/>
          <w:sz w:val="24"/>
          <w:szCs w:val="24"/>
        </w:rPr>
        <w:t xml:space="preserve">Special Needs Plans Care Management </w:t>
      </w:r>
    </w:p>
    <w:p w14:paraId="2FBE0A91" w14:textId="77777777" w:rsidR="00E9092E" w:rsidRPr="00C71CEC" w:rsidRDefault="000602B2" w:rsidP="00570AA9">
      <w:pPr>
        <w:pStyle w:val="ListParagraph"/>
        <w:numPr>
          <w:ilvl w:val="0"/>
          <w:numId w:val="39"/>
        </w:numPr>
        <w:rPr>
          <w:rFonts w:eastAsiaTheme="minorHAnsi"/>
        </w:rPr>
      </w:pPr>
      <w:r w:rsidRPr="00570AA9">
        <w:rPr>
          <w:rFonts w:ascii="Times New Roman" w:eastAsiaTheme="minorHAnsi" w:hAnsi="Times New Roman"/>
          <w:sz w:val="24"/>
          <w:szCs w:val="24"/>
        </w:rPr>
        <w:t>Mid-Year Network Changes</w:t>
      </w:r>
    </w:p>
    <w:p w14:paraId="73D7B22B" w14:textId="49CF88D8" w:rsidR="00FA0BEC" w:rsidRPr="00570AA9" w:rsidRDefault="000602B2" w:rsidP="00570AA9">
      <w:pPr>
        <w:pStyle w:val="ListParagraph"/>
        <w:numPr>
          <w:ilvl w:val="0"/>
          <w:numId w:val="39"/>
        </w:numPr>
        <w:rPr>
          <w:rFonts w:eastAsiaTheme="minorHAnsi"/>
        </w:rPr>
      </w:pPr>
      <w:r w:rsidRPr="00570AA9">
        <w:rPr>
          <w:rFonts w:ascii="Times New Roman" w:eastAsiaTheme="minorHAnsi" w:hAnsi="Times New Roman"/>
          <w:sz w:val="24"/>
          <w:szCs w:val="24"/>
        </w:rPr>
        <w:t>Payments to Providers underwent a</w:t>
      </w:r>
      <w:r w:rsidR="00FA0BEC" w:rsidRPr="00570AA9">
        <w:rPr>
          <w:rFonts w:ascii="Times New Roman" w:eastAsiaTheme="minorHAnsi" w:hAnsi="Times New Roman"/>
          <w:sz w:val="24"/>
          <w:szCs w:val="24"/>
        </w:rPr>
        <w:t xml:space="preserve">dditional text clarification </w:t>
      </w:r>
    </w:p>
    <w:p w14:paraId="604548AA" w14:textId="77777777" w:rsidR="00E64F49" w:rsidRDefault="00E64F49" w:rsidP="00C36585">
      <w:pPr>
        <w:rPr>
          <w:b/>
          <w:u w:val="single"/>
        </w:rPr>
      </w:pPr>
      <w:bookmarkStart w:id="10" w:name="_Toc235595178"/>
      <w:bookmarkStart w:id="11" w:name="_Toc373236788"/>
      <w:bookmarkStart w:id="12" w:name="_Toc436825807"/>
    </w:p>
    <w:p w14:paraId="128EE62B" w14:textId="77777777" w:rsidR="00E64F49" w:rsidRDefault="00E64F49" w:rsidP="00C36585">
      <w:pPr>
        <w:rPr>
          <w:b/>
        </w:rPr>
      </w:pPr>
    </w:p>
    <w:p w14:paraId="38A40586" w14:textId="694C3736" w:rsidR="00F214C8" w:rsidRPr="00E64F49" w:rsidRDefault="00F214C8" w:rsidP="00C36585">
      <w:r w:rsidRPr="00E64F49">
        <w:rPr>
          <w:b/>
        </w:rPr>
        <w:t>Timely Submission of Data</w:t>
      </w:r>
      <w:bookmarkEnd w:id="10"/>
      <w:bookmarkEnd w:id="11"/>
      <w:bookmarkEnd w:id="12"/>
    </w:p>
    <w:p w14:paraId="051F0852" w14:textId="77777777" w:rsidR="00E64F49" w:rsidRDefault="00E64F49" w:rsidP="00F214C8">
      <w:pPr>
        <w:autoSpaceDE w:val="0"/>
        <w:autoSpaceDN w:val="0"/>
        <w:adjustRightInd w:val="0"/>
      </w:pPr>
    </w:p>
    <w:p w14:paraId="0774A659" w14:textId="77777777" w:rsidR="00D643EE" w:rsidRDefault="00F214C8" w:rsidP="00F214C8">
      <w:pPr>
        <w:autoSpaceDE w:val="0"/>
        <w:autoSpaceDN w:val="0"/>
        <w:adjustRightInd w:val="0"/>
      </w:pPr>
      <w:r w:rsidRPr="00912B52">
        <w:t>Data submissions</w:t>
      </w:r>
      <w:r w:rsidR="005F4C63">
        <w:t xml:space="preserve"> </w:t>
      </w:r>
      <w:r w:rsidRPr="00912B52">
        <w:t xml:space="preserve">are due by 11:59 p.m. Pacific time on the date of the reporting deadline.  CMS expects that data are accurate on the date they are submitted.  Data submitted after the given reporting period deadline shall be considered late and may not be incorporated within CMS data analyses and reporting.  Only </w:t>
      </w:r>
      <w:r w:rsidR="00F36DC0" w:rsidRPr="00912B52">
        <w:t>data reflecting</w:t>
      </w:r>
      <w:r w:rsidRPr="00912B52">
        <w:t xml:space="preserve"> a good faith effort by an organization to provide accurate responses to Part C reporting requirements will </w:t>
      </w:r>
      <w:r w:rsidR="00C70B2D" w:rsidRPr="00912B52">
        <w:t xml:space="preserve">be </w:t>
      </w:r>
      <w:r w:rsidRPr="00912B52">
        <w:t>count</w:t>
      </w:r>
      <w:r w:rsidR="00C70B2D" w:rsidRPr="00912B52">
        <w:t>ed</w:t>
      </w:r>
      <w:r w:rsidRPr="00912B52">
        <w:t xml:space="preserve"> as data submitted in a timely manner. </w:t>
      </w:r>
    </w:p>
    <w:p w14:paraId="211E4E72" w14:textId="77777777" w:rsidR="00D643EE" w:rsidRDefault="00D643EE" w:rsidP="00F214C8">
      <w:pPr>
        <w:autoSpaceDE w:val="0"/>
        <w:autoSpaceDN w:val="0"/>
        <w:adjustRightInd w:val="0"/>
      </w:pPr>
    </w:p>
    <w:p w14:paraId="22B4220A" w14:textId="77777777" w:rsidR="00100E5D" w:rsidRPr="006579D5" w:rsidRDefault="00100E5D" w:rsidP="00100E5D">
      <w:pPr>
        <w:rPr>
          <w:color w:val="1F497D"/>
        </w:rPr>
      </w:pPr>
      <w:r w:rsidRPr="006579D5">
        <w:t xml:space="preserve">If a plan terminates before or at the end of its </w:t>
      </w:r>
      <w:r w:rsidR="009C2350" w:rsidRPr="006579D5">
        <w:t>contract year (</w:t>
      </w:r>
      <w:r w:rsidRPr="006579D5">
        <w:t>CY</w:t>
      </w:r>
      <w:r w:rsidR="009C2350" w:rsidRPr="006579D5">
        <w:t>)</w:t>
      </w:r>
      <w:r w:rsidRPr="006579D5">
        <w:t xml:space="preserve">, it is not required to report and/or have its data validated for that CY. </w:t>
      </w:r>
    </w:p>
    <w:p w14:paraId="738A9D11" w14:textId="77777777" w:rsidR="00100E5D" w:rsidRDefault="00100E5D" w:rsidP="00100E5D">
      <w:pPr>
        <w:rPr>
          <w:color w:val="1F497D"/>
        </w:rPr>
      </w:pPr>
    </w:p>
    <w:p w14:paraId="27B8814D" w14:textId="77777777" w:rsidR="004C7D29" w:rsidRPr="00CC115A" w:rsidRDefault="004C7D29" w:rsidP="00F214C8">
      <w:pPr>
        <w:autoSpaceDE w:val="0"/>
        <w:autoSpaceDN w:val="0"/>
        <w:adjustRightInd w:val="0"/>
      </w:pPr>
      <w:r w:rsidRPr="00912B52">
        <w:t xml:space="preserve">Organizations </w:t>
      </w:r>
      <w:r w:rsidR="00C70B2D" w:rsidRPr="00912B52">
        <w:t>failing to submit data, or submitting data late and/or inaccurate</w:t>
      </w:r>
      <w:r w:rsidR="00F4359D" w:rsidRPr="00912B52">
        <w:t>ly</w:t>
      </w:r>
      <w:r w:rsidR="005F4C63">
        <w:t>,</w:t>
      </w:r>
      <w:r w:rsidR="00F4359D" w:rsidRPr="00912B52">
        <w:t xml:space="preserve"> </w:t>
      </w:r>
      <w:r w:rsidRPr="00912B52">
        <w:t>will receive compliance notices from CMS.</w:t>
      </w:r>
      <w:r w:rsidRPr="00CC115A">
        <w:t xml:space="preserve"> </w:t>
      </w:r>
    </w:p>
    <w:p w14:paraId="6C451EA4" w14:textId="77777777" w:rsidR="00F214C8" w:rsidRPr="00E64F49" w:rsidRDefault="00F214C8" w:rsidP="00C36585">
      <w:pPr>
        <w:spacing w:before="240" w:after="120"/>
      </w:pPr>
      <w:bookmarkStart w:id="13" w:name="_Toc373236789"/>
      <w:bookmarkStart w:id="14" w:name="_Toc436825808"/>
      <w:r w:rsidRPr="00E64F49">
        <w:rPr>
          <w:b/>
        </w:rPr>
        <w:t>Correction of Previously Submitted Data / Resubmission Requests</w:t>
      </w:r>
      <w:bookmarkEnd w:id="13"/>
      <w:bookmarkEnd w:id="14"/>
    </w:p>
    <w:p w14:paraId="32B57835" w14:textId="1D24386E" w:rsidR="00F214C8" w:rsidRPr="00AE5570" w:rsidRDefault="00380C52" w:rsidP="00380C52">
      <w:pPr>
        <w:autoSpaceDE w:val="0"/>
        <w:autoSpaceDN w:val="0"/>
        <w:adjustRightInd w:val="0"/>
      </w:pPr>
      <w:r w:rsidRPr="00AE5570">
        <w:t>If previously submitted data are incorrect, Part C Sponsors should request the opportunity to correct and resubmit data</w:t>
      </w:r>
      <w:r w:rsidR="005C4F7E" w:rsidRPr="00AE5570">
        <w:t xml:space="preserve">.  </w:t>
      </w:r>
      <w:r w:rsidR="00F214C8" w:rsidRPr="00AE5570">
        <w:t xml:space="preserve">Corrections of previously submitted data are appropriate if they are due to an error made at the date of the original </w:t>
      </w:r>
      <w:r w:rsidR="00B23A2A" w:rsidRPr="00AE5570">
        <w:t>submission, or as otherwise indicated by CMS</w:t>
      </w:r>
      <w:r w:rsidR="005C4F7E" w:rsidRPr="00AE5570">
        <w:t xml:space="preserve">.  </w:t>
      </w:r>
      <w:r w:rsidR="00C70B2D" w:rsidRPr="00AE5570">
        <w:t>Once a reporting deadline has passed</w:t>
      </w:r>
      <w:r w:rsidR="006F19FA" w:rsidRPr="00AE5570">
        <w:t>,</w:t>
      </w:r>
      <w:r w:rsidR="00C70B2D" w:rsidRPr="00AE5570">
        <w:t xml:space="preserve"> </w:t>
      </w:r>
      <w:r w:rsidR="006F19FA" w:rsidRPr="00AE5570">
        <w:t xml:space="preserve">organizations </w:t>
      </w:r>
      <w:r w:rsidR="00531294" w:rsidRPr="00AE5570">
        <w:t xml:space="preserve">that need </w:t>
      </w:r>
      <w:r w:rsidR="00C70B2D" w:rsidRPr="00AE5570">
        <w:t xml:space="preserve">to correct data must submit a formal request to resubmit </w:t>
      </w:r>
      <w:r w:rsidR="00A873A1" w:rsidRPr="00AE5570">
        <w:t xml:space="preserve">data </w:t>
      </w:r>
      <w:r w:rsidR="00C70B2D" w:rsidRPr="00AE5570">
        <w:t xml:space="preserve">via </w:t>
      </w:r>
      <w:r w:rsidR="00A873A1" w:rsidRPr="00AE5570">
        <w:t xml:space="preserve">the </w:t>
      </w:r>
      <w:r w:rsidR="00C70B2D" w:rsidRPr="00AE5570">
        <w:t xml:space="preserve">HPMS Plan Reporting Module.  </w:t>
      </w:r>
      <w:r w:rsidR="00F214C8" w:rsidRPr="00AE5570">
        <w:t xml:space="preserve">Resubmission requests </w:t>
      </w:r>
      <w:r w:rsidR="00763C6C" w:rsidRPr="00AE5570">
        <w:t>may</w:t>
      </w:r>
      <w:r w:rsidR="00F214C8" w:rsidRPr="00AE5570">
        <w:t xml:space="preserve"> only be submitted after </w:t>
      </w:r>
      <w:r w:rsidR="00012E99" w:rsidRPr="00AE5570">
        <w:t xml:space="preserve">the original </w:t>
      </w:r>
      <w:r w:rsidR="00F214C8" w:rsidRPr="00AE5570">
        <w:t xml:space="preserve">reporting deadline has </w:t>
      </w:r>
      <w:r w:rsidR="00646A5B" w:rsidRPr="00AE5570">
        <w:t>expired</w:t>
      </w:r>
      <w:r w:rsidR="00F214C8" w:rsidRPr="00AE5570">
        <w:t xml:space="preserve">.  </w:t>
      </w:r>
      <w:r w:rsidR="00733454" w:rsidRPr="00AE5570">
        <w:t>In order to accommodate data validation activities, data corrections may only be submitted until March 31</w:t>
      </w:r>
      <w:r w:rsidR="00733454" w:rsidRPr="00AE5570">
        <w:rPr>
          <w:vertAlign w:val="superscript"/>
        </w:rPr>
        <w:t>st</w:t>
      </w:r>
      <w:r w:rsidR="00733454" w:rsidRPr="00AE5570">
        <w:t xml:space="preserve"> following the last quarter or end of year reporting deadline</w:t>
      </w:r>
      <w:r w:rsidR="005C4F7E" w:rsidRPr="00AE5570">
        <w:t xml:space="preserve">.  </w:t>
      </w:r>
      <w:r w:rsidR="00554283" w:rsidRPr="00AE5570">
        <w:t>CMS reserves the right to establish deadlines after which no further corrections</w:t>
      </w:r>
      <w:r w:rsidR="008C38BE" w:rsidRPr="00AE5570">
        <w:t xml:space="preserve"> </w:t>
      </w:r>
      <w:r w:rsidR="001873EC" w:rsidRPr="00AE5570">
        <w:t>may be submitted.</w:t>
      </w:r>
      <w:r w:rsidR="001122B1" w:rsidRPr="00AE5570">
        <w:t xml:space="preserve">  </w:t>
      </w:r>
      <w:r w:rsidR="004D12F4" w:rsidRPr="00AE5570">
        <w:t xml:space="preserve">Detailed instructions </w:t>
      </w:r>
      <w:r w:rsidR="00C07E95" w:rsidRPr="00AE5570">
        <w:t xml:space="preserve">on resubmissions </w:t>
      </w:r>
      <w:r w:rsidR="00D77B60" w:rsidRPr="00AE5570">
        <w:t xml:space="preserve">may </w:t>
      </w:r>
      <w:r w:rsidR="00F4359D" w:rsidRPr="00AE5570">
        <w:t>be found o</w:t>
      </w:r>
      <w:r w:rsidR="004D12F4" w:rsidRPr="00AE5570">
        <w:t xml:space="preserve">n the </w:t>
      </w:r>
      <w:r w:rsidR="00F4359D" w:rsidRPr="00AE5570">
        <w:t xml:space="preserve">starter page of the </w:t>
      </w:r>
      <w:r w:rsidR="004D12F4" w:rsidRPr="00AE5570">
        <w:t>HPMS Plan Reporting Module User Guide.</w:t>
      </w:r>
      <w:r w:rsidR="004D12F4" w:rsidRPr="00AE5570">
        <w:rPr>
          <w:highlight w:val="yellow"/>
        </w:rPr>
        <w:t xml:space="preserve">  </w:t>
      </w:r>
    </w:p>
    <w:p w14:paraId="76D16231" w14:textId="77777777" w:rsidR="00F214C8" w:rsidRPr="00E64F49" w:rsidRDefault="00F214C8" w:rsidP="00C36585">
      <w:pPr>
        <w:spacing w:before="240" w:after="120"/>
      </w:pPr>
      <w:bookmarkStart w:id="15" w:name="_Toc373236790"/>
      <w:bookmarkStart w:id="16" w:name="_Toc436825809"/>
      <w:r w:rsidRPr="00E64F49">
        <w:rPr>
          <w:b/>
        </w:rPr>
        <w:t>Due Date Extension Requests</w:t>
      </w:r>
      <w:bookmarkEnd w:id="15"/>
      <w:bookmarkEnd w:id="16"/>
    </w:p>
    <w:p w14:paraId="59B0E2F1" w14:textId="77777777" w:rsidR="00F214C8" w:rsidRPr="007C0940" w:rsidRDefault="003858E0" w:rsidP="00F214C8">
      <w:pPr>
        <w:autoSpaceDE w:val="0"/>
        <w:autoSpaceDN w:val="0"/>
        <w:adjustRightInd w:val="0"/>
      </w:pPr>
      <w:r w:rsidRPr="003858E0">
        <w:t>Generally speaking, CMS does not grant extensions to reporting deadlines, as these have been established and published well in advance.  It is our expectation that organizations do their best with the information provided in the most current version of the Technical Specifications to prepare the data to be submitted in a timely f</w:t>
      </w:r>
      <w:r w:rsidR="00190023" w:rsidRPr="00190023">
        <w:t>as</w:t>
      </w:r>
      <w:r w:rsidRPr="003858E0">
        <w:t xml:space="preserve">hion.  Any assumptions that organizations may make in order to </w:t>
      </w:r>
      <w:r w:rsidR="00F214C8" w:rsidRPr="007C0940">
        <w:t xml:space="preserve">submit data timely should be fully documented and defensible under audit.  </w:t>
      </w:r>
      <w:r w:rsidR="00D46EA3" w:rsidRPr="007C0940">
        <w:t>CMS wil</w:t>
      </w:r>
      <w:r w:rsidRPr="003858E0">
        <w:t>l consider appropri</w:t>
      </w:r>
      <w:r w:rsidR="00D46EA3" w:rsidRPr="007C0940">
        <w:t xml:space="preserve">ate “Resubmission Requests” through the Plan Reporting Module (PRM). </w:t>
      </w:r>
    </w:p>
    <w:p w14:paraId="190A6C4E" w14:textId="77777777" w:rsidR="00BA756A" w:rsidRDefault="00BA756A" w:rsidP="00C36585">
      <w:pPr>
        <w:spacing w:before="240" w:after="120"/>
        <w:rPr>
          <w:b/>
          <w:u w:val="single"/>
        </w:rPr>
      </w:pPr>
      <w:bookmarkStart w:id="17" w:name="_Toc373236791"/>
      <w:bookmarkStart w:id="18" w:name="_Toc436825810"/>
    </w:p>
    <w:p w14:paraId="71FF1C2D" w14:textId="400CFBC3" w:rsidR="00F214C8" w:rsidRPr="00E64F49" w:rsidRDefault="00F214C8" w:rsidP="00C36585">
      <w:pPr>
        <w:spacing w:before="240" w:after="120"/>
      </w:pPr>
      <w:r w:rsidRPr="00E64F49">
        <w:rPr>
          <w:b/>
        </w:rPr>
        <w:lastRenderedPageBreak/>
        <w:t>Periodic Updates to the Technical Specifications</w:t>
      </w:r>
      <w:bookmarkEnd w:id="17"/>
      <w:bookmarkEnd w:id="18"/>
    </w:p>
    <w:p w14:paraId="1C2798CC" w14:textId="77777777" w:rsidR="009B3934" w:rsidRPr="006579D5" w:rsidRDefault="009B3934" w:rsidP="009B3934">
      <w:r w:rsidRPr="006579D5">
        <w:t xml:space="preserve">If CMS, through questions raised by plans, clarifies the prior technical specifications for a data element, CMS requires that plans incorporate this change for the entire reporting period. </w:t>
      </w:r>
    </w:p>
    <w:p w14:paraId="361D8F7E" w14:textId="6A6F3D5B" w:rsidR="00B90A73" w:rsidRPr="00912B52" w:rsidRDefault="00F214C8" w:rsidP="00A659DF">
      <w:r w:rsidRPr="00A9263D">
        <w:t>CMS has established the following email address for the purpose of collecting all questions regarding the Part C Technical Specifications:</w:t>
      </w:r>
      <w:r w:rsidR="00A659DF">
        <w:t xml:space="preserve"> </w:t>
      </w:r>
      <w:r w:rsidR="00A659DF" w:rsidRPr="00570AA9">
        <w:rPr>
          <w:b/>
        </w:rPr>
        <w:t>Partcplanreporting@cms.hhs.gov</w:t>
      </w:r>
      <w:r w:rsidR="00A659DF">
        <w:t xml:space="preserve"> </w:t>
      </w:r>
      <w:r w:rsidRPr="00912B52">
        <w:t>should be aware that immediate response</w:t>
      </w:r>
      <w:r w:rsidR="00422DA9" w:rsidRPr="00912B52">
        <w:t>s</w:t>
      </w:r>
      <w:r w:rsidRPr="00912B52">
        <w:t xml:space="preserve"> to individual questions may not </w:t>
      </w:r>
      <w:r w:rsidR="00531294">
        <w:t xml:space="preserve">always </w:t>
      </w:r>
      <w:r w:rsidRPr="00912B52">
        <w:t xml:space="preserve">be possible given the volume of email this box receives.  </w:t>
      </w:r>
      <w:r w:rsidR="007B2346" w:rsidRPr="00912B52">
        <w:t>CMS recommends that p</w:t>
      </w:r>
      <w:r w:rsidRPr="00912B52">
        <w:t xml:space="preserve">lans </w:t>
      </w:r>
      <w:r w:rsidR="007A3CA9" w:rsidRPr="00912B52">
        <w:t xml:space="preserve">first </w:t>
      </w:r>
      <w:r w:rsidR="00772A28" w:rsidRPr="00912B52">
        <w:t xml:space="preserve">refer </w:t>
      </w:r>
      <w:r w:rsidRPr="00912B52">
        <w:t>to the</w:t>
      </w:r>
      <w:r w:rsidR="00F4359D" w:rsidRPr="00912B52">
        <w:t xml:space="preserve"> current </w:t>
      </w:r>
      <w:r w:rsidR="00E71873" w:rsidRPr="00912B52">
        <w:t xml:space="preserve">Medicare </w:t>
      </w:r>
      <w:r w:rsidRPr="00912B52">
        <w:t>Part C Reporting Requirements</w:t>
      </w:r>
      <w:r w:rsidR="002E3CBF">
        <w:t xml:space="preserve"> </w:t>
      </w:r>
      <w:r w:rsidRPr="00912B52">
        <w:t>Technical Specifications</w:t>
      </w:r>
      <w:r w:rsidR="00772A28" w:rsidRPr="00912B52">
        <w:t xml:space="preserve"> for answers</w:t>
      </w:r>
      <w:r w:rsidR="00B90A73" w:rsidRPr="00912B52">
        <w:t xml:space="preserve"> or</w:t>
      </w:r>
      <w:r w:rsidR="007B2346" w:rsidRPr="00912B52">
        <w:t>,</w:t>
      </w:r>
      <w:r w:rsidR="00B90A73" w:rsidRPr="00912B52">
        <w:t xml:space="preserve"> when appropriate</w:t>
      </w:r>
      <w:r w:rsidR="007B2346" w:rsidRPr="00912B52">
        <w:t>,</w:t>
      </w:r>
      <w:r w:rsidR="00B90A73" w:rsidRPr="00912B52">
        <w:t xml:space="preserve"> contact the HPMS help</w:t>
      </w:r>
      <w:r w:rsidR="00D4057A" w:rsidRPr="00912B52">
        <w:t xml:space="preserve"> </w:t>
      </w:r>
      <w:r w:rsidR="00B90A73" w:rsidRPr="00912B52">
        <w:t xml:space="preserve">desk: </w:t>
      </w:r>
      <w:r w:rsidR="00B90A73" w:rsidRPr="00912B52">
        <w:rPr>
          <w:color w:val="1F497D"/>
        </w:rPr>
        <w:t xml:space="preserve"> </w:t>
      </w:r>
      <w:r w:rsidR="00B90A73" w:rsidRPr="00912B52">
        <w:t>1-800-220-2028</w:t>
      </w:r>
      <w:r w:rsidR="007B2346" w:rsidRPr="00912B52">
        <w:t xml:space="preserve"> </w:t>
      </w:r>
      <w:r w:rsidR="00772A28" w:rsidRPr="00912B52">
        <w:t xml:space="preserve">or </w:t>
      </w:r>
      <w:r w:rsidR="00B90A73" w:rsidRPr="00912B52">
        <w:t>email:</w:t>
      </w:r>
      <w:r w:rsidR="00B90A73" w:rsidRPr="00912B52">
        <w:rPr>
          <w:color w:val="1F497D"/>
        </w:rPr>
        <w:t xml:space="preserve"> </w:t>
      </w:r>
      <w:hyperlink r:id="rId11" w:history="1">
        <w:r w:rsidR="00A9263D" w:rsidRPr="00A9263D">
          <w:rPr>
            <w:rStyle w:val="Hyperlink"/>
          </w:rPr>
          <w:t>hpms@cms.hhs.gov</w:t>
        </w:r>
      </w:hyperlink>
      <w:r w:rsidR="006F19FA" w:rsidRPr="00912B52">
        <w:rPr>
          <w:color w:val="1F497D"/>
        </w:rPr>
        <w:t xml:space="preserve"> .</w:t>
      </w:r>
      <w:r w:rsidR="007B2346" w:rsidRPr="00912B52">
        <w:rPr>
          <w:color w:val="1F497D"/>
        </w:rPr>
        <w:t xml:space="preserve"> </w:t>
      </w:r>
    </w:p>
    <w:p w14:paraId="2716B642" w14:textId="77777777" w:rsidR="009B3934" w:rsidRDefault="009B3934">
      <w:pPr>
        <w:rPr>
          <w:b/>
          <w:u w:val="single"/>
        </w:rPr>
      </w:pPr>
    </w:p>
    <w:p w14:paraId="2D5AC184" w14:textId="77777777" w:rsidR="00CB68EC" w:rsidRDefault="00CB68EC">
      <w:pPr>
        <w:rPr>
          <w:b/>
          <w:u w:val="single"/>
        </w:rPr>
      </w:pPr>
      <w:r>
        <w:rPr>
          <w:b/>
          <w:u w:val="single"/>
        </w:rPr>
        <w:br w:type="page"/>
      </w:r>
    </w:p>
    <w:p w14:paraId="0DBEBFFF" w14:textId="66CA7D26" w:rsidR="009057FC" w:rsidRPr="00C36585" w:rsidRDefault="009057FC" w:rsidP="00C36585">
      <w:pPr>
        <w:pStyle w:val="Heading2"/>
        <w:ind w:right="0"/>
        <w:rPr>
          <w:b w:val="0"/>
          <w:caps/>
        </w:rPr>
      </w:pPr>
      <w:bookmarkStart w:id="19" w:name="_Toc475956096"/>
      <w:r w:rsidRPr="00C36585">
        <w:rPr>
          <w:rFonts w:ascii="Times New Roman" w:hAnsi="Times New Roman"/>
          <w:caps/>
          <w:smallCaps w:val="0"/>
        </w:rPr>
        <w:lastRenderedPageBreak/>
        <w:t xml:space="preserve">Reporting Requirement </w:t>
      </w:r>
      <w:r w:rsidR="00AA4C79" w:rsidRPr="00C36585">
        <w:rPr>
          <w:rFonts w:ascii="Times New Roman" w:hAnsi="Times New Roman"/>
          <w:caps/>
          <w:smallCaps w:val="0"/>
        </w:rPr>
        <w:t>Reporting</w:t>
      </w:r>
      <w:r w:rsidR="00DA4BE4" w:rsidRPr="00C36585">
        <w:rPr>
          <w:rFonts w:ascii="Times New Roman" w:hAnsi="Times New Roman"/>
          <w:caps/>
          <w:smallCaps w:val="0"/>
        </w:rPr>
        <w:t xml:space="preserve"> </w:t>
      </w:r>
      <w:r w:rsidR="0069538E" w:rsidRPr="00C36585">
        <w:rPr>
          <w:rFonts w:ascii="Times New Roman" w:hAnsi="Times New Roman"/>
          <w:caps/>
          <w:smallCaps w:val="0"/>
        </w:rPr>
        <w:t>S</w:t>
      </w:r>
      <w:r w:rsidR="00AA4C79" w:rsidRPr="00C36585">
        <w:rPr>
          <w:rFonts w:ascii="Times New Roman" w:hAnsi="Times New Roman"/>
          <w:caps/>
          <w:smallCaps w:val="0"/>
        </w:rPr>
        <w:t>ection</w:t>
      </w:r>
      <w:r w:rsidRPr="00C36585">
        <w:rPr>
          <w:rFonts w:ascii="Times New Roman" w:hAnsi="Times New Roman"/>
          <w:caps/>
          <w:smallCaps w:val="0"/>
        </w:rPr>
        <w:t>s List</w:t>
      </w:r>
      <w:bookmarkEnd w:id="19"/>
      <w:r w:rsidRPr="00C36585">
        <w:rPr>
          <w:rFonts w:ascii="Times New Roman" w:hAnsi="Times New Roman"/>
          <w:caps/>
          <w:smallCaps w:val="0"/>
        </w:rPr>
        <w:t xml:space="preserve"> </w:t>
      </w:r>
    </w:p>
    <w:p w14:paraId="284FD783" w14:textId="207C4B1F" w:rsidR="009057FC" w:rsidRDefault="009057FC" w:rsidP="009057FC">
      <w:r w:rsidRPr="00325DDF">
        <w:t xml:space="preserve">The following summary table provides an overview of the parameters around each of the current Part C </w:t>
      </w:r>
      <w:r w:rsidR="00A2273F">
        <w:t>R</w:t>
      </w:r>
      <w:r w:rsidRPr="00325DDF">
        <w:t xml:space="preserve">eporting </w:t>
      </w:r>
      <w:r w:rsidR="00A2273F">
        <w:t>R</w:t>
      </w:r>
      <w:r w:rsidRPr="00325DDF">
        <w:t xml:space="preserve">equirements </w:t>
      </w:r>
      <w:r w:rsidR="00AA4C79">
        <w:t>reporting section</w:t>
      </w:r>
      <w:r w:rsidRPr="00325DDF">
        <w:t xml:space="preserve">s.  </w:t>
      </w:r>
    </w:p>
    <w:p w14:paraId="3F8D060F" w14:textId="77777777" w:rsidR="006210F7" w:rsidRPr="00325DDF" w:rsidRDefault="006210F7" w:rsidP="009057FC"/>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890"/>
        <w:gridCol w:w="1350"/>
        <w:gridCol w:w="1710"/>
        <w:gridCol w:w="1800"/>
      </w:tblGrid>
      <w:tr w:rsidR="0045737D" w:rsidRPr="00325DDF" w14:paraId="67BAAD24" w14:textId="77777777" w:rsidTr="00A451BC">
        <w:trPr>
          <w:tblHeader/>
        </w:trPr>
        <w:tc>
          <w:tcPr>
            <w:tcW w:w="1908" w:type="dxa"/>
            <w:shd w:val="clear" w:color="auto" w:fill="D9D9D9" w:themeFill="background1" w:themeFillShade="D9"/>
          </w:tcPr>
          <w:p w14:paraId="1A0B90D0" w14:textId="77777777" w:rsidR="009057FC" w:rsidRPr="00325DDF" w:rsidRDefault="00AA4C79" w:rsidP="002517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xml:space="preserve">Reporting </w:t>
            </w:r>
            <w:r w:rsidR="00251744">
              <w:rPr>
                <w:b/>
              </w:rPr>
              <w:t>S</w:t>
            </w:r>
            <w:r>
              <w:rPr>
                <w:b/>
              </w:rPr>
              <w:t>ection</w:t>
            </w:r>
          </w:p>
        </w:tc>
        <w:tc>
          <w:tcPr>
            <w:tcW w:w="1890" w:type="dxa"/>
            <w:shd w:val="clear" w:color="auto" w:fill="D9D9D9" w:themeFill="background1" w:themeFillShade="D9"/>
          </w:tcPr>
          <w:p w14:paraId="48BF3555" w14:textId="77777777"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Organization Types Required to Report</w:t>
            </w:r>
          </w:p>
        </w:tc>
        <w:tc>
          <w:tcPr>
            <w:tcW w:w="1350" w:type="dxa"/>
            <w:shd w:val="clear" w:color="auto" w:fill="D9D9D9" w:themeFill="background1" w:themeFillShade="D9"/>
          </w:tcPr>
          <w:p w14:paraId="6A6DD970" w14:textId="77777777"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Report Freq./</w:t>
            </w:r>
          </w:p>
          <w:p w14:paraId="133B9C8B" w14:textId="77777777"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Level</w:t>
            </w:r>
          </w:p>
        </w:tc>
        <w:tc>
          <w:tcPr>
            <w:tcW w:w="1710" w:type="dxa"/>
            <w:shd w:val="clear" w:color="auto" w:fill="D9D9D9" w:themeFill="background1" w:themeFillShade="D9"/>
          </w:tcPr>
          <w:p w14:paraId="70F147D3" w14:textId="77777777"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Report</w:t>
            </w:r>
          </w:p>
          <w:p w14:paraId="735D66DB" w14:textId="77777777"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Period (s)</w:t>
            </w:r>
          </w:p>
        </w:tc>
        <w:tc>
          <w:tcPr>
            <w:tcW w:w="1800" w:type="dxa"/>
            <w:shd w:val="clear" w:color="auto" w:fill="D9D9D9" w:themeFill="background1" w:themeFillShade="D9"/>
          </w:tcPr>
          <w:p w14:paraId="613FCD7A" w14:textId="77777777"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325DDF">
              <w:rPr>
                <w:b/>
              </w:rPr>
              <w:t>Data Due date (s)</w:t>
            </w:r>
          </w:p>
        </w:tc>
      </w:tr>
      <w:tr w:rsidR="00BD3D71" w:rsidRPr="00325DDF" w14:paraId="5731AF48" w14:textId="77777777" w:rsidTr="00CB68EC">
        <w:tc>
          <w:tcPr>
            <w:tcW w:w="1908" w:type="dxa"/>
          </w:tcPr>
          <w:p w14:paraId="0BBC26E9" w14:textId="0D588DD0" w:rsidR="00BD3D71" w:rsidRPr="00325DDF"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74BE">
              <w:t>1. Benefit Utilization</w:t>
            </w:r>
          </w:p>
        </w:tc>
        <w:tc>
          <w:tcPr>
            <w:tcW w:w="1890" w:type="dxa"/>
          </w:tcPr>
          <w:p w14:paraId="4C2D671A" w14:textId="3538D056" w:rsidR="00BD3D71" w:rsidRPr="00674ABC"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c>
        <w:tc>
          <w:tcPr>
            <w:tcW w:w="1350" w:type="dxa"/>
            <w:shd w:val="clear" w:color="auto" w:fill="auto"/>
          </w:tcPr>
          <w:p w14:paraId="04D91B9A" w14:textId="09140A3A" w:rsidR="00BD3D71" w:rsidRPr="00CA10CB"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55330C">
              <w:t>Suspended</w:t>
            </w:r>
          </w:p>
        </w:tc>
        <w:tc>
          <w:tcPr>
            <w:tcW w:w="1710" w:type="dxa"/>
            <w:shd w:val="clear" w:color="auto" w:fill="auto"/>
          </w:tcPr>
          <w:p w14:paraId="18049D8B" w14:textId="77777777" w:rsidR="00BD3D71"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800" w:type="dxa"/>
          </w:tcPr>
          <w:p w14:paraId="041C92A0" w14:textId="77777777" w:rsidR="00BD3D71"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tc>
      </w:tr>
      <w:tr w:rsidR="00BD3D71" w:rsidRPr="00325DDF" w14:paraId="51DD1E29" w14:textId="77777777" w:rsidTr="00CB68EC">
        <w:tc>
          <w:tcPr>
            <w:tcW w:w="1908" w:type="dxa"/>
          </w:tcPr>
          <w:p w14:paraId="44C55736" w14:textId="19451CD6" w:rsidR="00BD3D71" w:rsidRPr="00325DDF"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74BE">
              <w:t>2. Procedure Frequency</w:t>
            </w:r>
          </w:p>
        </w:tc>
        <w:tc>
          <w:tcPr>
            <w:tcW w:w="1890" w:type="dxa"/>
          </w:tcPr>
          <w:p w14:paraId="61AF99A4" w14:textId="5F9D3301" w:rsidR="00BD3D71" w:rsidRPr="00674ABC"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c>
        <w:tc>
          <w:tcPr>
            <w:tcW w:w="1350" w:type="dxa"/>
            <w:shd w:val="clear" w:color="auto" w:fill="auto"/>
          </w:tcPr>
          <w:p w14:paraId="28A61F6B" w14:textId="60D8FF6D" w:rsidR="00BD3D71" w:rsidRPr="00CA10CB"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55330C">
              <w:t>Suspended</w:t>
            </w:r>
          </w:p>
        </w:tc>
        <w:tc>
          <w:tcPr>
            <w:tcW w:w="1710" w:type="dxa"/>
            <w:shd w:val="clear" w:color="auto" w:fill="auto"/>
          </w:tcPr>
          <w:p w14:paraId="0810027F" w14:textId="77777777" w:rsidR="00BD3D71"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800" w:type="dxa"/>
          </w:tcPr>
          <w:p w14:paraId="693C8592" w14:textId="77777777" w:rsidR="00BD3D71"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tc>
      </w:tr>
      <w:tr w:rsidR="00BD3D71" w:rsidRPr="00325DDF" w14:paraId="395B2DB7" w14:textId="77777777" w:rsidTr="00CB68EC">
        <w:tc>
          <w:tcPr>
            <w:tcW w:w="1908" w:type="dxa"/>
          </w:tcPr>
          <w:p w14:paraId="5B7DA014" w14:textId="0B700108" w:rsidR="00BD3D71" w:rsidRPr="00325DDF"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74BE">
              <w:t xml:space="preserve">3. Serious Reportable Adverse Events </w:t>
            </w:r>
          </w:p>
        </w:tc>
        <w:tc>
          <w:tcPr>
            <w:tcW w:w="1890" w:type="dxa"/>
          </w:tcPr>
          <w:p w14:paraId="7D72FCC6" w14:textId="2CBA9D4F" w:rsidR="00BD3D71" w:rsidRPr="00674ABC"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c>
        <w:tc>
          <w:tcPr>
            <w:tcW w:w="1350" w:type="dxa"/>
            <w:shd w:val="clear" w:color="auto" w:fill="auto"/>
          </w:tcPr>
          <w:p w14:paraId="3F582C25" w14:textId="7FCBE6D0" w:rsidR="00BD3D71" w:rsidRPr="00CA10CB"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55330C">
              <w:t>Suspended</w:t>
            </w:r>
          </w:p>
        </w:tc>
        <w:tc>
          <w:tcPr>
            <w:tcW w:w="1710" w:type="dxa"/>
            <w:shd w:val="clear" w:color="auto" w:fill="auto"/>
          </w:tcPr>
          <w:p w14:paraId="34A256CB" w14:textId="77777777" w:rsidR="00BD3D71"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800" w:type="dxa"/>
          </w:tcPr>
          <w:p w14:paraId="52E86AEF" w14:textId="77777777" w:rsidR="00BD3D71"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tc>
      </w:tr>
      <w:tr w:rsidR="00BD3D71" w:rsidRPr="00325DDF" w14:paraId="2FEA5DF7" w14:textId="77777777" w:rsidTr="00CB68EC">
        <w:tc>
          <w:tcPr>
            <w:tcW w:w="1908" w:type="dxa"/>
          </w:tcPr>
          <w:p w14:paraId="5D107A31" w14:textId="62E447BA" w:rsidR="00BD3D71" w:rsidRPr="00325DDF"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D74BE">
              <w:t>4. Provider Network Adequacy</w:t>
            </w:r>
          </w:p>
        </w:tc>
        <w:tc>
          <w:tcPr>
            <w:tcW w:w="1890" w:type="dxa"/>
          </w:tcPr>
          <w:p w14:paraId="5C2C8177" w14:textId="0E31A16A" w:rsidR="00BD3D71" w:rsidRPr="00674ABC"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c>
        <w:tc>
          <w:tcPr>
            <w:tcW w:w="1350" w:type="dxa"/>
            <w:shd w:val="clear" w:color="auto" w:fill="auto"/>
          </w:tcPr>
          <w:p w14:paraId="326FA000" w14:textId="4C62C12F" w:rsidR="00BD3D71" w:rsidRPr="00CA10CB"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55330C">
              <w:t>Suspended</w:t>
            </w:r>
          </w:p>
        </w:tc>
        <w:tc>
          <w:tcPr>
            <w:tcW w:w="1710" w:type="dxa"/>
            <w:shd w:val="clear" w:color="auto" w:fill="auto"/>
          </w:tcPr>
          <w:p w14:paraId="7F59FDCF" w14:textId="77777777" w:rsidR="00BD3D71"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800" w:type="dxa"/>
          </w:tcPr>
          <w:p w14:paraId="3A6AD7EC" w14:textId="77777777" w:rsidR="00BD3D71" w:rsidRDefault="00BD3D71" w:rsidP="00BD3D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tc>
      </w:tr>
      <w:tr w:rsidR="009057FC" w:rsidRPr="00325DDF" w14:paraId="77E3380A" w14:textId="77777777" w:rsidTr="00CB68EC">
        <w:tc>
          <w:tcPr>
            <w:tcW w:w="1908" w:type="dxa"/>
          </w:tcPr>
          <w:p w14:paraId="6D61B934" w14:textId="77777777" w:rsidR="009057FC"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5. Grievances</w:t>
            </w:r>
          </w:p>
          <w:p w14:paraId="590AE079" w14:textId="77777777" w:rsidR="00951630" w:rsidRPr="00325DDF" w:rsidRDefault="00951630"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(Revised)</w:t>
            </w:r>
          </w:p>
        </w:tc>
        <w:tc>
          <w:tcPr>
            <w:tcW w:w="1890" w:type="dxa"/>
          </w:tcPr>
          <w:p w14:paraId="4DDAC6EF" w14:textId="77F8407E" w:rsidR="00B705F0" w:rsidRDefault="00B705F0" w:rsidP="00B705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74ABC">
              <w:rPr>
                <w:szCs w:val="22"/>
              </w:rPr>
              <w:t xml:space="preserve">Coordinated Care Plans </w:t>
            </w:r>
            <w:r>
              <w:rPr>
                <w:szCs w:val="22"/>
              </w:rPr>
              <w:t>(</w:t>
            </w:r>
            <w:r w:rsidRPr="00325DDF">
              <w:t>CCP</w:t>
            </w:r>
            <w:r w:rsidR="00CB7935">
              <w:t>s</w:t>
            </w:r>
            <w:r>
              <w:t>)</w:t>
            </w:r>
            <w:r w:rsidRPr="00325DDF">
              <w:t>,</w:t>
            </w:r>
            <w:r>
              <w:t xml:space="preserve"> </w:t>
            </w:r>
            <w:r w:rsidRPr="00674ABC">
              <w:rPr>
                <w:szCs w:val="22"/>
              </w:rPr>
              <w:t xml:space="preserve">Provider Fee-For-Service </w:t>
            </w:r>
            <w:r>
              <w:rPr>
                <w:szCs w:val="22"/>
              </w:rPr>
              <w:t>P</w:t>
            </w:r>
            <w:r w:rsidRPr="00674ABC">
              <w:rPr>
                <w:szCs w:val="22"/>
              </w:rPr>
              <w:t xml:space="preserve">lans (PFFS), </w:t>
            </w:r>
            <w:r w:rsidRPr="00325DDF">
              <w:t xml:space="preserve"> 1876 Cost, </w:t>
            </w:r>
            <w:r>
              <w:rPr>
                <w:rFonts w:cs="Arial"/>
              </w:rPr>
              <w:t xml:space="preserve">Medicare-Medicaid Plans </w:t>
            </w:r>
            <w:r w:rsidRPr="00733459">
              <w:rPr>
                <w:rFonts w:cs="Arial"/>
              </w:rPr>
              <w:t>(</w:t>
            </w:r>
            <w:r w:rsidRPr="00733459">
              <w:t>MMP</w:t>
            </w:r>
            <w:r w:rsidR="00CB7935">
              <w:t>s</w:t>
            </w:r>
            <w:r w:rsidRPr="00733459">
              <w:t>),</w:t>
            </w:r>
            <w:r w:rsidRPr="00325DDF">
              <w:t xml:space="preserve"> </w:t>
            </w:r>
            <w:r w:rsidRPr="00674ABC">
              <w:rPr>
                <w:szCs w:val="22"/>
              </w:rPr>
              <w:t xml:space="preserve">Medicare Savings Accounts </w:t>
            </w:r>
            <w:r>
              <w:rPr>
                <w:szCs w:val="22"/>
              </w:rPr>
              <w:t>(</w:t>
            </w:r>
            <w:r w:rsidRPr="00325DDF">
              <w:t>MSA</w:t>
            </w:r>
            <w:r>
              <w:t xml:space="preserve">s) </w:t>
            </w:r>
            <w:r w:rsidRPr="00325DDF">
              <w:t>(includes all 800 series plans)</w:t>
            </w:r>
            <w:r>
              <w:t xml:space="preserve">, </w:t>
            </w:r>
            <w:r w:rsidRPr="00325DDF">
              <w:t xml:space="preserve"> Employer/Union Direct Contract</w:t>
            </w:r>
            <w:r>
              <w:t xml:space="preserve"> </w:t>
            </w:r>
          </w:p>
          <w:p w14:paraId="1152610B" w14:textId="70E38F10" w:rsidR="009057FC" w:rsidRPr="00325DDF" w:rsidRDefault="009057FC" w:rsidP="00D61A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 xml:space="preserve">  </w:t>
            </w:r>
            <w:r w:rsidR="00BD33C8">
              <w:t xml:space="preserve"> </w:t>
            </w:r>
            <w:r w:rsidR="00BD33C8" w:rsidRPr="00325DDF">
              <w:t xml:space="preserve"> </w:t>
            </w:r>
          </w:p>
        </w:tc>
        <w:tc>
          <w:tcPr>
            <w:tcW w:w="1350" w:type="dxa"/>
            <w:shd w:val="clear" w:color="auto" w:fill="auto"/>
          </w:tcPr>
          <w:p w14:paraId="2061A9BB" w14:textId="77777777" w:rsidR="009057FC" w:rsidRPr="00570AA9" w:rsidRDefault="00CA10CB"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1</w:t>
            </w:r>
            <w:r w:rsidR="009057FC" w:rsidRPr="00570AA9">
              <w:t>/Year</w:t>
            </w:r>
          </w:p>
          <w:p w14:paraId="5DB93064" w14:textId="77777777" w:rsidR="009057FC" w:rsidRPr="00325DDF" w:rsidRDefault="00765119" w:rsidP="007651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Contract</w:t>
            </w:r>
          </w:p>
        </w:tc>
        <w:tc>
          <w:tcPr>
            <w:tcW w:w="1710" w:type="dxa"/>
            <w:shd w:val="clear" w:color="auto" w:fill="auto"/>
          </w:tcPr>
          <w:p w14:paraId="248254C8" w14:textId="77777777" w:rsidR="009057FC"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FB3813" w14:textId="77777777" w:rsidR="00CA10CB" w:rsidRPr="00570AA9" w:rsidRDefault="00CA10CB" w:rsidP="00CA10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1/1-3/31</w:t>
            </w:r>
          </w:p>
          <w:p w14:paraId="5EA30C50" w14:textId="77777777" w:rsidR="00CA10CB" w:rsidRPr="00570AA9" w:rsidRDefault="00CA10CB" w:rsidP="00CA10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4/1-6/30</w:t>
            </w:r>
          </w:p>
          <w:p w14:paraId="301C49FB" w14:textId="77777777" w:rsidR="00CA10CB" w:rsidRPr="00570AA9" w:rsidRDefault="00CA10CB" w:rsidP="00CA10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7/1-9/30</w:t>
            </w:r>
          </w:p>
          <w:p w14:paraId="484EF1C2" w14:textId="77777777" w:rsidR="00CA10CB" w:rsidRPr="00CA10CB" w:rsidRDefault="00CA10CB" w:rsidP="00CA10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570AA9">
              <w:t>10/1-12/31</w:t>
            </w:r>
          </w:p>
          <w:p w14:paraId="179D7592" w14:textId="7452B9F3" w:rsidR="00CA10CB" w:rsidRPr="00325DDF" w:rsidRDefault="001B4C77" w:rsidP="001B4C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4F49">
              <w:t>(</w:t>
            </w:r>
            <w:r w:rsidR="00CA10CB" w:rsidRPr="00570AA9">
              <w:t>reporting will include each quarter</w:t>
            </w:r>
            <w:r w:rsidR="00E64F49">
              <w:t>.</w:t>
            </w:r>
            <w:r w:rsidR="00CA10CB" w:rsidRPr="00570AA9">
              <w:t>)</w:t>
            </w:r>
          </w:p>
        </w:tc>
        <w:tc>
          <w:tcPr>
            <w:tcW w:w="1800" w:type="dxa"/>
          </w:tcPr>
          <w:p w14:paraId="0EB43091" w14:textId="77777777" w:rsidR="009057FC"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5EC297E0" w14:textId="77777777" w:rsidR="00753609" w:rsidRPr="00570AA9" w:rsidRDefault="00753609"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First Monday of February in following year</w:t>
            </w:r>
          </w:p>
          <w:p w14:paraId="5B2F7342" w14:textId="77777777" w:rsidR="00D25B0D" w:rsidRDefault="00D25B0D" w:rsidP="008879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31B7EBF1" w14:textId="41E722D1" w:rsidR="00D25B0D" w:rsidRPr="00570AA9" w:rsidRDefault="00D25B0D" w:rsidP="008879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Validation Required</w:t>
            </w:r>
          </w:p>
        </w:tc>
      </w:tr>
      <w:tr w:rsidR="009057FC" w:rsidRPr="00325DDF" w14:paraId="0C34AEFE" w14:textId="77777777" w:rsidTr="00CB68EC">
        <w:tc>
          <w:tcPr>
            <w:tcW w:w="1908" w:type="dxa"/>
          </w:tcPr>
          <w:p w14:paraId="62E9E060" w14:textId="77777777"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6. Organization Determinations/</w:t>
            </w:r>
          </w:p>
          <w:p w14:paraId="4151AFBF" w14:textId="77777777" w:rsidR="009057FC"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Reconsiderations</w:t>
            </w:r>
          </w:p>
          <w:p w14:paraId="75D0094D" w14:textId="77777777" w:rsidR="00951630" w:rsidRPr="00325DDF" w:rsidRDefault="00951630"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(Revised)</w:t>
            </w:r>
          </w:p>
        </w:tc>
        <w:tc>
          <w:tcPr>
            <w:tcW w:w="1890" w:type="dxa"/>
          </w:tcPr>
          <w:p w14:paraId="4901C3C9" w14:textId="46E75019"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 xml:space="preserve">CCP, PFFS, 1876 Cost, </w:t>
            </w:r>
            <w:r w:rsidR="00366321" w:rsidRPr="00D955AB">
              <w:t>MMP</w:t>
            </w:r>
            <w:r w:rsidRPr="00325DDF">
              <w:t xml:space="preserve">, </w:t>
            </w:r>
            <w:r w:rsidR="00BD33C8" w:rsidRPr="00325DDF">
              <w:t>MSA (includes all 800 series plans)</w:t>
            </w:r>
            <w:r w:rsidR="00B705F0">
              <w:t xml:space="preserve">, </w:t>
            </w:r>
            <w:r w:rsidR="00B705F0" w:rsidRPr="00325DDF">
              <w:t>Employer/Union Direct Contract</w:t>
            </w:r>
          </w:p>
          <w:p w14:paraId="63C0D6C0" w14:textId="77777777"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14:paraId="77FB70B1" w14:textId="77777777" w:rsidR="009057FC" w:rsidRPr="00325DDF" w:rsidRDefault="007D0D38"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w:t>
            </w:r>
            <w:r w:rsidR="009057FC" w:rsidRPr="00325DDF">
              <w:t>/Year</w:t>
            </w:r>
          </w:p>
          <w:p w14:paraId="041F3A8E" w14:textId="77777777" w:rsidR="009057FC" w:rsidRPr="00325DDF" w:rsidRDefault="009057F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Contract</w:t>
            </w:r>
          </w:p>
        </w:tc>
        <w:tc>
          <w:tcPr>
            <w:tcW w:w="1710" w:type="dxa"/>
            <w:shd w:val="clear" w:color="auto" w:fill="auto"/>
          </w:tcPr>
          <w:p w14:paraId="3D15FDA1" w14:textId="77777777" w:rsidR="009057FC" w:rsidRPr="00325DDF" w:rsidRDefault="009057FC" w:rsidP="007D0D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1/1-3/31</w:t>
            </w:r>
          </w:p>
          <w:p w14:paraId="0FAFCB21" w14:textId="77777777" w:rsidR="009057FC" w:rsidRPr="00325DDF" w:rsidRDefault="009057FC" w:rsidP="007D0D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4/1-6/30</w:t>
            </w:r>
          </w:p>
          <w:p w14:paraId="661068F5" w14:textId="77777777" w:rsidR="009057FC" w:rsidRPr="00325DDF" w:rsidRDefault="009057FC" w:rsidP="007D0D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7/1-9/30</w:t>
            </w:r>
          </w:p>
          <w:p w14:paraId="1E977325" w14:textId="77777777" w:rsidR="009057FC" w:rsidRDefault="009057FC" w:rsidP="007D0D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10/1-12/31</w:t>
            </w:r>
          </w:p>
          <w:p w14:paraId="33291AC0" w14:textId="24B4985D" w:rsidR="00677C6B" w:rsidRPr="00CA10CB" w:rsidRDefault="00D25B0D" w:rsidP="00CF6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E64F49">
              <w:t>(</w:t>
            </w:r>
            <w:r w:rsidR="007D0D38" w:rsidRPr="00570AA9">
              <w:t>reporting will include each quarter</w:t>
            </w:r>
            <w:r w:rsidR="00E64F49">
              <w:t>.</w:t>
            </w:r>
            <w:r w:rsidR="007D0D38" w:rsidRPr="00570AA9">
              <w:t>)</w:t>
            </w:r>
          </w:p>
        </w:tc>
        <w:tc>
          <w:tcPr>
            <w:tcW w:w="1800" w:type="dxa"/>
          </w:tcPr>
          <w:p w14:paraId="21F32B4D" w14:textId="77777777" w:rsidR="009057FC" w:rsidRPr="00570AA9" w:rsidRDefault="00D614D8" w:rsidP="00D614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Last Monday of February in following year</w:t>
            </w:r>
            <w:r w:rsidR="009057FC" w:rsidRPr="00570AA9">
              <w:t xml:space="preserve"> </w:t>
            </w:r>
          </w:p>
          <w:p w14:paraId="68E03852" w14:textId="77777777" w:rsidR="00C71CEC" w:rsidRDefault="00C71CEC" w:rsidP="00D614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6B6A6BC" w14:textId="3572B0E9" w:rsidR="006210F7" w:rsidRPr="00570AA9" w:rsidRDefault="00D25B0D" w:rsidP="00D614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Validation required</w:t>
            </w:r>
          </w:p>
          <w:p w14:paraId="78273556" w14:textId="77777777" w:rsidR="006210F7" w:rsidRDefault="006210F7" w:rsidP="00D614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336298B" w14:textId="77777777" w:rsidR="006210F7" w:rsidRDefault="006210F7" w:rsidP="00D614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FE4725E" w14:textId="77777777" w:rsidR="006210F7" w:rsidRDefault="006210F7" w:rsidP="00D614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A0454D2" w14:textId="77777777" w:rsidR="006210F7" w:rsidRDefault="006210F7" w:rsidP="00D614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4AF3F617" w14:textId="4138414B" w:rsidR="006210F7" w:rsidRPr="00CA10CB" w:rsidRDefault="006210F7" w:rsidP="00D614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tc>
      </w:tr>
      <w:tr w:rsidR="00CB68EC" w:rsidRPr="00325DDF" w14:paraId="79B88C53" w14:textId="77777777" w:rsidTr="00570AA9">
        <w:trPr>
          <w:trHeight w:val="2393"/>
        </w:trPr>
        <w:tc>
          <w:tcPr>
            <w:tcW w:w="1908" w:type="dxa"/>
          </w:tcPr>
          <w:p w14:paraId="133761A4" w14:textId="77777777" w:rsidR="00DF14DA" w:rsidRDefault="00DF14DA"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2A098F" w14:textId="77777777" w:rsidR="00CB68EC" w:rsidRPr="00325DDF" w:rsidRDefault="00CB68E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7. Employer Group Plan Sponsors</w:t>
            </w:r>
          </w:p>
        </w:tc>
        <w:tc>
          <w:tcPr>
            <w:tcW w:w="1890" w:type="dxa"/>
            <w:shd w:val="clear" w:color="auto" w:fill="auto"/>
          </w:tcPr>
          <w:p w14:paraId="4EA995F7" w14:textId="77777777" w:rsidR="00DF14DA" w:rsidRDefault="00DF14DA" w:rsidP="00821338">
            <w:pPr>
              <w:spacing w:line="267" w:lineRule="exact"/>
              <w:ind w:left="102" w:right="-20"/>
            </w:pPr>
          </w:p>
          <w:p w14:paraId="4BB65CB0" w14:textId="77777777" w:rsidR="00821338" w:rsidRDefault="00821338" w:rsidP="00821338">
            <w:pPr>
              <w:spacing w:line="267" w:lineRule="exact"/>
              <w:ind w:left="102" w:right="-20"/>
            </w:pPr>
            <w:r>
              <w:t>CC</w:t>
            </w:r>
            <w:r>
              <w:rPr>
                <w:spacing w:val="1"/>
              </w:rPr>
              <w:t>P</w:t>
            </w:r>
            <w:r>
              <w:t xml:space="preserve">, </w:t>
            </w:r>
            <w:r>
              <w:rPr>
                <w:spacing w:val="1"/>
              </w:rPr>
              <w:t>P</w:t>
            </w:r>
            <w:r>
              <w:rPr>
                <w:spacing w:val="-1"/>
              </w:rPr>
              <w:t>FF</w:t>
            </w:r>
            <w:r>
              <w:rPr>
                <w:spacing w:val="1"/>
              </w:rPr>
              <w:t>S</w:t>
            </w:r>
            <w:r>
              <w:t>, 1876 Cost,</w:t>
            </w:r>
          </w:p>
          <w:p w14:paraId="2A75AB8E" w14:textId="49449E47" w:rsidR="00CB68EC" w:rsidRPr="00325DDF" w:rsidRDefault="00821338"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w:t>
            </w:r>
            <w:r>
              <w:rPr>
                <w:spacing w:val="1"/>
              </w:rPr>
              <w:t>S</w:t>
            </w:r>
            <w:r>
              <w:t>A (in</w:t>
            </w:r>
            <w:r>
              <w:rPr>
                <w:spacing w:val="-1"/>
              </w:rPr>
              <w:t>c</w:t>
            </w:r>
            <w:r>
              <w:t>ludes 800 s</w:t>
            </w:r>
            <w:r>
              <w:rPr>
                <w:spacing w:val="-1"/>
              </w:rPr>
              <w:t>e</w:t>
            </w:r>
            <w:r>
              <w:t>ri</w:t>
            </w:r>
            <w:r>
              <w:rPr>
                <w:spacing w:val="-1"/>
              </w:rPr>
              <w:t>e</w:t>
            </w:r>
            <w:r>
              <w:t>s pl</w:t>
            </w:r>
            <w:r>
              <w:rPr>
                <w:spacing w:val="-1"/>
              </w:rPr>
              <w:t>a</w:t>
            </w:r>
            <w:r>
              <w:t xml:space="preserve">ns </w:t>
            </w:r>
            <w:r>
              <w:rPr>
                <w:spacing w:val="-1"/>
              </w:rPr>
              <w:t>a</w:t>
            </w:r>
            <w:r>
              <w:t>nd</w:t>
            </w:r>
            <w:r>
              <w:rPr>
                <w:spacing w:val="2"/>
              </w:rPr>
              <w:t xml:space="preserve"> </w:t>
            </w:r>
            <w:r>
              <w:rPr>
                <w:spacing w:val="-1"/>
              </w:rPr>
              <w:t>a</w:t>
            </w:r>
            <w:r>
              <w:rPr>
                <w:spacing w:val="5"/>
              </w:rPr>
              <w:t>n</w:t>
            </w:r>
            <w:r>
              <w:t>y ind</w:t>
            </w:r>
            <w:r>
              <w:rPr>
                <w:spacing w:val="1"/>
              </w:rPr>
              <w:t>i</w:t>
            </w:r>
            <w:r>
              <w:t xml:space="preserve">vidual plans sold </w:t>
            </w:r>
            <w:r>
              <w:rPr>
                <w:spacing w:val="1"/>
              </w:rPr>
              <w:t>t</w:t>
            </w:r>
            <w:r>
              <w:t xml:space="preserve">o </w:t>
            </w:r>
            <w:r>
              <w:rPr>
                <w:spacing w:val="-1"/>
              </w:rPr>
              <w:t>e</w:t>
            </w:r>
            <w:r>
              <w:t>mp</w:t>
            </w:r>
            <w:r>
              <w:rPr>
                <w:spacing w:val="1"/>
              </w:rPr>
              <w:t>l</w:t>
            </w:r>
            <w:r>
              <w:rPr>
                <w:spacing w:val="2"/>
              </w:rPr>
              <w:t>o</w:t>
            </w:r>
            <w:r>
              <w:rPr>
                <w:spacing w:val="-5"/>
              </w:rPr>
              <w:t>y</w:t>
            </w:r>
            <w:r>
              <w:rPr>
                <w:spacing w:val="1"/>
              </w:rPr>
              <w:t>e</w:t>
            </w:r>
            <w:r>
              <w:t>r</w:t>
            </w:r>
            <w:r>
              <w:rPr>
                <w:spacing w:val="1"/>
              </w:rPr>
              <w:t xml:space="preserve"> </w:t>
            </w:r>
            <w:r>
              <w:rPr>
                <w:spacing w:val="-2"/>
              </w:rPr>
              <w:t>g</w:t>
            </w:r>
            <w:r>
              <w:t>roups</w:t>
            </w:r>
            <w:r>
              <w:rPr>
                <w:spacing w:val="-1"/>
              </w:rPr>
              <w:t>)</w:t>
            </w:r>
            <w:r>
              <w:t>, Empl</w:t>
            </w:r>
            <w:r>
              <w:rPr>
                <w:spacing w:val="2"/>
              </w:rPr>
              <w:t>o</w:t>
            </w:r>
            <w:r>
              <w:rPr>
                <w:spacing w:val="-5"/>
              </w:rPr>
              <w:t>y</w:t>
            </w:r>
            <w:r>
              <w:rPr>
                <w:spacing w:val="-1"/>
              </w:rPr>
              <w:t>e</w:t>
            </w:r>
            <w:r>
              <w:t>r/</w:t>
            </w:r>
            <w:r>
              <w:rPr>
                <w:spacing w:val="-1"/>
              </w:rPr>
              <w:t>U</w:t>
            </w:r>
            <w:r>
              <w:t>nion Di</w:t>
            </w:r>
            <w:r>
              <w:rPr>
                <w:spacing w:val="2"/>
              </w:rPr>
              <w:t>r</w:t>
            </w:r>
            <w:r>
              <w:rPr>
                <w:spacing w:val="-1"/>
              </w:rPr>
              <w:t>ec</w:t>
            </w:r>
            <w:r>
              <w:t>t Contr</w:t>
            </w:r>
            <w:r>
              <w:rPr>
                <w:spacing w:val="-1"/>
              </w:rPr>
              <w:t>ac</w:t>
            </w:r>
            <w:r>
              <w:t>t</w:t>
            </w:r>
          </w:p>
        </w:tc>
        <w:tc>
          <w:tcPr>
            <w:tcW w:w="1350" w:type="dxa"/>
            <w:shd w:val="clear" w:color="auto" w:fill="auto"/>
          </w:tcPr>
          <w:p w14:paraId="5AEAF6DA" w14:textId="77777777" w:rsidR="00DF14DA" w:rsidRDefault="00DF14DA" w:rsidP="00CF6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3182953" w14:textId="77777777" w:rsidR="00CF68D0" w:rsidRPr="00325DDF" w:rsidRDefault="00CF68D0" w:rsidP="00CF6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1/year</w:t>
            </w:r>
          </w:p>
          <w:p w14:paraId="091CFDC1" w14:textId="10F63BBB" w:rsidR="00CF68D0" w:rsidRDefault="00CF68D0" w:rsidP="00CF68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PBP</w:t>
            </w:r>
          </w:p>
          <w:p w14:paraId="7F433721" w14:textId="32F89EBB" w:rsidR="00CB68EC" w:rsidRPr="00325DDF" w:rsidRDefault="00CB68EC"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710" w:type="dxa"/>
          </w:tcPr>
          <w:p w14:paraId="030CE609" w14:textId="77777777" w:rsidR="00DF14DA" w:rsidRDefault="00CB68EC" w:rsidP="00CB6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14:paraId="50A6F74E" w14:textId="20E19CC5" w:rsidR="00CB68EC" w:rsidRPr="001A4D5F" w:rsidRDefault="00CF68D0" w:rsidP="00CB6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1/1 - 12/31</w:t>
            </w:r>
          </w:p>
        </w:tc>
        <w:tc>
          <w:tcPr>
            <w:tcW w:w="1800" w:type="dxa"/>
          </w:tcPr>
          <w:p w14:paraId="4DFE5B67" w14:textId="77777777" w:rsidR="00CB68EC" w:rsidRPr="00570AA9" w:rsidRDefault="00CB68EC" w:rsidP="00CB6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First Monday of February in following year</w:t>
            </w:r>
          </w:p>
          <w:p w14:paraId="32054FCB" w14:textId="77777777" w:rsidR="00821338" w:rsidRDefault="00821338" w:rsidP="00CB6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306A512A" w14:textId="7FC12A4B" w:rsidR="00821338" w:rsidRPr="001A4D5F" w:rsidRDefault="00821338" w:rsidP="00857A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45737D" w:rsidRPr="00325DDF" w14:paraId="64816A46" w14:textId="77777777" w:rsidTr="00CB68EC">
        <w:tc>
          <w:tcPr>
            <w:tcW w:w="1908" w:type="dxa"/>
          </w:tcPr>
          <w:p w14:paraId="37EC44B6" w14:textId="77777777" w:rsidR="0045737D" w:rsidRPr="00570AA9"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570AA9">
              <w:rPr>
                <w:u w:val="single"/>
              </w:rPr>
              <w:t xml:space="preserve">8. PFFS Plan Enrollment Verification Calls </w:t>
            </w:r>
          </w:p>
        </w:tc>
        <w:tc>
          <w:tcPr>
            <w:tcW w:w="1890" w:type="dxa"/>
          </w:tcPr>
          <w:p w14:paraId="7B0DC28E" w14:textId="77777777" w:rsidR="0045737D" w:rsidRPr="00325DDF" w:rsidRDefault="0045737D" w:rsidP="008D1E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14:paraId="0F10ECA7" w14:textId="1713861D" w:rsidR="0045737D" w:rsidRPr="00E64F49" w:rsidRDefault="008D1EE8" w:rsidP="00A926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E64F49">
              <w:rPr>
                <w:u w:val="single"/>
              </w:rPr>
              <w:t>Suspended</w:t>
            </w:r>
          </w:p>
        </w:tc>
        <w:tc>
          <w:tcPr>
            <w:tcW w:w="1710" w:type="dxa"/>
            <w:shd w:val="clear" w:color="auto" w:fill="auto"/>
          </w:tcPr>
          <w:p w14:paraId="175368E2" w14:textId="630CC459"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800" w:type="dxa"/>
          </w:tcPr>
          <w:p w14:paraId="5EF21DFA" w14:textId="7BD584E9" w:rsidR="00821338" w:rsidRPr="00570AA9" w:rsidRDefault="00D614D8"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14:paraId="75EB7200" w14:textId="4958E524" w:rsidR="0045737D" w:rsidRPr="00325DDF" w:rsidRDefault="0045737D"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6210F7" w:rsidRPr="00325DDF" w14:paraId="44AFECCC" w14:textId="77777777" w:rsidTr="00C36585">
        <w:trPr>
          <w:tblHeader/>
        </w:trPr>
        <w:tc>
          <w:tcPr>
            <w:tcW w:w="1908" w:type="dxa"/>
          </w:tcPr>
          <w:p w14:paraId="79EBBD97" w14:textId="4FCB46F7" w:rsidR="006210F7" w:rsidRPr="005E09BD" w:rsidRDefault="006210F7" w:rsidP="00590778">
            <w:pPr>
              <w:rPr>
                <w:b/>
              </w:rPr>
            </w:pPr>
            <w:r w:rsidRPr="00325DDF">
              <w:t>9. PFFS Provider Payment Dispute Resolution Process</w:t>
            </w:r>
          </w:p>
        </w:tc>
        <w:tc>
          <w:tcPr>
            <w:tcW w:w="1890" w:type="dxa"/>
          </w:tcPr>
          <w:p w14:paraId="57E29FDD" w14:textId="77777777"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PFFS</w:t>
            </w:r>
            <w:r>
              <w:t xml:space="preserve"> (includes all 800 series plans)</w:t>
            </w:r>
            <w:r w:rsidRPr="00325DDF">
              <w:t>, Employer/Union Direct Contract</w:t>
            </w:r>
            <w:r>
              <w:t xml:space="preserve"> </w:t>
            </w:r>
          </w:p>
          <w:p w14:paraId="63D53ED1" w14:textId="446E55E9" w:rsidR="006210F7" w:rsidRPr="005E09BD" w:rsidRDefault="006210F7" w:rsidP="00590778">
            <w:pPr>
              <w:rPr>
                <w:b/>
              </w:rPr>
            </w:pPr>
          </w:p>
        </w:tc>
        <w:tc>
          <w:tcPr>
            <w:tcW w:w="1350" w:type="dxa"/>
            <w:shd w:val="clear" w:color="auto" w:fill="auto"/>
          </w:tcPr>
          <w:p w14:paraId="3FD8016F" w14:textId="77777777"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1/year</w:t>
            </w:r>
          </w:p>
          <w:p w14:paraId="06D7C699" w14:textId="5CBBD7D0" w:rsidR="006210F7" w:rsidRPr="005E09BD" w:rsidRDefault="006210F7" w:rsidP="00590778">
            <w:pPr>
              <w:rPr>
                <w:b/>
              </w:rPr>
            </w:pPr>
            <w:r w:rsidRPr="00325DDF">
              <w:t>PBP</w:t>
            </w:r>
          </w:p>
        </w:tc>
        <w:tc>
          <w:tcPr>
            <w:tcW w:w="1710" w:type="dxa"/>
            <w:shd w:val="clear" w:color="auto" w:fill="auto"/>
          </w:tcPr>
          <w:p w14:paraId="1EEA99ED" w14:textId="6C089ED1" w:rsidR="006210F7" w:rsidRPr="005E09BD" w:rsidRDefault="006210F7" w:rsidP="00590778">
            <w:pPr>
              <w:rPr>
                <w:b/>
              </w:rPr>
            </w:pPr>
            <w:r w:rsidRPr="00325DDF">
              <w:t>1/1-12/31</w:t>
            </w:r>
          </w:p>
        </w:tc>
        <w:tc>
          <w:tcPr>
            <w:tcW w:w="1800" w:type="dxa"/>
          </w:tcPr>
          <w:p w14:paraId="1D015B59" w14:textId="77777777" w:rsidR="006210F7" w:rsidRPr="00570AA9" w:rsidRDefault="006210F7" w:rsidP="00D614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 xml:space="preserve">Last Monday of February in following year </w:t>
            </w:r>
          </w:p>
          <w:p w14:paraId="581A2492" w14:textId="77777777" w:rsidR="006210F7" w:rsidRDefault="006210F7" w:rsidP="00D614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1FD15F" w14:textId="392658F1" w:rsidR="006210F7" w:rsidRPr="005E09BD" w:rsidRDefault="006210F7" w:rsidP="00590778">
            <w:pPr>
              <w:rPr>
                <w:b/>
              </w:rPr>
            </w:pPr>
          </w:p>
        </w:tc>
      </w:tr>
      <w:tr w:rsidR="006210F7" w:rsidRPr="00325DDF" w14:paraId="42FBFC86" w14:textId="77777777" w:rsidTr="00CB68EC">
        <w:tc>
          <w:tcPr>
            <w:tcW w:w="1908" w:type="dxa"/>
          </w:tcPr>
          <w:p w14:paraId="2C1C2C4C" w14:textId="1E7B9F7B"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10. Agent Compensation Structure</w:t>
            </w:r>
          </w:p>
        </w:tc>
        <w:tc>
          <w:tcPr>
            <w:tcW w:w="1890" w:type="dxa"/>
          </w:tcPr>
          <w:p w14:paraId="4AAF4F53" w14:textId="22FA4CA3" w:rsidR="006210F7" w:rsidRPr="00325DDF" w:rsidRDefault="006210F7" w:rsidP="00821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14:paraId="6A28D8D2" w14:textId="77777777"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 xml:space="preserve">Suspended </w:t>
            </w:r>
          </w:p>
          <w:p w14:paraId="37B47C7D" w14:textId="07A1EDB4"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710" w:type="dxa"/>
            <w:shd w:val="clear" w:color="auto" w:fill="auto"/>
          </w:tcPr>
          <w:p w14:paraId="22188D8C" w14:textId="3C12E69A"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800" w:type="dxa"/>
          </w:tcPr>
          <w:p w14:paraId="0EA09EE2" w14:textId="3C257484" w:rsidR="006210F7" w:rsidRPr="00325DDF" w:rsidRDefault="006210F7" w:rsidP="00D614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6210F7" w:rsidRPr="00325DDF" w14:paraId="78A574E0" w14:textId="77777777" w:rsidTr="00CB68EC">
        <w:tc>
          <w:tcPr>
            <w:tcW w:w="1908" w:type="dxa"/>
          </w:tcPr>
          <w:p w14:paraId="581371E7" w14:textId="3AEF034C"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11. Agent Training and Testing</w:t>
            </w:r>
          </w:p>
        </w:tc>
        <w:tc>
          <w:tcPr>
            <w:tcW w:w="1890" w:type="dxa"/>
          </w:tcPr>
          <w:p w14:paraId="7D0580DB" w14:textId="77777777"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14:paraId="029D8109" w14:textId="7E5E4ADB"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 xml:space="preserve">Suspended </w:t>
            </w:r>
          </w:p>
        </w:tc>
        <w:tc>
          <w:tcPr>
            <w:tcW w:w="1710" w:type="dxa"/>
            <w:shd w:val="clear" w:color="auto" w:fill="auto"/>
          </w:tcPr>
          <w:p w14:paraId="6F6BD896" w14:textId="77777777"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800" w:type="dxa"/>
          </w:tcPr>
          <w:p w14:paraId="1760D3AE" w14:textId="77777777"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6210F7" w:rsidRPr="00325DDF" w14:paraId="51DFCC33" w14:textId="77777777" w:rsidTr="00CB68EC">
        <w:tc>
          <w:tcPr>
            <w:tcW w:w="1908" w:type="dxa"/>
          </w:tcPr>
          <w:p w14:paraId="7E81BE31" w14:textId="4FD5D029" w:rsidR="006210F7" w:rsidRPr="00714DEE"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714DEE">
              <w:rPr>
                <w:u w:val="single"/>
              </w:rPr>
              <w:t>12. Sponsor  Oversight of Agents</w:t>
            </w:r>
          </w:p>
        </w:tc>
        <w:tc>
          <w:tcPr>
            <w:tcW w:w="1890" w:type="dxa"/>
          </w:tcPr>
          <w:p w14:paraId="526A51B7" w14:textId="3D3CF632"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14:paraId="53CDB352" w14:textId="40BD40FF" w:rsidR="006210F7" w:rsidRPr="00325DDF" w:rsidRDefault="00714DEE" w:rsidP="00D77C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cs="Arial"/>
                <w:u w:val="single"/>
              </w:rPr>
              <w:t>Suspended</w:t>
            </w:r>
          </w:p>
        </w:tc>
        <w:tc>
          <w:tcPr>
            <w:tcW w:w="1710" w:type="dxa"/>
            <w:shd w:val="clear" w:color="auto" w:fill="auto"/>
          </w:tcPr>
          <w:p w14:paraId="15652277" w14:textId="5D33D1E1"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800" w:type="dxa"/>
          </w:tcPr>
          <w:p w14:paraId="63E7E241" w14:textId="37734BE8"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6210F7" w:rsidRPr="00325DDF" w14:paraId="300D93CB" w14:textId="77777777" w:rsidTr="00CB68EC">
        <w:trPr>
          <w:trHeight w:val="90"/>
        </w:trPr>
        <w:tc>
          <w:tcPr>
            <w:tcW w:w="1908" w:type="dxa"/>
          </w:tcPr>
          <w:p w14:paraId="11A9B2A5" w14:textId="1A5CA03B" w:rsidR="006210F7" w:rsidRPr="00325DDF" w:rsidRDefault="006210F7" w:rsidP="00CB79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13. Special Need</w:t>
            </w:r>
            <w:r w:rsidR="004E305A">
              <w:t>s</w:t>
            </w:r>
            <w:r w:rsidRPr="00325DDF">
              <w:t xml:space="preserve"> Plans (SNP</w:t>
            </w:r>
            <w:r>
              <w:t>s</w:t>
            </w:r>
            <w:r w:rsidRPr="00325DDF">
              <w:t>) Care Management</w:t>
            </w:r>
          </w:p>
        </w:tc>
        <w:tc>
          <w:tcPr>
            <w:tcW w:w="1890" w:type="dxa"/>
          </w:tcPr>
          <w:p w14:paraId="457A5AA9" w14:textId="77777777"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Local CCP, Regional CCP, RFB Local CCP with SNPs</w:t>
            </w:r>
            <w:r>
              <w:t>. Includes 800 series plans.</w:t>
            </w:r>
            <w:r w:rsidRPr="00325DDF">
              <w:t xml:space="preserve"> </w:t>
            </w:r>
          </w:p>
          <w:p w14:paraId="36372FEB" w14:textId="1B9BDD02" w:rsidR="006210F7" w:rsidRPr="00325DDF" w:rsidRDefault="006210F7" w:rsidP="00821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350" w:type="dxa"/>
            <w:shd w:val="clear" w:color="auto" w:fill="auto"/>
          </w:tcPr>
          <w:p w14:paraId="2AC5CB3A" w14:textId="77777777"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1/Year</w:t>
            </w:r>
          </w:p>
          <w:p w14:paraId="7E362B40" w14:textId="011248DE" w:rsidR="006210F7" w:rsidRPr="00325DDF" w:rsidRDefault="006210F7" w:rsidP="008628D7">
            <w:pPr>
              <w:rPr>
                <w:rFonts w:ascii="Cambria" w:hAnsi="Cambria"/>
                <w:b/>
                <w:bCs/>
                <w:kern w:val="32"/>
              </w:rPr>
            </w:pPr>
            <w:r w:rsidRPr="00325DDF">
              <w:t>PBP</w:t>
            </w:r>
          </w:p>
        </w:tc>
        <w:tc>
          <w:tcPr>
            <w:tcW w:w="1710" w:type="dxa"/>
            <w:shd w:val="clear" w:color="auto" w:fill="auto"/>
          </w:tcPr>
          <w:p w14:paraId="7F263121" w14:textId="5B3147A5" w:rsidR="006210F7" w:rsidRPr="00325DDF" w:rsidRDefault="006210F7" w:rsidP="00746C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1/1-12/31</w:t>
            </w:r>
          </w:p>
        </w:tc>
        <w:tc>
          <w:tcPr>
            <w:tcW w:w="1800" w:type="dxa"/>
          </w:tcPr>
          <w:p w14:paraId="1F25D168" w14:textId="77777777" w:rsidR="006210F7" w:rsidRDefault="006210F7" w:rsidP="006639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Pr="00570AA9">
              <w:t>Last Monday of February in following year</w:t>
            </w:r>
          </w:p>
          <w:p w14:paraId="7737BAFE" w14:textId="7067C955" w:rsidR="00A659DF" w:rsidRPr="00570AA9" w:rsidRDefault="00A659DF" w:rsidP="006639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Validation required</w:t>
            </w:r>
          </w:p>
        </w:tc>
      </w:tr>
      <w:tr w:rsidR="006210F7" w:rsidRPr="00325DDF" w14:paraId="0E0E9FB4" w14:textId="77777777" w:rsidTr="00CB68EC">
        <w:trPr>
          <w:trHeight w:val="90"/>
        </w:trPr>
        <w:tc>
          <w:tcPr>
            <w:tcW w:w="1908" w:type="dxa"/>
          </w:tcPr>
          <w:p w14:paraId="13EB8D6B" w14:textId="44D23923"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579D5">
              <w:t>14. Enrollment/Disenrollment</w:t>
            </w:r>
          </w:p>
        </w:tc>
        <w:tc>
          <w:tcPr>
            <w:tcW w:w="1890" w:type="dxa"/>
          </w:tcPr>
          <w:p w14:paraId="77C7BA21" w14:textId="4FE6D678"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iCs/>
              </w:rPr>
              <w:t xml:space="preserve">Only </w:t>
            </w:r>
            <w:r w:rsidRPr="00CA10CB">
              <w:rPr>
                <w:iCs/>
              </w:rPr>
              <w:t xml:space="preserve">1876 </w:t>
            </w:r>
            <w:r>
              <w:rPr>
                <w:iCs/>
              </w:rPr>
              <w:t>C</w:t>
            </w:r>
            <w:r w:rsidRPr="00CA10CB">
              <w:rPr>
                <w:iCs/>
              </w:rPr>
              <w:t xml:space="preserve">ost </w:t>
            </w:r>
            <w:r>
              <w:rPr>
                <w:iCs/>
              </w:rPr>
              <w:t>P</w:t>
            </w:r>
            <w:r w:rsidRPr="00CA10CB">
              <w:rPr>
                <w:iCs/>
              </w:rPr>
              <w:t>lans with no Part D.*</w:t>
            </w:r>
            <w:r w:rsidRPr="0081643F">
              <w:rPr>
                <w:iCs/>
              </w:rPr>
              <w:t xml:space="preserve"> </w:t>
            </w:r>
          </w:p>
        </w:tc>
        <w:tc>
          <w:tcPr>
            <w:tcW w:w="1350" w:type="dxa"/>
            <w:shd w:val="clear" w:color="auto" w:fill="auto"/>
          </w:tcPr>
          <w:p w14:paraId="5D7B005A" w14:textId="77777777" w:rsidR="006210F7" w:rsidRPr="00570AA9" w:rsidRDefault="006210F7" w:rsidP="007C09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2/Year</w:t>
            </w:r>
          </w:p>
          <w:p w14:paraId="5E8E95A8" w14:textId="52C97781"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Contract</w:t>
            </w:r>
          </w:p>
        </w:tc>
        <w:tc>
          <w:tcPr>
            <w:tcW w:w="1710" w:type="dxa"/>
            <w:shd w:val="clear" w:color="auto" w:fill="auto"/>
          </w:tcPr>
          <w:p w14:paraId="4109A355" w14:textId="77777777" w:rsidR="006210F7" w:rsidRPr="003B7BFA" w:rsidRDefault="006210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1/1-6/30</w:t>
            </w:r>
          </w:p>
          <w:p w14:paraId="29CBCD7F" w14:textId="77777777" w:rsidR="006210F7" w:rsidRPr="00570AA9" w:rsidRDefault="006210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7/1-12/31</w:t>
            </w:r>
          </w:p>
          <w:p w14:paraId="1F102ACB" w14:textId="15FA5E8A" w:rsidR="006210F7" w:rsidRPr="00325DDF"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800" w:type="dxa"/>
          </w:tcPr>
          <w:p w14:paraId="672EACAB" w14:textId="77777777" w:rsidR="006210F7" w:rsidRPr="00570AA9" w:rsidRDefault="006210F7" w:rsidP="007536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B7BFA">
              <w:t xml:space="preserve"> </w:t>
            </w:r>
            <w:r w:rsidRPr="00570AA9">
              <w:t>Last Monday of August and February</w:t>
            </w:r>
          </w:p>
          <w:p w14:paraId="04A30F97" w14:textId="77777777" w:rsidR="006210F7" w:rsidRPr="00570AA9" w:rsidRDefault="006210F7" w:rsidP="007536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A4682A4" w14:textId="3D833F31" w:rsidR="006210F7" w:rsidRPr="003B7BFA" w:rsidRDefault="006210F7" w:rsidP="00D614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6210F7" w:rsidRPr="00D54A55" w14:paraId="325CDEBD" w14:textId="77777777" w:rsidTr="00CB68EC">
        <w:trPr>
          <w:trHeight w:val="90"/>
        </w:trPr>
        <w:tc>
          <w:tcPr>
            <w:tcW w:w="1908" w:type="dxa"/>
          </w:tcPr>
          <w:p w14:paraId="621172DD" w14:textId="1EBACE96" w:rsidR="006210F7" w:rsidRDefault="006210F7" w:rsidP="00C365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15</w:t>
            </w:r>
            <w:r w:rsidRPr="00B9542A">
              <w:t>. Rewards and Incentives</w:t>
            </w:r>
            <w:r w:rsidR="00563930" w:rsidRPr="00B9542A">
              <w:t xml:space="preserve"> Programs</w:t>
            </w:r>
          </w:p>
        </w:tc>
        <w:tc>
          <w:tcPr>
            <w:tcW w:w="1890" w:type="dxa"/>
          </w:tcPr>
          <w:p w14:paraId="52706425" w14:textId="1EF4FD83" w:rsidR="006210F7" w:rsidRPr="0081643F" w:rsidRDefault="006210F7" w:rsidP="008213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Cs w:val="22"/>
              </w:rPr>
              <w:t>L</w:t>
            </w:r>
            <w:r w:rsidRPr="00674ABC">
              <w:rPr>
                <w:szCs w:val="22"/>
              </w:rPr>
              <w:t>ocal Coordinated Care Plans (Local CCP</w:t>
            </w:r>
            <w:r>
              <w:rPr>
                <w:szCs w:val="22"/>
              </w:rPr>
              <w:t>s</w:t>
            </w:r>
            <w:r w:rsidRPr="00674ABC">
              <w:rPr>
                <w:szCs w:val="22"/>
              </w:rPr>
              <w:t>), Medicare Savings Accounts (MSA</w:t>
            </w:r>
            <w:r>
              <w:rPr>
                <w:szCs w:val="22"/>
              </w:rPr>
              <w:t>s</w:t>
            </w:r>
            <w:r w:rsidRPr="00674ABC">
              <w:rPr>
                <w:szCs w:val="22"/>
              </w:rPr>
              <w:t xml:space="preserve">), Provider Fee-For-Service </w:t>
            </w:r>
            <w:r>
              <w:rPr>
                <w:szCs w:val="22"/>
              </w:rPr>
              <w:t>P</w:t>
            </w:r>
            <w:r w:rsidRPr="00674ABC">
              <w:rPr>
                <w:szCs w:val="22"/>
              </w:rPr>
              <w:t>lans (PFFS), and Regional Coordinated Care Plans (Regional CCP</w:t>
            </w:r>
            <w:r>
              <w:rPr>
                <w:szCs w:val="22"/>
              </w:rPr>
              <w:t>s</w:t>
            </w:r>
            <w:r w:rsidRPr="00674ABC">
              <w:rPr>
                <w:szCs w:val="22"/>
              </w:rPr>
              <w:t>)</w:t>
            </w:r>
          </w:p>
        </w:tc>
        <w:tc>
          <w:tcPr>
            <w:tcW w:w="1350" w:type="dxa"/>
            <w:shd w:val="clear" w:color="auto" w:fill="auto"/>
          </w:tcPr>
          <w:p w14:paraId="37136FDC" w14:textId="77777777" w:rsidR="006210F7" w:rsidRDefault="006210F7" w:rsidP="005C4F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1/Year</w:t>
            </w:r>
          </w:p>
          <w:p w14:paraId="7FB71D44" w14:textId="77777777" w:rsidR="006210F7" w:rsidRPr="00325DDF" w:rsidRDefault="006210F7" w:rsidP="005C4F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Contract</w:t>
            </w:r>
          </w:p>
          <w:p w14:paraId="7FD0630B" w14:textId="37AE5C30" w:rsidR="006210F7" w:rsidRPr="006579D5"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tc>
        <w:tc>
          <w:tcPr>
            <w:tcW w:w="1710" w:type="dxa"/>
            <w:shd w:val="clear" w:color="auto" w:fill="auto"/>
          </w:tcPr>
          <w:p w14:paraId="2C023B0D" w14:textId="2EEAAB72" w:rsidR="006210F7" w:rsidRPr="006579D5" w:rsidRDefault="006210F7" w:rsidP="009057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325DDF">
              <w:t>1/1-12/31</w:t>
            </w:r>
          </w:p>
        </w:tc>
        <w:tc>
          <w:tcPr>
            <w:tcW w:w="1800" w:type="dxa"/>
          </w:tcPr>
          <w:p w14:paraId="1062F723" w14:textId="77777777" w:rsidR="006210F7" w:rsidRPr="00570AA9" w:rsidRDefault="006210F7" w:rsidP="007536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Last Monday of February in following year</w:t>
            </w:r>
          </w:p>
          <w:p w14:paraId="3FAFA5FF" w14:textId="77777777" w:rsidR="006210F7" w:rsidRPr="00570AA9" w:rsidRDefault="006210F7" w:rsidP="007536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AA110C" w14:textId="6F1C0BB9" w:rsidR="006210F7" w:rsidRPr="00570AA9" w:rsidRDefault="006210F7" w:rsidP="007536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tc>
      </w:tr>
      <w:tr w:rsidR="006210F7" w:rsidRPr="003B7BFA" w14:paraId="0EBC7175" w14:textId="77777777" w:rsidTr="00CB68EC">
        <w:trPr>
          <w:trHeight w:val="90"/>
        </w:trPr>
        <w:tc>
          <w:tcPr>
            <w:tcW w:w="1908" w:type="dxa"/>
          </w:tcPr>
          <w:p w14:paraId="781B15D6" w14:textId="22AED218" w:rsidR="006210F7" w:rsidRPr="006579D5" w:rsidRDefault="006210F7" w:rsidP="001C0B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16.</w:t>
            </w:r>
            <w:r w:rsidRPr="000602B2">
              <w:t xml:space="preserve"> </w:t>
            </w:r>
            <w:r w:rsidRPr="00B9542A">
              <w:t>Mid-Year Network Changes</w:t>
            </w:r>
          </w:p>
        </w:tc>
        <w:tc>
          <w:tcPr>
            <w:tcW w:w="1890" w:type="dxa"/>
          </w:tcPr>
          <w:p w14:paraId="4221A9CE" w14:textId="1C8F5A8C" w:rsidR="006210F7" w:rsidRDefault="006210F7" w:rsidP="00B52E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t xml:space="preserve">Regional CCP, Local </w:t>
            </w:r>
            <w:r w:rsidRPr="00325DDF">
              <w:t>CCP</w:t>
            </w:r>
            <w:r>
              <w:t xml:space="preserve">, </w:t>
            </w:r>
            <w:r w:rsidRPr="00B9542A">
              <w:t xml:space="preserve">RFB </w:t>
            </w:r>
            <w:r w:rsidR="00961320">
              <w:t>Local CCP, PFFS, MSA, 1876 Cost</w:t>
            </w:r>
          </w:p>
        </w:tc>
        <w:tc>
          <w:tcPr>
            <w:tcW w:w="1350" w:type="dxa"/>
            <w:shd w:val="clear" w:color="auto" w:fill="auto"/>
          </w:tcPr>
          <w:p w14:paraId="7F5FB333" w14:textId="77777777" w:rsidR="006210F7" w:rsidRDefault="006210F7" w:rsidP="005C4F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25DDF">
              <w:t>1/Year</w:t>
            </w:r>
          </w:p>
          <w:p w14:paraId="156AA8CF" w14:textId="77777777" w:rsidR="006210F7" w:rsidRPr="00325DDF" w:rsidRDefault="006210F7" w:rsidP="005C4F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Contract</w:t>
            </w:r>
          </w:p>
          <w:p w14:paraId="207C0F71" w14:textId="77777777" w:rsidR="006210F7" w:rsidRPr="00CA10CB" w:rsidRDefault="006210F7" w:rsidP="007C09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tc>
        <w:tc>
          <w:tcPr>
            <w:tcW w:w="1710" w:type="dxa"/>
            <w:shd w:val="clear" w:color="auto" w:fill="auto"/>
          </w:tcPr>
          <w:p w14:paraId="52692017" w14:textId="62294FF6" w:rsidR="006210F7" w:rsidRPr="00CA10CB" w:rsidRDefault="006210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325DDF">
              <w:t>1/1-12/31</w:t>
            </w:r>
          </w:p>
        </w:tc>
        <w:tc>
          <w:tcPr>
            <w:tcW w:w="1800" w:type="dxa"/>
          </w:tcPr>
          <w:p w14:paraId="61E1EFF9" w14:textId="60BEB72B" w:rsidR="006210F7" w:rsidRPr="00570AA9" w:rsidRDefault="006210F7" w:rsidP="007536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Last Monday of February in following year</w:t>
            </w:r>
          </w:p>
          <w:p w14:paraId="33C013C7" w14:textId="77777777" w:rsidR="006210F7" w:rsidRPr="00570AA9" w:rsidRDefault="006210F7" w:rsidP="007536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600FB7B" w14:textId="1BB95BEB" w:rsidR="006210F7" w:rsidRPr="003B7BFA" w:rsidRDefault="006210F7" w:rsidP="007536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6210F7" w:rsidRPr="003B7BFA" w14:paraId="59C6E1B0" w14:textId="77777777" w:rsidTr="00CB68EC">
        <w:trPr>
          <w:trHeight w:val="90"/>
        </w:trPr>
        <w:tc>
          <w:tcPr>
            <w:tcW w:w="1908" w:type="dxa"/>
          </w:tcPr>
          <w:p w14:paraId="1F9FE9F9" w14:textId="6117BFD3" w:rsidR="006210F7" w:rsidRPr="000602B2" w:rsidRDefault="006C23C7" w:rsidP="001C0B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542A">
              <w:t>17. Payments to Providers</w:t>
            </w:r>
          </w:p>
        </w:tc>
        <w:tc>
          <w:tcPr>
            <w:tcW w:w="1890" w:type="dxa"/>
          </w:tcPr>
          <w:p w14:paraId="390EA769" w14:textId="43A4ADB4" w:rsidR="006C23C7" w:rsidRPr="00570AA9" w:rsidRDefault="006C23C7" w:rsidP="006C23C7">
            <w:pPr>
              <w:autoSpaceDE w:val="0"/>
              <w:autoSpaceDN w:val="0"/>
              <w:rPr>
                <w:rFonts w:eastAsia="Calibri"/>
              </w:rPr>
            </w:pPr>
            <w:r w:rsidRPr="00570AA9">
              <w:t>Local CCP</w:t>
            </w:r>
          </w:p>
          <w:p w14:paraId="023935AC" w14:textId="4E37898C" w:rsidR="006C23C7" w:rsidRPr="00570AA9" w:rsidRDefault="006C23C7" w:rsidP="006C23C7">
            <w:pPr>
              <w:autoSpaceDE w:val="0"/>
              <w:autoSpaceDN w:val="0"/>
            </w:pPr>
            <w:r w:rsidRPr="00570AA9">
              <w:t>Regional CCP</w:t>
            </w:r>
          </w:p>
          <w:p w14:paraId="67CCC8BF" w14:textId="1438483A" w:rsidR="006C23C7" w:rsidRPr="00570AA9" w:rsidRDefault="006C23C7" w:rsidP="006C23C7">
            <w:pPr>
              <w:autoSpaceDE w:val="0"/>
              <w:autoSpaceDN w:val="0"/>
            </w:pPr>
            <w:r w:rsidRPr="00570AA9">
              <w:t>RFB Local CCP</w:t>
            </w:r>
          </w:p>
          <w:p w14:paraId="363E293F" w14:textId="394B2E34" w:rsidR="006C23C7" w:rsidRPr="00570AA9" w:rsidRDefault="006C23C7" w:rsidP="006C23C7">
            <w:pPr>
              <w:autoSpaceDE w:val="0"/>
              <w:autoSpaceDN w:val="0"/>
            </w:pPr>
            <w:r w:rsidRPr="00570AA9">
              <w:t>PFFS</w:t>
            </w:r>
          </w:p>
          <w:p w14:paraId="04C6D3EA" w14:textId="307A75FE" w:rsidR="00F137D1" w:rsidRPr="00570AA9" w:rsidRDefault="00F137D1" w:rsidP="006C23C7">
            <w:pPr>
              <w:autoSpaceDE w:val="0"/>
              <w:autoSpaceDN w:val="0"/>
            </w:pPr>
            <w:r w:rsidRPr="00570AA9">
              <w:t>MMP</w:t>
            </w:r>
            <w:r w:rsidR="0088238C" w:rsidRPr="00570AA9">
              <w:t>**</w:t>
            </w:r>
          </w:p>
          <w:p w14:paraId="54DFBA2A" w14:textId="32691A32" w:rsidR="006210F7" w:rsidRPr="00F137D1" w:rsidRDefault="006210F7" w:rsidP="00167E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tc>
        <w:tc>
          <w:tcPr>
            <w:tcW w:w="1350" w:type="dxa"/>
            <w:shd w:val="clear" w:color="auto" w:fill="auto"/>
          </w:tcPr>
          <w:p w14:paraId="297DB3DD" w14:textId="77777777" w:rsidR="006C23C7" w:rsidRPr="00570AA9" w:rsidRDefault="006C23C7" w:rsidP="006C23C7">
            <w:pPr>
              <w:autoSpaceDE w:val="0"/>
              <w:autoSpaceDN w:val="0"/>
              <w:rPr>
                <w:rFonts w:eastAsia="Calibri"/>
              </w:rPr>
            </w:pPr>
            <w:r w:rsidRPr="00570AA9">
              <w:t>1/Year</w:t>
            </w:r>
          </w:p>
          <w:p w14:paraId="25F5CCC1" w14:textId="5669F7C8" w:rsidR="006210F7" w:rsidRPr="00F137D1" w:rsidRDefault="006C23C7" w:rsidP="006C23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Contract</w:t>
            </w:r>
          </w:p>
        </w:tc>
        <w:tc>
          <w:tcPr>
            <w:tcW w:w="1710" w:type="dxa"/>
            <w:shd w:val="clear" w:color="auto" w:fill="auto"/>
          </w:tcPr>
          <w:p w14:paraId="61BCC661" w14:textId="202D4AD2" w:rsidR="006210F7" w:rsidRPr="00AE7273" w:rsidRDefault="006C23C7" w:rsidP="00DD3E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rPr>
                <w:rFonts w:eastAsia="Calibri"/>
              </w:rPr>
              <w:t>1/</w:t>
            </w:r>
            <w:r w:rsidR="00DD3EF6" w:rsidRPr="00570AA9">
              <w:rPr>
                <w:rFonts w:eastAsia="Calibri"/>
              </w:rPr>
              <w:t>1-12/31</w:t>
            </w:r>
          </w:p>
        </w:tc>
        <w:tc>
          <w:tcPr>
            <w:tcW w:w="1800" w:type="dxa"/>
          </w:tcPr>
          <w:p w14:paraId="74873F5C" w14:textId="77777777" w:rsidR="006C23C7" w:rsidRPr="00570AA9" w:rsidRDefault="006C23C7" w:rsidP="006C23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0AA9">
              <w:t>Last Monday of February in following year</w:t>
            </w:r>
          </w:p>
          <w:p w14:paraId="0396A0B7" w14:textId="77777777" w:rsidR="006C23C7" w:rsidRPr="00570AA9" w:rsidRDefault="006C23C7" w:rsidP="006C23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134EE8" w14:textId="31080DC7" w:rsidR="006210F7" w:rsidRPr="00570AA9" w:rsidRDefault="006210F7" w:rsidP="006C23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bl>
    <w:p w14:paraId="04DDB733" w14:textId="6A743B4D" w:rsidR="00275FE4" w:rsidRDefault="00BF5CF8" w:rsidP="009057FC">
      <w:pPr>
        <w:rPr>
          <w:iCs/>
        </w:rPr>
      </w:pPr>
      <w:r w:rsidRPr="009230F6">
        <w:t>*</w:t>
      </w:r>
      <w:r w:rsidR="0045737D" w:rsidRPr="00D955AB">
        <w:rPr>
          <w:iCs/>
        </w:rPr>
        <w:t>MA-PDs and PDPs report under Part D.  MSA excluded</w:t>
      </w:r>
      <w:r w:rsidR="005C4F7E" w:rsidRPr="00D955AB">
        <w:rPr>
          <w:iCs/>
        </w:rPr>
        <w:t>.</w:t>
      </w:r>
      <w:r w:rsidR="005C4F7E" w:rsidRPr="009230F6">
        <w:rPr>
          <w:iCs/>
        </w:rPr>
        <w:t xml:space="preserve">  </w:t>
      </w:r>
    </w:p>
    <w:p w14:paraId="0A2E7CEE" w14:textId="3F9E0DA4" w:rsidR="0088238C" w:rsidRPr="0088238C" w:rsidRDefault="0088238C" w:rsidP="00570AA9">
      <w:pPr>
        <w:rPr>
          <w:u w:val="single"/>
        </w:rPr>
      </w:pPr>
      <w:r w:rsidRPr="0088238C">
        <w:rPr>
          <w:iCs/>
        </w:rPr>
        <w:t>**</w:t>
      </w:r>
      <w:r w:rsidRPr="0088238C">
        <w:rPr>
          <w:u w:val="single"/>
        </w:rPr>
        <w:t> MMPs should report for all APMs, not just Medicare MMPs.</w:t>
      </w:r>
    </w:p>
    <w:p w14:paraId="06CF876A" w14:textId="3AE225E5" w:rsidR="009057FC" w:rsidRPr="00D955AB" w:rsidRDefault="009057FC" w:rsidP="009057FC">
      <w:r w:rsidRPr="009230F6">
        <w:br w:type="page"/>
      </w:r>
    </w:p>
    <w:p w14:paraId="628AA75A" w14:textId="7427940B" w:rsidR="006F133C" w:rsidRPr="00C36585" w:rsidRDefault="00AA4C79" w:rsidP="00C36585">
      <w:pPr>
        <w:pStyle w:val="Heading2"/>
        <w:ind w:right="0"/>
        <w:rPr>
          <w:b w:val="0"/>
          <w:caps/>
        </w:rPr>
      </w:pPr>
      <w:bookmarkStart w:id="20" w:name="_Toc475956097"/>
      <w:r w:rsidRPr="00C36585">
        <w:rPr>
          <w:rFonts w:ascii="Times New Roman" w:hAnsi="Times New Roman"/>
          <w:caps/>
          <w:smallCaps w:val="0"/>
        </w:rPr>
        <w:lastRenderedPageBreak/>
        <w:t>Reporting Section</w:t>
      </w:r>
      <w:r w:rsidR="006F133C" w:rsidRPr="00C36585">
        <w:rPr>
          <w:rFonts w:ascii="Times New Roman" w:hAnsi="Times New Roman"/>
          <w:caps/>
          <w:smallCaps w:val="0"/>
        </w:rPr>
        <w:t>s</w:t>
      </w:r>
      <w:bookmarkEnd w:id="20"/>
    </w:p>
    <w:p w14:paraId="32EC2771" w14:textId="0813F129" w:rsidR="00F214C8" w:rsidRPr="00570AA9" w:rsidRDefault="00F214C8" w:rsidP="00C36585">
      <w:pPr>
        <w:pStyle w:val="Heading3"/>
        <w:rPr>
          <w:rFonts w:ascii="Times New Roman" w:hAnsi="Times New Roman"/>
          <w:b w:val="0"/>
          <w:caps/>
        </w:rPr>
      </w:pPr>
      <w:bookmarkStart w:id="21" w:name="_Toc373236792"/>
      <w:bookmarkStart w:id="22" w:name="_Toc436825811"/>
      <w:bookmarkStart w:id="23" w:name="_Toc475956098"/>
      <w:r w:rsidRPr="00C36585">
        <w:rPr>
          <w:rFonts w:ascii="Times New Roman" w:hAnsi="Times New Roman" w:cs="Times New Roman"/>
          <w:caps/>
          <w:sz w:val="24"/>
        </w:rPr>
        <w:t xml:space="preserve">1. </w:t>
      </w:r>
      <w:r w:rsidR="00457118" w:rsidRPr="00570AA9">
        <w:rPr>
          <w:rFonts w:ascii="Times New Roman" w:hAnsi="Times New Roman" w:cs="Times New Roman"/>
          <w:b w:val="0"/>
          <w:caps/>
          <w:sz w:val="24"/>
        </w:rPr>
        <w:t>benefit utilization</w:t>
      </w:r>
      <w:r w:rsidR="00BA756A">
        <w:rPr>
          <w:rFonts w:ascii="Times New Roman" w:hAnsi="Times New Roman" w:cs="Times New Roman"/>
          <w:b w:val="0"/>
          <w:caps/>
          <w:sz w:val="24"/>
        </w:rPr>
        <w:t xml:space="preserve"> </w:t>
      </w:r>
      <w:bookmarkEnd w:id="21"/>
      <w:r w:rsidR="00E14143" w:rsidRPr="00570AA9">
        <w:rPr>
          <w:rFonts w:ascii="Times New Roman" w:hAnsi="Times New Roman" w:cs="Times New Roman"/>
          <w:b w:val="0"/>
          <w:caps/>
          <w:sz w:val="24"/>
        </w:rPr>
        <w:t>(suspended)</w:t>
      </w:r>
      <w:bookmarkEnd w:id="22"/>
      <w:bookmarkEnd w:id="23"/>
    </w:p>
    <w:p w14:paraId="4B34628A" w14:textId="295A4853" w:rsidR="001E2A7F" w:rsidRPr="00C36585" w:rsidRDefault="00F214C8" w:rsidP="00C36585">
      <w:pPr>
        <w:pStyle w:val="Heading3"/>
        <w:rPr>
          <w:rFonts w:ascii="Times New Roman" w:hAnsi="Times New Roman"/>
          <w:caps/>
        </w:rPr>
      </w:pPr>
      <w:bookmarkStart w:id="24" w:name="_Toc373236793"/>
      <w:bookmarkStart w:id="25" w:name="_Toc436825812"/>
      <w:bookmarkStart w:id="26" w:name="_Toc475956099"/>
      <w:r w:rsidRPr="00C36585">
        <w:rPr>
          <w:rFonts w:ascii="Times New Roman" w:hAnsi="Times New Roman" w:cs="Times New Roman"/>
          <w:caps/>
          <w:sz w:val="24"/>
        </w:rPr>
        <w:t>2</w:t>
      </w:r>
      <w:r w:rsidR="0009040A" w:rsidRPr="00C36585">
        <w:rPr>
          <w:rFonts w:ascii="Times New Roman" w:hAnsi="Times New Roman" w:cs="Times New Roman"/>
          <w:caps/>
          <w:sz w:val="24"/>
        </w:rPr>
        <w:t xml:space="preserve">. </w:t>
      </w:r>
      <w:r w:rsidR="00457118" w:rsidRPr="00570AA9">
        <w:rPr>
          <w:rFonts w:ascii="Times New Roman" w:hAnsi="Times New Roman" w:cs="Times New Roman"/>
          <w:b w:val="0"/>
          <w:caps/>
          <w:sz w:val="24"/>
        </w:rPr>
        <w:t>procedure frequency</w:t>
      </w:r>
      <w:r w:rsidR="005E09BD" w:rsidRPr="00570AA9">
        <w:rPr>
          <w:rFonts w:ascii="Times New Roman" w:hAnsi="Times New Roman" w:cs="Times New Roman"/>
          <w:b w:val="0"/>
          <w:caps/>
          <w:sz w:val="24"/>
        </w:rPr>
        <w:t xml:space="preserve"> (</w:t>
      </w:r>
      <w:r w:rsidR="00E14143" w:rsidRPr="00570AA9">
        <w:rPr>
          <w:rFonts w:ascii="Times New Roman" w:hAnsi="Times New Roman" w:cs="Times New Roman"/>
          <w:b w:val="0"/>
          <w:caps/>
          <w:sz w:val="24"/>
        </w:rPr>
        <w:t>suspended</w:t>
      </w:r>
      <w:r w:rsidR="0078797A" w:rsidRPr="00570AA9">
        <w:rPr>
          <w:rFonts w:ascii="Times New Roman" w:hAnsi="Times New Roman" w:cs="Times New Roman"/>
          <w:b w:val="0"/>
          <w:caps/>
          <w:sz w:val="24"/>
        </w:rPr>
        <w:t>)</w:t>
      </w:r>
      <w:bookmarkEnd w:id="24"/>
      <w:bookmarkEnd w:id="25"/>
      <w:bookmarkEnd w:id="26"/>
    </w:p>
    <w:p w14:paraId="4591EE64" w14:textId="067D97D7" w:rsidR="001E2A7F" w:rsidRPr="00570AA9" w:rsidRDefault="00F214C8" w:rsidP="00C36585">
      <w:pPr>
        <w:pStyle w:val="Heading3"/>
        <w:rPr>
          <w:rFonts w:ascii="Times New Roman" w:hAnsi="Times New Roman"/>
          <w:b w:val="0"/>
          <w:caps/>
        </w:rPr>
      </w:pPr>
      <w:bookmarkStart w:id="27" w:name="_Toc373236794"/>
      <w:bookmarkStart w:id="28" w:name="_Toc436825813"/>
      <w:bookmarkStart w:id="29" w:name="_Toc475956100"/>
      <w:r w:rsidRPr="00C36585">
        <w:rPr>
          <w:rFonts w:ascii="Times New Roman" w:hAnsi="Times New Roman" w:cs="Times New Roman"/>
          <w:caps/>
          <w:sz w:val="24"/>
        </w:rPr>
        <w:t xml:space="preserve">3. </w:t>
      </w:r>
      <w:r w:rsidR="00457118" w:rsidRPr="00570AA9">
        <w:rPr>
          <w:rFonts w:ascii="Times New Roman" w:hAnsi="Times New Roman" w:cs="Times New Roman"/>
          <w:b w:val="0"/>
          <w:caps/>
          <w:sz w:val="24"/>
        </w:rPr>
        <w:t>serious reportable adverse events</w:t>
      </w:r>
      <w:r w:rsidRPr="00570AA9">
        <w:rPr>
          <w:rFonts w:ascii="Times New Roman" w:hAnsi="Times New Roman" w:cs="Times New Roman"/>
          <w:b w:val="0"/>
          <w:caps/>
          <w:sz w:val="24"/>
        </w:rPr>
        <w:t xml:space="preserve"> </w:t>
      </w:r>
      <w:r w:rsidR="001E2A7F" w:rsidRPr="00570AA9">
        <w:rPr>
          <w:rFonts w:ascii="Times New Roman" w:hAnsi="Times New Roman" w:cs="Times New Roman"/>
          <w:b w:val="0"/>
          <w:caps/>
          <w:sz w:val="24"/>
        </w:rPr>
        <w:t>(</w:t>
      </w:r>
      <w:r w:rsidR="00E14143" w:rsidRPr="00570AA9">
        <w:rPr>
          <w:rFonts w:ascii="Times New Roman" w:hAnsi="Times New Roman" w:cs="Times New Roman"/>
          <w:b w:val="0"/>
          <w:caps/>
          <w:sz w:val="24"/>
        </w:rPr>
        <w:t>suspended</w:t>
      </w:r>
      <w:r w:rsidRPr="00570AA9">
        <w:rPr>
          <w:rFonts w:ascii="Times New Roman" w:hAnsi="Times New Roman" w:cs="Times New Roman"/>
          <w:b w:val="0"/>
          <w:caps/>
          <w:sz w:val="24"/>
        </w:rPr>
        <w:t>)</w:t>
      </w:r>
      <w:bookmarkEnd w:id="27"/>
      <w:bookmarkEnd w:id="28"/>
      <w:bookmarkEnd w:id="29"/>
      <w:r w:rsidR="001E2A7F" w:rsidRPr="00570AA9">
        <w:rPr>
          <w:rFonts w:ascii="Times New Roman" w:hAnsi="Times New Roman" w:cs="Times New Roman"/>
          <w:b w:val="0"/>
          <w:caps/>
          <w:sz w:val="24"/>
        </w:rPr>
        <w:t xml:space="preserve"> </w:t>
      </w:r>
    </w:p>
    <w:p w14:paraId="024F758B" w14:textId="77777777" w:rsidR="001E2A7F" w:rsidRPr="00C36585" w:rsidRDefault="00251744" w:rsidP="00C36585">
      <w:pPr>
        <w:pStyle w:val="Heading3"/>
        <w:rPr>
          <w:rFonts w:ascii="Times New Roman" w:hAnsi="Times New Roman"/>
          <w:caps/>
        </w:rPr>
      </w:pPr>
      <w:bookmarkStart w:id="30" w:name="_Toc436825814"/>
      <w:bookmarkStart w:id="31" w:name="_Toc475956101"/>
      <w:r w:rsidRPr="00C36585">
        <w:rPr>
          <w:rFonts w:ascii="Times New Roman" w:hAnsi="Times New Roman" w:cs="Times New Roman"/>
          <w:caps/>
          <w:sz w:val="24"/>
        </w:rPr>
        <w:t>4</w:t>
      </w:r>
      <w:r w:rsidR="00457118" w:rsidRPr="00C36585">
        <w:rPr>
          <w:rFonts w:ascii="Times New Roman" w:hAnsi="Times New Roman" w:cs="Times New Roman"/>
          <w:caps/>
          <w:sz w:val="24"/>
        </w:rPr>
        <w:t xml:space="preserve">. </w:t>
      </w:r>
      <w:r w:rsidR="00457118" w:rsidRPr="00570AA9">
        <w:rPr>
          <w:rFonts w:ascii="Times New Roman" w:hAnsi="Times New Roman" w:cs="Times New Roman"/>
          <w:b w:val="0"/>
          <w:caps/>
          <w:sz w:val="24"/>
        </w:rPr>
        <w:t>provider network adequacy</w:t>
      </w:r>
      <w:r w:rsidR="00BF5CF8" w:rsidRPr="00570AA9">
        <w:rPr>
          <w:rFonts w:ascii="Times New Roman" w:hAnsi="Times New Roman" w:cs="Times New Roman"/>
          <w:b w:val="0"/>
          <w:caps/>
          <w:sz w:val="24"/>
        </w:rPr>
        <w:t xml:space="preserve"> (</w:t>
      </w:r>
      <w:r w:rsidR="00E14143" w:rsidRPr="00570AA9">
        <w:rPr>
          <w:rFonts w:ascii="Times New Roman" w:hAnsi="Times New Roman" w:cs="Times New Roman"/>
          <w:b w:val="0"/>
          <w:caps/>
          <w:sz w:val="24"/>
        </w:rPr>
        <w:t>suspended</w:t>
      </w:r>
      <w:r w:rsidRPr="00570AA9">
        <w:rPr>
          <w:rFonts w:ascii="Times New Roman" w:hAnsi="Times New Roman" w:cs="Times New Roman"/>
          <w:b w:val="0"/>
          <w:caps/>
          <w:sz w:val="24"/>
        </w:rPr>
        <w:t>)</w:t>
      </w:r>
      <w:bookmarkStart w:id="32" w:name="_Toc373236800"/>
      <w:bookmarkEnd w:id="30"/>
      <w:bookmarkEnd w:id="31"/>
    </w:p>
    <w:p w14:paraId="321A6D91" w14:textId="77777777" w:rsidR="00176B0E" w:rsidRDefault="00176B0E" w:rsidP="00C36585">
      <w:pPr>
        <w:pStyle w:val="Heading3"/>
        <w:rPr>
          <w:rFonts w:ascii="Times New Roman" w:hAnsi="Times New Roman" w:cs="Times New Roman"/>
          <w:caps/>
          <w:sz w:val="24"/>
        </w:rPr>
      </w:pPr>
      <w:bookmarkStart w:id="33" w:name="_Toc436825815"/>
      <w:bookmarkStart w:id="34" w:name="_Toc475956102"/>
      <w:r w:rsidRPr="00C36585">
        <w:rPr>
          <w:rFonts w:ascii="Times New Roman" w:hAnsi="Times New Roman" w:cs="Times New Roman"/>
          <w:caps/>
          <w:sz w:val="24"/>
        </w:rPr>
        <w:t>5.</w:t>
      </w:r>
      <w:r w:rsidRPr="00857AB5">
        <w:rPr>
          <w:rFonts w:ascii="Times New Roman" w:hAnsi="Times New Roman" w:cs="Times New Roman"/>
          <w:caps/>
          <w:sz w:val="24"/>
        </w:rPr>
        <w:t xml:space="preserve"> </w:t>
      </w:r>
      <w:r w:rsidR="0009040A" w:rsidRPr="00857AB5">
        <w:rPr>
          <w:rFonts w:ascii="Times New Roman" w:hAnsi="Times New Roman" w:cs="Times New Roman"/>
          <w:caps/>
          <w:sz w:val="24"/>
        </w:rPr>
        <w:t>grievances</w:t>
      </w:r>
      <w:bookmarkEnd w:id="33"/>
      <w:bookmarkEnd w:id="34"/>
    </w:p>
    <w:p w14:paraId="40B7F0AB" w14:textId="77777777" w:rsidR="00EB2D7D" w:rsidRPr="00EB2D7D" w:rsidRDefault="00EB2D7D" w:rsidP="00EB2D7D"/>
    <w:tbl>
      <w:tblPr>
        <w:tblW w:w="8865" w:type="dxa"/>
        <w:tblCellMar>
          <w:left w:w="0" w:type="dxa"/>
          <w:right w:w="0" w:type="dxa"/>
        </w:tblCellMar>
        <w:tblLook w:val="04A0" w:firstRow="1" w:lastRow="0" w:firstColumn="1" w:lastColumn="0" w:noHBand="0" w:noVBand="1"/>
      </w:tblPr>
      <w:tblGrid>
        <w:gridCol w:w="1883"/>
        <w:gridCol w:w="2493"/>
        <w:gridCol w:w="1079"/>
        <w:gridCol w:w="1176"/>
        <w:gridCol w:w="2234"/>
      </w:tblGrid>
      <w:tr w:rsidR="00176B0E" w:rsidRPr="00E70D4D" w14:paraId="12DE1364" w14:textId="77777777" w:rsidTr="00A451BC">
        <w:tc>
          <w:tcPr>
            <w:tcW w:w="19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AEA2E57" w14:textId="790747D5" w:rsidR="00176B0E" w:rsidRPr="00E70D4D" w:rsidRDefault="00E64F49" w:rsidP="003B3C96">
            <w:pPr>
              <w:autoSpaceDE w:val="0"/>
              <w:autoSpaceDN w:val="0"/>
              <w:jc w:val="center"/>
              <w:rPr>
                <w:rFonts w:eastAsia="Calibri"/>
                <w:b/>
                <w:bCs/>
              </w:rPr>
            </w:pPr>
            <w:r>
              <w:rPr>
                <w:b/>
                <w:bCs/>
              </w:rPr>
              <w:t>Reporting S</w:t>
            </w:r>
            <w:r w:rsidR="00176B0E" w:rsidRPr="00E70D4D">
              <w:rPr>
                <w:b/>
                <w:bCs/>
              </w:rPr>
              <w:t>ection</w:t>
            </w:r>
          </w:p>
        </w:tc>
        <w:tc>
          <w:tcPr>
            <w:tcW w:w="251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5009134" w14:textId="77777777" w:rsidR="00176B0E" w:rsidRPr="00E70D4D" w:rsidRDefault="00176B0E" w:rsidP="003B3C96">
            <w:pPr>
              <w:autoSpaceDE w:val="0"/>
              <w:autoSpaceDN w:val="0"/>
              <w:jc w:val="center"/>
              <w:rPr>
                <w:rFonts w:eastAsia="Calibri"/>
                <w:b/>
                <w:bCs/>
              </w:rPr>
            </w:pPr>
            <w:r w:rsidRPr="00E70D4D">
              <w:rPr>
                <w:b/>
                <w:bCs/>
              </w:rPr>
              <w:t>Organization Types Required to Report</w:t>
            </w: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1CF4A50" w14:textId="77777777" w:rsidR="00176B0E" w:rsidRPr="00E70D4D" w:rsidRDefault="00176B0E" w:rsidP="003B3C96">
            <w:pPr>
              <w:autoSpaceDE w:val="0"/>
              <w:autoSpaceDN w:val="0"/>
              <w:jc w:val="center"/>
              <w:rPr>
                <w:rFonts w:eastAsia="Calibri"/>
                <w:b/>
                <w:bCs/>
              </w:rPr>
            </w:pPr>
            <w:r w:rsidRPr="00E70D4D">
              <w:rPr>
                <w:b/>
                <w:bCs/>
              </w:rPr>
              <w:t>Report Freq./</w:t>
            </w:r>
          </w:p>
          <w:p w14:paraId="4862B169" w14:textId="77777777" w:rsidR="00176B0E" w:rsidRPr="00E70D4D" w:rsidRDefault="00176B0E" w:rsidP="003B3C96">
            <w:pPr>
              <w:autoSpaceDE w:val="0"/>
              <w:autoSpaceDN w:val="0"/>
              <w:jc w:val="center"/>
              <w:rPr>
                <w:rFonts w:eastAsia="Calibri"/>
                <w:b/>
                <w:bCs/>
              </w:rPr>
            </w:pPr>
            <w:r w:rsidRPr="00E70D4D">
              <w:rPr>
                <w:b/>
                <w:bCs/>
              </w:rPr>
              <w:t>Level</w:t>
            </w:r>
          </w:p>
        </w:tc>
        <w:tc>
          <w:tcPr>
            <w:tcW w:w="109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D3CD487" w14:textId="77777777" w:rsidR="00176B0E" w:rsidRPr="00E70D4D" w:rsidRDefault="00176B0E" w:rsidP="003B3C96">
            <w:pPr>
              <w:autoSpaceDE w:val="0"/>
              <w:autoSpaceDN w:val="0"/>
              <w:jc w:val="center"/>
              <w:rPr>
                <w:rFonts w:eastAsia="Calibri"/>
                <w:b/>
                <w:bCs/>
              </w:rPr>
            </w:pPr>
            <w:r w:rsidRPr="00E70D4D">
              <w:rPr>
                <w:b/>
                <w:bCs/>
              </w:rPr>
              <w:t>Report</w:t>
            </w:r>
          </w:p>
          <w:p w14:paraId="71B1E82D" w14:textId="77777777" w:rsidR="00176B0E" w:rsidRPr="00E70D4D" w:rsidRDefault="00176B0E" w:rsidP="003B3C96">
            <w:pPr>
              <w:autoSpaceDE w:val="0"/>
              <w:autoSpaceDN w:val="0"/>
              <w:jc w:val="center"/>
              <w:rPr>
                <w:rFonts w:eastAsia="Calibri"/>
                <w:b/>
                <w:bCs/>
              </w:rPr>
            </w:pPr>
            <w:r w:rsidRPr="00E70D4D">
              <w:rPr>
                <w:b/>
                <w:bCs/>
              </w:rPr>
              <w:t>Period (s)</w:t>
            </w:r>
          </w:p>
        </w:tc>
        <w:tc>
          <w:tcPr>
            <w:tcW w:w="22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124FBD6" w14:textId="77777777" w:rsidR="00176B0E" w:rsidRPr="00E70D4D" w:rsidRDefault="00176B0E" w:rsidP="003B3C96">
            <w:pPr>
              <w:autoSpaceDE w:val="0"/>
              <w:autoSpaceDN w:val="0"/>
              <w:jc w:val="center"/>
              <w:rPr>
                <w:rFonts w:eastAsia="Calibri"/>
                <w:b/>
                <w:bCs/>
              </w:rPr>
            </w:pPr>
            <w:r w:rsidRPr="00E70D4D">
              <w:rPr>
                <w:b/>
                <w:bCs/>
              </w:rPr>
              <w:t>Data Due date (s)</w:t>
            </w:r>
          </w:p>
        </w:tc>
      </w:tr>
      <w:tr w:rsidR="00176B0E" w:rsidRPr="00E70D4D" w14:paraId="645EE3D0" w14:textId="77777777" w:rsidTr="00EB3EA4">
        <w:tc>
          <w:tcPr>
            <w:tcW w:w="1903" w:type="dxa"/>
            <w:tcBorders>
              <w:top w:val="nil"/>
              <w:left w:val="single" w:sz="8" w:space="0" w:color="auto"/>
              <w:bottom w:val="nil"/>
              <w:right w:val="single" w:sz="8" w:space="0" w:color="auto"/>
            </w:tcBorders>
            <w:tcMar>
              <w:top w:w="0" w:type="dxa"/>
              <w:left w:w="108" w:type="dxa"/>
              <w:bottom w:w="0" w:type="dxa"/>
              <w:right w:w="108" w:type="dxa"/>
            </w:tcMar>
            <w:hideMark/>
          </w:tcPr>
          <w:p w14:paraId="6C9AA437" w14:textId="77777777" w:rsidR="00176B0E" w:rsidRPr="00E70D4D" w:rsidRDefault="00176B0E" w:rsidP="003B3C96">
            <w:pPr>
              <w:autoSpaceDE w:val="0"/>
              <w:autoSpaceDN w:val="0"/>
              <w:rPr>
                <w:rFonts w:eastAsia="Calibri"/>
              </w:rPr>
            </w:pPr>
            <w:r w:rsidRPr="00E70D4D">
              <w:t>5. Grievances</w:t>
            </w:r>
          </w:p>
        </w:tc>
        <w:tc>
          <w:tcPr>
            <w:tcW w:w="2515" w:type="dxa"/>
            <w:tcBorders>
              <w:top w:val="nil"/>
              <w:left w:val="nil"/>
              <w:bottom w:val="nil"/>
              <w:right w:val="single" w:sz="8" w:space="0" w:color="auto"/>
            </w:tcBorders>
            <w:tcMar>
              <w:top w:w="0" w:type="dxa"/>
              <w:left w:w="108" w:type="dxa"/>
              <w:bottom w:w="0" w:type="dxa"/>
              <w:right w:w="108" w:type="dxa"/>
            </w:tcMar>
          </w:tcPr>
          <w:p w14:paraId="039AB75D" w14:textId="77777777" w:rsidR="00176B0E" w:rsidRPr="00E70D4D" w:rsidRDefault="00176B0E" w:rsidP="003B3C96">
            <w:pPr>
              <w:autoSpaceDE w:val="0"/>
              <w:autoSpaceDN w:val="0"/>
              <w:rPr>
                <w:rFonts w:eastAsia="Calibri"/>
              </w:rPr>
            </w:pPr>
            <w:r w:rsidRPr="00E70D4D">
              <w:t>01 – Local CCP</w:t>
            </w:r>
          </w:p>
          <w:p w14:paraId="6179151E" w14:textId="77777777" w:rsidR="00176B0E" w:rsidRPr="00E70D4D" w:rsidRDefault="00176B0E" w:rsidP="003B3C96">
            <w:pPr>
              <w:autoSpaceDE w:val="0"/>
              <w:autoSpaceDN w:val="0"/>
            </w:pPr>
            <w:r w:rsidRPr="00E70D4D">
              <w:t xml:space="preserve">02 </w:t>
            </w:r>
            <w:r w:rsidR="00B9139A" w:rsidRPr="00B9139A">
              <w:t>–</w:t>
            </w:r>
            <w:r w:rsidRPr="00E70D4D">
              <w:t xml:space="preserve"> MSA</w:t>
            </w:r>
          </w:p>
          <w:p w14:paraId="7D2C11C9" w14:textId="199EBAF9" w:rsidR="00176B0E" w:rsidRPr="00E70D4D" w:rsidRDefault="00176B0E" w:rsidP="003B3C96">
            <w:pPr>
              <w:autoSpaceDE w:val="0"/>
              <w:autoSpaceDN w:val="0"/>
            </w:pPr>
            <w:r w:rsidRPr="00E70D4D">
              <w:t xml:space="preserve">03 – </w:t>
            </w:r>
            <w:r w:rsidR="00862867">
              <w:t>Religious Fraternal Benefit(</w:t>
            </w:r>
            <w:r w:rsidRPr="00E70D4D">
              <w:t>RFB PFFS</w:t>
            </w:r>
            <w:r w:rsidR="00862867">
              <w:t>)</w:t>
            </w:r>
          </w:p>
          <w:p w14:paraId="1EB34FD2" w14:textId="77777777" w:rsidR="00176B0E" w:rsidRPr="00E70D4D" w:rsidRDefault="00176B0E" w:rsidP="003B3C96">
            <w:pPr>
              <w:autoSpaceDE w:val="0"/>
              <w:autoSpaceDN w:val="0"/>
            </w:pPr>
            <w:r w:rsidRPr="00E70D4D">
              <w:t xml:space="preserve">04 </w:t>
            </w:r>
            <w:r w:rsidR="00B9139A" w:rsidRPr="00B9139A">
              <w:t>–</w:t>
            </w:r>
            <w:r w:rsidR="00B9139A">
              <w:t xml:space="preserve"> </w:t>
            </w:r>
            <w:r w:rsidRPr="00E70D4D">
              <w:t>PFFS</w:t>
            </w:r>
          </w:p>
          <w:p w14:paraId="6009F23F" w14:textId="77777777" w:rsidR="00176B0E" w:rsidRPr="00E70D4D" w:rsidRDefault="00176B0E" w:rsidP="003B3C96">
            <w:pPr>
              <w:autoSpaceDE w:val="0"/>
              <w:autoSpaceDN w:val="0"/>
            </w:pPr>
            <w:r w:rsidRPr="00E70D4D">
              <w:t>05 – MMP</w:t>
            </w:r>
          </w:p>
          <w:p w14:paraId="789F353F" w14:textId="77777777" w:rsidR="00176B0E" w:rsidRPr="00E70D4D" w:rsidRDefault="00176B0E" w:rsidP="003B3C96">
            <w:pPr>
              <w:autoSpaceDE w:val="0"/>
              <w:autoSpaceDN w:val="0"/>
            </w:pPr>
            <w:r w:rsidRPr="00E70D4D">
              <w:t>06 – 1876 Cost</w:t>
            </w:r>
          </w:p>
          <w:p w14:paraId="0ECAB457" w14:textId="77777777" w:rsidR="00176B0E" w:rsidRPr="00E70D4D" w:rsidRDefault="00176B0E" w:rsidP="003B3C96">
            <w:pPr>
              <w:autoSpaceDE w:val="0"/>
              <w:autoSpaceDN w:val="0"/>
            </w:pPr>
            <w:r w:rsidRPr="00E70D4D">
              <w:t>11 – Regional CCP</w:t>
            </w:r>
          </w:p>
          <w:p w14:paraId="11752A3A" w14:textId="34EA14BC" w:rsidR="00176B0E" w:rsidRPr="00E70D4D" w:rsidRDefault="00176B0E" w:rsidP="003B3C96">
            <w:pPr>
              <w:autoSpaceDE w:val="0"/>
              <w:autoSpaceDN w:val="0"/>
            </w:pPr>
            <w:r w:rsidRPr="00E70D4D">
              <w:t xml:space="preserve">14 – </w:t>
            </w:r>
            <w:r w:rsidR="00862867">
              <w:t>Employee Union Direct (</w:t>
            </w:r>
            <w:r w:rsidRPr="00E70D4D">
              <w:t>ED</w:t>
            </w:r>
            <w:r w:rsidR="00862867">
              <w:t>)</w:t>
            </w:r>
            <w:r w:rsidRPr="00E70D4D">
              <w:t>-PFFS</w:t>
            </w:r>
          </w:p>
          <w:p w14:paraId="56E1A486" w14:textId="77777777" w:rsidR="00176B0E" w:rsidRPr="00E70D4D" w:rsidRDefault="00176B0E" w:rsidP="003B3C96">
            <w:pPr>
              <w:autoSpaceDE w:val="0"/>
              <w:autoSpaceDN w:val="0"/>
            </w:pPr>
            <w:r w:rsidRPr="00E70D4D">
              <w:t>15 – RFB Local CCP</w:t>
            </w:r>
          </w:p>
          <w:p w14:paraId="29717E06" w14:textId="77777777" w:rsidR="00176B0E" w:rsidRPr="00E70D4D" w:rsidRDefault="00176B0E" w:rsidP="003B3C96">
            <w:pPr>
              <w:autoSpaceDE w:val="0"/>
              <w:autoSpaceDN w:val="0"/>
            </w:pPr>
          </w:p>
          <w:p w14:paraId="01FC81C0" w14:textId="77777777" w:rsidR="00176B0E" w:rsidRPr="00E70D4D" w:rsidRDefault="00176B0E" w:rsidP="003B3C96">
            <w:pPr>
              <w:autoSpaceDE w:val="0"/>
              <w:autoSpaceDN w:val="0"/>
            </w:pPr>
            <w:r w:rsidRPr="00E70D4D">
              <w:t>Organizations should include all 800 series plans.</w:t>
            </w:r>
          </w:p>
          <w:p w14:paraId="4F0A66DC" w14:textId="77777777" w:rsidR="00176B0E" w:rsidRPr="00E70D4D" w:rsidRDefault="00176B0E" w:rsidP="003B3C96">
            <w:pPr>
              <w:autoSpaceDE w:val="0"/>
              <w:autoSpaceDN w:val="0"/>
            </w:pPr>
          </w:p>
          <w:p w14:paraId="5D18E408" w14:textId="77777777" w:rsidR="00176B0E" w:rsidRPr="00E70D4D" w:rsidRDefault="00176B0E" w:rsidP="003B3C96">
            <w:pPr>
              <w:autoSpaceDE w:val="0"/>
              <w:autoSpaceDN w:val="0"/>
              <w:rPr>
                <w:rFonts w:eastAsia="Calibri"/>
              </w:rPr>
            </w:pPr>
            <w:r w:rsidRPr="00E70D4D">
              <w:t>Employer/Union Direct Contracts should also report this reporting section, regardless of organization type.</w:t>
            </w:r>
          </w:p>
        </w:tc>
        <w:tc>
          <w:tcPr>
            <w:tcW w:w="1080" w:type="dxa"/>
            <w:tcBorders>
              <w:top w:val="nil"/>
              <w:left w:val="nil"/>
              <w:bottom w:val="nil"/>
              <w:right w:val="single" w:sz="8" w:space="0" w:color="auto"/>
            </w:tcBorders>
            <w:tcMar>
              <w:top w:w="0" w:type="dxa"/>
              <w:left w:w="108" w:type="dxa"/>
              <w:bottom w:w="0" w:type="dxa"/>
              <w:right w:w="108" w:type="dxa"/>
            </w:tcMar>
            <w:hideMark/>
          </w:tcPr>
          <w:p w14:paraId="1EF0FD25" w14:textId="77777777" w:rsidR="00176B0E" w:rsidRPr="00D955AB" w:rsidRDefault="00176B0E" w:rsidP="003B3C96">
            <w:pPr>
              <w:autoSpaceDE w:val="0"/>
              <w:autoSpaceDN w:val="0"/>
              <w:rPr>
                <w:rFonts w:eastAsia="Calibri"/>
              </w:rPr>
            </w:pPr>
            <w:r w:rsidRPr="00D955AB">
              <w:t>1/Year</w:t>
            </w:r>
          </w:p>
          <w:p w14:paraId="1E2C400C" w14:textId="77777777" w:rsidR="00176B0E" w:rsidRPr="00E70D4D" w:rsidRDefault="00176B0E" w:rsidP="003B3C96">
            <w:pPr>
              <w:autoSpaceDE w:val="0"/>
              <w:autoSpaceDN w:val="0"/>
              <w:rPr>
                <w:rFonts w:eastAsia="Calibri"/>
              </w:rPr>
            </w:pPr>
            <w:r w:rsidRPr="00D955AB">
              <w:t>Contract</w:t>
            </w:r>
          </w:p>
        </w:tc>
        <w:tc>
          <w:tcPr>
            <w:tcW w:w="1096" w:type="dxa"/>
            <w:tcBorders>
              <w:top w:val="nil"/>
              <w:left w:val="nil"/>
              <w:bottom w:val="nil"/>
              <w:right w:val="single" w:sz="8" w:space="0" w:color="auto"/>
            </w:tcBorders>
            <w:tcMar>
              <w:top w:w="0" w:type="dxa"/>
              <w:left w:w="108" w:type="dxa"/>
              <w:bottom w:w="0" w:type="dxa"/>
              <w:right w:w="108" w:type="dxa"/>
            </w:tcMar>
            <w:hideMark/>
          </w:tcPr>
          <w:p w14:paraId="22A1CA67" w14:textId="77777777" w:rsidR="00176B0E" w:rsidRPr="00E70D4D" w:rsidRDefault="00176B0E" w:rsidP="003B3C96">
            <w:pPr>
              <w:autoSpaceDE w:val="0"/>
              <w:autoSpaceDN w:val="0"/>
              <w:rPr>
                <w:rFonts w:eastAsia="Calibri"/>
              </w:rPr>
            </w:pPr>
            <w:r w:rsidRPr="00E70D4D">
              <w:t>1/1-3/31</w:t>
            </w:r>
          </w:p>
          <w:p w14:paraId="33DE942E" w14:textId="77777777" w:rsidR="00176B0E" w:rsidRPr="00E70D4D" w:rsidRDefault="00176B0E" w:rsidP="003B3C96">
            <w:pPr>
              <w:autoSpaceDE w:val="0"/>
              <w:autoSpaceDN w:val="0"/>
            </w:pPr>
            <w:r w:rsidRPr="00E70D4D">
              <w:t>4/1-6/30</w:t>
            </w:r>
          </w:p>
          <w:p w14:paraId="7CE77C7A" w14:textId="77777777" w:rsidR="00176B0E" w:rsidRPr="00E70D4D" w:rsidRDefault="00176B0E" w:rsidP="003B3C96">
            <w:pPr>
              <w:autoSpaceDE w:val="0"/>
              <w:autoSpaceDN w:val="0"/>
            </w:pPr>
            <w:r w:rsidRPr="00E70D4D">
              <w:t>7/1-9/30</w:t>
            </w:r>
          </w:p>
          <w:p w14:paraId="579F575E" w14:textId="77777777" w:rsidR="00176B0E" w:rsidRPr="00E70D4D" w:rsidRDefault="00176B0E" w:rsidP="003B3C96">
            <w:pPr>
              <w:autoSpaceDE w:val="0"/>
              <w:autoSpaceDN w:val="0"/>
            </w:pPr>
            <w:r w:rsidRPr="00E70D4D">
              <w:t xml:space="preserve">10/1-12/31 </w:t>
            </w:r>
          </w:p>
          <w:p w14:paraId="16E7A584" w14:textId="2C206D05" w:rsidR="00176B0E" w:rsidRPr="00E70D4D" w:rsidRDefault="00176B0E" w:rsidP="00AE7273">
            <w:pPr>
              <w:autoSpaceDE w:val="0"/>
              <w:autoSpaceDN w:val="0"/>
              <w:rPr>
                <w:rFonts w:eastAsia="Calibri"/>
              </w:rPr>
            </w:pPr>
            <w:r w:rsidRPr="00D955AB">
              <w:t xml:space="preserve"> </w:t>
            </w:r>
            <w:r w:rsidR="00857AB5">
              <w:t>(</w:t>
            </w:r>
            <w:r w:rsidRPr="00D955AB">
              <w:t>reporting will include each quarter)</w:t>
            </w:r>
          </w:p>
        </w:tc>
        <w:tc>
          <w:tcPr>
            <w:tcW w:w="2271" w:type="dxa"/>
            <w:tcBorders>
              <w:top w:val="nil"/>
              <w:left w:val="nil"/>
              <w:bottom w:val="nil"/>
              <w:right w:val="single" w:sz="8" w:space="0" w:color="auto"/>
            </w:tcBorders>
            <w:tcMar>
              <w:top w:w="0" w:type="dxa"/>
              <w:left w:w="108" w:type="dxa"/>
              <w:bottom w:w="0" w:type="dxa"/>
              <w:right w:w="108" w:type="dxa"/>
            </w:tcMar>
          </w:tcPr>
          <w:p w14:paraId="4FC56FCD" w14:textId="77777777" w:rsidR="00176B0E" w:rsidRPr="00AE7273" w:rsidRDefault="00753609">
            <w:pPr>
              <w:autoSpaceDE w:val="0"/>
              <w:autoSpaceDN w:val="0"/>
              <w:rPr>
                <w:rFonts w:eastAsia="Calibri"/>
              </w:rPr>
            </w:pPr>
            <w:r w:rsidRPr="00570AA9">
              <w:t>First Monday of February in following year</w:t>
            </w:r>
          </w:p>
        </w:tc>
      </w:tr>
      <w:tr w:rsidR="00EB3EA4" w:rsidRPr="00E70D4D" w14:paraId="50C8D2A1" w14:textId="77777777" w:rsidTr="003B3C96">
        <w:tc>
          <w:tcPr>
            <w:tcW w:w="19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7213A4" w14:textId="77777777" w:rsidR="00EB3EA4" w:rsidRPr="00E70D4D" w:rsidRDefault="00EB3EA4" w:rsidP="003B3C96">
            <w:pPr>
              <w:autoSpaceDE w:val="0"/>
              <w:autoSpaceDN w:val="0"/>
            </w:pPr>
          </w:p>
        </w:tc>
        <w:tc>
          <w:tcPr>
            <w:tcW w:w="2515" w:type="dxa"/>
            <w:tcBorders>
              <w:top w:val="nil"/>
              <w:left w:val="nil"/>
              <w:bottom w:val="single" w:sz="8" w:space="0" w:color="auto"/>
              <w:right w:val="single" w:sz="8" w:space="0" w:color="auto"/>
            </w:tcBorders>
            <w:tcMar>
              <w:top w:w="0" w:type="dxa"/>
              <w:left w:w="108" w:type="dxa"/>
              <w:bottom w:w="0" w:type="dxa"/>
              <w:right w:w="108" w:type="dxa"/>
            </w:tcMar>
          </w:tcPr>
          <w:p w14:paraId="07686F8C" w14:textId="77777777" w:rsidR="00EB3EA4" w:rsidRPr="00E70D4D" w:rsidRDefault="00EB3EA4" w:rsidP="003B3C96">
            <w:pPr>
              <w:autoSpaceDE w:val="0"/>
              <w:autoSpaceDN w:val="0"/>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C8BEFBA" w14:textId="77777777" w:rsidR="00EB3EA4" w:rsidRPr="00D955AB" w:rsidRDefault="00EB3EA4" w:rsidP="003B3C96">
            <w:pPr>
              <w:autoSpaceDE w:val="0"/>
              <w:autoSpaceDN w:val="0"/>
            </w:pPr>
          </w:p>
        </w:tc>
        <w:tc>
          <w:tcPr>
            <w:tcW w:w="1096" w:type="dxa"/>
            <w:tcBorders>
              <w:top w:val="nil"/>
              <w:left w:val="nil"/>
              <w:bottom w:val="single" w:sz="8" w:space="0" w:color="auto"/>
              <w:right w:val="single" w:sz="8" w:space="0" w:color="auto"/>
            </w:tcBorders>
            <w:tcMar>
              <w:top w:w="0" w:type="dxa"/>
              <w:left w:w="108" w:type="dxa"/>
              <w:bottom w:w="0" w:type="dxa"/>
              <w:right w:w="108" w:type="dxa"/>
            </w:tcMar>
          </w:tcPr>
          <w:p w14:paraId="2F78904F" w14:textId="77777777" w:rsidR="00EB3EA4" w:rsidRPr="00E70D4D" w:rsidRDefault="00EB3EA4" w:rsidP="003B3C96">
            <w:pPr>
              <w:autoSpaceDE w:val="0"/>
              <w:autoSpaceDN w:val="0"/>
            </w:pP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F44E317" w14:textId="77777777" w:rsidR="00EB3EA4" w:rsidRPr="00CD1FC3" w:rsidRDefault="00EB3EA4">
            <w:pPr>
              <w:autoSpaceDE w:val="0"/>
              <w:autoSpaceDN w:val="0"/>
              <w:rPr>
                <w:u w:val="single"/>
              </w:rPr>
            </w:pPr>
          </w:p>
        </w:tc>
      </w:tr>
    </w:tbl>
    <w:p w14:paraId="27568253" w14:textId="77777777" w:rsidR="003B3C96" w:rsidRDefault="003B3C96" w:rsidP="00176B0E">
      <w:pPr>
        <w:ind w:left="360"/>
        <w:rPr>
          <w:b/>
          <w:bCs/>
          <w:color w:val="000000"/>
        </w:rPr>
      </w:pPr>
    </w:p>
    <w:p w14:paraId="3CD262E0" w14:textId="77777777" w:rsidR="001E2A7F" w:rsidRDefault="001E2A7F">
      <w:pPr>
        <w:rPr>
          <w:b/>
          <w:bCs/>
          <w:color w:val="000000"/>
        </w:rPr>
      </w:pPr>
      <w:r>
        <w:rPr>
          <w:b/>
          <w:bCs/>
          <w:color w:val="000000"/>
        </w:rPr>
        <w:br w:type="page"/>
      </w:r>
    </w:p>
    <w:p w14:paraId="6E27F21B" w14:textId="77777777" w:rsidR="00176B0E" w:rsidRDefault="00176B0E" w:rsidP="00176B0E">
      <w:pPr>
        <w:ind w:left="360"/>
        <w:rPr>
          <w:b/>
          <w:bCs/>
          <w:color w:val="000000"/>
        </w:rPr>
      </w:pPr>
      <w:r w:rsidRPr="00E70D4D">
        <w:rPr>
          <w:b/>
          <w:bCs/>
          <w:color w:val="000000"/>
        </w:rPr>
        <w:lastRenderedPageBreak/>
        <w:t>The data elements to be reported under this reporting section are:</w:t>
      </w:r>
    </w:p>
    <w:p w14:paraId="2FAB3A68" w14:textId="77777777" w:rsidR="00455569" w:rsidRDefault="00455569" w:rsidP="00176B0E">
      <w:pPr>
        <w:ind w:left="360"/>
        <w:rPr>
          <w:b/>
          <w:bCs/>
          <w:color w:val="000000"/>
        </w:rPr>
      </w:pPr>
    </w:p>
    <w:p w14:paraId="0E058128" w14:textId="4E13BAC6"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 Total Grievances</w:t>
      </w:r>
      <w:r w:rsidR="00167BF2">
        <w:rPr>
          <w:rFonts w:ascii="Times New Roman" w:hAnsi="Times New Roman"/>
          <w:sz w:val="24"/>
          <w:szCs w:val="24"/>
        </w:rPr>
        <w:t xml:space="preserve"> </w:t>
      </w:r>
    </w:p>
    <w:p w14:paraId="043882B9"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in which timely notification was given – Total Grievances</w:t>
      </w:r>
    </w:p>
    <w:p w14:paraId="06FBA69D"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 Number of Expedited Grievances</w:t>
      </w:r>
    </w:p>
    <w:p w14:paraId="7F33795F"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 xml:space="preserve">Number of grievances in which timely notification was given – Number of Expedited Grievances </w:t>
      </w:r>
    </w:p>
    <w:p w14:paraId="74C43562" w14:textId="4F581CD9" w:rsidR="00455569" w:rsidRPr="00F23BE4" w:rsidRDefault="00455569" w:rsidP="00455569">
      <w:pPr>
        <w:pStyle w:val="ListParagraph"/>
        <w:numPr>
          <w:ilvl w:val="0"/>
          <w:numId w:val="31"/>
        </w:numPr>
        <w:spacing w:after="200" w:line="276" w:lineRule="auto"/>
        <w:contextualSpacing/>
        <w:rPr>
          <w:rFonts w:ascii="Times New Roman" w:hAnsi="Times New Roman"/>
          <w:sz w:val="24"/>
          <w:szCs w:val="24"/>
        </w:rPr>
      </w:pPr>
      <w:r w:rsidRPr="00F23BE4">
        <w:rPr>
          <w:rFonts w:ascii="Times New Roman" w:hAnsi="Times New Roman"/>
          <w:sz w:val="24"/>
          <w:szCs w:val="24"/>
        </w:rPr>
        <w:t>Number of grievances – Dismissed Grievances</w:t>
      </w:r>
    </w:p>
    <w:p w14:paraId="2640E4D1"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 Enrollment/Disenrollment Grievances</w:t>
      </w:r>
    </w:p>
    <w:p w14:paraId="2296F547"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in which timely notification was given – Enrollment/Disenrollment Grievances</w:t>
      </w:r>
    </w:p>
    <w:p w14:paraId="144C65FC"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 Plan Benefit Grievances</w:t>
      </w:r>
    </w:p>
    <w:p w14:paraId="51F12912"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in which timely notification was given – Plan Benefit Grievances</w:t>
      </w:r>
    </w:p>
    <w:p w14:paraId="2BC17E0B" w14:textId="7303192D"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 Access Grievances</w:t>
      </w:r>
    </w:p>
    <w:p w14:paraId="390D320E" w14:textId="58E9D4AC"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in which timely notification was given –Access Grievances</w:t>
      </w:r>
    </w:p>
    <w:p w14:paraId="4A46168E"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 Marketing Grievances</w:t>
      </w:r>
    </w:p>
    <w:p w14:paraId="7DDC2CC2"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in which timely notification was given – Marketing Grievances</w:t>
      </w:r>
    </w:p>
    <w:p w14:paraId="02AE1341"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 Customer Service Grievances  </w:t>
      </w:r>
    </w:p>
    <w:p w14:paraId="6B2552FE"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in which timely notification was given – Customer Service Grievances  </w:t>
      </w:r>
    </w:p>
    <w:p w14:paraId="11EDC4D4" w14:textId="1D90B81B"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 xml:space="preserve">Number of Grievances – Organization  /  Determination </w:t>
      </w:r>
      <w:r w:rsidR="002F7E91">
        <w:rPr>
          <w:rFonts w:ascii="Times New Roman" w:hAnsi="Times New Roman"/>
          <w:sz w:val="24"/>
          <w:szCs w:val="24"/>
        </w:rPr>
        <w:t xml:space="preserve">/ Reconsiderations </w:t>
      </w:r>
      <w:r w:rsidRPr="00327BCB">
        <w:rPr>
          <w:rFonts w:ascii="Times New Roman" w:hAnsi="Times New Roman"/>
          <w:sz w:val="24"/>
          <w:szCs w:val="24"/>
        </w:rPr>
        <w:t>Process Grievances</w:t>
      </w:r>
    </w:p>
    <w:p w14:paraId="69A4A871" w14:textId="53F3B3AE"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 xml:space="preserve">Number of grievances in which timely notification was given – Organization  /  Determination </w:t>
      </w:r>
      <w:r w:rsidR="002F7E91">
        <w:rPr>
          <w:rFonts w:ascii="Times New Roman" w:hAnsi="Times New Roman"/>
          <w:sz w:val="24"/>
          <w:szCs w:val="24"/>
        </w:rPr>
        <w:t xml:space="preserve">/Reconsideration </w:t>
      </w:r>
      <w:r w:rsidRPr="00327BCB">
        <w:rPr>
          <w:rFonts w:ascii="Times New Roman" w:hAnsi="Times New Roman"/>
          <w:sz w:val="24"/>
          <w:szCs w:val="24"/>
        </w:rPr>
        <w:t>Process Grievances</w:t>
      </w:r>
    </w:p>
    <w:p w14:paraId="6CDEF66D"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 Quality of Care Grievances</w:t>
      </w:r>
    </w:p>
    <w:p w14:paraId="40A0ABB5"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in which timely notification was given – Quality of Care Grievances</w:t>
      </w:r>
    </w:p>
    <w:p w14:paraId="6EE81F2F"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 Grievances related to “CMS Issues”</w:t>
      </w:r>
    </w:p>
    <w:p w14:paraId="5A014582"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in which timely notification was given – Grievances related to “CMS Issues”</w:t>
      </w:r>
    </w:p>
    <w:p w14:paraId="7DD47ABE"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 xml:space="preserve">Number of Grievances - Other Grievances </w:t>
      </w:r>
    </w:p>
    <w:p w14:paraId="5B75C827" w14:textId="77777777" w:rsidR="00455569" w:rsidRPr="00327BCB" w:rsidRDefault="00455569" w:rsidP="00455569">
      <w:pPr>
        <w:pStyle w:val="ListParagraph"/>
        <w:numPr>
          <w:ilvl w:val="0"/>
          <w:numId w:val="31"/>
        </w:numPr>
        <w:spacing w:after="200" w:line="276" w:lineRule="auto"/>
        <w:contextualSpacing/>
        <w:rPr>
          <w:rFonts w:ascii="Times New Roman" w:hAnsi="Times New Roman"/>
          <w:sz w:val="24"/>
          <w:szCs w:val="24"/>
        </w:rPr>
      </w:pPr>
      <w:r w:rsidRPr="00327BCB">
        <w:rPr>
          <w:rFonts w:ascii="Times New Roman" w:hAnsi="Times New Roman"/>
          <w:sz w:val="24"/>
          <w:szCs w:val="24"/>
        </w:rPr>
        <w:t>Number of grievances in which timely notification was given – Other Grievances</w:t>
      </w:r>
    </w:p>
    <w:p w14:paraId="56EC617A" w14:textId="77777777" w:rsidR="00455569" w:rsidRDefault="00455569" w:rsidP="00176B0E">
      <w:pPr>
        <w:ind w:left="360"/>
        <w:rPr>
          <w:b/>
          <w:bCs/>
          <w:color w:val="000000"/>
        </w:rPr>
      </w:pPr>
    </w:p>
    <w:p w14:paraId="456459EA" w14:textId="77777777" w:rsidR="00455569" w:rsidRDefault="00455569" w:rsidP="00176B0E">
      <w:pPr>
        <w:ind w:left="360"/>
        <w:rPr>
          <w:b/>
          <w:bCs/>
          <w:color w:val="000000"/>
        </w:rPr>
      </w:pPr>
    </w:p>
    <w:p w14:paraId="5D73F220" w14:textId="77777777" w:rsidR="00176B0E" w:rsidRPr="00A94D4F" w:rsidRDefault="00176B0E" w:rsidP="00176B0E">
      <w:pPr>
        <w:rPr>
          <w:rFonts w:eastAsiaTheme="minorHAnsi"/>
        </w:rPr>
      </w:pPr>
      <w:r w:rsidRPr="00E70D4D">
        <w:t xml:space="preserve">* Timely notification of grievances means the member was notified according to the following timelines: </w:t>
      </w:r>
    </w:p>
    <w:p w14:paraId="441CACE9" w14:textId="77777777" w:rsidR="00176B0E" w:rsidRPr="00A94D4F" w:rsidRDefault="00176B0E" w:rsidP="00176B0E">
      <w:pPr>
        <w:pStyle w:val="ListParagraph"/>
        <w:numPr>
          <w:ilvl w:val="0"/>
          <w:numId w:val="1"/>
        </w:numPr>
      </w:pPr>
      <w:r w:rsidRPr="00A94D4F">
        <w:rPr>
          <w:rFonts w:ascii="Times New Roman" w:hAnsi="Times New Roman"/>
          <w:sz w:val="24"/>
          <w:szCs w:val="24"/>
        </w:rPr>
        <w:t xml:space="preserve">For standard grievances: no later than 30 calendar days after receipt of grievance. </w:t>
      </w:r>
    </w:p>
    <w:p w14:paraId="1B224714" w14:textId="77777777" w:rsidR="00176B0E" w:rsidRPr="00A94D4F" w:rsidRDefault="00176B0E" w:rsidP="00176B0E">
      <w:pPr>
        <w:pStyle w:val="ListParagraph"/>
        <w:numPr>
          <w:ilvl w:val="0"/>
          <w:numId w:val="1"/>
        </w:numPr>
      </w:pPr>
      <w:r w:rsidRPr="00A94D4F">
        <w:rPr>
          <w:rFonts w:ascii="Times New Roman" w:hAnsi="Times New Roman"/>
          <w:sz w:val="24"/>
          <w:szCs w:val="24"/>
        </w:rPr>
        <w:t xml:space="preserve">For standard grievances with an extension taken: no later than 44 calendar days after receipt of grievance. </w:t>
      </w:r>
    </w:p>
    <w:p w14:paraId="0D0D9B57" w14:textId="77777777" w:rsidR="00176B0E" w:rsidRPr="00E70D4D" w:rsidRDefault="00176B0E" w:rsidP="00176B0E">
      <w:pPr>
        <w:pStyle w:val="ListParagraph"/>
        <w:numPr>
          <w:ilvl w:val="0"/>
          <w:numId w:val="1"/>
        </w:numPr>
      </w:pPr>
      <w:r w:rsidRPr="00E70D4D">
        <w:rPr>
          <w:rFonts w:ascii="Times New Roman" w:hAnsi="Times New Roman"/>
          <w:sz w:val="24"/>
          <w:szCs w:val="24"/>
        </w:rPr>
        <w:t xml:space="preserve">For expedited grievances: no later than 24 hours after receipt of grievance. </w:t>
      </w:r>
    </w:p>
    <w:p w14:paraId="7CDD866A" w14:textId="77777777" w:rsidR="00C71CEC" w:rsidRDefault="00176B0E" w:rsidP="00176B0E">
      <w:pPr>
        <w:spacing w:before="120" w:after="120"/>
        <w:rPr>
          <w:b/>
          <w:bCs/>
        </w:rPr>
      </w:pPr>
      <w:r w:rsidRPr="00E70D4D" w:rsidDel="00B143AB">
        <w:rPr>
          <w:b/>
          <w:bCs/>
        </w:rPr>
        <w:t xml:space="preserve"> </w:t>
      </w:r>
    </w:p>
    <w:p w14:paraId="38A8EFDE" w14:textId="597A8E89" w:rsidR="00176B0E" w:rsidRPr="00E70D4D" w:rsidRDefault="00176B0E" w:rsidP="00176B0E">
      <w:pPr>
        <w:spacing w:before="120" w:after="120"/>
        <w:rPr>
          <w:b/>
          <w:bCs/>
          <w:u w:val="single"/>
        </w:rPr>
      </w:pPr>
      <w:r w:rsidRPr="00E70D4D">
        <w:rPr>
          <w:b/>
          <w:bCs/>
          <w:u w:val="single"/>
        </w:rPr>
        <w:lastRenderedPageBreak/>
        <w:t>Notes</w:t>
      </w:r>
    </w:p>
    <w:p w14:paraId="4406E067" w14:textId="77777777" w:rsidR="00176B0E" w:rsidRPr="00E70D4D" w:rsidRDefault="00176B0E" w:rsidP="00176B0E"/>
    <w:p w14:paraId="56DBB791" w14:textId="77777777" w:rsidR="00176B0E" w:rsidRPr="000371A0" w:rsidRDefault="00176B0E" w:rsidP="00570AA9">
      <w:pPr>
        <w:pStyle w:val="ListParagraph"/>
        <w:numPr>
          <w:ilvl w:val="0"/>
          <w:numId w:val="40"/>
        </w:numPr>
      </w:pPr>
      <w:r w:rsidRPr="00570AA9">
        <w:rPr>
          <w:rFonts w:ascii="Times New Roman" w:hAnsi="Times New Roman"/>
          <w:sz w:val="24"/>
          <w:szCs w:val="24"/>
        </w:rPr>
        <w:t xml:space="preserve">This reporting section requires upload into HPMS.  </w:t>
      </w:r>
    </w:p>
    <w:p w14:paraId="2FA6D050" w14:textId="77777777" w:rsidR="00057457" w:rsidRPr="00D5478B" w:rsidRDefault="00057457" w:rsidP="00176B0E"/>
    <w:p w14:paraId="5BA7DFB2" w14:textId="77777777" w:rsidR="004C70D6" w:rsidRPr="00570AA9" w:rsidRDefault="00176B0E" w:rsidP="00570AA9">
      <w:pPr>
        <w:pStyle w:val="ListParagraph"/>
        <w:numPr>
          <w:ilvl w:val="0"/>
          <w:numId w:val="40"/>
        </w:numPr>
        <w:rPr>
          <w:rFonts w:ascii="Times New Roman" w:hAnsi="Times New Roman"/>
          <w:sz w:val="24"/>
          <w:szCs w:val="24"/>
        </w:rPr>
      </w:pPr>
      <w:r w:rsidRPr="00570AA9">
        <w:rPr>
          <w:rFonts w:ascii="Times New Roman" w:hAnsi="Times New Roman"/>
          <w:sz w:val="24"/>
          <w:szCs w:val="24"/>
        </w:rPr>
        <w:t>In cases where a purported representative files a grievance on behalf of a beneficiary without an Appointment of Representative (AOR) form, the timeliness calculation (“clock”) starts upon receipt of the AOR form.  This is a contrast to grievances filed by a beneficiary, in which cases the clock starts upon receipt of the grievance.</w:t>
      </w:r>
    </w:p>
    <w:p w14:paraId="2F62DF34" w14:textId="77777777" w:rsidR="00980C61" w:rsidRPr="00D5478B" w:rsidRDefault="00980C61" w:rsidP="00570AA9"/>
    <w:p w14:paraId="66ABA847" w14:textId="523D9078" w:rsidR="004C70D6" w:rsidRPr="00E64F49" w:rsidRDefault="004C70D6" w:rsidP="00570AA9">
      <w:pPr>
        <w:pStyle w:val="ListParagraph"/>
        <w:numPr>
          <w:ilvl w:val="0"/>
          <w:numId w:val="40"/>
        </w:numPr>
        <w:rPr>
          <w:rFonts w:ascii="Times New Roman" w:hAnsi="Times New Roman"/>
          <w:sz w:val="24"/>
          <w:szCs w:val="24"/>
        </w:rPr>
      </w:pPr>
      <w:r w:rsidRPr="00E64F49">
        <w:rPr>
          <w:rFonts w:ascii="Times New Roman" w:hAnsi="Times New Roman"/>
          <w:iCs/>
          <w:sz w:val="24"/>
          <w:szCs w:val="24"/>
        </w:rPr>
        <w:t>Sponsors should generate these reports at the end of each quarter of the contract year and hold them for the annual submission</w:t>
      </w:r>
      <w:r w:rsidRPr="00E64F49">
        <w:rPr>
          <w:rFonts w:ascii="Times New Roman" w:hAnsi="Times New Roman"/>
          <w:sz w:val="24"/>
          <w:szCs w:val="24"/>
        </w:rPr>
        <w:t xml:space="preserve">.  </w:t>
      </w:r>
    </w:p>
    <w:p w14:paraId="5D726218" w14:textId="77777777" w:rsidR="004C70D6" w:rsidRPr="00D5478B" w:rsidRDefault="004C70D6" w:rsidP="00176B0E"/>
    <w:p w14:paraId="3408F09E" w14:textId="77777777" w:rsidR="00176B0E" w:rsidRPr="00A15FE7" w:rsidRDefault="00176B0E" w:rsidP="00176B0E">
      <w:pPr>
        <w:rPr>
          <w:u w:val="single"/>
        </w:rPr>
      </w:pPr>
    </w:p>
    <w:p w14:paraId="14269D3B" w14:textId="25E567B8" w:rsidR="009A722E" w:rsidRPr="000371A0" w:rsidRDefault="0088238C" w:rsidP="00570AA9">
      <w:pPr>
        <w:pStyle w:val="ListParagraph"/>
        <w:numPr>
          <w:ilvl w:val="0"/>
          <w:numId w:val="40"/>
        </w:numPr>
        <w:rPr>
          <w:color w:val="1F497D"/>
        </w:rPr>
      </w:pPr>
      <w:r w:rsidRPr="00570AA9">
        <w:rPr>
          <w:rFonts w:ascii="Times New Roman" w:hAnsi="Times New Roman"/>
          <w:sz w:val="24"/>
          <w:szCs w:val="24"/>
        </w:rPr>
        <w:t>For an explanation of Medicare Part C Grievance Procedures, refer to CMS Regulations and Guidance:  42 CFR Part 422, Subpart M</w:t>
      </w:r>
      <w:r w:rsidRPr="00570AA9">
        <w:rPr>
          <w:rFonts w:ascii="Times New Roman" w:hAnsi="Times New Roman"/>
          <w:color w:val="000000"/>
          <w:sz w:val="24"/>
          <w:szCs w:val="24"/>
        </w:rPr>
        <w:t>,</w:t>
      </w:r>
      <w:r w:rsidRPr="00570AA9">
        <w:rPr>
          <w:rFonts w:ascii="Times New Roman" w:hAnsi="Times New Roman"/>
          <w:sz w:val="24"/>
          <w:szCs w:val="24"/>
        </w:rPr>
        <w:t xml:space="preserve"> and Chapter 13 of the Medicare Managed Care Manual, </w:t>
      </w:r>
      <w:r w:rsidRPr="00D5478B">
        <w:rPr>
          <w:rFonts w:ascii="Times New Roman" w:eastAsiaTheme="minorHAnsi" w:hAnsi="Times New Roman"/>
          <w:color w:val="000000"/>
          <w:sz w:val="24"/>
          <w:szCs w:val="24"/>
        </w:rPr>
        <w:t xml:space="preserve">and the CMS website: </w:t>
      </w:r>
      <w:hyperlink r:id="rId12" w:history="1">
        <w:r w:rsidRPr="00D5478B">
          <w:rPr>
            <w:rFonts w:ascii="Times New Roman" w:eastAsiaTheme="minorHAnsi" w:hAnsi="Times New Roman"/>
            <w:sz w:val="24"/>
            <w:szCs w:val="24"/>
            <w:u w:val="single"/>
          </w:rPr>
          <w:t>Medicare Managed Care Appeals &amp; Grievances</w:t>
        </w:r>
      </w:hyperlink>
      <w:r w:rsidRPr="00D5478B">
        <w:rPr>
          <w:rFonts w:ascii="Times New Roman" w:eastAsiaTheme="minorHAnsi" w:hAnsi="Times New Roman"/>
          <w:sz w:val="24"/>
          <w:szCs w:val="24"/>
        </w:rPr>
        <w:t xml:space="preserve">. </w:t>
      </w:r>
      <w:r w:rsidRPr="00D5478B">
        <w:rPr>
          <w:rFonts w:ascii="Times New Roman" w:eastAsiaTheme="minorHAnsi" w:hAnsi="Times New Roman"/>
          <w:color w:val="000000"/>
          <w:sz w:val="24"/>
          <w:szCs w:val="24"/>
        </w:rPr>
        <w:t xml:space="preserve"> </w:t>
      </w:r>
      <w:r w:rsidR="009A722E" w:rsidRPr="00570AA9">
        <w:rPr>
          <w:rFonts w:ascii="Times New Roman" w:hAnsi="Times New Roman"/>
          <w:sz w:val="24"/>
          <w:szCs w:val="24"/>
        </w:rPr>
        <w:t xml:space="preserve">For an explanation of grievance procedures for MMPs, refer to the Demonstration-specific three-way contracts. </w:t>
      </w:r>
    </w:p>
    <w:p w14:paraId="682C0A3C" w14:textId="77777777" w:rsidR="00176B0E" w:rsidRPr="00D5478B" w:rsidRDefault="00176B0E" w:rsidP="00176B0E">
      <w:pPr>
        <w:autoSpaceDE w:val="0"/>
        <w:autoSpaceDN w:val="0"/>
        <w:adjustRightInd w:val="0"/>
      </w:pPr>
    </w:p>
    <w:p w14:paraId="7C918D30" w14:textId="7C7E3709" w:rsidR="00176B0E" w:rsidRPr="00D5478B" w:rsidRDefault="00176B0E" w:rsidP="00570AA9">
      <w:pPr>
        <w:pStyle w:val="ListParagraph"/>
        <w:numPr>
          <w:ilvl w:val="0"/>
          <w:numId w:val="40"/>
        </w:numPr>
        <w:autoSpaceDE w:val="0"/>
        <w:autoSpaceDN w:val="0"/>
        <w:adjustRightInd w:val="0"/>
      </w:pPr>
      <w:r w:rsidRPr="00D5478B">
        <w:rPr>
          <w:rFonts w:ascii="Times New Roman" w:hAnsi="Times New Roman"/>
          <w:sz w:val="24"/>
          <w:szCs w:val="24"/>
        </w:rPr>
        <w:t xml:space="preserve">CMS requires plans to </w:t>
      </w:r>
      <w:r w:rsidRPr="00570AA9">
        <w:rPr>
          <w:rFonts w:ascii="Times New Roman" w:hAnsi="Times New Roman"/>
          <w:sz w:val="24"/>
          <w:szCs w:val="24"/>
        </w:rPr>
        <w:t xml:space="preserve">use </w:t>
      </w:r>
      <w:r w:rsidR="001A6406" w:rsidRPr="00570AA9">
        <w:rPr>
          <w:rFonts w:ascii="Times New Roman" w:hAnsi="Times New Roman"/>
          <w:sz w:val="24"/>
          <w:szCs w:val="24"/>
        </w:rPr>
        <w:t>the 22</w:t>
      </w:r>
      <w:r w:rsidR="005E09BD" w:rsidRPr="00570AA9">
        <w:rPr>
          <w:rFonts w:ascii="Times New Roman" w:hAnsi="Times New Roman"/>
          <w:sz w:val="24"/>
          <w:szCs w:val="24"/>
        </w:rPr>
        <w:t xml:space="preserve"> </w:t>
      </w:r>
      <w:r w:rsidRPr="00570AA9">
        <w:rPr>
          <w:rFonts w:ascii="Times New Roman" w:hAnsi="Times New Roman"/>
          <w:sz w:val="24"/>
          <w:szCs w:val="24"/>
        </w:rPr>
        <w:t xml:space="preserve">categories described in this section to report grievances to CMS (Elements </w:t>
      </w:r>
      <w:r w:rsidR="00455569" w:rsidRPr="00570AA9">
        <w:rPr>
          <w:rFonts w:ascii="Times New Roman" w:hAnsi="Times New Roman"/>
          <w:sz w:val="24"/>
          <w:szCs w:val="24"/>
        </w:rPr>
        <w:t>A-W</w:t>
      </w:r>
      <w:r w:rsidRPr="00570AA9">
        <w:rPr>
          <w:rFonts w:ascii="Times New Roman" w:hAnsi="Times New Roman"/>
          <w:sz w:val="24"/>
          <w:szCs w:val="24"/>
        </w:rPr>
        <w:t xml:space="preserve">).  </w:t>
      </w:r>
      <w:r w:rsidRPr="00D5478B">
        <w:rPr>
          <w:rFonts w:ascii="Times New Roman" w:hAnsi="Times New Roman"/>
          <w:sz w:val="24"/>
          <w:szCs w:val="24"/>
        </w:rPr>
        <w:t>For purposes of Reporting Section 5:</w:t>
      </w:r>
    </w:p>
    <w:p w14:paraId="76E27221" w14:textId="77777777" w:rsidR="00176B0E" w:rsidRPr="00E70D4D" w:rsidRDefault="00176B0E" w:rsidP="00176B0E">
      <w:pPr>
        <w:shd w:val="clear" w:color="auto" w:fill="FFFFFF"/>
      </w:pPr>
    </w:p>
    <w:p w14:paraId="68415A64" w14:textId="264D6EDB" w:rsidR="00EB7520" w:rsidRDefault="00176B0E" w:rsidP="0040019D">
      <w:pPr>
        <w:numPr>
          <w:ilvl w:val="0"/>
          <w:numId w:val="12"/>
        </w:numPr>
        <w:autoSpaceDE w:val="0"/>
        <w:autoSpaceDN w:val="0"/>
        <w:adjustRightInd w:val="0"/>
      </w:pPr>
      <w:r w:rsidRPr="00E70D4D">
        <w:t>A grievance is defined in Chapter 13 of the Medicare Managed Care Manual as “Any complaint or dispute, other than an organization determination, expressing dissatisfaction with the manner in which a Medicare health plan or delegated entity provides health care services, regardless of whether any remedial action can be taken</w:t>
      </w:r>
      <w:r w:rsidR="005C4F7E" w:rsidRPr="00E70D4D">
        <w:t xml:space="preserve">.  </w:t>
      </w:r>
      <w:r w:rsidRPr="00E70D4D">
        <w:t>An enrollee or their representative may make the complaint or dispute, either orally or in writing, to a Medicare health plan, provider, or facility</w:t>
      </w:r>
      <w:r w:rsidR="005C4F7E" w:rsidRPr="00E70D4D">
        <w:t xml:space="preserve">.  </w:t>
      </w:r>
      <w:r w:rsidRPr="00E70D4D">
        <w:t>An expedited grievance may also include a complaint that a Medicare health plan refused to expedite an organization determination or reconsideration, or invoked an extension to an organization determination or reconsideration time frame</w:t>
      </w:r>
      <w:r w:rsidR="005C4F7E" w:rsidRPr="00E70D4D">
        <w:t xml:space="preserve">.  </w:t>
      </w:r>
      <w:r w:rsidRPr="00E70D4D">
        <w:t>In addition, grievances may include complaints regarding the timeliness, appropriateness, access to, and/or setting of a provided health service, procedure, or item</w:t>
      </w:r>
      <w:r w:rsidR="005C4F7E" w:rsidRPr="00E70D4D">
        <w:t xml:space="preserve">.  </w:t>
      </w:r>
      <w:r w:rsidRPr="00E70D4D">
        <w:t xml:space="preserve">Grievance issues may also include complaints that a covered health service procedure or item during a course of treatment did not meet accepted standards for delivery of health care.” </w:t>
      </w:r>
    </w:p>
    <w:p w14:paraId="2E3598A7" w14:textId="77777777" w:rsidR="005E09BD" w:rsidRPr="00E70D4D" w:rsidRDefault="005E09BD" w:rsidP="005E09BD">
      <w:pPr>
        <w:autoSpaceDE w:val="0"/>
        <w:autoSpaceDN w:val="0"/>
        <w:adjustRightInd w:val="0"/>
        <w:ind w:left="360"/>
      </w:pPr>
    </w:p>
    <w:p w14:paraId="592E0ED7" w14:textId="77777777" w:rsidR="00EB7520" w:rsidRDefault="00176B0E" w:rsidP="0040019D">
      <w:pPr>
        <w:numPr>
          <w:ilvl w:val="0"/>
          <w:numId w:val="12"/>
        </w:numPr>
        <w:autoSpaceDE w:val="0"/>
        <w:autoSpaceDN w:val="0"/>
        <w:adjustRightInd w:val="0"/>
      </w:pPr>
      <w:r w:rsidRPr="00E70D4D">
        <w:t>For Part C reporting, grievances</w:t>
      </w:r>
      <w:r w:rsidRPr="00E70D4D">
        <w:rPr>
          <w:b/>
        </w:rPr>
        <w:t xml:space="preserve"> </w:t>
      </w:r>
      <w:r w:rsidRPr="00E70D4D">
        <w:t xml:space="preserve">are defined as those </w:t>
      </w:r>
      <w:r w:rsidRPr="00570AA9">
        <w:rPr>
          <w:b/>
        </w:rPr>
        <w:t>grievances completed (i.e., plan has notified enrollee of its decision) during the reporting period,</w:t>
      </w:r>
      <w:r w:rsidRPr="00E70D4D">
        <w:t xml:space="preserve"> regardless of when the request was received; and include </w:t>
      </w:r>
      <w:r w:rsidRPr="00E70D4D">
        <w:rPr>
          <w:color w:val="000000"/>
        </w:rPr>
        <w:t xml:space="preserve">grievances filed by the enrollee or his or her </w:t>
      </w:r>
      <w:r w:rsidRPr="00E70D4D">
        <w:t>representative.</w:t>
      </w:r>
    </w:p>
    <w:p w14:paraId="03903A8D" w14:textId="77777777" w:rsidR="00167BF2" w:rsidRDefault="00167BF2" w:rsidP="00570AA9">
      <w:pPr>
        <w:pStyle w:val="ListParagraph"/>
      </w:pPr>
    </w:p>
    <w:p w14:paraId="01212B99" w14:textId="77777777" w:rsidR="00167BF2" w:rsidRDefault="00167BF2" w:rsidP="00167BF2">
      <w:pPr>
        <w:numPr>
          <w:ilvl w:val="0"/>
          <w:numId w:val="12"/>
        </w:numPr>
        <w:autoSpaceDE w:val="0"/>
        <w:autoSpaceDN w:val="0"/>
        <w:adjustRightInd w:val="0"/>
      </w:pPr>
      <w:r>
        <w:t xml:space="preserve">Contracts should validate that the total number of grievances should be the sum of the grievances by category. </w:t>
      </w:r>
    </w:p>
    <w:p w14:paraId="35209797" w14:textId="77777777" w:rsidR="00167BF2" w:rsidRDefault="00167BF2" w:rsidP="00570AA9">
      <w:pPr>
        <w:pStyle w:val="ListParagraph"/>
      </w:pPr>
    </w:p>
    <w:p w14:paraId="677E15A2" w14:textId="284435D7" w:rsidR="00167BF2" w:rsidRDefault="00167BF2" w:rsidP="00167BF2">
      <w:pPr>
        <w:numPr>
          <w:ilvl w:val="0"/>
          <w:numId w:val="12"/>
        </w:numPr>
        <w:autoSpaceDE w:val="0"/>
        <w:autoSpaceDN w:val="0"/>
        <w:adjustRightInd w:val="0"/>
      </w:pPr>
      <w:r>
        <w:t xml:space="preserve">Grievances processed in an expedited manner would also be reported in a grievance category; sponsors should not double-count expedited grievances when verifying the </w:t>
      </w:r>
      <w:r>
        <w:lastRenderedPageBreak/>
        <w:t>number of total grievances has been reported correctly. Contracts should validate that the total number of timely notifications is equal to the sum of the total number of timely notifications for each category excluding expedited grievances.</w:t>
      </w:r>
    </w:p>
    <w:p w14:paraId="53D0927A" w14:textId="77777777" w:rsidR="00167BF2" w:rsidRDefault="00167BF2" w:rsidP="00570AA9">
      <w:pPr>
        <w:autoSpaceDE w:val="0"/>
        <w:autoSpaceDN w:val="0"/>
        <w:adjustRightInd w:val="0"/>
        <w:ind w:left="360"/>
      </w:pPr>
    </w:p>
    <w:p w14:paraId="56FC3595" w14:textId="77777777" w:rsidR="00176B0E" w:rsidRPr="00E70D4D" w:rsidRDefault="00176B0E" w:rsidP="00176B0E">
      <w:pPr>
        <w:autoSpaceDE w:val="0"/>
        <w:autoSpaceDN w:val="0"/>
        <w:adjustRightInd w:val="0"/>
        <w:rPr>
          <w:u w:val="single"/>
        </w:rPr>
      </w:pPr>
    </w:p>
    <w:p w14:paraId="24A0690D" w14:textId="257CFEC1" w:rsidR="00176B0E" w:rsidRPr="00D955AB" w:rsidRDefault="00176B0E" w:rsidP="00176B0E">
      <w:pPr>
        <w:autoSpaceDE w:val="0"/>
        <w:autoSpaceDN w:val="0"/>
        <w:adjustRightInd w:val="0"/>
      </w:pPr>
      <w:r w:rsidRPr="00D955AB">
        <w:t>The category, “Grievances Related to CMS Issues” involves grievances that primarily involve complaints concerning CMS’ policies, processes, or operations; the grievance is not directed against the health plan or providers.  The grievance category is meant to identify those grievances that are due to CMS issues, and are related to issues outside of the Plan's direct control.  This same type of categorization is used in the Complaint Tracking Module (CTM) and allows CMS to exclude those grievances that are outside of the Plan’s direct control, from the total number of grievances filed against the contract</w:t>
      </w:r>
      <w:r w:rsidR="006B4690">
        <w:t>.</w:t>
      </w:r>
    </w:p>
    <w:p w14:paraId="38EADBFC" w14:textId="77777777" w:rsidR="00176B0E" w:rsidRPr="00E70D4D" w:rsidRDefault="00176B0E" w:rsidP="00176B0E">
      <w:pPr>
        <w:autoSpaceDE w:val="0"/>
        <w:autoSpaceDN w:val="0"/>
        <w:adjustRightInd w:val="0"/>
      </w:pPr>
    </w:p>
    <w:p w14:paraId="2506183B" w14:textId="77777777" w:rsidR="00176B0E" w:rsidRPr="000F1894" w:rsidRDefault="00176B0E" w:rsidP="00176B0E">
      <w:pPr>
        <w:autoSpaceDE w:val="0"/>
        <w:autoSpaceDN w:val="0"/>
        <w:adjustRightInd w:val="0"/>
        <w:rPr>
          <w:rFonts w:eastAsia="Calibri"/>
          <w:b/>
          <w:u w:val="single"/>
        </w:rPr>
      </w:pPr>
      <w:r w:rsidRPr="000F1894">
        <w:rPr>
          <w:rFonts w:eastAsia="Calibri"/>
          <w:b/>
          <w:u w:val="single"/>
        </w:rPr>
        <w:t>Reporting Inclusions:</w:t>
      </w:r>
    </w:p>
    <w:p w14:paraId="75DC666C" w14:textId="77777777" w:rsidR="00176B0E" w:rsidRPr="00E70D4D" w:rsidRDefault="00176B0E" w:rsidP="00176B0E">
      <w:pPr>
        <w:autoSpaceDE w:val="0"/>
        <w:autoSpaceDN w:val="0"/>
        <w:adjustRightInd w:val="0"/>
        <w:rPr>
          <w:rFonts w:eastAsia="Calibri"/>
        </w:rPr>
      </w:pPr>
    </w:p>
    <w:p w14:paraId="23523905" w14:textId="77777777" w:rsidR="00176B0E" w:rsidRPr="00E70D4D" w:rsidRDefault="00176B0E" w:rsidP="00176B0E">
      <w:pPr>
        <w:autoSpaceDE w:val="0"/>
        <w:autoSpaceDN w:val="0"/>
        <w:adjustRightInd w:val="0"/>
        <w:rPr>
          <w:rFonts w:eastAsia="Calibri"/>
          <w:u w:val="single"/>
        </w:rPr>
      </w:pPr>
      <w:r w:rsidRPr="00E70D4D">
        <w:rPr>
          <w:rFonts w:eastAsia="Calibri"/>
          <w:u w:val="single"/>
        </w:rPr>
        <w:t xml:space="preserve">Report: </w:t>
      </w:r>
    </w:p>
    <w:p w14:paraId="24622AFE" w14:textId="77777777" w:rsidR="00176B0E" w:rsidRPr="00E70D4D" w:rsidRDefault="00176B0E" w:rsidP="00176B0E">
      <w:pPr>
        <w:autoSpaceDE w:val="0"/>
        <w:autoSpaceDN w:val="0"/>
        <w:adjustRightInd w:val="0"/>
      </w:pPr>
    </w:p>
    <w:p w14:paraId="65181243" w14:textId="16446E74" w:rsidR="00EB7520" w:rsidRDefault="00176B0E" w:rsidP="0040019D">
      <w:pPr>
        <w:numPr>
          <w:ilvl w:val="0"/>
          <w:numId w:val="12"/>
        </w:numPr>
        <w:autoSpaceDE w:val="0"/>
        <w:autoSpaceDN w:val="0"/>
        <w:adjustRightInd w:val="0"/>
      </w:pPr>
      <w:r w:rsidRPr="00E70D4D">
        <w:t>Only those grievances processed in accordance with the grievance procedures outlined in 42 CFR Part 422, Subpart M (i.e., Part C grievances).</w:t>
      </w:r>
      <w:r w:rsidR="00CD388D">
        <w:t xml:space="preserve"> </w:t>
      </w:r>
      <w:r w:rsidR="00884743">
        <w:t xml:space="preserve">Please note that MMP grievances are also included for reporting under these technical specifications. </w:t>
      </w:r>
    </w:p>
    <w:p w14:paraId="678172D3" w14:textId="77777777" w:rsidR="00176B0E" w:rsidRPr="00E70D4D" w:rsidRDefault="00176B0E" w:rsidP="00176B0E">
      <w:pPr>
        <w:autoSpaceDE w:val="0"/>
        <w:autoSpaceDN w:val="0"/>
        <w:adjustRightInd w:val="0"/>
      </w:pPr>
    </w:p>
    <w:p w14:paraId="6C1EE45D" w14:textId="77777777" w:rsidR="00EB7520" w:rsidRDefault="00176B0E" w:rsidP="0040019D">
      <w:pPr>
        <w:numPr>
          <w:ilvl w:val="0"/>
          <w:numId w:val="12"/>
        </w:numPr>
        <w:autoSpaceDE w:val="0"/>
        <w:autoSpaceDN w:val="0"/>
        <w:adjustRightInd w:val="0"/>
        <w:rPr>
          <w:color w:val="000000"/>
        </w:rPr>
      </w:pPr>
      <w:r w:rsidRPr="00E70D4D">
        <w:rPr>
          <w:color w:val="000000"/>
        </w:rPr>
        <w:t xml:space="preserve">Report grievances involving multiple issues under each applicable category. </w:t>
      </w:r>
    </w:p>
    <w:p w14:paraId="782BAA36" w14:textId="77777777" w:rsidR="00176B0E" w:rsidRPr="00E70D4D" w:rsidRDefault="00176B0E" w:rsidP="00176B0E"/>
    <w:p w14:paraId="3E2DBF25" w14:textId="77777777" w:rsidR="00EB7520" w:rsidRDefault="00176B0E" w:rsidP="0040019D">
      <w:pPr>
        <w:numPr>
          <w:ilvl w:val="0"/>
          <w:numId w:val="12"/>
        </w:numPr>
        <w:rPr>
          <w:rFonts w:ascii="Calibri" w:eastAsia="Calibri" w:hAnsi="Calibri"/>
          <w:sz w:val="22"/>
          <w:szCs w:val="22"/>
        </w:rPr>
      </w:pPr>
      <w:r w:rsidRPr="00E70D4D">
        <w:rPr>
          <w:rFonts w:eastAsia="Calibri"/>
        </w:rPr>
        <w:t>Report grievances if the member is ineligible on the date of the call to the plan but was eligible previously.</w:t>
      </w:r>
    </w:p>
    <w:p w14:paraId="7C0ACD13" w14:textId="77777777" w:rsidR="00176B0E" w:rsidRDefault="00176B0E" w:rsidP="003A2E8E">
      <w:pPr>
        <w:autoSpaceDE w:val="0"/>
        <w:autoSpaceDN w:val="0"/>
        <w:adjustRightInd w:val="0"/>
      </w:pPr>
    </w:p>
    <w:p w14:paraId="4F201439" w14:textId="4745F4E0" w:rsidR="003A2E8E" w:rsidRPr="00570AA9" w:rsidRDefault="003A2E8E" w:rsidP="003A2E8E">
      <w:pPr>
        <w:pStyle w:val="ListParagraph"/>
        <w:numPr>
          <w:ilvl w:val="0"/>
          <w:numId w:val="12"/>
        </w:numPr>
        <w:autoSpaceDE w:val="0"/>
        <w:autoSpaceDN w:val="0"/>
        <w:adjustRightInd w:val="0"/>
        <w:rPr>
          <w:u w:val="single"/>
        </w:rPr>
      </w:pPr>
      <w:r w:rsidRPr="00570AA9">
        <w:rPr>
          <w:rFonts w:ascii="Times New Roman" w:hAnsi="Times New Roman"/>
          <w:sz w:val="24"/>
          <w:szCs w:val="24"/>
          <w:u w:val="single"/>
        </w:rPr>
        <w:t>Dismissals</w:t>
      </w:r>
      <w:r w:rsidR="009B5CBA" w:rsidRPr="00570AA9">
        <w:rPr>
          <w:rFonts w:ascii="Times New Roman" w:hAnsi="Times New Roman"/>
          <w:sz w:val="24"/>
          <w:szCs w:val="24"/>
          <w:u w:val="single"/>
        </w:rPr>
        <w:t xml:space="preserve">: CMS expects that dismissed grievances represent a very small percentage of total Part C grievances a plan receives.  However, this element has been added to provide plans with a means to report grievances that are received but not processed by the plan because they do not meet the requirements for a valid grievance. </w:t>
      </w:r>
      <w:r w:rsidR="00C02F29" w:rsidRPr="00570AA9">
        <w:rPr>
          <w:rFonts w:ascii="Times New Roman" w:hAnsi="Times New Roman"/>
          <w:sz w:val="24"/>
          <w:szCs w:val="24"/>
          <w:u w:val="single"/>
        </w:rPr>
        <w:t xml:space="preserve"> Generally, a</w:t>
      </w:r>
      <w:r w:rsidR="009B5CBA" w:rsidRPr="00570AA9">
        <w:rPr>
          <w:rFonts w:ascii="Times New Roman" w:hAnsi="Times New Roman"/>
          <w:sz w:val="24"/>
          <w:szCs w:val="24"/>
          <w:u w:val="single"/>
        </w:rPr>
        <w:t xml:space="preserve"> </w:t>
      </w:r>
      <w:r w:rsidR="00C02F29" w:rsidRPr="0038554A">
        <w:rPr>
          <w:rFonts w:ascii="Times New Roman" w:hAnsi="Times New Roman"/>
          <w:sz w:val="24"/>
          <w:szCs w:val="24"/>
          <w:u w:val="single"/>
        </w:rPr>
        <w:t xml:space="preserve">dismissal would occur when the procedure </w:t>
      </w:r>
      <w:r w:rsidR="00D43B3F" w:rsidRPr="0093468F">
        <w:rPr>
          <w:rFonts w:ascii="Times New Roman" w:hAnsi="Times New Roman"/>
          <w:sz w:val="24"/>
          <w:szCs w:val="24"/>
          <w:u w:val="single"/>
        </w:rPr>
        <w:t>requirements</w:t>
      </w:r>
      <w:r w:rsidR="00C02F29" w:rsidRPr="0093468F">
        <w:rPr>
          <w:rFonts w:ascii="Times New Roman" w:hAnsi="Times New Roman"/>
          <w:sz w:val="24"/>
          <w:szCs w:val="24"/>
          <w:u w:val="single"/>
        </w:rPr>
        <w:t xml:space="preserve"> for a valid grievance are not met and th</w:t>
      </w:r>
      <w:r w:rsidR="00C02F29" w:rsidRPr="0038554A">
        <w:rPr>
          <w:rFonts w:ascii="Times New Roman" w:hAnsi="Times New Roman"/>
          <w:sz w:val="24"/>
          <w:szCs w:val="24"/>
          <w:u w:val="single"/>
        </w:rPr>
        <w:t xml:space="preserve">e plan is unable to cure the defect.  </w:t>
      </w:r>
      <w:r w:rsidR="009B5CBA" w:rsidRPr="00570AA9">
        <w:rPr>
          <w:rFonts w:ascii="Times New Roman" w:hAnsi="Times New Roman"/>
          <w:sz w:val="24"/>
          <w:szCs w:val="24"/>
          <w:u w:val="single"/>
        </w:rPr>
        <w:t>For example, a</w:t>
      </w:r>
      <w:r w:rsidR="00C02F29" w:rsidRPr="00570AA9">
        <w:rPr>
          <w:rFonts w:ascii="Times New Roman" w:hAnsi="Times New Roman"/>
          <w:sz w:val="24"/>
          <w:szCs w:val="24"/>
          <w:u w:val="single"/>
        </w:rPr>
        <w:t xml:space="preserve"> grievance is received from a purported representative of the enrollee, but a properly </w:t>
      </w:r>
      <w:r w:rsidR="009B5CBA" w:rsidRPr="00570AA9">
        <w:rPr>
          <w:rFonts w:ascii="Times New Roman" w:hAnsi="Times New Roman"/>
          <w:sz w:val="24"/>
          <w:szCs w:val="24"/>
          <w:u w:val="single"/>
        </w:rPr>
        <w:t xml:space="preserve">executed appointment of representative form has not been filed and there is no other documentation to show that the individual is legally authorized to act on the enrollee’s behalf </w:t>
      </w:r>
      <w:r w:rsidR="00C02F29" w:rsidRPr="00570AA9">
        <w:rPr>
          <w:rFonts w:ascii="Times New Roman" w:hAnsi="Times New Roman"/>
          <w:sz w:val="24"/>
          <w:szCs w:val="24"/>
          <w:u w:val="single"/>
        </w:rPr>
        <w:t xml:space="preserve">and the plan is unable to obtain the required documentation in a reasonable amount of time and therefore, dismisses the grievance.  See </w:t>
      </w:r>
      <w:r w:rsidR="009B5CBA" w:rsidRPr="00570AA9">
        <w:rPr>
          <w:rFonts w:ascii="Times New Roman" w:hAnsi="Times New Roman"/>
          <w:sz w:val="24"/>
          <w:szCs w:val="24"/>
          <w:u w:val="single"/>
        </w:rPr>
        <w:t>guidance set forth in section 10.4.1 of Chapter 13.</w:t>
      </w:r>
    </w:p>
    <w:p w14:paraId="7FF14995" w14:textId="77777777" w:rsidR="003A2E8E" w:rsidRDefault="003A2E8E" w:rsidP="003A2E8E">
      <w:pPr>
        <w:pStyle w:val="ListParagraph"/>
      </w:pPr>
    </w:p>
    <w:p w14:paraId="453E3E85" w14:textId="77777777" w:rsidR="003A2E8E" w:rsidRPr="00E70D4D" w:rsidRDefault="003A2E8E" w:rsidP="001C585A">
      <w:pPr>
        <w:autoSpaceDE w:val="0"/>
        <w:autoSpaceDN w:val="0"/>
        <w:adjustRightInd w:val="0"/>
      </w:pPr>
    </w:p>
    <w:p w14:paraId="6960496C" w14:textId="77777777" w:rsidR="00D83E74" w:rsidRDefault="00D83E74" w:rsidP="00176B0E">
      <w:pPr>
        <w:autoSpaceDE w:val="0"/>
        <w:autoSpaceDN w:val="0"/>
        <w:adjustRightInd w:val="0"/>
        <w:rPr>
          <w:rFonts w:eastAsia="Calibri"/>
          <w:b/>
          <w:u w:val="single"/>
        </w:rPr>
      </w:pPr>
    </w:p>
    <w:p w14:paraId="456A3B8D" w14:textId="77777777" w:rsidR="00176B0E" w:rsidRPr="00E70D4D" w:rsidRDefault="00176B0E" w:rsidP="00176B0E">
      <w:pPr>
        <w:autoSpaceDE w:val="0"/>
        <w:autoSpaceDN w:val="0"/>
        <w:adjustRightInd w:val="0"/>
        <w:rPr>
          <w:rFonts w:eastAsia="Calibri"/>
          <w:b/>
          <w:u w:val="single"/>
        </w:rPr>
      </w:pPr>
      <w:r w:rsidRPr="00E70D4D">
        <w:rPr>
          <w:rFonts w:eastAsia="Calibri"/>
          <w:b/>
          <w:u w:val="single"/>
        </w:rPr>
        <w:t>Reporting Exclusions:</w:t>
      </w:r>
    </w:p>
    <w:p w14:paraId="177B6E8F" w14:textId="77777777" w:rsidR="00176B0E" w:rsidRPr="00E70D4D" w:rsidRDefault="00176B0E" w:rsidP="00176B0E">
      <w:pPr>
        <w:autoSpaceDE w:val="0"/>
        <w:autoSpaceDN w:val="0"/>
        <w:adjustRightInd w:val="0"/>
        <w:rPr>
          <w:rFonts w:eastAsia="Calibri"/>
          <w:u w:val="single"/>
        </w:rPr>
      </w:pPr>
    </w:p>
    <w:p w14:paraId="754D31B9" w14:textId="77777777" w:rsidR="00176B0E" w:rsidRPr="00E70D4D" w:rsidRDefault="00176B0E" w:rsidP="00176B0E">
      <w:pPr>
        <w:autoSpaceDE w:val="0"/>
        <w:autoSpaceDN w:val="0"/>
        <w:adjustRightInd w:val="0"/>
        <w:rPr>
          <w:rFonts w:eastAsia="Calibri"/>
          <w:u w:val="single"/>
        </w:rPr>
      </w:pPr>
      <w:r w:rsidRPr="00570AA9">
        <w:rPr>
          <w:rFonts w:eastAsia="Calibri"/>
        </w:rPr>
        <w:t>Do not report</w:t>
      </w:r>
      <w:r w:rsidRPr="00E70D4D">
        <w:rPr>
          <w:rFonts w:eastAsia="Calibri"/>
          <w:u w:val="single"/>
        </w:rPr>
        <w:t xml:space="preserve">: </w:t>
      </w:r>
    </w:p>
    <w:p w14:paraId="27859A28" w14:textId="61D00925" w:rsidR="00EB7520" w:rsidRDefault="00176B0E" w:rsidP="0040019D">
      <w:pPr>
        <w:numPr>
          <w:ilvl w:val="0"/>
          <w:numId w:val="14"/>
        </w:numPr>
        <w:autoSpaceDE w:val="0"/>
        <w:autoSpaceDN w:val="0"/>
      </w:pPr>
      <w:r w:rsidRPr="00E70D4D">
        <w:rPr>
          <w:color w:val="000000"/>
        </w:rPr>
        <w:t>Enrollee complaints only made through the CMS Complaints Tracking Module (CTM)</w:t>
      </w:r>
      <w:r w:rsidR="005C4F7E" w:rsidRPr="00E70D4D">
        <w:rPr>
          <w:color w:val="000000"/>
        </w:rPr>
        <w:t xml:space="preserve">.  </w:t>
      </w:r>
      <w:r w:rsidRPr="00E70D4D">
        <w:rPr>
          <w:color w:val="000000"/>
        </w:rPr>
        <w:t xml:space="preserve">CTM complaints are addressed through a process that is separate and distinct from the </w:t>
      </w:r>
      <w:r w:rsidRPr="00E70D4D">
        <w:rPr>
          <w:color w:val="000000"/>
        </w:rPr>
        <w:lastRenderedPageBreak/>
        <w:t>plan’s procedures for handling enrollee grievances</w:t>
      </w:r>
      <w:r w:rsidR="005C4F7E" w:rsidRPr="00E70D4D">
        <w:rPr>
          <w:color w:val="000000"/>
        </w:rPr>
        <w:t xml:space="preserve">. </w:t>
      </w:r>
      <w:r w:rsidRPr="00E70D4D">
        <w:rPr>
          <w:color w:val="000000"/>
        </w:rPr>
        <w:t xml:space="preserve">Therefore, </w:t>
      </w:r>
      <w:r w:rsidRPr="00E70D4D">
        <w:t xml:space="preserve">plans should not report their CTM records to CMS as their grievance logs.  </w:t>
      </w:r>
    </w:p>
    <w:p w14:paraId="4B77AFC5" w14:textId="77777777" w:rsidR="00176B0E" w:rsidRPr="00E70D4D" w:rsidRDefault="00176B0E" w:rsidP="00176B0E">
      <w:pPr>
        <w:autoSpaceDE w:val="0"/>
        <w:autoSpaceDN w:val="0"/>
      </w:pPr>
    </w:p>
    <w:p w14:paraId="499EFE18" w14:textId="77777777" w:rsidR="00EB7520" w:rsidRDefault="00176B0E" w:rsidP="0040019D">
      <w:pPr>
        <w:numPr>
          <w:ilvl w:val="0"/>
          <w:numId w:val="14"/>
        </w:numPr>
        <w:autoSpaceDE w:val="0"/>
        <w:autoSpaceDN w:val="0"/>
      </w:pPr>
      <w:r w:rsidRPr="00E70D4D">
        <w:t>Withdrawn grievances.</w:t>
      </w:r>
    </w:p>
    <w:p w14:paraId="3183FD49" w14:textId="77777777" w:rsidR="003A2E8E" w:rsidRDefault="003A2E8E" w:rsidP="003A2E8E">
      <w:pPr>
        <w:pStyle w:val="ListParagraph"/>
      </w:pPr>
    </w:p>
    <w:p w14:paraId="13182F7A" w14:textId="77777777" w:rsidR="00EB7520" w:rsidRDefault="00176B0E" w:rsidP="0040019D">
      <w:pPr>
        <w:numPr>
          <w:ilvl w:val="0"/>
          <w:numId w:val="14"/>
        </w:numPr>
        <w:autoSpaceDE w:val="0"/>
        <w:autoSpaceDN w:val="0"/>
      </w:pPr>
      <w:r w:rsidRPr="00E70D4D">
        <w:t>Enrollee grievances processed in accordance with the grievance procedures described under 42 C.F.R., Part 423, Subpart M (i.e., Part D grievances).</w:t>
      </w:r>
    </w:p>
    <w:p w14:paraId="21E21757" w14:textId="77777777" w:rsidR="00176B0E" w:rsidRDefault="00176B0E" w:rsidP="00176B0E"/>
    <w:p w14:paraId="26979757" w14:textId="77777777" w:rsidR="003F25F3" w:rsidRPr="00E70D4D" w:rsidRDefault="003F25F3" w:rsidP="003F25F3"/>
    <w:p w14:paraId="79A62B09" w14:textId="77777777" w:rsidR="00176B0E" w:rsidRPr="00E70D4D" w:rsidRDefault="00176B0E" w:rsidP="00176B0E">
      <w:pPr>
        <w:spacing w:after="200" w:line="276" w:lineRule="auto"/>
        <w:rPr>
          <w:rFonts w:eastAsia="Calibri"/>
        </w:rPr>
      </w:pPr>
      <w:r w:rsidRPr="00E70D4D">
        <w:rPr>
          <w:rFonts w:eastAsia="Calibri"/>
          <w:b/>
          <w:u w:val="single"/>
        </w:rPr>
        <w:t>Additional Guidance</w:t>
      </w:r>
    </w:p>
    <w:p w14:paraId="6CF480F1" w14:textId="39D30616" w:rsidR="00EB7520" w:rsidRDefault="00176B0E" w:rsidP="0040019D">
      <w:pPr>
        <w:pStyle w:val="ListParagraph"/>
        <w:numPr>
          <w:ilvl w:val="0"/>
          <w:numId w:val="5"/>
        </w:numPr>
      </w:pPr>
      <w:r w:rsidRPr="00D955AB">
        <w:rPr>
          <w:rFonts w:ascii="Times New Roman" w:hAnsi="Times New Roman"/>
          <w:sz w:val="24"/>
          <w:szCs w:val="24"/>
        </w:rPr>
        <w:t>In cases where an extension is requested after the required decision making timeframe has elapsed, the plan is to report the decision as non-timely.  For example</w:t>
      </w:r>
      <w:r w:rsidR="0088238C">
        <w:rPr>
          <w:rFonts w:ascii="Times New Roman" w:hAnsi="Times New Roman"/>
          <w:sz w:val="24"/>
          <w:szCs w:val="24"/>
        </w:rPr>
        <w:t>,</w:t>
      </w:r>
      <w:r w:rsidR="0088238C" w:rsidRPr="00D955AB">
        <w:rPr>
          <w:rFonts w:ascii="Times New Roman" w:hAnsi="Times New Roman"/>
          <w:sz w:val="24"/>
          <w:szCs w:val="24"/>
        </w:rPr>
        <w:t xml:space="preserve"> Plan</w:t>
      </w:r>
      <w:r w:rsidRPr="00D955AB">
        <w:rPr>
          <w:rFonts w:ascii="Times New Roman" w:hAnsi="Times New Roman"/>
          <w:sz w:val="24"/>
          <w:szCs w:val="24"/>
        </w:rPr>
        <w:t xml:space="preserve"> receives grievance on 1/1/201</w:t>
      </w:r>
      <w:r w:rsidR="003F25F3">
        <w:rPr>
          <w:rFonts w:ascii="Times New Roman" w:hAnsi="Times New Roman"/>
          <w:sz w:val="24"/>
          <w:szCs w:val="24"/>
        </w:rPr>
        <w:t>6</w:t>
      </w:r>
      <w:r w:rsidRPr="00D955AB">
        <w:rPr>
          <w:rFonts w:ascii="Times New Roman" w:hAnsi="Times New Roman"/>
          <w:sz w:val="24"/>
          <w:szCs w:val="24"/>
        </w:rPr>
        <w:t xml:space="preserve"> at 04:00pm.  An extension is requested at 1/31/201</w:t>
      </w:r>
      <w:r w:rsidR="003F25F3">
        <w:rPr>
          <w:rFonts w:ascii="Times New Roman" w:hAnsi="Times New Roman"/>
          <w:sz w:val="24"/>
          <w:szCs w:val="24"/>
        </w:rPr>
        <w:t>6</w:t>
      </w:r>
      <w:r w:rsidRPr="00D955AB">
        <w:rPr>
          <w:rFonts w:ascii="Times New Roman" w:hAnsi="Times New Roman"/>
          <w:sz w:val="24"/>
          <w:szCs w:val="24"/>
        </w:rPr>
        <w:t xml:space="preserve"> 04:05pm.  Plan completes investigation and provides notification on 2/5/201</w:t>
      </w:r>
      <w:r w:rsidR="003F25F3">
        <w:rPr>
          <w:rFonts w:ascii="Times New Roman" w:hAnsi="Times New Roman"/>
          <w:sz w:val="24"/>
          <w:szCs w:val="24"/>
        </w:rPr>
        <w:t>6</w:t>
      </w:r>
      <w:r w:rsidRPr="00D955AB">
        <w:rPr>
          <w:rFonts w:ascii="Times New Roman" w:hAnsi="Times New Roman"/>
          <w:sz w:val="24"/>
          <w:szCs w:val="24"/>
        </w:rPr>
        <w:t xml:space="preserve"> 04:00pm (35 calendar days after receipt)</w:t>
      </w:r>
      <w:r w:rsidR="005C4F7E" w:rsidRPr="00D955AB">
        <w:rPr>
          <w:rFonts w:ascii="Times New Roman" w:hAnsi="Times New Roman"/>
          <w:sz w:val="24"/>
          <w:szCs w:val="24"/>
        </w:rPr>
        <w:t xml:space="preserve">.  </w:t>
      </w:r>
      <w:r w:rsidRPr="00D955AB">
        <w:rPr>
          <w:rFonts w:ascii="Times New Roman" w:hAnsi="Times New Roman"/>
          <w:sz w:val="24"/>
          <w:szCs w:val="24"/>
        </w:rPr>
        <w:t>This grievance is not considered timely for reporting as the decision was rendered more than 30 calendar days after receipt.</w:t>
      </w:r>
    </w:p>
    <w:p w14:paraId="7B03A1F2" w14:textId="77777777" w:rsidR="00176B0E" w:rsidRPr="003C3BF7" w:rsidRDefault="00176B0E" w:rsidP="00176B0E">
      <w:pPr>
        <w:ind w:left="720"/>
        <w:rPr>
          <w:rFonts w:eastAsia="Calibri"/>
        </w:rPr>
      </w:pPr>
    </w:p>
    <w:p w14:paraId="5568BF9E" w14:textId="77777777" w:rsidR="00EB7520" w:rsidRDefault="00176B0E" w:rsidP="0040019D">
      <w:pPr>
        <w:numPr>
          <w:ilvl w:val="0"/>
          <w:numId w:val="5"/>
        </w:numPr>
        <w:rPr>
          <w:rFonts w:eastAsia="Calibri"/>
        </w:rPr>
      </w:pPr>
      <w:r w:rsidRPr="00D955AB">
        <w:rPr>
          <w:rFonts w:eastAsia="Calibri"/>
        </w:rPr>
        <w:t xml:space="preserve">If an enrollee files a grievance and then files a subsequent grievance on the same issue </w:t>
      </w:r>
      <w:r w:rsidRPr="00D955AB">
        <w:rPr>
          <w:rFonts w:eastAsia="Calibri"/>
          <w:i/>
          <w:iCs/>
        </w:rPr>
        <w:t>prior to</w:t>
      </w:r>
      <w:r w:rsidRPr="00D955AB">
        <w:rPr>
          <w:rFonts w:eastAsia="Calibri"/>
        </w:rPr>
        <w:t xml:space="preserve"> the organization’s decision or deadline for decision notification (whichever is earlier), then the issue is counted as one grievance.</w:t>
      </w:r>
    </w:p>
    <w:p w14:paraId="2E8BF03C" w14:textId="77777777" w:rsidR="00176B0E" w:rsidRPr="003C3BF7" w:rsidRDefault="00176B0E" w:rsidP="00176B0E">
      <w:pPr>
        <w:ind w:left="720"/>
        <w:rPr>
          <w:rFonts w:eastAsia="Calibri"/>
        </w:rPr>
      </w:pPr>
    </w:p>
    <w:p w14:paraId="498BED7C" w14:textId="77777777" w:rsidR="00EB7520" w:rsidRPr="00B9542A" w:rsidRDefault="00176B0E" w:rsidP="0040019D">
      <w:pPr>
        <w:numPr>
          <w:ilvl w:val="0"/>
          <w:numId w:val="5"/>
        </w:numPr>
        <w:autoSpaceDE w:val="0"/>
        <w:autoSpaceDN w:val="0"/>
        <w:adjustRightInd w:val="0"/>
      </w:pPr>
      <w:r w:rsidRPr="00D955AB">
        <w:rPr>
          <w:color w:val="000000"/>
        </w:rPr>
        <w:t xml:space="preserve">If an enrollee files a grievance and then files a subsequent grievance on the same issue </w:t>
      </w:r>
      <w:r w:rsidRPr="00D955AB">
        <w:rPr>
          <w:i/>
          <w:iCs/>
          <w:color w:val="000000"/>
        </w:rPr>
        <w:t>after</w:t>
      </w:r>
      <w:r w:rsidRPr="00D955AB">
        <w:rPr>
          <w:color w:val="000000"/>
        </w:rPr>
        <w:t xml:space="preserve"> the organization’s decision or deadline for decision notification (whichever is earlier), then the issue is counted as a separate grievance.</w:t>
      </w:r>
    </w:p>
    <w:p w14:paraId="2A02B9F3" w14:textId="77777777" w:rsidR="008C34AE" w:rsidRDefault="008C34AE" w:rsidP="00B9542A">
      <w:pPr>
        <w:pStyle w:val="ListParagraph"/>
      </w:pPr>
    </w:p>
    <w:p w14:paraId="3A679178" w14:textId="77777777" w:rsidR="00057457" w:rsidRPr="00327BCB" w:rsidRDefault="00057457" w:rsidP="00327BCB">
      <w:pPr>
        <w:pStyle w:val="ListParagraph"/>
        <w:numPr>
          <w:ilvl w:val="0"/>
          <w:numId w:val="5"/>
        </w:numPr>
        <w:rPr>
          <w:noProof/>
          <w:u w:val="single"/>
        </w:rPr>
      </w:pPr>
      <w:r w:rsidRPr="00327BCB">
        <w:rPr>
          <w:rFonts w:ascii="Times New Roman" w:hAnsi="Times New Roman"/>
          <w:noProof/>
          <w:sz w:val="24"/>
          <w:szCs w:val="24"/>
          <w:u w:val="single"/>
        </w:rPr>
        <w:t>If the enrollee files a grievance with a previous contract, but enrolls in a new contract before the grievance is resolved, the previous contract is still responsible for investigating, resolving and reporting the grievance.</w:t>
      </w:r>
    </w:p>
    <w:p w14:paraId="3244788B" w14:textId="77777777" w:rsidR="00057457" w:rsidRPr="00057457" w:rsidRDefault="00057457" w:rsidP="00057457"/>
    <w:p w14:paraId="02088704" w14:textId="77777777" w:rsidR="00EB7520" w:rsidRDefault="00176B0E" w:rsidP="0040019D">
      <w:pPr>
        <w:numPr>
          <w:ilvl w:val="0"/>
          <w:numId w:val="5"/>
        </w:numPr>
        <w:autoSpaceDE w:val="0"/>
        <w:autoSpaceDN w:val="0"/>
        <w:adjustRightInd w:val="0"/>
        <w:rPr>
          <w:color w:val="000000"/>
        </w:rPr>
      </w:pPr>
      <w:r w:rsidRPr="000F1894">
        <w:rPr>
          <w:i/>
          <w:iCs/>
          <w:color w:val="000000"/>
        </w:rPr>
        <w:t xml:space="preserve">For MA-PD contracts: </w:t>
      </w:r>
      <w:r w:rsidRPr="000F1894">
        <w:rPr>
          <w:color w:val="000000"/>
        </w:rPr>
        <w:t xml:space="preserve">Include only grievances that apply to the Part C benefit.  (If a clear distinction cannot be made for an MA-PD, cases are reported as Part C grievances.) </w:t>
      </w:r>
    </w:p>
    <w:p w14:paraId="1C306305" w14:textId="77777777" w:rsidR="003B3C96" w:rsidRDefault="003B3C96" w:rsidP="003B3C96">
      <w:pPr>
        <w:pStyle w:val="ListParagraph"/>
        <w:rPr>
          <w:color w:val="000000"/>
        </w:rPr>
      </w:pPr>
    </w:p>
    <w:p w14:paraId="07538400" w14:textId="77777777" w:rsidR="003B3C96" w:rsidRDefault="003B3C96" w:rsidP="003B3C96">
      <w:pPr>
        <w:autoSpaceDE w:val="0"/>
        <w:autoSpaceDN w:val="0"/>
        <w:adjustRightInd w:val="0"/>
        <w:rPr>
          <w:color w:val="000000"/>
        </w:rPr>
      </w:pPr>
      <w:r>
        <w:rPr>
          <w:color w:val="000000"/>
        </w:rPr>
        <w:t xml:space="preserve">For additional details concerning Reporting Section 5 reporting requirements, see the Part C Reporting Module and Appendix 1: FAQs: Reporting Sections 5 &amp; 6. </w:t>
      </w:r>
    </w:p>
    <w:p w14:paraId="29FB9B90" w14:textId="77777777" w:rsidR="003B3C96" w:rsidRDefault="003B3C96" w:rsidP="003B3C96">
      <w:pPr>
        <w:pStyle w:val="ListParagraph"/>
        <w:rPr>
          <w:color w:val="000000"/>
        </w:rPr>
      </w:pPr>
    </w:p>
    <w:p w14:paraId="348BB98E" w14:textId="77777777" w:rsidR="001E2A7F" w:rsidRDefault="001E2A7F">
      <w:pPr>
        <w:rPr>
          <w:color w:val="000000"/>
        </w:rPr>
      </w:pPr>
      <w:r>
        <w:rPr>
          <w:color w:val="000000"/>
        </w:rPr>
        <w:br w:type="page"/>
      </w:r>
    </w:p>
    <w:p w14:paraId="6F5A590B" w14:textId="77777777" w:rsidR="00176B0E" w:rsidRPr="00C36585" w:rsidRDefault="00176B0E" w:rsidP="00C36585">
      <w:pPr>
        <w:pStyle w:val="Heading3"/>
        <w:rPr>
          <w:b w:val="0"/>
          <w:caps/>
        </w:rPr>
      </w:pPr>
      <w:bookmarkStart w:id="35" w:name="_Toc436825816"/>
      <w:bookmarkStart w:id="36" w:name="_Toc475956103"/>
      <w:r w:rsidRPr="00C36585">
        <w:rPr>
          <w:rFonts w:ascii="Times New Roman" w:hAnsi="Times New Roman" w:cs="Times New Roman"/>
          <w:caps/>
          <w:sz w:val="24"/>
        </w:rPr>
        <w:lastRenderedPageBreak/>
        <w:t>6. Organization Determinations/Reconsiderations</w:t>
      </w:r>
      <w:bookmarkEnd w:id="35"/>
      <w:bookmarkEnd w:id="36"/>
    </w:p>
    <w:p w14:paraId="781700BD" w14:textId="77777777" w:rsidR="00176B0E" w:rsidRPr="00E70D4D" w:rsidRDefault="00176B0E" w:rsidP="00176B0E"/>
    <w:tbl>
      <w:tblPr>
        <w:tblpPr w:leftFromText="180" w:rightFromText="180" w:vertAnchor="text" w:horzAnchor="margin" w:tblpY="-48"/>
        <w:tblW w:w="8865" w:type="dxa"/>
        <w:tblCellMar>
          <w:left w:w="0" w:type="dxa"/>
          <w:right w:w="0" w:type="dxa"/>
        </w:tblCellMar>
        <w:tblLook w:val="04A0" w:firstRow="1" w:lastRow="0" w:firstColumn="1" w:lastColumn="0" w:noHBand="0" w:noVBand="1"/>
      </w:tblPr>
      <w:tblGrid>
        <w:gridCol w:w="1906"/>
        <w:gridCol w:w="2484"/>
        <w:gridCol w:w="1078"/>
        <w:gridCol w:w="1176"/>
        <w:gridCol w:w="2221"/>
      </w:tblGrid>
      <w:tr w:rsidR="00176B0E" w:rsidRPr="00E70D4D" w14:paraId="4A84C9D9" w14:textId="77777777" w:rsidTr="00A451BC">
        <w:trPr>
          <w:trHeight w:val="790"/>
        </w:trPr>
        <w:tc>
          <w:tcPr>
            <w:tcW w:w="190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5845BB5" w14:textId="77777777" w:rsidR="00176B0E" w:rsidRPr="00E70D4D" w:rsidRDefault="00176B0E" w:rsidP="003B3C96">
            <w:pPr>
              <w:autoSpaceDE w:val="0"/>
              <w:autoSpaceDN w:val="0"/>
              <w:jc w:val="center"/>
            </w:pPr>
          </w:p>
          <w:p w14:paraId="61BEEAC5" w14:textId="77777777" w:rsidR="00176B0E" w:rsidRPr="00E70D4D" w:rsidRDefault="00176B0E" w:rsidP="003B3C96">
            <w:pPr>
              <w:autoSpaceDE w:val="0"/>
              <w:autoSpaceDN w:val="0"/>
              <w:jc w:val="center"/>
              <w:rPr>
                <w:rFonts w:eastAsia="Calibri"/>
                <w:b/>
                <w:bCs/>
              </w:rPr>
            </w:pPr>
            <w:r w:rsidRPr="00E70D4D">
              <w:t> </w:t>
            </w:r>
            <w:r w:rsidRPr="00E70D4D">
              <w:rPr>
                <w:b/>
                <w:bCs/>
              </w:rPr>
              <w:t>Reporting section</w:t>
            </w:r>
          </w:p>
        </w:tc>
        <w:tc>
          <w:tcPr>
            <w:tcW w:w="251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441745C" w14:textId="77777777" w:rsidR="00176B0E" w:rsidRPr="00E70D4D" w:rsidRDefault="00176B0E" w:rsidP="003B3C96">
            <w:pPr>
              <w:autoSpaceDE w:val="0"/>
              <w:autoSpaceDN w:val="0"/>
              <w:jc w:val="center"/>
              <w:rPr>
                <w:rFonts w:eastAsia="Calibri"/>
                <w:b/>
                <w:bCs/>
              </w:rPr>
            </w:pPr>
            <w:r w:rsidRPr="00E70D4D">
              <w:rPr>
                <w:b/>
                <w:bCs/>
              </w:rPr>
              <w:t>Organization Types Required to Report</w:t>
            </w: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E19E3BD" w14:textId="77777777" w:rsidR="00176B0E" w:rsidRPr="00E70D4D" w:rsidRDefault="00176B0E" w:rsidP="003B3C96">
            <w:pPr>
              <w:autoSpaceDE w:val="0"/>
              <w:autoSpaceDN w:val="0"/>
              <w:jc w:val="center"/>
              <w:rPr>
                <w:rFonts w:eastAsia="Calibri"/>
                <w:b/>
                <w:bCs/>
              </w:rPr>
            </w:pPr>
            <w:r w:rsidRPr="00E70D4D">
              <w:rPr>
                <w:b/>
                <w:bCs/>
              </w:rPr>
              <w:t>Report Freq./</w:t>
            </w:r>
          </w:p>
          <w:p w14:paraId="124275F2" w14:textId="77777777" w:rsidR="00176B0E" w:rsidRPr="00E70D4D" w:rsidRDefault="00176B0E" w:rsidP="003B3C96">
            <w:pPr>
              <w:autoSpaceDE w:val="0"/>
              <w:autoSpaceDN w:val="0"/>
              <w:jc w:val="center"/>
              <w:rPr>
                <w:rFonts w:eastAsia="Calibri"/>
                <w:b/>
                <w:bCs/>
              </w:rPr>
            </w:pPr>
            <w:r w:rsidRPr="00E70D4D">
              <w:rPr>
                <w:b/>
                <w:bCs/>
              </w:rPr>
              <w:t>Level</w:t>
            </w: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AB385CE" w14:textId="77777777" w:rsidR="00176B0E" w:rsidRPr="00E70D4D" w:rsidRDefault="00176B0E" w:rsidP="003B3C96">
            <w:pPr>
              <w:autoSpaceDE w:val="0"/>
              <w:autoSpaceDN w:val="0"/>
              <w:jc w:val="center"/>
              <w:rPr>
                <w:rFonts w:eastAsia="Calibri"/>
                <w:b/>
                <w:bCs/>
              </w:rPr>
            </w:pPr>
            <w:r w:rsidRPr="00E70D4D">
              <w:rPr>
                <w:b/>
                <w:bCs/>
              </w:rPr>
              <w:t>Report</w:t>
            </w:r>
          </w:p>
          <w:p w14:paraId="7420EED9" w14:textId="77777777" w:rsidR="00176B0E" w:rsidRPr="00E70D4D" w:rsidRDefault="00176B0E" w:rsidP="003B3C96">
            <w:pPr>
              <w:autoSpaceDE w:val="0"/>
              <w:autoSpaceDN w:val="0"/>
              <w:jc w:val="center"/>
              <w:rPr>
                <w:rFonts w:eastAsia="Calibri"/>
                <w:b/>
                <w:bCs/>
              </w:rPr>
            </w:pPr>
            <w:r w:rsidRPr="00E70D4D">
              <w:rPr>
                <w:b/>
                <w:bCs/>
              </w:rPr>
              <w:t>Period (s)</w:t>
            </w:r>
          </w:p>
        </w:tc>
        <w:tc>
          <w:tcPr>
            <w:tcW w:w="227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E77F1D2" w14:textId="77777777" w:rsidR="00176B0E" w:rsidRPr="00E70D4D" w:rsidRDefault="00176B0E" w:rsidP="003B3C96">
            <w:pPr>
              <w:autoSpaceDE w:val="0"/>
              <w:autoSpaceDN w:val="0"/>
              <w:jc w:val="center"/>
              <w:rPr>
                <w:rFonts w:eastAsia="Calibri"/>
                <w:b/>
                <w:bCs/>
              </w:rPr>
            </w:pPr>
            <w:r w:rsidRPr="00E70D4D">
              <w:rPr>
                <w:b/>
                <w:bCs/>
              </w:rPr>
              <w:t>Data Due date (s)</w:t>
            </w:r>
          </w:p>
        </w:tc>
      </w:tr>
      <w:tr w:rsidR="00176B0E" w:rsidRPr="00E70D4D" w14:paraId="4725523F" w14:textId="77777777" w:rsidTr="003B3C96">
        <w:tc>
          <w:tcPr>
            <w:tcW w:w="19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06B63" w14:textId="77777777" w:rsidR="00176B0E" w:rsidRPr="00E70D4D" w:rsidRDefault="00176B0E" w:rsidP="003B3C96">
            <w:pPr>
              <w:autoSpaceDE w:val="0"/>
              <w:autoSpaceDN w:val="0"/>
              <w:rPr>
                <w:rFonts w:eastAsia="Calibri"/>
              </w:rPr>
            </w:pPr>
            <w:r w:rsidRPr="00E70D4D">
              <w:t>6. Organization Determinations/</w:t>
            </w:r>
          </w:p>
          <w:p w14:paraId="3964A1D6" w14:textId="77777777" w:rsidR="00176B0E" w:rsidRPr="00E70D4D" w:rsidRDefault="00176B0E" w:rsidP="003B3C96">
            <w:pPr>
              <w:autoSpaceDE w:val="0"/>
              <w:autoSpaceDN w:val="0"/>
              <w:rPr>
                <w:rFonts w:eastAsia="Calibri"/>
              </w:rPr>
            </w:pPr>
            <w:r w:rsidRPr="00E70D4D">
              <w:t>Reconsiderations</w:t>
            </w: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64A165A8" w14:textId="77777777" w:rsidR="00176B0E" w:rsidRPr="00E70D4D" w:rsidRDefault="00176B0E" w:rsidP="003B3C96">
            <w:pPr>
              <w:autoSpaceDE w:val="0"/>
              <w:autoSpaceDN w:val="0"/>
              <w:rPr>
                <w:rFonts w:eastAsia="Calibri"/>
              </w:rPr>
            </w:pPr>
            <w:r w:rsidRPr="00E70D4D">
              <w:t>01 – Local CCP</w:t>
            </w:r>
          </w:p>
          <w:p w14:paraId="1EC5D2D9" w14:textId="77777777" w:rsidR="00176B0E" w:rsidRPr="00E70D4D" w:rsidRDefault="00176B0E" w:rsidP="003B3C96">
            <w:pPr>
              <w:autoSpaceDE w:val="0"/>
              <w:autoSpaceDN w:val="0"/>
            </w:pPr>
            <w:r w:rsidRPr="00E70D4D">
              <w:t xml:space="preserve">02 </w:t>
            </w:r>
            <w:r w:rsidR="00DF6B14">
              <w:t>–</w:t>
            </w:r>
            <w:r w:rsidRPr="00E70D4D">
              <w:t>MSA</w:t>
            </w:r>
          </w:p>
          <w:p w14:paraId="26368921" w14:textId="77777777" w:rsidR="00176B0E" w:rsidRPr="00E70D4D" w:rsidRDefault="00176B0E" w:rsidP="003B3C96">
            <w:pPr>
              <w:autoSpaceDE w:val="0"/>
              <w:autoSpaceDN w:val="0"/>
            </w:pPr>
            <w:r w:rsidRPr="00E70D4D">
              <w:t>03 – RFB PFFS</w:t>
            </w:r>
          </w:p>
          <w:p w14:paraId="1537769B" w14:textId="77777777" w:rsidR="00176B0E" w:rsidRPr="00E70D4D" w:rsidRDefault="00176B0E" w:rsidP="003B3C96">
            <w:pPr>
              <w:autoSpaceDE w:val="0"/>
              <w:autoSpaceDN w:val="0"/>
            </w:pPr>
            <w:r w:rsidRPr="00E70D4D">
              <w:t xml:space="preserve">04 </w:t>
            </w:r>
            <w:r w:rsidR="00DF6B14">
              <w:t>–</w:t>
            </w:r>
            <w:r w:rsidRPr="00E70D4D">
              <w:t>PFFS</w:t>
            </w:r>
          </w:p>
          <w:p w14:paraId="0BCDD3F4" w14:textId="77777777" w:rsidR="00176B0E" w:rsidRPr="00E70D4D" w:rsidRDefault="00176B0E" w:rsidP="003B3C96">
            <w:pPr>
              <w:autoSpaceDE w:val="0"/>
              <w:autoSpaceDN w:val="0"/>
            </w:pPr>
            <w:r w:rsidRPr="00E70D4D">
              <w:t>05 – MMP</w:t>
            </w:r>
          </w:p>
          <w:p w14:paraId="72490198" w14:textId="77777777" w:rsidR="00176B0E" w:rsidRPr="00E70D4D" w:rsidRDefault="00176B0E" w:rsidP="003B3C96">
            <w:pPr>
              <w:autoSpaceDE w:val="0"/>
              <w:autoSpaceDN w:val="0"/>
            </w:pPr>
            <w:r w:rsidRPr="00E70D4D">
              <w:t>06 – 1876 Cost</w:t>
            </w:r>
          </w:p>
          <w:p w14:paraId="75CF08C5" w14:textId="77777777" w:rsidR="00176B0E" w:rsidRPr="00E70D4D" w:rsidRDefault="00176B0E" w:rsidP="003B3C96">
            <w:pPr>
              <w:autoSpaceDE w:val="0"/>
              <w:autoSpaceDN w:val="0"/>
            </w:pPr>
            <w:r w:rsidRPr="00E70D4D">
              <w:t>11 – Regional CCP</w:t>
            </w:r>
          </w:p>
          <w:p w14:paraId="229064C8" w14:textId="77777777" w:rsidR="00176B0E" w:rsidRPr="00E70D4D" w:rsidRDefault="00176B0E" w:rsidP="003B3C96">
            <w:pPr>
              <w:autoSpaceDE w:val="0"/>
              <w:autoSpaceDN w:val="0"/>
            </w:pPr>
            <w:r w:rsidRPr="00E70D4D">
              <w:t>14 – ED-PFFS</w:t>
            </w:r>
          </w:p>
          <w:p w14:paraId="1876FFD6" w14:textId="77777777" w:rsidR="00176B0E" w:rsidRPr="00E70D4D" w:rsidRDefault="00176B0E" w:rsidP="003B3C96">
            <w:pPr>
              <w:autoSpaceDE w:val="0"/>
              <w:autoSpaceDN w:val="0"/>
            </w:pPr>
            <w:r w:rsidRPr="00E70D4D">
              <w:t xml:space="preserve">15 – RFB Local CCP </w:t>
            </w:r>
          </w:p>
          <w:p w14:paraId="28416A8B" w14:textId="77777777" w:rsidR="00176B0E" w:rsidRPr="00E70D4D" w:rsidRDefault="00176B0E" w:rsidP="003B3C96">
            <w:pPr>
              <w:autoSpaceDE w:val="0"/>
              <w:autoSpaceDN w:val="0"/>
            </w:pPr>
          </w:p>
          <w:p w14:paraId="70A11A01" w14:textId="77777777" w:rsidR="00176B0E" w:rsidRPr="00E70D4D" w:rsidRDefault="00176B0E" w:rsidP="003B3C96">
            <w:pPr>
              <w:autoSpaceDE w:val="0"/>
              <w:autoSpaceDN w:val="0"/>
            </w:pPr>
            <w:r w:rsidRPr="00E70D4D">
              <w:t>Organizations should include all 800 series plans.</w:t>
            </w:r>
          </w:p>
          <w:p w14:paraId="6F6F8B73" w14:textId="77777777" w:rsidR="00176B0E" w:rsidRPr="00E70D4D" w:rsidRDefault="00176B0E" w:rsidP="003B3C96">
            <w:pPr>
              <w:autoSpaceDE w:val="0"/>
              <w:autoSpaceDN w:val="0"/>
            </w:pPr>
          </w:p>
          <w:p w14:paraId="2545BAFB" w14:textId="77777777" w:rsidR="00176B0E" w:rsidRPr="00E70D4D" w:rsidRDefault="00176B0E" w:rsidP="003B3C96">
            <w:pPr>
              <w:autoSpaceDE w:val="0"/>
              <w:autoSpaceDN w:val="0"/>
              <w:rPr>
                <w:rFonts w:eastAsia="Calibri"/>
              </w:rPr>
            </w:pPr>
            <w:r w:rsidRPr="00E70D4D">
              <w:t>Employer/Union Direct Contracts should also report this reporting section, regardless of organization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2300ED" w14:textId="77777777" w:rsidR="00176B0E" w:rsidRPr="00D955AB" w:rsidRDefault="00176B0E" w:rsidP="003B3C96">
            <w:pPr>
              <w:autoSpaceDE w:val="0"/>
              <w:autoSpaceDN w:val="0"/>
              <w:rPr>
                <w:rFonts w:eastAsia="Calibri"/>
              </w:rPr>
            </w:pPr>
            <w:r w:rsidRPr="003C3BF7">
              <w:t>1</w:t>
            </w:r>
            <w:r w:rsidRPr="00D955AB">
              <w:t>/Year</w:t>
            </w:r>
          </w:p>
          <w:p w14:paraId="7CE78AD1" w14:textId="77777777" w:rsidR="00176B0E" w:rsidRPr="00E70D4D" w:rsidRDefault="00176B0E" w:rsidP="003B3C96">
            <w:pPr>
              <w:autoSpaceDE w:val="0"/>
              <w:autoSpaceDN w:val="0"/>
              <w:rPr>
                <w:rFonts w:eastAsia="Calibri"/>
              </w:rPr>
            </w:pPr>
            <w:r w:rsidRPr="00D955AB">
              <w:t>Contract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9C5648B" w14:textId="77777777" w:rsidR="00176B0E" w:rsidRPr="00D955AB" w:rsidRDefault="00176B0E" w:rsidP="003B3C96">
            <w:pPr>
              <w:autoSpaceDE w:val="0"/>
              <w:autoSpaceDN w:val="0"/>
              <w:rPr>
                <w:rFonts w:eastAsia="Calibri"/>
              </w:rPr>
            </w:pPr>
            <w:r w:rsidRPr="00D955AB">
              <w:t>1/1-3/31</w:t>
            </w:r>
          </w:p>
          <w:p w14:paraId="04AF02A4" w14:textId="77777777" w:rsidR="00176B0E" w:rsidRPr="00D955AB" w:rsidRDefault="00176B0E" w:rsidP="003B3C96">
            <w:pPr>
              <w:autoSpaceDE w:val="0"/>
              <w:autoSpaceDN w:val="0"/>
            </w:pPr>
            <w:r w:rsidRPr="00D955AB">
              <w:t>4/1-6/30</w:t>
            </w:r>
          </w:p>
          <w:p w14:paraId="4904EE66" w14:textId="77777777" w:rsidR="00176B0E" w:rsidRPr="00D955AB" w:rsidRDefault="00176B0E" w:rsidP="003B3C96">
            <w:pPr>
              <w:autoSpaceDE w:val="0"/>
              <w:autoSpaceDN w:val="0"/>
            </w:pPr>
            <w:r w:rsidRPr="00D955AB">
              <w:t>7/1-9/30</w:t>
            </w:r>
          </w:p>
          <w:p w14:paraId="5D3A87F5" w14:textId="42CBB6B6" w:rsidR="00176B0E" w:rsidRPr="00E70D4D" w:rsidRDefault="00176B0E" w:rsidP="00C71CEC">
            <w:pPr>
              <w:autoSpaceDE w:val="0"/>
              <w:autoSpaceDN w:val="0"/>
              <w:rPr>
                <w:rFonts w:eastAsia="Calibri"/>
              </w:rPr>
            </w:pPr>
            <w:r w:rsidRPr="00D955AB">
              <w:t xml:space="preserve">10/1-12/31  </w:t>
            </w:r>
            <w:r w:rsidR="00C71CEC">
              <w:t>(</w:t>
            </w:r>
            <w:r w:rsidRPr="00D955AB">
              <w:t>reporting will include each quarter)</w:t>
            </w:r>
          </w:p>
        </w:tc>
        <w:tc>
          <w:tcPr>
            <w:tcW w:w="2278" w:type="dxa"/>
            <w:tcBorders>
              <w:top w:val="nil"/>
              <w:left w:val="nil"/>
              <w:bottom w:val="single" w:sz="8" w:space="0" w:color="auto"/>
              <w:right w:val="single" w:sz="8" w:space="0" w:color="auto"/>
            </w:tcBorders>
            <w:tcMar>
              <w:top w:w="0" w:type="dxa"/>
              <w:left w:w="108" w:type="dxa"/>
              <w:bottom w:w="0" w:type="dxa"/>
              <w:right w:w="108" w:type="dxa"/>
            </w:tcMar>
          </w:tcPr>
          <w:p w14:paraId="297EB818" w14:textId="77777777" w:rsidR="00176B0E" w:rsidRPr="00570AA9" w:rsidRDefault="00D614D8" w:rsidP="003B3C96">
            <w:pPr>
              <w:autoSpaceDE w:val="0"/>
              <w:autoSpaceDN w:val="0"/>
            </w:pPr>
            <w:r w:rsidRPr="00570AA9">
              <w:t>Last Monday of February in following year</w:t>
            </w:r>
          </w:p>
          <w:p w14:paraId="7D692E62" w14:textId="77777777" w:rsidR="00176B0E" w:rsidRPr="00E70D4D" w:rsidRDefault="00176B0E" w:rsidP="003B3C96">
            <w:pPr>
              <w:autoSpaceDE w:val="0"/>
              <w:autoSpaceDN w:val="0"/>
              <w:rPr>
                <w:rFonts w:eastAsia="Calibri"/>
              </w:rPr>
            </w:pPr>
          </w:p>
        </w:tc>
      </w:tr>
    </w:tbl>
    <w:p w14:paraId="7DD12369" w14:textId="77777777" w:rsidR="00176B0E" w:rsidRPr="00E70D4D" w:rsidRDefault="00176B0E" w:rsidP="00176B0E">
      <w:pPr>
        <w:keepNext/>
        <w:spacing w:before="240" w:after="60"/>
        <w:outlineLvl w:val="2"/>
        <w:rPr>
          <w:b/>
          <w:bCs/>
        </w:rPr>
      </w:pPr>
    </w:p>
    <w:p w14:paraId="5B485BE5" w14:textId="77777777" w:rsidR="00176B0E" w:rsidRPr="00E70D4D" w:rsidRDefault="00176B0E" w:rsidP="00176B0E"/>
    <w:p w14:paraId="01FA37A3" w14:textId="77777777" w:rsidR="00176B0E" w:rsidRPr="00E70D4D" w:rsidRDefault="00176B0E" w:rsidP="00176B0E"/>
    <w:p w14:paraId="405BF9A3" w14:textId="77777777" w:rsidR="00E64F49" w:rsidRDefault="00AA156E" w:rsidP="00C25E34">
      <w:pPr>
        <w:rPr>
          <w:rFonts w:eastAsiaTheme="minorHAnsi"/>
        </w:rPr>
      </w:pPr>
      <w:r w:rsidRPr="0040019D">
        <w:rPr>
          <w:rFonts w:eastAsiaTheme="minorHAnsi"/>
        </w:rPr>
        <w:t>Data elements for this reporting section are contained in Table 1</w:t>
      </w:r>
      <w:r w:rsidR="005C4F7E" w:rsidRPr="0040019D">
        <w:rPr>
          <w:rFonts w:eastAsiaTheme="minorHAnsi"/>
        </w:rPr>
        <w:t xml:space="preserve">.  </w:t>
      </w:r>
    </w:p>
    <w:p w14:paraId="32F37302" w14:textId="77777777" w:rsidR="00E64F49" w:rsidRDefault="00E64F49" w:rsidP="00C25E34">
      <w:pPr>
        <w:rPr>
          <w:rFonts w:eastAsiaTheme="minorHAnsi"/>
        </w:rPr>
      </w:pPr>
    </w:p>
    <w:p w14:paraId="5C64EA26" w14:textId="2384A67B" w:rsidR="00C25E34" w:rsidRPr="00C508DA" w:rsidRDefault="00C25E34" w:rsidP="00C25E34">
      <w:pPr>
        <w:rPr>
          <w:rFonts w:eastAsiaTheme="minorHAnsi"/>
        </w:rPr>
      </w:pPr>
      <w:r>
        <w:rPr>
          <w:rFonts w:eastAsiaTheme="minorHAnsi"/>
        </w:rPr>
        <w:t xml:space="preserve">There are </w:t>
      </w:r>
      <w:r w:rsidR="001A6406">
        <w:rPr>
          <w:rFonts w:eastAsiaTheme="minorHAnsi"/>
        </w:rPr>
        <w:t>four new</w:t>
      </w:r>
      <w:r>
        <w:rPr>
          <w:rFonts w:eastAsiaTheme="minorHAnsi"/>
        </w:rPr>
        <w:t xml:space="preserve"> data elements: </w:t>
      </w:r>
    </w:p>
    <w:p w14:paraId="6B16E37E" w14:textId="77777777" w:rsidR="00C25E34" w:rsidRDefault="00C25E34" w:rsidP="00C25E34">
      <w:pPr>
        <w:pStyle w:val="ListParagraph"/>
        <w:numPr>
          <w:ilvl w:val="0"/>
          <w:numId w:val="29"/>
        </w:numPr>
        <w:rPr>
          <w:rFonts w:ascii="Times New Roman" w:eastAsiaTheme="minorHAnsi" w:hAnsi="Times New Roman"/>
          <w:sz w:val="24"/>
          <w:szCs w:val="24"/>
        </w:rPr>
      </w:pPr>
      <w:r>
        <w:rPr>
          <w:rFonts w:ascii="Times New Roman" w:eastAsiaTheme="minorHAnsi" w:hAnsi="Times New Roman"/>
          <w:sz w:val="24"/>
          <w:szCs w:val="24"/>
        </w:rPr>
        <w:t>Was the case processed under the expedited timeframe? (Y/N)</w:t>
      </w:r>
    </w:p>
    <w:p w14:paraId="6822560D" w14:textId="77777777" w:rsidR="00C25E34" w:rsidRDefault="00C25E34" w:rsidP="00C25E34">
      <w:pPr>
        <w:pStyle w:val="ListParagraph"/>
        <w:numPr>
          <w:ilvl w:val="0"/>
          <w:numId w:val="29"/>
        </w:numPr>
        <w:rPr>
          <w:rFonts w:ascii="Times New Roman" w:eastAsiaTheme="minorHAnsi" w:hAnsi="Times New Roman"/>
          <w:sz w:val="24"/>
          <w:szCs w:val="24"/>
        </w:rPr>
      </w:pPr>
      <w:r>
        <w:rPr>
          <w:rFonts w:ascii="Times New Roman" w:eastAsiaTheme="minorHAnsi" w:hAnsi="Times New Roman"/>
          <w:sz w:val="24"/>
          <w:szCs w:val="24"/>
        </w:rPr>
        <w:t>Case Type (Service or Payment)</w:t>
      </w:r>
    </w:p>
    <w:p w14:paraId="084C258A" w14:textId="77777777" w:rsidR="00C25E34" w:rsidRDefault="00C25E34" w:rsidP="00C25E34">
      <w:pPr>
        <w:pStyle w:val="ListParagraph"/>
        <w:numPr>
          <w:ilvl w:val="0"/>
          <w:numId w:val="29"/>
        </w:numPr>
        <w:rPr>
          <w:rFonts w:ascii="Times New Roman" w:eastAsiaTheme="minorHAnsi" w:hAnsi="Times New Roman"/>
          <w:sz w:val="24"/>
          <w:szCs w:val="24"/>
        </w:rPr>
      </w:pPr>
      <w:r>
        <w:rPr>
          <w:rFonts w:ascii="Times New Roman" w:eastAsiaTheme="minorHAnsi" w:hAnsi="Times New Roman"/>
          <w:sz w:val="24"/>
          <w:szCs w:val="24"/>
        </w:rPr>
        <w:t>Status of treating provider (Contract or Non-Contract)</w:t>
      </w:r>
    </w:p>
    <w:p w14:paraId="6C48D96D" w14:textId="77777777" w:rsidR="00C25E34" w:rsidRPr="00B55786" w:rsidRDefault="00C25E34" w:rsidP="00C25E34">
      <w:pPr>
        <w:pStyle w:val="ListParagraph"/>
        <w:numPr>
          <w:ilvl w:val="0"/>
          <w:numId w:val="29"/>
        </w:numPr>
        <w:rPr>
          <w:rFonts w:ascii="Times New Roman" w:eastAsiaTheme="minorHAnsi" w:hAnsi="Times New Roman"/>
          <w:sz w:val="24"/>
          <w:szCs w:val="24"/>
        </w:rPr>
      </w:pPr>
      <w:r>
        <w:rPr>
          <w:rFonts w:ascii="Times New Roman" w:eastAsiaTheme="minorHAnsi" w:hAnsi="Times New Roman"/>
          <w:sz w:val="24"/>
          <w:szCs w:val="24"/>
        </w:rPr>
        <w:t xml:space="preserve">Additional Information (optional)  </w:t>
      </w:r>
      <w:r w:rsidRPr="00B55786">
        <w:rPr>
          <w:rFonts w:ascii="Times New Roman" w:eastAsiaTheme="minorHAnsi" w:hAnsi="Times New Roman"/>
          <w:sz w:val="24"/>
          <w:szCs w:val="24"/>
        </w:rPr>
        <w:t xml:space="preserve"> </w:t>
      </w:r>
    </w:p>
    <w:p w14:paraId="483DB79E" w14:textId="0F038AF8" w:rsidR="00AA156E" w:rsidRPr="0040019D" w:rsidRDefault="00AA156E" w:rsidP="00AA156E">
      <w:pPr>
        <w:rPr>
          <w:rFonts w:eastAsiaTheme="minorHAnsi"/>
        </w:rPr>
      </w:pPr>
    </w:p>
    <w:p w14:paraId="02B9F6B4" w14:textId="77777777" w:rsidR="00AA156E" w:rsidRPr="0040019D" w:rsidRDefault="00AA156E" w:rsidP="00AA156E">
      <w:pPr>
        <w:rPr>
          <w:rFonts w:eastAsiaTheme="minorHAnsi"/>
        </w:rPr>
      </w:pPr>
    </w:p>
    <w:p w14:paraId="3575D53D" w14:textId="77777777" w:rsidR="00A451BC" w:rsidRDefault="00A451BC" w:rsidP="00AA156E">
      <w:pPr>
        <w:rPr>
          <w:rFonts w:eastAsiaTheme="minorHAnsi"/>
        </w:rPr>
      </w:pPr>
    </w:p>
    <w:p w14:paraId="048266CC" w14:textId="77777777" w:rsidR="00A451BC" w:rsidRDefault="00A451BC" w:rsidP="00AA156E">
      <w:pPr>
        <w:rPr>
          <w:rFonts w:eastAsiaTheme="minorHAnsi"/>
        </w:rPr>
      </w:pPr>
    </w:p>
    <w:p w14:paraId="19AE473A" w14:textId="77777777" w:rsidR="00A451BC" w:rsidRDefault="00A451BC" w:rsidP="00AA156E">
      <w:pPr>
        <w:rPr>
          <w:rFonts w:eastAsiaTheme="minorHAnsi"/>
        </w:rPr>
      </w:pPr>
    </w:p>
    <w:p w14:paraId="4DEF2881" w14:textId="77777777" w:rsidR="00A451BC" w:rsidRDefault="00A451BC" w:rsidP="00AA156E">
      <w:pPr>
        <w:rPr>
          <w:rFonts w:eastAsiaTheme="minorHAnsi"/>
        </w:rPr>
      </w:pPr>
    </w:p>
    <w:p w14:paraId="6AF1ABB0" w14:textId="77777777" w:rsidR="00A451BC" w:rsidRDefault="00A451BC" w:rsidP="00AA156E">
      <w:pPr>
        <w:rPr>
          <w:rFonts w:eastAsiaTheme="minorHAnsi"/>
        </w:rPr>
      </w:pPr>
    </w:p>
    <w:p w14:paraId="54545C13" w14:textId="77777777" w:rsidR="00A451BC" w:rsidRDefault="00A451BC" w:rsidP="00AA156E">
      <w:pPr>
        <w:rPr>
          <w:rFonts w:eastAsiaTheme="minorHAnsi"/>
        </w:rPr>
      </w:pPr>
    </w:p>
    <w:p w14:paraId="435D1659" w14:textId="77777777" w:rsidR="00A451BC" w:rsidRDefault="00A451BC" w:rsidP="00AA156E">
      <w:pPr>
        <w:rPr>
          <w:rFonts w:eastAsiaTheme="minorHAnsi"/>
        </w:rPr>
      </w:pPr>
    </w:p>
    <w:p w14:paraId="333A03C0" w14:textId="77777777" w:rsidR="00AA156E" w:rsidRPr="0040019D" w:rsidRDefault="00AA156E" w:rsidP="00AA156E">
      <w:pPr>
        <w:rPr>
          <w:rFonts w:eastAsiaTheme="minorHAnsi"/>
        </w:rPr>
      </w:pPr>
      <w:r w:rsidRPr="0040019D">
        <w:rPr>
          <w:rFonts w:eastAsiaTheme="minorHAnsi"/>
        </w:rPr>
        <w:lastRenderedPageBreak/>
        <w:t>Table 1: Data Elements for Organization Determinations/Reconsiderations Reporting Section</w:t>
      </w:r>
    </w:p>
    <w:p w14:paraId="53AEA49C" w14:textId="77777777" w:rsidR="00AA156E" w:rsidRPr="00E70D4D" w:rsidRDefault="00AA156E" w:rsidP="00AA156E">
      <w:pPr>
        <w:rPr>
          <w:b/>
          <w:bCs/>
          <w:u w:val="single"/>
        </w:rPr>
      </w:pPr>
    </w:p>
    <w:tbl>
      <w:tblPr>
        <w:tblW w:w="9426" w:type="dxa"/>
        <w:tblCellMar>
          <w:left w:w="0" w:type="dxa"/>
          <w:right w:w="0" w:type="dxa"/>
        </w:tblCellMar>
        <w:tblLook w:val="04A0" w:firstRow="1" w:lastRow="0" w:firstColumn="1" w:lastColumn="0" w:noHBand="0" w:noVBand="1"/>
      </w:tblPr>
      <w:tblGrid>
        <w:gridCol w:w="1342"/>
        <w:gridCol w:w="8084"/>
      </w:tblGrid>
      <w:tr w:rsidR="00AA156E" w:rsidRPr="00E70D4D" w14:paraId="30979052" w14:textId="77777777" w:rsidTr="00365F71">
        <w:trPr>
          <w:trHeight w:val="534"/>
          <w:tblHeader/>
        </w:trPr>
        <w:tc>
          <w:tcPr>
            <w:tcW w:w="134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EDC691" w14:textId="77777777" w:rsidR="00AA156E" w:rsidRPr="00E70D4D" w:rsidRDefault="00AA156E" w:rsidP="00EB7520">
            <w:pPr>
              <w:jc w:val="center"/>
              <w:rPr>
                <w:rFonts w:eastAsiaTheme="minorHAnsi"/>
                <w:b/>
                <w:bCs/>
              </w:rPr>
            </w:pPr>
            <w:r w:rsidRPr="00E70D4D">
              <w:br w:type="page"/>
            </w:r>
            <w:r w:rsidRPr="00E70D4D">
              <w:rPr>
                <w:b/>
                <w:bCs/>
              </w:rPr>
              <w:t>Element Number</w:t>
            </w:r>
          </w:p>
        </w:tc>
        <w:tc>
          <w:tcPr>
            <w:tcW w:w="808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hideMark/>
          </w:tcPr>
          <w:p w14:paraId="55E796F8" w14:textId="77777777" w:rsidR="00AA156E" w:rsidRPr="00E70D4D" w:rsidRDefault="00AA156E" w:rsidP="00EB7520">
            <w:pPr>
              <w:jc w:val="center"/>
              <w:rPr>
                <w:rFonts w:eastAsiaTheme="minorHAnsi"/>
                <w:b/>
                <w:bCs/>
              </w:rPr>
            </w:pPr>
            <w:r w:rsidRPr="00E70D4D">
              <w:rPr>
                <w:b/>
                <w:bCs/>
              </w:rPr>
              <w:t>Data Elements for Organization Determinations/Reconsiderations</w:t>
            </w:r>
          </w:p>
        </w:tc>
      </w:tr>
      <w:tr w:rsidR="00AA156E" w:rsidRPr="003C3BF7" w14:paraId="6BDEA432"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866AA" w14:textId="77777777" w:rsidR="00AA156E" w:rsidRPr="00D955AB" w:rsidRDefault="00AA156E" w:rsidP="00EB7520">
            <w:pPr>
              <w:rPr>
                <w:rFonts w:eastAsiaTheme="minorHAnsi"/>
              </w:rPr>
            </w:pPr>
            <w:r w:rsidRPr="00D955AB">
              <w:t>6.1</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28D76F89" w14:textId="77777777" w:rsidR="00AA156E" w:rsidRPr="00D955AB" w:rsidRDefault="00AA156E" w:rsidP="00EB7520">
            <w:pPr>
              <w:rPr>
                <w:rFonts w:eastAsiaTheme="minorHAnsi"/>
              </w:rPr>
            </w:pPr>
            <w:r w:rsidRPr="00D955AB">
              <w:t>Total Number of Organization Determinations Made in Reporting Time Period Above</w:t>
            </w:r>
          </w:p>
        </w:tc>
      </w:tr>
      <w:tr w:rsidR="00AA156E" w:rsidRPr="003C3BF7" w14:paraId="48EEE61D"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E12AA" w14:textId="77777777" w:rsidR="00AA156E" w:rsidRPr="00D955AB" w:rsidRDefault="00AA156E" w:rsidP="00EB7520">
            <w:pPr>
              <w:rPr>
                <w:rFonts w:eastAsiaTheme="minorHAnsi"/>
              </w:rPr>
            </w:pPr>
            <w:r w:rsidRPr="00D955AB">
              <w:t>6.2</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692EF160" w14:textId="77777777" w:rsidR="00AA156E" w:rsidRPr="00D955AB" w:rsidRDefault="00AA156E" w:rsidP="00EB7520">
            <w:pPr>
              <w:rPr>
                <w:rFonts w:eastAsiaTheme="minorHAnsi"/>
              </w:rPr>
            </w:pPr>
            <w:r w:rsidRPr="00D955AB">
              <w:t>Of the Total Number of Organization Determinations in 6.1, Number Processed Timely</w:t>
            </w:r>
          </w:p>
        </w:tc>
      </w:tr>
      <w:tr w:rsidR="00AA156E" w:rsidRPr="003C3BF7" w14:paraId="083DE107"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EB224" w14:textId="77777777" w:rsidR="00AA156E" w:rsidRPr="00D955AB" w:rsidRDefault="00AA156E" w:rsidP="00EB7520">
            <w:pPr>
              <w:rPr>
                <w:rFonts w:eastAsiaTheme="minorHAnsi"/>
              </w:rPr>
            </w:pPr>
            <w:r w:rsidRPr="00D955AB">
              <w:t>6.3</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3904CD1F" w14:textId="77777777" w:rsidR="00AA156E" w:rsidRPr="00D955AB" w:rsidRDefault="00AA156E" w:rsidP="00EB7520">
            <w:pPr>
              <w:rPr>
                <w:rFonts w:eastAsiaTheme="minorHAnsi"/>
              </w:rPr>
            </w:pPr>
            <w:r w:rsidRPr="00D955AB">
              <w:t>Number of Organization Determinations – Fully Favorable (Services)</w:t>
            </w:r>
          </w:p>
        </w:tc>
      </w:tr>
      <w:tr w:rsidR="00AA156E" w:rsidRPr="003C3BF7" w14:paraId="26D4E5A8"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E76F3" w14:textId="77777777" w:rsidR="00AA156E" w:rsidRPr="00D955AB" w:rsidRDefault="00AA156E" w:rsidP="00EB7520">
            <w:pPr>
              <w:rPr>
                <w:rFonts w:eastAsiaTheme="minorHAnsi"/>
              </w:rPr>
            </w:pPr>
            <w:r w:rsidRPr="00D955AB">
              <w:t>6.4</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7F5624F6" w14:textId="77777777" w:rsidR="00AA156E" w:rsidRPr="00D955AB" w:rsidRDefault="00AA156E" w:rsidP="00EB7520">
            <w:pPr>
              <w:rPr>
                <w:rFonts w:eastAsiaTheme="minorHAnsi"/>
              </w:rPr>
            </w:pPr>
            <w:r w:rsidRPr="00D955AB">
              <w:t>Number of Organization Determinations – Fully Favorable (Claims)</w:t>
            </w:r>
          </w:p>
        </w:tc>
      </w:tr>
      <w:tr w:rsidR="00AA156E" w:rsidRPr="003C3BF7" w14:paraId="5C003336" w14:textId="77777777" w:rsidTr="00EB7520">
        <w:trPr>
          <w:trHeight w:val="248"/>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B3446" w14:textId="77777777" w:rsidR="00AA156E" w:rsidRPr="00D955AB" w:rsidRDefault="00AA156E" w:rsidP="00EB7520">
            <w:pPr>
              <w:rPr>
                <w:rFonts w:eastAsiaTheme="minorHAnsi"/>
              </w:rPr>
            </w:pPr>
            <w:r w:rsidRPr="00D955AB">
              <w:t>6.5</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21913DE5" w14:textId="77777777" w:rsidR="00AA156E" w:rsidRPr="00D955AB" w:rsidRDefault="00AA156E" w:rsidP="00EB7520">
            <w:pPr>
              <w:rPr>
                <w:rFonts w:eastAsiaTheme="minorHAnsi"/>
              </w:rPr>
            </w:pPr>
            <w:r w:rsidRPr="00D955AB">
              <w:t>Number of Organization Determinations – Partially Favorable (Services)</w:t>
            </w:r>
          </w:p>
        </w:tc>
      </w:tr>
      <w:tr w:rsidR="00AA156E" w:rsidRPr="003C3BF7" w14:paraId="61DBE6F1"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9813A" w14:textId="77777777" w:rsidR="00AA156E" w:rsidRPr="00D955AB" w:rsidRDefault="00AA156E" w:rsidP="00EB7520">
            <w:pPr>
              <w:rPr>
                <w:rFonts w:eastAsiaTheme="minorHAnsi"/>
              </w:rPr>
            </w:pPr>
            <w:r w:rsidRPr="00D955AB">
              <w:t>6.6</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7D9F430B" w14:textId="77777777" w:rsidR="00AA156E" w:rsidRPr="00D955AB" w:rsidRDefault="00AA156E" w:rsidP="00EB7520">
            <w:pPr>
              <w:rPr>
                <w:rFonts w:eastAsiaTheme="minorHAnsi"/>
              </w:rPr>
            </w:pPr>
            <w:r w:rsidRPr="00D955AB">
              <w:t>Number of Organization Determinations – Partially Favorable (Claims)</w:t>
            </w:r>
          </w:p>
        </w:tc>
      </w:tr>
      <w:tr w:rsidR="00AA156E" w:rsidRPr="003C3BF7" w14:paraId="3B55CD28"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7A5C2" w14:textId="77777777" w:rsidR="00AA156E" w:rsidRPr="00D955AB" w:rsidRDefault="00AA156E" w:rsidP="00EB7520">
            <w:pPr>
              <w:rPr>
                <w:rFonts w:eastAsiaTheme="minorHAnsi"/>
              </w:rPr>
            </w:pPr>
            <w:r w:rsidRPr="00D955AB">
              <w:t>6.7</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0DDEE722" w14:textId="77777777" w:rsidR="00AA156E" w:rsidRPr="00D955AB" w:rsidRDefault="00AA156E" w:rsidP="00EB7520">
            <w:pPr>
              <w:rPr>
                <w:rFonts w:eastAsiaTheme="minorHAnsi"/>
              </w:rPr>
            </w:pPr>
            <w:r w:rsidRPr="00D955AB">
              <w:t>Number of Organization Determinations – Adverse (Services)</w:t>
            </w:r>
          </w:p>
        </w:tc>
      </w:tr>
      <w:tr w:rsidR="00AA156E" w:rsidRPr="003C3BF7" w14:paraId="6D40CA2A"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C4E25" w14:textId="77777777" w:rsidR="00AA156E" w:rsidRPr="00D955AB" w:rsidRDefault="00AA156E" w:rsidP="00EB7520">
            <w:pPr>
              <w:rPr>
                <w:rFonts w:eastAsiaTheme="minorHAnsi"/>
              </w:rPr>
            </w:pPr>
            <w:r w:rsidRPr="00D955AB">
              <w:t>6.8</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1E3EE0BF" w14:textId="77777777" w:rsidR="00AA156E" w:rsidRPr="00D955AB" w:rsidRDefault="00AA156E" w:rsidP="00EB7520">
            <w:pPr>
              <w:rPr>
                <w:rFonts w:eastAsiaTheme="minorHAnsi"/>
              </w:rPr>
            </w:pPr>
            <w:r w:rsidRPr="00D955AB">
              <w:t>Number of Organization Determinations – Adverse (Claims)</w:t>
            </w:r>
          </w:p>
        </w:tc>
      </w:tr>
      <w:tr w:rsidR="00AA156E" w:rsidRPr="003C3BF7" w14:paraId="4E0CB0D9"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891BC" w14:textId="77777777" w:rsidR="00AA156E" w:rsidRPr="00D955AB" w:rsidRDefault="00AA156E" w:rsidP="00EB7520">
            <w:pPr>
              <w:rPr>
                <w:rFonts w:eastAsiaTheme="minorHAnsi"/>
              </w:rPr>
            </w:pPr>
            <w:r w:rsidRPr="00D955AB">
              <w:t>6.9</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1D1BC978" w14:textId="77777777" w:rsidR="00AA156E" w:rsidRPr="00D955AB" w:rsidRDefault="00AA156E" w:rsidP="00EB7520">
            <w:pPr>
              <w:rPr>
                <w:rFonts w:eastAsiaTheme="minorHAnsi"/>
              </w:rPr>
            </w:pPr>
            <w:r w:rsidRPr="00D955AB">
              <w:t xml:space="preserve">Number of Requests for Organization Determinations - Withdrawn </w:t>
            </w:r>
          </w:p>
        </w:tc>
      </w:tr>
      <w:tr w:rsidR="00AA156E" w:rsidRPr="003C3BF7" w14:paraId="7E1F573B"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E94DC5" w14:textId="03DA3507" w:rsidR="00AA156E" w:rsidRPr="00570AA9" w:rsidRDefault="00AA156E" w:rsidP="00F27441">
            <w:r w:rsidRPr="00570AA9">
              <w:t>6.10</w:t>
            </w:r>
          </w:p>
        </w:tc>
        <w:tc>
          <w:tcPr>
            <w:tcW w:w="8084" w:type="dxa"/>
            <w:tcBorders>
              <w:top w:val="nil"/>
              <w:left w:val="nil"/>
              <w:bottom w:val="single" w:sz="8" w:space="0" w:color="auto"/>
              <w:right w:val="single" w:sz="8" w:space="0" w:color="auto"/>
            </w:tcBorders>
            <w:tcMar>
              <w:top w:w="0" w:type="dxa"/>
              <w:left w:w="108" w:type="dxa"/>
              <w:bottom w:w="0" w:type="dxa"/>
              <w:right w:w="108" w:type="dxa"/>
            </w:tcMar>
          </w:tcPr>
          <w:p w14:paraId="2C596FB6" w14:textId="77777777" w:rsidR="00AA156E" w:rsidRPr="00570AA9" w:rsidRDefault="00AA156E" w:rsidP="00EB7520">
            <w:r w:rsidRPr="00570AA9">
              <w:t>Number of Requests for Organization Determinations - Dismissals</w:t>
            </w:r>
          </w:p>
        </w:tc>
      </w:tr>
      <w:tr w:rsidR="00AA156E" w:rsidRPr="003C3BF7" w14:paraId="563CF75C"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26288" w14:textId="77777777" w:rsidR="00AA156E" w:rsidRPr="00D955AB" w:rsidRDefault="00AA156E" w:rsidP="00EB7520">
            <w:pPr>
              <w:rPr>
                <w:rFonts w:eastAsiaTheme="minorHAnsi"/>
                <w:strike/>
              </w:rPr>
            </w:pPr>
            <w:r w:rsidRPr="00D955AB">
              <w:t>6.1</w:t>
            </w:r>
            <w:r>
              <w:t>1</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406AA4B1" w14:textId="77777777" w:rsidR="00AA156E" w:rsidRPr="00D955AB" w:rsidRDefault="00AA156E" w:rsidP="00EB7520">
            <w:pPr>
              <w:rPr>
                <w:rFonts w:eastAsiaTheme="minorHAnsi"/>
                <w:strike/>
              </w:rPr>
            </w:pPr>
            <w:r w:rsidRPr="00D955AB">
              <w:t>Total number of Reconsiderations Made in Reporting Time Period Above</w:t>
            </w:r>
          </w:p>
        </w:tc>
      </w:tr>
      <w:tr w:rsidR="00AA156E" w:rsidRPr="003C3BF7" w14:paraId="1B979906"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A7530" w14:textId="77777777" w:rsidR="00AA156E" w:rsidRPr="00D955AB" w:rsidRDefault="00AA156E" w:rsidP="00EB7520">
            <w:pPr>
              <w:rPr>
                <w:rFonts w:eastAsiaTheme="minorHAnsi"/>
              </w:rPr>
            </w:pPr>
            <w:r w:rsidRPr="00D955AB">
              <w:t>6.1</w:t>
            </w:r>
            <w:r>
              <w:t>2</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6C9E9A70" w14:textId="210BC188" w:rsidR="00AA156E" w:rsidRPr="00D955AB" w:rsidRDefault="00AA156E" w:rsidP="003C0F3C">
            <w:pPr>
              <w:rPr>
                <w:rFonts w:eastAsiaTheme="minorHAnsi"/>
              </w:rPr>
            </w:pPr>
            <w:r w:rsidRPr="00D955AB">
              <w:t>Of the Total Number of Reconsiderations in 6.</w:t>
            </w:r>
            <w:r w:rsidR="003C0F3C" w:rsidRPr="00D955AB">
              <w:t>1</w:t>
            </w:r>
            <w:r w:rsidR="003C0F3C">
              <w:t>1</w:t>
            </w:r>
            <w:r w:rsidRPr="00D955AB">
              <w:t>, Number Processed Timely</w:t>
            </w:r>
          </w:p>
        </w:tc>
      </w:tr>
      <w:tr w:rsidR="00AA156E" w:rsidRPr="003C3BF7" w14:paraId="3F9AD04B"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64908" w14:textId="77777777" w:rsidR="00AA156E" w:rsidRPr="00D955AB" w:rsidRDefault="00AA156E" w:rsidP="00EB7520">
            <w:pPr>
              <w:rPr>
                <w:rFonts w:eastAsiaTheme="minorHAnsi"/>
              </w:rPr>
            </w:pPr>
            <w:r w:rsidRPr="00D955AB">
              <w:t>6.1</w:t>
            </w:r>
            <w:r>
              <w:t>3</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34BC872E" w14:textId="77777777" w:rsidR="00AA156E" w:rsidRPr="00D955AB" w:rsidRDefault="00AA156E" w:rsidP="00EB7520">
            <w:pPr>
              <w:rPr>
                <w:rFonts w:eastAsiaTheme="minorHAnsi"/>
              </w:rPr>
            </w:pPr>
            <w:r w:rsidRPr="00D955AB">
              <w:t>Number of Reconsiderations – Fully Favorable (Services)</w:t>
            </w:r>
          </w:p>
        </w:tc>
      </w:tr>
      <w:tr w:rsidR="00AA156E" w:rsidRPr="003C3BF7" w14:paraId="65B4859A"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35AC42" w14:textId="77777777" w:rsidR="00AA156E" w:rsidRPr="00D955AB" w:rsidRDefault="00AA156E" w:rsidP="00EB7520">
            <w:pPr>
              <w:rPr>
                <w:rFonts w:eastAsiaTheme="minorHAnsi"/>
              </w:rPr>
            </w:pPr>
            <w:r w:rsidRPr="00D955AB">
              <w:t>6.1</w:t>
            </w:r>
            <w:r>
              <w:t>4</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731E1FBD" w14:textId="77777777" w:rsidR="00AA156E" w:rsidRPr="00D955AB" w:rsidRDefault="00AA156E" w:rsidP="00EB7520">
            <w:pPr>
              <w:rPr>
                <w:rFonts w:eastAsiaTheme="minorHAnsi"/>
              </w:rPr>
            </w:pPr>
            <w:r w:rsidRPr="00D955AB">
              <w:t>Number of Reconsiderations – Fully Favorable (Claims)</w:t>
            </w:r>
          </w:p>
        </w:tc>
      </w:tr>
      <w:tr w:rsidR="00AA156E" w:rsidRPr="003C3BF7" w14:paraId="59CCA8B2" w14:textId="77777777" w:rsidTr="00EB7520">
        <w:trPr>
          <w:trHeight w:val="248"/>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64D2B" w14:textId="77777777" w:rsidR="00AA156E" w:rsidRPr="00D955AB" w:rsidRDefault="00AA156E" w:rsidP="00EB7520">
            <w:pPr>
              <w:rPr>
                <w:rFonts w:eastAsiaTheme="minorHAnsi"/>
              </w:rPr>
            </w:pPr>
            <w:r w:rsidRPr="00D955AB">
              <w:t>6.1</w:t>
            </w:r>
            <w:r>
              <w:t>5</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2A7B5DDD" w14:textId="77777777" w:rsidR="00AA156E" w:rsidRPr="00D955AB" w:rsidRDefault="00AA156E" w:rsidP="00EB7520">
            <w:pPr>
              <w:rPr>
                <w:rFonts w:eastAsiaTheme="minorHAnsi"/>
              </w:rPr>
            </w:pPr>
            <w:r w:rsidRPr="00D955AB">
              <w:t>Number of Reconsiderations – Partially Favorable (Services)</w:t>
            </w:r>
          </w:p>
        </w:tc>
      </w:tr>
      <w:tr w:rsidR="00AA156E" w:rsidRPr="003C3BF7" w14:paraId="083FDF21"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0A476" w14:textId="77777777" w:rsidR="00AA156E" w:rsidRPr="00D955AB" w:rsidRDefault="00AA156E" w:rsidP="00EB7520">
            <w:pPr>
              <w:rPr>
                <w:rFonts w:eastAsiaTheme="minorHAnsi"/>
              </w:rPr>
            </w:pPr>
            <w:r w:rsidRPr="00D955AB">
              <w:t>6.1</w:t>
            </w:r>
            <w:r>
              <w:t>6</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4B61F6A4" w14:textId="77777777" w:rsidR="00AA156E" w:rsidRPr="00D955AB" w:rsidRDefault="00AA156E" w:rsidP="00EB7520">
            <w:pPr>
              <w:rPr>
                <w:rFonts w:eastAsiaTheme="minorHAnsi"/>
              </w:rPr>
            </w:pPr>
            <w:r w:rsidRPr="00D955AB">
              <w:t>Number of Reconsiderations – Partially Favorable (Claims)</w:t>
            </w:r>
          </w:p>
        </w:tc>
      </w:tr>
      <w:tr w:rsidR="00AA156E" w:rsidRPr="003C3BF7" w14:paraId="66EF3204"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F9788" w14:textId="77777777" w:rsidR="00AA156E" w:rsidRPr="00D955AB" w:rsidRDefault="00AA156E" w:rsidP="00EB7520">
            <w:pPr>
              <w:rPr>
                <w:rFonts w:eastAsiaTheme="minorHAnsi"/>
              </w:rPr>
            </w:pPr>
            <w:r w:rsidRPr="00D955AB">
              <w:t>6.1</w:t>
            </w:r>
            <w:r>
              <w:t>7</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0F450C22" w14:textId="77777777" w:rsidR="00AA156E" w:rsidRPr="00D955AB" w:rsidRDefault="00AA156E" w:rsidP="00EB7520">
            <w:pPr>
              <w:rPr>
                <w:rFonts w:eastAsiaTheme="minorHAnsi"/>
              </w:rPr>
            </w:pPr>
            <w:r w:rsidRPr="00D955AB">
              <w:t>Number of Reconsiderations – Adverse (Services)</w:t>
            </w:r>
          </w:p>
        </w:tc>
      </w:tr>
      <w:tr w:rsidR="00AA156E" w:rsidRPr="003C3BF7" w14:paraId="343D3E52"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EB01A" w14:textId="77777777" w:rsidR="00AA156E" w:rsidRPr="00D955AB" w:rsidRDefault="00AA156E" w:rsidP="00EB7520">
            <w:pPr>
              <w:rPr>
                <w:rFonts w:eastAsiaTheme="minorHAnsi"/>
              </w:rPr>
            </w:pPr>
            <w:r w:rsidRPr="00D955AB">
              <w:t>6.1</w:t>
            </w:r>
            <w:r>
              <w:t>8</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28969775" w14:textId="77777777" w:rsidR="00AA156E" w:rsidRPr="00D955AB" w:rsidRDefault="00AA156E" w:rsidP="00EB7520">
            <w:pPr>
              <w:rPr>
                <w:rFonts w:eastAsiaTheme="minorHAnsi"/>
              </w:rPr>
            </w:pPr>
            <w:r w:rsidRPr="00D955AB">
              <w:t>Number of Reconsiderations – Adverse (Claims)</w:t>
            </w:r>
          </w:p>
        </w:tc>
      </w:tr>
      <w:tr w:rsidR="00AA156E" w:rsidRPr="003C3BF7" w14:paraId="2CECBF2C"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C9476" w14:textId="77777777" w:rsidR="00AA156E" w:rsidRPr="00D955AB" w:rsidRDefault="00AA156E" w:rsidP="00EB7520">
            <w:pPr>
              <w:rPr>
                <w:rFonts w:eastAsiaTheme="minorHAnsi"/>
              </w:rPr>
            </w:pPr>
            <w:r w:rsidRPr="00D955AB">
              <w:t>6.1</w:t>
            </w:r>
            <w:r>
              <w:t>9</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28284BB2" w14:textId="77777777" w:rsidR="00AA156E" w:rsidRPr="00D955AB" w:rsidRDefault="00AA156E" w:rsidP="00EB7520">
            <w:pPr>
              <w:rPr>
                <w:rFonts w:eastAsiaTheme="minorHAnsi"/>
              </w:rPr>
            </w:pPr>
            <w:r w:rsidRPr="00D955AB">
              <w:t xml:space="preserve">Number of Requests for Reconsiderations - Withdrawn </w:t>
            </w:r>
          </w:p>
        </w:tc>
      </w:tr>
      <w:tr w:rsidR="00AA156E" w:rsidRPr="003C3BF7" w14:paraId="2FBC65FD"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6ED277" w14:textId="65310A15" w:rsidR="00AA156E" w:rsidRPr="00570AA9" w:rsidRDefault="00AA156E" w:rsidP="00F27441">
            <w:r w:rsidRPr="00570AA9">
              <w:t>6.20</w:t>
            </w:r>
          </w:p>
        </w:tc>
        <w:tc>
          <w:tcPr>
            <w:tcW w:w="8084" w:type="dxa"/>
            <w:tcBorders>
              <w:top w:val="nil"/>
              <w:left w:val="nil"/>
              <w:bottom w:val="single" w:sz="8" w:space="0" w:color="auto"/>
              <w:right w:val="single" w:sz="8" w:space="0" w:color="auto"/>
            </w:tcBorders>
            <w:tcMar>
              <w:top w:w="0" w:type="dxa"/>
              <w:left w:w="108" w:type="dxa"/>
              <w:bottom w:w="0" w:type="dxa"/>
              <w:right w:w="108" w:type="dxa"/>
            </w:tcMar>
          </w:tcPr>
          <w:p w14:paraId="638CE865" w14:textId="77777777" w:rsidR="00AA156E" w:rsidRPr="00570AA9" w:rsidRDefault="00AA156E" w:rsidP="00EB7520">
            <w:r w:rsidRPr="00570AA9">
              <w:t>Number of Requests for Reconsiderations - Dismissals</w:t>
            </w:r>
          </w:p>
        </w:tc>
      </w:tr>
      <w:tr w:rsidR="00AA156E" w:rsidRPr="003C3BF7" w14:paraId="7FF37FD8"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15D4B" w14:textId="77777777" w:rsidR="00AA156E" w:rsidRPr="00D955AB" w:rsidRDefault="00AA156E" w:rsidP="00EB7520">
            <w:pPr>
              <w:rPr>
                <w:rFonts w:eastAsiaTheme="minorHAnsi"/>
              </w:rPr>
            </w:pPr>
            <w:r w:rsidRPr="00D955AB">
              <w:t>6.</w:t>
            </w:r>
            <w:r>
              <w:t>21</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6E8503E6" w14:textId="77777777" w:rsidR="00AA156E" w:rsidRPr="00D955AB" w:rsidRDefault="00AA156E" w:rsidP="00EB7520">
            <w:pPr>
              <w:rPr>
                <w:rFonts w:eastAsiaTheme="minorHAnsi"/>
              </w:rPr>
            </w:pPr>
            <w:r w:rsidRPr="00D955AB">
              <w:t>Total number of reopened (revised) decisions, for any reason, in Time Period Above</w:t>
            </w:r>
          </w:p>
        </w:tc>
      </w:tr>
      <w:tr w:rsidR="00AA156E" w:rsidRPr="003C3BF7" w14:paraId="451AE88B" w14:textId="77777777" w:rsidTr="00EB7520">
        <w:trPr>
          <w:trHeight w:val="241"/>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C73E3" w14:textId="77777777" w:rsidR="00AA156E" w:rsidRPr="00C7633E" w:rsidRDefault="00AA156E" w:rsidP="00EB7520">
            <w:pPr>
              <w:rPr>
                <w:rFonts w:eastAsiaTheme="minorHAnsi"/>
              </w:rPr>
            </w:pP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30768D07" w14:textId="77777777" w:rsidR="00AA156E" w:rsidRPr="00D82866" w:rsidRDefault="00AA156E" w:rsidP="00EB7520">
            <w:pPr>
              <w:spacing w:before="120" w:after="120"/>
              <w:contextualSpacing/>
              <w:rPr>
                <w:rFonts w:eastAsiaTheme="minorHAnsi"/>
                <w:b/>
              </w:rPr>
            </w:pPr>
            <w:r w:rsidRPr="00D82866">
              <w:rPr>
                <w:b/>
              </w:rPr>
              <w:t xml:space="preserve">For each case that was reopened, the following information will be uploaded in a data file:  </w:t>
            </w:r>
          </w:p>
          <w:p w14:paraId="4F0D1CE9" w14:textId="77777777" w:rsidR="00AA156E" w:rsidRPr="00D955AB" w:rsidRDefault="00AA156E" w:rsidP="00EB7520">
            <w:pPr>
              <w:rPr>
                <w:rFonts w:eastAsiaTheme="minorHAnsi"/>
                <w:strike/>
              </w:rPr>
            </w:pPr>
          </w:p>
        </w:tc>
      </w:tr>
      <w:tr w:rsidR="00AA156E" w:rsidRPr="003C3BF7" w14:paraId="642F9887"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57E46E" w14:textId="77777777" w:rsidR="00AA156E" w:rsidRPr="00D955AB" w:rsidRDefault="00AA156E" w:rsidP="00EB7520">
            <w:r w:rsidRPr="00D955AB">
              <w:t>6.2</w:t>
            </w:r>
            <w:r>
              <w:t>2</w:t>
            </w:r>
          </w:p>
        </w:tc>
        <w:tc>
          <w:tcPr>
            <w:tcW w:w="8084" w:type="dxa"/>
            <w:tcBorders>
              <w:top w:val="nil"/>
              <w:left w:val="nil"/>
              <w:bottom w:val="single" w:sz="8" w:space="0" w:color="auto"/>
              <w:right w:val="single" w:sz="8" w:space="0" w:color="auto"/>
            </w:tcBorders>
            <w:tcMar>
              <w:top w:w="0" w:type="dxa"/>
              <w:left w:w="108" w:type="dxa"/>
              <w:bottom w:w="0" w:type="dxa"/>
              <w:right w:w="108" w:type="dxa"/>
            </w:tcMar>
          </w:tcPr>
          <w:p w14:paraId="2AE311D3" w14:textId="77777777" w:rsidR="00AA156E" w:rsidRPr="00D955AB" w:rsidRDefault="00AA156E" w:rsidP="00EB7520">
            <w:r w:rsidRPr="00D955AB">
              <w:t>Contract Number</w:t>
            </w:r>
          </w:p>
        </w:tc>
      </w:tr>
      <w:tr w:rsidR="00AA156E" w:rsidRPr="003C3BF7" w14:paraId="18ADB3FC"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FB5AD2" w14:textId="77777777" w:rsidR="00AA156E" w:rsidRPr="00D955AB" w:rsidRDefault="00AA156E" w:rsidP="00EB7520">
            <w:pPr>
              <w:rPr>
                <w:rFonts w:eastAsiaTheme="minorHAnsi"/>
              </w:rPr>
            </w:pPr>
            <w:r w:rsidRPr="00D955AB">
              <w:rPr>
                <w:rFonts w:eastAsiaTheme="minorHAnsi"/>
              </w:rPr>
              <w:t>6.2</w:t>
            </w:r>
            <w:r>
              <w:rPr>
                <w:rFonts w:eastAsiaTheme="minorHAnsi"/>
              </w:rPr>
              <w:t>3</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15D7F3B9" w14:textId="77777777" w:rsidR="00AA156E" w:rsidRPr="00D955AB" w:rsidRDefault="00AA156E" w:rsidP="00EB7520">
            <w:pPr>
              <w:rPr>
                <w:rFonts w:eastAsiaTheme="minorHAnsi"/>
              </w:rPr>
            </w:pPr>
            <w:r w:rsidRPr="00D955AB">
              <w:t>Plan ID</w:t>
            </w:r>
          </w:p>
        </w:tc>
      </w:tr>
      <w:tr w:rsidR="00AA156E" w:rsidRPr="003C3BF7" w14:paraId="6060B6D4"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DE91BA" w14:textId="77777777" w:rsidR="00AA156E" w:rsidRPr="00D955AB" w:rsidRDefault="00AA156E" w:rsidP="00EB7520">
            <w:pPr>
              <w:rPr>
                <w:rFonts w:eastAsiaTheme="minorHAnsi"/>
              </w:rPr>
            </w:pPr>
            <w:r w:rsidRPr="00D955AB">
              <w:rPr>
                <w:rFonts w:eastAsiaTheme="minorHAnsi"/>
              </w:rPr>
              <w:t>6.2</w:t>
            </w:r>
            <w:r>
              <w:rPr>
                <w:rFonts w:eastAsiaTheme="minorHAnsi"/>
              </w:rPr>
              <w:t>4</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27897BD7" w14:textId="77777777" w:rsidR="00AA156E" w:rsidRPr="00D955AB" w:rsidRDefault="00AA156E" w:rsidP="00EB7520">
            <w:pPr>
              <w:spacing w:before="120" w:after="120"/>
              <w:contextualSpacing/>
              <w:rPr>
                <w:rFonts w:eastAsiaTheme="minorHAnsi"/>
              </w:rPr>
            </w:pPr>
            <w:r w:rsidRPr="00D955AB">
              <w:t>Case ID</w:t>
            </w:r>
          </w:p>
        </w:tc>
      </w:tr>
      <w:tr w:rsidR="00AA156E" w:rsidRPr="003C3BF7" w14:paraId="7105C51A"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2C70B" w14:textId="77777777" w:rsidR="00AA156E" w:rsidRPr="00D955AB" w:rsidRDefault="00AA156E" w:rsidP="00EB7520">
            <w:pPr>
              <w:rPr>
                <w:rFonts w:eastAsiaTheme="minorHAnsi"/>
              </w:rPr>
            </w:pPr>
            <w:r w:rsidRPr="00D955AB">
              <w:rPr>
                <w:rFonts w:eastAsiaTheme="minorHAnsi"/>
              </w:rPr>
              <w:t>6.2</w:t>
            </w:r>
            <w:r>
              <w:rPr>
                <w:rFonts w:eastAsiaTheme="minorHAnsi"/>
              </w:rPr>
              <w:t>5</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77AADDA4" w14:textId="255CBED7" w:rsidR="00AA156E" w:rsidRPr="00D955AB" w:rsidRDefault="00466638" w:rsidP="00EB7520">
            <w:pPr>
              <w:spacing w:before="120" w:after="120"/>
              <w:contextualSpacing/>
              <w:rPr>
                <w:rFonts w:eastAsiaTheme="minorHAnsi"/>
              </w:rPr>
            </w:pPr>
            <w:r w:rsidRPr="00D955AB">
              <w:t>Case level (Organization Determination or Reconsideration)</w:t>
            </w:r>
          </w:p>
        </w:tc>
      </w:tr>
      <w:tr w:rsidR="00AA156E" w:rsidRPr="003C3BF7" w14:paraId="54B51531"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675F46" w14:textId="77777777" w:rsidR="00AA156E" w:rsidRPr="00D955AB" w:rsidRDefault="00AA156E" w:rsidP="00EB7520">
            <w:pPr>
              <w:rPr>
                <w:rFonts w:eastAsiaTheme="minorHAnsi"/>
              </w:rPr>
            </w:pPr>
            <w:r w:rsidRPr="00D955AB">
              <w:rPr>
                <w:rFonts w:eastAsiaTheme="minorHAnsi"/>
              </w:rPr>
              <w:t>6.2</w:t>
            </w:r>
            <w:r>
              <w:rPr>
                <w:rFonts w:eastAsiaTheme="minorHAnsi"/>
              </w:rPr>
              <w:t>6</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69BEB866" w14:textId="72121791" w:rsidR="00AA156E" w:rsidRPr="00D955AB" w:rsidRDefault="00466638" w:rsidP="00466638">
            <w:pPr>
              <w:spacing w:before="120" w:after="120"/>
              <w:contextualSpacing/>
              <w:rPr>
                <w:rFonts w:eastAsiaTheme="minorHAnsi"/>
              </w:rPr>
            </w:pPr>
            <w:r w:rsidRPr="00D955AB">
              <w:t xml:space="preserve">Date of original disposition </w:t>
            </w:r>
          </w:p>
        </w:tc>
      </w:tr>
      <w:tr w:rsidR="00AA156E" w:rsidRPr="003C3BF7" w14:paraId="6E1A013E" w14:textId="77777777" w:rsidTr="00D43B3F">
        <w:trPr>
          <w:trHeight w:val="484"/>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FAE778" w14:textId="77777777" w:rsidR="00AA156E" w:rsidRPr="00D955AB" w:rsidRDefault="00AA156E" w:rsidP="00EB7520">
            <w:pPr>
              <w:rPr>
                <w:rFonts w:eastAsiaTheme="minorHAnsi"/>
              </w:rPr>
            </w:pPr>
            <w:r w:rsidRPr="00D955AB">
              <w:rPr>
                <w:rFonts w:eastAsiaTheme="minorHAnsi"/>
              </w:rPr>
              <w:t>6.2</w:t>
            </w:r>
            <w:r>
              <w:rPr>
                <w:rFonts w:eastAsiaTheme="minorHAnsi"/>
              </w:rPr>
              <w:t>7</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518ECB4C" w14:textId="3B1F113C" w:rsidR="00AA156E" w:rsidRPr="00D955AB" w:rsidRDefault="00466638" w:rsidP="00EB7520">
            <w:pPr>
              <w:spacing w:before="120" w:after="120"/>
              <w:contextualSpacing/>
              <w:rPr>
                <w:rFonts w:eastAsiaTheme="minorHAnsi"/>
              </w:rPr>
            </w:pPr>
            <w:r w:rsidRPr="00D955AB">
              <w:t>Original disposition (Fully Favorable; Partially Favorable or Adverse)</w:t>
            </w:r>
          </w:p>
        </w:tc>
      </w:tr>
      <w:tr w:rsidR="0095225D" w:rsidRPr="003C3BF7" w14:paraId="3A2A7021"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63AD4" w14:textId="04C2B41E" w:rsidR="0095225D" w:rsidRPr="00D955AB" w:rsidRDefault="00B74C45" w:rsidP="00EB7520">
            <w:pPr>
              <w:rPr>
                <w:rFonts w:eastAsiaTheme="minorHAnsi"/>
              </w:rPr>
            </w:pPr>
            <w:r>
              <w:rPr>
                <w:rFonts w:eastAsiaTheme="minorHAnsi"/>
              </w:rPr>
              <w:t>6.28</w:t>
            </w:r>
          </w:p>
        </w:tc>
        <w:tc>
          <w:tcPr>
            <w:tcW w:w="8084" w:type="dxa"/>
            <w:tcBorders>
              <w:top w:val="nil"/>
              <w:left w:val="nil"/>
              <w:bottom w:val="single" w:sz="8" w:space="0" w:color="auto"/>
              <w:right w:val="single" w:sz="8" w:space="0" w:color="auto"/>
            </w:tcBorders>
            <w:tcMar>
              <w:top w:w="0" w:type="dxa"/>
              <w:left w:w="108" w:type="dxa"/>
              <w:bottom w:w="0" w:type="dxa"/>
              <w:right w:w="108" w:type="dxa"/>
            </w:tcMar>
          </w:tcPr>
          <w:p w14:paraId="70DBC53C" w14:textId="091C7A08" w:rsidR="0095225D" w:rsidRPr="00570AA9" w:rsidRDefault="0095225D" w:rsidP="00EB7520">
            <w:pPr>
              <w:spacing w:before="120" w:after="120"/>
              <w:contextualSpacing/>
              <w:rPr>
                <w:u w:val="single"/>
              </w:rPr>
            </w:pPr>
            <w:r w:rsidRPr="00570AA9">
              <w:rPr>
                <w:u w:val="single"/>
              </w:rPr>
              <w:t>Was the case processed under the expedited timeframe? (Y/N)</w:t>
            </w:r>
          </w:p>
        </w:tc>
      </w:tr>
      <w:tr w:rsidR="0095225D" w:rsidRPr="003C3BF7" w14:paraId="264AF5AF"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2C0297" w14:textId="3C84A536" w:rsidR="0095225D" w:rsidRPr="00D955AB" w:rsidRDefault="00B74C45" w:rsidP="00EB7520">
            <w:pPr>
              <w:rPr>
                <w:rFonts w:eastAsiaTheme="minorHAnsi"/>
              </w:rPr>
            </w:pPr>
            <w:r>
              <w:rPr>
                <w:rFonts w:eastAsiaTheme="minorHAnsi"/>
              </w:rPr>
              <w:t>6.29</w:t>
            </w:r>
          </w:p>
        </w:tc>
        <w:tc>
          <w:tcPr>
            <w:tcW w:w="8084" w:type="dxa"/>
            <w:tcBorders>
              <w:top w:val="nil"/>
              <w:left w:val="nil"/>
              <w:bottom w:val="single" w:sz="8" w:space="0" w:color="auto"/>
              <w:right w:val="single" w:sz="8" w:space="0" w:color="auto"/>
            </w:tcBorders>
            <w:tcMar>
              <w:top w:w="0" w:type="dxa"/>
              <w:left w:w="108" w:type="dxa"/>
              <w:bottom w:w="0" w:type="dxa"/>
              <w:right w:w="108" w:type="dxa"/>
            </w:tcMar>
          </w:tcPr>
          <w:p w14:paraId="6F6C3C1C" w14:textId="3738122F" w:rsidR="0095225D" w:rsidRPr="00570AA9" w:rsidRDefault="0095225D" w:rsidP="00964DEC">
            <w:pPr>
              <w:spacing w:before="120" w:after="120"/>
              <w:contextualSpacing/>
              <w:rPr>
                <w:u w:val="single"/>
              </w:rPr>
            </w:pPr>
            <w:r w:rsidRPr="00570AA9">
              <w:rPr>
                <w:u w:val="single"/>
              </w:rPr>
              <w:t>Case type (</w:t>
            </w:r>
            <w:r w:rsidR="00466638" w:rsidRPr="00570AA9">
              <w:rPr>
                <w:u w:val="single"/>
              </w:rPr>
              <w:t>Service</w:t>
            </w:r>
            <w:r w:rsidRPr="00570AA9">
              <w:rPr>
                <w:u w:val="single"/>
              </w:rPr>
              <w:t xml:space="preserve"> or Claim)</w:t>
            </w:r>
          </w:p>
        </w:tc>
      </w:tr>
      <w:tr w:rsidR="0095225D" w:rsidRPr="003C3BF7" w14:paraId="662BDB85"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13CBEA" w14:textId="47C2D8F1" w:rsidR="0095225D" w:rsidRPr="00D955AB" w:rsidRDefault="00B74C45" w:rsidP="00EB7520">
            <w:pPr>
              <w:rPr>
                <w:rFonts w:eastAsiaTheme="minorHAnsi"/>
              </w:rPr>
            </w:pPr>
            <w:r>
              <w:rPr>
                <w:rFonts w:eastAsiaTheme="minorHAnsi"/>
              </w:rPr>
              <w:t>6.30</w:t>
            </w:r>
          </w:p>
        </w:tc>
        <w:tc>
          <w:tcPr>
            <w:tcW w:w="8084" w:type="dxa"/>
            <w:tcBorders>
              <w:top w:val="nil"/>
              <w:left w:val="nil"/>
              <w:bottom w:val="single" w:sz="8" w:space="0" w:color="auto"/>
              <w:right w:val="single" w:sz="8" w:space="0" w:color="auto"/>
            </w:tcBorders>
            <w:tcMar>
              <w:top w:w="0" w:type="dxa"/>
              <w:left w:w="108" w:type="dxa"/>
              <w:bottom w:w="0" w:type="dxa"/>
              <w:right w:w="108" w:type="dxa"/>
            </w:tcMar>
          </w:tcPr>
          <w:p w14:paraId="6C8284C1" w14:textId="3B915D73" w:rsidR="0095225D" w:rsidRPr="00570AA9" w:rsidRDefault="0095225D" w:rsidP="00EB7520">
            <w:pPr>
              <w:spacing w:before="120" w:after="120"/>
              <w:contextualSpacing/>
              <w:rPr>
                <w:u w:val="single"/>
              </w:rPr>
            </w:pPr>
            <w:r w:rsidRPr="00570AA9">
              <w:rPr>
                <w:u w:val="single"/>
              </w:rPr>
              <w:t>Status of treating provider (Contract, Non-contract)</w:t>
            </w:r>
          </w:p>
        </w:tc>
      </w:tr>
      <w:tr w:rsidR="00AA156E" w:rsidRPr="003C3BF7" w14:paraId="13CBCEA5"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AE912B" w14:textId="137AD9B8" w:rsidR="00AA156E" w:rsidRPr="00D955AB" w:rsidRDefault="00AA156E" w:rsidP="00B74C45">
            <w:pPr>
              <w:rPr>
                <w:rFonts w:eastAsiaTheme="minorHAnsi"/>
              </w:rPr>
            </w:pPr>
            <w:r w:rsidRPr="00D955AB">
              <w:rPr>
                <w:rFonts w:eastAsiaTheme="minorHAnsi"/>
              </w:rPr>
              <w:t>6.</w:t>
            </w:r>
            <w:r w:rsidR="00B74C45">
              <w:rPr>
                <w:rFonts w:eastAsiaTheme="minorHAnsi"/>
              </w:rPr>
              <w:t>31</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22042352" w14:textId="77777777" w:rsidR="00AA156E" w:rsidRPr="00D955AB" w:rsidRDefault="00AA156E" w:rsidP="00EB7520">
            <w:pPr>
              <w:spacing w:before="120" w:after="120"/>
              <w:contextualSpacing/>
              <w:rPr>
                <w:rFonts w:eastAsiaTheme="minorHAnsi"/>
              </w:rPr>
            </w:pPr>
            <w:r w:rsidRPr="00D955AB">
              <w:t>Date case was reopened</w:t>
            </w:r>
          </w:p>
        </w:tc>
      </w:tr>
      <w:tr w:rsidR="00AA156E" w:rsidRPr="003C3BF7" w14:paraId="2AF7284E"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C338DB" w14:textId="56ED744A" w:rsidR="00AA156E" w:rsidRPr="00D955AB" w:rsidRDefault="00AA156E" w:rsidP="00B74C45">
            <w:pPr>
              <w:rPr>
                <w:rFonts w:eastAsiaTheme="minorHAnsi"/>
              </w:rPr>
            </w:pPr>
            <w:r w:rsidRPr="00D955AB">
              <w:rPr>
                <w:rFonts w:eastAsiaTheme="minorHAnsi"/>
              </w:rPr>
              <w:t>6.</w:t>
            </w:r>
            <w:r w:rsidR="00B74C45">
              <w:rPr>
                <w:rFonts w:eastAsiaTheme="minorHAnsi"/>
              </w:rPr>
              <w:t>32</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3868E3C7" w14:textId="2BAF2208" w:rsidR="00AA156E" w:rsidRPr="00D955AB" w:rsidRDefault="00AA156E" w:rsidP="00EB7520">
            <w:pPr>
              <w:spacing w:before="120" w:after="120"/>
              <w:contextualSpacing/>
              <w:rPr>
                <w:rFonts w:eastAsiaTheme="minorHAnsi"/>
              </w:rPr>
            </w:pPr>
            <w:r w:rsidRPr="00D955AB">
              <w:t xml:space="preserve">Reason(s) for reopening (Clerical Error, </w:t>
            </w:r>
            <w:r w:rsidR="00896BA2">
              <w:t xml:space="preserve">Other Error, </w:t>
            </w:r>
            <w:r w:rsidRPr="00D955AB">
              <w:t xml:space="preserve">New and Material Evidence, </w:t>
            </w:r>
            <w:r w:rsidR="0095225D">
              <w:t>Fraud or Similar Fault</w:t>
            </w:r>
            <w:r w:rsidR="00896BA2">
              <w:t>,</w:t>
            </w:r>
            <w:r w:rsidR="0095225D">
              <w:t xml:space="preserve"> </w:t>
            </w:r>
            <w:r w:rsidRPr="00D955AB">
              <w:t>or Other)</w:t>
            </w:r>
          </w:p>
        </w:tc>
      </w:tr>
      <w:tr w:rsidR="00896BA2" w:rsidRPr="003C3BF7" w14:paraId="45CDC543"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FFC9EC" w14:textId="33DC79DF" w:rsidR="00896BA2" w:rsidRPr="00D955AB" w:rsidRDefault="00B74C45" w:rsidP="00EB7520">
            <w:pPr>
              <w:rPr>
                <w:rFonts w:eastAsiaTheme="minorHAnsi"/>
              </w:rPr>
            </w:pPr>
            <w:r>
              <w:rPr>
                <w:rFonts w:eastAsiaTheme="minorHAnsi"/>
              </w:rPr>
              <w:lastRenderedPageBreak/>
              <w:t>6.33</w:t>
            </w:r>
          </w:p>
        </w:tc>
        <w:tc>
          <w:tcPr>
            <w:tcW w:w="8084" w:type="dxa"/>
            <w:tcBorders>
              <w:top w:val="nil"/>
              <w:left w:val="nil"/>
              <w:bottom w:val="single" w:sz="8" w:space="0" w:color="auto"/>
              <w:right w:val="single" w:sz="8" w:space="0" w:color="auto"/>
            </w:tcBorders>
            <w:tcMar>
              <w:top w:w="0" w:type="dxa"/>
              <w:left w:w="108" w:type="dxa"/>
              <w:bottom w:w="0" w:type="dxa"/>
              <w:right w:w="108" w:type="dxa"/>
            </w:tcMar>
          </w:tcPr>
          <w:p w14:paraId="17F24F02" w14:textId="02156466" w:rsidR="00896BA2" w:rsidRPr="00570AA9" w:rsidRDefault="00896BA2" w:rsidP="00EB7520">
            <w:pPr>
              <w:spacing w:before="120" w:after="120"/>
              <w:contextualSpacing/>
              <w:rPr>
                <w:u w:val="single"/>
              </w:rPr>
            </w:pPr>
            <w:r w:rsidRPr="00570AA9">
              <w:rPr>
                <w:u w:val="single"/>
              </w:rPr>
              <w:t>Additional Information (Optional)</w:t>
            </w:r>
          </w:p>
        </w:tc>
      </w:tr>
      <w:tr w:rsidR="00AA156E" w:rsidRPr="003C3BF7" w14:paraId="310B1942" w14:textId="77777777" w:rsidTr="00EB7520">
        <w:trPr>
          <w:trHeight w:val="267"/>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D1F819" w14:textId="6E931AB7" w:rsidR="00AA156E" w:rsidRPr="00D955AB" w:rsidRDefault="00AA156E" w:rsidP="00B74C45">
            <w:pPr>
              <w:rPr>
                <w:rFonts w:eastAsiaTheme="minorHAnsi"/>
              </w:rPr>
            </w:pPr>
            <w:r w:rsidRPr="00D955AB">
              <w:rPr>
                <w:rFonts w:eastAsiaTheme="minorHAnsi"/>
              </w:rPr>
              <w:t>6.</w:t>
            </w:r>
            <w:r w:rsidR="00B74C45">
              <w:rPr>
                <w:rFonts w:eastAsiaTheme="minorHAnsi"/>
              </w:rPr>
              <w:t>34</w:t>
            </w:r>
          </w:p>
        </w:tc>
        <w:tc>
          <w:tcPr>
            <w:tcW w:w="8084" w:type="dxa"/>
            <w:tcBorders>
              <w:top w:val="nil"/>
              <w:left w:val="nil"/>
              <w:bottom w:val="single" w:sz="8" w:space="0" w:color="auto"/>
              <w:right w:val="single" w:sz="8" w:space="0" w:color="auto"/>
            </w:tcBorders>
            <w:tcMar>
              <w:top w:w="0" w:type="dxa"/>
              <w:left w:w="108" w:type="dxa"/>
              <w:bottom w:w="0" w:type="dxa"/>
              <w:right w:w="108" w:type="dxa"/>
            </w:tcMar>
            <w:hideMark/>
          </w:tcPr>
          <w:p w14:paraId="2027C707" w14:textId="2A23AEDE" w:rsidR="00AA156E" w:rsidRPr="00D955AB" w:rsidRDefault="00AA156E" w:rsidP="00EB7520">
            <w:pPr>
              <w:spacing w:before="120" w:after="120"/>
              <w:contextualSpacing/>
              <w:rPr>
                <w:rFonts w:eastAsiaTheme="minorHAnsi"/>
              </w:rPr>
            </w:pPr>
            <w:r w:rsidRPr="00D955AB">
              <w:t>Date of reopening disposition (revised decision)</w:t>
            </w:r>
            <w:r w:rsidR="00884743">
              <w:t>*</w:t>
            </w:r>
          </w:p>
        </w:tc>
      </w:tr>
      <w:tr w:rsidR="00AA156E" w:rsidRPr="003C3BF7" w14:paraId="2FC2E13A" w14:textId="77777777" w:rsidTr="0038554A">
        <w:trPr>
          <w:trHeight w:val="267"/>
        </w:trPr>
        <w:tc>
          <w:tcPr>
            <w:tcW w:w="1342"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D4B7EB" w14:textId="1C74C489" w:rsidR="00AA156E" w:rsidRPr="00D955AB" w:rsidRDefault="00AA156E" w:rsidP="00B74C45">
            <w:pPr>
              <w:rPr>
                <w:rFonts w:eastAsiaTheme="minorHAnsi"/>
              </w:rPr>
            </w:pPr>
            <w:r w:rsidRPr="00D955AB">
              <w:rPr>
                <w:rFonts w:eastAsiaTheme="minorHAnsi"/>
              </w:rPr>
              <w:t>6.</w:t>
            </w:r>
            <w:r w:rsidR="00B74C45">
              <w:rPr>
                <w:rFonts w:eastAsiaTheme="minorHAnsi"/>
              </w:rPr>
              <w:t>35</w:t>
            </w:r>
          </w:p>
        </w:tc>
        <w:tc>
          <w:tcPr>
            <w:tcW w:w="8084" w:type="dxa"/>
            <w:tcBorders>
              <w:top w:val="nil"/>
              <w:left w:val="nil"/>
              <w:bottom w:val="single" w:sz="4" w:space="0" w:color="auto"/>
              <w:right w:val="single" w:sz="8" w:space="0" w:color="auto"/>
            </w:tcBorders>
            <w:tcMar>
              <w:top w:w="0" w:type="dxa"/>
              <w:left w:w="108" w:type="dxa"/>
              <w:bottom w:w="0" w:type="dxa"/>
              <w:right w:w="108" w:type="dxa"/>
            </w:tcMar>
            <w:hideMark/>
          </w:tcPr>
          <w:p w14:paraId="28A07C07" w14:textId="77777777" w:rsidR="00AA156E" w:rsidRPr="00D955AB" w:rsidRDefault="00AA156E" w:rsidP="00EB7520">
            <w:pPr>
              <w:spacing w:before="120" w:after="120"/>
              <w:contextualSpacing/>
              <w:rPr>
                <w:rFonts w:eastAsiaTheme="minorHAnsi"/>
              </w:rPr>
            </w:pPr>
            <w:r w:rsidRPr="00D955AB">
              <w:t>Reopening disposition (Fully Favorable; Partially Favorable, Adverse or Pending)</w:t>
            </w:r>
          </w:p>
        </w:tc>
      </w:tr>
    </w:tbl>
    <w:p w14:paraId="5EF87CDB" w14:textId="77777777" w:rsidR="00AA156E" w:rsidRDefault="00AA156E" w:rsidP="00AA156E">
      <w:pPr>
        <w:ind w:left="360"/>
        <w:rPr>
          <w:b/>
          <w:bCs/>
          <w:szCs w:val="20"/>
        </w:rPr>
      </w:pPr>
    </w:p>
    <w:p w14:paraId="7DDAC914" w14:textId="59577767" w:rsidR="005D6E77" w:rsidRPr="00D43B3F" w:rsidRDefault="00D43B3F" w:rsidP="005D6E77">
      <w:pPr>
        <w:rPr>
          <w:bCs/>
          <w:u w:val="single"/>
        </w:rPr>
      </w:pPr>
      <w:r w:rsidRPr="00327BCB">
        <w:rPr>
          <w:bCs/>
        </w:rPr>
        <w:t>* The</w:t>
      </w:r>
      <w:r w:rsidR="00B74C45" w:rsidRPr="00327BCB">
        <w:rPr>
          <w:bCs/>
        </w:rPr>
        <w:t xml:space="preserve"> d</w:t>
      </w:r>
      <w:r w:rsidR="00884743" w:rsidRPr="00B74C45">
        <w:t xml:space="preserve">ate of disposition is the date the required written notice of </w:t>
      </w:r>
      <w:r w:rsidR="00F5128A">
        <w:t xml:space="preserve">a </w:t>
      </w:r>
      <w:r w:rsidR="00884743" w:rsidRPr="00B74C45">
        <w:t>revised decision was sent per 405.982.</w:t>
      </w:r>
    </w:p>
    <w:p w14:paraId="545FCB5A" w14:textId="77777777" w:rsidR="00BD2179" w:rsidRDefault="00BD2179" w:rsidP="005D6E77">
      <w:pPr>
        <w:rPr>
          <w:rFonts w:eastAsia="Calibri"/>
          <w:b/>
          <w:bCs/>
          <w:u w:val="single"/>
        </w:rPr>
      </w:pPr>
    </w:p>
    <w:p w14:paraId="4D60F735" w14:textId="77777777" w:rsidR="005D6E77" w:rsidRPr="00E70D4D" w:rsidRDefault="005D6E77" w:rsidP="005D6E77">
      <w:pPr>
        <w:rPr>
          <w:b/>
          <w:bCs/>
          <w:u w:val="single"/>
        </w:rPr>
      </w:pPr>
      <w:r w:rsidRPr="00E70D4D">
        <w:rPr>
          <w:rFonts w:eastAsia="Calibri"/>
          <w:b/>
          <w:bCs/>
          <w:u w:val="single"/>
        </w:rPr>
        <w:t xml:space="preserve">Notes </w:t>
      </w:r>
    </w:p>
    <w:p w14:paraId="1BF8784F" w14:textId="77777777" w:rsidR="005D6E77" w:rsidRPr="00E70D4D" w:rsidRDefault="005D6E77" w:rsidP="005D6E77">
      <w:pPr>
        <w:autoSpaceDE w:val="0"/>
        <w:autoSpaceDN w:val="0"/>
        <w:adjustRightInd w:val="0"/>
        <w:rPr>
          <w:rFonts w:eastAsia="Calibri"/>
          <w:b/>
          <w:bCs/>
          <w:u w:val="single"/>
        </w:rPr>
      </w:pPr>
    </w:p>
    <w:p w14:paraId="262C3030" w14:textId="3F3DAF26" w:rsidR="005D6E77" w:rsidRPr="0038554A" w:rsidRDefault="005D6E77" w:rsidP="005D6E77">
      <w:pPr>
        <w:autoSpaceDE w:val="0"/>
        <w:autoSpaceDN w:val="0"/>
        <w:adjustRightInd w:val="0"/>
        <w:rPr>
          <w:rFonts w:eastAsia="Calibri"/>
        </w:rPr>
      </w:pPr>
      <w:r w:rsidRPr="00570AA9">
        <w:rPr>
          <w:rFonts w:eastAsia="Calibri"/>
        </w:rPr>
        <w:t xml:space="preserve">This reporting section requires </w:t>
      </w:r>
      <w:r w:rsidR="00285836" w:rsidRPr="00570AA9">
        <w:rPr>
          <w:rFonts w:eastAsia="Calibri"/>
        </w:rPr>
        <w:t>a</w:t>
      </w:r>
      <w:r w:rsidR="00F529D1">
        <w:rPr>
          <w:rFonts w:eastAsia="Calibri"/>
        </w:rPr>
        <w:t xml:space="preserve"> data entry and file upload</w:t>
      </w:r>
      <w:r w:rsidR="00285836" w:rsidRPr="0038554A">
        <w:rPr>
          <w:rFonts w:eastAsia="Calibri"/>
        </w:rPr>
        <w:t>.</w:t>
      </w:r>
      <w:r w:rsidRPr="0038554A">
        <w:rPr>
          <w:rFonts w:eastAsia="Calibri"/>
        </w:rPr>
        <w:t xml:space="preserve"> </w:t>
      </w:r>
    </w:p>
    <w:p w14:paraId="084171D7" w14:textId="77777777" w:rsidR="005D6E77" w:rsidRDefault="005D6E77" w:rsidP="005D6E77">
      <w:pPr>
        <w:autoSpaceDE w:val="0"/>
        <w:autoSpaceDN w:val="0"/>
        <w:adjustRightInd w:val="0"/>
        <w:rPr>
          <w:rFonts w:eastAsia="Calibri"/>
        </w:rPr>
      </w:pPr>
    </w:p>
    <w:p w14:paraId="211C97F6" w14:textId="77777777" w:rsidR="008C32D4" w:rsidRPr="00E64F49" w:rsidRDefault="008C32D4" w:rsidP="00570AA9">
      <w:pPr>
        <w:pStyle w:val="ListParagraph"/>
        <w:numPr>
          <w:ilvl w:val="0"/>
          <w:numId w:val="42"/>
        </w:numPr>
      </w:pPr>
      <w:r w:rsidRPr="00E64F49">
        <w:rPr>
          <w:rFonts w:ascii="Times New Roman" w:hAnsi="Times New Roman"/>
          <w:iCs/>
          <w:sz w:val="24"/>
          <w:szCs w:val="24"/>
        </w:rPr>
        <w:t>Sponsors should generate these reports at the end of each quarter of the contract year and hold them for the annual submission</w:t>
      </w:r>
      <w:r w:rsidRPr="00E64F49">
        <w:rPr>
          <w:rFonts w:ascii="Times New Roman" w:hAnsi="Times New Roman"/>
          <w:sz w:val="24"/>
          <w:szCs w:val="24"/>
        </w:rPr>
        <w:t xml:space="preserve">.  </w:t>
      </w:r>
    </w:p>
    <w:p w14:paraId="6BE3E6DD" w14:textId="77777777" w:rsidR="008C32D4" w:rsidRPr="00BD2179" w:rsidRDefault="008C32D4" w:rsidP="005D6E77">
      <w:pPr>
        <w:autoSpaceDE w:val="0"/>
        <w:autoSpaceDN w:val="0"/>
        <w:adjustRightInd w:val="0"/>
        <w:rPr>
          <w:rFonts w:eastAsia="Calibri"/>
        </w:rPr>
      </w:pPr>
    </w:p>
    <w:p w14:paraId="286AACDD" w14:textId="3C750864" w:rsidR="009A722E" w:rsidRPr="00B84305" w:rsidRDefault="005D6E77" w:rsidP="00570AA9">
      <w:pPr>
        <w:pStyle w:val="ListParagraph"/>
        <w:numPr>
          <w:ilvl w:val="0"/>
          <w:numId w:val="42"/>
        </w:numPr>
        <w:rPr>
          <w:color w:val="1F497D"/>
        </w:rPr>
      </w:pPr>
      <w:r w:rsidRPr="00BD2179">
        <w:rPr>
          <w:rFonts w:ascii="Times New Roman" w:eastAsiaTheme="minorHAnsi" w:hAnsi="Times New Roman"/>
          <w:sz w:val="24"/>
          <w:szCs w:val="24"/>
        </w:rPr>
        <w:t xml:space="preserve">For an explanation of Part C organization determination, reconsideration, and reopenings procedures, refer to CMS regulations and guidance: 42 CFR Part 422, Subpart M, and Chapter 13 of the Medicare Managed Care Manual, and the CMS website: </w:t>
      </w:r>
      <w:hyperlink r:id="rId13" w:history="1">
        <w:r w:rsidR="00326543" w:rsidRPr="00BD2179">
          <w:rPr>
            <w:rFonts w:ascii="Times New Roman" w:eastAsiaTheme="minorHAnsi" w:hAnsi="Times New Roman"/>
            <w:sz w:val="24"/>
            <w:szCs w:val="24"/>
          </w:rPr>
          <w:t>Medicare Managed Care Appeals &amp; Grievances</w:t>
        </w:r>
        <w:r w:rsidR="002E3CBF" w:rsidRPr="00BD2179">
          <w:rPr>
            <w:rFonts w:ascii="Times New Roman" w:eastAsiaTheme="minorHAnsi" w:hAnsi="Times New Roman"/>
            <w:sz w:val="24"/>
            <w:szCs w:val="24"/>
          </w:rPr>
          <w:t>.</w:t>
        </w:r>
      </w:hyperlink>
      <w:r w:rsidRPr="00BD2179">
        <w:rPr>
          <w:rFonts w:ascii="Times New Roman" w:eastAsiaTheme="minorHAnsi" w:hAnsi="Times New Roman"/>
          <w:sz w:val="24"/>
          <w:szCs w:val="24"/>
        </w:rPr>
        <w:t xml:space="preserve">  </w:t>
      </w:r>
      <w:r w:rsidR="009A722E" w:rsidRPr="00570AA9">
        <w:rPr>
          <w:rFonts w:ascii="Times New Roman" w:hAnsi="Times New Roman"/>
          <w:sz w:val="24"/>
          <w:szCs w:val="24"/>
        </w:rPr>
        <w:t xml:space="preserve">For an explanation of </w:t>
      </w:r>
      <w:r w:rsidR="00CD388D" w:rsidRPr="00570AA9">
        <w:rPr>
          <w:rFonts w:ascii="Times New Roman" w:hAnsi="Times New Roman"/>
          <w:sz w:val="24"/>
          <w:szCs w:val="24"/>
        </w:rPr>
        <w:t>organization determination and reconsideration</w:t>
      </w:r>
      <w:r w:rsidR="009A722E" w:rsidRPr="00570AA9">
        <w:rPr>
          <w:rFonts w:ascii="Times New Roman" w:hAnsi="Times New Roman"/>
          <w:sz w:val="24"/>
          <w:szCs w:val="24"/>
        </w:rPr>
        <w:t xml:space="preserve"> procedures for MMPs, refer to the Demonstration-specific three-way contracts. </w:t>
      </w:r>
    </w:p>
    <w:p w14:paraId="3F92A466" w14:textId="77777777" w:rsidR="005D6E77" w:rsidRPr="00BD2179" w:rsidRDefault="005D6E77" w:rsidP="005D6E77">
      <w:pPr>
        <w:autoSpaceDE w:val="0"/>
        <w:autoSpaceDN w:val="0"/>
        <w:adjustRightInd w:val="0"/>
        <w:rPr>
          <w:rFonts w:eastAsia="Calibri"/>
          <w:u w:val="single"/>
        </w:rPr>
      </w:pPr>
    </w:p>
    <w:p w14:paraId="77B9A26F" w14:textId="77777777" w:rsidR="005D6E77" w:rsidRPr="00BD2179" w:rsidRDefault="005D6E77" w:rsidP="00570AA9">
      <w:pPr>
        <w:pStyle w:val="ListParagraph"/>
        <w:numPr>
          <w:ilvl w:val="0"/>
          <w:numId w:val="42"/>
        </w:numPr>
        <w:autoSpaceDE w:val="0"/>
        <w:autoSpaceDN w:val="0"/>
        <w:adjustRightInd w:val="0"/>
      </w:pPr>
      <w:r w:rsidRPr="00BD2179">
        <w:rPr>
          <w:rFonts w:ascii="Times New Roman" w:hAnsi="Times New Roman"/>
          <w:sz w:val="24"/>
          <w:szCs w:val="24"/>
        </w:rPr>
        <w:t>All plan types listed in the table at the beginning of this section are required to report: organization determinations, reconsiderations and reopenings, as described in this guidance, regardless of whether the request was filed by an enrollee, the enrollee’s representative, a physician or a non-contract provider who signed a Waiver of Liability. </w:t>
      </w:r>
    </w:p>
    <w:p w14:paraId="77F2B554" w14:textId="77777777" w:rsidR="004C70D6" w:rsidRPr="00BD2179" w:rsidRDefault="004C70D6" w:rsidP="005D6E77">
      <w:pPr>
        <w:autoSpaceDE w:val="0"/>
        <w:autoSpaceDN w:val="0"/>
        <w:adjustRightInd w:val="0"/>
        <w:rPr>
          <w:rFonts w:eastAsia="Calibri"/>
        </w:rPr>
      </w:pPr>
    </w:p>
    <w:p w14:paraId="47704B99" w14:textId="789E8B9A" w:rsidR="005D6E77" w:rsidRPr="00BD2179" w:rsidRDefault="005D6E77" w:rsidP="00570AA9">
      <w:pPr>
        <w:pStyle w:val="ListParagraph"/>
        <w:numPr>
          <w:ilvl w:val="0"/>
          <w:numId w:val="42"/>
        </w:numPr>
        <w:autoSpaceDE w:val="0"/>
        <w:autoSpaceDN w:val="0"/>
        <w:adjustRightInd w:val="0"/>
      </w:pPr>
      <w:r w:rsidRPr="00BD2179">
        <w:rPr>
          <w:rFonts w:ascii="Times New Roman" w:hAnsi="Times New Roman"/>
          <w:sz w:val="24"/>
          <w:szCs w:val="24"/>
        </w:rPr>
        <w:t>In cases where a purported representative files an appeal on behalf of a beneficiary without an Appointment of Representative (AOR) form, the timeliness calculation (“clock”) starts upon receipt of the AOR form.  This is a contrast to appeals filed by a beneficiary, in which case the clock starts upon receipt of the appeal.</w:t>
      </w:r>
    </w:p>
    <w:p w14:paraId="5FAD5C1B" w14:textId="77777777" w:rsidR="00E64F49" w:rsidRDefault="00E64F49" w:rsidP="005D6E77"/>
    <w:p w14:paraId="3B6980CF" w14:textId="77777777" w:rsidR="005D6E77" w:rsidRPr="00E70D4D" w:rsidRDefault="005D6E77" w:rsidP="005D6E77">
      <w:r w:rsidRPr="00E70D4D">
        <w:t>For instances when the organization approves an initial request for an item or service (e.g., physical therapy services) and the organization approves a separate additional request to extend or continue coverage of the same item or service, include the decision to extend or continue coverage of the same item or service as another, separate, fully favorable organization determination.</w:t>
      </w:r>
      <w:r>
        <w:t xml:space="preserve"> </w:t>
      </w:r>
    </w:p>
    <w:p w14:paraId="597F69C0" w14:textId="77777777" w:rsidR="005D6E77" w:rsidRPr="00E70D4D" w:rsidRDefault="005D6E77" w:rsidP="005D6E77">
      <w:pPr>
        <w:autoSpaceDE w:val="0"/>
        <w:autoSpaceDN w:val="0"/>
        <w:adjustRightInd w:val="0"/>
        <w:rPr>
          <w:rFonts w:eastAsia="Calibri"/>
        </w:rPr>
      </w:pPr>
    </w:p>
    <w:p w14:paraId="0808E1D1" w14:textId="77777777" w:rsidR="005D6E77" w:rsidRPr="00570AA9" w:rsidRDefault="005D6E77" w:rsidP="00570AA9">
      <w:pPr>
        <w:pStyle w:val="ListParagraph"/>
        <w:numPr>
          <w:ilvl w:val="0"/>
          <w:numId w:val="43"/>
        </w:numPr>
        <w:autoSpaceDE w:val="0"/>
        <w:autoSpaceDN w:val="0"/>
        <w:adjustRightInd w:val="0"/>
        <w:rPr>
          <w:rFonts w:ascii="Times New Roman" w:hAnsi="Times New Roman"/>
        </w:rPr>
      </w:pPr>
      <w:r w:rsidRPr="00BD2179">
        <w:rPr>
          <w:rFonts w:ascii="Times New Roman" w:hAnsi="Times New Roman"/>
          <w:sz w:val="24"/>
          <w:szCs w:val="24"/>
        </w:rPr>
        <w:t xml:space="preserve">Plans are to report encounter data, whereby an encounter took place under a capitation arrangement, as an organization determination.  </w:t>
      </w:r>
      <w:r w:rsidRPr="00570AA9">
        <w:rPr>
          <w:rFonts w:ascii="Times New Roman" w:hAnsi="Times New Roman"/>
          <w:sz w:val="24"/>
          <w:szCs w:val="24"/>
        </w:rPr>
        <w:t>That is, we want plans to report capitated providers’ encounters in lieu of actual claims data.  All encounter data should be reported as timely submissions.</w:t>
      </w:r>
    </w:p>
    <w:p w14:paraId="57CBB417" w14:textId="77777777" w:rsidR="005D6E77" w:rsidRPr="00BD2179" w:rsidRDefault="005D6E77" w:rsidP="005D6E77">
      <w:pPr>
        <w:autoSpaceDE w:val="0"/>
        <w:autoSpaceDN w:val="0"/>
        <w:adjustRightInd w:val="0"/>
        <w:rPr>
          <w:rFonts w:eastAsia="Calibri"/>
        </w:rPr>
      </w:pPr>
    </w:p>
    <w:p w14:paraId="3CC8B3CB" w14:textId="2DEDC0B1" w:rsidR="00885096" w:rsidRPr="00B84305" w:rsidRDefault="00281B72" w:rsidP="00570AA9">
      <w:pPr>
        <w:pStyle w:val="ListParagraph"/>
        <w:numPr>
          <w:ilvl w:val="0"/>
          <w:numId w:val="43"/>
        </w:numPr>
        <w:autoSpaceDE w:val="0"/>
        <w:autoSpaceDN w:val="0"/>
        <w:adjustRightInd w:val="0"/>
      </w:pPr>
      <w:r w:rsidRPr="00570AA9">
        <w:rPr>
          <w:rFonts w:ascii="Times New Roman" w:hAnsi="Times New Roman"/>
          <w:sz w:val="24"/>
          <w:szCs w:val="24"/>
        </w:rPr>
        <w:lastRenderedPageBreak/>
        <w:t xml:space="preserve">If the plan receives an Organization Determination or Reconsideration Request and </w:t>
      </w:r>
      <w:r w:rsidR="005E7B0F" w:rsidRPr="00570AA9">
        <w:rPr>
          <w:rFonts w:ascii="Times New Roman" w:hAnsi="Times New Roman"/>
          <w:sz w:val="24"/>
          <w:szCs w:val="24"/>
        </w:rPr>
        <w:t xml:space="preserve">issues a timely decision, however, the request is withdrawn, the plan would report the timely decision as well as the withdrawn request. </w:t>
      </w:r>
    </w:p>
    <w:p w14:paraId="7AA639A0" w14:textId="77777777" w:rsidR="00885096" w:rsidRPr="00BD2179" w:rsidRDefault="00885096" w:rsidP="005D6E77">
      <w:pPr>
        <w:autoSpaceDE w:val="0"/>
        <w:autoSpaceDN w:val="0"/>
        <w:adjustRightInd w:val="0"/>
        <w:rPr>
          <w:u w:val="single"/>
        </w:rPr>
      </w:pPr>
    </w:p>
    <w:p w14:paraId="7F44C662" w14:textId="10B615FD" w:rsidR="00885096" w:rsidRPr="00B84305" w:rsidRDefault="005E7B0F" w:rsidP="00570AA9">
      <w:pPr>
        <w:pStyle w:val="ListParagraph"/>
        <w:numPr>
          <w:ilvl w:val="0"/>
          <w:numId w:val="43"/>
        </w:numPr>
        <w:autoSpaceDE w:val="0"/>
        <w:autoSpaceDN w:val="0"/>
        <w:adjustRightInd w:val="0"/>
      </w:pPr>
      <w:r w:rsidRPr="00570AA9">
        <w:rPr>
          <w:rFonts w:ascii="Times New Roman" w:hAnsi="Times New Roman"/>
          <w:sz w:val="24"/>
          <w:szCs w:val="24"/>
        </w:rPr>
        <w:t>If the plan receives an Organization Determination or Reconsideration Request and the request is withdrawn prior to a decision being issued, the plan would report the withdrawal only.</w:t>
      </w:r>
    </w:p>
    <w:p w14:paraId="0E71F29D" w14:textId="77777777" w:rsidR="00CD388D" w:rsidRPr="0040019D" w:rsidRDefault="00CD388D" w:rsidP="005D6E77">
      <w:pPr>
        <w:autoSpaceDE w:val="0"/>
        <w:autoSpaceDN w:val="0"/>
        <w:adjustRightInd w:val="0"/>
        <w:rPr>
          <w:u w:val="single"/>
        </w:rPr>
      </w:pPr>
    </w:p>
    <w:p w14:paraId="79575355" w14:textId="408C14C7" w:rsidR="00885096" w:rsidRDefault="00885096" w:rsidP="005D6E77">
      <w:pPr>
        <w:autoSpaceDE w:val="0"/>
        <w:autoSpaceDN w:val="0"/>
        <w:adjustRightInd w:val="0"/>
        <w:rPr>
          <w:rFonts w:eastAsia="Calibri"/>
        </w:rPr>
      </w:pPr>
    </w:p>
    <w:p w14:paraId="6F37F7FE" w14:textId="77777777" w:rsidR="005D6E77" w:rsidRPr="00E64F49" w:rsidRDefault="005D6E77" w:rsidP="005D6E77">
      <w:pPr>
        <w:autoSpaceDE w:val="0"/>
        <w:autoSpaceDN w:val="0"/>
        <w:adjustRightInd w:val="0"/>
        <w:rPr>
          <w:rFonts w:eastAsia="Calibri"/>
          <w:b/>
        </w:rPr>
      </w:pPr>
      <w:r w:rsidRPr="00E64F49">
        <w:rPr>
          <w:rFonts w:eastAsia="Calibri"/>
          <w:b/>
        </w:rPr>
        <w:t>CMS requires plans to report organization determinations and reconsiderations requests submitted to the plan.  For purposes of Reporting Section 6:</w:t>
      </w:r>
    </w:p>
    <w:p w14:paraId="5131C2B5" w14:textId="77777777" w:rsidR="005D6E77" w:rsidRPr="00E70D4D" w:rsidRDefault="005D6E77" w:rsidP="005D6E77">
      <w:pPr>
        <w:autoSpaceDE w:val="0"/>
        <w:autoSpaceDN w:val="0"/>
        <w:adjustRightInd w:val="0"/>
        <w:rPr>
          <w:rFonts w:eastAsia="Calibri"/>
        </w:rPr>
      </w:pPr>
    </w:p>
    <w:p w14:paraId="7D078845" w14:textId="2EDDB09A" w:rsidR="005D6E77" w:rsidRPr="00ED60EA" w:rsidRDefault="00392E43" w:rsidP="00ED60EA">
      <w:pPr>
        <w:numPr>
          <w:ilvl w:val="0"/>
          <w:numId w:val="11"/>
        </w:numPr>
        <w:autoSpaceDE w:val="0"/>
        <w:autoSpaceDN w:val="0"/>
        <w:adjustRightInd w:val="0"/>
        <w:rPr>
          <w:rFonts w:eastAsia="Calibri"/>
        </w:rPr>
      </w:pPr>
      <w:r w:rsidRPr="00E64F49">
        <w:rPr>
          <w:rFonts w:eastAsia="Calibri"/>
          <w:b/>
        </w:rPr>
        <w:t>O</w:t>
      </w:r>
      <w:r w:rsidR="005D6E77" w:rsidRPr="00E64F49">
        <w:rPr>
          <w:rFonts w:eastAsia="Calibri"/>
          <w:b/>
        </w:rPr>
        <w:t>rganization determination</w:t>
      </w:r>
      <w:r w:rsidR="005D6E77" w:rsidRPr="002468F6">
        <w:rPr>
          <w:rFonts w:eastAsia="Calibri"/>
        </w:rPr>
        <w:t xml:space="preserve"> is a plan’s response to a request for coverage (payment or provision) of an item or service – including auto-adjudicated claims, </w:t>
      </w:r>
      <w:r w:rsidR="003F25F3" w:rsidRPr="00ED60EA">
        <w:rPr>
          <w:rFonts w:eastAsia="Calibri"/>
        </w:rPr>
        <w:t>service authorizations which include prior-</w:t>
      </w:r>
      <w:r w:rsidR="00D43B3F" w:rsidRPr="00ED60EA">
        <w:rPr>
          <w:rFonts w:eastAsia="Calibri"/>
        </w:rPr>
        <w:t>authorization</w:t>
      </w:r>
      <w:r w:rsidR="00ED60EA" w:rsidRPr="00ED60EA">
        <w:rPr>
          <w:rFonts w:eastAsia="Calibri"/>
        </w:rPr>
        <w:t xml:space="preserve"> (authorization that is issued prior to the services being rendered)</w:t>
      </w:r>
      <w:r w:rsidR="003F25F3" w:rsidRPr="00ED60EA">
        <w:rPr>
          <w:rFonts w:eastAsia="Calibri"/>
        </w:rPr>
        <w:t>, concurrent authorization</w:t>
      </w:r>
      <w:r w:rsidR="00ED60EA" w:rsidRPr="00ED60EA">
        <w:rPr>
          <w:rFonts w:eastAsia="Calibri"/>
        </w:rPr>
        <w:t xml:space="preserve"> (authorization that is issued at the time the service is being rendered)</w:t>
      </w:r>
      <w:r w:rsidR="003F25F3" w:rsidRPr="00ED60EA">
        <w:rPr>
          <w:rFonts w:eastAsia="Calibri"/>
        </w:rPr>
        <w:t xml:space="preserve"> and post-authorization</w:t>
      </w:r>
      <w:r w:rsidR="00ED60EA" w:rsidRPr="00ED60EA">
        <w:rPr>
          <w:rFonts w:eastAsia="Calibri"/>
        </w:rPr>
        <w:t xml:space="preserve"> (authorization that is issued after the services has already been provided)</w:t>
      </w:r>
      <w:r w:rsidR="005D6E77" w:rsidRPr="00ED60EA">
        <w:rPr>
          <w:rFonts w:eastAsia="Calibri"/>
        </w:rPr>
        <w:t xml:space="preserve"> , and requests to continue previously authorized ongoing courses of treatment.  It includes requests from both contract and non-contract providers.</w:t>
      </w:r>
    </w:p>
    <w:p w14:paraId="2503BC33" w14:textId="77777777" w:rsidR="005D6E77" w:rsidRPr="00E70D4D" w:rsidRDefault="005D6E77" w:rsidP="005D6E77">
      <w:pPr>
        <w:autoSpaceDE w:val="0"/>
        <w:autoSpaceDN w:val="0"/>
        <w:adjustRightInd w:val="0"/>
        <w:ind w:left="720"/>
        <w:rPr>
          <w:rFonts w:eastAsia="Calibri"/>
        </w:rPr>
      </w:pPr>
    </w:p>
    <w:p w14:paraId="1B57B131" w14:textId="77777777" w:rsidR="005D6E77" w:rsidRPr="00326277" w:rsidRDefault="005D6E77" w:rsidP="005D6E77">
      <w:pPr>
        <w:numPr>
          <w:ilvl w:val="0"/>
          <w:numId w:val="11"/>
        </w:numPr>
        <w:autoSpaceDE w:val="0"/>
        <w:autoSpaceDN w:val="0"/>
        <w:adjustRightInd w:val="0"/>
        <w:rPr>
          <w:rFonts w:eastAsia="Calibri"/>
        </w:rPr>
      </w:pPr>
      <w:r w:rsidRPr="00E64F49">
        <w:rPr>
          <w:rFonts w:eastAsia="Calibri"/>
          <w:b/>
        </w:rPr>
        <w:t>Reconsideration</w:t>
      </w:r>
      <w:r w:rsidRPr="00326277">
        <w:rPr>
          <w:rFonts w:eastAsia="Calibri"/>
        </w:rPr>
        <w:t xml:space="preserve"> is a plan’s review of an adverse or partially favorable organization determination.   </w:t>
      </w:r>
    </w:p>
    <w:p w14:paraId="0E357547" w14:textId="77777777" w:rsidR="005D6E77" w:rsidRPr="00E70D4D" w:rsidRDefault="005D6E77" w:rsidP="005D6E77">
      <w:pPr>
        <w:ind w:left="720"/>
        <w:rPr>
          <w:rFonts w:eastAsia="Calibri"/>
        </w:rPr>
      </w:pPr>
    </w:p>
    <w:p w14:paraId="33E0DB6B" w14:textId="12CFC06B" w:rsidR="005D6E77" w:rsidRPr="00E70D4D" w:rsidRDefault="005D6E77" w:rsidP="005D6E77">
      <w:pPr>
        <w:numPr>
          <w:ilvl w:val="0"/>
          <w:numId w:val="11"/>
        </w:numPr>
        <w:autoSpaceDE w:val="0"/>
        <w:autoSpaceDN w:val="0"/>
        <w:adjustRightInd w:val="0"/>
        <w:rPr>
          <w:rFonts w:eastAsia="Calibri"/>
        </w:rPr>
      </w:pPr>
      <w:r w:rsidRPr="00E64F49">
        <w:rPr>
          <w:rFonts w:eastAsia="Calibri"/>
          <w:b/>
        </w:rPr>
        <w:t>Fully Favorable</w:t>
      </w:r>
      <w:r w:rsidRPr="00E70D4D">
        <w:rPr>
          <w:rFonts w:eastAsia="Calibri"/>
        </w:rPr>
        <w:t xml:space="preserve"> decision means an item or service was covered in whole.</w:t>
      </w:r>
    </w:p>
    <w:p w14:paraId="544E5B4E" w14:textId="77777777" w:rsidR="005D6E77" w:rsidRPr="00E70D4D" w:rsidRDefault="005D6E77" w:rsidP="005D6E77">
      <w:pPr>
        <w:ind w:left="720"/>
        <w:rPr>
          <w:rFonts w:eastAsia="Calibri"/>
        </w:rPr>
      </w:pPr>
    </w:p>
    <w:p w14:paraId="5D11AB75" w14:textId="219D4DFC" w:rsidR="005D6E77" w:rsidRPr="00E70D4D" w:rsidRDefault="005D6E77" w:rsidP="005D6E77">
      <w:pPr>
        <w:numPr>
          <w:ilvl w:val="0"/>
          <w:numId w:val="11"/>
        </w:numPr>
        <w:autoSpaceDE w:val="0"/>
        <w:autoSpaceDN w:val="0"/>
        <w:adjustRightInd w:val="0"/>
        <w:rPr>
          <w:rFonts w:eastAsia="Calibri"/>
        </w:rPr>
      </w:pPr>
      <w:r w:rsidRPr="00E64F49">
        <w:rPr>
          <w:rFonts w:eastAsia="Calibri"/>
          <w:b/>
        </w:rPr>
        <w:t>Partially Favorable</w:t>
      </w:r>
      <w:r w:rsidRPr="00E70D4D">
        <w:rPr>
          <w:rFonts w:eastAsia="Calibri"/>
        </w:rPr>
        <w:t xml:space="preserve"> decision means an item or service was partially covered.  For example, if a claim has multiple line items, some of which were paid and some of which were denied, it would be considered partially favorable.  Also, if a pre-service request for 10 therapy services was processed, but only 5 were authorized, this would be considered partially favorable.</w:t>
      </w:r>
    </w:p>
    <w:p w14:paraId="09EB8578" w14:textId="77777777" w:rsidR="005D6E77" w:rsidRPr="00E70D4D" w:rsidRDefault="005D6E77" w:rsidP="005D6E77">
      <w:pPr>
        <w:ind w:left="720"/>
        <w:rPr>
          <w:rFonts w:eastAsia="Calibri"/>
        </w:rPr>
      </w:pPr>
    </w:p>
    <w:p w14:paraId="2B6BF787" w14:textId="75BD4CF3" w:rsidR="005D6E77" w:rsidRPr="00E70D4D" w:rsidRDefault="005D6E77" w:rsidP="005D6E77">
      <w:pPr>
        <w:numPr>
          <w:ilvl w:val="0"/>
          <w:numId w:val="11"/>
        </w:numPr>
        <w:autoSpaceDE w:val="0"/>
        <w:autoSpaceDN w:val="0"/>
        <w:adjustRightInd w:val="0"/>
        <w:rPr>
          <w:rFonts w:eastAsia="Calibri"/>
        </w:rPr>
      </w:pPr>
      <w:r w:rsidRPr="00E64F49">
        <w:rPr>
          <w:rFonts w:eastAsia="Calibri"/>
          <w:b/>
        </w:rPr>
        <w:t xml:space="preserve">Adverse </w:t>
      </w:r>
      <w:r w:rsidRPr="00E70D4D">
        <w:rPr>
          <w:rFonts w:eastAsia="Calibri"/>
        </w:rPr>
        <w:t>decision</w:t>
      </w:r>
      <w:r w:rsidRPr="00E70D4D">
        <w:rPr>
          <w:rFonts w:eastAsia="Calibri"/>
          <w:b/>
        </w:rPr>
        <w:t xml:space="preserve"> </w:t>
      </w:r>
      <w:r w:rsidRPr="00E70D4D">
        <w:rPr>
          <w:rFonts w:eastAsia="Calibri"/>
        </w:rPr>
        <w:t>means an item or service was denied in whole.</w:t>
      </w:r>
    </w:p>
    <w:p w14:paraId="6803D2F4" w14:textId="77777777" w:rsidR="005D6E77" w:rsidRPr="00E70D4D" w:rsidRDefault="005D6E77" w:rsidP="005D6E77">
      <w:pPr>
        <w:ind w:left="720"/>
        <w:rPr>
          <w:rFonts w:eastAsia="Calibri"/>
        </w:rPr>
      </w:pPr>
    </w:p>
    <w:p w14:paraId="7E3194D5" w14:textId="2D533F6E" w:rsidR="005D6E77" w:rsidRPr="00E70D4D" w:rsidRDefault="005D6E77" w:rsidP="005D6E77">
      <w:pPr>
        <w:pStyle w:val="ListParagraph"/>
      </w:pPr>
    </w:p>
    <w:p w14:paraId="1819CC0D" w14:textId="368045F8" w:rsidR="005D6E77" w:rsidRDefault="00392E43" w:rsidP="005D6E77">
      <w:pPr>
        <w:pStyle w:val="ListParagraph"/>
        <w:numPr>
          <w:ilvl w:val="0"/>
          <w:numId w:val="11"/>
        </w:numPr>
        <w:rPr>
          <w:rFonts w:ascii="Times New Roman" w:hAnsi="Times New Roman"/>
          <w:sz w:val="24"/>
          <w:szCs w:val="24"/>
        </w:rPr>
      </w:pPr>
      <w:r w:rsidRPr="00E64F49">
        <w:rPr>
          <w:rFonts w:ascii="Times New Roman" w:hAnsi="Times New Roman"/>
          <w:b/>
          <w:sz w:val="24"/>
          <w:szCs w:val="24"/>
        </w:rPr>
        <w:t>W</w:t>
      </w:r>
      <w:r w:rsidR="005D6E77" w:rsidRPr="00E64F49">
        <w:rPr>
          <w:rFonts w:ascii="Times New Roman" w:hAnsi="Times New Roman"/>
          <w:b/>
          <w:sz w:val="24"/>
          <w:szCs w:val="24"/>
        </w:rPr>
        <w:t>ithdrawn</w:t>
      </w:r>
      <w:r w:rsidR="005D6E77" w:rsidRPr="00E70D4D">
        <w:rPr>
          <w:rFonts w:ascii="Times New Roman" w:hAnsi="Times New Roman"/>
          <w:sz w:val="24"/>
          <w:szCs w:val="24"/>
        </w:rPr>
        <w:t xml:space="preserve"> organization determination or reconsideration is one that is, upon request, removed from the plan’s review process</w:t>
      </w:r>
      <w:r w:rsidR="005D6E77">
        <w:rPr>
          <w:rFonts w:ascii="Times New Roman" w:hAnsi="Times New Roman"/>
          <w:sz w:val="24"/>
          <w:szCs w:val="24"/>
        </w:rPr>
        <w:t xml:space="preserve">.  </w:t>
      </w:r>
      <w:r w:rsidR="005D6E77" w:rsidRPr="00E70D4D">
        <w:rPr>
          <w:rFonts w:ascii="Times New Roman" w:hAnsi="Times New Roman"/>
          <w:sz w:val="24"/>
          <w:szCs w:val="24"/>
        </w:rPr>
        <w:t>This category excludes appeals that are dismissed.</w:t>
      </w:r>
    </w:p>
    <w:p w14:paraId="30B5C5F2" w14:textId="77777777" w:rsidR="005D6E77" w:rsidRPr="0004560C" w:rsidRDefault="005D6E77" w:rsidP="005D6E77">
      <w:pPr>
        <w:pStyle w:val="ListParagraph"/>
        <w:rPr>
          <w:rFonts w:ascii="Times New Roman" w:hAnsi="Times New Roman"/>
          <w:sz w:val="24"/>
          <w:szCs w:val="24"/>
        </w:rPr>
      </w:pPr>
    </w:p>
    <w:p w14:paraId="7F708AFB" w14:textId="5FDCB8DC" w:rsidR="00A51E93" w:rsidRPr="00FD0CFF" w:rsidRDefault="00392E43" w:rsidP="00F27441">
      <w:pPr>
        <w:pStyle w:val="PlainText"/>
        <w:numPr>
          <w:ilvl w:val="0"/>
          <w:numId w:val="11"/>
        </w:numPr>
        <w:rPr>
          <w:rFonts w:ascii="Times New Roman" w:hAnsi="Times New Roman"/>
          <w:sz w:val="24"/>
          <w:szCs w:val="24"/>
        </w:rPr>
      </w:pPr>
      <w:r w:rsidRPr="00E64F49">
        <w:rPr>
          <w:rFonts w:ascii="Times New Roman" w:hAnsi="Times New Roman"/>
          <w:b/>
          <w:sz w:val="24"/>
          <w:szCs w:val="24"/>
        </w:rPr>
        <w:t>D</w:t>
      </w:r>
      <w:r w:rsidR="00A51E93" w:rsidRPr="00E64F49">
        <w:rPr>
          <w:rFonts w:ascii="Times New Roman" w:hAnsi="Times New Roman"/>
          <w:b/>
          <w:sz w:val="24"/>
          <w:szCs w:val="24"/>
        </w:rPr>
        <w:t xml:space="preserve">ismissal </w:t>
      </w:r>
      <w:r w:rsidR="00A51E93" w:rsidRPr="00326277">
        <w:rPr>
          <w:rFonts w:ascii="Times New Roman" w:hAnsi="Times New Roman"/>
          <w:sz w:val="24"/>
          <w:szCs w:val="24"/>
        </w:rPr>
        <w:t>is an action taken by a Medicare health plan when an organization determination request or reconsideration request lacks required information or otherwise does not meet CMS requirements to be considered a valid request.  For example, an  individual requests a reconsideration on behalf of an enrollee, but a properly executed appointment of representative form has not been filed and there is no other</w:t>
      </w:r>
      <w:r w:rsidR="00901AF3" w:rsidRPr="00326277">
        <w:rPr>
          <w:rFonts w:ascii="Times New Roman" w:hAnsi="Times New Roman"/>
          <w:sz w:val="24"/>
          <w:szCs w:val="24"/>
        </w:rPr>
        <w:t xml:space="preserve"> </w:t>
      </w:r>
      <w:r w:rsidR="00A51E93" w:rsidRPr="00326277">
        <w:rPr>
          <w:rFonts w:ascii="Times New Roman" w:hAnsi="Times New Roman"/>
          <w:sz w:val="24"/>
          <w:szCs w:val="24"/>
        </w:rPr>
        <w:t xml:space="preserve">documentation to show that the individual is legally authorized to act on the enrollee’s behalf per the guidance set forth in section 10.4.1 of Chapter 13.  The plan must follow </w:t>
      </w:r>
      <w:r w:rsidR="00A51E93" w:rsidRPr="00326277">
        <w:rPr>
          <w:rFonts w:ascii="Times New Roman" w:hAnsi="Times New Roman"/>
          <w:sz w:val="24"/>
          <w:szCs w:val="24"/>
        </w:rPr>
        <w:lastRenderedPageBreak/>
        <w:t>Chapter guidance in addition to guidance provided in the September 10, 2013 HPMS memo regarding Part C Reconsideration Dismissal Procedures prior to issuing the dismissa</w:t>
      </w:r>
      <w:r w:rsidR="00A51E93" w:rsidRPr="008241AF">
        <w:rPr>
          <w:rFonts w:ascii="Times New Roman" w:hAnsi="Times New Roman"/>
          <w:sz w:val="24"/>
          <w:szCs w:val="24"/>
        </w:rPr>
        <w:t>l</w:t>
      </w:r>
      <w:r w:rsidR="004F47CE" w:rsidRPr="008241AF">
        <w:rPr>
          <w:rFonts w:ascii="Times New Roman" w:hAnsi="Times New Roman"/>
          <w:sz w:val="24"/>
          <w:szCs w:val="24"/>
        </w:rPr>
        <w:t>.</w:t>
      </w:r>
      <w:r w:rsidR="00A51E93" w:rsidRPr="00FD0CFF">
        <w:rPr>
          <w:rFonts w:ascii="Times New Roman" w:hAnsi="Times New Roman"/>
          <w:sz w:val="24"/>
          <w:szCs w:val="24"/>
        </w:rPr>
        <w:t xml:space="preserve">  </w:t>
      </w:r>
    </w:p>
    <w:p w14:paraId="626288BC" w14:textId="77777777" w:rsidR="005D6E77" w:rsidRPr="0040019D" w:rsidRDefault="005D6E77" w:rsidP="0040019D">
      <w:pPr>
        <w:ind w:left="360"/>
      </w:pPr>
    </w:p>
    <w:p w14:paraId="05E1438C" w14:textId="77777777" w:rsidR="005D6E77" w:rsidRPr="00E70D4D" w:rsidRDefault="005D6E77" w:rsidP="005D6E77">
      <w:pPr>
        <w:autoSpaceDE w:val="0"/>
        <w:autoSpaceDN w:val="0"/>
        <w:adjustRightInd w:val="0"/>
        <w:rPr>
          <w:rFonts w:eastAsia="Calibri"/>
          <w:b/>
        </w:rPr>
      </w:pPr>
      <w:r w:rsidRPr="00E70D4D">
        <w:rPr>
          <w:color w:val="000000"/>
        </w:rPr>
        <w:t xml:space="preserve">If a provider (e.g., a physician) declines to provide </w:t>
      </w:r>
      <w:r>
        <w:rPr>
          <w:color w:val="000000"/>
        </w:rPr>
        <w:t>a service</w:t>
      </w:r>
      <w:r w:rsidRPr="00E70D4D">
        <w:rPr>
          <w:color w:val="000000"/>
        </w:rPr>
        <w:t xml:space="preserve"> an enrollee has requested or offers alternative service, the provider is making a treatment decision, not an organization determination on behalf of the plan.  In this situation, if the enrollee disagrees with the provider’s decision, and still wishes to obtain coverage of the service or item, the enrollee must contact the Medicare health plan to request an organization determination or the provider may request the organization determination on the enrollee’s behalf.</w:t>
      </w:r>
    </w:p>
    <w:p w14:paraId="2DE8F6F3" w14:textId="77777777" w:rsidR="005D6E77" w:rsidRPr="00E70D4D" w:rsidRDefault="005D6E77" w:rsidP="005D6E77">
      <w:pPr>
        <w:autoSpaceDE w:val="0"/>
        <w:autoSpaceDN w:val="0"/>
        <w:adjustRightInd w:val="0"/>
        <w:rPr>
          <w:rFonts w:eastAsia="Calibri"/>
        </w:rPr>
      </w:pPr>
    </w:p>
    <w:p w14:paraId="5F14D063" w14:textId="77777777" w:rsidR="005D6E77" w:rsidRPr="00A451BC" w:rsidRDefault="005D6E77" w:rsidP="005D6E77">
      <w:pPr>
        <w:autoSpaceDE w:val="0"/>
        <w:autoSpaceDN w:val="0"/>
        <w:adjustRightInd w:val="0"/>
        <w:rPr>
          <w:rFonts w:eastAsia="Calibri"/>
          <w:b/>
        </w:rPr>
      </w:pPr>
      <w:r w:rsidRPr="00A451BC">
        <w:rPr>
          <w:rFonts w:eastAsia="Calibri"/>
          <w:b/>
        </w:rPr>
        <w:t>Reporting Inclusion</w:t>
      </w:r>
    </w:p>
    <w:p w14:paraId="3C8B5F59" w14:textId="77777777" w:rsidR="005D6E77" w:rsidRPr="00E70D4D" w:rsidRDefault="005D6E77" w:rsidP="005D6E77">
      <w:pPr>
        <w:autoSpaceDE w:val="0"/>
        <w:autoSpaceDN w:val="0"/>
        <w:adjustRightInd w:val="0"/>
        <w:rPr>
          <w:rFonts w:eastAsia="Calibri"/>
          <w:b/>
          <w:u w:val="single"/>
        </w:rPr>
      </w:pPr>
    </w:p>
    <w:p w14:paraId="49D5BD10" w14:textId="77777777" w:rsidR="005D6E77" w:rsidRPr="00E70D4D" w:rsidRDefault="005D6E77" w:rsidP="005D6E77">
      <w:r w:rsidRPr="00E70D4D">
        <w:t>Organization Determinations:</w:t>
      </w:r>
    </w:p>
    <w:p w14:paraId="27C2DF96" w14:textId="77777777" w:rsidR="005D6E77" w:rsidRPr="00E70D4D" w:rsidRDefault="005D6E77" w:rsidP="005D6E77"/>
    <w:p w14:paraId="7A084FFC" w14:textId="77777777" w:rsidR="005D6E77" w:rsidRPr="00E70D4D" w:rsidRDefault="005D6E77" w:rsidP="005D6E77">
      <w:pPr>
        <w:numPr>
          <w:ilvl w:val="0"/>
          <w:numId w:val="13"/>
        </w:numPr>
        <w:autoSpaceDE w:val="0"/>
        <w:autoSpaceDN w:val="0"/>
        <w:rPr>
          <w:rFonts w:eastAsia="Calibri"/>
        </w:rPr>
      </w:pPr>
      <w:r w:rsidRPr="00E70D4D">
        <w:rPr>
          <w:rFonts w:eastAsia="Calibri"/>
        </w:rPr>
        <w:t>All fully favorable payment (claims) and service-related organization determinations for contract and non-contract providers/suppliers.</w:t>
      </w:r>
    </w:p>
    <w:p w14:paraId="2BF1763A" w14:textId="77777777" w:rsidR="005D6E77" w:rsidRPr="00E70D4D" w:rsidRDefault="005D6E77" w:rsidP="005D6E77">
      <w:pPr>
        <w:autoSpaceDE w:val="0"/>
        <w:autoSpaceDN w:val="0"/>
        <w:ind w:left="360"/>
        <w:rPr>
          <w:rFonts w:eastAsia="Calibri"/>
        </w:rPr>
      </w:pPr>
    </w:p>
    <w:p w14:paraId="69515653" w14:textId="77777777" w:rsidR="005D6E77" w:rsidRPr="00E70D4D" w:rsidRDefault="005D6E77" w:rsidP="005D6E77">
      <w:pPr>
        <w:numPr>
          <w:ilvl w:val="0"/>
          <w:numId w:val="13"/>
        </w:numPr>
        <w:autoSpaceDE w:val="0"/>
        <w:autoSpaceDN w:val="0"/>
        <w:rPr>
          <w:rFonts w:eastAsia="Calibri"/>
        </w:rPr>
      </w:pPr>
      <w:r w:rsidRPr="00E70D4D">
        <w:rPr>
          <w:rFonts w:eastAsia="Calibri"/>
        </w:rPr>
        <w:t>All partially favorable payment (claims) and service-related organization determination for contract and non-contract providers/suppliers.</w:t>
      </w:r>
    </w:p>
    <w:p w14:paraId="7069A463" w14:textId="77777777" w:rsidR="005D6E77" w:rsidRPr="00E70D4D" w:rsidRDefault="005D6E77" w:rsidP="005D6E77"/>
    <w:p w14:paraId="1FD45BEF" w14:textId="77777777" w:rsidR="005D6E77" w:rsidRPr="00E70D4D" w:rsidRDefault="005D6E77" w:rsidP="005D6E77">
      <w:pPr>
        <w:numPr>
          <w:ilvl w:val="0"/>
          <w:numId w:val="13"/>
        </w:numPr>
        <w:autoSpaceDE w:val="0"/>
        <w:autoSpaceDN w:val="0"/>
        <w:rPr>
          <w:rFonts w:eastAsia="Calibri"/>
        </w:rPr>
      </w:pPr>
      <w:r w:rsidRPr="00E70D4D">
        <w:rPr>
          <w:rFonts w:eastAsia="Calibri"/>
        </w:rPr>
        <w:t>All adverse payment (claims) and service-related organization determinations for contract and non-contract providers/suppliers.</w:t>
      </w:r>
    </w:p>
    <w:p w14:paraId="30D79DF1" w14:textId="77777777" w:rsidR="005D6E77" w:rsidRPr="00E70D4D" w:rsidRDefault="005D6E77" w:rsidP="005D6E77">
      <w:pPr>
        <w:pStyle w:val="ListParagraph"/>
      </w:pPr>
    </w:p>
    <w:p w14:paraId="5AD2F047" w14:textId="77777777" w:rsidR="005D6E77" w:rsidRPr="00E70D4D" w:rsidRDefault="005D6E77" w:rsidP="005D6E77">
      <w:r w:rsidRPr="00E70D4D">
        <w:t>Reconsiderations:</w:t>
      </w:r>
    </w:p>
    <w:p w14:paraId="6958C9CE" w14:textId="77777777" w:rsidR="005D6E77" w:rsidRPr="00E70D4D" w:rsidRDefault="005D6E77" w:rsidP="005D6E77"/>
    <w:p w14:paraId="0E42C0E6" w14:textId="77777777" w:rsidR="005D6E77" w:rsidRPr="00E70D4D" w:rsidRDefault="005D6E77" w:rsidP="005D6E77">
      <w:pPr>
        <w:numPr>
          <w:ilvl w:val="0"/>
          <w:numId w:val="13"/>
        </w:numPr>
        <w:autoSpaceDE w:val="0"/>
        <w:autoSpaceDN w:val="0"/>
        <w:rPr>
          <w:rFonts w:eastAsia="Calibri"/>
        </w:rPr>
      </w:pPr>
      <w:r w:rsidRPr="00E70D4D">
        <w:rPr>
          <w:rFonts w:eastAsia="Calibri"/>
        </w:rPr>
        <w:t>All fully favorable payment (claims) and service-related reconsideration determinations for contract and non-contract providers/suppliers.</w:t>
      </w:r>
    </w:p>
    <w:p w14:paraId="31EF01F6" w14:textId="77777777" w:rsidR="005D6E77" w:rsidRPr="00E70D4D" w:rsidRDefault="005D6E77" w:rsidP="005D6E77"/>
    <w:p w14:paraId="392AFC01" w14:textId="77777777" w:rsidR="005D6E77" w:rsidRPr="00E70D4D" w:rsidRDefault="005D6E77" w:rsidP="005D6E77">
      <w:pPr>
        <w:numPr>
          <w:ilvl w:val="0"/>
          <w:numId w:val="13"/>
        </w:numPr>
        <w:autoSpaceDE w:val="0"/>
        <w:autoSpaceDN w:val="0"/>
        <w:rPr>
          <w:rFonts w:eastAsia="Calibri"/>
        </w:rPr>
      </w:pPr>
      <w:r w:rsidRPr="00E70D4D">
        <w:rPr>
          <w:rFonts w:eastAsia="Calibri"/>
        </w:rPr>
        <w:t>All partially favorable payment (claims) and service-related reconsideration determinations for contract and non-contract providers/suppliers.</w:t>
      </w:r>
    </w:p>
    <w:p w14:paraId="411290B3" w14:textId="77777777" w:rsidR="005D6E77" w:rsidRPr="00E70D4D" w:rsidRDefault="005D6E77" w:rsidP="005D6E77"/>
    <w:p w14:paraId="0045F0CF" w14:textId="77777777" w:rsidR="005D6E77" w:rsidRPr="00E70D4D" w:rsidRDefault="005D6E77" w:rsidP="005D6E77">
      <w:pPr>
        <w:numPr>
          <w:ilvl w:val="0"/>
          <w:numId w:val="13"/>
        </w:numPr>
        <w:autoSpaceDE w:val="0"/>
        <w:autoSpaceDN w:val="0"/>
        <w:rPr>
          <w:rFonts w:eastAsia="Calibri"/>
        </w:rPr>
      </w:pPr>
      <w:r w:rsidRPr="00E70D4D">
        <w:rPr>
          <w:rFonts w:eastAsia="Calibri"/>
        </w:rPr>
        <w:t>All adverse payment (claims) and service-related reconsideration determinations for contract and non-contract providers/suppliers.</w:t>
      </w:r>
    </w:p>
    <w:p w14:paraId="1633D725" w14:textId="77777777" w:rsidR="005D6E77" w:rsidRPr="00E70D4D" w:rsidRDefault="005D6E77" w:rsidP="005D6E77">
      <w:pPr>
        <w:autoSpaceDE w:val="0"/>
        <w:autoSpaceDN w:val="0"/>
        <w:adjustRightInd w:val="0"/>
        <w:rPr>
          <w:rFonts w:eastAsia="Calibri"/>
          <w:b/>
        </w:rPr>
      </w:pPr>
    </w:p>
    <w:p w14:paraId="5DD164C8" w14:textId="77777777" w:rsidR="005D6E77" w:rsidRPr="00E70D4D" w:rsidRDefault="005D6E77" w:rsidP="005D6E77">
      <w:pPr>
        <w:autoSpaceDE w:val="0"/>
        <w:autoSpaceDN w:val="0"/>
        <w:adjustRightInd w:val="0"/>
        <w:rPr>
          <w:rFonts w:eastAsia="Calibri"/>
        </w:rPr>
      </w:pPr>
      <w:r w:rsidRPr="00E70D4D">
        <w:rPr>
          <w:rFonts w:eastAsia="Calibri"/>
        </w:rPr>
        <w:t>Reopenings:</w:t>
      </w:r>
    </w:p>
    <w:p w14:paraId="33F4CEC1" w14:textId="77777777" w:rsidR="005D6E77" w:rsidRPr="00E70D4D" w:rsidRDefault="005D6E77" w:rsidP="005D6E77">
      <w:pPr>
        <w:pStyle w:val="ListParagraph"/>
        <w:numPr>
          <w:ilvl w:val="0"/>
          <w:numId w:val="18"/>
        </w:numPr>
        <w:autoSpaceDE w:val="0"/>
        <w:autoSpaceDN w:val="0"/>
        <w:adjustRightInd w:val="0"/>
      </w:pPr>
      <w:r w:rsidRPr="00E70D4D">
        <w:rPr>
          <w:rFonts w:ascii="Times New Roman" w:hAnsi="Times New Roman"/>
          <w:sz w:val="24"/>
          <w:szCs w:val="24"/>
        </w:rPr>
        <w:t>All Fully Favorable, Partially Favorable, Adverse or Pending Reopenings of Organization Determinations and Reconsiderations, as described in the preceding sections.</w:t>
      </w:r>
    </w:p>
    <w:p w14:paraId="40950529" w14:textId="0E8450A7" w:rsidR="001405A9" w:rsidRDefault="005D6E77" w:rsidP="00E64F49">
      <w:pPr>
        <w:pStyle w:val="ListParagraph"/>
        <w:autoSpaceDE w:val="0"/>
        <w:autoSpaceDN w:val="0"/>
        <w:adjustRightInd w:val="0"/>
      </w:pPr>
      <w:r w:rsidRPr="00E70D4D">
        <w:rPr>
          <w:rFonts w:ascii="Times New Roman" w:hAnsi="Times New Roman"/>
          <w:sz w:val="24"/>
          <w:szCs w:val="24"/>
        </w:rPr>
        <w:t xml:space="preserve"> </w:t>
      </w:r>
    </w:p>
    <w:p w14:paraId="462182E0" w14:textId="31ACB30E" w:rsidR="005D6E77" w:rsidRPr="00570AA9" w:rsidRDefault="005D6E77" w:rsidP="005D6E77">
      <w:pPr>
        <w:autoSpaceDE w:val="0"/>
        <w:autoSpaceDN w:val="0"/>
        <w:adjustRightInd w:val="0"/>
        <w:rPr>
          <w:rFonts w:eastAsia="Calibri"/>
          <w:b/>
        </w:rPr>
      </w:pPr>
      <w:r w:rsidRPr="00570AA9">
        <w:rPr>
          <w:rFonts w:eastAsia="Calibri"/>
          <w:b/>
        </w:rPr>
        <w:t>Report</w:t>
      </w:r>
    </w:p>
    <w:p w14:paraId="0EA6B7F3" w14:textId="766AAF74" w:rsidR="005D6E77" w:rsidRPr="00E70D4D" w:rsidRDefault="005D6E77" w:rsidP="005D6E77">
      <w:pPr>
        <w:autoSpaceDE w:val="0"/>
        <w:autoSpaceDN w:val="0"/>
        <w:adjustRightInd w:val="0"/>
        <w:rPr>
          <w:rFonts w:eastAsia="Calibri"/>
          <w:u w:val="single"/>
        </w:rPr>
      </w:pPr>
    </w:p>
    <w:p w14:paraId="2CEBA053" w14:textId="4D97D176" w:rsidR="005D6E77" w:rsidRPr="00326277" w:rsidRDefault="005D6E77" w:rsidP="005D6E77">
      <w:pPr>
        <w:pStyle w:val="ListParagraph"/>
        <w:numPr>
          <w:ilvl w:val="0"/>
          <w:numId w:val="17"/>
        </w:numPr>
        <w:ind w:left="576"/>
        <w:rPr>
          <w:rFonts w:ascii="Times New Roman" w:hAnsi="Times New Roman"/>
          <w:sz w:val="24"/>
          <w:szCs w:val="24"/>
        </w:rPr>
      </w:pPr>
      <w:r w:rsidRPr="00326277">
        <w:rPr>
          <w:rFonts w:ascii="Times New Roman" w:hAnsi="Times New Roman"/>
          <w:b/>
          <w:bCs/>
          <w:color w:val="000000"/>
          <w:sz w:val="24"/>
          <w:szCs w:val="24"/>
        </w:rPr>
        <w:t xml:space="preserve">Completed </w:t>
      </w:r>
      <w:r w:rsidRPr="00326277">
        <w:rPr>
          <w:rFonts w:ascii="Times New Roman" w:hAnsi="Times New Roman"/>
          <w:b/>
          <w:color w:val="000000"/>
          <w:sz w:val="24"/>
          <w:szCs w:val="24"/>
        </w:rPr>
        <w:t>organization determinations and reconsiderations</w:t>
      </w:r>
      <w:r w:rsidRPr="00326277">
        <w:rPr>
          <w:rFonts w:ascii="Times New Roman" w:hAnsi="Times New Roman"/>
          <w:color w:val="000000"/>
          <w:sz w:val="24"/>
          <w:szCs w:val="24"/>
        </w:rPr>
        <w:t xml:space="preserve"> (i.e., plan has notified enrollee of its pre-service decision or adjudicated a claim) during the reporting period, regardless of when the request was received</w:t>
      </w:r>
      <w:r w:rsidR="005C4F7E" w:rsidRPr="00326277">
        <w:rPr>
          <w:rFonts w:ascii="Times New Roman" w:hAnsi="Times New Roman"/>
          <w:color w:val="000000"/>
          <w:sz w:val="24"/>
          <w:szCs w:val="24"/>
        </w:rPr>
        <w:t xml:space="preserve">.  </w:t>
      </w:r>
      <w:r w:rsidRPr="00326277">
        <w:rPr>
          <w:rFonts w:ascii="Times New Roman" w:hAnsi="Times New Roman"/>
          <w:color w:val="000000"/>
          <w:sz w:val="24"/>
          <w:szCs w:val="24"/>
        </w:rPr>
        <w:t xml:space="preserve">Plans are to report organization determination or reconsideration where a substantive decision has been made, as described in this section and processed in accordance with </w:t>
      </w:r>
      <w:r w:rsidR="005C4F7E" w:rsidRPr="00326277">
        <w:rPr>
          <w:rFonts w:ascii="Times New Roman" w:hAnsi="Times New Roman"/>
          <w:color w:val="000000"/>
          <w:sz w:val="24"/>
          <w:szCs w:val="24"/>
        </w:rPr>
        <w:t>the organization</w:t>
      </w:r>
      <w:r w:rsidRPr="00326277">
        <w:rPr>
          <w:rFonts w:ascii="Times New Roman" w:hAnsi="Times New Roman"/>
          <w:color w:val="000000"/>
          <w:sz w:val="24"/>
          <w:szCs w:val="24"/>
        </w:rPr>
        <w:t xml:space="preserve"> determination and </w:t>
      </w:r>
      <w:r w:rsidRPr="00326277">
        <w:rPr>
          <w:rFonts w:ascii="Times New Roman" w:hAnsi="Times New Roman"/>
          <w:color w:val="000000"/>
          <w:sz w:val="24"/>
          <w:szCs w:val="24"/>
        </w:rPr>
        <w:lastRenderedPageBreak/>
        <w:t>reconsideration procedures described under 42 C.F.R. Part 422, Subpart M and</w:t>
      </w:r>
      <w:r w:rsidRPr="00326277">
        <w:rPr>
          <w:rFonts w:ascii="Times New Roman" w:eastAsiaTheme="minorHAnsi" w:hAnsi="Times New Roman"/>
          <w:sz w:val="24"/>
          <w:szCs w:val="24"/>
        </w:rPr>
        <w:t xml:space="preserve"> Chapter 13 of the Medicare Managed Care Manual</w:t>
      </w:r>
      <w:r w:rsidRPr="00326277">
        <w:rPr>
          <w:rFonts w:ascii="Times New Roman" w:hAnsi="Times New Roman"/>
          <w:color w:val="000000"/>
          <w:sz w:val="24"/>
          <w:szCs w:val="24"/>
        </w:rPr>
        <w:t xml:space="preserve">.  </w:t>
      </w:r>
    </w:p>
    <w:p w14:paraId="667248B9" w14:textId="77777777" w:rsidR="005D6E77" w:rsidRPr="00083CCE" w:rsidRDefault="005D6E77" w:rsidP="005D6E77">
      <w:pPr>
        <w:pStyle w:val="ListParagraph"/>
        <w:ind w:left="576"/>
        <w:rPr>
          <w:rFonts w:ascii="Times New Roman" w:hAnsi="Times New Roman"/>
          <w:sz w:val="24"/>
          <w:szCs w:val="24"/>
        </w:rPr>
      </w:pPr>
    </w:p>
    <w:p w14:paraId="495CC05E" w14:textId="77777777" w:rsidR="005D6E77" w:rsidRPr="00E64F49" w:rsidRDefault="005D6E77" w:rsidP="00E64F49">
      <w:pPr>
        <w:ind w:left="216"/>
      </w:pPr>
      <w:r w:rsidRPr="00E64F49">
        <w:t>All Part B drug claims processed and paid by the plan’s PBM are reported as organization determinations or reconsiderations.</w:t>
      </w:r>
    </w:p>
    <w:p w14:paraId="064CA3DA" w14:textId="77777777" w:rsidR="005D6E77" w:rsidRPr="00E70D4D" w:rsidRDefault="005D6E77" w:rsidP="005D6E77">
      <w:pPr>
        <w:pStyle w:val="ListParagraph"/>
        <w:ind w:left="576"/>
        <w:rPr>
          <w:rFonts w:ascii="Times New Roman" w:hAnsi="Times New Roman"/>
          <w:sz w:val="24"/>
          <w:szCs w:val="24"/>
        </w:rPr>
      </w:pPr>
    </w:p>
    <w:p w14:paraId="326692B2" w14:textId="77777777" w:rsidR="005D6E77" w:rsidRPr="00E70D4D" w:rsidRDefault="005D6E77" w:rsidP="005D6E77">
      <w:pPr>
        <w:pStyle w:val="ListParagraph"/>
        <w:numPr>
          <w:ilvl w:val="0"/>
          <w:numId w:val="17"/>
        </w:numPr>
        <w:autoSpaceDE w:val="0"/>
        <w:autoSpaceDN w:val="0"/>
        <w:adjustRightInd w:val="0"/>
        <w:ind w:left="576"/>
        <w:rPr>
          <w:rFonts w:ascii="Times New Roman" w:hAnsi="Times New Roman"/>
          <w:sz w:val="24"/>
          <w:szCs w:val="24"/>
        </w:rPr>
      </w:pPr>
      <w:r w:rsidRPr="00E70D4D">
        <w:rPr>
          <w:rFonts w:ascii="Times New Roman" w:hAnsi="Times New Roman"/>
          <w:b/>
          <w:color w:val="000000"/>
          <w:sz w:val="24"/>
          <w:szCs w:val="24"/>
        </w:rPr>
        <w:t>Claims with multiple line items</w:t>
      </w:r>
      <w:r w:rsidRPr="00E70D4D">
        <w:rPr>
          <w:rFonts w:ascii="Times New Roman" w:hAnsi="Times New Roman"/>
          <w:color w:val="000000"/>
          <w:sz w:val="24"/>
          <w:szCs w:val="24"/>
        </w:rPr>
        <w:t xml:space="preserve"> at the “summary level.”  </w:t>
      </w:r>
    </w:p>
    <w:p w14:paraId="24167D79" w14:textId="77777777" w:rsidR="005D6E77" w:rsidRPr="00E70D4D" w:rsidRDefault="005D6E77" w:rsidP="005D6E77">
      <w:pPr>
        <w:autoSpaceDE w:val="0"/>
        <w:autoSpaceDN w:val="0"/>
        <w:adjustRightInd w:val="0"/>
        <w:ind w:left="576"/>
        <w:rPr>
          <w:rFonts w:eastAsia="Calibri"/>
        </w:rPr>
      </w:pPr>
    </w:p>
    <w:p w14:paraId="0DD85763" w14:textId="77777777" w:rsidR="005D6E77" w:rsidRDefault="005D6E77" w:rsidP="005D6E77">
      <w:pPr>
        <w:numPr>
          <w:ilvl w:val="0"/>
          <w:numId w:val="9"/>
        </w:numPr>
        <w:tabs>
          <w:tab w:val="left" w:pos="5220"/>
        </w:tabs>
        <w:autoSpaceDE w:val="0"/>
        <w:autoSpaceDN w:val="0"/>
        <w:adjustRightInd w:val="0"/>
        <w:ind w:left="576"/>
        <w:rPr>
          <w:rFonts w:eastAsia="Calibri"/>
        </w:rPr>
      </w:pPr>
      <w:r w:rsidRPr="00E70D4D">
        <w:rPr>
          <w:rFonts w:eastAsia="Calibri"/>
        </w:rPr>
        <w:t xml:space="preserve">A </w:t>
      </w:r>
      <w:r w:rsidRPr="00E70D4D">
        <w:rPr>
          <w:rFonts w:eastAsia="Calibri"/>
          <w:b/>
        </w:rPr>
        <w:t>request for payment</w:t>
      </w:r>
      <w:r w:rsidRPr="00E70D4D">
        <w:rPr>
          <w:rFonts w:eastAsia="Calibri"/>
        </w:rPr>
        <w:t xml:space="preserve"> as a separate and distinct organization determination, even if a pre-service request for that same item or service was also processed.</w:t>
      </w:r>
    </w:p>
    <w:p w14:paraId="2EB1BB1A" w14:textId="77777777" w:rsidR="00901AF3" w:rsidRDefault="00901AF3" w:rsidP="00901AF3">
      <w:pPr>
        <w:tabs>
          <w:tab w:val="left" w:pos="5220"/>
        </w:tabs>
        <w:autoSpaceDE w:val="0"/>
        <w:autoSpaceDN w:val="0"/>
        <w:adjustRightInd w:val="0"/>
        <w:ind w:left="576"/>
        <w:rPr>
          <w:rFonts w:eastAsia="Calibri"/>
        </w:rPr>
      </w:pPr>
    </w:p>
    <w:p w14:paraId="2FE1895C" w14:textId="77777777" w:rsidR="00901AF3" w:rsidRPr="00570AA9" w:rsidRDefault="00901AF3" w:rsidP="001405A9">
      <w:pPr>
        <w:pStyle w:val="PlainText"/>
        <w:numPr>
          <w:ilvl w:val="0"/>
          <w:numId w:val="9"/>
        </w:numPr>
        <w:rPr>
          <w:rFonts w:ascii="Times New Roman" w:hAnsi="Times New Roman"/>
          <w:sz w:val="24"/>
          <w:szCs w:val="24"/>
        </w:rPr>
      </w:pPr>
      <w:r w:rsidRPr="00570AA9">
        <w:rPr>
          <w:rFonts w:ascii="Times New Roman" w:hAnsi="Times New Roman"/>
          <w:sz w:val="24"/>
          <w:szCs w:val="24"/>
        </w:rPr>
        <w:t xml:space="preserve">A denial of a Medicare request for coverage (payment or provision) of an item or service </w:t>
      </w:r>
    </w:p>
    <w:p w14:paraId="366F63B3" w14:textId="7E123AA2" w:rsidR="00901AF3" w:rsidRPr="00570AA9" w:rsidRDefault="00E64F49" w:rsidP="001405A9">
      <w:pPr>
        <w:pStyle w:val="PlainText"/>
        <w:ind w:firstLine="360"/>
        <w:rPr>
          <w:rFonts w:ascii="Times New Roman" w:hAnsi="Times New Roman"/>
          <w:sz w:val="24"/>
          <w:szCs w:val="24"/>
        </w:rPr>
      </w:pPr>
      <w:r>
        <w:rPr>
          <w:rFonts w:ascii="Times New Roman" w:hAnsi="Times New Roman"/>
          <w:sz w:val="24"/>
          <w:szCs w:val="24"/>
        </w:rPr>
        <w:t xml:space="preserve">    </w:t>
      </w:r>
      <w:r w:rsidR="00901AF3" w:rsidRPr="00570AA9">
        <w:rPr>
          <w:rFonts w:ascii="Times New Roman" w:hAnsi="Times New Roman"/>
          <w:sz w:val="24"/>
          <w:szCs w:val="24"/>
        </w:rPr>
        <w:t xml:space="preserve">as either partially favorable or adverse, regardless of whether Medicaid payment or </w:t>
      </w:r>
    </w:p>
    <w:p w14:paraId="465AF45B" w14:textId="1C6065B8" w:rsidR="00901AF3" w:rsidRPr="00570AA9" w:rsidRDefault="00E64F49" w:rsidP="001405A9">
      <w:pPr>
        <w:pStyle w:val="PlainText"/>
        <w:ind w:firstLine="360"/>
        <w:rPr>
          <w:rFonts w:ascii="Times New Roman" w:hAnsi="Times New Roman"/>
          <w:sz w:val="24"/>
          <w:szCs w:val="24"/>
        </w:rPr>
      </w:pPr>
      <w:r>
        <w:rPr>
          <w:rFonts w:ascii="Times New Roman" w:hAnsi="Times New Roman"/>
          <w:sz w:val="24"/>
          <w:szCs w:val="24"/>
        </w:rPr>
        <w:t xml:space="preserve">    </w:t>
      </w:r>
      <w:r w:rsidR="00901AF3" w:rsidRPr="00570AA9">
        <w:rPr>
          <w:rFonts w:ascii="Times New Roman" w:hAnsi="Times New Roman"/>
          <w:sz w:val="24"/>
          <w:szCs w:val="24"/>
        </w:rPr>
        <w:t>provision ultimately is provided, in whole or in part, for that item or service."</w:t>
      </w:r>
    </w:p>
    <w:p w14:paraId="7FEE7F49" w14:textId="77777777" w:rsidR="005D6E77" w:rsidRDefault="005D6E77" w:rsidP="005D6E77">
      <w:pPr>
        <w:pStyle w:val="ListParagraph"/>
      </w:pPr>
    </w:p>
    <w:p w14:paraId="7B961631" w14:textId="6ECA400E" w:rsidR="005D6E77" w:rsidRDefault="00A451BC" w:rsidP="005D6E77">
      <w:pPr>
        <w:numPr>
          <w:ilvl w:val="0"/>
          <w:numId w:val="9"/>
        </w:numPr>
        <w:autoSpaceDE w:val="0"/>
        <w:autoSpaceDN w:val="0"/>
        <w:ind w:left="576"/>
        <w:rPr>
          <w:rFonts w:eastAsia="Calibri"/>
        </w:rPr>
      </w:pPr>
      <w:r>
        <w:rPr>
          <w:rFonts w:eastAsia="Calibri"/>
        </w:rPr>
        <w:t xml:space="preserve"> </w:t>
      </w:r>
      <w:r w:rsidR="00392E43">
        <w:rPr>
          <w:rFonts w:eastAsia="Calibri"/>
        </w:rPr>
        <w:t>D</w:t>
      </w:r>
      <w:r w:rsidR="005D6E77" w:rsidRPr="0002319A">
        <w:rPr>
          <w:rFonts w:eastAsia="Calibri"/>
        </w:rPr>
        <w:t xml:space="preserve">enials based on exhaustion of Medicare benefits.  </w:t>
      </w:r>
    </w:p>
    <w:p w14:paraId="29FF1031" w14:textId="77777777" w:rsidR="00E64F49" w:rsidRPr="00E64F49" w:rsidRDefault="00E64F49" w:rsidP="00E64F49">
      <w:pPr>
        <w:autoSpaceDE w:val="0"/>
        <w:autoSpaceDN w:val="0"/>
        <w:ind w:left="630"/>
      </w:pPr>
    </w:p>
    <w:p w14:paraId="36544498" w14:textId="7351F3B3" w:rsidR="005D6E77" w:rsidRPr="00A451BC" w:rsidRDefault="00E64F49" w:rsidP="00A451BC">
      <w:pPr>
        <w:pStyle w:val="ListParagraph"/>
        <w:numPr>
          <w:ilvl w:val="0"/>
          <w:numId w:val="9"/>
        </w:numPr>
        <w:autoSpaceDE w:val="0"/>
        <w:autoSpaceDN w:val="0"/>
        <w:rPr>
          <w:rFonts w:ascii="Times New Roman" w:hAnsi="Times New Roman"/>
          <w:sz w:val="24"/>
          <w:szCs w:val="24"/>
        </w:rPr>
      </w:pPr>
      <w:r w:rsidRPr="00A451BC">
        <w:rPr>
          <w:rFonts w:ascii="Times New Roman" w:hAnsi="Times New Roman"/>
          <w:sz w:val="24"/>
          <w:szCs w:val="24"/>
        </w:rPr>
        <w:t>In cases</w:t>
      </w:r>
      <w:r w:rsidR="005D6E77" w:rsidRPr="00A451BC">
        <w:rPr>
          <w:rFonts w:ascii="Times New Roman" w:hAnsi="Times New Roman"/>
          <w:sz w:val="24"/>
          <w:szCs w:val="24"/>
        </w:rPr>
        <w:t xml:space="preserve">where an </w:t>
      </w:r>
      <w:r w:rsidR="005D6E77" w:rsidRPr="00A451BC">
        <w:rPr>
          <w:rFonts w:ascii="Times New Roman" w:hAnsi="Times New Roman"/>
          <w:b/>
          <w:sz w:val="24"/>
          <w:szCs w:val="24"/>
        </w:rPr>
        <w:t>extension</w:t>
      </w:r>
      <w:r w:rsidR="005D6E77" w:rsidRPr="00A451BC">
        <w:rPr>
          <w:rFonts w:ascii="Times New Roman" w:hAnsi="Times New Roman"/>
          <w:sz w:val="24"/>
          <w:szCs w:val="24"/>
        </w:rPr>
        <w:t xml:space="preserve"> is requested after the required decision making timeframe has elapsed, the plan is to report the decision as non-timely.  For example</w:t>
      </w:r>
      <w:r w:rsidR="0088238C" w:rsidRPr="00A451BC">
        <w:rPr>
          <w:rFonts w:ascii="Times New Roman" w:hAnsi="Times New Roman"/>
          <w:sz w:val="24"/>
          <w:szCs w:val="24"/>
        </w:rPr>
        <w:t>, Plan</w:t>
      </w:r>
      <w:r w:rsidR="005D6E77" w:rsidRPr="00A451BC">
        <w:rPr>
          <w:rFonts w:ascii="Times New Roman" w:hAnsi="Times New Roman"/>
          <w:sz w:val="24"/>
          <w:szCs w:val="24"/>
        </w:rPr>
        <w:t xml:space="preserve"> receives standard pre-service reconsideration request on 1/1/201</w:t>
      </w:r>
      <w:r w:rsidR="00ED60EA" w:rsidRPr="00A451BC">
        <w:rPr>
          <w:rFonts w:ascii="Times New Roman" w:hAnsi="Times New Roman"/>
          <w:sz w:val="24"/>
          <w:szCs w:val="24"/>
        </w:rPr>
        <w:t>6</w:t>
      </w:r>
      <w:r w:rsidR="005D6E77" w:rsidRPr="00A451BC">
        <w:rPr>
          <w:rFonts w:ascii="Times New Roman" w:hAnsi="Times New Roman"/>
          <w:sz w:val="24"/>
          <w:szCs w:val="24"/>
        </w:rPr>
        <w:t xml:space="preserve"> at 04:00pm.  An extension is requested at 1/31/201</w:t>
      </w:r>
      <w:r w:rsidR="00ED60EA" w:rsidRPr="00A451BC">
        <w:rPr>
          <w:rFonts w:ascii="Times New Roman" w:hAnsi="Times New Roman"/>
          <w:sz w:val="24"/>
          <w:szCs w:val="24"/>
        </w:rPr>
        <w:t>6</w:t>
      </w:r>
      <w:r w:rsidR="005D6E77" w:rsidRPr="00A451BC">
        <w:rPr>
          <w:rFonts w:ascii="Times New Roman" w:hAnsi="Times New Roman"/>
          <w:sz w:val="24"/>
          <w:szCs w:val="24"/>
        </w:rPr>
        <w:t xml:space="preserve"> 04:05pm.  Plan completes reconsideration and provides notification on 2/5/201</w:t>
      </w:r>
      <w:r w:rsidR="00ED60EA" w:rsidRPr="00A451BC">
        <w:rPr>
          <w:rFonts w:ascii="Times New Roman" w:hAnsi="Times New Roman"/>
          <w:sz w:val="24"/>
          <w:szCs w:val="24"/>
        </w:rPr>
        <w:t>6</w:t>
      </w:r>
      <w:r w:rsidR="005D6E77" w:rsidRPr="00A451BC">
        <w:rPr>
          <w:rFonts w:ascii="Times New Roman" w:hAnsi="Times New Roman"/>
          <w:sz w:val="24"/>
          <w:szCs w:val="24"/>
        </w:rPr>
        <w:t xml:space="preserve"> 04:00pm (35 calendar days after receipt)</w:t>
      </w:r>
      <w:r w:rsidR="005C4F7E" w:rsidRPr="00A451BC">
        <w:rPr>
          <w:rFonts w:ascii="Times New Roman" w:hAnsi="Times New Roman"/>
          <w:sz w:val="24"/>
          <w:szCs w:val="24"/>
        </w:rPr>
        <w:t xml:space="preserve">.  </w:t>
      </w:r>
      <w:r w:rsidR="005D6E77" w:rsidRPr="00A451BC">
        <w:rPr>
          <w:rFonts w:ascii="Times New Roman" w:hAnsi="Times New Roman"/>
          <w:sz w:val="24"/>
          <w:szCs w:val="24"/>
        </w:rPr>
        <w:t>This reconsideration is not considered timely for reporting as the decision was rendered more than 30 calendar days after receipt.</w:t>
      </w:r>
    </w:p>
    <w:p w14:paraId="59D85CC6" w14:textId="77777777" w:rsidR="005D6E77" w:rsidRDefault="005D6E77" w:rsidP="005D6E77">
      <w:pPr>
        <w:pStyle w:val="ListParagraph"/>
      </w:pPr>
    </w:p>
    <w:p w14:paraId="5C6C04CD" w14:textId="77777777" w:rsidR="005D6E77" w:rsidRPr="00677C6B" w:rsidRDefault="005D6E77" w:rsidP="005D6E77">
      <w:pPr>
        <w:pStyle w:val="ListParagraph"/>
        <w:numPr>
          <w:ilvl w:val="0"/>
          <w:numId w:val="9"/>
        </w:numPr>
        <w:ind w:left="630"/>
        <w:rPr>
          <w:rFonts w:ascii="Times New Roman" w:hAnsi="Times New Roman"/>
        </w:rPr>
      </w:pPr>
      <w:r w:rsidRPr="00677C6B">
        <w:rPr>
          <w:rFonts w:ascii="Times New Roman" w:hAnsi="Times New Roman"/>
        </w:rPr>
        <w:t>Dismissals</w:t>
      </w:r>
    </w:p>
    <w:p w14:paraId="37010364" w14:textId="77777777" w:rsidR="005D6E77" w:rsidRPr="00E70D4D" w:rsidRDefault="005D6E77" w:rsidP="005D6E77">
      <w:pPr>
        <w:rPr>
          <w:color w:val="1F497D"/>
        </w:rPr>
      </w:pPr>
    </w:p>
    <w:p w14:paraId="4E79047D" w14:textId="77777777" w:rsidR="00A451BC" w:rsidRDefault="00A451BC" w:rsidP="005D6E77">
      <w:pPr>
        <w:autoSpaceDE w:val="0"/>
        <w:autoSpaceDN w:val="0"/>
        <w:adjustRightInd w:val="0"/>
        <w:rPr>
          <w:rFonts w:eastAsia="Calibri"/>
          <w:b/>
        </w:rPr>
      </w:pPr>
    </w:p>
    <w:p w14:paraId="40416FF3" w14:textId="77777777" w:rsidR="005D6E77" w:rsidRPr="00E70D4D" w:rsidRDefault="005D6E77" w:rsidP="005D6E77">
      <w:pPr>
        <w:autoSpaceDE w:val="0"/>
        <w:autoSpaceDN w:val="0"/>
        <w:adjustRightInd w:val="0"/>
        <w:rPr>
          <w:rFonts w:eastAsia="Calibri"/>
        </w:rPr>
      </w:pPr>
      <w:r w:rsidRPr="00570AA9">
        <w:rPr>
          <w:rFonts w:eastAsia="Calibri"/>
          <w:b/>
        </w:rPr>
        <w:t>Do not report</w:t>
      </w:r>
      <w:r w:rsidRPr="00E70D4D">
        <w:rPr>
          <w:rFonts w:eastAsia="Calibri"/>
        </w:rPr>
        <w:t xml:space="preserve">: </w:t>
      </w:r>
    </w:p>
    <w:p w14:paraId="6133D69E" w14:textId="77777777" w:rsidR="005D6E77" w:rsidRPr="008D1B76" w:rsidRDefault="005D6E77" w:rsidP="0040019D">
      <w:pPr>
        <w:autoSpaceDE w:val="0"/>
        <w:autoSpaceDN w:val="0"/>
        <w:ind w:left="216"/>
        <w:rPr>
          <w:rFonts w:eastAsia="Calibri"/>
        </w:rPr>
      </w:pPr>
      <w:r w:rsidRPr="00E70D4D">
        <w:rPr>
          <w:rFonts w:eastAsia="Calibri"/>
        </w:rPr>
        <w:t xml:space="preserve"> </w:t>
      </w:r>
    </w:p>
    <w:p w14:paraId="1CBD5BB8" w14:textId="77777777" w:rsidR="005D6E77" w:rsidRDefault="005D6E77" w:rsidP="005D6E77">
      <w:pPr>
        <w:numPr>
          <w:ilvl w:val="0"/>
          <w:numId w:val="9"/>
        </w:numPr>
        <w:autoSpaceDE w:val="0"/>
        <w:autoSpaceDN w:val="0"/>
        <w:ind w:left="576"/>
        <w:rPr>
          <w:rFonts w:eastAsia="Calibri"/>
        </w:rPr>
      </w:pPr>
      <w:r w:rsidRPr="008D1B76">
        <w:rPr>
          <w:rFonts w:eastAsia="Calibri"/>
        </w:rPr>
        <w:t>I</w:t>
      </w:r>
      <w:r w:rsidRPr="00E70D4D">
        <w:rPr>
          <w:rFonts w:eastAsia="Calibri"/>
        </w:rPr>
        <w:t>ndependent Review Entity (IRE) decisions.</w:t>
      </w:r>
    </w:p>
    <w:p w14:paraId="27746009" w14:textId="77777777" w:rsidR="005D6E77" w:rsidRDefault="005D6E77" w:rsidP="005D6E77">
      <w:pPr>
        <w:pStyle w:val="ListParagraph"/>
      </w:pPr>
    </w:p>
    <w:p w14:paraId="369509F8" w14:textId="4B22BB62" w:rsidR="005D6E77" w:rsidRDefault="005D6E77" w:rsidP="005D6E77">
      <w:pPr>
        <w:numPr>
          <w:ilvl w:val="0"/>
          <w:numId w:val="9"/>
        </w:numPr>
        <w:autoSpaceDE w:val="0"/>
        <w:autoSpaceDN w:val="0"/>
        <w:ind w:left="576"/>
        <w:rPr>
          <w:rFonts w:eastAsia="Calibri"/>
        </w:rPr>
      </w:pPr>
      <w:r>
        <w:rPr>
          <w:rFonts w:eastAsia="Calibri"/>
        </w:rPr>
        <w:t>Reopenings requested or completed by the IRE, A</w:t>
      </w:r>
      <w:r w:rsidR="00862867">
        <w:rPr>
          <w:rFonts w:eastAsia="Calibri"/>
        </w:rPr>
        <w:t>dministrative Law Judge (A</w:t>
      </w:r>
      <w:r>
        <w:rPr>
          <w:rFonts w:eastAsia="Calibri"/>
        </w:rPr>
        <w:t>LJ</w:t>
      </w:r>
      <w:r w:rsidR="00862867">
        <w:rPr>
          <w:rFonts w:eastAsia="Calibri"/>
        </w:rPr>
        <w:t>)</w:t>
      </w:r>
      <w:r>
        <w:rPr>
          <w:rFonts w:eastAsia="Calibri"/>
        </w:rPr>
        <w:t xml:space="preserve">, and </w:t>
      </w:r>
      <w:r w:rsidR="004968DA">
        <w:rPr>
          <w:rFonts w:eastAsia="Calibri"/>
        </w:rPr>
        <w:t>Appeals Council</w:t>
      </w:r>
      <w:r>
        <w:rPr>
          <w:rFonts w:eastAsia="Calibri"/>
        </w:rPr>
        <w:t>.</w:t>
      </w:r>
    </w:p>
    <w:p w14:paraId="0EAC3AA0" w14:textId="77777777" w:rsidR="005D6E77" w:rsidRDefault="005D6E77" w:rsidP="005D6E77">
      <w:pPr>
        <w:pStyle w:val="ListParagraph"/>
      </w:pPr>
    </w:p>
    <w:p w14:paraId="0051C334" w14:textId="77777777" w:rsidR="005D6E77" w:rsidRDefault="005D6E77" w:rsidP="005D6E77">
      <w:pPr>
        <w:numPr>
          <w:ilvl w:val="0"/>
          <w:numId w:val="9"/>
        </w:numPr>
        <w:autoSpaceDE w:val="0"/>
        <w:autoSpaceDN w:val="0"/>
        <w:ind w:left="576"/>
        <w:rPr>
          <w:rFonts w:eastAsia="Calibri"/>
        </w:rPr>
      </w:pPr>
      <w:r>
        <w:rPr>
          <w:rFonts w:eastAsia="Calibri"/>
        </w:rPr>
        <w:t>Concurrent reviews during hospitalization.</w:t>
      </w:r>
    </w:p>
    <w:p w14:paraId="5BBA4268" w14:textId="77777777" w:rsidR="005D6E77" w:rsidRDefault="005D6E77" w:rsidP="005D6E77">
      <w:pPr>
        <w:pStyle w:val="ListParagraph"/>
      </w:pPr>
    </w:p>
    <w:p w14:paraId="1392898B" w14:textId="1CFEC6D4" w:rsidR="005D6E77" w:rsidRPr="00326277" w:rsidRDefault="005D6E77" w:rsidP="005D6E77">
      <w:pPr>
        <w:numPr>
          <w:ilvl w:val="0"/>
          <w:numId w:val="9"/>
        </w:numPr>
        <w:autoSpaceDE w:val="0"/>
        <w:autoSpaceDN w:val="0"/>
        <w:ind w:left="576"/>
        <w:rPr>
          <w:rFonts w:eastAsia="Calibri"/>
        </w:rPr>
      </w:pPr>
      <w:r>
        <w:rPr>
          <w:rFonts w:eastAsia="Calibri"/>
        </w:rPr>
        <w:t xml:space="preserve">Concurrent review </w:t>
      </w:r>
      <w:r w:rsidRPr="00326277">
        <w:rPr>
          <w:rFonts w:eastAsia="Calibri"/>
        </w:rPr>
        <w:t xml:space="preserve">of </w:t>
      </w:r>
      <w:r w:rsidR="00BC72AC" w:rsidRPr="00326277">
        <w:rPr>
          <w:rFonts w:eastAsia="Calibri"/>
        </w:rPr>
        <w:t>Skilled Nursing Facility (</w:t>
      </w:r>
      <w:r w:rsidRPr="00326277">
        <w:rPr>
          <w:rFonts w:eastAsia="Calibri"/>
        </w:rPr>
        <w:t>SNF</w:t>
      </w:r>
      <w:r w:rsidR="00BC72AC" w:rsidRPr="00326277">
        <w:rPr>
          <w:rFonts w:eastAsia="Calibri"/>
        </w:rPr>
        <w:t>)</w:t>
      </w:r>
      <w:r w:rsidRPr="00326277">
        <w:rPr>
          <w:rFonts w:eastAsia="Calibri"/>
        </w:rPr>
        <w:t xml:space="preserve">, </w:t>
      </w:r>
      <w:r w:rsidR="00BC72AC" w:rsidRPr="00326277">
        <w:rPr>
          <w:rFonts w:eastAsia="Calibri"/>
        </w:rPr>
        <w:t>Home Health Agency (</w:t>
      </w:r>
      <w:r w:rsidRPr="00326277">
        <w:rPr>
          <w:rFonts w:eastAsia="Calibri"/>
        </w:rPr>
        <w:t>HHA</w:t>
      </w:r>
      <w:r w:rsidR="00BC72AC" w:rsidRPr="00326277">
        <w:rPr>
          <w:rFonts w:eastAsia="Calibri"/>
        </w:rPr>
        <w:t>)</w:t>
      </w:r>
      <w:r w:rsidRPr="00326277">
        <w:rPr>
          <w:rFonts w:eastAsia="Calibri"/>
        </w:rPr>
        <w:t xml:space="preserve"> or </w:t>
      </w:r>
      <w:r w:rsidR="00BC72AC" w:rsidRPr="00326277">
        <w:rPr>
          <w:rStyle w:val="goog-trans-section"/>
          <w:color w:val="000000"/>
        </w:rPr>
        <w:t>Comprehensive Outpatient Rehabilitation Facility</w:t>
      </w:r>
      <w:r w:rsidR="00326277">
        <w:rPr>
          <w:rStyle w:val="goog-trans-section"/>
          <w:color w:val="000000"/>
        </w:rPr>
        <w:t xml:space="preserve"> (</w:t>
      </w:r>
      <w:r w:rsidRPr="00326277">
        <w:rPr>
          <w:rFonts w:eastAsia="Calibri"/>
        </w:rPr>
        <w:t>CORF</w:t>
      </w:r>
      <w:r w:rsidR="00326277">
        <w:rPr>
          <w:rFonts w:eastAsia="Calibri"/>
        </w:rPr>
        <w:t>)</w:t>
      </w:r>
      <w:r w:rsidRPr="00326277">
        <w:rPr>
          <w:rFonts w:eastAsia="Calibri"/>
        </w:rPr>
        <w:t xml:space="preserve"> care.</w:t>
      </w:r>
    </w:p>
    <w:p w14:paraId="77B361B9" w14:textId="77777777" w:rsidR="005D6E77" w:rsidRPr="00E70D4D" w:rsidRDefault="005D6E77" w:rsidP="005D6E77">
      <w:pPr>
        <w:autoSpaceDE w:val="0"/>
        <w:autoSpaceDN w:val="0"/>
        <w:adjustRightInd w:val="0"/>
        <w:ind w:left="576"/>
        <w:rPr>
          <w:rFonts w:eastAsia="Calibri"/>
        </w:rPr>
      </w:pPr>
    </w:p>
    <w:p w14:paraId="37B8FA4E" w14:textId="77777777" w:rsidR="005D6E77" w:rsidRPr="00E70D4D" w:rsidRDefault="005D6E77" w:rsidP="005D6E77">
      <w:pPr>
        <w:numPr>
          <w:ilvl w:val="0"/>
          <w:numId w:val="9"/>
        </w:numPr>
        <w:autoSpaceDE w:val="0"/>
        <w:autoSpaceDN w:val="0"/>
        <w:ind w:left="576"/>
        <w:rPr>
          <w:rFonts w:eastAsia="Calibri"/>
        </w:rPr>
      </w:pPr>
      <w:r w:rsidRPr="00E70D4D">
        <w:rPr>
          <w:rFonts w:eastAsia="Calibri"/>
        </w:rPr>
        <w:t>Duplicate payment requests concerning the same service or item.</w:t>
      </w:r>
    </w:p>
    <w:p w14:paraId="4E67652A" w14:textId="77777777" w:rsidR="005D6E77" w:rsidRPr="00E70D4D" w:rsidRDefault="005D6E77" w:rsidP="005D6E77">
      <w:pPr>
        <w:autoSpaceDE w:val="0"/>
        <w:autoSpaceDN w:val="0"/>
        <w:adjustRightInd w:val="0"/>
        <w:ind w:left="576"/>
        <w:rPr>
          <w:rFonts w:eastAsia="Calibri"/>
        </w:rPr>
      </w:pPr>
    </w:p>
    <w:p w14:paraId="6FA0EC7F" w14:textId="77777777" w:rsidR="005D6E77" w:rsidRPr="00E70D4D" w:rsidRDefault="005D6E77" w:rsidP="005D6E77">
      <w:pPr>
        <w:numPr>
          <w:ilvl w:val="0"/>
          <w:numId w:val="9"/>
        </w:numPr>
        <w:ind w:left="576"/>
        <w:rPr>
          <w:rFonts w:eastAsia="Calibri"/>
        </w:rPr>
      </w:pPr>
      <w:r w:rsidRPr="00E70D4D">
        <w:rPr>
          <w:rFonts w:eastAsia="Calibri"/>
        </w:rPr>
        <w:t>Payment requests returned to a provider/supplier in which a substantive decision (fully favorable, partially favorable or adverse) has not been made–  e.g., payment requests or forms are incomplete, invalid or do not meet the requirements for a Medicare claim (e.g., due to a clerical error).</w:t>
      </w:r>
    </w:p>
    <w:p w14:paraId="0B9DC817" w14:textId="77777777" w:rsidR="005D6E77" w:rsidRPr="00E70D4D" w:rsidRDefault="005D6E77" w:rsidP="005D6E77">
      <w:pPr>
        <w:autoSpaceDE w:val="0"/>
        <w:autoSpaceDN w:val="0"/>
        <w:ind w:left="576"/>
        <w:rPr>
          <w:rFonts w:eastAsia="Calibri"/>
        </w:rPr>
      </w:pPr>
    </w:p>
    <w:p w14:paraId="3F11C8E3" w14:textId="77777777" w:rsidR="005D6E77" w:rsidRDefault="005D6E77" w:rsidP="005D6E77">
      <w:pPr>
        <w:numPr>
          <w:ilvl w:val="0"/>
          <w:numId w:val="9"/>
        </w:numPr>
        <w:autoSpaceDE w:val="0"/>
        <w:autoSpaceDN w:val="0"/>
        <w:ind w:left="576"/>
        <w:rPr>
          <w:rFonts w:eastAsia="Calibri"/>
        </w:rPr>
      </w:pPr>
      <w:r w:rsidRPr="00E70D4D">
        <w:rPr>
          <w:rFonts w:eastAsia="Calibri"/>
        </w:rPr>
        <w:lastRenderedPageBreak/>
        <w:t xml:space="preserve">A Quality Improvement Organization (QIO) review of an individual’s request to continue Medicare-covered services (e.g., a SNF stay) and any related claims/requests to pay for continued coverage based on such </w:t>
      </w:r>
      <w:r w:rsidRPr="00E70D4D">
        <w:t>QIO decision</w:t>
      </w:r>
      <w:r w:rsidRPr="00E70D4D">
        <w:rPr>
          <w:rFonts w:eastAsia="Calibri"/>
        </w:rPr>
        <w:t>.</w:t>
      </w:r>
    </w:p>
    <w:p w14:paraId="3A77D85D" w14:textId="77777777" w:rsidR="00C42CDB" w:rsidRDefault="00C42CDB" w:rsidP="00570AA9">
      <w:pPr>
        <w:pStyle w:val="ListParagraph"/>
      </w:pPr>
    </w:p>
    <w:p w14:paraId="02BA2707" w14:textId="01DD0E0A" w:rsidR="00C42CDB" w:rsidRPr="00E70D4D" w:rsidRDefault="00C42CDB" w:rsidP="005D6E77">
      <w:pPr>
        <w:numPr>
          <w:ilvl w:val="0"/>
          <w:numId w:val="9"/>
        </w:numPr>
        <w:autoSpaceDE w:val="0"/>
        <w:autoSpaceDN w:val="0"/>
        <w:ind w:left="576"/>
        <w:rPr>
          <w:rFonts w:eastAsia="Calibri"/>
        </w:rPr>
      </w:pPr>
      <w:r>
        <w:rPr>
          <w:rFonts w:eastAsia="Calibri"/>
        </w:rPr>
        <w:t xml:space="preserve">If a service is covered only by the plan’s Medicaid benefit, and never </w:t>
      </w:r>
      <w:r w:rsidR="001A6406">
        <w:rPr>
          <w:rFonts w:eastAsia="Calibri"/>
        </w:rPr>
        <w:t>covered</w:t>
      </w:r>
      <w:r>
        <w:rPr>
          <w:rFonts w:eastAsia="Calibri"/>
        </w:rPr>
        <w:t xml:space="preserve"> by the MA plan as a supplemental Medicare benefit.</w:t>
      </w:r>
    </w:p>
    <w:p w14:paraId="28547E97" w14:textId="77777777" w:rsidR="005D6E77" w:rsidRPr="00E70D4D" w:rsidRDefault="005D6E77" w:rsidP="005D6E77">
      <w:pPr>
        <w:autoSpaceDE w:val="0"/>
        <w:autoSpaceDN w:val="0"/>
        <w:ind w:left="576"/>
        <w:rPr>
          <w:rFonts w:eastAsia="Calibri"/>
        </w:rPr>
      </w:pPr>
    </w:p>
    <w:p w14:paraId="4C891D54" w14:textId="77777777" w:rsidR="005D6E77" w:rsidRPr="00E70D4D" w:rsidRDefault="005D6E77" w:rsidP="005D6E77">
      <w:pPr>
        <w:numPr>
          <w:ilvl w:val="0"/>
          <w:numId w:val="9"/>
        </w:numPr>
        <w:ind w:left="576"/>
        <w:rPr>
          <w:color w:val="000000"/>
        </w:rPr>
      </w:pPr>
      <w:r w:rsidRPr="00E70D4D">
        <w:rPr>
          <w:color w:val="000000"/>
        </w:rPr>
        <w:t xml:space="preserve">Enrollee complaints only made through the CMS Complaints Tracking Module (CTM).  </w:t>
      </w:r>
    </w:p>
    <w:p w14:paraId="4336FB61" w14:textId="77777777" w:rsidR="005D6E77" w:rsidRPr="00E70D4D" w:rsidRDefault="005D6E77" w:rsidP="005D6E77">
      <w:pPr>
        <w:rPr>
          <w:b/>
          <w:color w:val="000000"/>
          <w:u w:val="single"/>
        </w:rPr>
      </w:pPr>
    </w:p>
    <w:p w14:paraId="2F56863D" w14:textId="77777777" w:rsidR="005D6E77" w:rsidRPr="00E70D4D" w:rsidRDefault="005D6E77" w:rsidP="005D6E77">
      <w:r w:rsidRPr="00A451BC">
        <w:rPr>
          <w:b/>
          <w:color w:val="000000"/>
        </w:rPr>
        <w:t>NOTE</w:t>
      </w:r>
      <w:r w:rsidRPr="00A451BC">
        <w:t>:</w:t>
      </w:r>
      <w:r w:rsidRPr="00E70D4D">
        <w:t xml:space="preserve"> For purposes of this current reporting effort, plans are not required to distinguish</w:t>
      </w:r>
    </w:p>
    <w:p w14:paraId="2568AF5F" w14:textId="77777777" w:rsidR="005D6E77" w:rsidRPr="00E70D4D" w:rsidRDefault="005D6E77" w:rsidP="005D6E77">
      <w:r w:rsidRPr="00E70D4D">
        <w:t>between standard and expedited organization determinations or standard and expedited</w:t>
      </w:r>
    </w:p>
    <w:p w14:paraId="3C1CA7DA" w14:textId="77777777" w:rsidR="005D6E77" w:rsidRPr="00E70D4D" w:rsidRDefault="005D6E77" w:rsidP="005D6E77">
      <w:pPr>
        <w:rPr>
          <w:color w:val="000000"/>
        </w:rPr>
      </w:pPr>
      <w:r w:rsidRPr="00E70D4D">
        <w:t>reconsiderations.</w:t>
      </w:r>
    </w:p>
    <w:p w14:paraId="326035F4" w14:textId="77777777" w:rsidR="005D6E77" w:rsidRPr="00E70D4D" w:rsidRDefault="005D6E77" w:rsidP="005D6E77">
      <w:pPr>
        <w:rPr>
          <w:color w:val="000000"/>
        </w:rPr>
      </w:pPr>
    </w:p>
    <w:p w14:paraId="3002B0BA" w14:textId="77777777" w:rsidR="005D6E77" w:rsidRPr="00D955AB" w:rsidRDefault="005D6E77" w:rsidP="005D6E77">
      <w:r w:rsidRPr="009230F6">
        <w:t xml:space="preserve">For additional details concerning the Reporting Section 6 reporting requirements, see </w:t>
      </w:r>
      <w:r w:rsidRPr="00D955AB">
        <w:t xml:space="preserve">Appendix 1: FAQs: Reporting Sections 5 &amp; 6. </w:t>
      </w:r>
    </w:p>
    <w:p w14:paraId="5CDC4D7F" w14:textId="77777777" w:rsidR="00BA6E5E" w:rsidRDefault="00BA6E5E" w:rsidP="005D6E77"/>
    <w:p w14:paraId="4A51876F" w14:textId="4EBCECEA" w:rsidR="00BA6E5E" w:rsidRPr="00A451BC" w:rsidRDefault="00BA6E5E" w:rsidP="00BA6E5E">
      <w:pPr>
        <w:rPr>
          <w:b/>
        </w:rPr>
      </w:pPr>
      <w:r w:rsidRPr="00A451BC">
        <w:rPr>
          <w:b/>
        </w:rPr>
        <w:t>Reopenings (Organization Determinations and Redeterminations)</w:t>
      </w:r>
    </w:p>
    <w:p w14:paraId="192CC471" w14:textId="77777777" w:rsidR="00BA6E5E" w:rsidRPr="007479C2" w:rsidRDefault="00BA6E5E" w:rsidP="00BA6E5E"/>
    <w:p w14:paraId="68F2A38B" w14:textId="77777777" w:rsidR="00BA6E5E" w:rsidRPr="00FD13A2" w:rsidRDefault="00BA6E5E" w:rsidP="00FD13A2">
      <w:pPr>
        <w:pStyle w:val="ListParagraph"/>
        <w:numPr>
          <w:ilvl w:val="0"/>
          <w:numId w:val="28"/>
        </w:numPr>
        <w:rPr>
          <w:u w:val="single"/>
        </w:rPr>
      </w:pPr>
      <w:r w:rsidRPr="00FD13A2">
        <w:rPr>
          <w:rFonts w:ascii="Times New Roman" w:hAnsi="Times New Roman"/>
          <w:sz w:val="24"/>
          <w:szCs w:val="24"/>
        </w:rPr>
        <w:t xml:space="preserve">A </w:t>
      </w:r>
      <w:r w:rsidRPr="00A451BC">
        <w:rPr>
          <w:rFonts w:ascii="Times New Roman" w:hAnsi="Times New Roman"/>
          <w:b/>
          <w:sz w:val="24"/>
          <w:szCs w:val="24"/>
        </w:rPr>
        <w:t>reopening</w:t>
      </w:r>
      <w:r w:rsidRPr="00FD13A2">
        <w:rPr>
          <w:rFonts w:ascii="Times New Roman" w:hAnsi="Times New Roman"/>
          <w:sz w:val="24"/>
          <w:szCs w:val="24"/>
        </w:rPr>
        <w:t xml:space="preserve"> is a remedial action taken to change a final determination or decision even though the determination or decision may have been correct at the time it was made based on the evidence of record. </w:t>
      </w:r>
    </w:p>
    <w:p w14:paraId="272D5BA8" w14:textId="77777777" w:rsidR="00BA6E5E" w:rsidRPr="00FD13A2" w:rsidRDefault="00BA6E5E" w:rsidP="00FD13A2">
      <w:pPr>
        <w:pStyle w:val="ListParagraph"/>
        <w:numPr>
          <w:ilvl w:val="0"/>
          <w:numId w:val="28"/>
        </w:numPr>
        <w:rPr>
          <w:u w:val="single"/>
        </w:rPr>
      </w:pPr>
      <w:r w:rsidRPr="00FD13A2">
        <w:rPr>
          <w:rFonts w:ascii="Times New Roman" w:hAnsi="Times New Roman"/>
          <w:sz w:val="24"/>
          <w:szCs w:val="24"/>
        </w:rPr>
        <w:t>Refer to 42 CFR §422.616 and Chapter 13, section 130 of the Medicare Managed Care Manual for additional information and CMS requirements related to reopenings.</w:t>
      </w:r>
    </w:p>
    <w:p w14:paraId="6AB5CFD6" w14:textId="77777777" w:rsidR="00BA6E5E" w:rsidRPr="00FD13A2" w:rsidRDefault="00BA6E5E" w:rsidP="00FD13A2">
      <w:pPr>
        <w:pStyle w:val="ListParagraph"/>
        <w:numPr>
          <w:ilvl w:val="0"/>
          <w:numId w:val="28"/>
        </w:numPr>
        <w:rPr>
          <w:u w:val="single"/>
        </w:rPr>
      </w:pPr>
      <w:r w:rsidRPr="00FD13A2">
        <w:rPr>
          <w:rFonts w:ascii="Times New Roman" w:hAnsi="Times New Roman"/>
          <w:sz w:val="24"/>
          <w:szCs w:val="24"/>
        </w:rPr>
        <w:t xml:space="preserve">All reopened coverage determinations and redeterminations should be included. </w:t>
      </w:r>
    </w:p>
    <w:p w14:paraId="566F5238" w14:textId="06313184" w:rsidR="007479C2" w:rsidRPr="00FD13A2" w:rsidRDefault="00BA6E5E" w:rsidP="00FD13A2">
      <w:pPr>
        <w:pStyle w:val="ListParagraph"/>
        <w:numPr>
          <w:ilvl w:val="0"/>
          <w:numId w:val="28"/>
        </w:numPr>
        <w:rPr>
          <w:u w:val="single"/>
        </w:rPr>
      </w:pPr>
      <w:r w:rsidRPr="00FD13A2">
        <w:rPr>
          <w:rFonts w:ascii="Times New Roman" w:hAnsi="Times New Roman"/>
          <w:sz w:val="24"/>
          <w:szCs w:val="24"/>
        </w:rPr>
        <w:t xml:space="preserve">For cases that are in a reopening status across multiple reporting periods, contracts should report those cases in each applicable reporting period. For example, if a plan reopened an organization determination </w:t>
      </w:r>
      <w:r w:rsidR="00977F47">
        <w:rPr>
          <w:rFonts w:ascii="Times New Roman" w:hAnsi="Times New Roman"/>
          <w:sz w:val="24"/>
          <w:szCs w:val="24"/>
        </w:rPr>
        <w:t xml:space="preserve">in the first quarter of a given </w:t>
      </w:r>
      <w:r w:rsidR="00FB764F">
        <w:rPr>
          <w:rFonts w:ascii="Times New Roman" w:hAnsi="Times New Roman"/>
          <w:sz w:val="24"/>
          <w:szCs w:val="24"/>
        </w:rPr>
        <w:t>calendar</w:t>
      </w:r>
      <w:r w:rsidR="00977F47">
        <w:rPr>
          <w:rFonts w:ascii="Times New Roman" w:hAnsi="Times New Roman"/>
          <w:sz w:val="24"/>
          <w:szCs w:val="24"/>
        </w:rPr>
        <w:t xml:space="preserve"> year</w:t>
      </w:r>
      <w:r w:rsidR="00187FAF">
        <w:rPr>
          <w:rFonts w:ascii="Times New Roman" w:hAnsi="Times New Roman"/>
          <w:sz w:val="24"/>
          <w:szCs w:val="24"/>
        </w:rPr>
        <w:t xml:space="preserve">, </w:t>
      </w:r>
      <w:r w:rsidR="00187FAF" w:rsidRPr="00FD13A2">
        <w:rPr>
          <w:rFonts w:ascii="Times New Roman" w:hAnsi="Times New Roman"/>
          <w:sz w:val="24"/>
          <w:szCs w:val="24"/>
        </w:rPr>
        <w:t>and</w:t>
      </w:r>
      <w:r w:rsidRPr="00FD13A2">
        <w:rPr>
          <w:rFonts w:ascii="Times New Roman" w:hAnsi="Times New Roman"/>
          <w:sz w:val="24"/>
          <w:szCs w:val="24"/>
        </w:rPr>
        <w:t xml:space="preserve"> sent the notice of the revised decision on </w:t>
      </w:r>
      <w:r w:rsidR="00977F47">
        <w:rPr>
          <w:rFonts w:ascii="Times New Roman" w:hAnsi="Times New Roman"/>
          <w:sz w:val="24"/>
          <w:szCs w:val="24"/>
        </w:rPr>
        <w:t xml:space="preserve">in the second quarter of the same </w:t>
      </w:r>
      <w:r w:rsidR="00FB764F">
        <w:rPr>
          <w:rFonts w:ascii="Times New Roman" w:hAnsi="Times New Roman"/>
          <w:sz w:val="24"/>
          <w:szCs w:val="24"/>
        </w:rPr>
        <w:t>calendar</w:t>
      </w:r>
      <w:r w:rsidR="00977F47">
        <w:rPr>
          <w:rFonts w:ascii="Times New Roman" w:hAnsi="Times New Roman"/>
          <w:sz w:val="24"/>
          <w:szCs w:val="24"/>
        </w:rPr>
        <w:t xml:space="preserve"> </w:t>
      </w:r>
      <w:r w:rsidR="00187FAF">
        <w:rPr>
          <w:rFonts w:ascii="Times New Roman" w:hAnsi="Times New Roman"/>
          <w:sz w:val="24"/>
          <w:szCs w:val="24"/>
        </w:rPr>
        <w:t xml:space="preserve">year </w:t>
      </w:r>
      <w:r w:rsidR="00187FAF" w:rsidRPr="00FD13A2">
        <w:rPr>
          <w:rFonts w:ascii="Times New Roman" w:hAnsi="Times New Roman"/>
          <w:sz w:val="24"/>
          <w:szCs w:val="24"/>
        </w:rPr>
        <w:t>that</w:t>
      </w:r>
      <w:r w:rsidRPr="00FD13A2">
        <w:rPr>
          <w:rFonts w:ascii="Times New Roman" w:hAnsi="Times New Roman"/>
          <w:sz w:val="24"/>
          <w:szCs w:val="24"/>
        </w:rPr>
        <w:t xml:space="preserve"> case should be reported as “pending” in the Q1 data file and then as resolved in Q2 (either Fully Favorable, Partially Favorable or Adverse). </w:t>
      </w:r>
    </w:p>
    <w:p w14:paraId="34419EBC" w14:textId="6F964C89" w:rsidR="00BA6E5E" w:rsidRPr="00FD13A2" w:rsidRDefault="007479C2" w:rsidP="00FD13A2">
      <w:pPr>
        <w:pStyle w:val="ListParagraph"/>
        <w:numPr>
          <w:ilvl w:val="0"/>
          <w:numId w:val="28"/>
        </w:numPr>
        <w:rPr>
          <w:u w:val="single"/>
        </w:rPr>
      </w:pPr>
      <w:r>
        <w:rPr>
          <w:rFonts w:ascii="Times New Roman" w:hAnsi="Times New Roman"/>
          <w:sz w:val="24"/>
          <w:szCs w:val="24"/>
        </w:rPr>
        <w:t xml:space="preserve"> If the IRE fully or partially overturns the plan’s determination, the </w:t>
      </w:r>
      <w:r w:rsidRPr="00A451BC">
        <w:rPr>
          <w:rFonts w:ascii="Times New Roman" w:hAnsi="Times New Roman"/>
          <w:b/>
          <w:sz w:val="24"/>
          <w:szCs w:val="24"/>
        </w:rPr>
        <w:t xml:space="preserve">case </w:t>
      </w:r>
      <w:r w:rsidR="009426CC" w:rsidRPr="00A451BC">
        <w:rPr>
          <w:rFonts w:ascii="Times New Roman" w:hAnsi="Times New Roman"/>
          <w:b/>
          <w:sz w:val="24"/>
          <w:szCs w:val="24"/>
        </w:rPr>
        <w:t xml:space="preserve">is not and </w:t>
      </w:r>
      <w:r w:rsidRPr="00A451BC">
        <w:rPr>
          <w:rFonts w:ascii="Times New Roman" w:hAnsi="Times New Roman"/>
          <w:b/>
          <w:sz w:val="24"/>
          <w:szCs w:val="24"/>
        </w:rPr>
        <w:t>must not be</w:t>
      </w:r>
      <w:r>
        <w:rPr>
          <w:rFonts w:ascii="Times New Roman" w:hAnsi="Times New Roman"/>
          <w:sz w:val="24"/>
          <w:szCs w:val="24"/>
        </w:rPr>
        <w:t xml:space="preserve"> reported as a reopening.</w:t>
      </w:r>
      <w:r w:rsidR="00BA6E5E" w:rsidRPr="00FD13A2">
        <w:rPr>
          <w:rFonts w:ascii="Times New Roman" w:hAnsi="Times New Roman"/>
          <w:sz w:val="24"/>
          <w:szCs w:val="24"/>
        </w:rPr>
        <w:t xml:space="preserve"> </w:t>
      </w:r>
    </w:p>
    <w:p w14:paraId="547374C0" w14:textId="77777777" w:rsidR="00BA6E5E" w:rsidRPr="00E70D4D" w:rsidRDefault="00BA6E5E" w:rsidP="00BA6E5E">
      <w:pPr>
        <w:pStyle w:val="ListParagraph"/>
        <w:rPr>
          <w:rFonts w:ascii="Times New Roman" w:hAnsi="Times New Roman"/>
          <w:sz w:val="24"/>
          <w:szCs w:val="24"/>
        </w:rPr>
      </w:pPr>
    </w:p>
    <w:p w14:paraId="7242964D" w14:textId="750791D1" w:rsidR="005D6E77" w:rsidRPr="00D955AB" w:rsidRDefault="005D6E77" w:rsidP="005D6E77">
      <w:pPr>
        <w:rPr>
          <w:b/>
          <w:smallCaps/>
          <w:szCs w:val="20"/>
        </w:rPr>
      </w:pPr>
      <w:r w:rsidRPr="00D955AB">
        <w:br w:type="page"/>
      </w:r>
    </w:p>
    <w:p w14:paraId="7F8CF3CA" w14:textId="633FC592" w:rsidR="00F214C8" w:rsidRPr="00C36585" w:rsidRDefault="00F214C8" w:rsidP="00C36585">
      <w:pPr>
        <w:pStyle w:val="Heading3"/>
        <w:rPr>
          <w:rFonts w:ascii="Times New Roman" w:hAnsi="Times New Roman"/>
          <w:caps/>
        </w:rPr>
      </w:pPr>
      <w:bookmarkStart w:id="37" w:name="_Toc436825817"/>
      <w:bookmarkStart w:id="38" w:name="_Toc475956104"/>
      <w:r w:rsidRPr="00C36585">
        <w:rPr>
          <w:rFonts w:ascii="Times New Roman" w:hAnsi="Times New Roman" w:cs="Times New Roman"/>
          <w:caps/>
          <w:sz w:val="24"/>
        </w:rPr>
        <w:lastRenderedPageBreak/>
        <w:t>7. Employer Group Plan Sponsors</w:t>
      </w:r>
      <w:bookmarkEnd w:id="32"/>
      <w:bookmarkEnd w:id="37"/>
      <w:bookmarkEnd w:id="38"/>
    </w:p>
    <w:p w14:paraId="5D719B45" w14:textId="77777777" w:rsidR="00F214C8" w:rsidRPr="00912B52" w:rsidRDefault="00F214C8" w:rsidP="00F214C8"/>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080"/>
        <w:gridCol w:w="1440"/>
        <w:gridCol w:w="1920"/>
      </w:tblGrid>
      <w:tr w:rsidR="00F214C8" w:rsidRPr="00912B52" w14:paraId="7D685C0E" w14:textId="77777777" w:rsidTr="00A451BC">
        <w:tc>
          <w:tcPr>
            <w:tcW w:w="1908" w:type="dxa"/>
            <w:shd w:val="clear" w:color="auto" w:fill="D9D9D9" w:themeFill="background1" w:themeFillShade="D9"/>
          </w:tcPr>
          <w:p w14:paraId="6A5E8EE4" w14:textId="77777777" w:rsidR="00F214C8" w:rsidRPr="00912B52" w:rsidRDefault="00AA4C79"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520" w:type="dxa"/>
            <w:shd w:val="clear" w:color="auto" w:fill="D9D9D9" w:themeFill="background1" w:themeFillShade="D9"/>
          </w:tcPr>
          <w:p w14:paraId="489C9F16"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p>
        </w:tc>
        <w:tc>
          <w:tcPr>
            <w:tcW w:w="1080" w:type="dxa"/>
            <w:shd w:val="clear" w:color="auto" w:fill="D9D9D9" w:themeFill="background1" w:themeFillShade="D9"/>
          </w:tcPr>
          <w:p w14:paraId="3B8FFC2A"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14:paraId="1DC9A3B0"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440" w:type="dxa"/>
            <w:shd w:val="clear" w:color="auto" w:fill="D9D9D9" w:themeFill="background1" w:themeFillShade="D9"/>
          </w:tcPr>
          <w:p w14:paraId="5B9954E7"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14:paraId="245B0413"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1920" w:type="dxa"/>
            <w:shd w:val="clear" w:color="auto" w:fill="D9D9D9" w:themeFill="background1" w:themeFillShade="D9"/>
          </w:tcPr>
          <w:p w14:paraId="52B824CB"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F214C8" w:rsidRPr="00912B52" w14:paraId="321D6CE6" w14:textId="77777777" w:rsidTr="00B20E9D">
        <w:tc>
          <w:tcPr>
            <w:tcW w:w="1908" w:type="dxa"/>
          </w:tcPr>
          <w:p w14:paraId="27A07CE6"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7. Employer Group Plan Sponsors</w:t>
            </w:r>
          </w:p>
        </w:tc>
        <w:tc>
          <w:tcPr>
            <w:tcW w:w="2520" w:type="dxa"/>
          </w:tcPr>
          <w:p w14:paraId="52E4481D" w14:textId="77777777" w:rsidR="00F214C8" w:rsidRPr="00912B52" w:rsidRDefault="00F214C8" w:rsidP="00F214C8">
            <w:pPr>
              <w:widowControl w:val="0"/>
              <w:autoSpaceDE w:val="0"/>
              <w:autoSpaceDN w:val="0"/>
              <w:adjustRightInd w:val="0"/>
            </w:pPr>
            <w:r w:rsidRPr="00912B52">
              <w:t>01 – Local CCP</w:t>
            </w:r>
          </w:p>
          <w:p w14:paraId="1AAF6218" w14:textId="77777777" w:rsidR="00F214C8" w:rsidRPr="00912B52" w:rsidRDefault="00F214C8" w:rsidP="00F214C8">
            <w:pPr>
              <w:widowControl w:val="0"/>
              <w:autoSpaceDE w:val="0"/>
              <w:autoSpaceDN w:val="0"/>
              <w:adjustRightInd w:val="0"/>
            </w:pPr>
            <w:r w:rsidRPr="00912B52">
              <w:t>02</w:t>
            </w:r>
            <w:r w:rsidR="00B9139A">
              <w:t xml:space="preserve"> </w:t>
            </w:r>
            <w:r w:rsidR="00B9139A" w:rsidRPr="00B9139A">
              <w:t>–</w:t>
            </w:r>
            <w:r w:rsidRPr="00912B52">
              <w:t xml:space="preserve"> MSA</w:t>
            </w:r>
          </w:p>
          <w:p w14:paraId="5552F93A" w14:textId="77777777" w:rsidR="00F214C8" w:rsidRPr="00912B52" w:rsidRDefault="00F214C8" w:rsidP="00F214C8">
            <w:pPr>
              <w:widowControl w:val="0"/>
              <w:autoSpaceDE w:val="0"/>
              <w:autoSpaceDN w:val="0"/>
              <w:adjustRightInd w:val="0"/>
            </w:pPr>
            <w:r w:rsidRPr="00912B52">
              <w:t>04</w:t>
            </w:r>
            <w:r w:rsidR="00B9139A">
              <w:t xml:space="preserve"> </w:t>
            </w:r>
            <w:r w:rsidR="00B9139A" w:rsidRPr="00B9139A">
              <w:t>–</w:t>
            </w:r>
            <w:r w:rsidRPr="00912B52">
              <w:t xml:space="preserve"> PFFS</w:t>
            </w:r>
          </w:p>
          <w:p w14:paraId="6B2FFCFC" w14:textId="77777777" w:rsidR="00F214C8" w:rsidRPr="00912B52" w:rsidRDefault="00F214C8" w:rsidP="00F214C8">
            <w:pPr>
              <w:widowControl w:val="0"/>
              <w:autoSpaceDE w:val="0"/>
              <w:autoSpaceDN w:val="0"/>
              <w:adjustRightInd w:val="0"/>
            </w:pPr>
            <w:r w:rsidRPr="00912B52">
              <w:t>06 – 1876 Cost</w:t>
            </w:r>
          </w:p>
          <w:p w14:paraId="2B09445D" w14:textId="77777777" w:rsidR="00F214C8" w:rsidRPr="00912B52" w:rsidRDefault="00F214C8" w:rsidP="00F214C8">
            <w:pPr>
              <w:widowControl w:val="0"/>
              <w:autoSpaceDE w:val="0"/>
              <w:autoSpaceDN w:val="0"/>
              <w:adjustRightInd w:val="0"/>
            </w:pPr>
            <w:r w:rsidRPr="00912B52">
              <w:t>11 – Regional CCP</w:t>
            </w:r>
          </w:p>
          <w:p w14:paraId="1D905E28" w14:textId="77777777" w:rsidR="00F214C8" w:rsidRPr="00912B52" w:rsidRDefault="00F214C8" w:rsidP="00F214C8">
            <w:pPr>
              <w:widowControl w:val="0"/>
              <w:autoSpaceDE w:val="0"/>
              <w:autoSpaceDN w:val="0"/>
              <w:adjustRightInd w:val="0"/>
            </w:pPr>
            <w:r w:rsidRPr="00912B52">
              <w:t>14 – ED-PFFS</w:t>
            </w:r>
          </w:p>
          <w:p w14:paraId="4678EB1D" w14:textId="77777777" w:rsidR="00F214C8" w:rsidRPr="00912B52" w:rsidRDefault="00F214C8" w:rsidP="00F214C8">
            <w:pPr>
              <w:widowControl w:val="0"/>
              <w:autoSpaceDE w:val="0"/>
              <w:autoSpaceDN w:val="0"/>
              <w:adjustRightInd w:val="0"/>
            </w:pPr>
          </w:p>
          <w:p w14:paraId="27E0956C"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Organizations should include all 800 series plans and any individual plans sold to employer groups.</w:t>
            </w:r>
          </w:p>
          <w:p w14:paraId="6DD11A90" w14:textId="77777777" w:rsidR="00F214C8" w:rsidRPr="00912B52" w:rsidRDefault="00F214C8" w:rsidP="00F214C8">
            <w:pPr>
              <w:widowControl w:val="0"/>
              <w:autoSpaceDE w:val="0"/>
              <w:autoSpaceDN w:val="0"/>
              <w:adjustRightInd w:val="0"/>
              <w:rPr>
                <w:szCs w:val="22"/>
              </w:rPr>
            </w:pPr>
          </w:p>
          <w:p w14:paraId="09F4E759" w14:textId="77777777" w:rsidR="00F214C8" w:rsidRPr="00912B52" w:rsidRDefault="00F214C8" w:rsidP="00F214C8">
            <w:pPr>
              <w:widowControl w:val="0"/>
              <w:autoSpaceDE w:val="0"/>
              <w:autoSpaceDN w:val="0"/>
              <w:adjustRightInd w:val="0"/>
              <w:rPr>
                <w:szCs w:val="22"/>
              </w:rPr>
            </w:pPr>
          </w:p>
          <w:p w14:paraId="135BFD81"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 xml:space="preserve">Employer/Union Direct Contracts should also report this </w:t>
            </w:r>
            <w:r w:rsidR="00AA4C79">
              <w:rPr>
                <w:szCs w:val="22"/>
              </w:rPr>
              <w:t>reporting section</w:t>
            </w:r>
            <w:r w:rsidRPr="00912B52">
              <w:rPr>
                <w:szCs w:val="22"/>
              </w:rPr>
              <w:t>, regardless of organization type.</w:t>
            </w:r>
          </w:p>
          <w:p w14:paraId="4B18EBDE"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c>
          <w:tcPr>
            <w:tcW w:w="1080" w:type="dxa"/>
            <w:shd w:val="clear" w:color="auto" w:fill="auto"/>
          </w:tcPr>
          <w:p w14:paraId="161D91B9" w14:textId="77777777" w:rsidR="00F214C8" w:rsidRPr="00912B52" w:rsidRDefault="00AC3173"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w:t>
            </w:r>
            <w:r w:rsidR="00F214C8" w:rsidRPr="00912B52">
              <w:rPr>
                <w:szCs w:val="22"/>
              </w:rPr>
              <w:t>/year</w:t>
            </w:r>
          </w:p>
          <w:p w14:paraId="076C132B"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PBP</w:t>
            </w:r>
          </w:p>
        </w:tc>
        <w:tc>
          <w:tcPr>
            <w:tcW w:w="1440" w:type="dxa"/>
            <w:shd w:val="clear" w:color="auto" w:fill="auto"/>
          </w:tcPr>
          <w:p w14:paraId="58280B7F" w14:textId="77777777" w:rsidR="00B20E9D" w:rsidRPr="00912B52" w:rsidRDefault="00F214C8" w:rsidP="00B20E9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1/1 -</w:t>
            </w:r>
          </w:p>
          <w:p w14:paraId="134DEDCB"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12/31</w:t>
            </w:r>
          </w:p>
          <w:p w14:paraId="2FA83261" w14:textId="77777777" w:rsidR="00B20E9D" w:rsidRPr="00912B52" w:rsidRDefault="00B20E9D"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p w14:paraId="62A17E77" w14:textId="77777777" w:rsidR="00B20E9D" w:rsidRPr="00912B52" w:rsidRDefault="00B20E9D" w:rsidP="00AC3173">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szCs w:val="22"/>
              </w:rPr>
            </w:pPr>
          </w:p>
        </w:tc>
        <w:tc>
          <w:tcPr>
            <w:tcW w:w="1920" w:type="dxa"/>
          </w:tcPr>
          <w:p w14:paraId="687D8327" w14:textId="77777777" w:rsidR="00F214C8" w:rsidRPr="00570AA9" w:rsidRDefault="00753609" w:rsidP="0075360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570AA9">
              <w:rPr>
                <w:szCs w:val="22"/>
              </w:rPr>
              <w:t>First Monday of February in following year</w:t>
            </w:r>
          </w:p>
        </w:tc>
      </w:tr>
    </w:tbl>
    <w:p w14:paraId="2DE78574" w14:textId="77777777" w:rsidR="00F214C8" w:rsidRPr="00912B52" w:rsidRDefault="00F214C8" w:rsidP="00F214C8"/>
    <w:p w14:paraId="25F77B13" w14:textId="77777777" w:rsidR="00E07BE3" w:rsidRPr="00912B52" w:rsidRDefault="00E07BE3" w:rsidP="00E07BE3">
      <w:pPr>
        <w:pStyle w:val="Style1"/>
        <w:numPr>
          <w:ilvl w:val="0"/>
          <w:numId w:val="0"/>
        </w:numPr>
      </w:pPr>
      <w:r>
        <w:t>D</w:t>
      </w:r>
      <w:r w:rsidRPr="00912B52">
        <w:t>ata elements reported</w:t>
      </w:r>
      <w:r>
        <w:t xml:space="preserve"> </w:t>
      </w:r>
      <w:r w:rsidRPr="00912B52">
        <w:t xml:space="preserve">under this </w:t>
      </w:r>
      <w:r w:rsidR="00AA4C79">
        <w:t>reporting section</w:t>
      </w:r>
      <w:r w:rsidRPr="00912B52">
        <w:t xml:space="preserve"> are:</w:t>
      </w:r>
    </w:p>
    <w:p w14:paraId="223949C4" w14:textId="77777777" w:rsidR="00F214C8" w:rsidRPr="00912B52" w:rsidRDefault="00F214C8" w:rsidP="00F214C8"/>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680"/>
      </w:tblGrid>
      <w:tr w:rsidR="00F214C8" w:rsidRPr="00912B52" w14:paraId="2DDE536D" w14:textId="77777777">
        <w:tc>
          <w:tcPr>
            <w:tcW w:w="1548" w:type="dxa"/>
            <w:shd w:val="clear" w:color="auto" w:fill="CCCCCC"/>
          </w:tcPr>
          <w:p w14:paraId="0ACFB115" w14:textId="77777777" w:rsidR="00F214C8" w:rsidRPr="00912B52" w:rsidRDefault="00F214C8" w:rsidP="00F214C8">
            <w:pPr>
              <w:jc w:val="center"/>
              <w:rPr>
                <w:b/>
                <w:bCs/>
              </w:rPr>
            </w:pPr>
            <w:r w:rsidRPr="00912B52">
              <w:rPr>
                <w:b/>
                <w:bCs/>
              </w:rPr>
              <w:t>Element Number</w:t>
            </w:r>
          </w:p>
        </w:tc>
        <w:tc>
          <w:tcPr>
            <w:tcW w:w="7680" w:type="dxa"/>
            <w:shd w:val="clear" w:color="auto" w:fill="CCCCCC"/>
          </w:tcPr>
          <w:p w14:paraId="5CC9340A" w14:textId="77777777" w:rsidR="00F214C8" w:rsidRPr="00912B52" w:rsidRDefault="00F214C8" w:rsidP="005764D8">
            <w:pPr>
              <w:jc w:val="center"/>
              <w:rPr>
                <w:b/>
                <w:bCs/>
              </w:rPr>
            </w:pPr>
            <w:r w:rsidRPr="00912B52">
              <w:rPr>
                <w:b/>
                <w:bCs/>
              </w:rPr>
              <w:t xml:space="preserve">Data Elements for </w:t>
            </w:r>
            <w:r w:rsidRPr="00912B52">
              <w:rPr>
                <w:b/>
              </w:rPr>
              <w:t>Employer Group Plan Sponsors</w:t>
            </w:r>
          </w:p>
        </w:tc>
      </w:tr>
      <w:tr w:rsidR="00F214C8" w:rsidRPr="00912B52" w14:paraId="789DC25F" w14:textId="77777777">
        <w:tc>
          <w:tcPr>
            <w:tcW w:w="1548" w:type="dxa"/>
          </w:tcPr>
          <w:p w14:paraId="453356BD" w14:textId="77777777" w:rsidR="00F214C8" w:rsidRPr="00912B52" w:rsidRDefault="00F214C8" w:rsidP="00F214C8">
            <w:pPr>
              <w:autoSpaceDE w:val="0"/>
              <w:autoSpaceDN w:val="0"/>
              <w:adjustRightInd w:val="0"/>
            </w:pPr>
            <w:r w:rsidRPr="00912B52">
              <w:t>7.1</w:t>
            </w:r>
          </w:p>
        </w:tc>
        <w:tc>
          <w:tcPr>
            <w:tcW w:w="7680" w:type="dxa"/>
          </w:tcPr>
          <w:p w14:paraId="5D9357D7" w14:textId="77777777" w:rsidR="00F214C8" w:rsidRPr="00912B52" w:rsidRDefault="00F214C8" w:rsidP="00F214C8">
            <w:r w:rsidRPr="00912B52">
              <w:t>Employer Legal Name</w:t>
            </w:r>
          </w:p>
        </w:tc>
      </w:tr>
      <w:tr w:rsidR="00F214C8" w:rsidRPr="00912B52" w14:paraId="73164651" w14:textId="77777777">
        <w:tc>
          <w:tcPr>
            <w:tcW w:w="1548" w:type="dxa"/>
          </w:tcPr>
          <w:p w14:paraId="5736AC99" w14:textId="77777777" w:rsidR="00F214C8" w:rsidRPr="00912B52" w:rsidRDefault="00F214C8" w:rsidP="00F214C8">
            <w:pPr>
              <w:autoSpaceDE w:val="0"/>
              <w:autoSpaceDN w:val="0"/>
              <w:adjustRightInd w:val="0"/>
            </w:pPr>
            <w:r w:rsidRPr="00912B52">
              <w:t>7.2</w:t>
            </w:r>
          </w:p>
        </w:tc>
        <w:tc>
          <w:tcPr>
            <w:tcW w:w="7680" w:type="dxa"/>
          </w:tcPr>
          <w:p w14:paraId="67884D9C" w14:textId="77777777" w:rsidR="00F214C8" w:rsidRPr="00912B52" w:rsidRDefault="00F214C8" w:rsidP="00F214C8">
            <w:r w:rsidRPr="00912B52">
              <w:t>Employer DBA Name</w:t>
            </w:r>
          </w:p>
        </w:tc>
      </w:tr>
      <w:tr w:rsidR="00F214C8" w:rsidRPr="00912B52" w14:paraId="42A917ED" w14:textId="77777777">
        <w:tc>
          <w:tcPr>
            <w:tcW w:w="1548" w:type="dxa"/>
          </w:tcPr>
          <w:p w14:paraId="389479CD" w14:textId="77777777" w:rsidR="00F214C8" w:rsidRPr="00912B52" w:rsidRDefault="00F214C8" w:rsidP="00F214C8">
            <w:pPr>
              <w:autoSpaceDE w:val="0"/>
              <w:autoSpaceDN w:val="0"/>
              <w:adjustRightInd w:val="0"/>
            </w:pPr>
            <w:r w:rsidRPr="00912B52">
              <w:t>7.3</w:t>
            </w:r>
          </w:p>
        </w:tc>
        <w:tc>
          <w:tcPr>
            <w:tcW w:w="7680" w:type="dxa"/>
          </w:tcPr>
          <w:p w14:paraId="3311885D" w14:textId="77777777" w:rsidR="00F214C8" w:rsidRPr="00912B52" w:rsidRDefault="00F214C8" w:rsidP="00F214C8">
            <w:pPr>
              <w:rPr>
                <w:rFonts w:cs="Arial"/>
              </w:rPr>
            </w:pPr>
            <w:r w:rsidRPr="00912B52">
              <w:t>Employer Federal Tax ID</w:t>
            </w:r>
          </w:p>
        </w:tc>
      </w:tr>
      <w:tr w:rsidR="00F214C8" w:rsidRPr="00912B52" w14:paraId="4DE0BE53" w14:textId="77777777">
        <w:tc>
          <w:tcPr>
            <w:tcW w:w="1548" w:type="dxa"/>
          </w:tcPr>
          <w:p w14:paraId="6C07A527" w14:textId="77777777" w:rsidR="00F214C8" w:rsidRPr="00912B52" w:rsidRDefault="00F214C8" w:rsidP="00F214C8">
            <w:r w:rsidRPr="00912B52">
              <w:t>7.4</w:t>
            </w:r>
          </w:p>
        </w:tc>
        <w:tc>
          <w:tcPr>
            <w:tcW w:w="7680" w:type="dxa"/>
          </w:tcPr>
          <w:p w14:paraId="7C57C2FF" w14:textId="77777777" w:rsidR="00F214C8" w:rsidRPr="00912B52" w:rsidRDefault="00F214C8" w:rsidP="00F214C8">
            <w:r w:rsidRPr="00912B52">
              <w:t>Employer Address</w:t>
            </w:r>
          </w:p>
        </w:tc>
      </w:tr>
      <w:tr w:rsidR="00F214C8" w:rsidRPr="00912B52" w14:paraId="7ADC762F" w14:textId="77777777">
        <w:tc>
          <w:tcPr>
            <w:tcW w:w="1548" w:type="dxa"/>
          </w:tcPr>
          <w:p w14:paraId="41F26293" w14:textId="77777777" w:rsidR="00F214C8" w:rsidRPr="00912B52" w:rsidRDefault="00F214C8" w:rsidP="00F214C8">
            <w:r w:rsidRPr="00912B52">
              <w:t>7.5</w:t>
            </w:r>
          </w:p>
        </w:tc>
        <w:tc>
          <w:tcPr>
            <w:tcW w:w="7680" w:type="dxa"/>
          </w:tcPr>
          <w:p w14:paraId="0ABC74E0" w14:textId="77777777" w:rsidR="00F214C8" w:rsidRPr="00912B52" w:rsidRDefault="00F214C8" w:rsidP="00F214C8">
            <w:r w:rsidRPr="00912B52">
              <w:t>Type of Group Sponsor (employer, union, trustees of a fund)</w:t>
            </w:r>
          </w:p>
        </w:tc>
      </w:tr>
      <w:tr w:rsidR="00F214C8" w:rsidRPr="00912B52" w14:paraId="5D235C06" w14:textId="77777777">
        <w:tc>
          <w:tcPr>
            <w:tcW w:w="1548" w:type="dxa"/>
          </w:tcPr>
          <w:p w14:paraId="76AEEDD8" w14:textId="77777777" w:rsidR="00F214C8" w:rsidRPr="00912B52" w:rsidRDefault="00F214C8" w:rsidP="00F214C8">
            <w:r w:rsidRPr="00912B52">
              <w:t>7.6</w:t>
            </w:r>
          </w:p>
        </w:tc>
        <w:tc>
          <w:tcPr>
            <w:tcW w:w="7680" w:type="dxa"/>
          </w:tcPr>
          <w:p w14:paraId="2FE77294" w14:textId="77777777" w:rsidR="00F214C8" w:rsidRPr="00912B52" w:rsidRDefault="00F214C8" w:rsidP="00F214C8">
            <w:r w:rsidRPr="00912B52">
              <w:t>Organization Type (State Government, Local Government, Publicly Traded Organization, Privately Held Corporation, Non-Profit, Church Group, Other)</w:t>
            </w:r>
          </w:p>
        </w:tc>
      </w:tr>
      <w:tr w:rsidR="00F214C8" w:rsidRPr="00912B52" w14:paraId="0986513C" w14:textId="77777777">
        <w:tc>
          <w:tcPr>
            <w:tcW w:w="1548" w:type="dxa"/>
          </w:tcPr>
          <w:p w14:paraId="308E3E3A" w14:textId="77777777" w:rsidR="00F214C8" w:rsidRPr="00912B52" w:rsidRDefault="00F214C8" w:rsidP="00F214C8">
            <w:r w:rsidRPr="00912B52">
              <w:t>7.7</w:t>
            </w:r>
          </w:p>
        </w:tc>
        <w:tc>
          <w:tcPr>
            <w:tcW w:w="7680" w:type="dxa"/>
          </w:tcPr>
          <w:p w14:paraId="5BF60E10" w14:textId="77777777" w:rsidR="00F214C8" w:rsidRPr="00912B52" w:rsidRDefault="00F214C8" w:rsidP="00F214C8">
            <w:r w:rsidRPr="00912B52">
              <w:t>Type of Contract (insured, ASO, other)</w:t>
            </w:r>
          </w:p>
        </w:tc>
      </w:tr>
      <w:tr w:rsidR="000549BA" w:rsidRPr="00912B52" w14:paraId="22C5E3E7" w14:textId="77777777">
        <w:tc>
          <w:tcPr>
            <w:tcW w:w="1548" w:type="dxa"/>
          </w:tcPr>
          <w:p w14:paraId="00E720F9" w14:textId="77777777" w:rsidR="000549BA" w:rsidRPr="0040019D" w:rsidRDefault="00CE4375" w:rsidP="00F214C8">
            <w:r w:rsidRPr="0040019D">
              <w:t>7.8</w:t>
            </w:r>
          </w:p>
        </w:tc>
        <w:tc>
          <w:tcPr>
            <w:tcW w:w="7680" w:type="dxa"/>
          </w:tcPr>
          <w:p w14:paraId="3DE8B072" w14:textId="685549CE" w:rsidR="000549BA" w:rsidRPr="00D955AB" w:rsidRDefault="00CE4375" w:rsidP="00F214C8">
            <w:r w:rsidRPr="00D955AB">
              <w:t>Is this a calendar year plan</w:t>
            </w:r>
            <w:r w:rsidR="005C4F7E" w:rsidRPr="00D955AB">
              <w:t xml:space="preserve">?  </w:t>
            </w:r>
            <w:r w:rsidRPr="00D955AB">
              <w:t>(Y (yes) or N (no))</w:t>
            </w:r>
          </w:p>
        </w:tc>
      </w:tr>
      <w:tr w:rsidR="00F214C8" w:rsidRPr="00912B52" w14:paraId="5D9915B6" w14:textId="77777777">
        <w:tc>
          <w:tcPr>
            <w:tcW w:w="1548" w:type="dxa"/>
          </w:tcPr>
          <w:p w14:paraId="1CC4D5BC" w14:textId="77777777" w:rsidR="00F214C8" w:rsidRPr="0040019D" w:rsidRDefault="00CE4375" w:rsidP="000549BA">
            <w:r w:rsidRPr="0040019D">
              <w:t>7.9</w:t>
            </w:r>
          </w:p>
        </w:tc>
        <w:tc>
          <w:tcPr>
            <w:tcW w:w="7680" w:type="dxa"/>
          </w:tcPr>
          <w:p w14:paraId="46484558" w14:textId="77777777" w:rsidR="00F214C8" w:rsidRPr="00D955AB" w:rsidRDefault="00CE4375" w:rsidP="000549BA">
            <w:pPr>
              <w:tabs>
                <w:tab w:val="num" w:pos="1080"/>
              </w:tabs>
            </w:pPr>
            <w:r w:rsidRPr="00D955AB">
              <w:t xml:space="preserve">If data element 7.8 is no, provide non-calendar year start date.  </w:t>
            </w:r>
          </w:p>
        </w:tc>
      </w:tr>
      <w:tr w:rsidR="00F214C8" w:rsidRPr="00912B52" w14:paraId="33742BDB" w14:textId="77777777">
        <w:tc>
          <w:tcPr>
            <w:tcW w:w="1548" w:type="dxa"/>
          </w:tcPr>
          <w:p w14:paraId="54E2D1AA" w14:textId="77777777" w:rsidR="00F214C8" w:rsidRPr="0040019D" w:rsidRDefault="00CE4375" w:rsidP="000549BA">
            <w:r w:rsidRPr="0040019D">
              <w:t>7.10</w:t>
            </w:r>
          </w:p>
        </w:tc>
        <w:tc>
          <w:tcPr>
            <w:tcW w:w="7680" w:type="dxa"/>
          </w:tcPr>
          <w:p w14:paraId="1C924BD7" w14:textId="77777777" w:rsidR="00F214C8" w:rsidRPr="00D955AB" w:rsidRDefault="00CE4375" w:rsidP="00F214C8">
            <w:pPr>
              <w:tabs>
                <w:tab w:val="num" w:pos="1080"/>
              </w:tabs>
            </w:pPr>
            <w:r w:rsidRPr="00D955AB">
              <w:t>Current/Anticipated Enrollment</w:t>
            </w:r>
          </w:p>
        </w:tc>
      </w:tr>
    </w:tbl>
    <w:p w14:paraId="0AC3459B" w14:textId="77777777" w:rsidR="00F214C8" w:rsidRPr="00912B52" w:rsidRDefault="00F214C8" w:rsidP="00F214C8"/>
    <w:p w14:paraId="00520502" w14:textId="77777777" w:rsidR="00D732FE" w:rsidRPr="00912B52" w:rsidRDefault="00D732FE" w:rsidP="00F214C8"/>
    <w:p w14:paraId="6596CBF5" w14:textId="77777777" w:rsidR="00B25F55" w:rsidRDefault="00B25F55">
      <w:pPr>
        <w:rPr>
          <w:b/>
          <w:bCs/>
          <w:u w:val="single"/>
        </w:rPr>
      </w:pPr>
      <w:r>
        <w:rPr>
          <w:u w:val="single"/>
        </w:rPr>
        <w:br w:type="page"/>
      </w:r>
    </w:p>
    <w:p w14:paraId="651B529D" w14:textId="77777777" w:rsidR="00D732FE" w:rsidRPr="00912B52" w:rsidRDefault="00D732FE" w:rsidP="00780996">
      <w:pPr>
        <w:pStyle w:val="Style1"/>
        <w:numPr>
          <w:ilvl w:val="0"/>
          <w:numId w:val="0"/>
        </w:numPr>
        <w:rPr>
          <w:u w:val="single"/>
        </w:rPr>
      </w:pPr>
      <w:r w:rsidRPr="00912B52">
        <w:rPr>
          <w:u w:val="single"/>
        </w:rPr>
        <w:lastRenderedPageBreak/>
        <w:t>Notes</w:t>
      </w:r>
    </w:p>
    <w:p w14:paraId="643D4CBD" w14:textId="77777777" w:rsidR="005C5D43" w:rsidRPr="00912B52" w:rsidRDefault="005C5D43" w:rsidP="00EE1B9C">
      <w:pPr>
        <w:pStyle w:val="Default"/>
        <w:rPr>
          <w:rFonts w:ascii="Times New Roman" w:hAnsi="Times New Roman" w:cs="Times New Roman"/>
          <w:color w:val="auto"/>
          <w:u w:val="single"/>
        </w:rPr>
      </w:pPr>
    </w:p>
    <w:p w14:paraId="10F598AE" w14:textId="77777777" w:rsidR="00C134D2" w:rsidRPr="000371A0" w:rsidRDefault="00F214C8" w:rsidP="00570AA9">
      <w:pPr>
        <w:pStyle w:val="ListParagraph"/>
        <w:numPr>
          <w:ilvl w:val="0"/>
          <w:numId w:val="36"/>
        </w:numPr>
      </w:pPr>
      <w:r w:rsidRPr="00570AA9">
        <w:rPr>
          <w:rFonts w:ascii="Times New Roman" w:hAnsi="Times New Roman"/>
          <w:sz w:val="24"/>
          <w:szCs w:val="24"/>
        </w:rPr>
        <w:t>All employer groups who have an arrangement in place with the Part C Organization for any portion of the reporting period should be included in the file upload, regardless of enrollment</w:t>
      </w:r>
      <w:r w:rsidR="005C4F7E" w:rsidRPr="00570AA9">
        <w:rPr>
          <w:rFonts w:ascii="Times New Roman" w:hAnsi="Times New Roman"/>
          <w:sz w:val="24"/>
          <w:szCs w:val="24"/>
        </w:rPr>
        <w:t xml:space="preserve">.  </w:t>
      </w:r>
      <w:r w:rsidR="009A5E57" w:rsidRPr="00570AA9">
        <w:rPr>
          <w:rFonts w:ascii="Times New Roman" w:hAnsi="Times New Roman"/>
          <w:sz w:val="24"/>
          <w:szCs w:val="24"/>
        </w:rPr>
        <w:t xml:space="preserve">In </w:t>
      </w:r>
      <w:r w:rsidR="00D30051" w:rsidRPr="00570AA9">
        <w:rPr>
          <w:rFonts w:ascii="Times New Roman" w:hAnsi="Times New Roman"/>
          <w:sz w:val="24"/>
          <w:szCs w:val="24"/>
        </w:rPr>
        <w:t>this case, p</w:t>
      </w:r>
      <w:r w:rsidR="009A5E57" w:rsidRPr="00570AA9">
        <w:rPr>
          <w:rFonts w:ascii="Times New Roman" w:hAnsi="Times New Roman"/>
          <w:sz w:val="24"/>
          <w:szCs w:val="24"/>
        </w:rPr>
        <w:t xml:space="preserve">lans </w:t>
      </w:r>
      <w:r w:rsidR="009A5E57" w:rsidRPr="00570AA9">
        <w:rPr>
          <w:rFonts w:ascii="Times New Roman" w:hAnsi="Times New Roman"/>
          <w:b/>
          <w:bCs/>
          <w:sz w:val="24"/>
          <w:szCs w:val="24"/>
        </w:rPr>
        <w:t>should use</w:t>
      </w:r>
      <w:r w:rsidR="009A5E57" w:rsidRPr="00570AA9">
        <w:rPr>
          <w:rFonts w:ascii="Times New Roman" w:hAnsi="Times New Roman"/>
          <w:sz w:val="24"/>
          <w:szCs w:val="24"/>
        </w:rPr>
        <w:t xml:space="preserve"> the date they have an arrangement in place with the employer group to identify the reporting year</w:t>
      </w:r>
      <w:r w:rsidR="005C4F7E" w:rsidRPr="00570AA9">
        <w:rPr>
          <w:rFonts w:ascii="Times New Roman" w:hAnsi="Times New Roman"/>
          <w:sz w:val="24"/>
          <w:szCs w:val="24"/>
        </w:rPr>
        <w:t xml:space="preserve">.  </w:t>
      </w:r>
    </w:p>
    <w:p w14:paraId="441D9291" w14:textId="77777777" w:rsidR="00C134D2" w:rsidRPr="00D5478B" w:rsidRDefault="00C134D2" w:rsidP="00F214C8"/>
    <w:p w14:paraId="1EB5EA98" w14:textId="38EF019C" w:rsidR="00F214C8" w:rsidRPr="000371A0" w:rsidRDefault="00F214C8" w:rsidP="00570AA9">
      <w:pPr>
        <w:pStyle w:val="ListParagraph"/>
        <w:numPr>
          <w:ilvl w:val="0"/>
          <w:numId w:val="35"/>
        </w:numPr>
      </w:pPr>
      <w:r w:rsidRPr="00570AA9">
        <w:rPr>
          <w:rFonts w:ascii="Times New Roman" w:hAnsi="Times New Roman"/>
          <w:sz w:val="24"/>
          <w:szCs w:val="24"/>
        </w:rPr>
        <w:t>For employer groups maintaining multiple addresses with your organization, please report the address from which the employer manages the human resources/health benefits.</w:t>
      </w:r>
    </w:p>
    <w:p w14:paraId="43F58D54" w14:textId="77777777" w:rsidR="00F214C8" w:rsidRPr="00D5478B" w:rsidRDefault="00F214C8" w:rsidP="00F214C8"/>
    <w:p w14:paraId="3E3BADA0" w14:textId="77777777" w:rsidR="00F214C8" w:rsidRPr="000371A0" w:rsidRDefault="00F214C8" w:rsidP="00570AA9">
      <w:pPr>
        <w:pStyle w:val="ListParagraph"/>
        <w:numPr>
          <w:ilvl w:val="0"/>
          <w:numId w:val="35"/>
        </w:numPr>
      </w:pPr>
      <w:r w:rsidRPr="00570AA9">
        <w:rPr>
          <w:rFonts w:ascii="Times New Roman" w:hAnsi="Times New Roman"/>
          <w:sz w:val="24"/>
          <w:szCs w:val="24"/>
        </w:rPr>
        <w:t>Federal Tax ID is a required field in the file upload.  Organizations should work with their employer groups to collect this information directly.  Alternatively, there are several commercially available lookup services that may be used to locate this number.</w:t>
      </w:r>
    </w:p>
    <w:p w14:paraId="1280B25D" w14:textId="77777777" w:rsidR="004E199E" w:rsidRPr="00D5478B" w:rsidRDefault="004E199E" w:rsidP="00F214C8"/>
    <w:p w14:paraId="6E474817" w14:textId="531BE023" w:rsidR="004E199E" w:rsidRPr="000371A0" w:rsidRDefault="00094697" w:rsidP="00570AA9">
      <w:pPr>
        <w:pStyle w:val="ListParagraph"/>
        <w:numPr>
          <w:ilvl w:val="0"/>
          <w:numId w:val="35"/>
        </w:numPr>
      </w:pPr>
      <w:r w:rsidRPr="00570AA9">
        <w:rPr>
          <w:rFonts w:ascii="Times New Roman" w:hAnsi="Times New Roman"/>
          <w:sz w:val="24"/>
          <w:szCs w:val="24"/>
        </w:rPr>
        <w:t xml:space="preserve">Data </w:t>
      </w:r>
      <w:r w:rsidR="004E199E" w:rsidRPr="00570AA9">
        <w:rPr>
          <w:rFonts w:ascii="Times New Roman" w:hAnsi="Times New Roman"/>
          <w:sz w:val="24"/>
          <w:szCs w:val="24"/>
        </w:rPr>
        <w:t>Element 7.7</w:t>
      </w:r>
      <w:r w:rsidR="00C134D2" w:rsidRPr="00570AA9">
        <w:rPr>
          <w:rFonts w:ascii="Times New Roman" w:hAnsi="Times New Roman"/>
          <w:sz w:val="24"/>
          <w:szCs w:val="24"/>
        </w:rPr>
        <w:t>: Type of contract (insured, ASO, other</w:t>
      </w:r>
      <w:r w:rsidR="00187FAF" w:rsidRPr="00570AA9">
        <w:rPr>
          <w:rFonts w:ascii="Times New Roman" w:hAnsi="Times New Roman"/>
          <w:sz w:val="24"/>
          <w:szCs w:val="24"/>
        </w:rPr>
        <w:t>) refers</w:t>
      </w:r>
      <w:r w:rsidR="004E199E" w:rsidRPr="00570AA9">
        <w:rPr>
          <w:rFonts w:ascii="Times New Roman" w:hAnsi="Times New Roman"/>
          <w:sz w:val="24"/>
          <w:szCs w:val="24"/>
        </w:rPr>
        <w:t xml:space="preserve"> to the type of contract </w:t>
      </w:r>
      <w:r w:rsidR="007C6A50" w:rsidRPr="00570AA9">
        <w:rPr>
          <w:rFonts w:ascii="Times New Roman" w:hAnsi="Times New Roman"/>
          <w:sz w:val="24"/>
          <w:szCs w:val="24"/>
        </w:rPr>
        <w:t>the</w:t>
      </w:r>
      <w:r w:rsidR="004E199E" w:rsidRPr="00570AA9">
        <w:rPr>
          <w:rFonts w:ascii="Times New Roman" w:hAnsi="Times New Roman"/>
          <w:sz w:val="24"/>
          <w:szCs w:val="24"/>
        </w:rPr>
        <w:t xml:space="preserve"> organization holds with the employer group that binds you to offer benefits to their retirees.</w:t>
      </w:r>
    </w:p>
    <w:p w14:paraId="3FA57DEF" w14:textId="77777777" w:rsidR="006A790E" w:rsidRPr="00D5478B" w:rsidRDefault="006A790E" w:rsidP="00F214C8"/>
    <w:p w14:paraId="4ADD2319" w14:textId="71422DF1" w:rsidR="004E199E" w:rsidRPr="000371A0" w:rsidRDefault="00CE4375" w:rsidP="00570AA9">
      <w:pPr>
        <w:pStyle w:val="ListParagraph"/>
        <w:numPr>
          <w:ilvl w:val="0"/>
          <w:numId w:val="35"/>
        </w:numPr>
      </w:pPr>
      <w:r w:rsidRPr="00570AA9">
        <w:rPr>
          <w:rFonts w:ascii="Times New Roman" w:hAnsi="Times New Roman"/>
          <w:sz w:val="24"/>
          <w:szCs w:val="24"/>
        </w:rPr>
        <w:t>For Data Element 7.10</w:t>
      </w:r>
      <w:r w:rsidR="00C134D2" w:rsidRPr="00570AA9">
        <w:rPr>
          <w:rFonts w:ascii="Times New Roman" w:hAnsi="Times New Roman"/>
          <w:sz w:val="24"/>
          <w:szCs w:val="24"/>
        </w:rPr>
        <w:t>: Current/Anticipated Enrollment</w:t>
      </w:r>
      <w:r w:rsidR="004E199E" w:rsidRPr="00570AA9">
        <w:rPr>
          <w:rFonts w:ascii="Times New Roman" w:hAnsi="Times New Roman"/>
          <w:sz w:val="24"/>
          <w:szCs w:val="24"/>
        </w:rPr>
        <w:t xml:space="preserve"> the enrollment to be reported should be as of the last day of the reporting period and should include all enrollments from the particular employer group into the specific </w:t>
      </w:r>
      <w:r w:rsidR="005764D8" w:rsidRPr="00570AA9">
        <w:rPr>
          <w:rFonts w:ascii="Times New Roman" w:hAnsi="Times New Roman"/>
          <w:sz w:val="24"/>
          <w:szCs w:val="24"/>
        </w:rPr>
        <w:t>plan benefit package (</w:t>
      </w:r>
      <w:r w:rsidR="004E199E" w:rsidRPr="00570AA9">
        <w:rPr>
          <w:rFonts w:ascii="Times New Roman" w:hAnsi="Times New Roman"/>
          <w:sz w:val="24"/>
          <w:szCs w:val="24"/>
        </w:rPr>
        <w:t>PBP</w:t>
      </w:r>
      <w:r w:rsidR="005764D8" w:rsidRPr="00570AA9">
        <w:rPr>
          <w:rFonts w:ascii="Times New Roman" w:hAnsi="Times New Roman"/>
          <w:sz w:val="24"/>
          <w:szCs w:val="24"/>
        </w:rPr>
        <w:t>)</w:t>
      </w:r>
      <w:r w:rsidR="004E199E" w:rsidRPr="00570AA9">
        <w:rPr>
          <w:rFonts w:ascii="Times New Roman" w:hAnsi="Times New Roman"/>
          <w:sz w:val="24"/>
          <w:szCs w:val="24"/>
        </w:rPr>
        <w:t xml:space="preserve"> noted.  (If an employer group canceled mid-way through the reporting period, they would still appear on the listing but would show zero enrollments.)</w:t>
      </w:r>
    </w:p>
    <w:p w14:paraId="209857CA" w14:textId="77777777" w:rsidR="00265664" w:rsidRPr="00D5478B" w:rsidRDefault="00265664" w:rsidP="00F214C8"/>
    <w:p w14:paraId="0F6CB4D5" w14:textId="77777777" w:rsidR="00265664" w:rsidRPr="000371A0" w:rsidRDefault="00265664" w:rsidP="00570AA9">
      <w:pPr>
        <w:pStyle w:val="ListParagraph"/>
        <w:numPr>
          <w:ilvl w:val="0"/>
          <w:numId w:val="35"/>
        </w:numPr>
      </w:pPr>
      <w:r w:rsidRPr="00570AA9">
        <w:rPr>
          <w:rFonts w:ascii="Times New Roman" w:hAnsi="Times New Roman"/>
          <w:sz w:val="24"/>
          <w:szCs w:val="24"/>
        </w:rPr>
        <w:t xml:space="preserve">The employer organization type is based on </w:t>
      </w:r>
      <w:r w:rsidRPr="00570AA9">
        <w:rPr>
          <w:rFonts w:ascii="Times New Roman" w:hAnsi="Times New Roman"/>
          <w:i/>
          <w:sz w:val="24"/>
          <w:szCs w:val="24"/>
        </w:rPr>
        <w:t>how</w:t>
      </w:r>
      <w:r w:rsidRPr="00570AA9">
        <w:rPr>
          <w:rFonts w:ascii="Times New Roman" w:hAnsi="Times New Roman"/>
          <w:sz w:val="24"/>
          <w:szCs w:val="24"/>
        </w:rPr>
        <w:t xml:space="preserve"> plan sponsor</w:t>
      </w:r>
      <w:r w:rsidR="001678B2" w:rsidRPr="00570AA9">
        <w:rPr>
          <w:rFonts w:ascii="Times New Roman" w:hAnsi="Times New Roman"/>
          <w:sz w:val="24"/>
          <w:szCs w:val="24"/>
        </w:rPr>
        <w:t>s</w:t>
      </w:r>
      <w:r w:rsidRPr="00570AA9">
        <w:rPr>
          <w:rFonts w:ascii="Times New Roman" w:hAnsi="Times New Roman"/>
          <w:sz w:val="24"/>
          <w:szCs w:val="24"/>
        </w:rPr>
        <w:t xml:space="preserve"> file their taxes.</w:t>
      </w:r>
    </w:p>
    <w:p w14:paraId="5861F7B0" w14:textId="77777777" w:rsidR="00265664" w:rsidRPr="00912B52" w:rsidRDefault="00265664" w:rsidP="00265664"/>
    <w:p w14:paraId="41681080" w14:textId="21190050" w:rsidR="0091132C" w:rsidRPr="00912B52" w:rsidRDefault="000B00B7" w:rsidP="000B00B7">
      <w:pPr>
        <w:rPr>
          <w:rFonts w:cs="Arial"/>
        </w:rPr>
      </w:pPr>
      <w:r w:rsidRPr="00912B52">
        <w:rPr>
          <w:rFonts w:cs="Arial"/>
        </w:rPr>
        <w:t xml:space="preserve">For organizations that provide coverage to private market employer groups and which are subject to Mandatory Insurer Reporting (MIR) of Medicare Secondary Payer data, CMS permits these organizations to use the employer address and tax ID information submitted via the MIR to also satisfy CMS’ Part C </w:t>
      </w:r>
      <w:r w:rsidR="002E3CBF">
        <w:rPr>
          <w:rFonts w:cs="Arial"/>
        </w:rPr>
        <w:t>R</w:t>
      </w:r>
      <w:r w:rsidRPr="00912B52">
        <w:rPr>
          <w:rFonts w:cs="Arial"/>
        </w:rPr>
        <w:t xml:space="preserve">eporting and </w:t>
      </w:r>
      <w:r w:rsidR="002E3CBF">
        <w:rPr>
          <w:rFonts w:cs="Arial"/>
        </w:rPr>
        <w:t>V</w:t>
      </w:r>
      <w:r w:rsidRPr="00912B52">
        <w:rPr>
          <w:rFonts w:cs="Arial"/>
        </w:rPr>
        <w:t xml:space="preserve">alidation </w:t>
      </w:r>
      <w:r w:rsidR="002E3CBF">
        <w:rPr>
          <w:rFonts w:cs="Arial"/>
        </w:rPr>
        <w:t>R</w:t>
      </w:r>
      <w:r w:rsidRPr="00912B52">
        <w:rPr>
          <w:rFonts w:cs="Arial"/>
        </w:rPr>
        <w:t>equirements</w:t>
      </w:r>
      <w:r w:rsidR="005C4F7E" w:rsidRPr="00912B52">
        <w:rPr>
          <w:rFonts w:cs="Arial"/>
        </w:rPr>
        <w:t xml:space="preserve">.  </w:t>
      </w:r>
      <w:r w:rsidR="00C134D2">
        <w:rPr>
          <w:rFonts w:cs="Arial"/>
        </w:rPr>
        <w:t>This does not imply, h</w:t>
      </w:r>
      <w:r w:rsidRPr="00912B52">
        <w:rPr>
          <w:rFonts w:cs="Arial"/>
        </w:rPr>
        <w:t>owever, that if the organization has already submitted this information to CMS for some other purpose, they do not have to resubmit it to us again for the purposes of the Part C reporting requirements.</w:t>
      </w:r>
    </w:p>
    <w:p w14:paraId="3DBFF10C" w14:textId="79CEB6D4" w:rsidR="00F214C8" w:rsidRPr="00DF5B1A" w:rsidRDefault="00F214C8" w:rsidP="00F214C8">
      <w:pPr>
        <w:rPr>
          <w:color w:val="FF0000"/>
        </w:rPr>
      </w:pPr>
      <w:r w:rsidRPr="00912B52">
        <w:br w:type="page"/>
      </w:r>
      <w:bookmarkStart w:id="39" w:name="_Toc373236801"/>
      <w:bookmarkStart w:id="40" w:name="_Toc436825818"/>
      <w:bookmarkStart w:id="41" w:name="_GoBack"/>
      <w:r w:rsidRPr="00DF5B1A">
        <w:rPr>
          <w:b/>
          <w:caps/>
          <w:color w:val="FF0000"/>
        </w:rPr>
        <w:lastRenderedPageBreak/>
        <w:t>8.</w:t>
      </w:r>
      <w:r w:rsidRPr="00DF5B1A">
        <w:rPr>
          <w:caps/>
          <w:color w:val="FF0000"/>
        </w:rPr>
        <w:t xml:space="preserve"> </w:t>
      </w:r>
      <w:r w:rsidR="00E91D8F" w:rsidRPr="00DF5B1A">
        <w:rPr>
          <w:bCs/>
          <w:caps/>
          <w:color w:val="FF0000"/>
          <w:u w:val="single"/>
        </w:rPr>
        <w:t xml:space="preserve">PRIVATE </w:t>
      </w:r>
      <w:r w:rsidR="005764D8" w:rsidRPr="00DF5B1A">
        <w:rPr>
          <w:bCs/>
          <w:caps/>
          <w:color w:val="FF0000"/>
          <w:u w:val="single"/>
        </w:rPr>
        <w:t>Fee-For-Service (PFFS)</w:t>
      </w:r>
      <w:r w:rsidRPr="00DF5B1A">
        <w:rPr>
          <w:bCs/>
          <w:caps/>
          <w:color w:val="FF0000"/>
          <w:u w:val="single"/>
        </w:rPr>
        <w:t xml:space="preserve"> Plan Enrollment Verification Calls</w:t>
      </w:r>
      <w:r w:rsidR="008D1EE8" w:rsidRPr="00DF5B1A">
        <w:rPr>
          <w:bCs/>
          <w:caps/>
          <w:color w:val="FF0000"/>
          <w:u w:val="single"/>
        </w:rPr>
        <w:t xml:space="preserve"> - </w:t>
      </w:r>
      <w:r w:rsidR="00F5128A" w:rsidRPr="00DF5B1A">
        <w:rPr>
          <w:bCs/>
          <w:caps/>
          <w:color w:val="FF0000"/>
          <w:u w:val="single"/>
        </w:rPr>
        <w:t>Suspended</w:t>
      </w:r>
      <w:r w:rsidR="00F5128A" w:rsidRPr="00DF5B1A">
        <w:rPr>
          <w:caps/>
          <w:color w:val="FF0000"/>
        </w:rPr>
        <w:t xml:space="preserve"> </w:t>
      </w:r>
      <w:bookmarkEnd w:id="39"/>
      <w:bookmarkEnd w:id="40"/>
      <w:r w:rsidRPr="00DF5B1A">
        <w:rPr>
          <w:color w:val="FF0000"/>
        </w:rPr>
        <w:t xml:space="preserve"> </w:t>
      </w:r>
    </w:p>
    <w:bookmarkEnd w:id="41"/>
    <w:p w14:paraId="39FD328F" w14:textId="77777777" w:rsidR="00F214C8" w:rsidRPr="00912B52" w:rsidRDefault="00F214C8" w:rsidP="00F214C8"/>
    <w:p w14:paraId="49B035E9" w14:textId="3C087AA9" w:rsidR="00E766D0" w:rsidRPr="00A451BC" w:rsidRDefault="00F214C8" w:rsidP="00570AA9">
      <w:pPr>
        <w:rPr>
          <w:b/>
        </w:rPr>
      </w:pPr>
      <w:bookmarkStart w:id="42" w:name="_Toc373236802"/>
      <w:bookmarkStart w:id="43" w:name="_Toc436825819"/>
      <w:r w:rsidRPr="00A451BC">
        <w:rPr>
          <w:b/>
          <w:caps/>
        </w:rPr>
        <w:t>9.</w:t>
      </w:r>
      <w:r w:rsidRPr="00C36585">
        <w:rPr>
          <w:caps/>
        </w:rPr>
        <w:t xml:space="preserve"> </w:t>
      </w:r>
      <w:r w:rsidRPr="00A451BC">
        <w:rPr>
          <w:b/>
          <w:caps/>
        </w:rPr>
        <w:t>PFFS Provider Payment Dispute Resolution Process</w:t>
      </w:r>
      <w:r w:rsidR="00E766D0" w:rsidRPr="00A451BC">
        <w:rPr>
          <w:b/>
          <w:caps/>
        </w:rPr>
        <w:t>; monitoring purposes only</w:t>
      </w:r>
      <w:bookmarkEnd w:id="42"/>
      <w:bookmarkEnd w:id="43"/>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080"/>
        <w:gridCol w:w="1080"/>
        <w:gridCol w:w="2280"/>
      </w:tblGrid>
      <w:tr w:rsidR="00F214C8" w:rsidRPr="00912B52" w14:paraId="000983AA" w14:textId="77777777" w:rsidTr="00A451BC">
        <w:tc>
          <w:tcPr>
            <w:tcW w:w="1908" w:type="dxa"/>
            <w:shd w:val="clear" w:color="auto" w:fill="D9D9D9" w:themeFill="background1" w:themeFillShade="D9"/>
          </w:tcPr>
          <w:p w14:paraId="4000A173" w14:textId="77777777" w:rsidR="00F214C8" w:rsidRPr="00912B52" w:rsidRDefault="00AA4C79"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520" w:type="dxa"/>
            <w:shd w:val="clear" w:color="auto" w:fill="D9D9D9" w:themeFill="background1" w:themeFillShade="D9"/>
          </w:tcPr>
          <w:p w14:paraId="733E7CA9"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p>
        </w:tc>
        <w:tc>
          <w:tcPr>
            <w:tcW w:w="1080" w:type="dxa"/>
            <w:shd w:val="clear" w:color="auto" w:fill="D9D9D9" w:themeFill="background1" w:themeFillShade="D9"/>
          </w:tcPr>
          <w:p w14:paraId="3F414EF7"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14:paraId="477F1F0A"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080" w:type="dxa"/>
            <w:shd w:val="clear" w:color="auto" w:fill="D9D9D9" w:themeFill="background1" w:themeFillShade="D9"/>
          </w:tcPr>
          <w:p w14:paraId="72D69D25"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14:paraId="2E577E77"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2280" w:type="dxa"/>
            <w:shd w:val="clear" w:color="auto" w:fill="D9D9D9" w:themeFill="background1" w:themeFillShade="D9"/>
          </w:tcPr>
          <w:p w14:paraId="6D9B75F7"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F214C8" w:rsidRPr="00912B52" w14:paraId="24C5E9C9" w14:textId="77777777">
        <w:tc>
          <w:tcPr>
            <w:tcW w:w="1908" w:type="dxa"/>
          </w:tcPr>
          <w:p w14:paraId="080CB8D9"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9. PFFS Provider Payment Dispute Resolution Process</w:t>
            </w:r>
          </w:p>
        </w:tc>
        <w:tc>
          <w:tcPr>
            <w:tcW w:w="2520" w:type="dxa"/>
          </w:tcPr>
          <w:p w14:paraId="6B1C1720" w14:textId="77777777" w:rsidR="00F214C8" w:rsidRPr="00912B52" w:rsidRDefault="00F214C8" w:rsidP="00F214C8">
            <w:pPr>
              <w:widowControl w:val="0"/>
              <w:autoSpaceDE w:val="0"/>
              <w:autoSpaceDN w:val="0"/>
              <w:adjustRightInd w:val="0"/>
            </w:pPr>
            <w:r w:rsidRPr="00912B52">
              <w:t>03 – RFB PFFS</w:t>
            </w:r>
          </w:p>
          <w:p w14:paraId="2FB01A42" w14:textId="77777777" w:rsidR="00F214C8" w:rsidRPr="00912B52" w:rsidRDefault="00F214C8" w:rsidP="00F214C8">
            <w:pPr>
              <w:widowControl w:val="0"/>
              <w:autoSpaceDE w:val="0"/>
              <w:autoSpaceDN w:val="0"/>
              <w:adjustRightInd w:val="0"/>
            </w:pPr>
            <w:r w:rsidRPr="00912B52">
              <w:t xml:space="preserve">04 </w:t>
            </w:r>
            <w:r w:rsidR="00B9139A" w:rsidRPr="00B9139A">
              <w:t>–</w:t>
            </w:r>
            <w:r w:rsidRPr="00912B52">
              <w:t xml:space="preserve"> PFFS</w:t>
            </w:r>
          </w:p>
          <w:p w14:paraId="11EC3284" w14:textId="77777777" w:rsidR="00F214C8" w:rsidRPr="00912B52" w:rsidRDefault="00F214C8" w:rsidP="00F214C8">
            <w:pPr>
              <w:widowControl w:val="0"/>
              <w:autoSpaceDE w:val="0"/>
              <w:autoSpaceDN w:val="0"/>
              <w:adjustRightInd w:val="0"/>
            </w:pPr>
            <w:r w:rsidRPr="00912B52">
              <w:t>14 – ED-PFFS</w:t>
            </w:r>
          </w:p>
          <w:p w14:paraId="2D5AB1F1"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c>
          <w:tcPr>
            <w:tcW w:w="1080" w:type="dxa"/>
            <w:shd w:val="clear" w:color="auto" w:fill="auto"/>
          </w:tcPr>
          <w:p w14:paraId="0B69490A"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1/year</w:t>
            </w:r>
          </w:p>
          <w:p w14:paraId="6123B9FB"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PBP</w:t>
            </w:r>
          </w:p>
        </w:tc>
        <w:tc>
          <w:tcPr>
            <w:tcW w:w="1080" w:type="dxa"/>
            <w:shd w:val="clear" w:color="auto" w:fill="auto"/>
          </w:tcPr>
          <w:p w14:paraId="32A2B89D"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1/1-12/31</w:t>
            </w:r>
          </w:p>
        </w:tc>
        <w:tc>
          <w:tcPr>
            <w:tcW w:w="2280" w:type="dxa"/>
          </w:tcPr>
          <w:p w14:paraId="27911E20" w14:textId="77777777" w:rsidR="00F214C8" w:rsidRPr="00570AA9" w:rsidRDefault="00D614D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570AA9">
              <w:rPr>
                <w:szCs w:val="22"/>
              </w:rPr>
              <w:t>Last Monday of February in following year</w:t>
            </w:r>
          </w:p>
          <w:p w14:paraId="053D8938" w14:textId="77777777" w:rsidR="00F214C8" w:rsidRPr="00912B52" w:rsidRDefault="00F214C8" w:rsidP="00F214C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r>
    </w:tbl>
    <w:p w14:paraId="57A67F96" w14:textId="77777777" w:rsidR="00886B8B" w:rsidRDefault="00886B8B" w:rsidP="00E07BE3">
      <w:pPr>
        <w:pStyle w:val="Style1"/>
        <w:numPr>
          <w:ilvl w:val="0"/>
          <w:numId w:val="0"/>
        </w:numPr>
      </w:pPr>
    </w:p>
    <w:p w14:paraId="297986D8" w14:textId="77777777" w:rsidR="00E07BE3" w:rsidRPr="00912B52" w:rsidRDefault="00E07BE3" w:rsidP="00E07BE3">
      <w:pPr>
        <w:pStyle w:val="Style1"/>
        <w:numPr>
          <w:ilvl w:val="0"/>
          <w:numId w:val="0"/>
        </w:numPr>
      </w:pPr>
      <w:r>
        <w:t>D</w:t>
      </w:r>
      <w:r w:rsidRPr="00912B52">
        <w:t>ata elements reported</w:t>
      </w:r>
      <w:r>
        <w:t xml:space="preserve"> </w:t>
      </w:r>
      <w:r w:rsidRPr="00912B52">
        <w:t xml:space="preserve">under this </w:t>
      </w:r>
      <w:r w:rsidR="00AA4C79">
        <w:t>reporting section</w:t>
      </w:r>
      <w:r w:rsidRPr="00912B52">
        <w:t xml:space="preserve"> are:</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680"/>
      </w:tblGrid>
      <w:tr w:rsidR="00F214C8" w:rsidRPr="00912B52" w14:paraId="0C8AD23D" w14:textId="77777777">
        <w:tc>
          <w:tcPr>
            <w:tcW w:w="1548" w:type="dxa"/>
            <w:shd w:val="clear" w:color="auto" w:fill="CCCCCC"/>
          </w:tcPr>
          <w:p w14:paraId="3636CEC8" w14:textId="77777777" w:rsidR="00F214C8" w:rsidRPr="00912B52" w:rsidRDefault="00F214C8" w:rsidP="00F214C8">
            <w:pPr>
              <w:jc w:val="center"/>
              <w:rPr>
                <w:b/>
                <w:bCs/>
              </w:rPr>
            </w:pPr>
            <w:r w:rsidRPr="00912B52">
              <w:rPr>
                <w:b/>
                <w:bCs/>
              </w:rPr>
              <w:t>Element Number</w:t>
            </w:r>
          </w:p>
        </w:tc>
        <w:tc>
          <w:tcPr>
            <w:tcW w:w="7680" w:type="dxa"/>
            <w:shd w:val="clear" w:color="auto" w:fill="CCCCCC"/>
          </w:tcPr>
          <w:p w14:paraId="6FA79EFA" w14:textId="77777777" w:rsidR="00F214C8" w:rsidRPr="00912B52" w:rsidRDefault="00F214C8" w:rsidP="00F214C8">
            <w:pPr>
              <w:jc w:val="center"/>
              <w:rPr>
                <w:b/>
                <w:bCs/>
              </w:rPr>
            </w:pPr>
            <w:r w:rsidRPr="00912B52">
              <w:rPr>
                <w:b/>
                <w:bCs/>
              </w:rPr>
              <w:t xml:space="preserve">Data Elements for </w:t>
            </w:r>
            <w:r w:rsidRPr="00912B52">
              <w:rPr>
                <w:b/>
              </w:rPr>
              <w:t>PFFS Provider Payment Dispute Resolution Process</w:t>
            </w:r>
          </w:p>
        </w:tc>
      </w:tr>
      <w:tr w:rsidR="00F214C8" w:rsidRPr="00912B52" w14:paraId="18DB896A" w14:textId="77777777">
        <w:tc>
          <w:tcPr>
            <w:tcW w:w="1548" w:type="dxa"/>
          </w:tcPr>
          <w:p w14:paraId="44B0138D" w14:textId="77777777" w:rsidR="00F214C8" w:rsidRPr="00912B52" w:rsidRDefault="00F214C8" w:rsidP="00F214C8">
            <w:pPr>
              <w:autoSpaceDE w:val="0"/>
              <w:autoSpaceDN w:val="0"/>
              <w:adjustRightInd w:val="0"/>
            </w:pPr>
            <w:r w:rsidRPr="00912B52">
              <w:t>9.1</w:t>
            </w:r>
          </w:p>
        </w:tc>
        <w:tc>
          <w:tcPr>
            <w:tcW w:w="7680" w:type="dxa"/>
          </w:tcPr>
          <w:p w14:paraId="31EAD433" w14:textId="77777777" w:rsidR="00F214C8" w:rsidRPr="00912B52" w:rsidRDefault="00F214C8" w:rsidP="00F214C8">
            <w:pPr>
              <w:rPr>
                <w:rFonts w:cs="Arial"/>
              </w:rPr>
            </w:pPr>
            <w:r w:rsidRPr="00912B52">
              <w:rPr>
                <w:rFonts w:cs="Arial"/>
              </w:rPr>
              <w:t>Number of provider payment denials overturned in favor of provider upon appeal</w:t>
            </w:r>
          </w:p>
        </w:tc>
      </w:tr>
      <w:tr w:rsidR="00F214C8" w:rsidRPr="00912B52" w14:paraId="61CFAA7F" w14:textId="77777777">
        <w:tc>
          <w:tcPr>
            <w:tcW w:w="1548" w:type="dxa"/>
          </w:tcPr>
          <w:p w14:paraId="393355AA" w14:textId="77777777" w:rsidR="00F214C8" w:rsidRPr="00912B52" w:rsidRDefault="00F214C8" w:rsidP="00F214C8">
            <w:pPr>
              <w:autoSpaceDE w:val="0"/>
              <w:autoSpaceDN w:val="0"/>
              <w:adjustRightInd w:val="0"/>
            </w:pPr>
            <w:r w:rsidRPr="00912B52">
              <w:t>9.2</w:t>
            </w:r>
          </w:p>
        </w:tc>
        <w:tc>
          <w:tcPr>
            <w:tcW w:w="7680" w:type="dxa"/>
          </w:tcPr>
          <w:p w14:paraId="016A3068" w14:textId="77777777" w:rsidR="00F214C8" w:rsidRPr="00912B52" w:rsidRDefault="00F214C8" w:rsidP="00F214C8">
            <w:pPr>
              <w:rPr>
                <w:rFonts w:cs="Arial"/>
              </w:rPr>
            </w:pPr>
            <w:r w:rsidRPr="00912B52">
              <w:rPr>
                <w:rFonts w:cs="Arial"/>
              </w:rPr>
              <w:t>Number of provider payment appeals</w:t>
            </w:r>
          </w:p>
        </w:tc>
      </w:tr>
      <w:tr w:rsidR="00F214C8" w:rsidRPr="00912B52" w14:paraId="495B7E3B" w14:textId="77777777">
        <w:tc>
          <w:tcPr>
            <w:tcW w:w="1548" w:type="dxa"/>
          </w:tcPr>
          <w:p w14:paraId="76CCA420" w14:textId="77777777" w:rsidR="00F214C8" w:rsidRPr="00912B52" w:rsidRDefault="00F214C8" w:rsidP="00F214C8">
            <w:pPr>
              <w:autoSpaceDE w:val="0"/>
              <w:autoSpaceDN w:val="0"/>
              <w:adjustRightInd w:val="0"/>
            </w:pPr>
            <w:r w:rsidRPr="00912B52">
              <w:t>9.3</w:t>
            </w:r>
          </w:p>
        </w:tc>
        <w:tc>
          <w:tcPr>
            <w:tcW w:w="7680" w:type="dxa"/>
          </w:tcPr>
          <w:p w14:paraId="23C14AB3" w14:textId="77777777" w:rsidR="00F214C8" w:rsidRPr="00912B52" w:rsidRDefault="00F214C8" w:rsidP="00F214C8">
            <w:pPr>
              <w:rPr>
                <w:rFonts w:cs="Arial"/>
              </w:rPr>
            </w:pPr>
            <w:r w:rsidRPr="00912B52">
              <w:rPr>
                <w:rFonts w:cs="Arial"/>
              </w:rPr>
              <w:t xml:space="preserve">Number of provider payment appeals resolved in greater than 60 days </w:t>
            </w:r>
          </w:p>
        </w:tc>
      </w:tr>
    </w:tbl>
    <w:p w14:paraId="56068908" w14:textId="77777777" w:rsidR="00F214C8" w:rsidRPr="00912B52" w:rsidRDefault="00F214C8" w:rsidP="00F214C8"/>
    <w:p w14:paraId="53C3CB73" w14:textId="77777777" w:rsidR="00F214C8" w:rsidRPr="00912B52" w:rsidRDefault="00F214C8" w:rsidP="00780996">
      <w:pPr>
        <w:pStyle w:val="Style1"/>
        <w:numPr>
          <w:ilvl w:val="0"/>
          <w:numId w:val="0"/>
        </w:numPr>
        <w:rPr>
          <w:u w:val="single"/>
        </w:rPr>
      </w:pPr>
      <w:r w:rsidRPr="00912B52">
        <w:rPr>
          <w:u w:val="single"/>
        </w:rPr>
        <w:t>Notes</w:t>
      </w:r>
    </w:p>
    <w:p w14:paraId="1960E8ED" w14:textId="77777777" w:rsidR="00F214C8" w:rsidRPr="00912B52" w:rsidRDefault="00F214C8" w:rsidP="00F214C8">
      <w:r w:rsidRPr="00912B52">
        <w:t xml:space="preserve">This </w:t>
      </w:r>
      <w:r w:rsidR="00AA4C79">
        <w:t>reporting section</w:t>
      </w:r>
      <w:r w:rsidRPr="00912B52">
        <w:t xml:space="preserve"> requires direct data entry into HPMS.</w:t>
      </w:r>
    </w:p>
    <w:p w14:paraId="35D48006" w14:textId="77777777" w:rsidR="005C5D43" w:rsidRPr="00912B52" w:rsidRDefault="005C5D43" w:rsidP="00F214C8"/>
    <w:p w14:paraId="34403B4D" w14:textId="77777777" w:rsidR="00F214C8" w:rsidRPr="00912B52" w:rsidRDefault="00F214C8" w:rsidP="00F214C8">
      <w:r w:rsidRPr="00912B52">
        <w:t xml:space="preserve">This </w:t>
      </w:r>
      <w:r w:rsidR="00AA4C79">
        <w:t>reporting section</w:t>
      </w:r>
      <w:r w:rsidR="006F133C" w:rsidRPr="00912B52">
        <w:t xml:space="preserve"> </w:t>
      </w:r>
      <w:r w:rsidRPr="00912B52">
        <w:t xml:space="preserve">must be reported by all PFFS plans, regardless </w:t>
      </w:r>
      <w:r w:rsidR="006F133C" w:rsidRPr="00912B52">
        <w:t xml:space="preserve">of whether or not </w:t>
      </w:r>
      <w:r w:rsidRPr="00912B52">
        <w:t>they have a network attached.</w:t>
      </w:r>
    </w:p>
    <w:p w14:paraId="1F2FB9A3" w14:textId="77777777" w:rsidR="00F214C8" w:rsidRPr="00912B52" w:rsidRDefault="00F214C8" w:rsidP="00F214C8"/>
    <w:p w14:paraId="04F172B1" w14:textId="77777777" w:rsidR="00F214C8" w:rsidRPr="00912B52" w:rsidRDefault="00F214C8" w:rsidP="00F214C8">
      <w:r w:rsidRPr="00912B52">
        <w:t xml:space="preserve">This reporting requirement seeks to capture only provider payment disputes which include any decisions where there is a dispute that the payment amount made by the MA PFFS Plan to deemed providers is less than the payment amount that would have been paid under the MA PFFS Plan’s terms and conditions, or the amount paid to non-contracted providers is less than would have been paid under original Medicare (including balance billing).  </w:t>
      </w:r>
    </w:p>
    <w:p w14:paraId="2BD35957" w14:textId="77777777" w:rsidR="00833A96" w:rsidRDefault="00833A96" w:rsidP="00C36585">
      <w:pPr>
        <w:pStyle w:val="Heading3"/>
        <w:rPr>
          <w:rFonts w:ascii="Times New Roman" w:hAnsi="Times New Roman" w:cs="Times New Roman"/>
          <w:caps/>
          <w:sz w:val="24"/>
        </w:rPr>
      </w:pPr>
      <w:bookmarkStart w:id="44" w:name="_Toc373236803"/>
      <w:bookmarkStart w:id="45" w:name="_Toc436825820"/>
      <w:bookmarkStart w:id="46" w:name="_Toc475956105"/>
    </w:p>
    <w:p w14:paraId="23C36040" w14:textId="77777777" w:rsidR="00833A96" w:rsidRPr="00833A96" w:rsidRDefault="00833A96" w:rsidP="00833A96"/>
    <w:p w14:paraId="661737C5" w14:textId="77777777" w:rsidR="00833A96" w:rsidRDefault="00833A96" w:rsidP="00C36585">
      <w:pPr>
        <w:pStyle w:val="Heading3"/>
        <w:rPr>
          <w:rFonts w:ascii="Times New Roman" w:hAnsi="Times New Roman" w:cs="Times New Roman"/>
          <w:caps/>
          <w:sz w:val="24"/>
        </w:rPr>
      </w:pPr>
    </w:p>
    <w:p w14:paraId="7C159588" w14:textId="4B845C8B" w:rsidR="00F73BAD" w:rsidRPr="00570AA9" w:rsidRDefault="00F214C8" w:rsidP="00C36585">
      <w:pPr>
        <w:pStyle w:val="Heading3"/>
        <w:rPr>
          <w:rFonts w:ascii="Times New Roman" w:hAnsi="Times New Roman"/>
          <w:b w:val="0"/>
          <w:caps/>
        </w:rPr>
      </w:pPr>
      <w:r w:rsidRPr="00A451BC">
        <w:rPr>
          <w:rFonts w:ascii="Times New Roman" w:hAnsi="Times New Roman" w:cs="Times New Roman"/>
          <w:caps/>
          <w:sz w:val="24"/>
        </w:rPr>
        <w:t>10.</w:t>
      </w:r>
      <w:r w:rsidRPr="00570AA9">
        <w:rPr>
          <w:rFonts w:ascii="Times New Roman" w:hAnsi="Times New Roman" w:cs="Times New Roman"/>
          <w:b w:val="0"/>
          <w:caps/>
          <w:sz w:val="24"/>
        </w:rPr>
        <w:t xml:space="preserve"> Agent Compensation Structure</w:t>
      </w:r>
      <w:r w:rsidR="00635311" w:rsidRPr="00570AA9">
        <w:rPr>
          <w:rFonts w:ascii="Times New Roman" w:hAnsi="Times New Roman" w:cs="Times New Roman"/>
          <w:b w:val="0"/>
          <w:caps/>
          <w:sz w:val="24"/>
        </w:rPr>
        <w:t xml:space="preserve"> </w:t>
      </w:r>
      <w:r w:rsidR="00C10105" w:rsidRPr="00570AA9">
        <w:rPr>
          <w:rFonts w:ascii="Times New Roman" w:hAnsi="Times New Roman" w:cs="Times New Roman"/>
          <w:b w:val="0"/>
          <w:caps/>
          <w:sz w:val="24"/>
        </w:rPr>
        <w:t>–</w:t>
      </w:r>
      <w:r w:rsidR="00635311" w:rsidRPr="00570AA9">
        <w:rPr>
          <w:rFonts w:ascii="Times New Roman" w:hAnsi="Times New Roman" w:cs="Times New Roman"/>
          <w:b w:val="0"/>
          <w:caps/>
          <w:sz w:val="24"/>
        </w:rPr>
        <w:t xml:space="preserve"> </w:t>
      </w:r>
      <w:bookmarkEnd w:id="44"/>
      <w:r w:rsidR="0009040A" w:rsidRPr="00570AA9">
        <w:rPr>
          <w:rFonts w:ascii="Times New Roman" w:hAnsi="Times New Roman" w:cs="Times New Roman"/>
          <w:b w:val="0"/>
          <w:caps/>
          <w:sz w:val="24"/>
        </w:rPr>
        <w:t>suspended</w:t>
      </w:r>
      <w:bookmarkEnd w:id="45"/>
      <w:bookmarkEnd w:id="46"/>
    </w:p>
    <w:p w14:paraId="63166E87" w14:textId="4665520D" w:rsidR="00780996" w:rsidRPr="00570AA9" w:rsidRDefault="00F214C8" w:rsidP="00C36585">
      <w:pPr>
        <w:pStyle w:val="Heading3"/>
        <w:rPr>
          <w:rFonts w:ascii="Times New Roman" w:hAnsi="Times New Roman"/>
          <w:b w:val="0"/>
          <w:caps/>
        </w:rPr>
      </w:pPr>
      <w:bookmarkStart w:id="47" w:name="_Toc373236804"/>
      <w:bookmarkStart w:id="48" w:name="_Toc436825821"/>
      <w:bookmarkStart w:id="49" w:name="_Toc475956106"/>
      <w:r w:rsidRPr="00A451BC">
        <w:rPr>
          <w:rFonts w:ascii="Times New Roman" w:hAnsi="Times New Roman" w:cs="Times New Roman"/>
          <w:caps/>
          <w:sz w:val="24"/>
        </w:rPr>
        <w:t>11.</w:t>
      </w:r>
      <w:r w:rsidRPr="00570AA9">
        <w:rPr>
          <w:rFonts w:ascii="Times New Roman" w:hAnsi="Times New Roman" w:cs="Times New Roman"/>
          <w:b w:val="0"/>
          <w:caps/>
          <w:sz w:val="24"/>
        </w:rPr>
        <w:t xml:space="preserve"> Agent Training and Testing</w:t>
      </w:r>
      <w:r w:rsidR="00635311" w:rsidRPr="00570AA9">
        <w:rPr>
          <w:rFonts w:ascii="Times New Roman" w:hAnsi="Times New Roman" w:cs="Times New Roman"/>
          <w:b w:val="0"/>
          <w:caps/>
          <w:sz w:val="24"/>
        </w:rPr>
        <w:t xml:space="preserve"> </w:t>
      </w:r>
      <w:r w:rsidR="00C10105" w:rsidRPr="00570AA9">
        <w:rPr>
          <w:rFonts w:ascii="Times New Roman" w:hAnsi="Times New Roman" w:cs="Times New Roman"/>
          <w:b w:val="0"/>
          <w:caps/>
          <w:sz w:val="24"/>
        </w:rPr>
        <w:t>–</w:t>
      </w:r>
      <w:r w:rsidR="00635311" w:rsidRPr="00570AA9">
        <w:rPr>
          <w:rFonts w:ascii="Times New Roman" w:hAnsi="Times New Roman" w:cs="Times New Roman"/>
          <w:b w:val="0"/>
          <w:caps/>
          <w:sz w:val="24"/>
        </w:rPr>
        <w:t xml:space="preserve"> </w:t>
      </w:r>
      <w:bookmarkEnd w:id="47"/>
      <w:r w:rsidR="00E14143" w:rsidRPr="00570AA9">
        <w:rPr>
          <w:rFonts w:ascii="Times New Roman" w:hAnsi="Times New Roman" w:cs="Times New Roman"/>
          <w:b w:val="0"/>
          <w:caps/>
          <w:sz w:val="24"/>
        </w:rPr>
        <w:t>suspended</w:t>
      </w:r>
      <w:bookmarkEnd w:id="48"/>
      <w:bookmarkEnd w:id="49"/>
    </w:p>
    <w:p w14:paraId="6E9B0F13" w14:textId="474E84A5" w:rsidR="005E0821" w:rsidRPr="00570AA9" w:rsidRDefault="005E0821" w:rsidP="00C36585">
      <w:pPr>
        <w:pStyle w:val="Heading3"/>
        <w:rPr>
          <w:rFonts w:ascii="Times New Roman" w:hAnsi="Times New Roman" w:cs="Times New Roman"/>
          <w:b w:val="0"/>
          <w:caps/>
          <w:sz w:val="24"/>
        </w:rPr>
      </w:pPr>
      <w:bookmarkStart w:id="50" w:name="_Toc312397238"/>
      <w:bookmarkStart w:id="51" w:name="_Toc436825822"/>
      <w:bookmarkStart w:id="52" w:name="_Toc475956107"/>
      <w:bookmarkStart w:id="53" w:name="_Toc373236806"/>
      <w:r w:rsidRPr="00A451BC">
        <w:rPr>
          <w:rFonts w:ascii="Times New Roman" w:hAnsi="Times New Roman" w:cs="Times New Roman"/>
          <w:caps/>
          <w:sz w:val="24"/>
        </w:rPr>
        <w:t>12.</w:t>
      </w:r>
      <w:r w:rsidRPr="00570AA9">
        <w:rPr>
          <w:rFonts w:ascii="Times New Roman" w:hAnsi="Times New Roman" w:cs="Times New Roman"/>
          <w:b w:val="0"/>
          <w:caps/>
          <w:sz w:val="24"/>
        </w:rPr>
        <w:t xml:space="preserve"> </w:t>
      </w:r>
      <w:r w:rsidR="00CD75F0" w:rsidRPr="00570AA9">
        <w:rPr>
          <w:rFonts w:ascii="Times New Roman" w:hAnsi="Times New Roman" w:cs="Times New Roman"/>
          <w:b w:val="0"/>
          <w:caps/>
          <w:sz w:val="24"/>
        </w:rPr>
        <w:t xml:space="preserve"> </w:t>
      </w:r>
      <w:r w:rsidR="009E0BBC" w:rsidRPr="00570AA9">
        <w:rPr>
          <w:rFonts w:ascii="Times New Roman" w:hAnsi="Times New Roman" w:cs="Times New Roman"/>
          <w:b w:val="0"/>
          <w:caps/>
          <w:sz w:val="24"/>
        </w:rPr>
        <w:t xml:space="preserve">Sponsor </w:t>
      </w:r>
      <w:r w:rsidRPr="00570AA9">
        <w:rPr>
          <w:rFonts w:ascii="Times New Roman" w:hAnsi="Times New Roman" w:cs="Times New Roman"/>
          <w:b w:val="0"/>
          <w:caps/>
          <w:sz w:val="24"/>
        </w:rPr>
        <w:t>Oversight of Agents</w:t>
      </w:r>
      <w:bookmarkEnd w:id="50"/>
      <w:r w:rsidRPr="00570AA9">
        <w:rPr>
          <w:rFonts w:ascii="Times New Roman" w:hAnsi="Times New Roman" w:cs="Times New Roman"/>
          <w:b w:val="0"/>
          <w:caps/>
          <w:sz w:val="24"/>
        </w:rPr>
        <w:t xml:space="preserve"> –</w:t>
      </w:r>
      <w:bookmarkEnd w:id="51"/>
      <w:r w:rsidR="00714DEE" w:rsidRPr="00570AA9">
        <w:rPr>
          <w:rFonts w:ascii="Times New Roman" w:hAnsi="Times New Roman" w:cs="Times New Roman"/>
          <w:b w:val="0"/>
          <w:caps/>
          <w:sz w:val="24"/>
        </w:rPr>
        <w:t xml:space="preserve"> SUSPENDED</w:t>
      </w:r>
      <w:bookmarkEnd w:id="52"/>
    </w:p>
    <w:p w14:paraId="19FC02A2" w14:textId="6BF2A758" w:rsidR="004D612B" w:rsidRDefault="004D612B" w:rsidP="00C36585">
      <w:pPr>
        <w:pStyle w:val="Heading3"/>
        <w:rPr>
          <w:rFonts w:ascii="Times New Roman" w:hAnsi="Times New Roman" w:cs="Times New Roman"/>
          <w:caps/>
          <w:sz w:val="24"/>
        </w:rPr>
      </w:pPr>
      <w:bookmarkStart w:id="54" w:name="_Toc436825823"/>
      <w:bookmarkStart w:id="55" w:name="_Toc475956108"/>
      <w:r w:rsidRPr="00C36585">
        <w:rPr>
          <w:rFonts w:ascii="Times New Roman" w:hAnsi="Times New Roman" w:cs="Times New Roman"/>
          <w:caps/>
          <w:sz w:val="24"/>
        </w:rPr>
        <w:t>13. Special Needs Plans (SNP) Care Management</w:t>
      </w:r>
      <w:bookmarkEnd w:id="54"/>
      <w:bookmarkEnd w:id="55"/>
    </w:p>
    <w:p w14:paraId="7CBCE8BC" w14:textId="77777777" w:rsidR="00D9791C" w:rsidRPr="00D9791C" w:rsidRDefault="00D9791C" w:rsidP="00D9791C"/>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1080"/>
        <w:gridCol w:w="1080"/>
        <w:gridCol w:w="2280"/>
      </w:tblGrid>
      <w:tr w:rsidR="004D612B" w:rsidRPr="00912B52" w14:paraId="22F41B59" w14:textId="77777777" w:rsidTr="00833A96">
        <w:tc>
          <w:tcPr>
            <w:tcW w:w="1908" w:type="dxa"/>
            <w:shd w:val="clear" w:color="auto" w:fill="D9D9D9" w:themeFill="background1" w:themeFillShade="D9"/>
          </w:tcPr>
          <w:p w14:paraId="73FDC2B6" w14:textId="77777777" w:rsidR="004D612B" w:rsidRPr="00912B52" w:rsidRDefault="004D612B" w:rsidP="006639D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520" w:type="dxa"/>
            <w:shd w:val="clear" w:color="auto" w:fill="D9D9D9" w:themeFill="background1" w:themeFillShade="D9"/>
          </w:tcPr>
          <w:p w14:paraId="6923B35B" w14:textId="77777777" w:rsidR="004D612B" w:rsidRPr="00912B52" w:rsidRDefault="004D612B" w:rsidP="006639D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p>
        </w:tc>
        <w:tc>
          <w:tcPr>
            <w:tcW w:w="1080" w:type="dxa"/>
            <w:shd w:val="clear" w:color="auto" w:fill="D9D9D9" w:themeFill="background1" w:themeFillShade="D9"/>
          </w:tcPr>
          <w:p w14:paraId="19A491FD" w14:textId="77777777" w:rsidR="004D612B" w:rsidRPr="00912B52" w:rsidRDefault="004D612B" w:rsidP="006639D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14:paraId="598147E9" w14:textId="77777777" w:rsidR="004D612B" w:rsidRPr="00912B52" w:rsidRDefault="004D612B" w:rsidP="006639D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080" w:type="dxa"/>
            <w:shd w:val="clear" w:color="auto" w:fill="D9D9D9" w:themeFill="background1" w:themeFillShade="D9"/>
          </w:tcPr>
          <w:p w14:paraId="4FB0ADE7" w14:textId="77777777" w:rsidR="004D612B" w:rsidRPr="00912B52" w:rsidRDefault="004D612B" w:rsidP="006639D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14:paraId="480C6536" w14:textId="77777777" w:rsidR="004D612B" w:rsidRPr="00912B52" w:rsidRDefault="004D612B" w:rsidP="006639D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2280" w:type="dxa"/>
            <w:shd w:val="clear" w:color="auto" w:fill="D9D9D9" w:themeFill="background1" w:themeFillShade="D9"/>
          </w:tcPr>
          <w:p w14:paraId="1E93B0D8" w14:textId="77777777" w:rsidR="004D612B" w:rsidRPr="00912B52" w:rsidRDefault="004D612B" w:rsidP="006639D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4D612B" w:rsidRPr="00912B52" w14:paraId="24963619" w14:textId="77777777" w:rsidTr="006639DC">
        <w:trPr>
          <w:trHeight w:val="90"/>
        </w:trPr>
        <w:tc>
          <w:tcPr>
            <w:tcW w:w="1908" w:type="dxa"/>
          </w:tcPr>
          <w:p w14:paraId="09C9E6C0" w14:textId="77777777" w:rsidR="004D612B" w:rsidRPr="00912B52" w:rsidRDefault="004D612B" w:rsidP="006639D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13. SNP</w:t>
            </w:r>
            <w:r>
              <w:rPr>
                <w:szCs w:val="22"/>
              </w:rPr>
              <w:t>s</w:t>
            </w:r>
            <w:r w:rsidRPr="00912B52">
              <w:rPr>
                <w:szCs w:val="22"/>
              </w:rPr>
              <w:t xml:space="preserve"> Care Management</w:t>
            </w:r>
          </w:p>
        </w:tc>
        <w:tc>
          <w:tcPr>
            <w:tcW w:w="2520" w:type="dxa"/>
          </w:tcPr>
          <w:p w14:paraId="21A5F6D2" w14:textId="77777777" w:rsidR="004D612B" w:rsidRPr="00912B52" w:rsidRDefault="004D612B" w:rsidP="006639DC">
            <w:pPr>
              <w:widowControl w:val="0"/>
              <w:autoSpaceDE w:val="0"/>
              <w:autoSpaceDN w:val="0"/>
              <w:adjustRightInd w:val="0"/>
            </w:pPr>
            <w:r w:rsidRPr="00912B52">
              <w:t xml:space="preserve">SNP PBPs under the following types: </w:t>
            </w:r>
          </w:p>
          <w:p w14:paraId="76FA8A10" w14:textId="77777777" w:rsidR="004D612B" w:rsidRPr="00912B52" w:rsidRDefault="004D612B" w:rsidP="006639DC">
            <w:pPr>
              <w:widowControl w:val="0"/>
              <w:autoSpaceDE w:val="0"/>
              <w:autoSpaceDN w:val="0"/>
              <w:adjustRightInd w:val="0"/>
            </w:pPr>
            <w:r w:rsidRPr="00912B52">
              <w:t>01 – Local CCP</w:t>
            </w:r>
          </w:p>
          <w:p w14:paraId="048F755D" w14:textId="77777777" w:rsidR="004D612B" w:rsidRPr="00912B52" w:rsidRDefault="004D612B" w:rsidP="006639DC">
            <w:pPr>
              <w:widowControl w:val="0"/>
              <w:autoSpaceDE w:val="0"/>
              <w:autoSpaceDN w:val="0"/>
              <w:adjustRightInd w:val="0"/>
            </w:pPr>
            <w:r w:rsidRPr="00912B52">
              <w:t>11 – Regional CCP</w:t>
            </w:r>
          </w:p>
          <w:p w14:paraId="0E96137B" w14:textId="77777777" w:rsidR="004D612B" w:rsidRPr="00912B52" w:rsidRDefault="004D612B" w:rsidP="006639DC">
            <w:pPr>
              <w:widowControl w:val="0"/>
              <w:autoSpaceDE w:val="0"/>
              <w:autoSpaceDN w:val="0"/>
              <w:adjustRightInd w:val="0"/>
            </w:pPr>
            <w:r w:rsidRPr="00912B52">
              <w:t>15 – RFB Local CCP</w:t>
            </w:r>
          </w:p>
          <w:p w14:paraId="2E760CFB" w14:textId="77777777" w:rsidR="004D612B" w:rsidRPr="00912B52" w:rsidRDefault="004D612B" w:rsidP="006639DC">
            <w:pPr>
              <w:widowControl w:val="0"/>
              <w:autoSpaceDE w:val="0"/>
              <w:autoSpaceDN w:val="0"/>
              <w:adjustRightInd w:val="0"/>
            </w:pPr>
          </w:p>
          <w:p w14:paraId="01DCD4FA" w14:textId="77777777" w:rsidR="004D612B" w:rsidRPr="00570AA9" w:rsidRDefault="004D612B" w:rsidP="006639DC">
            <w:pPr>
              <w:widowControl w:val="0"/>
              <w:autoSpaceDE w:val="0"/>
              <w:autoSpaceDN w:val="0"/>
              <w:adjustRightInd w:val="0"/>
              <w:rPr>
                <w:szCs w:val="22"/>
              </w:rPr>
            </w:pPr>
            <w:r w:rsidRPr="00570AA9">
              <w:rPr>
                <w:szCs w:val="22"/>
              </w:rPr>
              <w:t>Organizations should exclude 800 series plans if they are SNPs.</w:t>
            </w:r>
          </w:p>
          <w:p w14:paraId="0FE31B7E" w14:textId="77777777" w:rsidR="004D612B" w:rsidRPr="00912B52" w:rsidRDefault="004D612B" w:rsidP="006639D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c>
          <w:tcPr>
            <w:tcW w:w="1080" w:type="dxa"/>
            <w:shd w:val="clear" w:color="auto" w:fill="auto"/>
          </w:tcPr>
          <w:p w14:paraId="16A26BBF" w14:textId="77777777" w:rsidR="004D612B" w:rsidRPr="00912B52" w:rsidRDefault="004D612B" w:rsidP="006639D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1/Year</w:t>
            </w:r>
          </w:p>
          <w:p w14:paraId="700C46FD" w14:textId="77777777" w:rsidR="004D612B" w:rsidRPr="00912B52" w:rsidRDefault="004D612B" w:rsidP="006639D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PBP</w:t>
            </w:r>
          </w:p>
        </w:tc>
        <w:tc>
          <w:tcPr>
            <w:tcW w:w="1080" w:type="dxa"/>
            <w:shd w:val="clear" w:color="auto" w:fill="auto"/>
          </w:tcPr>
          <w:p w14:paraId="220C587D" w14:textId="77777777" w:rsidR="004D612B" w:rsidRPr="00912B52" w:rsidRDefault="004D612B" w:rsidP="006639D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1/1-12/31</w:t>
            </w:r>
          </w:p>
        </w:tc>
        <w:tc>
          <w:tcPr>
            <w:tcW w:w="2280" w:type="dxa"/>
          </w:tcPr>
          <w:p w14:paraId="3F321CC5" w14:textId="77777777" w:rsidR="004D612B" w:rsidRDefault="004D612B" w:rsidP="00D614D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Pr>
                <w:szCs w:val="22"/>
              </w:rPr>
              <w:t xml:space="preserve"> </w:t>
            </w:r>
            <w:r w:rsidR="00D614D8" w:rsidRPr="00570AA9">
              <w:rPr>
                <w:szCs w:val="22"/>
              </w:rPr>
              <w:t>Last Monday of February in following year</w:t>
            </w:r>
          </w:p>
          <w:p w14:paraId="00869659" w14:textId="77777777" w:rsidR="00D25B0D" w:rsidRDefault="00D25B0D" w:rsidP="00D614D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p w14:paraId="4EAB818F" w14:textId="0CEED297" w:rsidR="00D25B0D" w:rsidRPr="00570AA9" w:rsidRDefault="00D25B0D" w:rsidP="00D614D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p>
        </w:tc>
      </w:tr>
    </w:tbl>
    <w:p w14:paraId="4F201E38" w14:textId="77777777" w:rsidR="004D612B" w:rsidRPr="00912B52" w:rsidRDefault="004D612B" w:rsidP="004D612B">
      <w:pPr>
        <w:pStyle w:val="Style1"/>
        <w:numPr>
          <w:ilvl w:val="0"/>
          <w:numId w:val="0"/>
        </w:numPr>
      </w:pPr>
      <w:r>
        <w:t>D</w:t>
      </w:r>
      <w:r w:rsidRPr="00912B52">
        <w:t>ata elements reported</w:t>
      </w:r>
      <w:r>
        <w:t xml:space="preserve"> </w:t>
      </w:r>
      <w:r w:rsidRPr="00912B52">
        <w:t xml:space="preserve">under this </w:t>
      </w:r>
      <w:r>
        <w:t>reporting section</w:t>
      </w:r>
      <w:r w:rsidRPr="00912B52">
        <w:t xml:space="preserve"> are:</w:t>
      </w:r>
    </w:p>
    <w:p w14:paraId="1E342263" w14:textId="77777777" w:rsidR="004D612B" w:rsidRPr="00912B52" w:rsidRDefault="004D612B" w:rsidP="004D612B"/>
    <w:tbl>
      <w:tblPr>
        <w:tblStyle w:val="TableGrid"/>
        <w:tblW w:w="9379" w:type="dxa"/>
        <w:tblLayout w:type="fixed"/>
        <w:tblLook w:val="04A0" w:firstRow="1" w:lastRow="0" w:firstColumn="1" w:lastColumn="0" w:noHBand="0" w:noVBand="1"/>
        <w:tblCaption w:val="Data elements reported under this reporting section"/>
        <w:tblDescription w:val="Data elements reported under this reporting section "/>
      </w:tblPr>
      <w:tblGrid>
        <w:gridCol w:w="725"/>
        <w:gridCol w:w="1903"/>
        <w:gridCol w:w="4027"/>
        <w:gridCol w:w="2724"/>
      </w:tblGrid>
      <w:tr w:rsidR="004D612B" w14:paraId="32C9BD21" w14:textId="77777777" w:rsidTr="00570AA9">
        <w:trPr>
          <w:tblHeader/>
        </w:trPr>
        <w:tc>
          <w:tcPr>
            <w:tcW w:w="725" w:type="dxa"/>
          </w:tcPr>
          <w:p w14:paraId="5117F3D9" w14:textId="77777777" w:rsidR="004D612B" w:rsidRDefault="004D612B" w:rsidP="006639DC">
            <w:r>
              <w:t>D.E No.</w:t>
            </w:r>
          </w:p>
        </w:tc>
        <w:tc>
          <w:tcPr>
            <w:tcW w:w="1903" w:type="dxa"/>
          </w:tcPr>
          <w:p w14:paraId="1EF2BB67" w14:textId="77777777" w:rsidR="004D612B" w:rsidRDefault="004D612B" w:rsidP="006639DC">
            <w:r>
              <w:t>Data Element</w:t>
            </w:r>
          </w:p>
          <w:p w14:paraId="610C23A6" w14:textId="77777777" w:rsidR="004D612B" w:rsidRDefault="004D612B" w:rsidP="006639DC">
            <w:r>
              <w:t>(D.E.)</w:t>
            </w:r>
          </w:p>
        </w:tc>
        <w:tc>
          <w:tcPr>
            <w:tcW w:w="4027" w:type="dxa"/>
          </w:tcPr>
          <w:p w14:paraId="29C09137" w14:textId="77777777" w:rsidR="004D612B" w:rsidRDefault="004D612B" w:rsidP="006639DC">
            <w:r>
              <w:t>Inclusions</w:t>
            </w:r>
          </w:p>
        </w:tc>
        <w:tc>
          <w:tcPr>
            <w:tcW w:w="2724" w:type="dxa"/>
          </w:tcPr>
          <w:p w14:paraId="5B8FB2C3" w14:textId="77777777" w:rsidR="004D612B" w:rsidRDefault="004D612B" w:rsidP="006639DC">
            <w:r>
              <w:t>Exclusions</w:t>
            </w:r>
          </w:p>
        </w:tc>
      </w:tr>
      <w:tr w:rsidR="004D612B" w14:paraId="4279BE87" w14:textId="77777777" w:rsidTr="00570AA9">
        <w:tc>
          <w:tcPr>
            <w:tcW w:w="725" w:type="dxa"/>
          </w:tcPr>
          <w:p w14:paraId="0069701C" w14:textId="77777777" w:rsidR="004D612B" w:rsidRPr="00912B52" w:rsidRDefault="004D612B" w:rsidP="006639DC">
            <w:r w:rsidRPr="00912B52">
              <w:t>13.1</w:t>
            </w:r>
          </w:p>
        </w:tc>
        <w:tc>
          <w:tcPr>
            <w:tcW w:w="1903" w:type="dxa"/>
          </w:tcPr>
          <w:p w14:paraId="67FEA2D5" w14:textId="154B409B" w:rsidR="004D612B" w:rsidRPr="00BE3596" w:rsidRDefault="004D612B" w:rsidP="006639DC">
            <w:r w:rsidRPr="00BE3596">
              <w:t>Number of new enrollees</w:t>
            </w:r>
            <w:r w:rsidR="00633082">
              <w:t xml:space="preserve"> due for an Initial </w:t>
            </w:r>
            <w:r w:rsidR="00B74A03">
              <w:t>Health Risk Assessment (</w:t>
            </w:r>
            <w:r w:rsidR="00633082">
              <w:t>HRA</w:t>
            </w:r>
            <w:r w:rsidR="00B74A03">
              <w:t>)</w:t>
            </w:r>
          </w:p>
          <w:p w14:paraId="2EB9BC38" w14:textId="77777777" w:rsidR="004D612B" w:rsidRPr="00BE3596" w:rsidRDefault="004D612B" w:rsidP="006639DC"/>
          <w:p w14:paraId="2676755B" w14:textId="77777777" w:rsidR="004D612B" w:rsidRPr="00BE3596" w:rsidRDefault="004D612B" w:rsidP="006639DC"/>
        </w:tc>
        <w:tc>
          <w:tcPr>
            <w:tcW w:w="4027" w:type="dxa"/>
          </w:tcPr>
          <w:p w14:paraId="2980E2B3" w14:textId="600A6696" w:rsidR="004D612B" w:rsidRPr="00C36585" w:rsidRDefault="00B74A03" w:rsidP="00B74A03">
            <w:r w:rsidRPr="00010885">
              <w:t>To be included as n</w:t>
            </w:r>
            <w:r w:rsidR="00633082" w:rsidRPr="00010885">
              <w:t xml:space="preserve">ew </w:t>
            </w:r>
            <w:r w:rsidR="0093643A" w:rsidRPr="00010885">
              <w:t>enrollees</w:t>
            </w:r>
            <w:r w:rsidR="00AD559B" w:rsidRPr="00010885">
              <w:t xml:space="preserve"> </w:t>
            </w:r>
            <w:r w:rsidR="00633082" w:rsidRPr="00010885">
              <w:t>due for an Initial HRA</w:t>
            </w:r>
            <w:r w:rsidRPr="00010885">
              <w:t>, enrollees must have</w:t>
            </w:r>
            <w:r w:rsidR="00633082" w:rsidRPr="00010885">
              <w:t xml:space="preserve"> an effective enrollment date that falls within th</w:t>
            </w:r>
            <w:r w:rsidRPr="00010885">
              <w:t>is</w:t>
            </w:r>
            <w:r w:rsidR="00633082" w:rsidRPr="00010885">
              <w:t xml:space="preserve"> measurement year</w:t>
            </w:r>
            <w:r w:rsidRPr="00010885">
              <w:t>,*</w:t>
            </w:r>
            <w:r w:rsidR="00B14313" w:rsidRPr="00010885">
              <w:t xml:space="preserve"> </w:t>
            </w:r>
            <w:r w:rsidRPr="00010885">
              <w:t xml:space="preserve">they must complete an initial HRA within 90 days of enrollment,  or be continuously </w:t>
            </w:r>
            <w:r w:rsidR="00633082" w:rsidRPr="00010885">
              <w:t xml:space="preserve"> enrolled in the plan for </w:t>
            </w:r>
            <w:r w:rsidR="006B2A38" w:rsidRPr="00010885">
              <w:t xml:space="preserve">at least </w:t>
            </w:r>
            <w:r w:rsidR="00633082" w:rsidRPr="00010885">
              <w:t>90 days</w:t>
            </w:r>
            <w:r w:rsidRPr="00010885">
              <w:t xml:space="preserve"> without receiving an initial HRA.</w:t>
            </w:r>
            <w:r w:rsidR="00633082" w:rsidRPr="00010885">
              <w:t xml:space="preserve">. </w:t>
            </w:r>
            <w:r w:rsidR="00AD559B" w:rsidRPr="00010885">
              <w:t xml:space="preserve"> </w:t>
            </w:r>
            <w:r w:rsidR="004D612B" w:rsidRPr="00010885">
              <w:t xml:space="preserve">The initial </w:t>
            </w:r>
            <w:r w:rsidRPr="00010885">
              <w:t>HRA</w:t>
            </w:r>
            <w:r w:rsidR="004D612B" w:rsidRPr="00010885">
              <w:t xml:space="preserve"> is expected to be completed within 90 days (before or after)</w:t>
            </w:r>
            <w:r w:rsidR="008D1AD8" w:rsidRPr="00010885">
              <w:t xml:space="preserve"> </w:t>
            </w:r>
            <w:r w:rsidR="004D612B" w:rsidRPr="00010885">
              <w:t>the effective date of enrollment</w:t>
            </w:r>
            <w:r w:rsidR="005C4F7E" w:rsidRPr="00010885">
              <w:t>.</w:t>
            </w:r>
            <w:r w:rsidR="004D612B" w:rsidRPr="00010885">
              <w:t xml:space="preserve"> </w:t>
            </w:r>
            <w:r w:rsidR="00E46873" w:rsidRPr="00010885">
              <w:t>A</w:t>
            </w:r>
            <w:r w:rsidR="004D612B" w:rsidRPr="00010885">
              <w:t xml:space="preserve"> memb</w:t>
            </w:r>
            <w:r w:rsidR="004D612B" w:rsidRPr="00BE3596">
              <w:t xml:space="preserve">er </w:t>
            </w:r>
            <w:r w:rsidR="00E46873" w:rsidRPr="00BE3596">
              <w:t xml:space="preserve">who </w:t>
            </w:r>
            <w:r w:rsidR="004D612B" w:rsidRPr="00BE3596">
              <w:t xml:space="preserve">disenrolls from one </w:t>
            </w:r>
            <w:r w:rsidR="00E46873" w:rsidRPr="00BE3596">
              <w:t>SNP</w:t>
            </w:r>
            <w:r w:rsidR="004D612B" w:rsidRPr="00BE3596">
              <w:t xml:space="preserve"> and enrolls in another </w:t>
            </w:r>
            <w:r w:rsidR="00E46873" w:rsidRPr="00BE3596">
              <w:t>one</w:t>
            </w:r>
            <w:r w:rsidR="004D612B" w:rsidRPr="00BE3596">
              <w:t xml:space="preserve"> is reported as eligible for an initial HRA any</w:t>
            </w:r>
            <w:r w:rsidR="00E46873" w:rsidRPr="00BE3596">
              <w:t xml:space="preserve"> </w:t>
            </w:r>
            <w:r w:rsidR="004D612B" w:rsidRPr="00BE3596">
              <w:t>time during the period of 90 days before or after the effective enrollment date</w:t>
            </w:r>
            <w:r w:rsidR="00E46873" w:rsidRPr="00BE3596">
              <w:t xml:space="preserve"> in the new SNP</w:t>
            </w:r>
            <w:r w:rsidR="004D612B" w:rsidRPr="00BE3596">
              <w:t>.</w:t>
            </w:r>
          </w:p>
        </w:tc>
        <w:tc>
          <w:tcPr>
            <w:tcW w:w="2724" w:type="dxa"/>
          </w:tcPr>
          <w:p w14:paraId="273298D6" w14:textId="6D92DC2A" w:rsidR="005D218F" w:rsidRDefault="0093643A" w:rsidP="004354C9">
            <w:r>
              <w:t>Enrollees</w:t>
            </w:r>
            <w:r w:rsidR="004D612B" w:rsidRPr="00BE3596">
              <w:t xml:space="preserve"> </w:t>
            </w:r>
            <w:r w:rsidR="00C64262">
              <w:t xml:space="preserve">who are continuously enrolled in a plan </w:t>
            </w:r>
            <w:r w:rsidR="004D612B" w:rsidRPr="00BE3596">
              <w:t>with a documented initial</w:t>
            </w:r>
            <w:r w:rsidR="00633082">
              <w:t xml:space="preserve"> or reassessment</w:t>
            </w:r>
            <w:r w:rsidR="004D612B" w:rsidRPr="00BE3596">
              <w:t xml:space="preserve"> HRA </w:t>
            </w:r>
            <w:r w:rsidR="005D218F">
              <w:t>in the previous</w:t>
            </w:r>
            <w:r w:rsidR="004D612B" w:rsidRPr="00BE3596">
              <w:t xml:space="preserve"> measurement year.</w:t>
            </w:r>
          </w:p>
          <w:p w14:paraId="2AF7E2F4" w14:textId="77777777" w:rsidR="005D218F" w:rsidRDefault="005D218F" w:rsidP="004354C9"/>
          <w:p w14:paraId="5085C12C" w14:textId="0CA3808C" w:rsidR="00E2314A" w:rsidRPr="00C36585" w:rsidRDefault="005D218F" w:rsidP="004354C9">
            <w:r>
              <w:t>N</w:t>
            </w:r>
            <w:r w:rsidR="004D612B" w:rsidRPr="00BE3596">
              <w:t xml:space="preserve">ew </w:t>
            </w:r>
            <w:r w:rsidR="0093643A">
              <w:t>enrollees</w:t>
            </w:r>
            <w:r w:rsidR="004D612B" w:rsidRPr="00BE3596">
              <w:t xml:space="preserve"> who disenroll from the plan </w:t>
            </w:r>
            <w:r w:rsidR="00E2314A" w:rsidRPr="00BE3596">
              <w:t xml:space="preserve">prior to the effective enrollment date or </w:t>
            </w:r>
            <w:r w:rsidR="004D612B" w:rsidRPr="00BE3596">
              <w:t xml:space="preserve">within </w:t>
            </w:r>
            <w:r w:rsidR="00E2314A" w:rsidRPr="00BE3596">
              <w:t xml:space="preserve">the </w:t>
            </w:r>
            <w:r w:rsidR="00AD559B" w:rsidRPr="00BE3596">
              <w:t xml:space="preserve">first </w:t>
            </w:r>
            <w:r w:rsidR="004D612B" w:rsidRPr="00BE3596">
              <w:t xml:space="preserve">90 days after the effective </w:t>
            </w:r>
            <w:r>
              <w:t xml:space="preserve">enrollment </w:t>
            </w:r>
            <w:r w:rsidR="00715604" w:rsidRPr="00BE3596">
              <w:t>date if</w:t>
            </w:r>
            <w:r w:rsidR="004D612B" w:rsidRPr="00BE3596">
              <w:t xml:space="preserve"> they did not complete an initial HRA prior to disenrolling</w:t>
            </w:r>
            <w:r w:rsidR="004D612B" w:rsidRPr="00C36585">
              <w:t xml:space="preserve">.  </w:t>
            </w:r>
          </w:p>
          <w:p w14:paraId="36508E26" w14:textId="77777777" w:rsidR="00E2314A" w:rsidRPr="00C36585" w:rsidRDefault="00E2314A"/>
          <w:p w14:paraId="4B6A277D" w14:textId="433F02F3" w:rsidR="004D612B" w:rsidRPr="00BE3596" w:rsidRDefault="004D612B" w:rsidP="009E5E16">
            <w:r w:rsidRPr="00C36585">
              <w:t>E</w:t>
            </w:r>
            <w:r w:rsidR="0093643A">
              <w:t>nrollees</w:t>
            </w:r>
            <w:r w:rsidRPr="00C36585">
              <w:t xml:space="preserve"> who receive an initial</w:t>
            </w:r>
            <w:r w:rsidR="00633082">
              <w:t xml:space="preserve"> or reassessment</w:t>
            </w:r>
            <w:r w:rsidRPr="00C36585">
              <w:t xml:space="preserve"> </w:t>
            </w:r>
            <w:r w:rsidRPr="00C36585">
              <w:lastRenderedPageBreak/>
              <w:t>HRA and remain continuously enrolled</w:t>
            </w:r>
            <w:r w:rsidR="00A451BC">
              <w:t>.</w:t>
            </w:r>
            <w:r w:rsidRPr="00C36585">
              <w:t xml:space="preserve"> under a  MAO whose contract was part of a consolidation or merger under the same legal entity during the member’s continuous enrollment, where the consolidated SNP is still under the same M</w:t>
            </w:r>
            <w:r w:rsidR="009E5E16">
              <w:t>odel of Care (MOC)</w:t>
            </w:r>
            <w:r w:rsidRPr="00C36585">
              <w:t xml:space="preserve"> as the enrollee’s previous SNP.  </w:t>
            </w:r>
          </w:p>
        </w:tc>
      </w:tr>
      <w:tr w:rsidR="004D612B" w14:paraId="6B042532" w14:textId="77777777" w:rsidTr="00A757EA">
        <w:tc>
          <w:tcPr>
            <w:tcW w:w="725" w:type="dxa"/>
          </w:tcPr>
          <w:p w14:paraId="538F0BE5" w14:textId="77777777" w:rsidR="004D612B" w:rsidRPr="00912B52" w:rsidRDefault="004D612B" w:rsidP="006639DC">
            <w:r w:rsidRPr="00912B52">
              <w:lastRenderedPageBreak/>
              <w:t>13.2</w:t>
            </w:r>
          </w:p>
        </w:tc>
        <w:tc>
          <w:tcPr>
            <w:tcW w:w="1903" w:type="dxa"/>
          </w:tcPr>
          <w:p w14:paraId="31C83BA4" w14:textId="5B7714C6" w:rsidR="004D612B" w:rsidRPr="00BE3596" w:rsidRDefault="004D612B" w:rsidP="00E43B17">
            <w:r w:rsidRPr="00BE3596">
              <w:t>Number of enrollees eligible for an annual</w:t>
            </w:r>
            <w:r w:rsidR="00E43B17" w:rsidRPr="00BE3596">
              <w:t xml:space="preserve"> </w:t>
            </w:r>
            <w:r w:rsidRPr="00BE3596">
              <w:t>reassessment</w:t>
            </w:r>
            <w:r w:rsidR="00E43B17" w:rsidRPr="00BE3596">
              <w:t xml:space="preserve"> HRA</w:t>
            </w:r>
          </w:p>
        </w:tc>
        <w:tc>
          <w:tcPr>
            <w:tcW w:w="4027" w:type="dxa"/>
          </w:tcPr>
          <w:p w14:paraId="71A0A975" w14:textId="1C7BCA22" w:rsidR="004D612B" w:rsidRPr="00BE3596" w:rsidRDefault="004D612B" w:rsidP="006639DC">
            <w:r w:rsidRPr="00BE3596">
              <w:t xml:space="preserve">Report all </w:t>
            </w:r>
            <w:r w:rsidR="0093643A">
              <w:t>enrollees</w:t>
            </w:r>
            <w:r w:rsidRPr="00BE3596">
              <w:t xml:space="preserve"> in the same health plan: </w:t>
            </w:r>
          </w:p>
          <w:p w14:paraId="0B86D9E4" w14:textId="1739D4BC" w:rsidR="007B4747" w:rsidRPr="00570AA9" w:rsidRDefault="007B4747" w:rsidP="007B4747">
            <w:pPr>
              <w:pStyle w:val="ListParagraph"/>
              <w:ind w:left="0"/>
              <w:rPr>
                <w:rFonts w:ascii="Times New Roman" w:hAnsi="Times New Roman"/>
                <w:sz w:val="24"/>
                <w:szCs w:val="24"/>
              </w:rPr>
            </w:pPr>
            <w:r w:rsidRPr="00570AA9">
              <w:rPr>
                <w:rFonts w:ascii="Times New Roman" w:hAnsi="Times New Roman"/>
                <w:sz w:val="24"/>
                <w:szCs w:val="24"/>
              </w:rPr>
              <w:t xml:space="preserve">Who </w:t>
            </w:r>
            <w:r w:rsidR="00187FAF" w:rsidRPr="00570AA9">
              <w:rPr>
                <w:rFonts w:ascii="Times New Roman" w:hAnsi="Times New Roman"/>
                <w:sz w:val="24"/>
                <w:szCs w:val="24"/>
              </w:rPr>
              <w:t>were continuously</w:t>
            </w:r>
            <w:r w:rsidRPr="00570AA9">
              <w:rPr>
                <w:rFonts w:ascii="Times New Roman" w:hAnsi="Times New Roman"/>
                <w:sz w:val="24"/>
                <w:szCs w:val="24"/>
              </w:rPr>
              <w:t xml:space="preserve"> enrolled for a period of 365 days </w:t>
            </w:r>
            <w:r w:rsidR="0075567C">
              <w:rPr>
                <w:rFonts w:ascii="Times New Roman" w:hAnsi="Times New Roman"/>
                <w:sz w:val="24"/>
                <w:szCs w:val="24"/>
              </w:rPr>
              <w:t xml:space="preserve">or more </w:t>
            </w:r>
            <w:r w:rsidRPr="00570AA9">
              <w:rPr>
                <w:rFonts w:ascii="Times New Roman" w:hAnsi="Times New Roman"/>
                <w:sz w:val="24"/>
                <w:szCs w:val="24"/>
              </w:rPr>
              <w:t>after completing their last HRA</w:t>
            </w:r>
            <w:r w:rsidR="004F1E0E">
              <w:rPr>
                <w:rFonts w:ascii="Times New Roman" w:hAnsi="Times New Roman"/>
                <w:sz w:val="24"/>
                <w:szCs w:val="24"/>
              </w:rPr>
              <w:t xml:space="preserve">, </w:t>
            </w:r>
            <w:r w:rsidR="0075567C">
              <w:rPr>
                <w:rFonts w:ascii="Times New Roman" w:hAnsi="Times New Roman"/>
                <w:sz w:val="24"/>
                <w:szCs w:val="24"/>
              </w:rPr>
              <w:t xml:space="preserve">including initial HRAs conducted prior to the effective enrollment date. (See </w:t>
            </w:r>
            <w:r w:rsidR="0075567C" w:rsidRPr="00833A96">
              <w:rPr>
                <w:rFonts w:ascii="Times New Roman" w:hAnsi="Times New Roman"/>
                <w:b/>
                <w:sz w:val="24"/>
                <w:szCs w:val="24"/>
              </w:rPr>
              <w:t>Notes</w:t>
            </w:r>
            <w:r w:rsidR="0075567C">
              <w:rPr>
                <w:rFonts w:ascii="Times New Roman" w:hAnsi="Times New Roman"/>
                <w:sz w:val="24"/>
                <w:szCs w:val="24"/>
              </w:rPr>
              <w:t xml:space="preserve"> below.) </w:t>
            </w:r>
          </w:p>
          <w:p w14:paraId="4F61AE5C" w14:textId="77777777" w:rsidR="007B4747" w:rsidRPr="00570AA9" w:rsidRDefault="007B4747" w:rsidP="007B4747">
            <w:pPr>
              <w:pStyle w:val="ListParagraph"/>
              <w:ind w:left="0"/>
              <w:rPr>
                <w:rFonts w:ascii="Times New Roman" w:hAnsi="Times New Roman"/>
                <w:sz w:val="24"/>
                <w:szCs w:val="24"/>
              </w:rPr>
            </w:pPr>
          </w:p>
          <w:p w14:paraId="716AD18A" w14:textId="573F0568" w:rsidR="007B4747" w:rsidRPr="00570AA9" w:rsidRDefault="007B4747" w:rsidP="007B4747">
            <w:pPr>
              <w:pStyle w:val="ListParagraph"/>
              <w:ind w:left="0"/>
              <w:rPr>
                <w:rFonts w:ascii="Times New Roman" w:hAnsi="Times New Roman"/>
                <w:sz w:val="24"/>
                <w:szCs w:val="24"/>
              </w:rPr>
            </w:pPr>
            <w:r w:rsidRPr="00570AA9">
              <w:rPr>
                <w:rFonts w:ascii="Times New Roman" w:hAnsi="Times New Roman"/>
                <w:sz w:val="24"/>
                <w:szCs w:val="24"/>
              </w:rPr>
              <w:t>Who were continuously enrolled</w:t>
            </w:r>
            <w:r>
              <w:rPr>
                <w:rFonts w:ascii="Times New Roman" w:hAnsi="Times New Roman"/>
                <w:sz w:val="24"/>
                <w:szCs w:val="24"/>
              </w:rPr>
              <w:t xml:space="preserve"> </w:t>
            </w:r>
            <w:r w:rsidRPr="00570AA9">
              <w:rPr>
                <w:rFonts w:ascii="Times New Roman" w:hAnsi="Times New Roman"/>
                <w:sz w:val="24"/>
                <w:szCs w:val="24"/>
              </w:rPr>
              <w:t>for a period of over 365 days and are overdue for a reassessment HRA.</w:t>
            </w:r>
          </w:p>
          <w:p w14:paraId="36B0278E" w14:textId="77777777" w:rsidR="0075567C" w:rsidRDefault="0075567C" w:rsidP="0075567C">
            <w:pPr>
              <w:pStyle w:val="ListParagraph"/>
              <w:ind w:left="0"/>
              <w:rPr>
                <w:rFonts w:ascii="Times New Roman" w:hAnsi="Times New Roman"/>
                <w:sz w:val="24"/>
                <w:szCs w:val="24"/>
              </w:rPr>
            </w:pPr>
          </w:p>
          <w:p w14:paraId="3D054F9D" w14:textId="2716D16D" w:rsidR="004F1E0E" w:rsidRDefault="004F1E0E" w:rsidP="0075567C">
            <w:pPr>
              <w:pStyle w:val="ListParagraph"/>
              <w:ind w:left="0"/>
              <w:rPr>
                <w:rFonts w:ascii="Times New Roman" w:hAnsi="Times New Roman"/>
                <w:sz w:val="24"/>
                <w:szCs w:val="24"/>
              </w:rPr>
            </w:pPr>
            <w:r>
              <w:rPr>
                <w:rFonts w:ascii="Times New Roman" w:hAnsi="Times New Roman"/>
                <w:sz w:val="24"/>
                <w:szCs w:val="24"/>
              </w:rPr>
              <w:t xml:space="preserve">Who were continuously enrolled for 365 </w:t>
            </w:r>
            <w:r w:rsidR="00187FAF">
              <w:rPr>
                <w:rFonts w:ascii="Times New Roman" w:hAnsi="Times New Roman"/>
                <w:sz w:val="24"/>
                <w:szCs w:val="24"/>
              </w:rPr>
              <w:t>days</w:t>
            </w:r>
            <w:r>
              <w:rPr>
                <w:rFonts w:ascii="Times New Roman" w:hAnsi="Times New Roman"/>
                <w:sz w:val="24"/>
                <w:szCs w:val="24"/>
              </w:rPr>
              <w:t xml:space="preserve"> or more, and never completed an HRA. </w:t>
            </w:r>
          </w:p>
          <w:p w14:paraId="214EBF21" w14:textId="77777777" w:rsidR="004F1E0E" w:rsidRDefault="004F1E0E" w:rsidP="0075567C">
            <w:pPr>
              <w:pStyle w:val="ListParagraph"/>
              <w:ind w:left="0"/>
              <w:rPr>
                <w:rFonts w:ascii="Times New Roman" w:hAnsi="Times New Roman"/>
                <w:sz w:val="24"/>
                <w:szCs w:val="24"/>
              </w:rPr>
            </w:pPr>
          </w:p>
          <w:p w14:paraId="281487F2" w14:textId="65071B92" w:rsidR="0075567C" w:rsidRDefault="004F1E0E" w:rsidP="0075567C">
            <w:pPr>
              <w:pStyle w:val="ListParagraph"/>
              <w:ind w:left="0"/>
              <w:rPr>
                <w:rFonts w:ascii="Times New Roman" w:hAnsi="Times New Roman"/>
                <w:sz w:val="24"/>
                <w:szCs w:val="24"/>
              </w:rPr>
            </w:pPr>
            <w:r>
              <w:rPr>
                <w:rFonts w:ascii="Times New Roman" w:hAnsi="Times New Roman"/>
                <w:sz w:val="24"/>
                <w:szCs w:val="24"/>
              </w:rPr>
              <w:t>A member is considered enrolled for 365 days if they are enrolled from 1/1/17 to 12/31/17</w:t>
            </w:r>
            <w:r w:rsidR="0075567C" w:rsidRPr="004378BA">
              <w:rPr>
                <w:rFonts w:ascii="Times New Roman" w:hAnsi="Times New Roman"/>
                <w:sz w:val="24"/>
                <w:szCs w:val="24"/>
              </w:rPr>
              <w:t>.</w:t>
            </w:r>
          </w:p>
          <w:p w14:paraId="29F59E55" w14:textId="77777777" w:rsidR="007B4747" w:rsidRPr="00570AA9" w:rsidRDefault="007B4747" w:rsidP="007B4747">
            <w:pPr>
              <w:pStyle w:val="ListParagraph"/>
              <w:ind w:left="0"/>
              <w:rPr>
                <w:rFonts w:ascii="Times New Roman" w:hAnsi="Times New Roman"/>
                <w:sz w:val="24"/>
                <w:szCs w:val="24"/>
              </w:rPr>
            </w:pPr>
          </w:p>
          <w:p w14:paraId="014716A6" w14:textId="77777777" w:rsidR="0075567C" w:rsidRDefault="0075567C" w:rsidP="00280E72">
            <w:pPr>
              <w:pStyle w:val="ListParagraph"/>
              <w:ind w:left="0"/>
              <w:rPr>
                <w:rFonts w:ascii="Times New Roman" w:hAnsi="Times New Roman"/>
                <w:sz w:val="24"/>
                <w:szCs w:val="24"/>
              </w:rPr>
            </w:pPr>
          </w:p>
          <w:p w14:paraId="01DB094D" w14:textId="796F15E5" w:rsidR="004D612B" w:rsidRPr="00C36585" w:rsidRDefault="007B4747" w:rsidP="00280E72">
            <w:pPr>
              <w:pStyle w:val="ListParagraph"/>
              <w:ind w:left="0"/>
            </w:pPr>
            <w:r w:rsidRPr="00570AA9">
              <w:rPr>
                <w:rFonts w:ascii="Times New Roman" w:hAnsi="Times New Roman"/>
                <w:sz w:val="24"/>
                <w:szCs w:val="24"/>
              </w:rPr>
              <w:t>Who were continuously enrolled for more than 90 days, but never completed an HRA.</w:t>
            </w:r>
          </w:p>
        </w:tc>
        <w:tc>
          <w:tcPr>
            <w:tcW w:w="2724" w:type="dxa"/>
          </w:tcPr>
          <w:p w14:paraId="4B007137" w14:textId="44472BDD" w:rsidR="00A757EA" w:rsidRPr="00A757EA" w:rsidRDefault="00A757EA" w:rsidP="00B84305">
            <w:pPr>
              <w:rPr>
                <w:u w:val="single"/>
              </w:rPr>
            </w:pPr>
            <w:r w:rsidRPr="00A757EA">
              <w:rPr>
                <w:u w:val="single"/>
              </w:rPr>
              <w:t>Enrollees for whom the initial HRA was completed within the current measurement year.</w:t>
            </w:r>
          </w:p>
        </w:tc>
      </w:tr>
      <w:tr w:rsidR="004D612B" w14:paraId="377278A4" w14:textId="77777777" w:rsidTr="00570AA9">
        <w:trPr>
          <w:trHeight w:val="1925"/>
        </w:trPr>
        <w:tc>
          <w:tcPr>
            <w:tcW w:w="725" w:type="dxa"/>
          </w:tcPr>
          <w:p w14:paraId="1913D452" w14:textId="0FCC07AA" w:rsidR="004D612B" w:rsidRPr="00FA5932" w:rsidRDefault="004D612B" w:rsidP="006639DC">
            <w:r w:rsidRPr="00FA5932">
              <w:lastRenderedPageBreak/>
              <w:t>13.3</w:t>
            </w:r>
          </w:p>
        </w:tc>
        <w:tc>
          <w:tcPr>
            <w:tcW w:w="1903" w:type="dxa"/>
          </w:tcPr>
          <w:p w14:paraId="28C509A9" w14:textId="5D67401F" w:rsidR="004D612B" w:rsidRPr="00FA5932" w:rsidRDefault="004D612B" w:rsidP="006639DC">
            <w:pPr>
              <w:rPr>
                <w:rFonts w:cs="Arial"/>
              </w:rPr>
            </w:pPr>
            <w:r w:rsidRPr="00FA5932">
              <w:t xml:space="preserve">Number of initial HRAs performed on new enrollees </w:t>
            </w:r>
          </w:p>
        </w:tc>
        <w:tc>
          <w:tcPr>
            <w:tcW w:w="4027" w:type="dxa"/>
          </w:tcPr>
          <w:p w14:paraId="45C93B59" w14:textId="77777777" w:rsidR="00B2078E" w:rsidRPr="00FA5932" w:rsidRDefault="004D612B" w:rsidP="00B2078E">
            <w:r w:rsidRPr="00FA5932">
              <w:t xml:space="preserve">Initial HRAs performed on new enrollees (as defined above in data element 13.1) within 90 days before or after </w:t>
            </w:r>
            <w:r w:rsidR="00E2314A" w:rsidRPr="00FA5932">
              <w:t xml:space="preserve">the </w:t>
            </w:r>
            <w:r w:rsidRPr="00FA5932">
              <w:t xml:space="preserve">effective date of enrollment. </w:t>
            </w:r>
          </w:p>
          <w:p w14:paraId="2A1050E4" w14:textId="5D13E04B" w:rsidR="004D612B" w:rsidRPr="00FA5932" w:rsidRDefault="00E2314A" w:rsidP="00B2078E">
            <w:r w:rsidRPr="00FA5932">
              <w:t xml:space="preserve">If the initial HRA is performed in the 90 days prior to the effective enrollment date, it is reported as an initial HRA in the </w:t>
            </w:r>
            <w:r w:rsidR="00DD2D0F" w:rsidRPr="00FA5932">
              <w:t>reporting year in which the effective enrollment date falls</w:t>
            </w:r>
            <w:r w:rsidR="00715604" w:rsidRPr="00FA5932">
              <w:t xml:space="preserve">.  </w:t>
            </w:r>
          </w:p>
        </w:tc>
        <w:tc>
          <w:tcPr>
            <w:tcW w:w="2724" w:type="dxa"/>
          </w:tcPr>
          <w:p w14:paraId="4EFC1305" w14:textId="77777777" w:rsidR="004D612B" w:rsidRPr="00BE3596" w:rsidRDefault="004D612B" w:rsidP="006639DC"/>
        </w:tc>
      </w:tr>
      <w:tr w:rsidR="004D612B" w14:paraId="204A798D" w14:textId="77777777" w:rsidTr="00570AA9">
        <w:tc>
          <w:tcPr>
            <w:tcW w:w="725" w:type="dxa"/>
          </w:tcPr>
          <w:p w14:paraId="3D8AEC8B" w14:textId="77777777" w:rsidR="004D612B" w:rsidRPr="00FA5932" w:rsidRDefault="004D612B" w:rsidP="006639DC">
            <w:r w:rsidRPr="00FA5932">
              <w:t>13.4</w:t>
            </w:r>
          </w:p>
        </w:tc>
        <w:tc>
          <w:tcPr>
            <w:tcW w:w="1903" w:type="dxa"/>
          </w:tcPr>
          <w:p w14:paraId="15A1567B" w14:textId="77777777" w:rsidR="004D612B" w:rsidRPr="00FA5932" w:rsidRDefault="004D612B" w:rsidP="006639DC">
            <w:r w:rsidRPr="00FA5932">
              <w:t>Number of initial HRA refusals</w:t>
            </w:r>
          </w:p>
        </w:tc>
        <w:tc>
          <w:tcPr>
            <w:tcW w:w="4027" w:type="dxa"/>
          </w:tcPr>
          <w:p w14:paraId="697F792F" w14:textId="4F183164" w:rsidR="004D612B" w:rsidRPr="00FA5932" w:rsidRDefault="004D612B" w:rsidP="00B2078E">
            <w:r w:rsidRPr="00FA5932">
              <w:t xml:space="preserve">Initial HRAs not performed on new enrollees within 90 days (before or after) </w:t>
            </w:r>
            <w:r w:rsidR="00C30BE1" w:rsidRPr="00FA5932">
              <w:t xml:space="preserve">of the </w:t>
            </w:r>
            <w:r w:rsidRPr="00FA5932">
              <w:t>effective date of enrollment due to enrollee refusal</w:t>
            </w:r>
            <w:r w:rsidR="00BE3596" w:rsidRPr="00FA5932">
              <w:t xml:space="preserve"> </w:t>
            </w:r>
            <w:r w:rsidR="00B2078E" w:rsidRPr="00FA5932">
              <w:t xml:space="preserve">and </w:t>
            </w:r>
            <w:r w:rsidR="00BE3596" w:rsidRPr="00FA5932">
              <w:t xml:space="preserve">for which the </w:t>
            </w:r>
            <w:r w:rsidR="00B2078E" w:rsidRPr="00FA5932">
              <w:t>SNP</w:t>
            </w:r>
            <w:r w:rsidR="00BE3596" w:rsidRPr="00FA5932">
              <w:t xml:space="preserve"> has documentation of enrollee refusal.</w:t>
            </w:r>
          </w:p>
        </w:tc>
        <w:tc>
          <w:tcPr>
            <w:tcW w:w="2724" w:type="dxa"/>
          </w:tcPr>
          <w:p w14:paraId="5A58EB5F" w14:textId="319E0165" w:rsidR="004D612B" w:rsidRPr="00C36585" w:rsidRDefault="00B2078E" w:rsidP="00B2078E">
            <w:r>
              <w:t>I</w:t>
            </w:r>
            <w:r w:rsidR="004D612B" w:rsidRPr="00C36585">
              <w:t xml:space="preserve">nitial HRAs </w:t>
            </w:r>
            <w:r w:rsidR="00C30BE1" w:rsidRPr="00C36585">
              <w:t>not performed for which</w:t>
            </w:r>
            <w:r w:rsidR="004D612B" w:rsidRPr="00C36585">
              <w:t xml:space="preserve"> there is no documentation o</w:t>
            </w:r>
            <w:r w:rsidR="00C30BE1" w:rsidRPr="00C36585">
              <w:t>f</w:t>
            </w:r>
            <w:r w:rsidR="004D612B" w:rsidRPr="00C36585">
              <w:t xml:space="preserve"> enrollee refusal.</w:t>
            </w:r>
          </w:p>
        </w:tc>
      </w:tr>
      <w:tr w:rsidR="004D612B" w14:paraId="64035415" w14:textId="77777777" w:rsidTr="00570AA9">
        <w:tc>
          <w:tcPr>
            <w:tcW w:w="725" w:type="dxa"/>
          </w:tcPr>
          <w:p w14:paraId="6425C81F" w14:textId="77777777" w:rsidR="004D612B" w:rsidRPr="00FA5932" w:rsidRDefault="004D612B" w:rsidP="006639DC">
            <w:r w:rsidRPr="00FA5932">
              <w:t>13.5</w:t>
            </w:r>
          </w:p>
        </w:tc>
        <w:tc>
          <w:tcPr>
            <w:tcW w:w="1903" w:type="dxa"/>
          </w:tcPr>
          <w:p w14:paraId="187B4C6B" w14:textId="6D3ACEA8" w:rsidR="004D612B" w:rsidRPr="00FA5932" w:rsidRDefault="004D612B" w:rsidP="00C04302">
            <w:r w:rsidRPr="00FA5932">
              <w:t xml:space="preserve">Number of initial HRAs </w:t>
            </w:r>
            <w:r w:rsidR="00C04302">
              <w:t>not performed because</w:t>
            </w:r>
            <w:r w:rsidRPr="00FA5932">
              <w:t xml:space="preserve"> SNP is unable to reach new enrollees</w:t>
            </w:r>
          </w:p>
        </w:tc>
        <w:tc>
          <w:tcPr>
            <w:tcW w:w="4027" w:type="dxa"/>
          </w:tcPr>
          <w:p w14:paraId="3A4C34E2" w14:textId="0D53CCE1" w:rsidR="00BE3596" w:rsidRPr="00FA5932" w:rsidRDefault="004D612B" w:rsidP="00BE3596">
            <w:r w:rsidRPr="00FA5932">
              <w:t xml:space="preserve">Initial HRAs not performed on new enrollees within 90 days </w:t>
            </w:r>
            <w:r w:rsidR="00C30BE1" w:rsidRPr="00FA5932">
              <w:t>(</w:t>
            </w:r>
            <w:r w:rsidRPr="00FA5932">
              <w:t>before or after</w:t>
            </w:r>
            <w:r w:rsidR="00C30BE1" w:rsidRPr="00FA5932">
              <w:t>) of</w:t>
            </w:r>
            <w:r w:rsidRPr="00FA5932">
              <w:t xml:space="preserve"> the effective date of </w:t>
            </w:r>
            <w:r w:rsidR="00C30BE1" w:rsidRPr="00FA5932">
              <w:t xml:space="preserve">enrollment </w:t>
            </w:r>
            <w:r w:rsidRPr="00FA5932">
              <w:t xml:space="preserve">due to </w:t>
            </w:r>
            <w:r w:rsidR="00C30BE1" w:rsidRPr="00FA5932">
              <w:t xml:space="preserve">the </w:t>
            </w:r>
            <w:r w:rsidRPr="00FA5932">
              <w:t xml:space="preserve">SNP </w:t>
            </w:r>
            <w:r w:rsidR="00C30BE1" w:rsidRPr="00FA5932">
              <w:t xml:space="preserve">being </w:t>
            </w:r>
            <w:r w:rsidRPr="00FA5932">
              <w:t>unable to reach new enrollees</w:t>
            </w:r>
            <w:r w:rsidR="00B2078E" w:rsidRPr="00FA5932">
              <w:t xml:space="preserve"> and</w:t>
            </w:r>
            <w:r w:rsidR="00BE3596" w:rsidRPr="00FA5932">
              <w:t xml:space="preserve"> for which the SNP has documentation showing that the enrollee did not respond to the </w:t>
            </w:r>
            <w:r w:rsidR="00B2078E" w:rsidRPr="00FA5932">
              <w:t>SNP</w:t>
            </w:r>
            <w:r w:rsidR="00BE3596" w:rsidRPr="00FA5932">
              <w:t>’s attempts to reach him/her</w:t>
            </w:r>
            <w:r w:rsidR="00715604" w:rsidRPr="00FA5932">
              <w:t xml:space="preserve">.  </w:t>
            </w:r>
            <w:r w:rsidR="00BE3596" w:rsidRPr="00FA5932">
              <w:t xml:space="preserve">Documentation </w:t>
            </w:r>
            <w:r w:rsidR="001663CF" w:rsidRPr="00FA5932">
              <w:t>must show</w:t>
            </w:r>
            <w:r w:rsidR="00BE3596" w:rsidRPr="00FA5932">
              <w:t xml:space="preserve"> that </w:t>
            </w:r>
            <w:r w:rsidR="00C04302">
              <w:t>a</w:t>
            </w:r>
            <w:r w:rsidR="00BE3596" w:rsidRPr="00FA5932">
              <w:t xml:space="preserve"> </w:t>
            </w:r>
            <w:r w:rsidR="001663CF" w:rsidRPr="00FA5932">
              <w:t>SNP</w:t>
            </w:r>
            <w:r w:rsidR="00BE3596" w:rsidRPr="00FA5932">
              <w:t xml:space="preserve"> </w:t>
            </w:r>
            <w:r w:rsidR="00C04302">
              <w:t xml:space="preserve">representative </w:t>
            </w:r>
            <w:r w:rsidR="00BE3596" w:rsidRPr="00FA5932">
              <w:t xml:space="preserve">made at least 3 </w:t>
            </w:r>
            <w:r w:rsidR="005C7141">
              <w:t>“</w:t>
            </w:r>
            <w:r w:rsidR="00C04302">
              <w:t>non-automated</w:t>
            </w:r>
            <w:r w:rsidR="005C7141">
              <w:t>”</w:t>
            </w:r>
            <w:r w:rsidR="00C64262">
              <w:t xml:space="preserve"> </w:t>
            </w:r>
            <w:r w:rsidR="00BE3596" w:rsidRPr="00FA5932">
              <w:t>phone calls and sent a follow-up letter in its attempts to reach the enrollee.</w:t>
            </w:r>
          </w:p>
          <w:p w14:paraId="10354CDC" w14:textId="5C9BC18B" w:rsidR="004D612B" w:rsidRPr="00FA5932" w:rsidRDefault="00BE3596" w:rsidP="00E43B17">
            <w:r w:rsidRPr="00FA5932">
              <w:t xml:space="preserve"> </w:t>
            </w:r>
          </w:p>
          <w:p w14:paraId="4D2F61B6" w14:textId="77777777" w:rsidR="00BE3596" w:rsidRPr="00FA5932" w:rsidRDefault="00BE3596" w:rsidP="00E43B17"/>
        </w:tc>
        <w:tc>
          <w:tcPr>
            <w:tcW w:w="2724" w:type="dxa"/>
          </w:tcPr>
          <w:p w14:paraId="2DC46FD7" w14:textId="5663CCB8" w:rsidR="004D612B" w:rsidRPr="00C36585" w:rsidRDefault="0005043B" w:rsidP="00C04302">
            <w:r>
              <w:t>I</w:t>
            </w:r>
            <w:r w:rsidR="004D612B" w:rsidRPr="00C36585">
              <w:t xml:space="preserve">nitial HRAs </w:t>
            </w:r>
            <w:r w:rsidR="00C30BE1" w:rsidRPr="00C36585">
              <w:t xml:space="preserve">not performed </w:t>
            </w:r>
            <w:r w:rsidR="004D612B" w:rsidRPr="00C36585">
              <w:t xml:space="preserve">where the SNP </w:t>
            </w:r>
            <w:r w:rsidR="00C30BE1" w:rsidRPr="00C36585">
              <w:t xml:space="preserve">does not have </w:t>
            </w:r>
            <w:r w:rsidR="001663CF">
              <w:t>do</w:t>
            </w:r>
            <w:r w:rsidR="00C30BE1" w:rsidRPr="00C36585">
              <w:t xml:space="preserve">cumentation showing that the enrollee did not respond to the </w:t>
            </w:r>
            <w:r w:rsidR="001663CF">
              <w:t>SNP</w:t>
            </w:r>
            <w:r w:rsidR="00C30BE1" w:rsidRPr="00C36585">
              <w:t xml:space="preserve">’s attempts to reach him/her.  </w:t>
            </w:r>
          </w:p>
        </w:tc>
      </w:tr>
      <w:tr w:rsidR="004D612B" w14:paraId="09FEEC9D" w14:textId="77777777" w:rsidTr="00570AA9">
        <w:tc>
          <w:tcPr>
            <w:tcW w:w="725" w:type="dxa"/>
          </w:tcPr>
          <w:p w14:paraId="6EBDA6AF" w14:textId="67D246A5" w:rsidR="004D612B" w:rsidRDefault="004D612B" w:rsidP="006639DC"/>
          <w:p w14:paraId="7CB0677B" w14:textId="77777777" w:rsidR="004D612B" w:rsidRPr="00912B52" w:rsidRDefault="004D612B" w:rsidP="006639DC">
            <w:r>
              <w:t>13.6</w:t>
            </w:r>
          </w:p>
        </w:tc>
        <w:tc>
          <w:tcPr>
            <w:tcW w:w="1903" w:type="dxa"/>
          </w:tcPr>
          <w:p w14:paraId="167EC6B5" w14:textId="2117B727" w:rsidR="004D612B" w:rsidRPr="00BE3596" w:rsidRDefault="004D612B" w:rsidP="006639DC">
            <w:r w:rsidRPr="00BE3596">
              <w:t>Number of annual reassessments performed</w:t>
            </w:r>
            <w:r w:rsidR="00CA1A66">
              <w:t xml:space="preserve"> </w:t>
            </w:r>
            <w:r w:rsidR="00CA1A66" w:rsidRPr="00BE3596">
              <w:t xml:space="preserve">on enrollees eligible for a reassessment </w:t>
            </w:r>
          </w:p>
          <w:p w14:paraId="1899CC52" w14:textId="77777777" w:rsidR="004D612B" w:rsidRPr="00BE3596" w:rsidRDefault="004D612B" w:rsidP="006639DC"/>
          <w:p w14:paraId="5F4032F7" w14:textId="77777777" w:rsidR="004D612B" w:rsidRPr="00BE3596" w:rsidRDefault="004D612B" w:rsidP="006639DC">
            <w:pPr>
              <w:rPr>
                <w:rFonts w:cs="Arial"/>
              </w:rPr>
            </w:pPr>
          </w:p>
        </w:tc>
        <w:tc>
          <w:tcPr>
            <w:tcW w:w="4027" w:type="dxa"/>
          </w:tcPr>
          <w:p w14:paraId="6FFC8F39" w14:textId="77777777" w:rsidR="006D4864" w:rsidRDefault="006D4864" w:rsidP="006D4864">
            <w:r>
              <w:t>Number of annual reassessments performed on enrollees eligible for a reassessment (during the measurement year as defined in element 13.2 above).  This includes:</w:t>
            </w:r>
          </w:p>
          <w:p w14:paraId="470F827B" w14:textId="77777777" w:rsidR="006D4864" w:rsidRDefault="006D4864" w:rsidP="006D4864">
            <w:r>
              <w:t xml:space="preserve">Reassessments performed within 365 days of last HRA (initial or reassessment HRA) on eligible enrollees.  It also includes “first time” assessments occurring within 365 days of initial enrollment on individuals continuously enrolled up to 365 days from enrollment date without having </w:t>
            </w:r>
            <w:r>
              <w:lastRenderedPageBreak/>
              <w:t>received an initial HRA.</w:t>
            </w:r>
          </w:p>
          <w:p w14:paraId="390D7D6E" w14:textId="77777777" w:rsidR="006D4864" w:rsidRDefault="006D4864" w:rsidP="006D4864"/>
          <w:p w14:paraId="0F7CEDDF" w14:textId="4848C74A" w:rsidR="00565965" w:rsidRPr="00BE3596" w:rsidRDefault="006D4864" w:rsidP="009E5E16">
            <w:r>
              <w:t>When an initial assessment is performed in the 90 days prior to the effective enrollment date, the first annual reassessment must completed no more than 365 days after the initial HRA.</w:t>
            </w:r>
          </w:p>
        </w:tc>
        <w:tc>
          <w:tcPr>
            <w:tcW w:w="2724" w:type="dxa"/>
          </w:tcPr>
          <w:p w14:paraId="46BE34DD" w14:textId="77777777" w:rsidR="004D612B" w:rsidRPr="00BE3596" w:rsidRDefault="004D612B" w:rsidP="006639DC"/>
        </w:tc>
      </w:tr>
      <w:tr w:rsidR="004D612B" w14:paraId="3D96BE0C" w14:textId="77777777" w:rsidTr="00570AA9">
        <w:tc>
          <w:tcPr>
            <w:tcW w:w="725" w:type="dxa"/>
          </w:tcPr>
          <w:p w14:paraId="13C7ECD9" w14:textId="77777777" w:rsidR="004D612B" w:rsidRPr="00FA5932" w:rsidDel="00762132" w:rsidRDefault="004D612B" w:rsidP="006639DC">
            <w:r w:rsidRPr="00FA5932">
              <w:t>13.7</w:t>
            </w:r>
          </w:p>
        </w:tc>
        <w:tc>
          <w:tcPr>
            <w:tcW w:w="1903" w:type="dxa"/>
          </w:tcPr>
          <w:p w14:paraId="77D601F1" w14:textId="1CA49B9A" w:rsidR="004D612B" w:rsidRPr="00C36585" w:rsidRDefault="004D612B" w:rsidP="00E43B17">
            <w:r w:rsidRPr="00C36585">
              <w:t>Number of annual reassessment refusals</w:t>
            </w:r>
          </w:p>
        </w:tc>
        <w:tc>
          <w:tcPr>
            <w:tcW w:w="4027" w:type="dxa"/>
          </w:tcPr>
          <w:p w14:paraId="681574D5" w14:textId="6F3BFFF0" w:rsidR="004D612B" w:rsidRPr="00C36585" w:rsidRDefault="004D612B" w:rsidP="0005043B">
            <w:r w:rsidRPr="00C36585">
              <w:t>Annual reassessments not performed due to enrollee refusal</w:t>
            </w:r>
            <w:r w:rsidR="00BE3596">
              <w:t xml:space="preserve"> </w:t>
            </w:r>
            <w:r w:rsidR="007133D8">
              <w:t xml:space="preserve">and </w:t>
            </w:r>
            <w:r w:rsidR="00BE3596">
              <w:t xml:space="preserve">for which </w:t>
            </w:r>
            <w:r w:rsidR="00BE3596" w:rsidRPr="0010558D">
              <w:t>the</w:t>
            </w:r>
            <w:r w:rsidR="00BE3596">
              <w:t xml:space="preserve"> </w:t>
            </w:r>
            <w:r w:rsidR="0005043B">
              <w:t>SNP</w:t>
            </w:r>
            <w:r w:rsidR="00BE3596">
              <w:t xml:space="preserve"> has</w:t>
            </w:r>
            <w:r w:rsidR="00BE3596" w:rsidRPr="0010558D">
              <w:t xml:space="preserve"> documentation of enrollee refusal.</w:t>
            </w:r>
            <w:r w:rsidRPr="00C36585">
              <w:t xml:space="preserve">  </w:t>
            </w:r>
          </w:p>
        </w:tc>
        <w:tc>
          <w:tcPr>
            <w:tcW w:w="2724" w:type="dxa"/>
          </w:tcPr>
          <w:p w14:paraId="1A2FFA01" w14:textId="1B271888" w:rsidR="004D612B" w:rsidRPr="00C36585" w:rsidRDefault="007133D8" w:rsidP="0005043B">
            <w:r>
              <w:t>Annual r</w:t>
            </w:r>
            <w:r w:rsidR="004D612B" w:rsidRPr="00C36585">
              <w:t xml:space="preserve">eassessments </w:t>
            </w:r>
            <w:r>
              <w:t xml:space="preserve">not performed </w:t>
            </w:r>
            <w:r w:rsidR="0005043B">
              <w:t>for which</w:t>
            </w:r>
            <w:r w:rsidR="004D612B" w:rsidRPr="00C36585">
              <w:t xml:space="preserve"> there is no documentation o</w:t>
            </w:r>
            <w:r w:rsidR="00565965" w:rsidRPr="00C36585">
              <w:t>f</w:t>
            </w:r>
            <w:r w:rsidR="004D612B" w:rsidRPr="00C36585">
              <w:t xml:space="preserve"> enrollee refusal.</w:t>
            </w:r>
          </w:p>
        </w:tc>
      </w:tr>
      <w:tr w:rsidR="004D612B" w14:paraId="0E005E13" w14:textId="77777777" w:rsidTr="00570AA9">
        <w:tc>
          <w:tcPr>
            <w:tcW w:w="725" w:type="dxa"/>
          </w:tcPr>
          <w:p w14:paraId="5B05A95A" w14:textId="77777777" w:rsidR="004D612B" w:rsidRPr="00FA5932" w:rsidRDefault="004D612B" w:rsidP="006639DC">
            <w:r w:rsidRPr="00FA5932">
              <w:t>13.8</w:t>
            </w:r>
          </w:p>
        </w:tc>
        <w:tc>
          <w:tcPr>
            <w:tcW w:w="1903" w:type="dxa"/>
          </w:tcPr>
          <w:p w14:paraId="033EB71E" w14:textId="77777777" w:rsidR="004D612B" w:rsidRPr="00C36585" w:rsidRDefault="004D612B" w:rsidP="006639DC">
            <w:r w:rsidRPr="00C36585">
              <w:t>Number of annual reassessments where SNP is unable to reach enrollee</w:t>
            </w:r>
          </w:p>
        </w:tc>
        <w:tc>
          <w:tcPr>
            <w:tcW w:w="4027" w:type="dxa"/>
          </w:tcPr>
          <w:p w14:paraId="1803B013" w14:textId="2B123D39" w:rsidR="004D612B" w:rsidRPr="00C36585" w:rsidRDefault="004D612B" w:rsidP="006639DC">
            <w:r w:rsidRPr="00C36585">
              <w:t xml:space="preserve">Annual reassessments not performed </w:t>
            </w:r>
            <w:r w:rsidR="001D04E4" w:rsidRPr="00C36585">
              <w:t>due to the SN</w:t>
            </w:r>
            <w:r w:rsidRPr="00C36585">
              <w:t>P</w:t>
            </w:r>
            <w:r w:rsidR="001D04E4" w:rsidRPr="00C36585">
              <w:t xml:space="preserve">’s inability </w:t>
            </w:r>
            <w:r w:rsidRPr="00C36585">
              <w:t>to reach enrollees</w:t>
            </w:r>
            <w:r w:rsidR="001D04E4" w:rsidRPr="00C36585">
              <w:t xml:space="preserve"> </w:t>
            </w:r>
            <w:r w:rsidR="0005043B">
              <w:t xml:space="preserve">and </w:t>
            </w:r>
            <w:r w:rsidR="001D04E4" w:rsidRPr="00C36585">
              <w:t>for which the SNP has documentation showing that the enrollee did not respond to the plan’s attempts to reach him/her</w:t>
            </w:r>
            <w:r w:rsidR="00715604" w:rsidRPr="00C36585">
              <w:t xml:space="preserve">.  </w:t>
            </w:r>
            <w:r w:rsidR="001D04E4" w:rsidRPr="00C36585">
              <w:t xml:space="preserve">Documentation </w:t>
            </w:r>
            <w:r w:rsidR="0005043B">
              <w:t xml:space="preserve">must </w:t>
            </w:r>
            <w:r w:rsidR="0005043B" w:rsidRPr="0005043B">
              <w:t>show</w:t>
            </w:r>
            <w:r w:rsidR="001D04E4" w:rsidRPr="00C36585">
              <w:t xml:space="preserve"> that </w:t>
            </w:r>
            <w:r w:rsidR="00C04302">
              <w:t>a</w:t>
            </w:r>
            <w:r w:rsidR="001D04E4" w:rsidRPr="00C36585">
              <w:t xml:space="preserve"> </w:t>
            </w:r>
            <w:r w:rsidR="0005043B">
              <w:t>SNP</w:t>
            </w:r>
            <w:r w:rsidR="00C04302">
              <w:t xml:space="preserve"> representative</w:t>
            </w:r>
            <w:r w:rsidR="001D04E4" w:rsidRPr="00C36585">
              <w:t xml:space="preserve"> made at least 3</w:t>
            </w:r>
            <w:r w:rsidR="00C04302">
              <w:t xml:space="preserve"> non-automated</w:t>
            </w:r>
            <w:r w:rsidR="001D04E4" w:rsidRPr="00C36585">
              <w:t xml:space="preserve"> phone calls and sent a follow-up letter in its attempts to reach the enrollee</w:t>
            </w:r>
            <w:r w:rsidR="00BE3596" w:rsidRPr="00C36585">
              <w:t>.</w:t>
            </w:r>
          </w:p>
          <w:p w14:paraId="608688E4" w14:textId="77777777" w:rsidR="004D612B" w:rsidRPr="00C36585" w:rsidRDefault="004D612B" w:rsidP="006639DC"/>
        </w:tc>
        <w:tc>
          <w:tcPr>
            <w:tcW w:w="2724" w:type="dxa"/>
          </w:tcPr>
          <w:p w14:paraId="243E8851" w14:textId="67EB7963" w:rsidR="004D612B" w:rsidRPr="00C36585" w:rsidRDefault="0005043B" w:rsidP="0005043B">
            <w:r>
              <w:t>A</w:t>
            </w:r>
            <w:r w:rsidR="00565965" w:rsidRPr="00C36585">
              <w:t xml:space="preserve">nnual reassessments not performed </w:t>
            </w:r>
            <w:r>
              <w:t>for which th</w:t>
            </w:r>
            <w:r w:rsidR="00565965" w:rsidRPr="00C36585">
              <w:t xml:space="preserve">e SNP does not have documentation showing that the enrollee did not respond to the </w:t>
            </w:r>
            <w:r>
              <w:t>SNP</w:t>
            </w:r>
            <w:r w:rsidR="00565965" w:rsidRPr="00C36585">
              <w:t>’s attempts to reach him/her</w:t>
            </w:r>
            <w:r w:rsidR="00715604" w:rsidRPr="00C36585">
              <w:t xml:space="preserve">.  </w:t>
            </w:r>
            <w:r>
              <w:t>Required d</w:t>
            </w:r>
            <w:r w:rsidRPr="009A783D">
              <w:t xml:space="preserve">ocumentation </w:t>
            </w:r>
            <w:r>
              <w:t>of SNP’s attempts to contact the enrollee</w:t>
            </w:r>
            <w:r w:rsidRPr="009A783D">
              <w:t xml:space="preserve"> show that the </w:t>
            </w:r>
            <w:r>
              <w:t>SNP</w:t>
            </w:r>
            <w:r w:rsidRPr="009A783D">
              <w:t xml:space="preserve"> made at least 3 phone calls and sent a follow-up letter in its attempts to reach the enrollee</w:t>
            </w:r>
            <w:r>
              <w:t>.</w:t>
            </w:r>
          </w:p>
        </w:tc>
      </w:tr>
    </w:tbl>
    <w:p w14:paraId="7F0D8DAC" w14:textId="77777777" w:rsidR="007546E3" w:rsidRDefault="007546E3" w:rsidP="004D612B"/>
    <w:p w14:paraId="3F25BFCA" w14:textId="33449178" w:rsidR="004D612B" w:rsidRPr="00570AA9" w:rsidRDefault="00B9542A" w:rsidP="004D612B">
      <w:r w:rsidRPr="00570AA9">
        <w:t>* The</w:t>
      </w:r>
      <w:r w:rsidR="00B74A03" w:rsidRPr="00570AA9">
        <w:t xml:space="preserve"> “measurement year” is the same as the calendar year for this version of these technical specifications.</w:t>
      </w:r>
    </w:p>
    <w:p w14:paraId="3CF0DAFA" w14:textId="77777777" w:rsidR="007546E3" w:rsidRDefault="007546E3" w:rsidP="004D612B"/>
    <w:p w14:paraId="3BC85A27" w14:textId="4095959F" w:rsidR="00B74A03" w:rsidRPr="00570AA9" w:rsidRDefault="00957E76" w:rsidP="004D612B">
      <w:r w:rsidRPr="00570AA9">
        <w:t xml:space="preserve">** If a new enrollee does not receive an initial HRA within 90 days of </w:t>
      </w:r>
      <w:r w:rsidR="00187FAF" w:rsidRPr="00570AA9">
        <w:t>enrollment that</w:t>
      </w:r>
      <w:r w:rsidRPr="00570AA9">
        <w:t xml:space="preserve"> enrollee’s annual HRA is due to be completed within 365 days of enrollment.  A new enrollee who receives an HRA within 90 days of enrollment is due to complete a reassessment HRA no more than 365 days after the initial HRA was completed.  </w:t>
      </w:r>
    </w:p>
    <w:p w14:paraId="2CFFA7D0" w14:textId="77777777" w:rsidR="00957E76" w:rsidRDefault="00957E76" w:rsidP="004D612B">
      <w:pPr>
        <w:rPr>
          <w:u w:val="single"/>
        </w:rPr>
      </w:pPr>
    </w:p>
    <w:p w14:paraId="263B8DC3" w14:textId="77777777" w:rsidR="004D612B" w:rsidRPr="00833A96" w:rsidRDefault="004D612B" w:rsidP="004D612B">
      <w:pPr>
        <w:rPr>
          <w:b/>
        </w:rPr>
      </w:pPr>
      <w:r w:rsidRPr="00833A96">
        <w:rPr>
          <w:b/>
        </w:rPr>
        <w:t>Notes:</w:t>
      </w:r>
    </w:p>
    <w:p w14:paraId="55BA4276" w14:textId="77777777" w:rsidR="004D612B" w:rsidRDefault="004D612B" w:rsidP="004D612B">
      <w:pPr>
        <w:rPr>
          <w:u w:val="single"/>
        </w:rPr>
      </w:pPr>
    </w:p>
    <w:p w14:paraId="659493CA" w14:textId="77777777" w:rsidR="004D612B" w:rsidRPr="000371A0" w:rsidRDefault="004D612B" w:rsidP="00570AA9">
      <w:pPr>
        <w:pStyle w:val="ListParagraph"/>
        <w:numPr>
          <w:ilvl w:val="0"/>
          <w:numId w:val="41"/>
        </w:numPr>
      </w:pPr>
      <w:r w:rsidRPr="00570AA9">
        <w:rPr>
          <w:rFonts w:ascii="Times New Roman" w:hAnsi="Times New Roman"/>
          <w:sz w:val="24"/>
          <w:szCs w:val="24"/>
        </w:rPr>
        <w:t xml:space="preserve">This reporting section requires direct data entry into HPMS. </w:t>
      </w:r>
    </w:p>
    <w:p w14:paraId="0FF68DF1" w14:textId="77777777" w:rsidR="004D612B" w:rsidRPr="00D5478B" w:rsidRDefault="004D612B" w:rsidP="004D612B"/>
    <w:p w14:paraId="3563A378" w14:textId="0E576D81" w:rsidR="00BE3596" w:rsidRPr="000371A0" w:rsidRDefault="004D612B" w:rsidP="00570AA9">
      <w:pPr>
        <w:pStyle w:val="ListParagraph"/>
        <w:numPr>
          <w:ilvl w:val="0"/>
          <w:numId w:val="41"/>
        </w:numPr>
      </w:pPr>
      <w:r w:rsidRPr="00570AA9">
        <w:rPr>
          <w:rFonts w:ascii="Times New Roman" w:hAnsi="Times New Roman"/>
          <w:sz w:val="24"/>
          <w:szCs w:val="24"/>
        </w:rPr>
        <w:t xml:space="preserve">For Part C reporting, there </w:t>
      </w:r>
      <w:r w:rsidR="00C04302" w:rsidRPr="00570AA9">
        <w:rPr>
          <w:rFonts w:ascii="Times New Roman" w:hAnsi="Times New Roman"/>
          <w:sz w:val="24"/>
          <w:szCs w:val="24"/>
        </w:rPr>
        <w:t>are</w:t>
      </w:r>
      <w:r w:rsidRPr="00570AA9">
        <w:rPr>
          <w:rFonts w:ascii="Times New Roman" w:hAnsi="Times New Roman"/>
          <w:sz w:val="24"/>
          <w:szCs w:val="24"/>
        </w:rPr>
        <w:t xml:space="preserve"> never</w:t>
      </w:r>
      <w:r w:rsidR="00C04302" w:rsidRPr="00570AA9">
        <w:rPr>
          <w:rFonts w:ascii="Times New Roman" w:hAnsi="Times New Roman"/>
          <w:sz w:val="24"/>
          <w:szCs w:val="24"/>
        </w:rPr>
        <w:t xml:space="preserve"> to</w:t>
      </w:r>
      <w:r w:rsidRPr="00570AA9">
        <w:rPr>
          <w:rFonts w:ascii="Times New Roman" w:hAnsi="Times New Roman"/>
          <w:sz w:val="24"/>
          <w:szCs w:val="24"/>
        </w:rPr>
        <w:t xml:space="preserve"> be more than 365 days between Health Risk Assessment</w:t>
      </w:r>
      <w:r w:rsidR="0005043B" w:rsidRPr="00570AA9">
        <w:rPr>
          <w:rFonts w:ascii="Times New Roman" w:hAnsi="Times New Roman"/>
          <w:sz w:val="24"/>
          <w:szCs w:val="24"/>
        </w:rPr>
        <w:t>s</w:t>
      </w:r>
      <w:r w:rsidRPr="00570AA9">
        <w:rPr>
          <w:rFonts w:ascii="Times New Roman" w:hAnsi="Times New Roman"/>
          <w:sz w:val="24"/>
          <w:szCs w:val="24"/>
        </w:rPr>
        <w:t xml:space="preserve"> (HRAs) for</w:t>
      </w:r>
      <w:r w:rsidR="000B775C" w:rsidRPr="00570AA9">
        <w:rPr>
          <w:rFonts w:ascii="Times New Roman" w:hAnsi="Times New Roman"/>
          <w:sz w:val="24"/>
          <w:szCs w:val="24"/>
        </w:rPr>
        <w:t xml:space="preserve"> enrollees in</w:t>
      </w:r>
      <w:r w:rsidRPr="00570AA9">
        <w:rPr>
          <w:rFonts w:ascii="Times New Roman" w:hAnsi="Times New Roman"/>
          <w:sz w:val="24"/>
          <w:szCs w:val="24"/>
        </w:rPr>
        <w:t xml:space="preserve"> special needs plans</w:t>
      </w:r>
      <w:r w:rsidR="00715604" w:rsidRPr="00570AA9">
        <w:rPr>
          <w:rFonts w:ascii="Times New Roman" w:hAnsi="Times New Roman"/>
          <w:sz w:val="24"/>
          <w:szCs w:val="24"/>
        </w:rPr>
        <w:t xml:space="preserve">.  </w:t>
      </w:r>
      <w:r w:rsidR="0005043B" w:rsidRPr="00570AA9">
        <w:rPr>
          <w:rFonts w:ascii="Times New Roman" w:hAnsi="Times New Roman"/>
          <w:sz w:val="24"/>
          <w:szCs w:val="24"/>
        </w:rPr>
        <w:t xml:space="preserve">SNPs are required to conduct an </w:t>
      </w:r>
      <w:r w:rsidRPr="00570AA9">
        <w:rPr>
          <w:rFonts w:ascii="Times New Roman" w:hAnsi="Times New Roman"/>
          <w:sz w:val="24"/>
          <w:szCs w:val="24"/>
        </w:rPr>
        <w:t xml:space="preserve">initial HRA within 90 days before or after </w:t>
      </w:r>
      <w:r w:rsidR="00CD292C" w:rsidRPr="00570AA9">
        <w:rPr>
          <w:rFonts w:ascii="Times New Roman" w:hAnsi="Times New Roman"/>
          <w:sz w:val="24"/>
          <w:szCs w:val="24"/>
        </w:rPr>
        <w:t>a</w:t>
      </w:r>
      <w:r w:rsidRPr="00570AA9">
        <w:rPr>
          <w:rFonts w:ascii="Times New Roman" w:hAnsi="Times New Roman"/>
          <w:bCs/>
          <w:sz w:val="24"/>
          <w:szCs w:val="24"/>
        </w:rPr>
        <w:t xml:space="preserve"> </w:t>
      </w:r>
      <w:r w:rsidR="00CD292C" w:rsidRPr="00570AA9">
        <w:rPr>
          <w:rFonts w:ascii="Times New Roman" w:hAnsi="Times New Roman"/>
          <w:bCs/>
          <w:sz w:val="24"/>
          <w:szCs w:val="24"/>
        </w:rPr>
        <w:t xml:space="preserve">beneficiary’s </w:t>
      </w:r>
      <w:r w:rsidRPr="00570AA9">
        <w:rPr>
          <w:rFonts w:ascii="Times New Roman" w:hAnsi="Times New Roman"/>
          <w:bCs/>
          <w:sz w:val="24"/>
          <w:szCs w:val="24"/>
        </w:rPr>
        <w:t xml:space="preserve">effective </w:t>
      </w:r>
      <w:r w:rsidRPr="00570AA9">
        <w:rPr>
          <w:rFonts w:ascii="Times New Roman" w:hAnsi="Times New Roman"/>
          <w:sz w:val="24"/>
          <w:szCs w:val="24"/>
        </w:rPr>
        <w:t>enrollment</w:t>
      </w:r>
      <w:r w:rsidR="0005043B" w:rsidRPr="00570AA9">
        <w:rPr>
          <w:rFonts w:ascii="Times New Roman" w:hAnsi="Times New Roman"/>
          <w:sz w:val="24"/>
          <w:szCs w:val="24"/>
        </w:rPr>
        <w:t xml:space="preserve"> date</w:t>
      </w:r>
      <w:r w:rsidR="00715604" w:rsidRPr="00570AA9">
        <w:rPr>
          <w:rFonts w:ascii="Times New Roman" w:hAnsi="Times New Roman"/>
          <w:sz w:val="24"/>
          <w:szCs w:val="24"/>
        </w:rPr>
        <w:t xml:space="preserve">.  </w:t>
      </w:r>
      <w:r w:rsidRPr="00570AA9">
        <w:rPr>
          <w:rFonts w:ascii="Times New Roman" w:hAnsi="Times New Roman"/>
          <w:sz w:val="24"/>
          <w:szCs w:val="24"/>
        </w:rPr>
        <w:t>Initial HRAs co</w:t>
      </w:r>
      <w:r w:rsidR="0005043B" w:rsidRPr="00570AA9">
        <w:rPr>
          <w:rFonts w:ascii="Times New Roman" w:hAnsi="Times New Roman"/>
          <w:sz w:val="24"/>
          <w:szCs w:val="24"/>
        </w:rPr>
        <w:t>nducted</w:t>
      </w:r>
      <w:r w:rsidRPr="00570AA9">
        <w:rPr>
          <w:rFonts w:ascii="Times New Roman" w:hAnsi="Times New Roman"/>
          <w:sz w:val="24"/>
          <w:szCs w:val="24"/>
        </w:rPr>
        <w:t xml:space="preserve"> prior to the </w:t>
      </w:r>
      <w:r w:rsidR="000B775C" w:rsidRPr="00570AA9">
        <w:rPr>
          <w:rFonts w:ascii="Times New Roman" w:hAnsi="Times New Roman"/>
          <w:sz w:val="24"/>
          <w:szCs w:val="24"/>
        </w:rPr>
        <w:t>effective</w:t>
      </w:r>
      <w:r w:rsidR="0005043B" w:rsidRPr="00570AA9">
        <w:rPr>
          <w:rFonts w:ascii="Times New Roman" w:hAnsi="Times New Roman"/>
          <w:sz w:val="24"/>
          <w:szCs w:val="24"/>
        </w:rPr>
        <w:t xml:space="preserve"> enrollment</w:t>
      </w:r>
      <w:r w:rsidR="000B775C" w:rsidRPr="00570AA9">
        <w:rPr>
          <w:rFonts w:ascii="Times New Roman" w:hAnsi="Times New Roman"/>
          <w:sz w:val="24"/>
          <w:szCs w:val="24"/>
        </w:rPr>
        <w:t xml:space="preserve"> </w:t>
      </w:r>
      <w:r w:rsidRPr="00570AA9">
        <w:rPr>
          <w:rFonts w:ascii="Times New Roman" w:hAnsi="Times New Roman"/>
          <w:sz w:val="24"/>
          <w:szCs w:val="24"/>
        </w:rPr>
        <w:t>date</w:t>
      </w:r>
      <w:r w:rsidR="000B775C" w:rsidRPr="00570AA9">
        <w:rPr>
          <w:rFonts w:ascii="Times New Roman" w:hAnsi="Times New Roman"/>
          <w:sz w:val="24"/>
          <w:szCs w:val="24"/>
        </w:rPr>
        <w:t xml:space="preserve"> are counted as initial HRAs </w:t>
      </w:r>
      <w:r w:rsidR="000B775C" w:rsidRPr="00570AA9">
        <w:rPr>
          <w:rFonts w:ascii="Times New Roman" w:hAnsi="Times New Roman"/>
          <w:sz w:val="24"/>
          <w:szCs w:val="24"/>
        </w:rPr>
        <w:lastRenderedPageBreak/>
        <w:t xml:space="preserve">in the </w:t>
      </w:r>
      <w:r w:rsidR="00CD292C" w:rsidRPr="00570AA9">
        <w:rPr>
          <w:rFonts w:ascii="Times New Roman" w:hAnsi="Times New Roman"/>
          <w:sz w:val="24"/>
          <w:szCs w:val="24"/>
        </w:rPr>
        <w:t>year in which the effective enrollment date falls</w:t>
      </w:r>
      <w:r w:rsidR="00715604" w:rsidRPr="00570AA9">
        <w:rPr>
          <w:rFonts w:ascii="Times New Roman" w:hAnsi="Times New Roman"/>
          <w:sz w:val="24"/>
          <w:szCs w:val="24"/>
        </w:rPr>
        <w:t xml:space="preserve">.  </w:t>
      </w:r>
      <w:r w:rsidR="000B775C" w:rsidRPr="00570AA9">
        <w:rPr>
          <w:rFonts w:ascii="Times New Roman" w:hAnsi="Times New Roman"/>
          <w:sz w:val="24"/>
          <w:szCs w:val="24"/>
        </w:rPr>
        <w:t>For example, an initial HRA performed on November 23, 201</w:t>
      </w:r>
      <w:r w:rsidR="006F3E9A" w:rsidRPr="00570AA9">
        <w:rPr>
          <w:rFonts w:ascii="Times New Roman" w:hAnsi="Times New Roman"/>
          <w:sz w:val="24"/>
          <w:szCs w:val="24"/>
        </w:rPr>
        <w:t>6</w:t>
      </w:r>
      <w:r w:rsidR="000B775C" w:rsidRPr="00570AA9">
        <w:rPr>
          <w:rFonts w:ascii="Times New Roman" w:hAnsi="Times New Roman"/>
          <w:sz w:val="24"/>
          <w:szCs w:val="24"/>
        </w:rPr>
        <w:t xml:space="preserve"> for an enrollee with an effective date of enrollment of January 1, 201</w:t>
      </w:r>
      <w:r w:rsidR="006F3E9A" w:rsidRPr="00570AA9">
        <w:rPr>
          <w:rFonts w:ascii="Times New Roman" w:hAnsi="Times New Roman"/>
          <w:sz w:val="24"/>
          <w:szCs w:val="24"/>
        </w:rPr>
        <w:t>7</w:t>
      </w:r>
      <w:r w:rsidR="000B775C" w:rsidRPr="00570AA9">
        <w:rPr>
          <w:rFonts w:ascii="Times New Roman" w:hAnsi="Times New Roman"/>
          <w:sz w:val="24"/>
          <w:szCs w:val="24"/>
        </w:rPr>
        <w:t xml:space="preserve"> would be counted as an initial HRA </w:t>
      </w:r>
      <w:r w:rsidR="0088238C" w:rsidRPr="00570AA9">
        <w:rPr>
          <w:rFonts w:ascii="Times New Roman" w:hAnsi="Times New Roman"/>
          <w:sz w:val="24"/>
          <w:szCs w:val="24"/>
        </w:rPr>
        <w:t>in 201</w:t>
      </w:r>
      <w:r w:rsidR="00994BA9" w:rsidRPr="00570AA9">
        <w:rPr>
          <w:rFonts w:ascii="Times New Roman" w:hAnsi="Times New Roman"/>
          <w:sz w:val="24"/>
          <w:szCs w:val="24"/>
        </w:rPr>
        <w:t>7</w:t>
      </w:r>
      <w:r w:rsidR="000B775C" w:rsidRPr="00570AA9">
        <w:rPr>
          <w:rFonts w:ascii="Times New Roman" w:hAnsi="Times New Roman"/>
          <w:sz w:val="24"/>
          <w:szCs w:val="24"/>
        </w:rPr>
        <w:t xml:space="preserve">.  </w:t>
      </w:r>
      <w:r w:rsidRPr="00570AA9">
        <w:rPr>
          <w:rFonts w:ascii="Times New Roman" w:hAnsi="Times New Roman"/>
          <w:sz w:val="24"/>
          <w:szCs w:val="24"/>
        </w:rPr>
        <w:t>A SNP should not perform</w:t>
      </w:r>
      <w:r w:rsidR="000B775C" w:rsidRPr="00570AA9">
        <w:rPr>
          <w:rFonts w:ascii="Times New Roman" w:hAnsi="Times New Roman"/>
          <w:sz w:val="24"/>
          <w:szCs w:val="24"/>
        </w:rPr>
        <w:t>,</w:t>
      </w:r>
      <w:r w:rsidRPr="00570AA9">
        <w:rPr>
          <w:rFonts w:ascii="Times New Roman" w:hAnsi="Times New Roman"/>
          <w:sz w:val="24"/>
          <w:szCs w:val="24"/>
        </w:rPr>
        <w:t xml:space="preserve"> or report on</w:t>
      </w:r>
      <w:r w:rsidR="000B775C" w:rsidRPr="00570AA9">
        <w:rPr>
          <w:rFonts w:ascii="Times New Roman" w:hAnsi="Times New Roman"/>
          <w:sz w:val="24"/>
          <w:szCs w:val="24"/>
        </w:rPr>
        <w:t>,</w:t>
      </w:r>
      <w:r w:rsidRPr="00570AA9">
        <w:rPr>
          <w:rFonts w:ascii="Times New Roman" w:hAnsi="Times New Roman"/>
          <w:sz w:val="24"/>
          <w:szCs w:val="24"/>
        </w:rPr>
        <w:t xml:space="preserve"> a HRA if the beneficiary is not yet determined to be eligible to enroll in the SNP. </w:t>
      </w:r>
    </w:p>
    <w:p w14:paraId="1E9DE5BA" w14:textId="77777777" w:rsidR="00BE3596" w:rsidRPr="00D5478B" w:rsidRDefault="00BE3596" w:rsidP="004D612B"/>
    <w:p w14:paraId="4A4F3420" w14:textId="2B6D6039" w:rsidR="00CD292C" w:rsidRPr="000371A0" w:rsidRDefault="004D612B" w:rsidP="00570AA9">
      <w:pPr>
        <w:pStyle w:val="ListParagraph"/>
        <w:numPr>
          <w:ilvl w:val="0"/>
          <w:numId w:val="41"/>
        </w:numPr>
      </w:pPr>
      <w:r w:rsidRPr="00570AA9">
        <w:rPr>
          <w:rFonts w:ascii="Times New Roman" w:hAnsi="Times New Roman"/>
          <w:sz w:val="24"/>
          <w:szCs w:val="24"/>
        </w:rPr>
        <w:t xml:space="preserve">If there is no HRA occurring within 90 days (before or after) </w:t>
      </w:r>
      <w:r w:rsidR="00CD292C" w:rsidRPr="00570AA9">
        <w:rPr>
          <w:rFonts w:ascii="Times New Roman" w:hAnsi="Times New Roman"/>
          <w:sz w:val="24"/>
          <w:szCs w:val="24"/>
        </w:rPr>
        <w:t xml:space="preserve">of </w:t>
      </w:r>
      <w:r w:rsidRPr="00570AA9">
        <w:rPr>
          <w:rFonts w:ascii="Times New Roman" w:hAnsi="Times New Roman"/>
          <w:sz w:val="24"/>
          <w:szCs w:val="24"/>
        </w:rPr>
        <w:t>the</w:t>
      </w:r>
      <w:r w:rsidRPr="00570AA9">
        <w:rPr>
          <w:rFonts w:ascii="Times New Roman" w:hAnsi="Times New Roman"/>
          <w:bCs/>
          <w:sz w:val="24"/>
          <w:szCs w:val="24"/>
        </w:rPr>
        <w:t xml:space="preserve"> effective </w:t>
      </w:r>
      <w:r w:rsidRPr="00570AA9">
        <w:rPr>
          <w:rFonts w:ascii="Times New Roman" w:hAnsi="Times New Roman"/>
          <w:sz w:val="24"/>
          <w:szCs w:val="24"/>
        </w:rPr>
        <w:t xml:space="preserve">enrollment </w:t>
      </w:r>
      <w:r w:rsidRPr="00570AA9">
        <w:rPr>
          <w:rFonts w:ascii="Times New Roman" w:hAnsi="Times New Roman"/>
          <w:bCs/>
          <w:sz w:val="24"/>
          <w:szCs w:val="24"/>
        </w:rPr>
        <w:t>date</w:t>
      </w:r>
      <w:r w:rsidRPr="00570AA9">
        <w:rPr>
          <w:rFonts w:ascii="Times New Roman" w:hAnsi="Times New Roman"/>
          <w:sz w:val="24"/>
          <w:szCs w:val="24"/>
        </w:rPr>
        <w:t xml:space="preserve">, </w:t>
      </w:r>
      <w:r w:rsidR="00CD292C" w:rsidRPr="00570AA9">
        <w:rPr>
          <w:rFonts w:ascii="Times New Roman" w:hAnsi="Times New Roman"/>
          <w:sz w:val="24"/>
          <w:szCs w:val="24"/>
        </w:rPr>
        <w:t xml:space="preserve">the SNP is to complete </w:t>
      </w:r>
      <w:r w:rsidRPr="00570AA9">
        <w:rPr>
          <w:rFonts w:ascii="Times New Roman" w:hAnsi="Times New Roman"/>
          <w:sz w:val="24"/>
          <w:szCs w:val="24"/>
        </w:rPr>
        <w:t>a HRA as soon as possible</w:t>
      </w:r>
      <w:r w:rsidR="00715604" w:rsidRPr="00570AA9">
        <w:rPr>
          <w:rFonts w:ascii="Times New Roman" w:hAnsi="Times New Roman"/>
          <w:sz w:val="24"/>
          <w:szCs w:val="24"/>
        </w:rPr>
        <w:t xml:space="preserve">.  </w:t>
      </w:r>
      <w:r w:rsidR="00CD292C" w:rsidRPr="00570AA9">
        <w:rPr>
          <w:rFonts w:ascii="Times New Roman" w:hAnsi="Times New Roman"/>
          <w:sz w:val="24"/>
          <w:szCs w:val="24"/>
        </w:rPr>
        <w:t>In this case, the HRA would be considered a reassessment.</w:t>
      </w:r>
    </w:p>
    <w:p w14:paraId="2D2C1C50" w14:textId="77777777" w:rsidR="00CD292C" w:rsidRPr="00D5478B" w:rsidRDefault="00CD292C" w:rsidP="004D612B"/>
    <w:p w14:paraId="0EBD0B6E" w14:textId="4CEFECEE" w:rsidR="000B775C" w:rsidRPr="000371A0" w:rsidRDefault="004D612B" w:rsidP="00570AA9">
      <w:pPr>
        <w:pStyle w:val="ListParagraph"/>
        <w:numPr>
          <w:ilvl w:val="0"/>
          <w:numId w:val="41"/>
        </w:numPr>
      </w:pPr>
      <w:r w:rsidRPr="00570AA9">
        <w:rPr>
          <w:rFonts w:ascii="Times New Roman" w:hAnsi="Times New Roman"/>
          <w:sz w:val="24"/>
          <w:szCs w:val="24"/>
        </w:rPr>
        <w:t xml:space="preserve">Note that, if the initial HRA is not completed within 90 days before or after </w:t>
      </w:r>
      <w:r w:rsidRPr="00570AA9">
        <w:rPr>
          <w:rFonts w:ascii="Times New Roman" w:hAnsi="Times New Roman"/>
          <w:bCs/>
          <w:sz w:val="24"/>
          <w:szCs w:val="24"/>
        </w:rPr>
        <w:t>the</w:t>
      </w:r>
      <w:r w:rsidRPr="00570AA9">
        <w:rPr>
          <w:rFonts w:ascii="Times New Roman" w:hAnsi="Times New Roman"/>
          <w:sz w:val="24"/>
          <w:szCs w:val="24"/>
        </w:rPr>
        <w:t xml:space="preserve"> </w:t>
      </w:r>
      <w:r w:rsidRPr="00570AA9">
        <w:rPr>
          <w:rFonts w:ascii="Times New Roman" w:hAnsi="Times New Roman"/>
          <w:bCs/>
          <w:sz w:val="24"/>
          <w:szCs w:val="24"/>
        </w:rPr>
        <w:t>effective</w:t>
      </w:r>
      <w:r w:rsidRPr="00570AA9">
        <w:rPr>
          <w:rFonts w:ascii="Times New Roman" w:hAnsi="Times New Roman"/>
          <w:sz w:val="24"/>
          <w:szCs w:val="24"/>
        </w:rPr>
        <w:t xml:space="preserve"> enrollment </w:t>
      </w:r>
      <w:r w:rsidRPr="00570AA9">
        <w:rPr>
          <w:rFonts w:ascii="Times New Roman" w:hAnsi="Times New Roman"/>
          <w:bCs/>
          <w:sz w:val="24"/>
          <w:szCs w:val="24"/>
        </w:rPr>
        <w:t>date</w:t>
      </w:r>
      <w:r w:rsidRPr="00570AA9">
        <w:rPr>
          <w:rFonts w:ascii="Times New Roman" w:hAnsi="Times New Roman"/>
          <w:sz w:val="24"/>
          <w:szCs w:val="24"/>
        </w:rPr>
        <w:t xml:space="preserve">, the SNP will be deemed non-compliant with this requirement. </w:t>
      </w:r>
    </w:p>
    <w:p w14:paraId="25ED25F1" w14:textId="77777777" w:rsidR="000B775C" w:rsidRPr="00D5478B" w:rsidRDefault="000B775C" w:rsidP="004D612B"/>
    <w:p w14:paraId="00B01D10" w14:textId="12C7ACFE" w:rsidR="004D612B" w:rsidRPr="000371A0" w:rsidRDefault="004D612B" w:rsidP="00570AA9">
      <w:pPr>
        <w:pStyle w:val="ListParagraph"/>
        <w:numPr>
          <w:ilvl w:val="0"/>
          <w:numId w:val="41"/>
        </w:numPr>
      </w:pPr>
      <w:r w:rsidRPr="00570AA9">
        <w:rPr>
          <w:rFonts w:ascii="Times New Roman" w:hAnsi="Times New Roman"/>
          <w:sz w:val="24"/>
          <w:szCs w:val="24"/>
        </w:rPr>
        <w:t xml:space="preserve">All </w:t>
      </w:r>
      <w:r w:rsidR="000B775C" w:rsidRPr="00570AA9">
        <w:rPr>
          <w:rFonts w:ascii="Times New Roman" w:hAnsi="Times New Roman"/>
          <w:sz w:val="24"/>
          <w:szCs w:val="24"/>
        </w:rPr>
        <w:t xml:space="preserve">annual </w:t>
      </w:r>
      <w:r w:rsidRPr="00570AA9">
        <w:rPr>
          <w:rFonts w:ascii="Times New Roman" w:hAnsi="Times New Roman"/>
          <w:sz w:val="24"/>
          <w:szCs w:val="24"/>
        </w:rPr>
        <w:t xml:space="preserve">reassessment HRAs </w:t>
      </w:r>
      <w:r w:rsidR="00C04302" w:rsidRPr="00570AA9">
        <w:rPr>
          <w:rFonts w:ascii="Times New Roman" w:hAnsi="Times New Roman"/>
          <w:sz w:val="24"/>
          <w:szCs w:val="24"/>
        </w:rPr>
        <w:t>are due to</w:t>
      </w:r>
      <w:r w:rsidRPr="00570AA9">
        <w:rPr>
          <w:rFonts w:ascii="Times New Roman" w:hAnsi="Times New Roman"/>
          <w:sz w:val="24"/>
          <w:szCs w:val="24"/>
        </w:rPr>
        <w:t xml:space="preserve"> occur within 365 days of the last HRA</w:t>
      </w:r>
      <w:r w:rsidR="00715604" w:rsidRPr="00570AA9">
        <w:rPr>
          <w:rFonts w:ascii="Times New Roman" w:hAnsi="Times New Roman"/>
          <w:sz w:val="24"/>
          <w:szCs w:val="24"/>
        </w:rPr>
        <w:t xml:space="preserve">.  </w:t>
      </w:r>
      <w:r w:rsidR="000B775C" w:rsidRPr="00570AA9">
        <w:rPr>
          <w:rFonts w:ascii="Times New Roman" w:hAnsi="Times New Roman"/>
          <w:sz w:val="24"/>
          <w:szCs w:val="24"/>
        </w:rPr>
        <w:t xml:space="preserve">Thus, when an initial HRA is performed in the 90 days prior to </w:t>
      </w:r>
      <w:r w:rsidR="00CD292C" w:rsidRPr="00570AA9">
        <w:rPr>
          <w:rFonts w:ascii="Times New Roman" w:hAnsi="Times New Roman"/>
          <w:sz w:val="24"/>
          <w:szCs w:val="24"/>
        </w:rPr>
        <w:t>an</w:t>
      </w:r>
      <w:r w:rsidR="000B775C" w:rsidRPr="00570AA9">
        <w:rPr>
          <w:rFonts w:ascii="Times New Roman" w:hAnsi="Times New Roman"/>
          <w:sz w:val="24"/>
          <w:szCs w:val="24"/>
        </w:rPr>
        <w:t xml:space="preserve"> effective enrollment date</w:t>
      </w:r>
      <w:r w:rsidR="00CD292C" w:rsidRPr="00570AA9">
        <w:rPr>
          <w:rFonts w:ascii="Times New Roman" w:hAnsi="Times New Roman"/>
          <w:sz w:val="24"/>
          <w:szCs w:val="24"/>
        </w:rPr>
        <w:t xml:space="preserve"> that falls in the beginning of a calendar year</w:t>
      </w:r>
      <w:r w:rsidR="00346548" w:rsidRPr="00570AA9">
        <w:rPr>
          <w:rFonts w:ascii="Times New Roman" w:hAnsi="Times New Roman"/>
          <w:sz w:val="24"/>
          <w:szCs w:val="24"/>
        </w:rPr>
        <w:t>,</w:t>
      </w:r>
      <w:r w:rsidR="00CD292C" w:rsidRPr="00570AA9">
        <w:rPr>
          <w:rFonts w:ascii="Times New Roman" w:hAnsi="Times New Roman"/>
          <w:sz w:val="24"/>
          <w:szCs w:val="24"/>
        </w:rPr>
        <w:t xml:space="preserve"> </w:t>
      </w:r>
      <w:r w:rsidR="000B775C" w:rsidRPr="00570AA9">
        <w:rPr>
          <w:rFonts w:ascii="Times New Roman" w:hAnsi="Times New Roman"/>
          <w:sz w:val="24"/>
          <w:szCs w:val="24"/>
        </w:rPr>
        <w:t>in order to comply with the requirement to perform the annual reassessment within 365 days of the last assessment, the first annual reassessment will be due within the same measurement year as the initial HRA</w:t>
      </w:r>
      <w:r w:rsidR="00715604" w:rsidRPr="00570AA9">
        <w:rPr>
          <w:rFonts w:ascii="Times New Roman" w:hAnsi="Times New Roman"/>
          <w:sz w:val="24"/>
          <w:szCs w:val="24"/>
        </w:rPr>
        <w:t xml:space="preserve">.  </w:t>
      </w:r>
      <w:r w:rsidR="00346548" w:rsidRPr="00570AA9">
        <w:rPr>
          <w:rFonts w:ascii="Times New Roman" w:hAnsi="Times New Roman"/>
          <w:sz w:val="24"/>
          <w:szCs w:val="24"/>
        </w:rPr>
        <w:t>Note that is such</w:t>
      </w:r>
      <w:r w:rsidR="001649F4" w:rsidRPr="00570AA9">
        <w:rPr>
          <w:rFonts w:ascii="Times New Roman" w:hAnsi="Times New Roman"/>
          <w:sz w:val="24"/>
          <w:szCs w:val="24"/>
        </w:rPr>
        <w:t xml:space="preserve"> cases, </w:t>
      </w:r>
      <w:r w:rsidR="00C04302" w:rsidRPr="00570AA9">
        <w:rPr>
          <w:rFonts w:ascii="Times New Roman" w:hAnsi="Times New Roman"/>
          <w:sz w:val="24"/>
          <w:szCs w:val="24"/>
        </w:rPr>
        <w:t>a</w:t>
      </w:r>
      <w:r w:rsidR="00346548" w:rsidRPr="00570AA9">
        <w:rPr>
          <w:rFonts w:ascii="Times New Roman" w:hAnsi="Times New Roman"/>
          <w:sz w:val="24"/>
          <w:szCs w:val="24"/>
        </w:rPr>
        <w:t xml:space="preserve"> new </w:t>
      </w:r>
      <w:r w:rsidR="001649F4" w:rsidRPr="00570AA9">
        <w:rPr>
          <w:rFonts w:ascii="Times New Roman" w:hAnsi="Times New Roman"/>
          <w:sz w:val="24"/>
          <w:szCs w:val="24"/>
        </w:rPr>
        <w:t xml:space="preserve">enrollee </w:t>
      </w:r>
      <w:r w:rsidR="00346548" w:rsidRPr="00570AA9">
        <w:rPr>
          <w:rFonts w:ascii="Times New Roman" w:hAnsi="Times New Roman"/>
          <w:sz w:val="24"/>
          <w:szCs w:val="24"/>
        </w:rPr>
        <w:t xml:space="preserve">who has remained enrolled in the SNP for 365 days after the date of the initial HRA, </w:t>
      </w:r>
      <w:r w:rsidR="001649F4" w:rsidRPr="00570AA9">
        <w:rPr>
          <w:rFonts w:ascii="Times New Roman" w:hAnsi="Times New Roman"/>
          <w:sz w:val="24"/>
          <w:szCs w:val="24"/>
        </w:rPr>
        <w:t xml:space="preserve">will be counted in </w:t>
      </w:r>
      <w:r w:rsidR="00346548" w:rsidRPr="00570AA9">
        <w:rPr>
          <w:rFonts w:ascii="Times New Roman" w:hAnsi="Times New Roman"/>
          <w:sz w:val="24"/>
          <w:szCs w:val="24"/>
        </w:rPr>
        <w:t xml:space="preserve">both </w:t>
      </w:r>
      <w:r w:rsidR="00BE3596" w:rsidRPr="00570AA9">
        <w:rPr>
          <w:rFonts w:ascii="Times New Roman" w:hAnsi="Times New Roman"/>
          <w:sz w:val="24"/>
          <w:szCs w:val="24"/>
        </w:rPr>
        <w:t>data element</w:t>
      </w:r>
      <w:r w:rsidR="00346548" w:rsidRPr="00570AA9">
        <w:rPr>
          <w:rFonts w:ascii="Times New Roman" w:hAnsi="Times New Roman"/>
          <w:sz w:val="24"/>
          <w:szCs w:val="24"/>
        </w:rPr>
        <w:t>s</w:t>
      </w:r>
      <w:r w:rsidR="001649F4" w:rsidRPr="00570AA9">
        <w:rPr>
          <w:rFonts w:ascii="Times New Roman" w:hAnsi="Times New Roman"/>
          <w:sz w:val="24"/>
          <w:szCs w:val="24"/>
        </w:rPr>
        <w:t xml:space="preserve"> 13.</w:t>
      </w:r>
      <w:r w:rsidR="00346548" w:rsidRPr="00570AA9">
        <w:rPr>
          <w:rFonts w:ascii="Times New Roman" w:hAnsi="Times New Roman"/>
          <w:sz w:val="24"/>
          <w:szCs w:val="24"/>
        </w:rPr>
        <w:t>1</w:t>
      </w:r>
      <w:r w:rsidR="001649F4" w:rsidRPr="00570AA9">
        <w:rPr>
          <w:rFonts w:ascii="Times New Roman" w:hAnsi="Times New Roman"/>
          <w:sz w:val="24"/>
          <w:szCs w:val="24"/>
        </w:rPr>
        <w:t xml:space="preserve"> </w:t>
      </w:r>
      <w:r w:rsidR="00346548" w:rsidRPr="00570AA9">
        <w:rPr>
          <w:rFonts w:ascii="Times New Roman" w:hAnsi="Times New Roman"/>
          <w:sz w:val="24"/>
          <w:szCs w:val="24"/>
        </w:rPr>
        <w:t>and</w:t>
      </w:r>
      <w:r w:rsidR="001649F4" w:rsidRPr="00570AA9">
        <w:rPr>
          <w:rFonts w:ascii="Times New Roman" w:hAnsi="Times New Roman"/>
          <w:sz w:val="24"/>
          <w:szCs w:val="24"/>
        </w:rPr>
        <w:t xml:space="preserve"> 13.</w:t>
      </w:r>
      <w:r w:rsidR="00346548" w:rsidRPr="00570AA9">
        <w:rPr>
          <w:rFonts w:ascii="Times New Roman" w:hAnsi="Times New Roman"/>
          <w:sz w:val="24"/>
          <w:szCs w:val="24"/>
        </w:rPr>
        <w:t>2 because he/she is a new enrollee</w:t>
      </w:r>
      <w:r w:rsidR="006A2E84" w:rsidRPr="00570AA9">
        <w:rPr>
          <w:rFonts w:ascii="Times New Roman" w:hAnsi="Times New Roman"/>
          <w:sz w:val="24"/>
          <w:szCs w:val="24"/>
        </w:rPr>
        <w:t xml:space="preserve"> (13.1)</w:t>
      </w:r>
      <w:r w:rsidR="00346548" w:rsidRPr="00570AA9">
        <w:rPr>
          <w:rFonts w:ascii="Times New Roman" w:hAnsi="Times New Roman"/>
          <w:sz w:val="24"/>
          <w:szCs w:val="24"/>
        </w:rPr>
        <w:t xml:space="preserve"> </w:t>
      </w:r>
      <w:r w:rsidR="006A2E84" w:rsidRPr="00570AA9">
        <w:rPr>
          <w:rFonts w:ascii="Times New Roman" w:hAnsi="Times New Roman"/>
          <w:sz w:val="24"/>
          <w:szCs w:val="24"/>
        </w:rPr>
        <w:t>and an enrollee eligible for an annual reassessment (13.2).</w:t>
      </w:r>
      <w:r w:rsidR="00346548" w:rsidRPr="00570AA9">
        <w:rPr>
          <w:rFonts w:ascii="Times New Roman" w:hAnsi="Times New Roman"/>
          <w:sz w:val="24"/>
          <w:szCs w:val="24"/>
        </w:rPr>
        <w:t xml:space="preserve"> </w:t>
      </w:r>
      <w:r w:rsidR="006A2E84" w:rsidRPr="00570AA9">
        <w:rPr>
          <w:rFonts w:ascii="Times New Roman" w:hAnsi="Times New Roman"/>
          <w:sz w:val="24"/>
          <w:szCs w:val="24"/>
        </w:rPr>
        <w:t xml:space="preserve"> (Example:  The effective enrollment date is 1-1-201</w:t>
      </w:r>
      <w:r w:rsidR="006F3E9A" w:rsidRPr="00570AA9">
        <w:rPr>
          <w:rFonts w:ascii="Times New Roman" w:hAnsi="Times New Roman"/>
          <w:sz w:val="24"/>
          <w:szCs w:val="24"/>
        </w:rPr>
        <w:t>7</w:t>
      </w:r>
      <w:r w:rsidR="006A2E84" w:rsidRPr="00570AA9">
        <w:rPr>
          <w:rFonts w:ascii="Times New Roman" w:hAnsi="Times New Roman"/>
          <w:sz w:val="24"/>
          <w:szCs w:val="24"/>
        </w:rPr>
        <w:t xml:space="preserve"> and the initial HRA was completed in November 201</w:t>
      </w:r>
      <w:r w:rsidR="006F3E9A" w:rsidRPr="00570AA9">
        <w:rPr>
          <w:rFonts w:ascii="Times New Roman" w:hAnsi="Times New Roman"/>
          <w:sz w:val="24"/>
          <w:szCs w:val="24"/>
        </w:rPr>
        <w:t>6</w:t>
      </w:r>
      <w:r w:rsidR="006A2E84" w:rsidRPr="00570AA9">
        <w:rPr>
          <w:rFonts w:ascii="Times New Roman" w:hAnsi="Times New Roman"/>
          <w:sz w:val="24"/>
          <w:szCs w:val="24"/>
        </w:rPr>
        <w:t>.  The annual reassessment will be due in November 201</w:t>
      </w:r>
      <w:r w:rsidR="006F3E9A" w:rsidRPr="00570AA9">
        <w:rPr>
          <w:rFonts w:ascii="Times New Roman" w:hAnsi="Times New Roman"/>
          <w:sz w:val="24"/>
          <w:szCs w:val="24"/>
        </w:rPr>
        <w:t>7</w:t>
      </w:r>
      <w:r w:rsidR="006A2E84" w:rsidRPr="00570AA9">
        <w:rPr>
          <w:rFonts w:ascii="Times New Roman" w:hAnsi="Times New Roman"/>
          <w:sz w:val="24"/>
          <w:szCs w:val="24"/>
        </w:rPr>
        <w:t>.  The initial HRA and the annual reassessment HRA will both be reported for 201</w:t>
      </w:r>
      <w:r w:rsidR="00994BA9" w:rsidRPr="00570AA9">
        <w:rPr>
          <w:rFonts w:ascii="Times New Roman" w:hAnsi="Times New Roman"/>
          <w:sz w:val="24"/>
          <w:szCs w:val="24"/>
        </w:rPr>
        <w:t>7</w:t>
      </w:r>
      <w:r w:rsidR="006A2E84" w:rsidRPr="00570AA9">
        <w:rPr>
          <w:rFonts w:ascii="Times New Roman" w:hAnsi="Times New Roman"/>
          <w:sz w:val="24"/>
          <w:szCs w:val="24"/>
        </w:rPr>
        <w:t xml:space="preserve"> and the enrollee will be counted as both a new enrollee and as an enrollee eligible for annual reassessment.)</w:t>
      </w:r>
      <w:r w:rsidR="00044155" w:rsidRPr="00570AA9">
        <w:rPr>
          <w:rFonts w:ascii="Times New Roman" w:hAnsi="Times New Roman"/>
          <w:sz w:val="24"/>
          <w:szCs w:val="24"/>
        </w:rPr>
        <w:t xml:space="preserve">  </w:t>
      </w:r>
    </w:p>
    <w:p w14:paraId="5F89A799" w14:textId="0ED52F7F" w:rsidR="004D612B" w:rsidRPr="000371A0" w:rsidRDefault="00A943D1" w:rsidP="00570AA9">
      <w:pPr>
        <w:pStyle w:val="ListParagraph"/>
        <w:numPr>
          <w:ilvl w:val="0"/>
          <w:numId w:val="41"/>
        </w:numPr>
      </w:pPr>
      <w:r w:rsidRPr="00570AA9">
        <w:rPr>
          <w:rFonts w:ascii="Times New Roman" w:hAnsi="Times New Roman"/>
          <w:sz w:val="24"/>
          <w:szCs w:val="24"/>
        </w:rPr>
        <w:br/>
        <w:t>The plan must have documentation of a</w:t>
      </w:r>
      <w:r w:rsidR="00BE3596" w:rsidRPr="00570AA9">
        <w:rPr>
          <w:rFonts w:ascii="Times New Roman" w:hAnsi="Times New Roman"/>
          <w:sz w:val="24"/>
          <w:szCs w:val="24"/>
        </w:rPr>
        <w:t>ny HRAs not performed based on enrollee refusal or</w:t>
      </w:r>
      <w:r w:rsidRPr="00570AA9">
        <w:rPr>
          <w:rFonts w:ascii="Times New Roman" w:hAnsi="Times New Roman"/>
          <w:sz w:val="24"/>
          <w:szCs w:val="24"/>
        </w:rPr>
        <w:t xml:space="preserve"> the </w:t>
      </w:r>
      <w:r w:rsidR="004D612B" w:rsidRPr="00570AA9">
        <w:rPr>
          <w:rFonts w:ascii="Times New Roman" w:hAnsi="Times New Roman"/>
          <w:sz w:val="24"/>
          <w:szCs w:val="24"/>
        </w:rPr>
        <w:t>SNP</w:t>
      </w:r>
      <w:r w:rsidRPr="00570AA9">
        <w:rPr>
          <w:rFonts w:ascii="Times New Roman" w:hAnsi="Times New Roman"/>
          <w:sz w:val="24"/>
          <w:szCs w:val="24"/>
        </w:rPr>
        <w:t>’</w:t>
      </w:r>
      <w:r w:rsidR="004D612B" w:rsidRPr="00570AA9">
        <w:rPr>
          <w:rFonts w:ascii="Times New Roman" w:hAnsi="Times New Roman"/>
          <w:sz w:val="24"/>
          <w:szCs w:val="24"/>
        </w:rPr>
        <w:t xml:space="preserve">s </w:t>
      </w:r>
      <w:r w:rsidRPr="00570AA9">
        <w:rPr>
          <w:rFonts w:ascii="Times New Roman" w:hAnsi="Times New Roman"/>
          <w:sz w:val="24"/>
          <w:szCs w:val="24"/>
        </w:rPr>
        <w:t xml:space="preserve">inability to reach the enrollee. </w:t>
      </w:r>
      <w:r w:rsidR="004D612B" w:rsidRPr="00570AA9">
        <w:rPr>
          <w:rFonts w:ascii="Times New Roman" w:hAnsi="Times New Roman"/>
          <w:sz w:val="24"/>
          <w:szCs w:val="24"/>
        </w:rPr>
        <w:t xml:space="preserve">The SNP must document in its internal records that the enrollee did not respond to at least 3 </w:t>
      </w:r>
      <w:r w:rsidR="005C7141" w:rsidRPr="00570AA9">
        <w:rPr>
          <w:rFonts w:ascii="Times New Roman" w:hAnsi="Times New Roman"/>
          <w:sz w:val="24"/>
          <w:szCs w:val="24"/>
        </w:rPr>
        <w:t>“</w:t>
      </w:r>
      <w:r w:rsidR="00C04302" w:rsidRPr="00570AA9">
        <w:rPr>
          <w:rFonts w:ascii="Times New Roman" w:hAnsi="Times New Roman"/>
          <w:sz w:val="24"/>
          <w:szCs w:val="24"/>
        </w:rPr>
        <w:t>non-automated</w:t>
      </w:r>
      <w:r w:rsidR="005C7141" w:rsidRPr="00570AA9">
        <w:rPr>
          <w:rFonts w:ascii="Times New Roman" w:hAnsi="Times New Roman"/>
          <w:sz w:val="24"/>
          <w:szCs w:val="24"/>
        </w:rPr>
        <w:t>”</w:t>
      </w:r>
      <w:r w:rsidR="00C64262" w:rsidRPr="00570AA9">
        <w:rPr>
          <w:rFonts w:ascii="Times New Roman" w:hAnsi="Times New Roman"/>
          <w:sz w:val="24"/>
          <w:szCs w:val="24"/>
        </w:rPr>
        <w:t xml:space="preserve"> </w:t>
      </w:r>
      <w:r w:rsidR="004D612B" w:rsidRPr="00570AA9">
        <w:rPr>
          <w:rFonts w:ascii="Times New Roman" w:hAnsi="Times New Roman"/>
          <w:sz w:val="24"/>
          <w:szCs w:val="24"/>
        </w:rPr>
        <w:t xml:space="preserve">phone calls and a follow up letter, all soliciting participation in the HRA.  </w:t>
      </w:r>
      <w:r w:rsidR="002A48CE" w:rsidRPr="00570AA9">
        <w:rPr>
          <w:rFonts w:ascii="Times New Roman" w:hAnsi="Times New Roman"/>
          <w:sz w:val="24"/>
          <w:szCs w:val="24"/>
        </w:rPr>
        <w:t>Automated calls</w:t>
      </w:r>
      <w:r w:rsidR="00403B87" w:rsidRPr="00570AA9">
        <w:rPr>
          <w:rFonts w:ascii="Times New Roman" w:hAnsi="Times New Roman"/>
          <w:sz w:val="24"/>
          <w:szCs w:val="24"/>
        </w:rPr>
        <w:t xml:space="preserve"> </w:t>
      </w:r>
      <w:r w:rsidR="002A48CE" w:rsidRPr="00570AA9">
        <w:rPr>
          <w:rFonts w:ascii="Times New Roman" w:hAnsi="Times New Roman"/>
          <w:sz w:val="24"/>
          <w:szCs w:val="24"/>
        </w:rPr>
        <w:t>(</w:t>
      </w:r>
      <w:r w:rsidR="00264F72" w:rsidRPr="00570AA9">
        <w:rPr>
          <w:rFonts w:ascii="Times New Roman" w:hAnsi="Times New Roman"/>
          <w:sz w:val="24"/>
          <w:szCs w:val="24"/>
        </w:rPr>
        <w:t>“</w:t>
      </w:r>
      <w:r w:rsidR="002A48CE" w:rsidRPr="00570AA9">
        <w:rPr>
          <w:rFonts w:ascii="Times New Roman" w:hAnsi="Times New Roman"/>
          <w:sz w:val="24"/>
          <w:szCs w:val="24"/>
        </w:rPr>
        <w:t>r</w:t>
      </w:r>
      <w:r w:rsidR="00AF1CD5" w:rsidRPr="00570AA9">
        <w:rPr>
          <w:rFonts w:ascii="Times New Roman" w:hAnsi="Times New Roman"/>
          <w:sz w:val="24"/>
          <w:szCs w:val="24"/>
        </w:rPr>
        <w:t>obo” or “blast” call</w:t>
      </w:r>
      <w:r w:rsidR="00264F72" w:rsidRPr="00570AA9">
        <w:rPr>
          <w:rFonts w:ascii="Times New Roman" w:hAnsi="Times New Roman"/>
          <w:sz w:val="24"/>
          <w:szCs w:val="24"/>
        </w:rPr>
        <w:t>s</w:t>
      </w:r>
      <w:r w:rsidR="00B9542A" w:rsidRPr="00570AA9">
        <w:rPr>
          <w:rFonts w:ascii="Times New Roman" w:hAnsi="Times New Roman"/>
          <w:sz w:val="24"/>
          <w:szCs w:val="24"/>
        </w:rPr>
        <w:t>) as</w:t>
      </w:r>
      <w:r w:rsidR="00403B87" w:rsidRPr="00570AA9">
        <w:rPr>
          <w:rFonts w:ascii="Times New Roman" w:hAnsi="Times New Roman"/>
          <w:sz w:val="24"/>
          <w:szCs w:val="24"/>
        </w:rPr>
        <w:t xml:space="preserve"> a means </w:t>
      </w:r>
      <w:r w:rsidR="002A48CE" w:rsidRPr="00570AA9">
        <w:rPr>
          <w:rFonts w:ascii="Times New Roman" w:hAnsi="Times New Roman"/>
          <w:sz w:val="24"/>
          <w:szCs w:val="24"/>
        </w:rPr>
        <w:t xml:space="preserve">of soliciting enrollees’ participation in </w:t>
      </w:r>
      <w:r w:rsidR="00AF1CD5" w:rsidRPr="00570AA9">
        <w:rPr>
          <w:rFonts w:ascii="Times New Roman" w:hAnsi="Times New Roman"/>
          <w:sz w:val="24"/>
          <w:szCs w:val="24"/>
        </w:rPr>
        <w:t>completing an HRA</w:t>
      </w:r>
      <w:r w:rsidR="00403B87" w:rsidRPr="00570AA9">
        <w:rPr>
          <w:rFonts w:ascii="Times New Roman" w:hAnsi="Times New Roman"/>
          <w:sz w:val="24"/>
          <w:szCs w:val="24"/>
        </w:rPr>
        <w:t xml:space="preserve"> are inappropriate</w:t>
      </w:r>
      <w:r w:rsidR="00264F72" w:rsidRPr="00570AA9">
        <w:rPr>
          <w:rFonts w:ascii="Times New Roman" w:hAnsi="Times New Roman"/>
          <w:sz w:val="24"/>
          <w:szCs w:val="24"/>
        </w:rPr>
        <w:t xml:space="preserve"> and do </w:t>
      </w:r>
      <w:r w:rsidR="00AF1CD5" w:rsidRPr="00570AA9">
        <w:rPr>
          <w:rFonts w:ascii="Times New Roman" w:hAnsi="Times New Roman"/>
          <w:sz w:val="24"/>
          <w:szCs w:val="24"/>
        </w:rPr>
        <w:t>not count toward the three phone call attempts.</w:t>
      </w:r>
      <w:r w:rsidR="00264F72" w:rsidRPr="00570AA9">
        <w:rPr>
          <w:rFonts w:ascii="Times New Roman" w:hAnsi="Times New Roman"/>
          <w:sz w:val="24"/>
          <w:szCs w:val="24"/>
        </w:rPr>
        <w:t xml:space="preserve"> Further, phone call attempts must be made by a SNP representative so that </w:t>
      </w:r>
      <w:r w:rsidR="002A48CE" w:rsidRPr="00570AA9">
        <w:rPr>
          <w:rFonts w:ascii="Times New Roman" w:hAnsi="Times New Roman"/>
          <w:sz w:val="24"/>
          <w:szCs w:val="24"/>
        </w:rPr>
        <w:t>when an enrollee is reached, it is possible to perform the HRA at that time, by phone.</w:t>
      </w:r>
      <w:r w:rsidR="00264F72" w:rsidRPr="00570AA9">
        <w:rPr>
          <w:rFonts w:ascii="Times New Roman" w:hAnsi="Times New Roman"/>
          <w:sz w:val="24"/>
          <w:szCs w:val="24"/>
        </w:rPr>
        <w:t xml:space="preserve"> </w:t>
      </w:r>
      <w:r w:rsidR="004D612B" w:rsidRPr="00570AA9">
        <w:rPr>
          <w:rFonts w:ascii="Times New Roman" w:hAnsi="Times New Roman"/>
          <w:sz w:val="24"/>
          <w:szCs w:val="24"/>
        </w:rPr>
        <w:t>CMS can request SNP HRA refusal and/or unable to reach documentation at any time to determine health plan compliance with Part C reporting requirements.</w:t>
      </w:r>
    </w:p>
    <w:p w14:paraId="3EEF84DB" w14:textId="77777777" w:rsidR="004D612B" w:rsidRPr="00D5478B" w:rsidRDefault="004D612B" w:rsidP="004D612B"/>
    <w:p w14:paraId="05C88B19" w14:textId="2270E588" w:rsidR="004D612B" w:rsidRPr="000371A0" w:rsidRDefault="00E43B17" w:rsidP="00570AA9">
      <w:pPr>
        <w:pStyle w:val="ListParagraph"/>
        <w:numPr>
          <w:ilvl w:val="0"/>
          <w:numId w:val="41"/>
        </w:numPr>
      </w:pPr>
      <w:r w:rsidRPr="00570AA9">
        <w:rPr>
          <w:rFonts w:ascii="Times New Roman" w:hAnsi="Times New Roman"/>
          <w:sz w:val="24"/>
          <w:szCs w:val="24"/>
        </w:rPr>
        <w:t>O</w:t>
      </w:r>
      <w:r w:rsidR="004D612B" w:rsidRPr="00570AA9">
        <w:rPr>
          <w:rFonts w:ascii="Times New Roman" w:hAnsi="Times New Roman"/>
          <w:sz w:val="24"/>
          <w:szCs w:val="24"/>
        </w:rPr>
        <w:t>nly completed HRAs that comprise direct beneficiary and/or caregiver input will be considered valid for purposes of fulfilling the Part C reporting requirements</w:t>
      </w:r>
      <w:r w:rsidR="00715604" w:rsidRPr="00570AA9">
        <w:rPr>
          <w:rFonts w:ascii="Times New Roman" w:hAnsi="Times New Roman"/>
          <w:sz w:val="24"/>
          <w:szCs w:val="24"/>
        </w:rPr>
        <w:t xml:space="preserve">.  </w:t>
      </w:r>
      <w:r w:rsidR="004D612B" w:rsidRPr="00570AA9">
        <w:rPr>
          <w:rFonts w:ascii="Times New Roman" w:hAnsi="Times New Roman"/>
          <w:sz w:val="24"/>
          <w:szCs w:val="24"/>
        </w:rPr>
        <w:t xml:space="preserve">This means, for example, that HRAs completed only using claims and/or other administrative data, would not be acceptable.  For </w:t>
      </w:r>
      <w:r w:rsidR="00BE3596" w:rsidRPr="00570AA9">
        <w:rPr>
          <w:rFonts w:ascii="Times New Roman" w:hAnsi="Times New Roman"/>
          <w:sz w:val="24"/>
          <w:szCs w:val="24"/>
        </w:rPr>
        <w:t>d</w:t>
      </w:r>
      <w:r w:rsidR="004D612B" w:rsidRPr="00570AA9">
        <w:rPr>
          <w:rFonts w:ascii="Times New Roman" w:hAnsi="Times New Roman"/>
          <w:sz w:val="24"/>
          <w:szCs w:val="24"/>
        </w:rPr>
        <w:t xml:space="preserve">ata </w:t>
      </w:r>
      <w:r w:rsidR="00BE3596" w:rsidRPr="00570AA9">
        <w:rPr>
          <w:rFonts w:ascii="Times New Roman" w:hAnsi="Times New Roman"/>
          <w:sz w:val="24"/>
          <w:szCs w:val="24"/>
        </w:rPr>
        <w:t>e</w:t>
      </w:r>
      <w:r w:rsidR="004D612B" w:rsidRPr="00570AA9">
        <w:rPr>
          <w:rFonts w:ascii="Times New Roman" w:hAnsi="Times New Roman"/>
          <w:sz w:val="24"/>
          <w:szCs w:val="24"/>
        </w:rPr>
        <w:t>lements 13.3 and 13.6, CMS requires only completed assessments</w:t>
      </w:r>
      <w:r w:rsidR="00715604" w:rsidRPr="00570AA9">
        <w:rPr>
          <w:rFonts w:ascii="Times New Roman" w:hAnsi="Times New Roman"/>
          <w:sz w:val="24"/>
          <w:szCs w:val="24"/>
        </w:rPr>
        <w:t xml:space="preserve">.  </w:t>
      </w:r>
      <w:r w:rsidR="004D612B" w:rsidRPr="00570AA9">
        <w:rPr>
          <w:rFonts w:ascii="Times New Roman" w:hAnsi="Times New Roman"/>
          <w:sz w:val="24"/>
          <w:szCs w:val="24"/>
        </w:rPr>
        <w:t>This reporting section excludes cancelled enrollments.</w:t>
      </w:r>
      <w:r w:rsidR="004D612B" w:rsidRPr="00570AA9">
        <w:rPr>
          <w:rStyle w:val="FootnoteReference"/>
          <w:rFonts w:ascii="Times New Roman" w:hAnsi="Times New Roman"/>
          <w:sz w:val="24"/>
          <w:szCs w:val="24"/>
        </w:rPr>
        <w:footnoteReference w:id="2"/>
      </w:r>
      <w:r w:rsidR="004D612B" w:rsidRPr="00570AA9">
        <w:rPr>
          <w:rFonts w:ascii="Times New Roman" w:hAnsi="Times New Roman"/>
          <w:sz w:val="24"/>
          <w:szCs w:val="24"/>
        </w:rPr>
        <w:t xml:space="preserve">  </w:t>
      </w:r>
    </w:p>
    <w:p w14:paraId="798CE0C5" w14:textId="77777777" w:rsidR="004D612B" w:rsidRPr="00D5478B" w:rsidRDefault="004D612B" w:rsidP="004D612B"/>
    <w:p w14:paraId="2C97E997" w14:textId="77777777" w:rsidR="004D612B" w:rsidRPr="000371A0" w:rsidRDefault="004D612B" w:rsidP="00570AA9">
      <w:pPr>
        <w:pStyle w:val="ListParagraph"/>
        <w:numPr>
          <w:ilvl w:val="0"/>
          <w:numId w:val="41"/>
        </w:numPr>
      </w:pPr>
      <w:r w:rsidRPr="00570AA9">
        <w:rPr>
          <w:rFonts w:ascii="Times New Roman" w:hAnsi="Times New Roman"/>
          <w:sz w:val="24"/>
          <w:szCs w:val="24"/>
        </w:rPr>
        <w:t>For Dual Eligible SNPs (D-SNPs) only, CMS will accept a Medicaid HRA that is performed within 90 days before, or no more than 90 days after the effective date of Medicare enrollment as compliant with Part C reporting requirements.</w:t>
      </w:r>
    </w:p>
    <w:p w14:paraId="5AE921CB" w14:textId="77777777" w:rsidR="004D612B" w:rsidRPr="00D5478B" w:rsidRDefault="004D612B" w:rsidP="004D612B"/>
    <w:p w14:paraId="3CC23DB7" w14:textId="74DE2B94" w:rsidR="004D612B" w:rsidRPr="000371A0" w:rsidRDefault="004D612B" w:rsidP="00570AA9">
      <w:pPr>
        <w:pStyle w:val="ListParagraph"/>
        <w:numPr>
          <w:ilvl w:val="0"/>
          <w:numId w:val="41"/>
        </w:numPr>
        <w:rPr>
          <w:color w:val="000000" w:themeColor="text1"/>
        </w:rPr>
      </w:pPr>
      <w:r w:rsidRPr="00570AA9">
        <w:rPr>
          <w:rFonts w:ascii="Times New Roman" w:hAnsi="Times New Roman"/>
          <w:sz w:val="24"/>
          <w:szCs w:val="24"/>
        </w:rPr>
        <w:t>If an enrollee has multiple reassessments within the 90</w:t>
      </w:r>
      <w:r w:rsidR="001D04E4" w:rsidRPr="00570AA9">
        <w:rPr>
          <w:rFonts w:ascii="Times New Roman" w:hAnsi="Times New Roman"/>
          <w:sz w:val="24"/>
          <w:szCs w:val="24"/>
        </w:rPr>
        <w:t xml:space="preserve"> </w:t>
      </w:r>
      <w:r w:rsidRPr="00570AA9">
        <w:rPr>
          <w:rFonts w:ascii="Times New Roman" w:hAnsi="Times New Roman"/>
          <w:sz w:val="24"/>
          <w:szCs w:val="24"/>
        </w:rPr>
        <w:t>day or the 365 day time periods, just report one HRA for the period</w:t>
      </w:r>
      <w:r w:rsidR="001D04E4" w:rsidRPr="00570AA9">
        <w:rPr>
          <w:rFonts w:ascii="Times New Roman" w:hAnsi="Times New Roman"/>
          <w:sz w:val="24"/>
          <w:szCs w:val="24"/>
        </w:rPr>
        <w:t xml:space="preserve"> in order to meet the reporting requirement</w:t>
      </w:r>
      <w:r w:rsidR="00715604" w:rsidRPr="00570AA9">
        <w:rPr>
          <w:rFonts w:ascii="Times New Roman" w:hAnsi="Times New Roman"/>
          <w:sz w:val="24"/>
          <w:szCs w:val="24"/>
        </w:rPr>
        <w:t xml:space="preserve">.  </w:t>
      </w:r>
      <w:r w:rsidRPr="00570AA9">
        <w:rPr>
          <w:rFonts w:ascii="Times New Roman" w:hAnsi="Times New Roman"/>
          <w:color w:val="000000" w:themeColor="text1"/>
          <w:sz w:val="24"/>
          <w:szCs w:val="24"/>
        </w:rPr>
        <w:t xml:space="preserve">The </w:t>
      </w:r>
      <w:r w:rsidR="006F6537" w:rsidRPr="00570AA9">
        <w:rPr>
          <w:rFonts w:ascii="Times New Roman" w:hAnsi="Times New Roman"/>
          <w:color w:val="000000" w:themeColor="text1"/>
          <w:sz w:val="24"/>
          <w:szCs w:val="24"/>
        </w:rPr>
        <w:t xml:space="preserve">count for the </w:t>
      </w:r>
      <w:r w:rsidRPr="00570AA9">
        <w:rPr>
          <w:rFonts w:ascii="Times New Roman" w:hAnsi="Times New Roman"/>
          <w:color w:val="000000" w:themeColor="text1"/>
          <w:sz w:val="24"/>
          <w:szCs w:val="24"/>
        </w:rPr>
        <w:t>365</w:t>
      </w:r>
      <w:r w:rsidR="006F6537" w:rsidRPr="00570AA9">
        <w:rPr>
          <w:rFonts w:ascii="Times New Roman" w:hAnsi="Times New Roman"/>
          <w:color w:val="000000" w:themeColor="text1"/>
          <w:sz w:val="24"/>
          <w:szCs w:val="24"/>
        </w:rPr>
        <w:t xml:space="preserve"> </w:t>
      </w:r>
      <w:r w:rsidRPr="00570AA9">
        <w:rPr>
          <w:rFonts w:ascii="Times New Roman" w:hAnsi="Times New Roman"/>
          <w:color w:val="000000" w:themeColor="text1"/>
          <w:sz w:val="24"/>
          <w:szCs w:val="24"/>
        </w:rPr>
        <w:t xml:space="preserve">day cycle period for the HRA begins </w:t>
      </w:r>
      <w:r w:rsidR="006F6537" w:rsidRPr="00570AA9">
        <w:rPr>
          <w:rFonts w:ascii="Times New Roman" w:hAnsi="Times New Roman"/>
          <w:color w:val="000000" w:themeColor="text1"/>
          <w:sz w:val="24"/>
          <w:szCs w:val="24"/>
        </w:rPr>
        <w:t xml:space="preserve">with the day after the date the previous HRA </w:t>
      </w:r>
      <w:r w:rsidR="007F65C8" w:rsidRPr="00570AA9">
        <w:rPr>
          <w:rFonts w:ascii="Times New Roman" w:hAnsi="Times New Roman"/>
          <w:color w:val="000000" w:themeColor="text1"/>
          <w:sz w:val="24"/>
          <w:szCs w:val="24"/>
        </w:rPr>
        <w:t xml:space="preserve">was </w:t>
      </w:r>
      <w:r w:rsidR="006F6537" w:rsidRPr="00570AA9">
        <w:rPr>
          <w:rFonts w:ascii="Times New Roman" w:hAnsi="Times New Roman"/>
          <w:color w:val="000000" w:themeColor="text1"/>
          <w:sz w:val="24"/>
          <w:szCs w:val="24"/>
        </w:rPr>
        <w:t>completed for the enrollee</w:t>
      </w:r>
      <w:r w:rsidR="00715604" w:rsidRPr="00570AA9">
        <w:rPr>
          <w:rFonts w:ascii="Times New Roman" w:hAnsi="Times New Roman"/>
          <w:color w:val="000000" w:themeColor="text1"/>
          <w:sz w:val="24"/>
          <w:szCs w:val="24"/>
        </w:rPr>
        <w:t xml:space="preserve">.  </w:t>
      </w:r>
    </w:p>
    <w:p w14:paraId="118CAFC2" w14:textId="77777777" w:rsidR="004D612B" w:rsidRPr="00D5478B" w:rsidRDefault="004D612B" w:rsidP="004D612B"/>
    <w:p w14:paraId="5D3F5B5A" w14:textId="7BAAACAA" w:rsidR="004D612B" w:rsidRPr="000371A0" w:rsidRDefault="004D612B" w:rsidP="00570AA9">
      <w:pPr>
        <w:pStyle w:val="ListParagraph"/>
        <w:numPr>
          <w:ilvl w:val="0"/>
          <w:numId w:val="41"/>
        </w:numPr>
      </w:pPr>
      <w:r w:rsidRPr="00570AA9">
        <w:rPr>
          <w:rFonts w:ascii="Times New Roman" w:hAnsi="Times New Roman"/>
          <w:sz w:val="24"/>
          <w:szCs w:val="24"/>
        </w:rPr>
        <w:t xml:space="preserve">If eligibility records received after completion of the </w:t>
      </w:r>
      <w:r w:rsidR="00EF6425" w:rsidRPr="00570AA9">
        <w:rPr>
          <w:rFonts w:ascii="Times New Roman" w:hAnsi="Times New Roman"/>
          <w:sz w:val="24"/>
          <w:szCs w:val="24"/>
        </w:rPr>
        <w:t>HRA</w:t>
      </w:r>
      <w:r w:rsidRPr="00570AA9">
        <w:rPr>
          <w:rFonts w:ascii="Times New Roman" w:hAnsi="Times New Roman"/>
          <w:sz w:val="24"/>
          <w:szCs w:val="24"/>
        </w:rPr>
        <w:t xml:space="preserve"> indicate the member was never enrolled in the plan, do not count this beneficiary as a new enrollee or count the HRA.</w:t>
      </w:r>
    </w:p>
    <w:p w14:paraId="3F893D40" w14:textId="77777777" w:rsidR="004D612B" w:rsidRPr="00570AA9" w:rsidRDefault="004D612B" w:rsidP="004D612B"/>
    <w:p w14:paraId="0EFF9B4B" w14:textId="77777777" w:rsidR="004D612B" w:rsidRPr="000371A0" w:rsidRDefault="004D612B" w:rsidP="00570AA9">
      <w:pPr>
        <w:pStyle w:val="ListParagraph"/>
        <w:numPr>
          <w:ilvl w:val="0"/>
          <w:numId w:val="41"/>
        </w:numPr>
      </w:pPr>
      <w:r w:rsidRPr="00570AA9">
        <w:rPr>
          <w:rFonts w:ascii="Times New Roman" w:hAnsi="Times New Roman"/>
          <w:sz w:val="24"/>
          <w:szCs w:val="24"/>
        </w:rPr>
        <w:t>The date the HRA is completed by the sponsoring organization is the completed date of the HRA.</w:t>
      </w:r>
    </w:p>
    <w:p w14:paraId="1B47395F" w14:textId="77777777" w:rsidR="004D612B" w:rsidRPr="00570AA9" w:rsidRDefault="004D612B" w:rsidP="004D612B"/>
    <w:p w14:paraId="1670B241" w14:textId="6F7B9F0D" w:rsidR="004D612B" w:rsidRPr="000371A0" w:rsidRDefault="004D612B" w:rsidP="00570AA9">
      <w:pPr>
        <w:pStyle w:val="ListParagraph"/>
        <w:numPr>
          <w:ilvl w:val="0"/>
          <w:numId w:val="41"/>
        </w:numPr>
      </w:pPr>
      <w:r w:rsidRPr="00570AA9">
        <w:rPr>
          <w:rFonts w:ascii="Times New Roman" w:hAnsi="Times New Roman"/>
          <w:sz w:val="24"/>
          <w:szCs w:val="24"/>
        </w:rPr>
        <w:t xml:space="preserve">Questions have arisen regarding how to report data elements in this reporting section when </w:t>
      </w:r>
      <w:r w:rsidR="0093643A" w:rsidRPr="00570AA9">
        <w:rPr>
          <w:rFonts w:ascii="Times New Roman" w:hAnsi="Times New Roman"/>
          <w:sz w:val="24"/>
          <w:szCs w:val="24"/>
        </w:rPr>
        <w:t>enrollees</w:t>
      </w:r>
      <w:r w:rsidRPr="00570AA9">
        <w:rPr>
          <w:rFonts w:ascii="Times New Roman" w:hAnsi="Times New Roman"/>
          <w:sz w:val="24"/>
          <w:szCs w:val="24"/>
        </w:rPr>
        <w:t xml:space="preserve"> disenroll and then re-enroll, either in the same </w:t>
      </w:r>
      <w:r w:rsidR="00E43B17" w:rsidRPr="00570AA9">
        <w:rPr>
          <w:rFonts w:ascii="Times New Roman" w:hAnsi="Times New Roman"/>
          <w:sz w:val="24"/>
          <w:szCs w:val="24"/>
        </w:rPr>
        <w:t>SNP</w:t>
      </w:r>
      <w:r w:rsidRPr="00570AA9">
        <w:rPr>
          <w:rFonts w:ascii="Times New Roman" w:hAnsi="Times New Roman"/>
          <w:sz w:val="24"/>
          <w:szCs w:val="24"/>
        </w:rPr>
        <w:t xml:space="preserve"> or a different </w:t>
      </w:r>
      <w:r w:rsidR="00E43B17" w:rsidRPr="00570AA9">
        <w:rPr>
          <w:rFonts w:ascii="Times New Roman" w:hAnsi="Times New Roman"/>
          <w:sz w:val="24"/>
          <w:szCs w:val="24"/>
        </w:rPr>
        <w:t>one</w:t>
      </w:r>
      <w:r w:rsidRPr="00570AA9">
        <w:rPr>
          <w:rFonts w:ascii="Times New Roman" w:hAnsi="Times New Roman"/>
          <w:sz w:val="24"/>
          <w:szCs w:val="24"/>
        </w:rPr>
        <w:t xml:space="preserve"> (different organization or sponsor)</w:t>
      </w:r>
      <w:r w:rsidR="00546905" w:rsidRPr="00570AA9">
        <w:rPr>
          <w:rFonts w:ascii="Times New Roman" w:hAnsi="Times New Roman"/>
          <w:sz w:val="24"/>
          <w:szCs w:val="24"/>
        </w:rPr>
        <w:t xml:space="preserve"> within the measurement year</w:t>
      </w:r>
      <w:r w:rsidR="00715604" w:rsidRPr="00570AA9">
        <w:rPr>
          <w:rFonts w:ascii="Times New Roman" w:hAnsi="Times New Roman"/>
          <w:sz w:val="24"/>
          <w:szCs w:val="24"/>
        </w:rPr>
        <w:t xml:space="preserve">.  </w:t>
      </w:r>
      <w:r w:rsidRPr="00570AA9">
        <w:rPr>
          <w:rFonts w:ascii="Times New Roman" w:hAnsi="Times New Roman"/>
          <w:sz w:val="24"/>
          <w:szCs w:val="24"/>
        </w:rPr>
        <w:t xml:space="preserve">When a member disenrolls from one </w:t>
      </w:r>
      <w:r w:rsidR="00E43B17" w:rsidRPr="00570AA9">
        <w:rPr>
          <w:rFonts w:ascii="Times New Roman" w:hAnsi="Times New Roman"/>
          <w:sz w:val="24"/>
          <w:szCs w:val="24"/>
        </w:rPr>
        <w:t>SNP</w:t>
      </w:r>
      <w:r w:rsidRPr="00570AA9">
        <w:rPr>
          <w:rFonts w:ascii="Times New Roman" w:hAnsi="Times New Roman"/>
          <w:sz w:val="24"/>
          <w:szCs w:val="24"/>
        </w:rPr>
        <w:t xml:space="preserve"> and enrolls into another</w:t>
      </w:r>
      <w:r w:rsidR="00E43B17" w:rsidRPr="00570AA9">
        <w:rPr>
          <w:rFonts w:ascii="Times New Roman" w:hAnsi="Times New Roman"/>
          <w:sz w:val="24"/>
          <w:szCs w:val="24"/>
        </w:rPr>
        <w:t xml:space="preserve"> SNP</w:t>
      </w:r>
      <w:r w:rsidRPr="00570AA9">
        <w:rPr>
          <w:rFonts w:ascii="Times New Roman" w:hAnsi="Times New Roman"/>
          <w:sz w:val="24"/>
          <w:szCs w:val="24"/>
        </w:rPr>
        <w:t xml:space="preserve"> (a different</w:t>
      </w:r>
      <w:r w:rsidRPr="00570AA9">
        <w:rPr>
          <w:rFonts w:ascii="Times New Roman" w:hAnsi="Times New Roman"/>
          <w:sz w:val="24"/>
          <w:szCs w:val="24"/>
          <w:u w:val="single"/>
        </w:rPr>
        <w:t xml:space="preserve"> </w:t>
      </w:r>
      <w:r w:rsidRPr="00570AA9">
        <w:rPr>
          <w:rFonts w:ascii="Times New Roman" w:hAnsi="Times New Roman"/>
          <w:sz w:val="24"/>
          <w:szCs w:val="24"/>
        </w:rPr>
        <w:t xml:space="preserve">sponsor or organization), the member should be counted as a “new enrollee” </w:t>
      </w:r>
      <w:r w:rsidR="002A48CE" w:rsidRPr="00570AA9">
        <w:rPr>
          <w:rFonts w:ascii="Times New Roman" w:hAnsi="Times New Roman"/>
          <w:sz w:val="24"/>
          <w:szCs w:val="24"/>
        </w:rPr>
        <w:t>for the receiving plan.</w:t>
      </w:r>
      <w:r w:rsidR="00715604" w:rsidRPr="00570AA9">
        <w:rPr>
          <w:rFonts w:ascii="Times New Roman" w:hAnsi="Times New Roman"/>
          <w:sz w:val="24"/>
          <w:szCs w:val="24"/>
        </w:rPr>
        <w:t xml:space="preserve">  </w:t>
      </w:r>
      <w:r w:rsidRPr="00570AA9">
        <w:rPr>
          <w:rFonts w:ascii="Times New Roman" w:hAnsi="Times New Roman"/>
          <w:sz w:val="24"/>
          <w:szCs w:val="24"/>
        </w:rPr>
        <w:t xml:space="preserve">Enrollees who received an initial HRA, and remain continuously enrolled under a MAO that was part of a consolidation or merger within the same MAO or parent organization will not need to participate in a second initial HRA.  </w:t>
      </w:r>
    </w:p>
    <w:p w14:paraId="7C7318B0" w14:textId="77777777" w:rsidR="004D612B" w:rsidRPr="00570AA9" w:rsidRDefault="004D612B" w:rsidP="004D612B"/>
    <w:p w14:paraId="6687172A" w14:textId="69AB2DCA" w:rsidR="004D612B" w:rsidRPr="000371A0" w:rsidRDefault="004D612B" w:rsidP="00570AA9">
      <w:pPr>
        <w:pStyle w:val="ListParagraph"/>
        <w:numPr>
          <w:ilvl w:val="0"/>
          <w:numId w:val="41"/>
        </w:numPr>
      </w:pPr>
      <w:r w:rsidRPr="00570AA9">
        <w:rPr>
          <w:rFonts w:ascii="Times New Roman" w:hAnsi="Times New Roman"/>
          <w:sz w:val="24"/>
          <w:szCs w:val="24"/>
        </w:rPr>
        <w:t xml:space="preserve">A </w:t>
      </w:r>
      <w:r w:rsidR="00546905" w:rsidRPr="00570AA9">
        <w:rPr>
          <w:rFonts w:ascii="Times New Roman" w:hAnsi="Times New Roman"/>
          <w:sz w:val="24"/>
          <w:szCs w:val="24"/>
        </w:rPr>
        <w:t>HRA may</w:t>
      </w:r>
      <w:r w:rsidRPr="00570AA9">
        <w:rPr>
          <w:rFonts w:ascii="Times New Roman" w:hAnsi="Times New Roman"/>
          <w:sz w:val="24"/>
          <w:szCs w:val="24"/>
        </w:rPr>
        <w:t xml:space="preserve"> be reported before an individualized care plan (ICP) is completed.</w:t>
      </w:r>
    </w:p>
    <w:p w14:paraId="67909094" w14:textId="77777777" w:rsidR="004D612B" w:rsidRPr="00570AA9" w:rsidRDefault="004D612B" w:rsidP="004D612B"/>
    <w:p w14:paraId="3007744E" w14:textId="7491BA45" w:rsidR="004D612B" w:rsidRPr="000371A0" w:rsidRDefault="004D612B" w:rsidP="00570AA9">
      <w:pPr>
        <w:pStyle w:val="ListParagraph"/>
        <w:numPr>
          <w:ilvl w:val="0"/>
          <w:numId w:val="41"/>
        </w:numPr>
      </w:pPr>
      <w:r w:rsidRPr="00570AA9">
        <w:rPr>
          <w:rFonts w:ascii="Times New Roman" w:hAnsi="Times New Roman"/>
          <w:sz w:val="24"/>
          <w:szCs w:val="24"/>
        </w:rPr>
        <w:t xml:space="preserve">Please note that these technical specifications pertain to Part C reporting only and are not a statement of policy relating to </w:t>
      </w:r>
      <w:r w:rsidR="00217971" w:rsidRPr="00570AA9">
        <w:rPr>
          <w:rFonts w:ascii="Times New Roman" w:hAnsi="Times New Roman"/>
          <w:sz w:val="24"/>
          <w:szCs w:val="24"/>
        </w:rPr>
        <w:t>SNP</w:t>
      </w:r>
      <w:r w:rsidRPr="00570AA9">
        <w:rPr>
          <w:rFonts w:ascii="Times New Roman" w:hAnsi="Times New Roman"/>
          <w:sz w:val="24"/>
          <w:szCs w:val="24"/>
        </w:rPr>
        <w:t xml:space="preserve"> care management.  </w:t>
      </w:r>
    </w:p>
    <w:p w14:paraId="29059573" w14:textId="77777777" w:rsidR="0042215B" w:rsidRDefault="0042215B"/>
    <w:p w14:paraId="67BC17C6" w14:textId="77777777" w:rsidR="00833A96" w:rsidRDefault="00833A96" w:rsidP="00C36585">
      <w:pPr>
        <w:pStyle w:val="Heading3"/>
        <w:rPr>
          <w:rFonts w:ascii="Times New Roman" w:hAnsi="Times New Roman" w:cs="Times New Roman"/>
          <w:caps/>
          <w:sz w:val="24"/>
        </w:rPr>
      </w:pPr>
      <w:bookmarkStart w:id="56" w:name="_Toc373236807"/>
      <w:bookmarkStart w:id="57" w:name="_Toc436825824"/>
      <w:bookmarkStart w:id="58" w:name="_Toc475956109"/>
      <w:bookmarkEnd w:id="53"/>
    </w:p>
    <w:p w14:paraId="00C8E8C8" w14:textId="77777777" w:rsidR="00833A96" w:rsidRDefault="00833A96" w:rsidP="00833A96"/>
    <w:p w14:paraId="3696E3A6" w14:textId="77777777" w:rsidR="00833A96" w:rsidRPr="00833A96" w:rsidRDefault="00833A96" w:rsidP="00833A96"/>
    <w:p w14:paraId="35E904BC" w14:textId="77777777" w:rsidR="00833A96" w:rsidRDefault="00833A96" w:rsidP="00C36585">
      <w:pPr>
        <w:pStyle w:val="Heading3"/>
        <w:rPr>
          <w:rFonts w:ascii="Times New Roman" w:hAnsi="Times New Roman" w:cs="Times New Roman"/>
          <w:caps/>
          <w:sz w:val="24"/>
        </w:rPr>
      </w:pPr>
    </w:p>
    <w:p w14:paraId="47677929" w14:textId="77777777" w:rsidR="00833A96" w:rsidRDefault="00833A96" w:rsidP="00C36585">
      <w:pPr>
        <w:pStyle w:val="Heading3"/>
        <w:rPr>
          <w:rFonts w:ascii="Times New Roman" w:hAnsi="Times New Roman" w:cs="Times New Roman"/>
          <w:caps/>
          <w:sz w:val="24"/>
        </w:rPr>
      </w:pPr>
    </w:p>
    <w:p w14:paraId="55A82A7A" w14:textId="77777777" w:rsidR="00833A96" w:rsidRDefault="00833A96" w:rsidP="00C36585">
      <w:pPr>
        <w:pStyle w:val="Heading3"/>
        <w:rPr>
          <w:rFonts w:ascii="Times New Roman" w:hAnsi="Times New Roman" w:cs="Times New Roman"/>
          <w:caps/>
          <w:sz w:val="24"/>
        </w:rPr>
      </w:pPr>
    </w:p>
    <w:p w14:paraId="564330B2" w14:textId="25B785B6" w:rsidR="00D5460A" w:rsidRDefault="003858E0" w:rsidP="00C36585">
      <w:pPr>
        <w:pStyle w:val="Heading3"/>
        <w:rPr>
          <w:rFonts w:ascii="Times New Roman" w:hAnsi="Times New Roman"/>
          <w:u w:val="single"/>
        </w:rPr>
      </w:pPr>
      <w:r w:rsidRPr="00C36585">
        <w:rPr>
          <w:rFonts w:ascii="Times New Roman" w:hAnsi="Times New Roman" w:cs="Times New Roman"/>
          <w:caps/>
          <w:sz w:val="24"/>
        </w:rPr>
        <w:t xml:space="preserve">14. Enrollment </w:t>
      </w:r>
      <w:bookmarkStart w:id="59" w:name="_Toc300044165"/>
      <w:r w:rsidRPr="00C36585">
        <w:rPr>
          <w:rFonts w:ascii="Times New Roman" w:hAnsi="Times New Roman" w:cs="Times New Roman"/>
          <w:caps/>
          <w:sz w:val="24"/>
        </w:rPr>
        <w:t>and Disenrollment</w:t>
      </w:r>
      <w:bookmarkEnd w:id="56"/>
      <w:bookmarkEnd w:id="57"/>
      <w:bookmarkEnd w:id="58"/>
      <w:bookmarkEnd w:id="59"/>
    </w:p>
    <w:p w14:paraId="6AB00749" w14:textId="77777777" w:rsidR="0045737D" w:rsidRDefault="0045737D"/>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5"/>
        <w:gridCol w:w="2363"/>
        <w:gridCol w:w="1080"/>
        <w:gridCol w:w="1080"/>
        <w:gridCol w:w="2280"/>
      </w:tblGrid>
      <w:tr w:rsidR="00D01415" w:rsidRPr="00912B52" w14:paraId="62706A81" w14:textId="77777777" w:rsidTr="00833A96">
        <w:tc>
          <w:tcPr>
            <w:tcW w:w="2065" w:type="dxa"/>
            <w:shd w:val="clear" w:color="auto" w:fill="D9D9D9" w:themeFill="background1" w:themeFillShade="D9"/>
          </w:tcPr>
          <w:p w14:paraId="7E146790" w14:textId="77777777"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Pr>
                <w:b/>
                <w:szCs w:val="22"/>
              </w:rPr>
              <w:t>Reporting section</w:t>
            </w:r>
          </w:p>
        </w:tc>
        <w:tc>
          <w:tcPr>
            <w:tcW w:w="2363" w:type="dxa"/>
            <w:shd w:val="clear" w:color="auto" w:fill="D9D9D9" w:themeFill="background1" w:themeFillShade="D9"/>
          </w:tcPr>
          <w:p w14:paraId="6FD5FCAA" w14:textId="77777777"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Organization Types Required to Report</w:t>
            </w:r>
            <w:r>
              <w:rPr>
                <w:b/>
                <w:szCs w:val="22"/>
              </w:rPr>
              <w:t>*</w:t>
            </w:r>
          </w:p>
        </w:tc>
        <w:tc>
          <w:tcPr>
            <w:tcW w:w="1080" w:type="dxa"/>
            <w:shd w:val="clear" w:color="auto" w:fill="D9D9D9" w:themeFill="background1" w:themeFillShade="D9"/>
          </w:tcPr>
          <w:p w14:paraId="7F4B019C" w14:textId="77777777"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 Freq./</w:t>
            </w:r>
          </w:p>
          <w:p w14:paraId="7B89C79D" w14:textId="77777777"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Level</w:t>
            </w:r>
          </w:p>
        </w:tc>
        <w:tc>
          <w:tcPr>
            <w:tcW w:w="1080" w:type="dxa"/>
            <w:shd w:val="clear" w:color="auto" w:fill="D9D9D9" w:themeFill="background1" w:themeFillShade="D9"/>
          </w:tcPr>
          <w:p w14:paraId="6FBBBB4F" w14:textId="77777777"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Report</w:t>
            </w:r>
          </w:p>
          <w:p w14:paraId="100DA77C" w14:textId="77777777"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Period (s)</w:t>
            </w:r>
          </w:p>
        </w:tc>
        <w:tc>
          <w:tcPr>
            <w:tcW w:w="2280" w:type="dxa"/>
            <w:shd w:val="clear" w:color="auto" w:fill="D9D9D9" w:themeFill="background1" w:themeFillShade="D9"/>
          </w:tcPr>
          <w:p w14:paraId="76DEF52B" w14:textId="77777777" w:rsidR="00D01415" w:rsidRPr="00912B52"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szCs w:val="22"/>
              </w:rPr>
            </w:pPr>
            <w:r w:rsidRPr="00912B52">
              <w:rPr>
                <w:b/>
                <w:szCs w:val="22"/>
              </w:rPr>
              <w:t>Data Due date (s)</w:t>
            </w:r>
          </w:p>
        </w:tc>
      </w:tr>
      <w:tr w:rsidR="00D01415" w:rsidRPr="00912B52" w14:paraId="2FB7E2C8" w14:textId="77777777" w:rsidTr="00570AA9">
        <w:trPr>
          <w:trHeight w:val="90"/>
        </w:trPr>
        <w:tc>
          <w:tcPr>
            <w:tcW w:w="2065" w:type="dxa"/>
          </w:tcPr>
          <w:p w14:paraId="0DB2C8AF" w14:textId="77777777" w:rsidR="00D01415" w:rsidRPr="00912B52" w:rsidRDefault="00D01415" w:rsidP="00D0141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912B52">
              <w:rPr>
                <w:szCs w:val="22"/>
              </w:rPr>
              <w:t>1</w:t>
            </w:r>
            <w:r>
              <w:rPr>
                <w:szCs w:val="22"/>
              </w:rPr>
              <w:t>4</w:t>
            </w:r>
            <w:r w:rsidRPr="00912B52">
              <w:rPr>
                <w:szCs w:val="22"/>
              </w:rPr>
              <w:t xml:space="preserve">. </w:t>
            </w:r>
            <w:r>
              <w:rPr>
                <w:szCs w:val="22"/>
              </w:rPr>
              <w:t>Enrollment and Disenrollment</w:t>
            </w:r>
          </w:p>
        </w:tc>
        <w:tc>
          <w:tcPr>
            <w:tcW w:w="2363" w:type="dxa"/>
          </w:tcPr>
          <w:p w14:paraId="1EC991AE" w14:textId="77777777" w:rsidR="0045737D" w:rsidRDefault="00D01415">
            <w:pPr>
              <w:widowControl w:val="0"/>
              <w:autoSpaceDE w:val="0"/>
              <w:autoSpaceDN w:val="0"/>
              <w:adjustRightInd w:val="0"/>
              <w:rPr>
                <w:szCs w:val="22"/>
              </w:rPr>
            </w:pPr>
            <w:r>
              <w:rPr>
                <w:szCs w:val="22"/>
              </w:rPr>
              <w:t>All stand-alone MAOs (MA, no Part D)</w:t>
            </w:r>
          </w:p>
          <w:p w14:paraId="35E68B37" w14:textId="77777777" w:rsidR="0045737D" w:rsidRDefault="0045737D">
            <w:pPr>
              <w:widowControl w:val="0"/>
              <w:autoSpaceDE w:val="0"/>
              <w:autoSpaceDN w:val="0"/>
              <w:adjustRightInd w:val="0"/>
              <w:rPr>
                <w:szCs w:val="22"/>
              </w:rPr>
            </w:pPr>
          </w:p>
          <w:p w14:paraId="68779000" w14:textId="77777777" w:rsidR="0045737D" w:rsidRDefault="00D01415">
            <w:pPr>
              <w:widowControl w:val="0"/>
              <w:autoSpaceDE w:val="0"/>
              <w:autoSpaceDN w:val="0"/>
              <w:adjustRightInd w:val="0"/>
              <w:rPr>
                <w:szCs w:val="22"/>
              </w:rPr>
            </w:pPr>
            <w:r>
              <w:rPr>
                <w:szCs w:val="22"/>
              </w:rPr>
              <w:t>1876 Cost Plans with no Part D</w:t>
            </w:r>
          </w:p>
        </w:tc>
        <w:tc>
          <w:tcPr>
            <w:tcW w:w="1080" w:type="dxa"/>
            <w:shd w:val="clear" w:color="auto" w:fill="auto"/>
          </w:tcPr>
          <w:p w14:paraId="4DDC33BB" w14:textId="77777777" w:rsidR="00D01415" w:rsidRPr="00570AA9" w:rsidRDefault="005D4778"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570AA9">
              <w:rPr>
                <w:szCs w:val="22"/>
              </w:rPr>
              <w:t>2</w:t>
            </w:r>
            <w:r w:rsidR="00D01415" w:rsidRPr="00570AA9">
              <w:rPr>
                <w:szCs w:val="22"/>
              </w:rPr>
              <w:t>/Year</w:t>
            </w:r>
          </w:p>
          <w:p w14:paraId="13B95DB6" w14:textId="77777777" w:rsidR="00D01415" w:rsidRPr="005D4778"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570AA9">
              <w:rPr>
                <w:szCs w:val="22"/>
              </w:rPr>
              <w:t>Contract</w:t>
            </w:r>
          </w:p>
        </w:tc>
        <w:tc>
          <w:tcPr>
            <w:tcW w:w="1080" w:type="dxa"/>
            <w:shd w:val="clear" w:color="auto" w:fill="auto"/>
          </w:tcPr>
          <w:p w14:paraId="494CBB40" w14:textId="77777777" w:rsidR="00D01415" w:rsidRPr="00570AA9" w:rsidRDefault="00D01415" w:rsidP="005D477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570AA9">
              <w:rPr>
                <w:szCs w:val="22"/>
              </w:rPr>
              <w:t>1/1-</w:t>
            </w:r>
            <w:r w:rsidR="005D4778" w:rsidRPr="00570AA9">
              <w:rPr>
                <w:szCs w:val="22"/>
              </w:rPr>
              <w:t>6/30</w:t>
            </w:r>
          </w:p>
          <w:p w14:paraId="1FB85F91" w14:textId="77777777" w:rsidR="005D4778" w:rsidRPr="005D4778" w:rsidRDefault="005D4778" w:rsidP="005D477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r w:rsidRPr="00570AA9">
              <w:rPr>
                <w:szCs w:val="22"/>
              </w:rPr>
              <w:t>7/1 – 12/31</w:t>
            </w:r>
          </w:p>
        </w:tc>
        <w:tc>
          <w:tcPr>
            <w:tcW w:w="2280" w:type="dxa"/>
          </w:tcPr>
          <w:p w14:paraId="7F3704EE" w14:textId="77777777" w:rsidR="00D01415" w:rsidRPr="00570AA9" w:rsidRDefault="00753609"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rPr>
            </w:pPr>
            <w:r w:rsidRPr="00570AA9">
              <w:rPr>
                <w:szCs w:val="22"/>
              </w:rPr>
              <w:t>Last Monday of August and February</w:t>
            </w:r>
          </w:p>
          <w:p w14:paraId="7CC514B2" w14:textId="77777777" w:rsidR="00D01415" w:rsidRPr="005D4778" w:rsidRDefault="00D01415" w:rsidP="0045737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Cs w:val="22"/>
                <w:u w:val="single"/>
              </w:rPr>
            </w:pPr>
          </w:p>
        </w:tc>
      </w:tr>
    </w:tbl>
    <w:p w14:paraId="2A03AD9B" w14:textId="77777777" w:rsidR="0045737D" w:rsidRPr="00D955AB" w:rsidRDefault="00D01415" w:rsidP="00ED0647">
      <w:pPr>
        <w:autoSpaceDE w:val="0"/>
        <w:autoSpaceDN w:val="0"/>
        <w:adjustRightInd w:val="0"/>
      </w:pPr>
      <w:r w:rsidRPr="00D955AB">
        <w:t xml:space="preserve"> * </w:t>
      </w:r>
      <w:r w:rsidR="00190023" w:rsidRPr="00D955AB">
        <w:t>For other organization types, please report this reporting section under the appropriate section in the Part D reporting requirements.  For example, MA-PDs should report in Part D for this reporting section, listed as a “section” in Part D.</w:t>
      </w:r>
    </w:p>
    <w:p w14:paraId="6A27E3B4" w14:textId="77777777" w:rsidR="0045737D" w:rsidRDefault="0045737D" w:rsidP="00ED0647"/>
    <w:p w14:paraId="17576CC6" w14:textId="77777777" w:rsidR="00460CC5" w:rsidRDefault="00460CC5" w:rsidP="00ED0647">
      <w:r w:rsidRPr="00460CC5">
        <w:t>This reporting section requires data entry into HPMS</w:t>
      </w:r>
    </w:p>
    <w:p w14:paraId="0FF4AF7D" w14:textId="77777777" w:rsidR="00460CC5" w:rsidRDefault="00460CC5" w:rsidP="00ED0647"/>
    <w:p w14:paraId="5FED343A" w14:textId="77777777" w:rsidR="00CD43DD" w:rsidRPr="00833A96" w:rsidRDefault="00CD43DD" w:rsidP="00CD43DD">
      <w:pPr>
        <w:rPr>
          <w:b/>
        </w:rPr>
      </w:pPr>
      <w:r w:rsidRPr="00833A96">
        <w:rPr>
          <w:b/>
        </w:rPr>
        <w:t xml:space="preserve">For Part </w:t>
      </w:r>
      <w:r w:rsidR="00460CC5" w:rsidRPr="00833A96">
        <w:rPr>
          <w:b/>
        </w:rPr>
        <w:t>C R</w:t>
      </w:r>
      <w:r w:rsidRPr="00833A96">
        <w:rPr>
          <w:b/>
        </w:rPr>
        <w:t>eporting:</w:t>
      </w:r>
    </w:p>
    <w:p w14:paraId="62EF7D7E" w14:textId="0C97AF73" w:rsidR="002850A6" w:rsidRPr="00833A96" w:rsidRDefault="00833A96" w:rsidP="00833A96">
      <w:pPr>
        <w:pStyle w:val="ListParagraph"/>
        <w:numPr>
          <w:ilvl w:val="0"/>
          <w:numId w:val="44"/>
        </w:numPr>
        <w:autoSpaceDE w:val="0"/>
        <w:autoSpaceDN w:val="0"/>
        <w:adjustRightInd w:val="0"/>
        <w:rPr>
          <w:rFonts w:ascii="Times New Roman" w:hAnsi="Times New Roman"/>
          <w:sz w:val="24"/>
          <w:szCs w:val="24"/>
        </w:rPr>
      </w:pPr>
      <w:r w:rsidRPr="00833A96">
        <w:rPr>
          <w:rFonts w:ascii="Times New Roman" w:hAnsi="Times New Roman"/>
          <w:sz w:val="24"/>
          <w:szCs w:val="24"/>
        </w:rPr>
        <w:t>A</w:t>
      </w:r>
      <w:r w:rsidR="002850A6" w:rsidRPr="00833A96">
        <w:rPr>
          <w:rFonts w:ascii="Times New Roman" w:hAnsi="Times New Roman"/>
          <w:sz w:val="24"/>
          <w:szCs w:val="24"/>
        </w:rPr>
        <w:t xml:space="preserve">ll stand-alone MAOs (MA, no Part D) are to report this </w:t>
      </w:r>
      <w:r w:rsidR="00AA4C79" w:rsidRPr="00833A96">
        <w:rPr>
          <w:rFonts w:ascii="Times New Roman" w:hAnsi="Times New Roman"/>
          <w:sz w:val="24"/>
          <w:szCs w:val="24"/>
        </w:rPr>
        <w:t>reporting section</w:t>
      </w:r>
      <w:r w:rsidR="002850A6" w:rsidRPr="00833A96">
        <w:rPr>
          <w:rFonts w:ascii="Times New Roman" w:hAnsi="Times New Roman"/>
          <w:sz w:val="24"/>
          <w:szCs w:val="24"/>
        </w:rPr>
        <w:t xml:space="preserve"> as well as 1876 cost plans with no Part D. </w:t>
      </w:r>
      <w:r w:rsidR="00894A8B" w:rsidRPr="00833A96">
        <w:rPr>
          <w:rFonts w:ascii="Times New Roman" w:hAnsi="Times New Roman"/>
          <w:sz w:val="24"/>
          <w:szCs w:val="24"/>
        </w:rPr>
        <w:t xml:space="preserve"> </w:t>
      </w:r>
      <w:r w:rsidR="002850A6" w:rsidRPr="00833A96">
        <w:rPr>
          <w:rFonts w:ascii="Times New Roman" w:hAnsi="Times New Roman"/>
          <w:sz w:val="24"/>
          <w:szCs w:val="24"/>
        </w:rPr>
        <w:t xml:space="preserve">For other organization types, please report this </w:t>
      </w:r>
      <w:r w:rsidR="00AA4C79" w:rsidRPr="00833A96">
        <w:rPr>
          <w:rFonts w:ascii="Times New Roman" w:hAnsi="Times New Roman"/>
          <w:sz w:val="24"/>
          <w:szCs w:val="24"/>
        </w:rPr>
        <w:t>reporting section</w:t>
      </w:r>
      <w:r w:rsidR="002850A6" w:rsidRPr="00833A96">
        <w:rPr>
          <w:rFonts w:ascii="Times New Roman" w:hAnsi="Times New Roman"/>
          <w:sz w:val="24"/>
          <w:szCs w:val="24"/>
        </w:rPr>
        <w:t xml:space="preserve"> under the appropriate section in the Part D reporting requirements.  For example, MA-PDs should report in Part D for this </w:t>
      </w:r>
      <w:r w:rsidR="00AA4C79" w:rsidRPr="00833A96">
        <w:rPr>
          <w:rFonts w:ascii="Times New Roman" w:hAnsi="Times New Roman"/>
          <w:sz w:val="24"/>
          <w:szCs w:val="24"/>
        </w:rPr>
        <w:t>reporting section</w:t>
      </w:r>
      <w:r w:rsidR="002850A6" w:rsidRPr="00833A96">
        <w:rPr>
          <w:rFonts w:ascii="Times New Roman" w:hAnsi="Times New Roman"/>
          <w:sz w:val="24"/>
          <w:szCs w:val="24"/>
        </w:rPr>
        <w:t>, listed as a “section” in Part D.</w:t>
      </w:r>
    </w:p>
    <w:p w14:paraId="18AE3F37" w14:textId="77777777" w:rsidR="002850A6" w:rsidRPr="00833A96" w:rsidRDefault="002850A6" w:rsidP="002850A6">
      <w:pPr>
        <w:jc w:val="center"/>
      </w:pPr>
    </w:p>
    <w:p w14:paraId="6FBBDECB" w14:textId="77777777" w:rsidR="00D5460A" w:rsidRPr="00833A96" w:rsidRDefault="003858E0" w:rsidP="00833A96">
      <w:pPr>
        <w:pStyle w:val="ListParagraph"/>
        <w:numPr>
          <w:ilvl w:val="0"/>
          <w:numId w:val="44"/>
        </w:numPr>
        <w:autoSpaceDE w:val="0"/>
        <w:autoSpaceDN w:val="0"/>
        <w:adjustRightInd w:val="0"/>
        <w:rPr>
          <w:rFonts w:ascii="Times New Roman" w:hAnsi="Times New Roman"/>
          <w:sz w:val="24"/>
          <w:szCs w:val="24"/>
        </w:rPr>
      </w:pPr>
      <w:r w:rsidRPr="00833A96">
        <w:rPr>
          <w:rFonts w:ascii="Times New Roman" w:hAnsi="Times New Roman"/>
          <w:sz w:val="24"/>
          <w:szCs w:val="24"/>
        </w:rPr>
        <w:t xml:space="preserve">CMS provides guidance for </w:t>
      </w:r>
      <w:r w:rsidR="00550057" w:rsidRPr="00833A96">
        <w:rPr>
          <w:rFonts w:ascii="Times New Roman" w:hAnsi="Times New Roman"/>
          <w:sz w:val="24"/>
          <w:szCs w:val="24"/>
        </w:rPr>
        <w:t xml:space="preserve">MAOs and Part D sponsors’ processing of enrollment and disenrollment requests. </w:t>
      </w:r>
    </w:p>
    <w:p w14:paraId="155F0C55" w14:textId="77777777" w:rsidR="00D5460A" w:rsidRPr="00833A96" w:rsidRDefault="00D5460A" w:rsidP="00D5460A">
      <w:pPr>
        <w:autoSpaceDE w:val="0"/>
        <w:autoSpaceDN w:val="0"/>
        <w:adjustRightInd w:val="0"/>
      </w:pPr>
    </w:p>
    <w:p w14:paraId="7A68D2A5" w14:textId="733F5699" w:rsidR="00D5460A" w:rsidRPr="00833A96" w:rsidRDefault="00550057" w:rsidP="00833A96">
      <w:pPr>
        <w:pStyle w:val="ListParagraph"/>
        <w:numPr>
          <w:ilvl w:val="0"/>
          <w:numId w:val="44"/>
        </w:numPr>
        <w:autoSpaceDE w:val="0"/>
        <w:autoSpaceDN w:val="0"/>
        <w:adjustRightInd w:val="0"/>
        <w:rPr>
          <w:rFonts w:ascii="Times New Roman" w:hAnsi="Times New Roman"/>
          <w:sz w:val="24"/>
          <w:szCs w:val="24"/>
        </w:rPr>
      </w:pPr>
      <w:r w:rsidRPr="00833A96">
        <w:rPr>
          <w:rFonts w:ascii="Times New Roman" w:hAnsi="Times New Roman"/>
          <w:sz w:val="24"/>
          <w:szCs w:val="24"/>
        </w:rPr>
        <w:t xml:space="preserve">Both Chapter 2 of the Medicare Managed Care Manual and Chapter 3 of the Medicare Prescription Drug </w:t>
      </w:r>
      <w:r w:rsidR="005754F5" w:rsidRPr="00833A96">
        <w:rPr>
          <w:rFonts w:ascii="Times New Roman" w:hAnsi="Times New Roman"/>
          <w:sz w:val="24"/>
          <w:szCs w:val="24"/>
        </w:rPr>
        <w:t xml:space="preserve">Benefit </w:t>
      </w:r>
      <w:r w:rsidRPr="00833A96">
        <w:rPr>
          <w:rFonts w:ascii="Times New Roman" w:hAnsi="Times New Roman"/>
          <w:sz w:val="24"/>
          <w:szCs w:val="24"/>
        </w:rPr>
        <w:t xml:space="preserve">Manual outline the enrollment and disenrollment periods (Section 30) </w:t>
      </w:r>
      <w:r w:rsidR="005754F5" w:rsidRPr="00833A96">
        <w:rPr>
          <w:rFonts w:ascii="Times New Roman" w:hAnsi="Times New Roman"/>
          <w:sz w:val="24"/>
          <w:szCs w:val="24"/>
        </w:rPr>
        <w:t xml:space="preserve">and </w:t>
      </w:r>
      <w:r w:rsidRPr="00833A96">
        <w:rPr>
          <w:rFonts w:ascii="Times New Roman" w:hAnsi="Times New Roman"/>
          <w:sz w:val="24"/>
          <w:szCs w:val="24"/>
        </w:rPr>
        <w:t>enrollment (Section 40)</w:t>
      </w:r>
      <w:r w:rsidR="005754F5" w:rsidRPr="00833A96">
        <w:rPr>
          <w:rFonts w:ascii="Times New Roman" w:hAnsi="Times New Roman"/>
          <w:sz w:val="24"/>
          <w:szCs w:val="24"/>
        </w:rPr>
        <w:t>,</w:t>
      </w:r>
      <w:r w:rsidRPr="00833A96">
        <w:rPr>
          <w:rFonts w:ascii="Times New Roman" w:hAnsi="Times New Roman"/>
          <w:sz w:val="24"/>
          <w:szCs w:val="24"/>
        </w:rPr>
        <w:t xml:space="preserve"> disenrollment (Section 50) </w:t>
      </w:r>
      <w:r w:rsidR="005754F5" w:rsidRPr="00833A96">
        <w:rPr>
          <w:rFonts w:ascii="Times New Roman" w:hAnsi="Times New Roman"/>
          <w:sz w:val="24"/>
          <w:szCs w:val="24"/>
        </w:rPr>
        <w:t xml:space="preserve">and reinstatement (Section 60) procedures </w:t>
      </w:r>
      <w:r w:rsidRPr="00833A96">
        <w:rPr>
          <w:rFonts w:ascii="Times New Roman" w:hAnsi="Times New Roman"/>
          <w:sz w:val="24"/>
          <w:szCs w:val="24"/>
        </w:rPr>
        <w:t xml:space="preserve">for all Medicare health and prescription drug plans. </w:t>
      </w:r>
    </w:p>
    <w:p w14:paraId="226605DF" w14:textId="77777777" w:rsidR="000A5E98" w:rsidRPr="00833A96" w:rsidRDefault="000A5E98" w:rsidP="00D5460A">
      <w:pPr>
        <w:autoSpaceDE w:val="0"/>
        <w:autoSpaceDN w:val="0"/>
        <w:adjustRightInd w:val="0"/>
      </w:pPr>
    </w:p>
    <w:p w14:paraId="3EFBEE4A" w14:textId="327F8FA1" w:rsidR="00D5460A" w:rsidRPr="00833A96" w:rsidRDefault="00550057" w:rsidP="00833A96">
      <w:pPr>
        <w:pStyle w:val="ListParagraph"/>
        <w:numPr>
          <w:ilvl w:val="0"/>
          <w:numId w:val="44"/>
        </w:numPr>
        <w:autoSpaceDE w:val="0"/>
        <w:autoSpaceDN w:val="0"/>
        <w:adjustRightInd w:val="0"/>
        <w:rPr>
          <w:rFonts w:cs="Arial"/>
        </w:rPr>
      </w:pPr>
      <w:r w:rsidRPr="00833A96">
        <w:rPr>
          <w:rFonts w:ascii="Times New Roman" w:hAnsi="Times New Roman"/>
          <w:sz w:val="24"/>
          <w:szCs w:val="24"/>
        </w:rPr>
        <w:t>CMS will collect data on the elements for these requirements, which are otherwise not available to CMS, in order to evaluate the sponsor’s processing of enrollment</w:t>
      </w:r>
      <w:r w:rsidR="005754F5" w:rsidRPr="00833A96">
        <w:rPr>
          <w:rFonts w:ascii="Times New Roman" w:hAnsi="Times New Roman"/>
          <w:sz w:val="24"/>
          <w:szCs w:val="24"/>
        </w:rPr>
        <w:t>,</w:t>
      </w:r>
      <w:r w:rsidRPr="00833A96">
        <w:rPr>
          <w:rFonts w:ascii="Times New Roman" w:hAnsi="Times New Roman"/>
          <w:sz w:val="24"/>
          <w:szCs w:val="24"/>
        </w:rPr>
        <w:t xml:space="preserve"> disenrollment </w:t>
      </w:r>
      <w:r w:rsidR="005754F5" w:rsidRPr="00833A96">
        <w:rPr>
          <w:rFonts w:ascii="Times New Roman" w:hAnsi="Times New Roman"/>
          <w:sz w:val="24"/>
          <w:szCs w:val="24"/>
        </w:rPr>
        <w:t xml:space="preserve">and reinstatement </w:t>
      </w:r>
      <w:r w:rsidRPr="00833A96">
        <w:rPr>
          <w:rFonts w:ascii="Times New Roman" w:hAnsi="Times New Roman"/>
          <w:sz w:val="24"/>
          <w:szCs w:val="24"/>
        </w:rPr>
        <w:t>requests in accordance with CMS requirements</w:t>
      </w:r>
      <w:r w:rsidR="00715604" w:rsidRPr="00833A96">
        <w:rPr>
          <w:rFonts w:ascii="Times New Roman" w:hAnsi="Times New Roman"/>
          <w:sz w:val="24"/>
          <w:szCs w:val="24"/>
        </w:rPr>
        <w:t xml:space="preserve">.  </w:t>
      </w:r>
      <w:r w:rsidRPr="00833A96">
        <w:rPr>
          <w:rFonts w:ascii="Times New Roman" w:hAnsi="Times New Roman"/>
          <w:sz w:val="24"/>
          <w:szCs w:val="24"/>
        </w:rPr>
        <w:t xml:space="preserve">For example, while there are a number of factors that result in an individual’s eligibility for a Special Enrollment Period (SEP), sponsors </w:t>
      </w:r>
      <w:r w:rsidR="005754F5" w:rsidRPr="00833A96">
        <w:rPr>
          <w:rFonts w:ascii="Times New Roman" w:hAnsi="Times New Roman"/>
          <w:sz w:val="24"/>
          <w:szCs w:val="24"/>
        </w:rPr>
        <w:t xml:space="preserve">are </w:t>
      </w:r>
      <w:r w:rsidRPr="00833A96">
        <w:rPr>
          <w:rFonts w:ascii="Times New Roman" w:hAnsi="Times New Roman"/>
          <w:sz w:val="24"/>
          <w:szCs w:val="24"/>
        </w:rPr>
        <w:t>currently unable to specify each of these factors when submitting enrollment transactions</w:t>
      </w:r>
      <w:r w:rsidR="00715604" w:rsidRPr="00833A96">
        <w:rPr>
          <w:rFonts w:ascii="Times New Roman" w:hAnsi="Times New Roman"/>
          <w:sz w:val="24"/>
          <w:szCs w:val="24"/>
        </w:rPr>
        <w:t xml:space="preserve">.  </w:t>
      </w:r>
      <w:r w:rsidRPr="00833A96">
        <w:rPr>
          <w:rFonts w:ascii="Times New Roman" w:hAnsi="Times New Roman"/>
          <w:sz w:val="24"/>
          <w:szCs w:val="24"/>
        </w:rPr>
        <w:t xml:space="preserve">Sponsor’s reporting of data regarding SEP reasons for which a code is not currently available will further assist CMS in ensuring sponsors </w:t>
      </w:r>
      <w:r w:rsidRPr="00833A96">
        <w:rPr>
          <w:rFonts w:cs="Arial"/>
        </w:rPr>
        <w:t>are providing support to beneficiaries, while complying with CMS policies.</w:t>
      </w:r>
    </w:p>
    <w:p w14:paraId="61F16226" w14:textId="77777777" w:rsidR="00D5460A" w:rsidRPr="00570AA9" w:rsidRDefault="00D5460A" w:rsidP="00D5460A">
      <w:pPr>
        <w:autoSpaceDE w:val="0"/>
        <w:autoSpaceDN w:val="0"/>
        <w:adjustRightInd w:val="0"/>
        <w:rPr>
          <w:rFonts w:cs="Arial"/>
          <w:b/>
        </w:rPr>
      </w:pPr>
    </w:p>
    <w:p w14:paraId="6D4C8D08" w14:textId="77777777" w:rsidR="00A15FE7" w:rsidRDefault="00A15FE7" w:rsidP="00D5460A">
      <w:pPr>
        <w:autoSpaceDE w:val="0"/>
        <w:autoSpaceDN w:val="0"/>
        <w:adjustRightInd w:val="0"/>
        <w:rPr>
          <w:rFonts w:cs="Arial"/>
          <w:b/>
        </w:rPr>
      </w:pPr>
      <w:r w:rsidRPr="00A15FE7">
        <w:rPr>
          <w:rFonts w:cs="Arial"/>
          <w:b/>
        </w:rPr>
        <w:lastRenderedPageBreak/>
        <w:t>Section 1</w:t>
      </w:r>
      <w:r>
        <w:rPr>
          <w:rFonts w:cs="Arial"/>
          <w:b/>
        </w:rPr>
        <w:t xml:space="preserve"> Enrollment</w:t>
      </w:r>
      <w:r w:rsidRPr="00A15FE7">
        <w:rPr>
          <w:rFonts w:cs="Arial"/>
          <w:b/>
        </w:rPr>
        <w:t>:</w:t>
      </w:r>
      <w:r>
        <w:rPr>
          <w:rFonts w:cs="Arial"/>
          <w:b/>
        </w:rPr>
        <w:t xml:space="preserve"> </w:t>
      </w:r>
      <w:r w:rsidR="003858E0" w:rsidRPr="00A15FE7">
        <w:rPr>
          <w:rFonts w:cs="Arial"/>
        </w:rPr>
        <w:t>Data elements 1.A-1.O must include all enrollments</w:t>
      </w:r>
      <w:r w:rsidR="00CA6F05" w:rsidRPr="00A15FE7">
        <w:rPr>
          <w:rFonts w:cs="Arial"/>
        </w:rPr>
        <w:t>.</w:t>
      </w:r>
      <w:r w:rsidR="00715604" w:rsidRPr="00A15FE7">
        <w:rPr>
          <w:rFonts w:cs="Arial"/>
        </w:rPr>
        <w:t xml:space="preserve">  </w:t>
      </w:r>
      <w:r w:rsidR="003858E0" w:rsidRPr="00A15FE7">
        <w:rPr>
          <w:rFonts w:cs="Arial"/>
        </w:rPr>
        <w:t>Disenrollments must not be included in Section 1 Enrollment</w:t>
      </w:r>
      <w:r w:rsidR="003858E0" w:rsidRPr="00570AA9">
        <w:rPr>
          <w:rFonts w:cs="Arial"/>
          <w:b/>
        </w:rPr>
        <w:t xml:space="preserve">.   </w:t>
      </w:r>
    </w:p>
    <w:p w14:paraId="2F726117" w14:textId="77777777" w:rsidR="00833A96" w:rsidRDefault="00833A96" w:rsidP="00D5460A">
      <w:pPr>
        <w:autoSpaceDE w:val="0"/>
        <w:autoSpaceDN w:val="0"/>
        <w:adjustRightInd w:val="0"/>
        <w:rPr>
          <w:rFonts w:cs="Arial"/>
          <w:b/>
        </w:rPr>
      </w:pPr>
    </w:p>
    <w:p w14:paraId="044F40C6" w14:textId="037D6084" w:rsidR="00D5460A" w:rsidRPr="00A15FE7" w:rsidRDefault="00A15FE7" w:rsidP="00D5460A">
      <w:pPr>
        <w:autoSpaceDE w:val="0"/>
        <w:autoSpaceDN w:val="0"/>
        <w:adjustRightInd w:val="0"/>
        <w:rPr>
          <w:rFonts w:cs="Arial"/>
        </w:rPr>
      </w:pPr>
      <w:r>
        <w:rPr>
          <w:rFonts w:cs="Arial"/>
          <w:b/>
        </w:rPr>
        <w:t xml:space="preserve">Note: </w:t>
      </w:r>
      <w:r w:rsidRPr="00570AA9">
        <w:rPr>
          <w:rFonts w:cs="Arial"/>
          <w:u w:val="single"/>
        </w:rPr>
        <w:t xml:space="preserve">For measurement year 2017, two data elements (M and N) were </w:t>
      </w:r>
      <w:r>
        <w:rPr>
          <w:rFonts w:cs="Arial"/>
          <w:u w:val="single"/>
        </w:rPr>
        <w:t xml:space="preserve">removed </w:t>
      </w:r>
      <w:r w:rsidRPr="00570AA9">
        <w:rPr>
          <w:rFonts w:cs="Arial"/>
          <w:u w:val="single"/>
        </w:rPr>
        <w:t>under Enrollment.</w:t>
      </w:r>
    </w:p>
    <w:p w14:paraId="6F748DCB" w14:textId="77777777" w:rsidR="00D5460A" w:rsidRPr="006579D5" w:rsidRDefault="00D5460A" w:rsidP="00D5460A">
      <w:pPr>
        <w:autoSpaceDE w:val="0"/>
        <w:autoSpaceDN w:val="0"/>
        <w:adjustRightInd w:val="0"/>
        <w:rPr>
          <w:rFonts w:cs="Arial"/>
        </w:rPr>
      </w:pPr>
    </w:p>
    <w:p w14:paraId="6570A8D8" w14:textId="77777777" w:rsidR="00D5460A" w:rsidRPr="00A15FE7" w:rsidRDefault="00550057" w:rsidP="00D5460A">
      <w:pPr>
        <w:autoSpaceDE w:val="0"/>
        <w:autoSpaceDN w:val="0"/>
        <w:adjustRightInd w:val="0"/>
        <w:rPr>
          <w:rFonts w:cs="Arial"/>
        </w:rPr>
      </w:pPr>
      <w:r w:rsidRPr="00570AA9">
        <w:rPr>
          <w:rFonts w:cs="Arial"/>
          <w:b/>
        </w:rPr>
        <w:t>Section 2:</w:t>
      </w:r>
      <w:r w:rsidRPr="00A15FE7">
        <w:rPr>
          <w:rFonts w:cs="Arial"/>
        </w:rPr>
        <w:t xml:space="preserve"> Disenrollment must include all voluntary disenrollment transactions. </w:t>
      </w:r>
    </w:p>
    <w:p w14:paraId="0D04654B" w14:textId="77777777" w:rsidR="00A15FE7" w:rsidRDefault="00A15FE7" w:rsidP="00D5460A"/>
    <w:p w14:paraId="2E0A494D" w14:textId="77777777" w:rsidR="005D4778" w:rsidRPr="00570AA9" w:rsidRDefault="005D4778" w:rsidP="00D5460A">
      <w:pPr>
        <w:rPr>
          <w:b/>
        </w:rPr>
      </w:pPr>
      <w:r w:rsidRPr="00570AA9">
        <w:rPr>
          <w:b/>
        </w:rPr>
        <w:t>Reporting Timeline:</w:t>
      </w:r>
    </w:p>
    <w:tbl>
      <w:tblPr>
        <w:tblStyle w:val="TableGrid"/>
        <w:tblW w:w="0" w:type="auto"/>
        <w:tblLook w:val="04A0" w:firstRow="1" w:lastRow="0" w:firstColumn="1" w:lastColumn="0" w:noHBand="0" w:noVBand="1"/>
        <w:tblCaption w:val="Disenrollment Reporting Timeline"/>
        <w:tblDescription w:val="Disenrollment Reporting Timeline"/>
      </w:tblPr>
      <w:tblGrid>
        <w:gridCol w:w="3119"/>
        <w:gridCol w:w="3112"/>
        <w:gridCol w:w="3119"/>
      </w:tblGrid>
      <w:tr w:rsidR="005D4778" w:rsidRPr="005D4778" w14:paraId="38B4DEFD" w14:textId="77777777" w:rsidTr="00833A96">
        <w:trPr>
          <w:tblHeader/>
        </w:trPr>
        <w:tc>
          <w:tcPr>
            <w:tcW w:w="3192" w:type="dxa"/>
            <w:shd w:val="clear" w:color="auto" w:fill="D9D9D9" w:themeFill="background1" w:themeFillShade="D9"/>
          </w:tcPr>
          <w:p w14:paraId="444E00C8" w14:textId="77777777" w:rsidR="005D4778" w:rsidRPr="00ED4521" w:rsidRDefault="005D4778" w:rsidP="00D5460A">
            <w:pPr>
              <w:rPr>
                <w:u w:val="single"/>
              </w:rPr>
            </w:pPr>
            <w:r w:rsidRPr="00ED4521">
              <w:rPr>
                <w:u w:val="single"/>
              </w:rPr>
              <w:t>Reporting Period</w:t>
            </w:r>
          </w:p>
        </w:tc>
        <w:tc>
          <w:tcPr>
            <w:tcW w:w="3192" w:type="dxa"/>
            <w:shd w:val="clear" w:color="auto" w:fill="D9D9D9" w:themeFill="background1" w:themeFillShade="D9"/>
          </w:tcPr>
          <w:p w14:paraId="7F80CD79" w14:textId="77777777" w:rsidR="005D4778" w:rsidRPr="00570AA9" w:rsidRDefault="005D4778" w:rsidP="00D5460A">
            <w:r w:rsidRPr="00570AA9">
              <w:t>January 1 – June 30</w:t>
            </w:r>
          </w:p>
        </w:tc>
        <w:tc>
          <w:tcPr>
            <w:tcW w:w="3192" w:type="dxa"/>
            <w:shd w:val="clear" w:color="auto" w:fill="D9D9D9" w:themeFill="background1" w:themeFillShade="D9"/>
          </w:tcPr>
          <w:p w14:paraId="0B578C7A" w14:textId="77777777" w:rsidR="005D4778" w:rsidRPr="00570AA9" w:rsidRDefault="005D4778" w:rsidP="00D5460A">
            <w:r w:rsidRPr="00570AA9">
              <w:t>July 1-December 31</w:t>
            </w:r>
          </w:p>
        </w:tc>
      </w:tr>
      <w:tr w:rsidR="005D4778" w:rsidRPr="005D4778" w14:paraId="2A9C53AB" w14:textId="77777777" w:rsidTr="00833A96">
        <w:trPr>
          <w:tblHeader/>
        </w:trPr>
        <w:tc>
          <w:tcPr>
            <w:tcW w:w="3192" w:type="dxa"/>
            <w:shd w:val="clear" w:color="auto" w:fill="D9D9D9" w:themeFill="background1" w:themeFillShade="D9"/>
          </w:tcPr>
          <w:p w14:paraId="0DDB725F" w14:textId="77777777" w:rsidR="005D4778" w:rsidRPr="00ED4521" w:rsidRDefault="005D4778" w:rsidP="00D5460A">
            <w:pPr>
              <w:rPr>
                <w:u w:val="single"/>
              </w:rPr>
            </w:pPr>
            <w:r w:rsidRPr="00ED4521">
              <w:rPr>
                <w:u w:val="single"/>
              </w:rPr>
              <w:t>Data Due to CMS</w:t>
            </w:r>
          </w:p>
        </w:tc>
        <w:tc>
          <w:tcPr>
            <w:tcW w:w="3192" w:type="dxa"/>
            <w:shd w:val="clear" w:color="auto" w:fill="D9D9D9" w:themeFill="background1" w:themeFillShade="D9"/>
          </w:tcPr>
          <w:p w14:paraId="36BF4D8D" w14:textId="22045C45" w:rsidR="005D4778" w:rsidRPr="00570AA9" w:rsidRDefault="00653135" w:rsidP="00653135">
            <w:r>
              <w:t xml:space="preserve">Last Monday of </w:t>
            </w:r>
            <w:r w:rsidR="005D4778" w:rsidRPr="00570AA9">
              <w:t xml:space="preserve">August </w:t>
            </w:r>
          </w:p>
        </w:tc>
        <w:tc>
          <w:tcPr>
            <w:tcW w:w="3192" w:type="dxa"/>
            <w:shd w:val="clear" w:color="auto" w:fill="D9D9D9" w:themeFill="background1" w:themeFillShade="D9"/>
          </w:tcPr>
          <w:p w14:paraId="640EE60C" w14:textId="72768015" w:rsidR="005D4778" w:rsidRPr="00570AA9" w:rsidRDefault="00653135" w:rsidP="00653135">
            <w:r>
              <w:t xml:space="preserve">Last Monday of </w:t>
            </w:r>
            <w:r w:rsidR="00CC65DE" w:rsidRPr="00570AA9">
              <w:t xml:space="preserve">February </w:t>
            </w:r>
            <w:r w:rsidR="005D4778" w:rsidRPr="00570AA9">
              <w:t xml:space="preserve"> </w:t>
            </w:r>
          </w:p>
        </w:tc>
      </w:tr>
    </w:tbl>
    <w:p w14:paraId="4A42A3E2" w14:textId="77777777" w:rsidR="005D4778" w:rsidRPr="006579D5" w:rsidRDefault="005D4778" w:rsidP="00D5460A"/>
    <w:p w14:paraId="7995E9FE" w14:textId="40E14E46" w:rsidR="00D5460A" w:rsidRPr="006579D5" w:rsidRDefault="00550057" w:rsidP="00D5460A">
      <w:r w:rsidRPr="006579D5">
        <w:t>Data elements to be entered into the HPMS at the Contract level</w:t>
      </w:r>
      <w:r w:rsidR="00F950FC">
        <w:t>.</w:t>
      </w:r>
      <w:r w:rsidRPr="006579D5">
        <w:t>  </w:t>
      </w:r>
    </w:p>
    <w:p w14:paraId="073EADC3" w14:textId="77777777" w:rsidR="00D5460A" w:rsidRPr="006579D5" w:rsidRDefault="00D5460A" w:rsidP="00D5460A"/>
    <w:p w14:paraId="0A9CC851" w14:textId="67C00966" w:rsidR="00AA156E" w:rsidRPr="009C6AB9" w:rsidRDefault="00D50463" w:rsidP="00AA156E">
      <w:pPr>
        <w:rPr>
          <w:color w:val="000000"/>
        </w:rPr>
      </w:pPr>
      <w:r>
        <w:rPr>
          <w:rFonts w:cs="Arial"/>
          <w:b/>
          <w:u w:val="single"/>
        </w:rPr>
        <w:t xml:space="preserve">Removed: </w:t>
      </w:r>
      <w:r w:rsidR="00CE0432" w:rsidRPr="00570AA9">
        <w:rPr>
          <w:rFonts w:cs="Arial"/>
          <w:b/>
          <w:u w:val="single"/>
        </w:rPr>
        <w:t xml:space="preserve">For measurement year 2017, </w:t>
      </w:r>
      <w:r w:rsidR="006C226D" w:rsidRPr="00570AA9">
        <w:rPr>
          <w:rFonts w:cs="Arial"/>
          <w:b/>
          <w:u w:val="single"/>
        </w:rPr>
        <w:t xml:space="preserve">two </w:t>
      </w:r>
      <w:r w:rsidR="00AA156E" w:rsidRPr="00570AA9">
        <w:rPr>
          <w:rFonts w:cs="Arial"/>
          <w:b/>
          <w:u w:val="single"/>
        </w:rPr>
        <w:t xml:space="preserve">data elements </w:t>
      </w:r>
      <w:r w:rsidR="00CB1547">
        <w:rPr>
          <w:rFonts w:cs="Arial"/>
          <w:b/>
          <w:u w:val="single"/>
        </w:rPr>
        <w:t xml:space="preserve">(M and N) </w:t>
      </w:r>
      <w:r w:rsidR="00CE0432" w:rsidRPr="00570AA9">
        <w:rPr>
          <w:rFonts w:cs="Arial"/>
          <w:b/>
          <w:u w:val="single"/>
        </w:rPr>
        <w:t xml:space="preserve">were </w:t>
      </w:r>
      <w:r w:rsidR="00833A96">
        <w:rPr>
          <w:rFonts w:cs="Arial"/>
          <w:b/>
          <w:u w:val="single"/>
        </w:rPr>
        <w:t>removed</w:t>
      </w:r>
      <w:r>
        <w:rPr>
          <w:rFonts w:cs="Arial"/>
          <w:b/>
          <w:u w:val="single"/>
        </w:rPr>
        <w:t xml:space="preserve"> </w:t>
      </w:r>
      <w:r w:rsidR="00AA156E" w:rsidRPr="00570AA9">
        <w:rPr>
          <w:rFonts w:cs="Arial"/>
          <w:b/>
          <w:u w:val="single"/>
        </w:rPr>
        <w:t xml:space="preserve">under </w:t>
      </w:r>
      <w:r w:rsidR="0054531B">
        <w:rPr>
          <w:rFonts w:cs="Arial"/>
          <w:b/>
          <w:u w:val="single"/>
        </w:rPr>
        <w:t>E</w:t>
      </w:r>
      <w:r w:rsidR="00AA156E" w:rsidRPr="00570AA9">
        <w:rPr>
          <w:rFonts w:cs="Arial"/>
          <w:b/>
          <w:u w:val="single"/>
        </w:rPr>
        <w:t>nrollment</w:t>
      </w:r>
      <w:r w:rsidR="00CB1547">
        <w:rPr>
          <w:rFonts w:cs="Arial"/>
          <w:b/>
          <w:u w:val="single"/>
        </w:rPr>
        <w:t xml:space="preserve">. </w:t>
      </w:r>
      <w:r w:rsidR="00715604" w:rsidRPr="00570AA9">
        <w:rPr>
          <w:rFonts w:cs="Arial"/>
          <w:b/>
        </w:rPr>
        <w:t xml:space="preserve">  </w:t>
      </w:r>
    </w:p>
    <w:p w14:paraId="3BBD80ED" w14:textId="77777777" w:rsidR="00AA156E" w:rsidRDefault="00AA156E" w:rsidP="00AA156E"/>
    <w:p w14:paraId="7713E64A" w14:textId="4A57C9CD" w:rsidR="00AA156E" w:rsidRPr="009C345A" w:rsidRDefault="00AA156E" w:rsidP="00BC2FAC">
      <w:pPr>
        <w:pStyle w:val="ListParagraph"/>
        <w:numPr>
          <w:ilvl w:val="0"/>
          <w:numId w:val="32"/>
        </w:numPr>
        <w:autoSpaceDE w:val="0"/>
        <w:autoSpaceDN w:val="0"/>
        <w:adjustRightInd w:val="0"/>
        <w:spacing w:before="120" w:after="120"/>
        <w:contextualSpacing/>
        <w:rPr>
          <w:rFonts w:ascii="Times New Roman" w:hAnsi="Times New Roman"/>
          <w:b/>
          <w:sz w:val="24"/>
          <w:szCs w:val="24"/>
        </w:rPr>
      </w:pPr>
      <w:r w:rsidRPr="009C345A">
        <w:rPr>
          <w:rFonts w:ascii="Times New Roman" w:hAnsi="Times New Roman"/>
          <w:b/>
          <w:sz w:val="24"/>
          <w:szCs w:val="24"/>
        </w:rPr>
        <w:t>Enrollment:</w:t>
      </w:r>
    </w:p>
    <w:p w14:paraId="63696B12" w14:textId="77777777" w:rsidR="009747AD" w:rsidRPr="009C345A" w:rsidRDefault="009747AD" w:rsidP="009747AD">
      <w:pPr>
        <w:spacing w:after="60"/>
        <w:rPr>
          <w:color w:val="1F497D"/>
        </w:rPr>
      </w:pPr>
    </w:p>
    <w:p w14:paraId="1DFAA836" w14:textId="190685B6" w:rsidR="00894F47" w:rsidRPr="009C345A" w:rsidRDefault="00BC2FAC" w:rsidP="00BC2FAC">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9C345A">
        <w:rPr>
          <w:rFonts w:ascii="Times New Roman" w:hAnsi="Times New Roman"/>
          <w:sz w:val="24"/>
          <w:szCs w:val="24"/>
        </w:rPr>
        <w:t>T</w:t>
      </w:r>
      <w:r w:rsidR="00894F47" w:rsidRPr="009C345A">
        <w:rPr>
          <w:rFonts w:ascii="Times New Roman" w:hAnsi="Times New Roman"/>
          <w:sz w:val="24"/>
          <w:szCs w:val="24"/>
        </w:rPr>
        <w:t>he total number of enrollment requests (i.e., requests initiated by the beneficiary or his/her authorized representative) received in the specified time period.  Do not include auto/facilitated or passive enrollments, rollover transactions, or other enrollments effectuated by CMS.</w:t>
      </w:r>
    </w:p>
    <w:p w14:paraId="56CC52B0" w14:textId="77777777" w:rsidR="00BC2FAC" w:rsidRPr="009C345A" w:rsidRDefault="00BC2FAC" w:rsidP="00894F47">
      <w:pPr>
        <w:autoSpaceDE w:val="0"/>
        <w:autoSpaceDN w:val="0"/>
        <w:adjustRightInd w:val="0"/>
        <w:spacing w:before="120" w:after="120"/>
        <w:contextualSpacing/>
      </w:pPr>
    </w:p>
    <w:p w14:paraId="3413F1F7" w14:textId="0552DBF1" w:rsidR="00894F47" w:rsidRPr="009C345A" w:rsidRDefault="00894F47" w:rsidP="00BC2FAC">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9C345A">
        <w:rPr>
          <w:rFonts w:ascii="Times New Roman" w:hAnsi="Times New Roman"/>
          <w:sz w:val="24"/>
          <w:szCs w:val="24"/>
        </w:rPr>
        <w:t>Of the total reported in A, the number of enrollment requests complete at the time of initial receipt (i.e. required no additional information from applicant or his/her authorized representative).</w:t>
      </w:r>
    </w:p>
    <w:p w14:paraId="01E47DB5" w14:textId="77777777" w:rsidR="00DA123E" w:rsidRPr="00DA123E" w:rsidRDefault="00DA123E" w:rsidP="00570AA9">
      <w:pPr>
        <w:autoSpaceDE w:val="0"/>
        <w:autoSpaceDN w:val="0"/>
        <w:adjustRightInd w:val="0"/>
        <w:spacing w:before="120" w:after="120"/>
        <w:ind w:left="360"/>
        <w:contextualSpacing/>
      </w:pPr>
    </w:p>
    <w:p w14:paraId="7C365C1B" w14:textId="61E5CFB8" w:rsidR="00894F47" w:rsidRPr="009C345A" w:rsidRDefault="00894F47" w:rsidP="00BC2FAC">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9C345A">
        <w:rPr>
          <w:rFonts w:ascii="Times New Roman" w:hAnsi="Times New Roman"/>
          <w:sz w:val="24"/>
          <w:szCs w:val="24"/>
        </w:rPr>
        <w:t xml:space="preserve">Of the total reported in A, the number of enrollment requests for which the sponsor was required to request additional information from the applicant (or his/her representative).  </w:t>
      </w:r>
    </w:p>
    <w:p w14:paraId="08963788" w14:textId="77777777" w:rsidR="00BC2FAC" w:rsidRPr="009C345A" w:rsidRDefault="00BC2FAC" w:rsidP="00894F47">
      <w:pPr>
        <w:autoSpaceDE w:val="0"/>
        <w:autoSpaceDN w:val="0"/>
        <w:adjustRightInd w:val="0"/>
        <w:spacing w:before="120" w:after="120"/>
        <w:contextualSpacing/>
      </w:pPr>
    </w:p>
    <w:p w14:paraId="4C786DAC" w14:textId="7206C3E6" w:rsidR="00894F47" w:rsidRPr="009C345A" w:rsidRDefault="00894F47" w:rsidP="00BC2FAC">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9C345A">
        <w:rPr>
          <w:rFonts w:ascii="Times New Roman" w:hAnsi="Times New Roman"/>
          <w:sz w:val="24"/>
          <w:szCs w:val="24"/>
        </w:rPr>
        <w:t>Of the total reported in A, the number of enrollment requests denied due to the sponsor’s determination of the applicant’s ineligibility to elect the plan (i.e. individual not eligible for an election period).</w:t>
      </w:r>
    </w:p>
    <w:p w14:paraId="02822CE6" w14:textId="77777777" w:rsidR="00BC2FAC" w:rsidRPr="009C345A" w:rsidRDefault="00BC2FAC" w:rsidP="00894F47">
      <w:pPr>
        <w:autoSpaceDE w:val="0"/>
        <w:autoSpaceDN w:val="0"/>
        <w:adjustRightInd w:val="0"/>
        <w:spacing w:before="120" w:after="120"/>
        <w:contextualSpacing/>
      </w:pPr>
    </w:p>
    <w:p w14:paraId="43142EAF" w14:textId="6067A06C" w:rsidR="00894F47" w:rsidRPr="009C345A" w:rsidRDefault="00894F47" w:rsidP="00BC2FAC">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9C345A">
        <w:rPr>
          <w:rFonts w:ascii="Times New Roman" w:hAnsi="Times New Roman"/>
          <w:sz w:val="24"/>
          <w:szCs w:val="24"/>
        </w:rPr>
        <w:t>Of the total reported in C, the number of incomplete enrollment requests received that are incomplete upon initial receipt and completed within established timeframes.</w:t>
      </w:r>
    </w:p>
    <w:p w14:paraId="547BDC53" w14:textId="77777777" w:rsidR="00BC2FAC" w:rsidRPr="009C345A" w:rsidRDefault="00BC2FAC" w:rsidP="00894F47">
      <w:pPr>
        <w:autoSpaceDE w:val="0"/>
        <w:autoSpaceDN w:val="0"/>
        <w:adjustRightInd w:val="0"/>
        <w:spacing w:before="120" w:after="120"/>
        <w:contextualSpacing/>
      </w:pPr>
    </w:p>
    <w:p w14:paraId="784FC92F" w14:textId="79ABF250" w:rsidR="00894F47" w:rsidRPr="009C345A" w:rsidRDefault="00894F47" w:rsidP="00BC2FAC">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9C345A">
        <w:rPr>
          <w:rFonts w:ascii="Times New Roman" w:hAnsi="Times New Roman"/>
          <w:sz w:val="24"/>
          <w:szCs w:val="24"/>
        </w:rPr>
        <w:t>Of the total reported in C, the number of enrollment requests denied due to the applicant or his/her authorized representative not providing information to complete the enrollment request within established timeframes.</w:t>
      </w:r>
    </w:p>
    <w:p w14:paraId="23128C38" w14:textId="77777777" w:rsidR="00BC2FAC" w:rsidRPr="009C345A" w:rsidRDefault="00BC2FAC" w:rsidP="00894F47">
      <w:pPr>
        <w:autoSpaceDE w:val="0"/>
        <w:autoSpaceDN w:val="0"/>
        <w:adjustRightInd w:val="0"/>
        <w:spacing w:before="120" w:after="120"/>
        <w:contextualSpacing/>
      </w:pPr>
    </w:p>
    <w:p w14:paraId="27E61992" w14:textId="2070D11A" w:rsidR="00894F47" w:rsidRPr="009C345A" w:rsidRDefault="00894F47" w:rsidP="00BC2FAC">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9C345A">
        <w:rPr>
          <w:rFonts w:ascii="Times New Roman" w:hAnsi="Times New Roman"/>
          <w:sz w:val="24"/>
          <w:szCs w:val="24"/>
        </w:rPr>
        <w:t>Of the total reported in A, the number of paper enrollment requests received.</w:t>
      </w:r>
    </w:p>
    <w:p w14:paraId="369C435E" w14:textId="77777777" w:rsidR="00BC2FAC" w:rsidRPr="009C345A" w:rsidRDefault="00BC2FAC" w:rsidP="00894F47">
      <w:pPr>
        <w:autoSpaceDE w:val="0"/>
        <w:autoSpaceDN w:val="0"/>
        <w:adjustRightInd w:val="0"/>
        <w:spacing w:before="120" w:after="120"/>
        <w:contextualSpacing/>
      </w:pPr>
    </w:p>
    <w:p w14:paraId="416FB581" w14:textId="04B88A3F" w:rsidR="00894F47" w:rsidRPr="009C345A" w:rsidRDefault="00BC2FAC" w:rsidP="00BC2FAC">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9C345A">
        <w:rPr>
          <w:rFonts w:ascii="Times New Roman" w:hAnsi="Times New Roman"/>
          <w:sz w:val="24"/>
          <w:szCs w:val="24"/>
        </w:rPr>
        <w:t>O</w:t>
      </w:r>
      <w:r w:rsidR="00894F47" w:rsidRPr="009C345A">
        <w:rPr>
          <w:rFonts w:ascii="Times New Roman" w:hAnsi="Times New Roman"/>
          <w:sz w:val="24"/>
          <w:szCs w:val="24"/>
        </w:rPr>
        <w:t>f the total reported in A, the number of telephonic enrollment requests received (if sponsor offers this mechanism).</w:t>
      </w:r>
    </w:p>
    <w:p w14:paraId="3F3784DD" w14:textId="77777777" w:rsidR="00BC2FAC" w:rsidRPr="009C345A" w:rsidRDefault="00BC2FAC" w:rsidP="00894F47">
      <w:pPr>
        <w:autoSpaceDE w:val="0"/>
        <w:autoSpaceDN w:val="0"/>
        <w:adjustRightInd w:val="0"/>
        <w:spacing w:before="120" w:after="120"/>
        <w:contextualSpacing/>
      </w:pPr>
    </w:p>
    <w:p w14:paraId="7592E9EE" w14:textId="54EDBB4E" w:rsidR="00894F47" w:rsidRPr="009C345A" w:rsidRDefault="00894F47" w:rsidP="00BC2FAC">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9C345A">
        <w:rPr>
          <w:rFonts w:ascii="Times New Roman" w:hAnsi="Times New Roman"/>
          <w:sz w:val="24"/>
          <w:szCs w:val="24"/>
        </w:rPr>
        <w:t>Of the total reported in A, the number of internet enrollment requests received via plan or affiliated third-party website (if sponsor offers this mechanism).</w:t>
      </w:r>
    </w:p>
    <w:p w14:paraId="6785A11C" w14:textId="77777777" w:rsidR="00BC2FAC" w:rsidRPr="009C345A" w:rsidRDefault="00BC2FAC" w:rsidP="00894F47">
      <w:pPr>
        <w:autoSpaceDE w:val="0"/>
        <w:autoSpaceDN w:val="0"/>
        <w:adjustRightInd w:val="0"/>
        <w:spacing w:before="120" w:after="120"/>
        <w:contextualSpacing/>
      </w:pPr>
    </w:p>
    <w:p w14:paraId="20254806" w14:textId="69547126" w:rsidR="00894F47" w:rsidRPr="009C345A" w:rsidRDefault="00894F47" w:rsidP="00BC2FAC">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9C345A">
        <w:rPr>
          <w:rFonts w:ascii="Times New Roman" w:hAnsi="Times New Roman"/>
          <w:sz w:val="24"/>
          <w:szCs w:val="24"/>
        </w:rPr>
        <w:t>Of the total reported in A, the number of Medicare Online Enrollment Center (OEC) enrollment requests received.</w:t>
      </w:r>
    </w:p>
    <w:p w14:paraId="3BB885BC" w14:textId="77777777" w:rsidR="00BC2FAC" w:rsidRPr="009C345A" w:rsidRDefault="00BC2FAC" w:rsidP="00894F47">
      <w:pPr>
        <w:autoSpaceDE w:val="0"/>
        <w:autoSpaceDN w:val="0"/>
        <w:adjustRightInd w:val="0"/>
        <w:spacing w:before="120" w:after="120"/>
        <w:contextualSpacing/>
      </w:pPr>
    </w:p>
    <w:p w14:paraId="5148CBB2" w14:textId="703FFF66" w:rsidR="00894F47" w:rsidRPr="009C345A" w:rsidRDefault="00894F47" w:rsidP="00BC2FAC">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9C345A">
        <w:rPr>
          <w:rFonts w:ascii="Times New Roman" w:hAnsi="Times New Roman"/>
          <w:sz w:val="24"/>
          <w:szCs w:val="24"/>
        </w:rPr>
        <w:t xml:space="preserve"> Of the total reported in A, the number of enrollment requests effectuated by sales persons (as defined in Chapter 3 of the Medicare Managed Care Manual). </w:t>
      </w:r>
    </w:p>
    <w:p w14:paraId="71C6D1CF" w14:textId="77777777" w:rsidR="00BC2FAC" w:rsidRPr="009C345A" w:rsidRDefault="00BC2FAC" w:rsidP="00894F47">
      <w:pPr>
        <w:autoSpaceDE w:val="0"/>
        <w:autoSpaceDN w:val="0"/>
        <w:adjustRightInd w:val="0"/>
        <w:spacing w:before="120" w:after="120"/>
        <w:contextualSpacing/>
      </w:pPr>
    </w:p>
    <w:p w14:paraId="70BB4A5F" w14:textId="6A6CFA2F" w:rsidR="00894F47" w:rsidRPr="009C345A" w:rsidRDefault="00894F47" w:rsidP="00BC2FAC">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9C345A">
        <w:rPr>
          <w:rFonts w:ascii="Times New Roman" w:hAnsi="Times New Roman"/>
          <w:sz w:val="24"/>
          <w:szCs w:val="24"/>
        </w:rPr>
        <w:t xml:space="preserve">Of the total reported in A, the number of enrollment transactions submitted using the SEP Election Period code "S" related to creditable coverage. </w:t>
      </w:r>
    </w:p>
    <w:p w14:paraId="6D4406D3" w14:textId="77777777" w:rsidR="0096131D" w:rsidRPr="009C345A" w:rsidRDefault="0096131D" w:rsidP="0096131D">
      <w:pPr>
        <w:pStyle w:val="ListParagraph"/>
        <w:rPr>
          <w:rFonts w:ascii="Times New Roman" w:hAnsi="Times New Roman"/>
          <w:sz w:val="24"/>
          <w:szCs w:val="24"/>
        </w:rPr>
      </w:pPr>
    </w:p>
    <w:p w14:paraId="7C94A327" w14:textId="77777777" w:rsidR="0096131D" w:rsidRPr="009C345A" w:rsidRDefault="0096131D" w:rsidP="0096131D">
      <w:pPr>
        <w:pStyle w:val="ListParagraph"/>
        <w:autoSpaceDE w:val="0"/>
        <w:autoSpaceDN w:val="0"/>
        <w:adjustRightInd w:val="0"/>
        <w:spacing w:before="120" w:after="120"/>
        <w:contextualSpacing/>
        <w:rPr>
          <w:rFonts w:ascii="Times New Roman" w:hAnsi="Times New Roman"/>
          <w:sz w:val="24"/>
          <w:szCs w:val="24"/>
        </w:rPr>
      </w:pPr>
    </w:p>
    <w:p w14:paraId="5C210F21" w14:textId="5354FBA9" w:rsidR="00894F47" w:rsidRPr="00570AA9" w:rsidRDefault="00894F47" w:rsidP="00BC2FAC">
      <w:pPr>
        <w:pStyle w:val="ListParagraph"/>
        <w:numPr>
          <w:ilvl w:val="0"/>
          <w:numId w:val="33"/>
        </w:numPr>
        <w:autoSpaceDE w:val="0"/>
        <w:autoSpaceDN w:val="0"/>
        <w:adjustRightInd w:val="0"/>
        <w:spacing w:before="120" w:after="120"/>
        <w:contextualSpacing/>
        <w:rPr>
          <w:rFonts w:ascii="Times New Roman" w:hAnsi="Times New Roman"/>
          <w:strike/>
          <w:color w:val="FF0000"/>
          <w:sz w:val="24"/>
          <w:szCs w:val="24"/>
        </w:rPr>
      </w:pPr>
    </w:p>
    <w:p w14:paraId="28DAF6E9" w14:textId="77777777" w:rsidR="00BC2FAC" w:rsidRPr="00570AA9" w:rsidRDefault="00BC2FAC" w:rsidP="00894F47">
      <w:pPr>
        <w:autoSpaceDE w:val="0"/>
        <w:autoSpaceDN w:val="0"/>
        <w:adjustRightInd w:val="0"/>
        <w:spacing w:before="120" w:after="120"/>
        <w:contextualSpacing/>
        <w:rPr>
          <w:strike/>
          <w:color w:val="FF0000"/>
        </w:rPr>
      </w:pPr>
    </w:p>
    <w:p w14:paraId="7B4E3F20" w14:textId="22538D37" w:rsidR="00894F47" w:rsidRPr="00570AA9" w:rsidRDefault="00894F47" w:rsidP="00BC2FAC">
      <w:pPr>
        <w:pStyle w:val="ListParagraph"/>
        <w:numPr>
          <w:ilvl w:val="0"/>
          <w:numId w:val="33"/>
        </w:numPr>
        <w:autoSpaceDE w:val="0"/>
        <w:autoSpaceDN w:val="0"/>
        <w:adjustRightInd w:val="0"/>
        <w:spacing w:before="120" w:after="120"/>
        <w:contextualSpacing/>
        <w:rPr>
          <w:rFonts w:ascii="Times New Roman" w:hAnsi="Times New Roman"/>
          <w:strike/>
          <w:color w:val="FF0000"/>
          <w:sz w:val="24"/>
          <w:szCs w:val="24"/>
        </w:rPr>
      </w:pPr>
      <w:r w:rsidRPr="00570AA9">
        <w:rPr>
          <w:rFonts w:ascii="Times New Roman" w:hAnsi="Times New Roman"/>
          <w:strike/>
          <w:color w:val="FF0000"/>
          <w:sz w:val="24"/>
          <w:szCs w:val="24"/>
        </w:rPr>
        <w:t xml:space="preserve"> </w:t>
      </w:r>
    </w:p>
    <w:p w14:paraId="6FBAEBF5" w14:textId="77777777" w:rsidR="00BC2FAC" w:rsidRPr="009C345A" w:rsidRDefault="00BC2FAC" w:rsidP="00894F47">
      <w:pPr>
        <w:autoSpaceDE w:val="0"/>
        <w:autoSpaceDN w:val="0"/>
        <w:adjustRightInd w:val="0"/>
        <w:spacing w:before="120" w:after="120"/>
        <w:contextualSpacing/>
      </w:pPr>
    </w:p>
    <w:p w14:paraId="03D89C2D" w14:textId="02B4DE25" w:rsidR="00894F47" w:rsidRPr="009C345A" w:rsidRDefault="00BC2FAC" w:rsidP="00BC2FAC">
      <w:pPr>
        <w:pStyle w:val="ListParagraph"/>
        <w:numPr>
          <w:ilvl w:val="0"/>
          <w:numId w:val="33"/>
        </w:numPr>
        <w:autoSpaceDE w:val="0"/>
        <w:autoSpaceDN w:val="0"/>
        <w:adjustRightInd w:val="0"/>
        <w:spacing w:before="120" w:after="120"/>
        <w:contextualSpacing/>
        <w:rPr>
          <w:rFonts w:ascii="Times New Roman" w:hAnsi="Times New Roman"/>
          <w:sz w:val="24"/>
          <w:szCs w:val="24"/>
        </w:rPr>
      </w:pPr>
      <w:r w:rsidRPr="009C345A">
        <w:rPr>
          <w:rFonts w:ascii="Times New Roman" w:hAnsi="Times New Roman"/>
          <w:sz w:val="24"/>
          <w:szCs w:val="24"/>
        </w:rPr>
        <w:t>O</w:t>
      </w:r>
      <w:r w:rsidR="00894F47" w:rsidRPr="009C345A">
        <w:rPr>
          <w:rFonts w:ascii="Times New Roman" w:hAnsi="Times New Roman"/>
          <w:sz w:val="24"/>
          <w:szCs w:val="24"/>
        </w:rPr>
        <w:t>f the total reported in A, the number of enrollment transactions submitted using the SEP Election Period Code “S” for individuals affected by a contract nonrenewal, plan termination, or service area reduction.</w:t>
      </w:r>
    </w:p>
    <w:p w14:paraId="75689E8B" w14:textId="77777777" w:rsidR="00BC2FAC" w:rsidRPr="009C345A" w:rsidRDefault="00BC2FAC" w:rsidP="00BC2FAC">
      <w:pPr>
        <w:autoSpaceDE w:val="0"/>
        <w:autoSpaceDN w:val="0"/>
        <w:adjustRightInd w:val="0"/>
        <w:spacing w:before="120" w:after="120"/>
        <w:contextualSpacing/>
        <w:rPr>
          <w:rFonts w:ascii="Times New Roman Bold" w:hAnsi="Times New Roman Bold"/>
          <w:b/>
        </w:rPr>
      </w:pPr>
    </w:p>
    <w:p w14:paraId="135C5100" w14:textId="77777777" w:rsidR="00AA156E" w:rsidRDefault="00AA156E" w:rsidP="00BC2FAC">
      <w:pPr>
        <w:pStyle w:val="ListParagraph"/>
        <w:numPr>
          <w:ilvl w:val="0"/>
          <w:numId w:val="32"/>
        </w:numPr>
        <w:autoSpaceDE w:val="0"/>
        <w:autoSpaceDN w:val="0"/>
        <w:adjustRightInd w:val="0"/>
        <w:spacing w:before="120" w:after="120"/>
        <w:contextualSpacing/>
        <w:rPr>
          <w:rFonts w:ascii="Times New Roman" w:hAnsi="Times New Roman"/>
          <w:b/>
          <w:sz w:val="24"/>
          <w:szCs w:val="24"/>
        </w:rPr>
      </w:pPr>
      <w:r w:rsidRPr="006579D5">
        <w:rPr>
          <w:rFonts w:ascii="Times New Roman" w:hAnsi="Times New Roman"/>
          <w:b/>
          <w:sz w:val="24"/>
          <w:szCs w:val="24"/>
        </w:rPr>
        <w:t>Disenrollment:</w:t>
      </w:r>
    </w:p>
    <w:p w14:paraId="3101DAC3" w14:textId="77777777" w:rsidR="00491A2B" w:rsidRDefault="00491A2B" w:rsidP="00491A2B">
      <w:pPr>
        <w:pStyle w:val="ListParagraph"/>
        <w:autoSpaceDE w:val="0"/>
        <w:autoSpaceDN w:val="0"/>
        <w:adjustRightInd w:val="0"/>
        <w:spacing w:before="120" w:after="120"/>
        <w:ind w:left="630"/>
        <w:contextualSpacing/>
        <w:rPr>
          <w:rFonts w:ascii="Times New Roman" w:hAnsi="Times New Roman"/>
          <w:b/>
          <w:sz w:val="24"/>
          <w:szCs w:val="24"/>
        </w:rPr>
      </w:pPr>
    </w:p>
    <w:p w14:paraId="0078FC60" w14:textId="484328D1" w:rsidR="00EC37F9" w:rsidRDefault="00AA156E" w:rsidP="00EC37F9">
      <w:pPr>
        <w:pStyle w:val="ListParagraph"/>
        <w:numPr>
          <w:ilvl w:val="0"/>
          <w:numId w:val="8"/>
        </w:numPr>
        <w:autoSpaceDE w:val="0"/>
        <w:autoSpaceDN w:val="0"/>
        <w:adjustRightInd w:val="0"/>
        <w:spacing w:before="120" w:after="120"/>
        <w:contextualSpacing/>
        <w:rPr>
          <w:rFonts w:ascii="Times New Roman" w:hAnsi="Times New Roman"/>
          <w:sz w:val="24"/>
          <w:szCs w:val="24"/>
        </w:rPr>
      </w:pPr>
      <w:r w:rsidRPr="00EC37F9">
        <w:rPr>
          <w:rFonts w:ascii="Times New Roman" w:hAnsi="Times New Roman"/>
          <w:sz w:val="24"/>
          <w:szCs w:val="24"/>
        </w:rPr>
        <w:t xml:space="preserve">The total number of voluntary disenrollment requests received in the specified time period. </w:t>
      </w:r>
      <w:r w:rsidR="00EC37F9" w:rsidRPr="00EC37F9">
        <w:rPr>
          <w:rFonts w:ascii="Times New Roman" w:hAnsi="Times New Roman"/>
          <w:sz w:val="24"/>
          <w:szCs w:val="24"/>
        </w:rPr>
        <w:t xml:space="preserve"> Do not include</w:t>
      </w:r>
      <w:r w:rsidR="00EC37F9">
        <w:rPr>
          <w:rFonts w:ascii="Times New Roman" w:hAnsi="Times New Roman"/>
          <w:sz w:val="24"/>
          <w:szCs w:val="24"/>
        </w:rPr>
        <w:t xml:space="preserve"> disenrollments resulting from an individual’s enrollment in another plan.</w:t>
      </w:r>
    </w:p>
    <w:p w14:paraId="1F2BB0BD" w14:textId="3C76A6B2" w:rsidR="00AA156E" w:rsidRPr="00EC37F9" w:rsidRDefault="00AA156E" w:rsidP="00EC37F9">
      <w:pPr>
        <w:pStyle w:val="ListParagraph"/>
        <w:numPr>
          <w:ilvl w:val="0"/>
          <w:numId w:val="8"/>
        </w:numPr>
        <w:autoSpaceDE w:val="0"/>
        <w:autoSpaceDN w:val="0"/>
        <w:adjustRightInd w:val="0"/>
        <w:spacing w:before="120" w:after="120"/>
        <w:contextualSpacing/>
        <w:rPr>
          <w:rFonts w:ascii="Times New Roman" w:hAnsi="Times New Roman"/>
          <w:sz w:val="24"/>
          <w:szCs w:val="24"/>
        </w:rPr>
      </w:pPr>
      <w:r w:rsidRPr="00EC37F9">
        <w:rPr>
          <w:rFonts w:ascii="Times New Roman" w:hAnsi="Times New Roman"/>
          <w:sz w:val="24"/>
          <w:szCs w:val="24"/>
        </w:rPr>
        <w:t xml:space="preserve">Of the total reported in A, the number of disenrollment requests complete at the time of initial receipt (i.e. required no additional information from enrollee or his/her authorized representative). </w:t>
      </w:r>
    </w:p>
    <w:p w14:paraId="6A2811C8" w14:textId="77777777" w:rsidR="00AA156E" w:rsidRPr="009B665D" w:rsidRDefault="00AA156E" w:rsidP="00AA156E">
      <w:pPr>
        <w:pStyle w:val="ListParagraph"/>
        <w:numPr>
          <w:ilvl w:val="0"/>
          <w:numId w:val="8"/>
        </w:numPr>
        <w:autoSpaceDE w:val="0"/>
        <w:autoSpaceDN w:val="0"/>
        <w:adjustRightInd w:val="0"/>
        <w:spacing w:before="120" w:after="120"/>
        <w:contextualSpacing/>
        <w:rPr>
          <w:rFonts w:ascii="Times New Roman" w:hAnsi="Times New Roman"/>
          <w:color w:val="000000"/>
          <w:sz w:val="24"/>
          <w:szCs w:val="24"/>
        </w:rPr>
      </w:pPr>
      <w:r w:rsidRPr="009B665D">
        <w:rPr>
          <w:rFonts w:ascii="Times New Roman" w:hAnsi="Times New Roman"/>
          <w:sz w:val="24"/>
          <w:szCs w:val="24"/>
        </w:rPr>
        <w:t xml:space="preserve">Of the total reported in A, the number of disenrollment requests denied by the Sponsor for any reason.  </w:t>
      </w:r>
    </w:p>
    <w:p w14:paraId="1E3F1EAB" w14:textId="6235E1EA" w:rsidR="00AA156E" w:rsidRPr="00FA5932" w:rsidRDefault="0088238C" w:rsidP="00AA156E">
      <w:pPr>
        <w:pStyle w:val="ListParagraph"/>
        <w:numPr>
          <w:ilvl w:val="0"/>
          <w:numId w:val="8"/>
        </w:numPr>
        <w:rPr>
          <w:rFonts w:ascii="Times New Roman" w:hAnsi="Times New Roman"/>
          <w:color w:val="000000"/>
          <w:sz w:val="24"/>
          <w:szCs w:val="24"/>
        </w:rPr>
      </w:pPr>
      <w:r w:rsidRPr="00FA5932">
        <w:rPr>
          <w:rFonts w:ascii="Times New Roman" w:hAnsi="Times New Roman"/>
          <w:color w:val="000000"/>
          <w:sz w:val="24"/>
          <w:szCs w:val="24"/>
        </w:rPr>
        <w:t>The total number of involuntary disenrollments for failure to pay plan premium in the specified time period.</w:t>
      </w:r>
    </w:p>
    <w:p w14:paraId="76884702" w14:textId="5EE391A7" w:rsidR="00AA156E" w:rsidRPr="00FA5932" w:rsidRDefault="00AA156E" w:rsidP="00AA156E">
      <w:pPr>
        <w:pStyle w:val="ListParagraph"/>
        <w:numPr>
          <w:ilvl w:val="0"/>
          <w:numId w:val="8"/>
        </w:numPr>
        <w:rPr>
          <w:rFonts w:ascii="Times New Roman" w:hAnsi="Times New Roman"/>
          <w:color w:val="000000"/>
          <w:sz w:val="24"/>
          <w:szCs w:val="24"/>
        </w:rPr>
      </w:pPr>
      <w:r w:rsidRPr="00FA5932">
        <w:rPr>
          <w:rFonts w:ascii="Times New Roman" w:hAnsi="Times New Roman"/>
          <w:color w:val="000000"/>
          <w:sz w:val="24"/>
          <w:szCs w:val="24"/>
        </w:rPr>
        <w:lastRenderedPageBreak/>
        <w:t>Of the total reported in D, the number of disenrolled individuals who submitted a timely request for reinstatement for Good Cause</w:t>
      </w:r>
    </w:p>
    <w:p w14:paraId="6518FD1A" w14:textId="5B5796CC" w:rsidR="00AA156E" w:rsidRPr="00FA5932" w:rsidRDefault="00AA156E" w:rsidP="00AA156E">
      <w:pPr>
        <w:pStyle w:val="ListParagraph"/>
        <w:numPr>
          <w:ilvl w:val="0"/>
          <w:numId w:val="8"/>
        </w:numPr>
        <w:rPr>
          <w:rFonts w:ascii="Times New Roman" w:hAnsi="Times New Roman"/>
          <w:color w:val="000000"/>
          <w:sz w:val="24"/>
          <w:szCs w:val="24"/>
        </w:rPr>
      </w:pPr>
      <w:r w:rsidRPr="00FA5932">
        <w:rPr>
          <w:rFonts w:ascii="Times New Roman" w:hAnsi="Times New Roman"/>
          <w:color w:val="000000"/>
          <w:sz w:val="24"/>
          <w:szCs w:val="24"/>
        </w:rPr>
        <w:t>Of the total reported in E, the number of favorable Good Cause determinations.</w:t>
      </w:r>
    </w:p>
    <w:p w14:paraId="0AB2C583" w14:textId="3924EC63" w:rsidR="00AA156E" w:rsidRPr="00FA5932" w:rsidRDefault="00AA156E" w:rsidP="00AA156E">
      <w:pPr>
        <w:pStyle w:val="ListParagraph"/>
        <w:numPr>
          <w:ilvl w:val="0"/>
          <w:numId w:val="8"/>
        </w:numPr>
        <w:rPr>
          <w:rFonts w:ascii="Times New Roman" w:hAnsi="Times New Roman"/>
          <w:color w:val="000000"/>
          <w:sz w:val="24"/>
          <w:szCs w:val="24"/>
        </w:rPr>
      </w:pPr>
      <w:r w:rsidRPr="00FA5932">
        <w:rPr>
          <w:rFonts w:ascii="Times New Roman" w:hAnsi="Times New Roman"/>
          <w:color w:val="000000"/>
          <w:sz w:val="24"/>
          <w:szCs w:val="24"/>
        </w:rPr>
        <w:t>Of the total reported in F, the number of individuals reinstated.</w:t>
      </w:r>
    </w:p>
    <w:p w14:paraId="074FD7C2" w14:textId="77777777" w:rsidR="00AA156E" w:rsidRPr="00FA5932" w:rsidRDefault="00AA156E" w:rsidP="00AA156E"/>
    <w:p w14:paraId="4590BC1B" w14:textId="77777777" w:rsidR="00AA156E" w:rsidRPr="00225B38" w:rsidRDefault="00AA156E" w:rsidP="00AA156E"/>
    <w:p w14:paraId="5C8D2B34" w14:textId="04246DDF" w:rsidR="002110D9" w:rsidRDefault="002110D9">
      <w:r>
        <w:br w:type="page"/>
      </w:r>
    </w:p>
    <w:p w14:paraId="2EBF4A1A" w14:textId="41857FCD" w:rsidR="004D612B" w:rsidRPr="00C36585" w:rsidRDefault="004D612B" w:rsidP="00C36585">
      <w:pPr>
        <w:pStyle w:val="Heading3"/>
        <w:rPr>
          <w:caps/>
        </w:rPr>
      </w:pPr>
      <w:bookmarkStart w:id="60" w:name="_Toc475956110"/>
      <w:r w:rsidRPr="00C36585">
        <w:rPr>
          <w:rFonts w:ascii="Times New Roman" w:hAnsi="Times New Roman" w:cs="Times New Roman"/>
          <w:caps/>
          <w:sz w:val="24"/>
        </w:rPr>
        <w:lastRenderedPageBreak/>
        <w:t>15. Rewards and Incentives Programs</w:t>
      </w:r>
      <w:bookmarkEnd w:id="60"/>
    </w:p>
    <w:p w14:paraId="7B8A839C" w14:textId="77777777" w:rsidR="004D612B" w:rsidRPr="0040019D" w:rsidRDefault="004D612B" w:rsidP="004D612B">
      <w:pPr>
        <w:rPr>
          <w:u w:val="single"/>
        </w:rPr>
      </w:pPr>
    </w:p>
    <w:tbl>
      <w:tblPr>
        <w:tblW w:w="8865" w:type="dxa"/>
        <w:tblCellMar>
          <w:left w:w="0" w:type="dxa"/>
          <w:right w:w="0" w:type="dxa"/>
        </w:tblCellMar>
        <w:tblLook w:val="04A0" w:firstRow="1" w:lastRow="0" w:firstColumn="1" w:lastColumn="0" w:noHBand="0" w:noVBand="1"/>
      </w:tblPr>
      <w:tblGrid>
        <w:gridCol w:w="1903"/>
        <w:gridCol w:w="2515"/>
        <w:gridCol w:w="1080"/>
        <w:gridCol w:w="1096"/>
        <w:gridCol w:w="2271"/>
      </w:tblGrid>
      <w:tr w:rsidR="004D612B" w:rsidRPr="00E70D4D" w14:paraId="4826D3DA" w14:textId="77777777" w:rsidTr="00833A96">
        <w:tc>
          <w:tcPr>
            <w:tcW w:w="19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BE7F268" w14:textId="77777777" w:rsidR="004D612B" w:rsidRPr="00570AA9" w:rsidRDefault="004D612B" w:rsidP="006639DC">
            <w:pPr>
              <w:autoSpaceDE w:val="0"/>
              <w:autoSpaceDN w:val="0"/>
              <w:jc w:val="center"/>
              <w:rPr>
                <w:rFonts w:eastAsia="Calibri"/>
                <w:b/>
                <w:bCs/>
              </w:rPr>
            </w:pPr>
            <w:r w:rsidRPr="00570AA9">
              <w:rPr>
                <w:b/>
                <w:bCs/>
              </w:rPr>
              <w:t>Reporting section</w:t>
            </w:r>
          </w:p>
        </w:tc>
        <w:tc>
          <w:tcPr>
            <w:tcW w:w="251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C4B47A3" w14:textId="77777777" w:rsidR="004D612B" w:rsidRPr="00570AA9" w:rsidRDefault="004D612B" w:rsidP="006639DC">
            <w:pPr>
              <w:autoSpaceDE w:val="0"/>
              <w:autoSpaceDN w:val="0"/>
              <w:jc w:val="center"/>
              <w:rPr>
                <w:rFonts w:eastAsia="Calibri"/>
                <w:b/>
                <w:bCs/>
              </w:rPr>
            </w:pPr>
            <w:r w:rsidRPr="00570AA9">
              <w:rPr>
                <w:b/>
                <w:bCs/>
              </w:rPr>
              <w:t>Organization Types Required to Report</w:t>
            </w: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F081979" w14:textId="77777777" w:rsidR="004D612B" w:rsidRPr="00570AA9" w:rsidRDefault="004D612B" w:rsidP="006639DC">
            <w:pPr>
              <w:autoSpaceDE w:val="0"/>
              <w:autoSpaceDN w:val="0"/>
              <w:jc w:val="center"/>
              <w:rPr>
                <w:rFonts w:eastAsia="Calibri"/>
                <w:b/>
                <w:bCs/>
              </w:rPr>
            </w:pPr>
            <w:r w:rsidRPr="00570AA9">
              <w:rPr>
                <w:b/>
                <w:bCs/>
              </w:rPr>
              <w:t>Report Freq./</w:t>
            </w:r>
          </w:p>
          <w:p w14:paraId="04C607F5" w14:textId="77777777" w:rsidR="004D612B" w:rsidRPr="00570AA9" w:rsidRDefault="004D612B" w:rsidP="006639DC">
            <w:pPr>
              <w:autoSpaceDE w:val="0"/>
              <w:autoSpaceDN w:val="0"/>
              <w:jc w:val="center"/>
              <w:rPr>
                <w:rFonts w:eastAsia="Calibri"/>
                <w:b/>
                <w:bCs/>
              </w:rPr>
            </w:pPr>
            <w:r w:rsidRPr="00570AA9">
              <w:rPr>
                <w:b/>
                <w:bCs/>
              </w:rPr>
              <w:t>Level</w:t>
            </w:r>
          </w:p>
        </w:tc>
        <w:tc>
          <w:tcPr>
            <w:tcW w:w="109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C2C030B" w14:textId="77777777" w:rsidR="004D612B" w:rsidRPr="00570AA9" w:rsidRDefault="004D612B" w:rsidP="006639DC">
            <w:pPr>
              <w:autoSpaceDE w:val="0"/>
              <w:autoSpaceDN w:val="0"/>
              <w:jc w:val="center"/>
              <w:rPr>
                <w:rFonts w:eastAsia="Calibri"/>
                <w:b/>
                <w:bCs/>
              </w:rPr>
            </w:pPr>
            <w:r w:rsidRPr="00570AA9">
              <w:rPr>
                <w:b/>
                <w:bCs/>
              </w:rPr>
              <w:t>Report</w:t>
            </w:r>
          </w:p>
          <w:p w14:paraId="7F7D89F2" w14:textId="77777777" w:rsidR="004D612B" w:rsidRPr="00570AA9" w:rsidRDefault="004D612B" w:rsidP="006639DC">
            <w:pPr>
              <w:autoSpaceDE w:val="0"/>
              <w:autoSpaceDN w:val="0"/>
              <w:jc w:val="center"/>
              <w:rPr>
                <w:rFonts w:eastAsia="Calibri"/>
                <w:b/>
                <w:bCs/>
              </w:rPr>
            </w:pPr>
            <w:r w:rsidRPr="00570AA9">
              <w:rPr>
                <w:b/>
                <w:bCs/>
              </w:rPr>
              <w:t>Period (s)</w:t>
            </w:r>
          </w:p>
        </w:tc>
        <w:tc>
          <w:tcPr>
            <w:tcW w:w="22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E21F7A9" w14:textId="77777777" w:rsidR="004D612B" w:rsidRPr="00570AA9" w:rsidRDefault="004D612B" w:rsidP="006639DC">
            <w:pPr>
              <w:autoSpaceDE w:val="0"/>
              <w:autoSpaceDN w:val="0"/>
              <w:jc w:val="center"/>
              <w:rPr>
                <w:rFonts w:eastAsia="Calibri"/>
                <w:b/>
                <w:bCs/>
              </w:rPr>
            </w:pPr>
            <w:r w:rsidRPr="00570AA9">
              <w:rPr>
                <w:b/>
                <w:bCs/>
              </w:rPr>
              <w:t>Data Due date (s)</w:t>
            </w:r>
          </w:p>
        </w:tc>
      </w:tr>
      <w:tr w:rsidR="004D612B" w:rsidRPr="00FA5932" w14:paraId="5A30B6D6" w14:textId="77777777" w:rsidTr="006639DC">
        <w:tc>
          <w:tcPr>
            <w:tcW w:w="1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A3AA6" w14:textId="71627979" w:rsidR="004D612B" w:rsidRPr="00FA5932" w:rsidRDefault="004D612B" w:rsidP="00D9791C">
            <w:pPr>
              <w:autoSpaceDE w:val="0"/>
              <w:autoSpaceDN w:val="0"/>
              <w:rPr>
                <w:rFonts w:eastAsia="Calibri"/>
              </w:rPr>
            </w:pPr>
            <w:r w:rsidRPr="00FA5932">
              <w:t xml:space="preserve">15. </w:t>
            </w:r>
            <w:r w:rsidR="00BA517F" w:rsidRPr="00FA5932">
              <w:t>Rewards</w:t>
            </w:r>
            <w:r w:rsidRPr="00FA5932">
              <w:t xml:space="preserve"> and Incentives </w:t>
            </w:r>
            <w:r w:rsidR="00F03F59" w:rsidRPr="00FA5932">
              <w:t>Program</w:t>
            </w:r>
            <w:r w:rsidR="00563930" w:rsidRPr="00FA5932">
              <w:t>s</w:t>
            </w:r>
          </w:p>
        </w:tc>
        <w:tc>
          <w:tcPr>
            <w:tcW w:w="2515" w:type="dxa"/>
            <w:tcBorders>
              <w:top w:val="nil"/>
              <w:left w:val="nil"/>
              <w:bottom w:val="single" w:sz="8" w:space="0" w:color="auto"/>
              <w:right w:val="single" w:sz="8" w:space="0" w:color="auto"/>
            </w:tcBorders>
            <w:tcMar>
              <w:top w:w="0" w:type="dxa"/>
              <w:left w:w="108" w:type="dxa"/>
              <w:bottom w:w="0" w:type="dxa"/>
              <w:right w:w="108" w:type="dxa"/>
            </w:tcMar>
          </w:tcPr>
          <w:p w14:paraId="7BC8ADB8" w14:textId="77777777" w:rsidR="004D612B" w:rsidRPr="00FA5932" w:rsidRDefault="004D612B" w:rsidP="006639DC">
            <w:pPr>
              <w:autoSpaceDE w:val="0"/>
              <w:autoSpaceDN w:val="0"/>
              <w:rPr>
                <w:rFonts w:eastAsia="Calibri"/>
              </w:rPr>
            </w:pPr>
            <w:r w:rsidRPr="00FA5932">
              <w:t>01 – Local CCP</w:t>
            </w:r>
          </w:p>
          <w:p w14:paraId="5CBD6D9E" w14:textId="77777777" w:rsidR="004D612B" w:rsidRPr="00FA5932" w:rsidRDefault="004D612B" w:rsidP="006639DC">
            <w:pPr>
              <w:autoSpaceDE w:val="0"/>
              <w:autoSpaceDN w:val="0"/>
            </w:pPr>
            <w:r w:rsidRPr="00FA5932">
              <w:t>02 – MSA</w:t>
            </w:r>
          </w:p>
          <w:p w14:paraId="6A233750" w14:textId="77777777" w:rsidR="004D612B" w:rsidRPr="00FA5932" w:rsidRDefault="004D612B" w:rsidP="006639DC">
            <w:pPr>
              <w:autoSpaceDE w:val="0"/>
              <w:autoSpaceDN w:val="0"/>
            </w:pPr>
            <w:r w:rsidRPr="00FA5932">
              <w:t>03 – RFB PFFS</w:t>
            </w:r>
          </w:p>
          <w:p w14:paraId="640DEDFF" w14:textId="77777777" w:rsidR="004D612B" w:rsidRPr="00FA5932" w:rsidRDefault="004D612B" w:rsidP="006639DC">
            <w:pPr>
              <w:autoSpaceDE w:val="0"/>
              <w:autoSpaceDN w:val="0"/>
            </w:pPr>
            <w:r w:rsidRPr="00FA5932">
              <w:t>04 – PFFS</w:t>
            </w:r>
          </w:p>
          <w:p w14:paraId="05704C19" w14:textId="77777777" w:rsidR="004D612B" w:rsidRPr="00FA5932" w:rsidRDefault="004D612B" w:rsidP="006639DC">
            <w:pPr>
              <w:autoSpaceDE w:val="0"/>
              <w:autoSpaceDN w:val="0"/>
            </w:pPr>
            <w:r w:rsidRPr="00FA5932">
              <w:t>05 – MMP</w:t>
            </w:r>
          </w:p>
          <w:p w14:paraId="4024033E" w14:textId="77777777" w:rsidR="004D612B" w:rsidRPr="00FA5932" w:rsidRDefault="004D612B" w:rsidP="006639DC">
            <w:pPr>
              <w:autoSpaceDE w:val="0"/>
              <w:autoSpaceDN w:val="0"/>
            </w:pPr>
            <w:r w:rsidRPr="00FA5932">
              <w:t>11 – Regional CCP</w:t>
            </w:r>
          </w:p>
          <w:p w14:paraId="409D4926" w14:textId="77777777" w:rsidR="004D612B" w:rsidRPr="00FA5932" w:rsidRDefault="004D612B" w:rsidP="006639DC">
            <w:pPr>
              <w:autoSpaceDE w:val="0"/>
              <w:autoSpaceDN w:val="0"/>
            </w:pPr>
            <w:r w:rsidRPr="00FA5932">
              <w:t>14 – ED-PFFS</w:t>
            </w:r>
          </w:p>
          <w:p w14:paraId="6D0C18A9" w14:textId="77777777" w:rsidR="004D612B" w:rsidRPr="00FA5932" w:rsidRDefault="004D612B" w:rsidP="006639DC">
            <w:pPr>
              <w:autoSpaceDE w:val="0"/>
              <w:autoSpaceDN w:val="0"/>
            </w:pPr>
            <w:r w:rsidRPr="00FA5932">
              <w:t>15 – RFB Local CCP</w:t>
            </w:r>
          </w:p>
          <w:p w14:paraId="041AEDC8" w14:textId="77777777" w:rsidR="004D612B" w:rsidRPr="00FA5932" w:rsidRDefault="004D612B" w:rsidP="006639DC">
            <w:pPr>
              <w:autoSpaceDE w:val="0"/>
              <w:autoSpaceDN w:val="0"/>
            </w:pPr>
          </w:p>
          <w:p w14:paraId="1820B1CE" w14:textId="77777777" w:rsidR="004D612B" w:rsidRPr="00FA5932" w:rsidRDefault="004D612B" w:rsidP="006639DC">
            <w:pPr>
              <w:autoSpaceDE w:val="0"/>
              <w:autoSpaceDN w:val="0"/>
            </w:pPr>
            <w:r w:rsidRPr="00FA5932">
              <w:t>Organizations should include all 800 series plans.</w:t>
            </w:r>
          </w:p>
          <w:p w14:paraId="3951DC64" w14:textId="77777777" w:rsidR="004D612B" w:rsidRPr="00FA5932" w:rsidRDefault="004D612B" w:rsidP="006639DC">
            <w:pPr>
              <w:autoSpaceDE w:val="0"/>
              <w:autoSpaceDN w:val="0"/>
            </w:pPr>
          </w:p>
          <w:p w14:paraId="1480B6C8" w14:textId="77777777" w:rsidR="004D612B" w:rsidRPr="00FA5932" w:rsidRDefault="004D612B" w:rsidP="006639DC">
            <w:pPr>
              <w:autoSpaceDE w:val="0"/>
              <w:autoSpaceDN w:val="0"/>
              <w:rPr>
                <w:rFonts w:eastAsia="Calibri"/>
              </w:rPr>
            </w:pPr>
            <w:r w:rsidRPr="00FA5932">
              <w:t>Employer/Union Direct Contracts should also report this reporting section, regardless of organization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8F0D0F4" w14:textId="77777777" w:rsidR="004D612B" w:rsidRPr="00FA5932" w:rsidRDefault="004D612B" w:rsidP="006639DC">
            <w:pPr>
              <w:autoSpaceDE w:val="0"/>
              <w:autoSpaceDN w:val="0"/>
              <w:rPr>
                <w:rFonts w:eastAsia="Calibri"/>
              </w:rPr>
            </w:pPr>
            <w:r w:rsidRPr="00FA5932">
              <w:t>1/Year</w:t>
            </w:r>
          </w:p>
          <w:p w14:paraId="398CE041" w14:textId="77777777" w:rsidR="004D612B" w:rsidRPr="00FA5932" w:rsidRDefault="004D612B" w:rsidP="006639DC">
            <w:pPr>
              <w:autoSpaceDE w:val="0"/>
              <w:autoSpaceDN w:val="0"/>
              <w:rPr>
                <w:rFonts w:eastAsia="Calibri"/>
              </w:rPr>
            </w:pPr>
            <w:r w:rsidRPr="00FA5932">
              <w:t>Contract</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14:paraId="6C83FF9E" w14:textId="3CAEE359" w:rsidR="004D612B" w:rsidRPr="00FA5932" w:rsidRDefault="00DD3EF6" w:rsidP="006639DC">
            <w:pPr>
              <w:autoSpaceDE w:val="0"/>
              <w:autoSpaceDN w:val="0"/>
              <w:rPr>
                <w:rFonts w:eastAsia="Calibri"/>
                <w:strike/>
              </w:rPr>
            </w:pPr>
            <w:r w:rsidRPr="00FA5932">
              <w:rPr>
                <w:rFonts w:eastAsia="Calibri"/>
              </w:rPr>
              <w:t>1/1-12/31</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EF240B8" w14:textId="77777777" w:rsidR="004D612B" w:rsidRPr="00FA5932" w:rsidRDefault="004D612B" w:rsidP="006639DC">
            <w:pPr>
              <w:autoSpaceDE w:val="0"/>
              <w:autoSpaceDN w:val="0"/>
            </w:pPr>
          </w:p>
          <w:p w14:paraId="4EA9911C" w14:textId="77777777" w:rsidR="004D612B" w:rsidRPr="00FA5932" w:rsidRDefault="00B06EB8" w:rsidP="006639DC">
            <w:pPr>
              <w:autoSpaceDE w:val="0"/>
              <w:autoSpaceDN w:val="0"/>
              <w:rPr>
                <w:rFonts w:eastAsia="Calibri"/>
              </w:rPr>
            </w:pPr>
            <w:r w:rsidRPr="00FA5932">
              <w:rPr>
                <w:rFonts w:eastAsia="Calibri"/>
              </w:rPr>
              <w:t>Last Monday of February in following year</w:t>
            </w:r>
          </w:p>
        </w:tc>
      </w:tr>
    </w:tbl>
    <w:p w14:paraId="6B66ADDB" w14:textId="77777777" w:rsidR="00EE0F32" w:rsidRDefault="00B1305C" w:rsidP="004D612B">
      <w:r>
        <w:t xml:space="preserve">The data collection method </w:t>
      </w:r>
      <w:r w:rsidRPr="00B1305C">
        <w:t xml:space="preserve">is partially a data entry and an upload.  </w:t>
      </w:r>
    </w:p>
    <w:p w14:paraId="79576D2C" w14:textId="77777777" w:rsidR="00EE0F32" w:rsidRDefault="00EE0F32" w:rsidP="004D612B"/>
    <w:p w14:paraId="3D46EE32" w14:textId="5D2897E1" w:rsidR="00B1305C" w:rsidRPr="00FA5932" w:rsidRDefault="00B1305C" w:rsidP="004D612B">
      <w:r w:rsidRPr="00B1305C">
        <w:t>A plan user needs to select "Yes" or "No" for data element 15.1 on the edit page.  If the plan user selected "No", no upload is necessary.  If the plan user select "Yes", then the user will be required to upload additional information in accordance with the file record layout.</w:t>
      </w:r>
    </w:p>
    <w:p w14:paraId="6B7F1AC7" w14:textId="77777777" w:rsidR="004D612B" w:rsidRPr="00FA5932" w:rsidRDefault="004D612B" w:rsidP="004D612B"/>
    <w:p w14:paraId="06332973" w14:textId="0FD0EB2E" w:rsidR="004D612B" w:rsidRPr="00FA5932" w:rsidRDefault="00CE0432" w:rsidP="004D612B">
      <w:r w:rsidRPr="00FA5932">
        <w:t xml:space="preserve">In 2015, </w:t>
      </w:r>
      <w:r w:rsidR="004D612B" w:rsidRPr="00FA5932">
        <w:t>CMS added a new regulation at 42 CFR §422.134 that permits MA organizations to offer one or more Rewards and Incentives Program</w:t>
      </w:r>
      <w:r w:rsidR="00563930" w:rsidRPr="00FA5932">
        <w:t xml:space="preserve"> (s) </w:t>
      </w:r>
      <w:r w:rsidR="004D612B" w:rsidRPr="00FA5932">
        <w:t xml:space="preserve">to currently enrolled </w:t>
      </w:r>
      <w:r w:rsidR="0093643A" w:rsidRPr="00FA5932">
        <w:t>enrollees</w:t>
      </w:r>
      <w:r w:rsidR="00715604" w:rsidRPr="00FA5932">
        <w:t xml:space="preserve">.  </w:t>
      </w:r>
      <w:r w:rsidR="004D612B" w:rsidRPr="00FA5932">
        <w:t>Plans have a choice in whether or not they offer a Rewards and Incentives Program(s), but if they do, they must comply with the regulatory requirements set forth at §422.134</w:t>
      </w:r>
      <w:r w:rsidR="00715604" w:rsidRPr="00FA5932">
        <w:t xml:space="preserve">.  </w:t>
      </w:r>
      <w:r w:rsidR="004D612B" w:rsidRPr="00FA5932">
        <w:t>CMS needs to collect Rewards and Incentives Program data in order to track which MA organizations are offering such programs and how those programs are structured</w:t>
      </w:r>
      <w:r w:rsidR="00715604" w:rsidRPr="00FA5932">
        <w:t xml:space="preserve">.  </w:t>
      </w:r>
      <w:r w:rsidR="004D612B" w:rsidRPr="00FA5932">
        <w:t xml:space="preserve">This will inform future policy development and allow CMS to determine whether programs being offered adhere to CMS standards and have proper beneficiary protections in place. </w:t>
      </w:r>
    </w:p>
    <w:p w14:paraId="73C9DCA4" w14:textId="77777777" w:rsidR="004D612B" w:rsidRPr="00FA5932" w:rsidRDefault="004D612B" w:rsidP="004D612B"/>
    <w:p w14:paraId="222284CE" w14:textId="77777777" w:rsidR="004D612B" w:rsidRPr="00833A96" w:rsidRDefault="004D612B" w:rsidP="004D612B">
      <w:pPr>
        <w:rPr>
          <w:b/>
        </w:rPr>
      </w:pPr>
      <w:r w:rsidRPr="00833A96">
        <w:rPr>
          <w:b/>
        </w:rPr>
        <w:t>Data Elements:</w:t>
      </w:r>
    </w:p>
    <w:p w14:paraId="214D84D1" w14:textId="77777777" w:rsidR="004D612B" w:rsidRPr="00FA5932" w:rsidRDefault="004D612B" w:rsidP="004D612B"/>
    <w:p w14:paraId="35ECFF52" w14:textId="74F08D17" w:rsidR="004D612B" w:rsidRPr="00FA5932" w:rsidRDefault="004D612B" w:rsidP="004D612B">
      <w:pPr>
        <w:ind w:left="360"/>
      </w:pPr>
      <w:r w:rsidRPr="00FA5932">
        <w:t>15.1 Do you have a Rewards and Incentives Program(s)</w:t>
      </w:r>
      <w:r w:rsidR="00715604" w:rsidRPr="00FA5932">
        <w:t xml:space="preserve">?  </w:t>
      </w:r>
      <w:r w:rsidRPr="00FA5932">
        <w:t>(</w:t>
      </w:r>
      <w:r w:rsidR="00F24E71">
        <w:t>“Yes</w:t>
      </w:r>
      <w:r w:rsidRPr="00FA5932">
        <w:t>“</w:t>
      </w:r>
      <w:r w:rsidR="00F24E71">
        <w:t xml:space="preserve"> or </w:t>
      </w:r>
      <w:r w:rsidRPr="00FA5932">
        <w:t>“No”</w:t>
      </w:r>
      <w:r w:rsidR="00F24E71">
        <w:t xml:space="preserve"> only</w:t>
      </w:r>
      <w:r w:rsidRPr="00FA5932">
        <w:t>; )</w:t>
      </w:r>
    </w:p>
    <w:p w14:paraId="600BCBDF" w14:textId="77777777" w:rsidR="004D612B" w:rsidRPr="00FA5932" w:rsidRDefault="004D612B" w:rsidP="004D612B">
      <w:pPr>
        <w:ind w:left="360"/>
      </w:pPr>
    </w:p>
    <w:p w14:paraId="3F99171C" w14:textId="77777777" w:rsidR="004D612B" w:rsidRPr="00FA5932" w:rsidRDefault="004D612B" w:rsidP="004D612B">
      <w:pPr>
        <w:ind w:left="360"/>
      </w:pPr>
      <w:r w:rsidRPr="00FA5932">
        <w:t>If yes, please list each individual Rewards and Incentives Program you offer and provide information on the following:</w:t>
      </w:r>
    </w:p>
    <w:p w14:paraId="6F1852A1" w14:textId="77777777" w:rsidR="004D612B" w:rsidRPr="00FA5932" w:rsidRDefault="004D612B" w:rsidP="004D612B">
      <w:pPr>
        <w:ind w:left="360"/>
      </w:pPr>
    </w:p>
    <w:p w14:paraId="1326D2F1" w14:textId="08354C1B" w:rsidR="004D612B" w:rsidRPr="00FA5932" w:rsidRDefault="00CD1FC3" w:rsidP="004D612B">
      <w:pPr>
        <w:pStyle w:val="ListParagraph"/>
        <w:ind w:left="360"/>
        <w:jc w:val="both"/>
        <w:rPr>
          <w:rFonts w:ascii="Times New Roman" w:hAnsi="Times New Roman"/>
          <w:sz w:val="24"/>
        </w:rPr>
      </w:pPr>
      <w:r w:rsidRPr="00FA5932">
        <w:rPr>
          <w:rFonts w:ascii="Times New Roman" w:hAnsi="Times New Roman"/>
          <w:sz w:val="24"/>
        </w:rPr>
        <w:t>15.2 What</w:t>
      </w:r>
      <w:r w:rsidR="004D612B" w:rsidRPr="00FA5932">
        <w:rPr>
          <w:rFonts w:ascii="Times New Roman" w:hAnsi="Times New Roman"/>
          <w:sz w:val="24"/>
        </w:rPr>
        <w:t xml:space="preserve"> health related services and/or activities are included in the program</w:t>
      </w:r>
      <w:r w:rsidR="00715604" w:rsidRPr="00FA5932">
        <w:rPr>
          <w:rFonts w:ascii="Times New Roman" w:hAnsi="Times New Roman"/>
          <w:sz w:val="24"/>
        </w:rPr>
        <w:t xml:space="preserve">?  </w:t>
      </w:r>
      <w:r w:rsidR="002251D4">
        <w:rPr>
          <w:rFonts w:ascii="Times New Roman" w:hAnsi="Times New Roman"/>
          <w:sz w:val="24"/>
        </w:rPr>
        <w:t>[</w:t>
      </w:r>
      <w:r w:rsidR="004D612B" w:rsidRPr="00FA5932">
        <w:rPr>
          <w:rFonts w:ascii="Times New Roman" w:hAnsi="Times New Roman"/>
          <w:sz w:val="24"/>
        </w:rPr>
        <w:t>Text</w:t>
      </w:r>
      <w:r w:rsidR="002251D4">
        <w:rPr>
          <w:rFonts w:ascii="Times New Roman" w:hAnsi="Times New Roman"/>
          <w:sz w:val="24"/>
        </w:rPr>
        <w:t xml:space="preserve"> ]</w:t>
      </w:r>
      <w:r w:rsidR="004D612B" w:rsidRPr="00FA5932">
        <w:rPr>
          <w:rFonts w:ascii="Times New Roman" w:hAnsi="Times New Roman"/>
          <w:sz w:val="24"/>
        </w:rPr>
        <w:t xml:space="preserve"> </w:t>
      </w:r>
    </w:p>
    <w:p w14:paraId="5377231E" w14:textId="77777777" w:rsidR="004D612B" w:rsidRPr="00FA5932" w:rsidRDefault="004D612B" w:rsidP="004D612B">
      <w:pPr>
        <w:pStyle w:val="ListParagraph"/>
        <w:ind w:left="360"/>
        <w:jc w:val="both"/>
        <w:rPr>
          <w:rFonts w:ascii="Times New Roman" w:hAnsi="Times New Roman"/>
          <w:sz w:val="24"/>
        </w:rPr>
      </w:pPr>
    </w:p>
    <w:p w14:paraId="1C8B1F40" w14:textId="0948B6C5" w:rsidR="004D612B" w:rsidRPr="00FA5932" w:rsidRDefault="00CD1FC3" w:rsidP="004D612B">
      <w:pPr>
        <w:pStyle w:val="ListParagraph"/>
        <w:ind w:left="360"/>
        <w:jc w:val="both"/>
        <w:rPr>
          <w:rFonts w:ascii="Times New Roman" w:hAnsi="Times New Roman"/>
          <w:sz w:val="24"/>
        </w:rPr>
      </w:pPr>
      <w:r w:rsidRPr="00FA5932">
        <w:rPr>
          <w:rFonts w:ascii="Times New Roman" w:hAnsi="Times New Roman"/>
          <w:sz w:val="24"/>
        </w:rPr>
        <w:t>15.3 What</w:t>
      </w:r>
      <w:r w:rsidR="004D612B" w:rsidRPr="00FA5932">
        <w:rPr>
          <w:rFonts w:ascii="Times New Roman" w:hAnsi="Times New Roman"/>
          <w:sz w:val="24"/>
        </w:rPr>
        <w:t xml:space="preserve"> reward(s) may enrollees earn for participation</w:t>
      </w:r>
      <w:r w:rsidR="00715604" w:rsidRPr="00FA5932">
        <w:rPr>
          <w:rFonts w:ascii="Times New Roman" w:hAnsi="Times New Roman"/>
          <w:sz w:val="24"/>
        </w:rPr>
        <w:t xml:space="preserve">?  </w:t>
      </w:r>
      <w:r w:rsidR="002251D4">
        <w:rPr>
          <w:rFonts w:ascii="Times New Roman" w:hAnsi="Times New Roman"/>
          <w:sz w:val="24"/>
        </w:rPr>
        <w:t>[</w:t>
      </w:r>
      <w:r w:rsidR="004D612B" w:rsidRPr="00FA5932">
        <w:rPr>
          <w:rFonts w:ascii="Times New Roman" w:hAnsi="Times New Roman"/>
          <w:sz w:val="24"/>
        </w:rPr>
        <w:t>Text</w:t>
      </w:r>
      <w:r w:rsidR="002251D4">
        <w:rPr>
          <w:rFonts w:ascii="Times New Roman" w:hAnsi="Times New Roman"/>
          <w:sz w:val="24"/>
        </w:rPr>
        <w:t xml:space="preserve"> ] </w:t>
      </w:r>
      <w:r w:rsidR="004D612B" w:rsidRPr="00FA5932">
        <w:rPr>
          <w:rFonts w:ascii="Times New Roman" w:hAnsi="Times New Roman"/>
          <w:sz w:val="24"/>
        </w:rPr>
        <w:t xml:space="preserve"> </w:t>
      </w:r>
    </w:p>
    <w:p w14:paraId="203A9C90" w14:textId="77777777" w:rsidR="004D612B" w:rsidRPr="00FA5932" w:rsidRDefault="004D612B" w:rsidP="004D612B">
      <w:pPr>
        <w:pStyle w:val="ListParagraph"/>
        <w:ind w:left="360"/>
        <w:jc w:val="both"/>
        <w:rPr>
          <w:rFonts w:ascii="Times New Roman" w:hAnsi="Times New Roman"/>
          <w:sz w:val="24"/>
        </w:rPr>
      </w:pPr>
    </w:p>
    <w:p w14:paraId="039510A4" w14:textId="4B61A99C" w:rsidR="004D612B" w:rsidRPr="00FA5932" w:rsidRDefault="00CD1FC3" w:rsidP="004D612B">
      <w:pPr>
        <w:pStyle w:val="ListParagraph"/>
        <w:ind w:left="360"/>
        <w:jc w:val="both"/>
        <w:rPr>
          <w:rFonts w:ascii="Times New Roman" w:hAnsi="Times New Roman"/>
          <w:sz w:val="24"/>
        </w:rPr>
      </w:pPr>
      <w:r w:rsidRPr="00FA5932">
        <w:rPr>
          <w:rFonts w:ascii="Times New Roman" w:hAnsi="Times New Roman"/>
          <w:sz w:val="24"/>
        </w:rPr>
        <w:t>15.4 How</w:t>
      </w:r>
      <w:r w:rsidR="004D612B" w:rsidRPr="00FA5932">
        <w:rPr>
          <w:rFonts w:ascii="Times New Roman" w:hAnsi="Times New Roman"/>
          <w:sz w:val="24"/>
        </w:rPr>
        <w:t xml:space="preserve"> do you calculate the value of the reward</w:t>
      </w:r>
      <w:r w:rsidR="00715604" w:rsidRPr="00FA5932">
        <w:rPr>
          <w:rFonts w:ascii="Times New Roman" w:hAnsi="Times New Roman"/>
          <w:sz w:val="24"/>
        </w:rPr>
        <w:t xml:space="preserve">?  </w:t>
      </w:r>
      <w:r w:rsidR="002251D4">
        <w:rPr>
          <w:rFonts w:ascii="Times New Roman" w:hAnsi="Times New Roman"/>
          <w:sz w:val="24"/>
        </w:rPr>
        <w:t>[</w:t>
      </w:r>
      <w:r w:rsidR="004D612B" w:rsidRPr="00FA5932">
        <w:rPr>
          <w:rFonts w:ascii="Times New Roman" w:hAnsi="Times New Roman"/>
          <w:sz w:val="24"/>
        </w:rPr>
        <w:t>Text</w:t>
      </w:r>
      <w:r w:rsidR="002251D4">
        <w:rPr>
          <w:rFonts w:ascii="Times New Roman" w:hAnsi="Times New Roman"/>
          <w:sz w:val="24"/>
        </w:rPr>
        <w:t xml:space="preserve"> ]</w:t>
      </w:r>
    </w:p>
    <w:p w14:paraId="08AC0C45" w14:textId="77777777" w:rsidR="004D612B" w:rsidRPr="00FA5932" w:rsidRDefault="004D612B" w:rsidP="004D612B">
      <w:pPr>
        <w:pStyle w:val="ListParagraph"/>
        <w:ind w:left="360"/>
        <w:jc w:val="both"/>
        <w:rPr>
          <w:rFonts w:ascii="Times New Roman" w:hAnsi="Times New Roman"/>
          <w:sz w:val="24"/>
        </w:rPr>
      </w:pPr>
    </w:p>
    <w:p w14:paraId="4B5F5861" w14:textId="46A37EEA" w:rsidR="004D612B" w:rsidRPr="00FA5932" w:rsidRDefault="00CD1FC3" w:rsidP="004D612B">
      <w:pPr>
        <w:pStyle w:val="ListParagraph"/>
        <w:ind w:left="360"/>
        <w:jc w:val="both"/>
        <w:rPr>
          <w:rFonts w:ascii="Times New Roman" w:hAnsi="Times New Roman"/>
          <w:sz w:val="24"/>
        </w:rPr>
      </w:pPr>
      <w:r w:rsidRPr="00FA5932">
        <w:rPr>
          <w:rFonts w:ascii="Times New Roman" w:hAnsi="Times New Roman"/>
          <w:sz w:val="24"/>
        </w:rPr>
        <w:t>15.5 How</w:t>
      </w:r>
      <w:r w:rsidR="004D612B" w:rsidRPr="00FA5932">
        <w:rPr>
          <w:rFonts w:ascii="Times New Roman" w:hAnsi="Times New Roman"/>
          <w:sz w:val="24"/>
        </w:rPr>
        <w:t xml:space="preserve"> do you track enrollee participation in the program</w:t>
      </w:r>
      <w:r w:rsidR="00715604" w:rsidRPr="00FA5932">
        <w:rPr>
          <w:rFonts w:ascii="Times New Roman" w:hAnsi="Times New Roman"/>
          <w:sz w:val="24"/>
        </w:rPr>
        <w:t xml:space="preserve">?  </w:t>
      </w:r>
      <w:r w:rsidR="002251D4">
        <w:rPr>
          <w:rFonts w:ascii="Times New Roman" w:hAnsi="Times New Roman"/>
          <w:sz w:val="24"/>
        </w:rPr>
        <w:t>[</w:t>
      </w:r>
      <w:r w:rsidR="004D612B" w:rsidRPr="00FA5932">
        <w:rPr>
          <w:rFonts w:ascii="Times New Roman" w:hAnsi="Times New Roman"/>
          <w:sz w:val="24"/>
        </w:rPr>
        <w:t xml:space="preserve">Text </w:t>
      </w:r>
      <w:r w:rsidR="002251D4">
        <w:rPr>
          <w:rFonts w:ascii="Times New Roman" w:hAnsi="Times New Roman"/>
          <w:sz w:val="24"/>
        </w:rPr>
        <w:t>]</w:t>
      </w:r>
    </w:p>
    <w:p w14:paraId="23CE6C9D" w14:textId="77777777" w:rsidR="004D612B" w:rsidRPr="00FA5932" w:rsidRDefault="004D612B" w:rsidP="004D612B">
      <w:pPr>
        <w:pStyle w:val="ListParagraph"/>
        <w:ind w:left="360"/>
        <w:jc w:val="both"/>
        <w:rPr>
          <w:rFonts w:ascii="Times New Roman" w:hAnsi="Times New Roman"/>
          <w:sz w:val="24"/>
        </w:rPr>
      </w:pPr>
    </w:p>
    <w:p w14:paraId="412981AD" w14:textId="2B1CA781" w:rsidR="004D612B" w:rsidRPr="00FA5932" w:rsidRDefault="00CD1FC3" w:rsidP="004D612B">
      <w:pPr>
        <w:pStyle w:val="ListParagraph"/>
        <w:ind w:left="360"/>
        <w:jc w:val="both"/>
        <w:rPr>
          <w:rFonts w:ascii="Times New Roman" w:hAnsi="Times New Roman"/>
          <w:sz w:val="24"/>
        </w:rPr>
      </w:pPr>
      <w:r w:rsidRPr="00FA5932">
        <w:rPr>
          <w:rFonts w:ascii="Times New Roman" w:hAnsi="Times New Roman"/>
          <w:sz w:val="24"/>
        </w:rPr>
        <w:t>15.6 How</w:t>
      </w:r>
      <w:r w:rsidR="004D612B" w:rsidRPr="00FA5932">
        <w:rPr>
          <w:rFonts w:ascii="Times New Roman" w:hAnsi="Times New Roman"/>
          <w:sz w:val="24"/>
        </w:rPr>
        <w:t xml:space="preserve"> many enrollees are currently enrolled in the program</w:t>
      </w:r>
      <w:r w:rsidR="00715604" w:rsidRPr="00FA5932">
        <w:rPr>
          <w:rFonts w:ascii="Times New Roman" w:hAnsi="Times New Roman"/>
          <w:sz w:val="24"/>
        </w:rPr>
        <w:t xml:space="preserve">?  </w:t>
      </w:r>
      <w:r w:rsidR="004D612B" w:rsidRPr="00FA5932">
        <w:rPr>
          <w:rFonts w:ascii="Times New Roman" w:hAnsi="Times New Roman"/>
          <w:sz w:val="24"/>
        </w:rPr>
        <w:t>Enter _ _ _ _ _ _ _</w:t>
      </w:r>
    </w:p>
    <w:p w14:paraId="70609DFD" w14:textId="77777777" w:rsidR="004D612B" w:rsidRPr="00FA5932" w:rsidRDefault="004D612B" w:rsidP="004D612B">
      <w:pPr>
        <w:pStyle w:val="ListParagraph"/>
        <w:ind w:left="360"/>
        <w:jc w:val="both"/>
        <w:rPr>
          <w:rFonts w:ascii="Times New Roman" w:hAnsi="Times New Roman"/>
          <w:sz w:val="24"/>
        </w:rPr>
      </w:pPr>
    </w:p>
    <w:p w14:paraId="4599F270" w14:textId="09CCA83B" w:rsidR="004D612B" w:rsidRPr="00FA5932" w:rsidRDefault="00CD1FC3" w:rsidP="004D612B">
      <w:pPr>
        <w:pStyle w:val="ListParagraph"/>
        <w:ind w:left="360"/>
        <w:jc w:val="both"/>
        <w:rPr>
          <w:rFonts w:ascii="Times New Roman" w:hAnsi="Times New Roman"/>
          <w:sz w:val="24"/>
        </w:rPr>
      </w:pPr>
      <w:r w:rsidRPr="00FA5932">
        <w:rPr>
          <w:rFonts w:ascii="Times New Roman" w:hAnsi="Times New Roman"/>
          <w:sz w:val="24"/>
        </w:rPr>
        <w:t>15.7 How</w:t>
      </w:r>
      <w:r w:rsidR="004D612B" w:rsidRPr="00FA5932">
        <w:rPr>
          <w:rFonts w:ascii="Times New Roman" w:hAnsi="Times New Roman"/>
          <w:sz w:val="24"/>
        </w:rPr>
        <w:t xml:space="preserve"> many rewards have been awarded so far</w:t>
      </w:r>
      <w:r w:rsidR="00715604" w:rsidRPr="00FA5932">
        <w:rPr>
          <w:rFonts w:ascii="Times New Roman" w:hAnsi="Times New Roman"/>
          <w:sz w:val="24"/>
        </w:rPr>
        <w:t xml:space="preserve">?  </w:t>
      </w:r>
      <w:r w:rsidR="0088238C" w:rsidRPr="00FA5932">
        <w:rPr>
          <w:rFonts w:ascii="Times New Roman" w:hAnsi="Times New Roman"/>
          <w:sz w:val="24"/>
        </w:rPr>
        <w:t>Enter _</w:t>
      </w:r>
      <w:r w:rsidR="004D612B" w:rsidRPr="00FA5932">
        <w:rPr>
          <w:rFonts w:ascii="Times New Roman" w:hAnsi="Times New Roman"/>
          <w:sz w:val="24"/>
        </w:rPr>
        <w:t xml:space="preserve"> _ _ _ </w:t>
      </w:r>
    </w:p>
    <w:p w14:paraId="3DF69285" w14:textId="77777777" w:rsidR="004D612B" w:rsidRPr="00FA5932" w:rsidRDefault="004D612B" w:rsidP="004D612B">
      <w:pPr>
        <w:ind w:left="720"/>
        <w:rPr>
          <w:b/>
        </w:rPr>
      </w:pPr>
    </w:p>
    <w:p w14:paraId="375FDE5F" w14:textId="4C1EFFCE" w:rsidR="002110D9" w:rsidRPr="00FA5932" w:rsidRDefault="002110D9">
      <w:r w:rsidRPr="00FA5932">
        <w:br w:type="page"/>
      </w:r>
    </w:p>
    <w:p w14:paraId="58E58275" w14:textId="1C049ECD" w:rsidR="00327F5C" w:rsidRPr="00FA5932" w:rsidRDefault="00327F5C" w:rsidP="00C36585">
      <w:pPr>
        <w:pStyle w:val="Heading3"/>
        <w:rPr>
          <w:caps/>
        </w:rPr>
      </w:pPr>
      <w:bookmarkStart w:id="61" w:name="_Toc475956111"/>
      <w:r w:rsidRPr="00FA5932">
        <w:rPr>
          <w:rFonts w:ascii="Times New Roman" w:hAnsi="Times New Roman" w:cs="Times New Roman"/>
          <w:caps/>
          <w:sz w:val="24"/>
        </w:rPr>
        <w:lastRenderedPageBreak/>
        <w:t>16. Mid-Year Network Changes</w:t>
      </w:r>
      <w:bookmarkEnd w:id="61"/>
    </w:p>
    <w:p w14:paraId="0B3F7F62" w14:textId="77777777" w:rsidR="00FA0BEC" w:rsidRPr="00FA5932" w:rsidRDefault="00FA0BEC" w:rsidP="00FA0BEC"/>
    <w:tbl>
      <w:tblPr>
        <w:tblW w:w="8865" w:type="dxa"/>
        <w:tblCellMar>
          <w:left w:w="0" w:type="dxa"/>
          <w:right w:w="0" w:type="dxa"/>
        </w:tblCellMar>
        <w:tblLook w:val="04A0" w:firstRow="1" w:lastRow="0" w:firstColumn="1" w:lastColumn="0" w:noHBand="0" w:noVBand="1"/>
      </w:tblPr>
      <w:tblGrid>
        <w:gridCol w:w="1903"/>
        <w:gridCol w:w="2515"/>
        <w:gridCol w:w="1080"/>
        <w:gridCol w:w="1096"/>
        <w:gridCol w:w="2271"/>
      </w:tblGrid>
      <w:tr w:rsidR="00FA0BEC" w:rsidRPr="00FA5932" w14:paraId="3F9DB749" w14:textId="77777777" w:rsidTr="00833A96">
        <w:tc>
          <w:tcPr>
            <w:tcW w:w="19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E068388" w14:textId="77777777" w:rsidR="00FA0BEC" w:rsidRPr="00FA5932" w:rsidRDefault="00FA0BEC" w:rsidP="00FA0BEC">
            <w:pPr>
              <w:autoSpaceDE w:val="0"/>
              <w:autoSpaceDN w:val="0"/>
              <w:jc w:val="center"/>
              <w:rPr>
                <w:rFonts w:eastAsia="Calibri"/>
                <w:b/>
                <w:bCs/>
              </w:rPr>
            </w:pPr>
            <w:r w:rsidRPr="00FA5932">
              <w:rPr>
                <w:b/>
                <w:bCs/>
              </w:rPr>
              <w:t>Reporting section</w:t>
            </w:r>
          </w:p>
        </w:tc>
        <w:tc>
          <w:tcPr>
            <w:tcW w:w="251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AF0C355" w14:textId="77777777" w:rsidR="00FA0BEC" w:rsidRPr="00FA5932" w:rsidRDefault="00FA0BEC" w:rsidP="00FA0BEC">
            <w:pPr>
              <w:autoSpaceDE w:val="0"/>
              <w:autoSpaceDN w:val="0"/>
              <w:jc w:val="center"/>
              <w:rPr>
                <w:rFonts w:eastAsia="Calibri"/>
                <w:b/>
                <w:bCs/>
              </w:rPr>
            </w:pPr>
            <w:r w:rsidRPr="00FA5932">
              <w:rPr>
                <w:b/>
                <w:bCs/>
              </w:rPr>
              <w:t>Organization Types Required to Report</w:t>
            </w: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182864C" w14:textId="77777777" w:rsidR="00FA0BEC" w:rsidRPr="00FA5932" w:rsidRDefault="00FA0BEC" w:rsidP="00FA0BEC">
            <w:pPr>
              <w:autoSpaceDE w:val="0"/>
              <w:autoSpaceDN w:val="0"/>
              <w:jc w:val="center"/>
              <w:rPr>
                <w:rFonts w:eastAsia="Calibri"/>
                <w:b/>
                <w:bCs/>
              </w:rPr>
            </w:pPr>
            <w:r w:rsidRPr="00FA5932">
              <w:rPr>
                <w:b/>
                <w:bCs/>
              </w:rPr>
              <w:t>Report Freq./</w:t>
            </w:r>
          </w:p>
          <w:p w14:paraId="0766D32D" w14:textId="77777777" w:rsidR="00FA0BEC" w:rsidRPr="00FA5932" w:rsidRDefault="00FA0BEC" w:rsidP="00FA0BEC">
            <w:pPr>
              <w:autoSpaceDE w:val="0"/>
              <w:autoSpaceDN w:val="0"/>
              <w:jc w:val="center"/>
              <w:rPr>
                <w:rFonts w:eastAsia="Calibri"/>
                <w:b/>
                <w:bCs/>
              </w:rPr>
            </w:pPr>
            <w:r w:rsidRPr="00FA5932">
              <w:rPr>
                <w:b/>
                <w:bCs/>
              </w:rPr>
              <w:t>Level</w:t>
            </w:r>
          </w:p>
        </w:tc>
        <w:tc>
          <w:tcPr>
            <w:tcW w:w="109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EC0165B" w14:textId="77777777" w:rsidR="00FA0BEC" w:rsidRPr="00FA5932" w:rsidRDefault="00FA0BEC" w:rsidP="00FA0BEC">
            <w:pPr>
              <w:autoSpaceDE w:val="0"/>
              <w:autoSpaceDN w:val="0"/>
              <w:jc w:val="center"/>
              <w:rPr>
                <w:rFonts w:eastAsia="Calibri"/>
                <w:b/>
                <w:bCs/>
              </w:rPr>
            </w:pPr>
            <w:r w:rsidRPr="00FA5932">
              <w:rPr>
                <w:b/>
                <w:bCs/>
              </w:rPr>
              <w:t>Report</w:t>
            </w:r>
          </w:p>
          <w:p w14:paraId="7A265817" w14:textId="77777777" w:rsidR="00FA0BEC" w:rsidRPr="00FA5932" w:rsidRDefault="00FA0BEC" w:rsidP="00FA0BEC">
            <w:pPr>
              <w:autoSpaceDE w:val="0"/>
              <w:autoSpaceDN w:val="0"/>
              <w:jc w:val="center"/>
              <w:rPr>
                <w:rFonts w:eastAsia="Calibri"/>
                <w:b/>
                <w:bCs/>
              </w:rPr>
            </w:pPr>
            <w:r w:rsidRPr="00FA5932">
              <w:rPr>
                <w:b/>
                <w:bCs/>
              </w:rPr>
              <w:t>Period (s)</w:t>
            </w:r>
          </w:p>
        </w:tc>
        <w:tc>
          <w:tcPr>
            <w:tcW w:w="22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C0E674D" w14:textId="77777777" w:rsidR="00FA0BEC" w:rsidRPr="00FA5932" w:rsidRDefault="00FA0BEC" w:rsidP="00FA0BEC">
            <w:pPr>
              <w:autoSpaceDE w:val="0"/>
              <w:autoSpaceDN w:val="0"/>
              <w:jc w:val="center"/>
              <w:rPr>
                <w:rFonts w:eastAsia="Calibri"/>
                <w:b/>
                <w:bCs/>
              </w:rPr>
            </w:pPr>
            <w:r w:rsidRPr="00FA5932">
              <w:rPr>
                <w:b/>
                <w:bCs/>
              </w:rPr>
              <w:t>Data Due date (s)</w:t>
            </w:r>
          </w:p>
        </w:tc>
      </w:tr>
      <w:tr w:rsidR="00FA0BEC" w:rsidRPr="00FA5932" w14:paraId="4204B474" w14:textId="77777777" w:rsidTr="00FA0BEC">
        <w:tc>
          <w:tcPr>
            <w:tcW w:w="1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D3BD8" w14:textId="77777777" w:rsidR="00FA0BEC" w:rsidRPr="00FA5932" w:rsidRDefault="00FA0BEC" w:rsidP="00FA0BEC">
            <w:pPr>
              <w:autoSpaceDE w:val="0"/>
              <w:autoSpaceDN w:val="0"/>
              <w:rPr>
                <w:rFonts w:eastAsia="Calibri"/>
              </w:rPr>
            </w:pPr>
            <w:r w:rsidRPr="00FA5932">
              <w:t>1</w:t>
            </w:r>
            <w:r>
              <w:t>6</w:t>
            </w:r>
            <w:r w:rsidRPr="00FA5932">
              <w:t>. Mid-Year Network Changes</w:t>
            </w:r>
          </w:p>
        </w:tc>
        <w:tc>
          <w:tcPr>
            <w:tcW w:w="2515" w:type="dxa"/>
            <w:tcBorders>
              <w:top w:val="nil"/>
              <w:left w:val="nil"/>
              <w:bottom w:val="single" w:sz="8" w:space="0" w:color="auto"/>
              <w:right w:val="single" w:sz="8" w:space="0" w:color="auto"/>
            </w:tcBorders>
            <w:tcMar>
              <w:top w:w="0" w:type="dxa"/>
              <w:left w:w="108" w:type="dxa"/>
              <w:bottom w:w="0" w:type="dxa"/>
              <w:right w:w="108" w:type="dxa"/>
            </w:tcMar>
          </w:tcPr>
          <w:p w14:paraId="653D9C84" w14:textId="77777777" w:rsidR="00FA0BEC" w:rsidRDefault="00FA0BEC" w:rsidP="00FA0BEC">
            <w:pPr>
              <w:autoSpaceDE w:val="0"/>
              <w:autoSpaceDN w:val="0"/>
            </w:pPr>
            <w:r w:rsidRPr="00FA5932">
              <w:t>01 – Local CCP</w:t>
            </w:r>
          </w:p>
          <w:p w14:paraId="07AA65FF" w14:textId="77777777" w:rsidR="00FA0BEC" w:rsidRDefault="00FA0BEC" w:rsidP="00FA0BEC">
            <w:pPr>
              <w:autoSpaceDE w:val="0"/>
              <w:autoSpaceDN w:val="0"/>
            </w:pPr>
            <w:r>
              <w:t>02 – MSA*</w:t>
            </w:r>
          </w:p>
          <w:p w14:paraId="2F17ACA6" w14:textId="77777777" w:rsidR="00FA0BEC" w:rsidRDefault="00FA0BEC" w:rsidP="00FA0BEC">
            <w:pPr>
              <w:autoSpaceDE w:val="0"/>
              <w:autoSpaceDN w:val="0"/>
            </w:pPr>
            <w:r>
              <w:t>04 – PFFS*</w:t>
            </w:r>
          </w:p>
          <w:p w14:paraId="3A471AF2" w14:textId="77777777" w:rsidR="00FA0BEC" w:rsidRPr="00FA5932" w:rsidRDefault="00FA0BEC" w:rsidP="00FA0BEC">
            <w:pPr>
              <w:autoSpaceDE w:val="0"/>
              <w:autoSpaceDN w:val="0"/>
              <w:rPr>
                <w:rFonts w:eastAsia="Calibri"/>
              </w:rPr>
            </w:pPr>
            <w:r>
              <w:t>06 – 1876 Cost</w:t>
            </w:r>
          </w:p>
          <w:p w14:paraId="54E18A0F" w14:textId="77777777" w:rsidR="00FA0BEC" w:rsidRPr="00FA5932" w:rsidRDefault="00FA0BEC" w:rsidP="00FA0BEC">
            <w:pPr>
              <w:autoSpaceDE w:val="0"/>
              <w:autoSpaceDN w:val="0"/>
            </w:pPr>
            <w:r w:rsidRPr="00FA5932">
              <w:t>11 – Regional CCP</w:t>
            </w:r>
            <w:r>
              <w:t>**</w:t>
            </w:r>
          </w:p>
          <w:p w14:paraId="6B7A3A9D" w14:textId="77777777" w:rsidR="00FA0BEC" w:rsidRPr="00FA5932" w:rsidRDefault="00FA0BEC" w:rsidP="00FA0BEC">
            <w:pPr>
              <w:autoSpaceDE w:val="0"/>
              <w:autoSpaceDN w:val="0"/>
            </w:pPr>
            <w:r w:rsidRPr="00FA5932">
              <w:t>15 – RFB Local CCP</w:t>
            </w:r>
          </w:p>
          <w:p w14:paraId="4B2778B8" w14:textId="77777777" w:rsidR="00FA0BEC" w:rsidRPr="00FA5932" w:rsidRDefault="00FA0BEC" w:rsidP="00FA0BEC">
            <w:pPr>
              <w:autoSpaceDE w:val="0"/>
              <w:autoSpaceDN w:val="0"/>
            </w:pPr>
          </w:p>
          <w:p w14:paraId="444F0309" w14:textId="77777777" w:rsidR="00FA0BEC" w:rsidRPr="00FA5932" w:rsidRDefault="00FA0BEC" w:rsidP="00FA0BEC">
            <w:pPr>
              <w:autoSpaceDE w:val="0"/>
              <w:autoSpaceDN w:val="0"/>
              <w:rPr>
                <w:rFonts w:eastAsia="Calibri"/>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6344218" w14:textId="77777777" w:rsidR="00FA0BEC" w:rsidRPr="00FA5932" w:rsidRDefault="00FA0BEC" w:rsidP="00FA0BEC">
            <w:pPr>
              <w:autoSpaceDE w:val="0"/>
              <w:autoSpaceDN w:val="0"/>
              <w:rPr>
                <w:rFonts w:eastAsia="Calibri"/>
              </w:rPr>
            </w:pPr>
            <w:r w:rsidRPr="00FA5932">
              <w:t>1/Year</w:t>
            </w:r>
          </w:p>
          <w:p w14:paraId="3DD853AF" w14:textId="77777777" w:rsidR="00FA0BEC" w:rsidRPr="00FA5932" w:rsidRDefault="00FA0BEC" w:rsidP="00FA0BEC">
            <w:pPr>
              <w:autoSpaceDE w:val="0"/>
              <w:autoSpaceDN w:val="0"/>
              <w:rPr>
                <w:rFonts w:eastAsia="Calibri"/>
              </w:rPr>
            </w:pPr>
            <w:r w:rsidRPr="00FA5932">
              <w:t>Contract</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14:paraId="2F0F268F" w14:textId="77777777" w:rsidR="00FA0BEC" w:rsidRPr="00FA5932" w:rsidRDefault="00FA0BEC" w:rsidP="00FA0BEC">
            <w:pPr>
              <w:autoSpaceDE w:val="0"/>
              <w:autoSpaceDN w:val="0"/>
              <w:rPr>
                <w:rFonts w:eastAsia="Calibri"/>
              </w:rPr>
            </w:pPr>
            <w:r w:rsidRPr="00FA5932">
              <w:rPr>
                <w:rFonts w:eastAsia="Calibri"/>
              </w:rPr>
              <w:t>1/1-12/31</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73470873" w14:textId="77777777" w:rsidR="00FA0BEC" w:rsidRPr="00FA5932" w:rsidRDefault="00FA0BEC" w:rsidP="00FA0BEC">
            <w:pPr>
              <w:autoSpaceDE w:val="0"/>
              <w:autoSpaceDN w:val="0"/>
            </w:pPr>
            <w:r w:rsidRPr="00FA5932">
              <w:t>Last Monday of February</w:t>
            </w:r>
            <w:r>
              <w:t xml:space="preserve"> in following year</w:t>
            </w:r>
          </w:p>
          <w:p w14:paraId="071C0F14" w14:textId="77777777" w:rsidR="00FA0BEC" w:rsidRPr="00FA5932" w:rsidRDefault="00FA0BEC" w:rsidP="00FA0BEC">
            <w:pPr>
              <w:autoSpaceDE w:val="0"/>
              <w:autoSpaceDN w:val="0"/>
            </w:pPr>
          </w:p>
          <w:p w14:paraId="5A7B29F0" w14:textId="77777777" w:rsidR="00FA0BEC" w:rsidRPr="00FA5932" w:rsidRDefault="00FA0BEC" w:rsidP="00FA0BEC">
            <w:pPr>
              <w:autoSpaceDE w:val="0"/>
              <w:autoSpaceDN w:val="0"/>
              <w:rPr>
                <w:rFonts w:eastAsia="Calibri"/>
              </w:rPr>
            </w:pPr>
          </w:p>
        </w:tc>
      </w:tr>
    </w:tbl>
    <w:p w14:paraId="498B9EEE" w14:textId="77777777" w:rsidR="00FA0BEC" w:rsidRDefault="00FA0BEC" w:rsidP="00FA0BEC">
      <w:r>
        <w:t>*Only network-based MSA and PFFS plans are required to report.</w:t>
      </w:r>
    </w:p>
    <w:p w14:paraId="351ECC36" w14:textId="77777777" w:rsidR="00EA7ADF" w:rsidRDefault="00FA0BEC" w:rsidP="00EA7ADF">
      <w:r>
        <w:t>**Regional Preferred Provider Organizations (RPPOs) should only report on the network areas of their plans (not the non-network areas).</w:t>
      </w:r>
      <w:r w:rsidR="00EA7ADF" w:rsidRPr="00EA7ADF">
        <w:t xml:space="preserve"> </w:t>
      </w:r>
    </w:p>
    <w:p w14:paraId="31F122B2" w14:textId="77777777" w:rsidR="00EA7ADF" w:rsidRDefault="00EA7ADF" w:rsidP="00EA7ADF"/>
    <w:p w14:paraId="6D1E751A" w14:textId="798D0476" w:rsidR="00EA7ADF" w:rsidRPr="00EA7ADF" w:rsidRDefault="00EA7ADF" w:rsidP="00EA7ADF">
      <w:r w:rsidRPr="00EA7ADF">
        <w:t>This reporting section requires a file upload into HPMS.</w:t>
      </w:r>
    </w:p>
    <w:p w14:paraId="0C5CF3AB" w14:textId="32656F87" w:rsidR="00FA0BEC" w:rsidRDefault="00EA7ADF" w:rsidP="00FA0BEC">
      <w:r>
        <w:t xml:space="preserve"> </w:t>
      </w:r>
    </w:p>
    <w:p w14:paraId="7F1DBBAF" w14:textId="41ADDD08" w:rsidR="00FA0BEC" w:rsidRDefault="00FA0BEC" w:rsidP="00FA0BEC">
      <w:pPr>
        <w:rPr>
          <w:rFonts w:eastAsia="Calibri"/>
          <w:szCs w:val="22"/>
        </w:rPr>
      </w:pPr>
      <w:r w:rsidRPr="00FA5932">
        <w:rPr>
          <w:rFonts w:eastAsia="Calibri"/>
          <w:szCs w:val="22"/>
        </w:rPr>
        <w:t xml:space="preserve">CMS is increasing its oversight and management of </w:t>
      </w:r>
      <w:r>
        <w:rPr>
          <w:rFonts w:eastAsia="Calibri"/>
          <w:szCs w:val="22"/>
        </w:rPr>
        <w:t xml:space="preserve">organizations’ </w:t>
      </w:r>
      <w:r w:rsidRPr="00FA5932">
        <w:rPr>
          <w:rFonts w:eastAsia="Calibri"/>
          <w:szCs w:val="22"/>
        </w:rPr>
        <w:t xml:space="preserve">network changes in order to ensure that changes made during the </w:t>
      </w:r>
      <w:r>
        <w:rPr>
          <w:rFonts w:eastAsia="Calibri"/>
          <w:szCs w:val="22"/>
        </w:rPr>
        <w:t>contract</w:t>
      </w:r>
      <w:r w:rsidRPr="00FA5932">
        <w:rPr>
          <w:rFonts w:eastAsia="Calibri"/>
          <w:szCs w:val="22"/>
        </w:rPr>
        <w:t xml:space="preserve"> year do not result in inadequate access to care for enrolle</w:t>
      </w:r>
      <w:r>
        <w:rPr>
          <w:rFonts w:eastAsia="Calibri"/>
          <w:szCs w:val="22"/>
        </w:rPr>
        <w:t>es</w:t>
      </w:r>
      <w:r w:rsidRPr="00FA5932">
        <w:rPr>
          <w:rFonts w:eastAsia="Calibri"/>
          <w:szCs w:val="22"/>
        </w:rPr>
        <w:t xml:space="preserve">.  The data collected in this measure will provide CMS with a better understanding of how often </w:t>
      </w:r>
      <w:r w:rsidR="00B52E11">
        <w:rPr>
          <w:rFonts w:eastAsia="Calibri"/>
          <w:szCs w:val="22"/>
        </w:rPr>
        <w:t>organizations</w:t>
      </w:r>
      <w:r w:rsidR="00B52E11" w:rsidRPr="00FA5932">
        <w:rPr>
          <w:rFonts w:eastAsia="Calibri"/>
          <w:szCs w:val="22"/>
        </w:rPr>
        <w:t xml:space="preserve"> </w:t>
      </w:r>
      <w:r w:rsidRPr="00FA5932">
        <w:rPr>
          <w:rFonts w:eastAsia="Calibri"/>
          <w:szCs w:val="22"/>
        </w:rPr>
        <w:t xml:space="preserve">undergo mid-year network changes and how many enrollees are affected.  In addition, </w:t>
      </w:r>
      <w:r>
        <w:rPr>
          <w:rFonts w:eastAsia="Calibri"/>
          <w:szCs w:val="22"/>
        </w:rPr>
        <w:t>the data</w:t>
      </w:r>
      <w:r w:rsidRPr="00FA5932">
        <w:rPr>
          <w:rFonts w:eastAsia="Calibri"/>
          <w:szCs w:val="22"/>
        </w:rPr>
        <w:t xml:space="preserve"> will enhance CMS’</w:t>
      </w:r>
      <w:r>
        <w:rPr>
          <w:rFonts w:eastAsia="Calibri"/>
          <w:szCs w:val="22"/>
        </w:rPr>
        <w:t>s</w:t>
      </w:r>
      <w:r w:rsidRPr="00FA5932">
        <w:rPr>
          <w:rFonts w:eastAsia="Calibri"/>
          <w:szCs w:val="22"/>
        </w:rPr>
        <w:t xml:space="preserve"> ability to improve </w:t>
      </w:r>
      <w:r>
        <w:rPr>
          <w:rFonts w:eastAsia="Calibri"/>
          <w:szCs w:val="22"/>
        </w:rPr>
        <w:t>its</w:t>
      </w:r>
      <w:r w:rsidR="00B026B6">
        <w:rPr>
          <w:rFonts w:eastAsia="Calibri"/>
          <w:szCs w:val="22"/>
        </w:rPr>
        <w:t xml:space="preserve"> </w:t>
      </w:r>
      <w:r w:rsidR="00E47309">
        <w:rPr>
          <w:rFonts w:eastAsia="Calibri"/>
          <w:szCs w:val="22"/>
        </w:rPr>
        <w:t>policy and process surrounding significant network changes (see section 110.1.2 of chapter 4 of the Medicare Managed Care Manual for more information)</w:t>
      </w:r>
      <w:r w:rsidRPr="00FA5932">
        <w:rPr>
          <w:rFonts w:eastAsia="Calibri"/>
          <w:szCs w:val="22"/>
        </w:rPr>
        <w:t xml:space="preserve">. </w:t>
      </w:r>
      <w:r>
        <w:rPr>
          <w:rFonts w:eastAsia="Calibri"/>
          <w:szCs w:val="22"/>
        </w:rPr>
        <w:t xml:space="preserve"> </w:t>
      </w:r>
    </w:p>
    <w:p w14:paraId="32B61599" w14:textId="77777777" w:rsidR="00FA0BEC" w:rsidRDefault="00FA0BEC" w:rsidP="00FA0BEC">
      <w:pPr>
        <w:rPr>
          <w:rFonts w:eastAsia="Calibri"/>
          <w:szCs w:val="22"/>
        </w:rPr>
      </w:pPr>
    </w:p>
    <w:p w14:paraId="0E6758B1" w14:textId="45B92406" w:rsidR="00FA0BEC" w:rsidRPr="00FA5932" w:rsidRDefault="00FA0BEC" w:rsidP="00FA0BEC">
      <w:pPr>
        <w:rPr>
          <w:rFonts w:eastAsia="Calibri"/>
          <w:szCs w:val="22"/>
        </w:rPr>
      </w:pPr>
      <w:r w:rsidRPr="00FA5932">
        <w:rPr>
          <w:rFonts w:eastAsia="Calibri"/>
          <w:szCs w:val="22"/>
        </w:rPr>
        <w:t xml:space="preserve">CMS considers a mid-year network change to be any change in network </w:t>
      </w:r>
      <w:r>
        <w:rPr>
          <w:rFonts w:eastAsia="Calibri"/>
          <w:szCs w:val="22"/>
        </w:rPr>
        <w:t xml:space="preserve">(i.e., provider termination) </w:t>
      </w:r>
      <w:r w:rsidRPr="00FA5932">
        <w:rPr>
          <w:rFonts w:eastAsia="Calibri"/>
          <w:szCs w:val="22"/>
        </w:rPr>
        <w:t>that is not effective January 1 of a given year (the first day of the reporting period).  In the following</w:t>
      </w:r>
      <w:r>
        <w:rPr>
          <w:rFonts w:eastAsia="Calibri"/>
          <w:szCs w:val="22"/>
        </w:rPr>
        <w:t>,</w:t>
      </w:r>
      <w:r w:rsidRPr="00FA5932">
        <w:rPr>
          <w:rFonts w:eastAsia="Calibri"/>
          <w:szCs w:val="22"/>
        </w:rPr>
        <w:t xml:space="preserve"> we are asking </w:t>
      </w:r>
      <w:r w:rsidR="00B52E11">
        <w:rPr>
          <w:rFonts w:eastAsia="Calibri"/>
          <w:szCs w:val="22"/>
        </w:rPr>
        <w:t>organizations</w:t>
      </w:r>
      <w:r w:rsidR="00B52E11" w:rsidRPr="00FA5932">
        <w:rPr>
          <w:rFonts w:eastAsia="Calibri"/>
          <w:szCs w:val="22"/>
        </w:rPr>
        <w:t xml:space="preserve"> </w:t>
      </w:r>
      <w:r w:rsidRPr="00FA5932">
        <w:rPr>
          <w:rFonts w:eastAsia="Calibri"/>
          <w:szCs w:val="22"/>
        </w:rPr>
        <w:t>to report on mid-year terminations of</w:t>
      </w:r>
      <w:r>
        <w:rPr>
          <w:rFonts w:eastAsia="Calibri"/>
          <w:szCs w:val="22"/>
        </w:rPr>
        <w:t xml:space="preserve"> primary care physicians</w:t>
      </w:r>
      <w:r w:rsidRPr="00FA5932">
        <w:rPr>
          <w:rFonts w:eastAsia="Calibri"/>
          <w:szCs w:val="22"/>
        </w:rPr>
        <w:t xml:space="preserve"> </w:t>
      </w:r>
      <w:r>
        <w:rPr>
          <w:rFonts w:eastAsia="Calibri"/>
          <w:szCs w:val="22"/>
        </w:rPr>
        <w:t>(</w:t>
      </w:r>
      <w:r w:rsidRPr="00FA5932">
        <w:rPr>
          <w:rFonts w:eastAsia="Calibri"/>
          <w:szCs w:val="22"/>
        </w:rPr>
        <w:t>PCPs</w:t>
      </w:r>
      <w:r>
        <w:rPr>
          <w:rFonts w:eastAsia="Calibri"/>
          <w:szCs w:val="22"/>
        </w:rPr>
        <w:t>)</w:t>
      </w:r>
      <w:r w:rsidRPr="00FA5932">
        <w:rPr>
          <w:rFonts w:eastAsia="Calibri"/>
          <w:szCs w:val="22"/>
        </w:rPr>
        <w:t>, certain specialists (</w:t>
      </w:r>
      <w:r w:rsidRPr="00FA5932">
        <w:rPr>
          <w:bCs/>
        </w:rPr>
        <w:t>cardiologists, endocrinologists, oncologists, ophthalmologists, pulmonologists, rheumatologists, urologists)</w:t>
      </w:r>
      <w:r w:rsidRPr="00FA5932">
        <w:rPr>
          <w:rFonts w:eastAsia="Calibri"/>
          <w:szCs w:val="22"/>
        </w:rPr>
        <w:t>, and facilities (</w:t>
      </w:r>
      <w:r w:rsidRPr="00FA5932">
        <w:rPr>
          <w:bCs/>
        </w:rPr>
        <w:t>acute inpatient hospitals and skilled nursing facilities)</w:t>
      </w:r>
      <w:r w:rsidRPr="00FA5932">
        <w:rPr>
          <w:rFonts w:eastAsia="Calibri"/>
          <w:szCs w:val="22"/>
        </w:rPr>
        <w:t xml:space="preserve"> during the reporting period.  </w:t>
      </w:r>
      <w:r w:rsidR="00B52E11">
        <w:rPr>
          <w:rFonts w:eastAsia="Calibri"/>
          <w:szCs w:val="22"/>
        </w:rPr>
        <w:t xml:space="preserve">Organizations </w:t>
      </w:r>
      <w:r>
        <w:rPr>
          <w:rFonts w:eastAsia="Calibri"/>
          <w:szCs w:val="22"/>
        </w:rPr>
        <w:t>are to report on both for-cause and no-cause termi</w:t>
      </w:r>
      <w:r w:rsidR="00B9542A">
        <w:rPr>
          <w:rFonts w:eastAsia="Calibri"/>
          <w:szCs w:val="22"/>
        </w:rPr>
        <w:t>n</w:t>
      </w:r>
      <w:r>
        <w:rPr>
          <w:rFonts w:eastAsia="Calibri"/>
          <w:szCs w:val="22"/>
        </w:rPr>
        <w:t xml:space="preserve">ations, as well as both </w:t>
      </w:r>
      <w:r w:rsidR="00B52E11">
        <w:rPr>
          <w:rFonts w:eastAsia="Calibri"/>
          <w:szCs w:val="22"/>
        </w:rPr>
        <w:t>organization</w:t>
      </w:r>
      <w:r>
        <w:rPr>
          <w:rFonts w:eastAsia="Calibri"/>
          <w:szCs w:val="22"/>
        </w:rPr>
        <w:t>-initiated and provider-initiated terminations.</w:t>
      </w:r>
      <w:r>
        <w:rPr>
          <w:rStyle w:val="FootnoteReference"/>
          <w:rFonts w:eastAsia="Calibri"/>
          <w:szCs w:val="22"/>
        </w:rPr>
        <w:footnoteReference w:id="3"/>
      </w:r>
    </w:p>
    <w:p w14:paraId="2DC22411" w14:textId="77777777" w:rsidR="00FA0BEC" w:rsidRPr="00FA5932" w:rsidRDefault="00FA0BEC" w:rsidP="00FA0BEC">
      <w:pPr>
        <w:rPr>
          <w:rFonts w:eastAsia="Calibri"/>
          <w:szCs w:val="22"/>
        </w:rPr>
      </w:pPr>
    </w:p>
    <w:p w14:paraId="0BEE68A3" w14:textId="702EA3F4" w:rsidR="00FA0BEC" w:rsidRPr="00FA5932" w:rsidRDefault="00961320" w:rsidP="00FA0BEC">
      <w:pPr>
        <w:rPr>
          <w:rFonts w:eastAsia="Calibri"/>
          <w:szCs w:val="22"/>
        </w:rPr>
      </w:pPr>
      <w:r w:rsidRPr="00FA5932">
        <w:rPr>
          <w:rFonts w:eastAsia="Calibri"/>
          <w:szCs w:val="22"/>
        </w:rPr>
        <w:t>A</w:t>
      </w:r>
      <w:r>
        <w:rPr>
          <w:rFonts w:eastAsia="Calibri"/>
          <w:szCs w:val="22"/>
        </w:rPr>
        <w:t>n a</w:t>
      </w:r>
      <w:r w:rsidRPr="00FA5932">
        <w:rPr>
          <w:rFonts w:eastAsia="Calibri"/>
          <w:szCs w:val="22"/>
        </w:rPr>
        <w:t xml:space="preserve">ffected enrollee </w:t>
      </w:r>
      <w:r>
        <w:rPr>
          <w:rFonts w:eastAsia="Calibri"/>
          <w:szCs w:val="22"/>
        </w:rPr>
        <w:t>is</w:t>
      </w:r>
      <w:r w:rsidRPr="00FA5932">
        <w:rPr>
          <w:rFonts w:eastAsia="Calibri"/>
          <w:szCs w:val="22"/>
        </w:rPr>
        <w:t xml:space="preserve"> </w:t>
      </w:r>
      <w:r>
        <w:rPr>
          <w:rFonts w:eastAsia="Calibri"/>
          <w:szCs w:val="22"/>
        </w:rPr>
        <w:t>an</w:t>
      </w:r>
      <w:r w:rsidRPr="00FA5932">
        <w:rPr>
          <w:rFonts w:eastAsia="Calibri"/>
          <w:szCs w:val="22"/>
        </w:rPr>
        <w:t xml:space="preserve"> enrollee who </w:t>
      </w:r>
      <w:r>
        <w:rPr>
          <w:rFonts w:eastAsia="Calibri"/>
          <w:szCs w:val="22"/>
        </w:rPr>
        <w:t>was</w:t>
      </w:r>
      <w:r w:rsidRPr="00FA5932">
        <w:rPr>
          <w:rFonts w:eastAsia="Calibri"/>
          <w:szCs w:val="22"/>
        </w:rPr>
        <w:t xml:space="preserve"> assigned to</w:t>
      </w:r>
      <w:r>
        <w:rPr>
          <w:rFonts w:eastAsia="Calibri"/>
          <w:szCs w:val="22"/>
        </w:rPr>
        <w:t xml:space="preserve"> or received care from</w:t>
      </w:r>
      <w:r w:rsidRPr="00FA5932">
        <w:rPr>
          <w:rFonts w:eastAsia="Calibri"/>
          <w:szCs w:val="22"/>
        </w:rPr>
        <w:t xml:space="preserve"> a </w:t>
      </w:r>
      <w:r w:rsidR="00B52E11">
        <w:rPr>
          <w:rFonts w:eastAsia="Calibri"/>
          <w:szCs w:val="22"/>
        </w:rPr>
        <w:t xml:space="preserve">reported </w:t>
      </w:r>
      <w:r w:rsidRPr="00FA5932">
        <w:rPr>
          <w:rFonts w:eastAsia="Calibri"/>
          <w:szCs w:val="22"/>
        </w:rPr>
        <w:t>terminated PCP</w:t>
      </w:r>
      <w:r>
        <w:rPr>
          <w:rFonts w:eastAsia="Calibri"/>
          <w:szCs w:val="22"/>
        </w:rPr>
        <w:t>,</w:t>
      </w:r>
      <w:r w:rsidRPr="00FA5932">
        <w:rPr>
          <w:rFonts w:eastAsia="Calibri"/>
          <w:szCs w:val="22"/>
        </w:rPr>
        <w:t xml:space="preserve"> specialist</w:t>
      </w:r>
      <w:r>
        <w:rPr>
          <w:rFonts w:eastAsia="Calibri"/>
          <w:szCs w:val="22"/>
        </w:rPr>
        <w:t>,</w:t>
      </w:r>
      <w:r w:rsidRPr="00FA5932">
        <w:rPr>
          <w:rFonts w:eastAsia="Calibri"/>
          <w:szCs w:val="22"/>
        </w:rPr>
        <w:t xml:space="preserve"> or facility within 90 days prior to the </w:t>
      </w:r>
      <w:r>
        <w:rPr>
          <w:rFonts w:eastAsia="Calibri"/>
          <w:szCs w:val="22"/>
        </w:rPr>
        <w:t>PCP/</w:t>
      </w:r>
      <w:r w:rsidRPr="00FA5932">
        <w:rPr>
          <w:rFonts w:eastAsia="Calibri"/>
          <w:szCs w:val="22"/>
        </w:rPr>
        <w:t>specialist/facility contract termination date.</w:t>
      </w:r>
      <w:r w:rsidRPr="00FA5932">
        <w:rPr>
          <w:rFonts w:eastAsiaTheme="minorHAnsi"/>
        </w:rPr>
        <w:t xml:space="preserve"> </w:t>
      </w:r>
      <w:r w:rsidRPr="00FA5932">
        <w:rPr>
          <w:rFonts w:eastAsia="Calibri"/>
          <w:szCs w:val="22"/>
        </w:rPr>
        <w:t xml:space="preserve"> </w:t>
      </w:r>
      <w:r w:rsidR="00FA0BEC" w:rsidRPr="00FA5932">
        <w:rPr>
          <w:rFonts w:eastAsia="Calibri"/>
          <w:szCs w:val="22"/>
        </w:rPr>
        <w:t xml:space="preserve">To maintain consistency in reporting, we are using the definition of PCP used in the </w:t>
      </w:r>
      <w:r w:rsidR="00FA0BEC">
        <w:rPr>
          <w:rFonts w:eastAsia="Calibri"/>
          <w:szCs w:val="22"/>
        </w:rPr>
        <w:t xml:space="preserve">current </w:t>
      </w:r>
      <w:r w:rsidR="00B52E11">
        <w:rPr>
          <w:rFonts w:eastAsia="Calibri"/>
          <w:szCs w:val="22"/>
        </w:rPr>
        <w:t>Health Service Delivery (HSD) Reference File</w:t>
      </w:r>
      <w:r w:rsidR="00FA0BEC" w:rsidRPr="00FA5932">
        <w:rPr>
          <w:rFonts w:eastAsia="Calibri"/>
          <w:szCs w:val="22"/>
        </w:rPr>
        <w:t xml:space="preserve">, </w:t>
      </w:r>
      <w:r w:rsidR="00B52E11">
        <w:rPr>
          <w:rFonts w:eastAsia="Calibri"/>
          <w:szCs w:val="22"/>
        </w:rPr>
        <w:t xml:space="preserve">which can be </w:t>
      </w:r>
      <w:r w:rsidR="00FA0BEC" w:rsidRPr="00FA5932">
        <w:rPr>
          <w:rFonts w:eastAsia="Calibri"/>
          <w:szCs w:val="22"/>
        </w:rPr>
        <w:t xml:space="preserve">found on </w:t>
      </w:r>
      <w:r w:rsidR="00FA0BEC">
        <w:rPr>
          <w:rFonts w:eastAsia="Calibri"/>
          <w:szCs w:val="22"/>
        </w:rPr>
        <w:t xml:space="preserve">the </w:t>
      </w:r>
      <w:hyperlink r:id="rId14" w:history="1">
        <w:r w:rsidR="00B026B6">
          <w:rPr>
            <w:rStyle w:val="Hyperlink"/>
            <w:rFonts w:eastAsia="Calibri"/>
            <w:szCs w:val="22"/>
          </w:rPr>
          <w:t>Medicare Advantage (MA) Applications website</w:t>
        </w:r>
      </w:hyperlink>
      <w:r w:rsidR="00FA0BEC" w:rsidRPr="00FA5932">
        <w:rPr>
          <w:rFonts w:eastAsia="Calibri"/>
          <w:szCs w:val="22"/>
        </w:rPr>
        <w:t xml:space="preserve">.  </w:t>
      </w:r>
      <w:r w:rsidR="00B026B6">
        <w:rPr>
          <w:rFonts w:eastAsia="Calibri"/>
          <w:szCs w:val="22"/>
        </w:rPr>
        <w:t>In addition, t</w:t>
      </w:r>
      <w:r w:rsidR="00B52E11">
        <w:rPr>
          <w:rFonts w:eastAsia="Calibri"/>
          <w:szCs w:val="22"/>
        </w:rPr>
        <w:t xml:space="preserve">he specialist and facility data we </w:t>
      </w:r>
      <w:r w:rsidR="00B52E11">
        <w:rPr>
          <w:rFonts w:eastAsia="Calibri"/>
          <w:szCs w:val="22"/>
        </w:rPr>
        <w:lastRenderedPageBreak/>
        <w:t>are collecting aligns with</w:t>
      </w:r>
      <w:r w:rsidR="00FA0BEC" w:rsidRPr="00FA5932">
        <w:rPr>
          <w:rFonts w:eastAsia="Calibri"/>
          <w:szCs w:val="22"/>
        </w:rPr>
        <w:t xml:space="preserve"> </w:t>
      </w:r>
      <w:r w:rsidR="00FA0BEC">
        <w:rPr>
          <w:rFonts w:eastAsia="Calibri"/>
          <w:szCs w:val="22"/>
        </w:rPr>
        <w:t xml:space="preserve">some of </w:t>
      </w:r>
      <w:r w:rsidR="00FA0BEC" w:rsidRPr="00FA5932">
        <w:rPr>
          <w:rFonts w:eastAsia="Calibri"/>
          <w:szCs w:val="22"/>
        </w:rPr>
        <w:t>the provider and facility specialt</w:t>
      </w:r>
      <w:r w:rsidR="00FA0BEC">
        <w:rPr>
          <w:rFonts w:eastAsia="Calibri"/>
          <w:szCs w:val="22"/>
        </w:rPr>
        <w:t>y</w:t>
      </w:r>
      <w:r w:rsidR="00FA0BEC" w:rsidRPr="00FA5932">
        <w:rPr>
          <w:rFonts w:eastAsia="Calibri"/>
          <w:szCs w:val="22"/>
        </w:rPr>
        <w:t xml:space="preserve"> </w:t>
      </w:r>
      <w:r w:rsidR="00FA0BEC">
        <w:rPr>
          <w:rFonts w:eastAsia="Calibri"/>
          <w:szCs w:val="22"/>
        </w:rPr>
        <w:t xml:space="preserve">types </w:t>
      </w:r>
      <w:r w:rsidR="00FA0BEC" w:rsidRPr="00FA5932">
        <w:rPr>
          <w:rFonts w:eastAsia="Calibri"/>
          <w:szCs w:val="22"/>
        </w:rPr>
        <w:t xml:space="preserve">that </w:t>
      </w:r>
      <w:r w:rsidR="00B52E11">
        <w:rPr>
          <w:rFonts w:eastAsia="Calibri"/>
          <w:szCs w:val="22"/>
        </w:rPr>
        <w:t>organizations</w:t>
      </w:r>
      <w:r w:rsidR="00B52E11" w:rsidRPr="00FA5932">
        <w:rPr>
          <w:rFonts w:eastAsia="Calibri"/>
          <w:szCs w:val="22"/>
        </w:rPr>
        <w:t xml:space="preserve"> </w:t>
      </w:r>
      <w:r w:rsidR="00FA0BEC" w:rsidRPr="00FA5932">
        <w:rPr>
          <w:rFonts w:eastAsia="Calibri"/>
          <w:szCs w:val="22"/>
        </w:rPr>
        <w:t xml:space="preserve">are required to include </w:t>
      </w:r>
      <w:r w:rsidR="00FA0BEC">
        <w:rPr>
          <w:rFonts w:eastAsia="Calibri"/>
          <w:szCs w:val="22"/>
        </w:rPr>
        <w:t xml:space="preserve">in their networks and to submit </w:t>
      </w:r>
      <w:r w:rsidR="00FA0BEC" w:rsidRPr="00FA5932">
        <w:rPr>
          <w:rFonts w:eastAsia="Calibri"/>
          <w:szCs w:val="22"/>
        </w:rPr>
        <w:t>on their HSD tables with a</w:t>
      </w:r>
      <w:r w:rsidR="00B026B6">
        <w:rPr>
          <w:rFonts w:eastAsia="Calibri"/>
          <w:szCs w:val="22"/>
        </w:rPr>
        <w:t>n</w:t>
      </w:r>
      <w:r w:rsidR="00FA0BEC" w:rsidRPr="00FA5932">
        <w:rPr>
          <w:rFonts w:eastAsia="Calibri"/>
          <w:szCs w:val="22"/>
        </w:rPr>
        <w:t xml:space="preserve"> MA application</w:t>
      </w:r>
      <w:r w:rsidR="00FA0BEC">
        <w:rPr>
          <w:rFonts w:eastAsia="Calibri"/>
          <w:szCs w:val="22"/>
        </w:rPr>
        <w:t xml:space="preserve"> or in the Network Management Module in HPMS</w:t>
      </w:r>
      <w:r w:rsidR="00FA0BEC" w:rsidRPr="00FA5932">
        <w:rPr>
          <w:rFonts w:eastAsia="Calibri"/>
          <w:szCs w:val="22"/>
        </w:rPr>
        <w:t xml:space="preserve">.  </w:t>
      </w:r>
    </w:p>
    <w:p w14:paraId="5430DB21" w14:textId="77777777" w:rsidR="00FA0BEC" w:rsidRPr="00FA5932" w:rsidRDefault="00FA0BEC" w:rsidP="00FA0BEC">
      <w:pPr>
        <w:rPr>
          <w:rFonts w:eastAsia="Calibri"/>
          <w:szCs w:val="22"/>
        </w:rPr>
      </w:pPr>
    </w:p>
    <w:p w14:paraId="71535761" w14:textId="77777777" w:rsidR="00FA0BEC" w:rsidRPr="00833A96" w:rsidRDefault="00FA0BEC" w:rsidP="00FA0BEC">
      <w:pPr>
        <w:rPr>
          <w:rFonts w:eastAsia="Calibri"/>
          <w:b/>
          <w:szCs w:val="22"/>
        </w:rPr>
      </w:pPr>
      <w:r w:rsidRPr="00833A96">
        <w:rPr>
          <w:rFonts w:eastAsia="Calibri"/>
          <w:b/>
          <w:szCs w:val="22"/>
        </w:rPr>
        <w:t>Legal Basis:</w:t>
      </w:r>
    </w:p>
    <w:p w14:paraId="254C0EA3" w14:textId="77777777" w:rsidR="00FA0BEC" w:rsidRPr="00FA5932" w:rsidRDefault="00FA0BEC" w:rsidP="00FA0BEC">
      <w:pPr>
        <w:rPr>
          <w:rFonts w:eastAsia="Calibri"/>
          <w:szCs w:val="22"/>
        </w:rPr>
      </w:pPr>
    </w:p>
    <w:p w14:paraId="71DA5A5B" w14:textId="2136163A" w:rsidR="00FA0BEC" w:rsidRDefault="00AA75DB" w:rsidP="00FA0BEC">
      <w:pPr>
        <w:rPr>
          <w:rFonts w:eastAsia="Calibri"/>
          <w:szCs w:val="22"/>
        </w:rPr>
      </w:pPr>
      <w:r w:rsidRPr="00AA75DB">
        <w:rPr>
          <w:rFonts w:eastAsia="Calibri"/>
          <w:szCs w:val="22"/>
        </w:rPr>
        <w:t xml:space="preserve">All organizations, including </w:t>
      </w:r>
      <w:r w:rsidR="00B026B6">
        <w:rPr>
          <w:rFonts w:eastAsia="Calibri"/>
          <w:szCs w:val="22"/>
        </w:rPr>
        <w:t>MA</w:t>
      </w:r>
      <w:r w:rsidRPr="00AA75DB">
        <w:rPr>
          <w:rFonts w:eastAsia="Calibri"/>
          <w:szCs w:val="22"/>
        </w:rPr>
        <w:t xml:space="preserve"> organizations offering coordinated</w:t>
      </w:r>
      <w:r>
        <w:rPr>
          <w:rFonts w:eastAsia="Calibri"/>
          <w:szCs w:val="22"/>
        </w:rPr>
        <w:t xml:space="preserve"> </w:t>
      </w:r>
      <w:r w:rsidRPr="00AA75DB">
        <w:rPr>
          <w:rFonts w:eastAsia="Calibri"/>
          <w:szCs w:val="22"/>
        </w:rPr>
        <w:t>care plans, network-based private fee-for-service plans, and network-based</w:t>
      </w:r>
      <w:r>
        <w:rPr>
          <w:rFonts w:eastAsia="Calibri"/>
          <w:szCs w:val="22"/>
        </w:rPr>
        <w:t xml:space="preserve"> </w:t>
      </w:r>
      <w:r w:rsidRPr="00AA75DB">
        <w:rPr>
          <w:rFonts w:eastAsia="Calibri"/>
          <w:szCs w:val="22"/>
        </w:rPr>
        <w:t>medical savings account plans, as well as section 1876 cost organizations, must ensure</w:t>
      </w:r>
      <w:r>
        <w:rPr>
          <w:rFonts w:eastAsia="Calibri"/>
          <w:szCs w:val="22"/>
        </w:rPr>
        <w:t xml:space="preserve"> </w:t>
      </w:r>
      <w:r w:rsidRPr="00AA75DB">
        <w:rPr>
          <w:rFonts w:eastAsia="Calibri"/>
          <w:szCs w:val="22"/>
        </w:rPr>
        <w:t>access to essential services, in accordance with 42 CFR 417.414, 42 CFR 417.416, 42 CFR</w:t>
      </w:r>
      <w:r w:rsidR="00B026B6">
        <w:rPr>
          <w:rFonts w:eastAsia="Calibri"/>
          <w:szCs w:val="22"/>
        </w:rPr>
        <w:t xml:space="preserve"> </w:t>
      </w:r>
      <w:r w:rsidRPr="00AA75DB">
        <w:rPr>
          <w:rFonts w:eastAsia="Calibri"/>
          <w:szCs w:val="22"/>
        </w:rPr>
        <w:t xml:space="preserve">422.112(a)(1)(i) and 42 CFR 422.114(a)(3)(ii). </w:t>
      </w:r>
      <w:r>
        <w:rPr>
          <w:rFonts w:eastAsia="Calibri"/>
          <w:szCs w:val="22"/>
        </w:rPr>
        <w:t xml:space="preserve"> </w:t>
      </w:r>
      <w:r w:rsidRPr="00AA75DB">
        <w:rPr>
          <w:rFonts w:eastAsia="Calibri"/>
          <w:szCs w:val="22"/>
        </w:rPr>
        <w:t>Therefore, these organization types must provide</w:t>
      </w:r>
      <w:r>
        <w:rPr>
          <w:rFonts w:eastAsia="Calibri"/>
          <w:szCs w:val="22"/>
        </w:rPr>
        <w:t xml:space="preserve"> </w:t>
      </w:r>
      <w:r w:rsidRPr="00AA75DB">
        <w:rPr>
          <w:rFonts w:eastAsia="Calibri"/>
          <w:szCs w:val="22"/>
        </w:rPr>
        <w:t>enrollees healthcare services through a contracted network of providers that is consistent with the</w:t>
      </w:r>
      <w:r>
        <w:rPr>
          <w:rFonts w:eastAsia="Calibri"/>
          <w:szCs w:val="22"/>
        </w:rPr>
        <w:t xml:space="preserve"> </w:t>
      </w:r>
      <w:r w:rsidRPr="00AA75DB">
        <w:rPr>
          <w:rFonts w:eastAsia="Calibri"/>
          <w:szCs w:val="22"/>
        </w:rPr>
        <w:t>pattern of car</w:t>
      </w:r>
      <w:r w:rsidR="00B026B6">
        <w:rPr>
          <w:rFonts w:eastAsia="Calibri"/>
          <w:szCs w:val="22"/>
        </w:rPr>
        <w:t>e in the network service area (</w:t>
      </w:r>
      <w:r w:rsidRPr="00AA75DB">
        <w:rPr>
          <w:rFonts w:eastAsia="Calibri"/>
          <w:szCs w:val="22"/>
        </w:rPr>
        <w:t>42 CFR 422.112(a)).</w:t>
      </w:r>
    </w:p>
    <w:p w14:paraId="60C93869" w14:textId="77777777" w:rsidR="00FA0BEC" w:rsidRPr="00FA5932" w:rsidRDefault="00FA0BEC" w:rsidP="00FA0BEC">
      <w:pPr>
        <w:rPr>
          <w:rFonts w:eastAsia="Calibri"/>
          <w:szCs w:val="22"/>
        </w:rPr>
      </w:pPr>
    </w:p>
    <w:p w14:paraId="22860EF4" w14:textId="77777777" w:rsidR="00FA0BEC" w:rsidRPr="00833A96" w:rsidRDefault="00FA0BEC" w:rsidP="00FA0BEC">
      <w:pPr>
        <w:rPr>
          <w:b/>
        </w:rPr>
      </w:pPr>
      <w:r w:rsidRPr="00833A96">
        <w:rPr>
          <w:rFonts w:eastAsia="Calibri"/>
          <w:b/>
          <w:szCs w:val="22"/>
        </w:rPr>
        <w:t>Data Elements (at the contract level):</w:t>
      </w:r>
    </w:p>
    <w:p w14:paraId="0BF87552" w14:textId="77777777" w:rsidR="00FA0BEC" w:rsidRPr="00FA5932" w:rsidRDefault="00FA0BEC" w:rsidP="00FA0BEC">
      <w:pPr>
        <w:rPr>
          <w:rFonts w:eastAsia="Calibri"/>
          <w:szCs w:val="22"/>
        </w:rPr>
      </w:pP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7080"/>
      </w:tblGrid>
      <w:tr w:rsidR="00FA0BEC" w:rsidRPr="00FA5932" w14:paraId="745E27CA" w14:textId="77777777" w:rsidTr="00FA0BEC">
        <w:trPr>
          <w:tblHeader/>
        </w:trPr>
        <w:tc>
          <w:tcPr>
            <w:tcW w:w="1548" w:type="dxa"/>
            <w:shd w:val="clear" w:color="auto" w:fill="auto"/>
          </w:tcPr>
          <w:p w14:paraId="55B973A0" w14:textId="77777777" w:rsidR="00FA0BEC" w:rsidRPr="00FA5932" w:rsidRDefault="00FA0BEC" w:rsidP="00FA0BEC">
            <w:pPr>
              <w:jc w:val="center"/>
              <w:rPr>
                <w:b/>
                <w:bCs/>
              </w:rPr>
            </w:pPr>
            <w:r w:rsidRPr="00FA5932">
              <w:rPr>
                <w:b/>
                <w:bCs/>
              </w:rPr>
              <w:t>Element Number</w:t>
            </w:r>
          </w:p>
        </w:tc>
        <w:tc>
          <w:tcPr>
            <w:tcW w:w="7080" w:type="dxa"/>
            <w:shd w:val="clear" w:color="auto" w:fill="auto"/>
          </w:tcPr>
          <w:p w14:paraId="46959ABD" w14:textId="77777777" w:rsidR="00FA0BEC" w:rsidRPr="00FA5932" w:rsidRDefault="00FA0BEC" w:rsidP="00FA0BEC">
            <w:pPr>
              <w:jc w:val="center"/>
              <w:rPr>
                <w:b/>
                <w:bCs/>
              </w:rPr>
            </w:pPr>
            <w:r w:rsidRPr="00FA5932">
              <w:rPr>
                <w:b/>
                <w:bCs/>
              </w:rPr>
              <w:t xml:space="preserve">Data Elements for </w:t>
            </w:r>
            <w:r>
              <w:rPr>
                <w:b/>
                <w:bCs/>
              </w:rPr>
              <w:t>Mid-Year Network Changes</w:t>
            </w:r>
            <w:r w:rsidRPr="00FA5932">
              <w:rPr>
                <w:b/>
                <w:bCs/>
              </w:rPr>
              <w:t xml:space="preserve"> Measure</w:t>
            </w:r>
          </w:p>
        </w:tc>
      </w:tr>
      <w:tr w:rsidR="00FA0BEC" w:rsidRPr="00FA5932" w14:paraId="60546CFC" w14:textId="77777777" w:rsidTr="00FA0BEC">
        <w:tc>
          <w:tcPr>
            <w:tcW w:w="1548" w:type="dxa"/>
            <w:shd w:val="clear" w:color="auto" w:fill="auto"/>
          </w:tcPr>
          <w:p w14:paraId="5B295622" w14:textId="77777777" w:rsidR="00FA0BEC" w:rsidRPr="00FA5932" w:rsidRDefault="00FA0BEC" w:rsidP="00FA0BEC">
            <w:pPr>
              <w:jc w:val="center"/>
              <w:rPr>
                <w:bCs/>
              </w:rPr>
            </w:pPr>
            <w:r w:rsidRPr="00FA5932">
              <w:rPr>
                <w:bCs/>
              </w:rPr>
              <w:t>16.1</w:t>
            </w:r>
          </w:p>
        </w:tc>
        <w:tc>
          <w:tcPr>
            <w:tcW w:w="7080" w:type="dxa"/>
            <w:shd w:val="clear" w:color="auto" w:fill="auto"/>
          </w:tcPr>
          <w:p w14:paraId="5BDA49F7" w14:textId="77777777" w:rsidR="00FA0BEC" w:rsidRPr="00FA5932" w:rsidRDefault="00FA0BEC" w:rsidP="00FA0BEC">
            <w:pPr>
              <w:jc w:val="center"/>
              <w:rPr>
                <w:bCs/>
              </w:rPr>
            </w:pPr>
            <w:r w:rsidRPr="00FA5932">
              <w:rPr>
                <w:bCs/>
              </w:rPr>
              <w:t>Total number of PCPs in network on first day of reporting period, including the following PCP types - General Practice, Family Practice, Internal Medicine, Geriatrics, Primary Care-Physician Assistants, Primary Care-Nurse Practitioners</w:t>
            </w:r>
          </w:p>
        </w:tc>
      </w:tr>
      <w:tr w:rsidR="00FA0BEC" w:rsidRPr="00FA5932" w14:paraId="059AC4A4" w14:textId="77777777" w:rsidTr="00FA0BEC">
        <w:tc>
          <w:tcPr>
            <w:tcW w:w="1548" w:type="dxa"/>
            <w:shd w:val="clear" w:color="auto" w:fill="auto"/>
          </w:tcPr>
          <w:p w14:paraId="21E5DABD" w14:textId="77777777" w:rsidR="00FA0BEC" w:rsidRPr="00FA5932" w:rsidRDefault="00FA0BEC" w:rsidP="00FA0BEC">
            <w:pPr>
              <w:jc w:val="center"/>
              <w:rPr>
                <w:bCs/>
              </w:rPr>
            </w:pPr>
            <w:r w:rsidRPr="00FA5932">
              <w:rPr>
                <w:bCs/>
              </w:rPr>
              <w:t>16.2</w:t>
            </w:r>
          </w:p>
        </w:tc>
        <w:tc>
          <w:tcPr>
            <w:tcW w:w="7080" w:type="dxa"/>
            <w:shd w:val="clear" w:color="auto" w:fill="auto"/>
          </w:tcPr>
          <w:p w14:paraId="0A053A50" w14:textId="77777777" w:rsidR="00FA0BEC" w:rsidRPr="00FA5932" w:rsidRDefault="00FA0BEC" w:rsidP="00FA0BEC">
            <w:pPr>
              <w:jc w:val="center"/>
              <w:rPr>
                <w:bCs/>
              </w:rPr>
            </w:pPr>
            <w:r w:rsidRPr="00FA5932">
              <w:rPr>
                <w:bCs/>
              </w:rPr>
              <w:t>Total number of PCPs in network terminated during reporting period, including the following PCP types - General Practice, Family Practice, Internal Medicine, Geriatrics, Primary Care-Physician Assistants, Primary Care-Nurse Practitioners</w:t>
            </w:r>
          </w:p>
        </w:tc>
      </w:tr>
      <w:tr w:rsidR="00FA0BEC" w:rsidRPr="00FA5932" w14:paraId="06459DFA" w14:textId="77777777" w:rsidTr="00FA0BEC">
        <w:tc>
          <w:tcPr>
            <w:tcW w:w="1548" w:type="dxa"/>
            <w:shd w:val="clear" w:color="auto" w:fill="auto"/>
          </w:tcPr>
          <w:p w14:paraId="1D767630" w14:textId="77777777" w:rsidR="00FA0BEC" w:rsidRPr="00FA5932" w:rsidRDefault="00FA0BEC" w:rsidP="00FA0BEC">
            <w:pPr>
              <w:jc w:val="center"/>
              <w:rPr>
                <w:bCs/>
              </w:rPr>
            </w:pPr>
            <w:r w:rsidRPr="00FA5932">
              <w:rPr>
                <w:bCs/>
              </w:rPr>
              <w:t>16.3</w:t>
            </w:r>
          </w:p>
        </w:tc>
        <w:tc>
          <w:tcPr>
            <w:tcW w:w="7080" w:type="dxa"/>
            <w:shd w:val="clear" w:color="auto" w:fill="auto"/>
          </w:tcPr>
          <w:p w14:paraId="64A0C229" w14:textId="77777777" w:rsidR="00FA0BEC" w:rsidRPr="00FA5932" w:rsidRDefault="00FA0BEC" w:rsidP="00FA0BEC">
            <w:pPr>
              <w:jc w:val="center"/>
              <w:rPr>
                <w:bCs/>
              </w:rPr>
            </w:pPr>
            <w:r w:rsidRPr="00FA5932">
              <w:rPr>
                <w:bCs/>
              </w:rPr>
              <w:t>Total number of PCPs added to network during reporting period, including the following PCP types - General Practice, Family Practice, Internal Medicine, Geriatrics, Primary Care-Physician Assistants, Primary Care-Nurse Practitioners</w:t>
            </w:r>
          </w:p>
        </w:tc>
      </w:tr>
      <w:tr w:rsidR="00FA0BEC" w:rsidRPr="00FA5932" w14:paraId="75F72C0B" w14:textId="77777777" w:rsidTr="00FA0BEC">
        <w:tc>
          <w:tcPr>
            <w:tcW w:w="1548" w:type="dxa"/>
            <w:shd w:val="clear" w:color="auto" w:fill="auto"/>
          </w:tcPr>
          <w:p w14:paraId="37CA35B2" w14:textId="77777777" w:rsidR="00FA0BEC" w:rsidRPr="00FA5932" w:rsidRDefault="00FA0BEC" w:rsidP="00FA0BEC">
            <w:pPr>
              <w:jc w:val="center"/>
              <w:rPr>
                <w:bCs/>
              </w:rPr>
            </w:pPr>
            <w:r w:rsidRPr="00FA5932">
              <w:rPr>
                <w:bCs/>
              </w:rPr>
              <w:t>16.4</w:t>
            </w:r>
          </w:p>
        </w:tc>
        <w:tc>
          <w:tcPr>
            <w:tcW w:w="7080" w:type="dxa"/>
            <w:shd w:val="clear" w:color="auto" w:fill="auto"/>
          </w:tcPr>
          <w:p w14:paraId="637AB824" w14:textId="77777777" w:rsidR="00FA0BEC" w:rsidRPr="00FA5932" w:rsidRDefault="00FA0BEC" w:rsidP="00FA0BEC">
            <w:pPr>
              <w:jc w:val="center"/>
              <w:rPr>
                <w:bCs/>
              </w:rPr>
            </w:pPr>
            <w:r w:rsidRPr="00FA5932">
              <w:rPr>
                <w:bCs/>
              </w:rPr>
              <w:t>Total number of PCPs in network on last day of reporting period, including the following PCP types - General Practice, Family Practice, Internal Medicine, Geriatrics, Primary Care-Physician Assistants, Primary Care-Nurse Practitioners</w:t>
            </w:r>
          </w:p>
        </w:tc>
      </w:tr>
      <w:tr w:rsidR="00FA0BEC" w:rsidRPr="00FA5932" w14:paraId="37A99F5F" w14:textId="77777777" w:rsidTr="00FA0BEC">
        <w:tc>
          <w:tcPr>
            <w:tcW w:w="1548" w:type="dxa"/>
            <w:shd w:val="clear" w:color="auto" w:fill="auto"/>
          </w:tcPr>
          <w:p w14:paraId="2661A293" w14:textId="77777777" w:rsidR="00FA0BEC" w:rsidRPr="00FA5932" w:rsidRDefault="00FA0BEC" w:rsidP="00FA0BEC">
            <w:pPr>
              <w:jc w:val="center"/>
              <w:rPr>
                <w:bCs/>
              </w:rPr>
            </w:pPr>
            <w:r w:rsidRPr="00FA5932">
              <w:rPr>
                <w:bCs/>
              </w:rPr>
              <w:t>16.5-16.13</w:t>
            </w:r>
          </w:p>
        </w:tc>
        <w:tc>
          <w:tcPr>
            <w:tcW w:w="7080" w:type="dxa"/>
            <w:shd w:val="clear" w:color="auto" w:fill="auto"/>
          </w:tcPr>
          <w:p w14:paraId="0AA6AF8E" w14:textId="77777777" w:rsidR="00FA0BEC" w:rsidRPr="00FA5932" w:rsidRDefault="00FA0BEC" w:rsidP="00FA0BEC">
            <w:pPr>
              <w:jc w:val="center"/>
              <w:rPr>
                <w:bCs/>
              </w:rPr>
            </w:pPr>
            <w:r w:rsidRPr="00FA5932">
              <w:rPr>
                <w:bCs/>
              </w:rPr>
              <w:t xml:space="preserve">Number of specialists/facilities in network on first day of reporting period by specialist/facility type </w:t>
            </w:r>
            <w:r>
              <w:rPr>
                <w:bCs/>
              </w:rPr>
              <w:t xml:space="preserve">- </w:t>
            </w:r>
            <w:r w:rsidRPr="00FA5932">
              <w:rPr>
                <w:bCs/>
              </w:rPr>
              <w:t>Cardiologist (16.5), Endocrinologist (16.6), Oncologist (16.7), Ophthalmologist (16.8), Pulmonologist (16.9), Rheumatologist (16.10), Urologist (16.11), Acute Inpatient Hospitals (16.12), Skilled Nursing Facilities (16.13)</w:t>
            </w:r>
          </w:p>
        </w:tc>
      </w:tr>
      <w:tr w:rsidR="00FA0BEC" w:rsidRPr="00FA5932" w14:paraId="3485E0C1" w14:textId="77777777" w:rsidTr="00FA0BEC">
        <w:tc>
          <w:tcPr>
            <w:tcW w:w="1548" w:type="dxa"/>
            <w:shd w:val="clear" w:color="auto" w:fill="auto"/>
          </w:tcPr>
          <w:p w14:paraId="0153CF9D" w14:textId="77777777" w:rsidR="00FA0BEC" w:rsidRPr="00FA5932" w:rsidRDefault="00FA0BEC" w:rsidP="00FA0BEC">
            <w:pPr>
              <w:jc w:val="center"/>
              <w:rPr>
                <w:bCs/>
              </w:rPr>
            </w:pPr>
            <w:r w:rsidRPr="00FA5932">
              <w:rPr>
                <w:bCs/>
              </w:rPr>
              <w:t>16.14-16.22</w:t>
            </w:r>
          </w:p>
        </w:tc>
        <w:tc>
          <w:tcPr>
            <w:tcW w:w="7080" w:type="dxa"/>
            <w:shd w:val="clear" w:color="auto" w:fill="auto"/>
          </w:tcPr>
          <w:p w14:paraId="0750742F" w14:textId="77777777" w:rsidR="00FA0BEC" w:rsidRPr="00FA5932" w:rsidRDefault="00FA0BEC" w:rsidP="00FA0BEC">
            <w:pPr>
              <w:jc w:val="center"/>
              <w:rPr>
                <w:bCs/>
              </w:rPr>
            </w:pPr>
            <w:r w:rsidRPr="00FA5932">
              <w:rPr>
                <w:bCs/>
              </w:rPr>
              <w:t>Number of specialists/facilities in network terminated during reporting period by specialist/facility type</w:t>
            </w:r>
            <w:r>
              <w:rPr>
                <w:bCs/>
              </w:rPr>
              <w:t xml:space="preserve"> - </w:t>
            </w:r>
            <w:r w:rsidRPr="00FA5932">
              <w:rPr>
                <w:bCs/>
              </w:rPr>
              <w:t>Cardiologist (16.14), Endocrinologist (16.15), Oncologist (16.16), Ophthalmologist (16.17), Pulmonologist (16.18), Rheumatologist (16.19), Urologist (16.20), Acute Inpatient Hospitals (16.21), Skilled Nursing Facilities (16.22)</w:t>
            </w:r>
          </w:p>
        </w:tc>
      </w:tr>
      <w:tr w:rsidR="00FA0BEC" w:rsidRPr="00FA5932" w14:paraId="1C10C9B5" w14:textId="77777777" w:rsidTr="00FA0BEC">
        <w:tc>
          <w:tcPr>
            <w:tcW w:w="1548" w:type="dxa"/>
            <w:shd w:val="clear" w:color="auto" w:fill="auto"/>
          </w:tcPr>
          <w:p w14:paraId="0F0C1B81" w14:textId="77777777" w:rsidR="00FA0BEC" w:rsidRPr="00FA5932" w:rsidRDefault="00FA0BEC" w:rsidP="00FA0BEC">
            <w:pPr>
              <w:jc w:val="center"/>
              <w:rPr>
                <w:bCs/>
              </w:rPr>
            </w:pPr>
            <w:r w:rsidRPr="00FA5932">
              <w:rPr>
                <w:bCs/>
              </w:rPr>
              <w:t>16.23-16.31</w:t>
            </w:r>
          </w:p>
        </w:tc>
        <w:tc>
          <w:tcPr>
            <w:tcW w:w="7080" w:type="dxa"/>
            <w:shd w:val="clear" w:color="auto" w:fill="auto"/>
          </w:tcPr>
          <w:p w14:paraId="5E87D55A" w14:textId="77777777" w:rsidR="00FA0BEC" w:rsidRPr="00FA5932" w:rsidRDefault="00FA0BEC" w:rsidP="00FA0BEC">
            <w:pPr>
              <w:jc w:val="center"/>
              <w:rPr>
                <w:bCs/>
              </w:rPr>
            </w:pPr>
            <w:r w:rsidRPr="00FA5932">
              <w:rPr>
                <w:bCs/>
              </w:rPr>
              <w:t xml:space="preserve">Number of specialists/facilities added </w:t>
            </w:r>
            <w:r>
              <w:rPr>
                <w:bCs/>
              </w:rPr>
              <w:t xml:space="preserve">to network </w:t>
            </w:r>
            <w:r w:rsidRPr="00FA5932">
              <w:rPr>
                <w:bCs/>
              </w:rPr>
              <w:t xml:space="preserve">during reporting period by specialist/facility type - Cardiologist (16.23), </w:t>
            </w:r>
            <w:r w:rsidRPr="00FA5932">
              <w:rPr>
                <w:bCs/>
              </w:rPr>
              <w:lastRenderedPageBreak/>
              <w:t>Endocrinologist (16.24), Oncologist (16.25), Ophthalmologist (16.26), Pulmonologist (16.27), Rheumatologist (16.28), Urologist (16.29), Acute Inpatient Hospitals (16.30), Skilled Nursing Facilities (16.31)</w:t>
            </w:r>
          </w:p>
        </w:tc>
      </w:tr>
      <w:tr w:rsidR="00FA0BEC" w:rsidRPr="00FA5932" w14:paraId="4C759D80" w14:textId="77777777" w:rsidTr="00FA0BEC">
        <w:tc>
          <w:tcPr>
            <w:tcW w:w="1548" w:type="dxa"/>
            <w:shd w:val="clear" w:color="auto" w:fill="auto"/>
          </w:tcPr>
          <w:p w14:paraId="4B16E50B" w14:textId="77777777" w:rsidR="00FA0BEC" w:rsidRPr="00FA5932" w:rsidRDefault="00FA0BEC" w:rsidP="00FA0BEC">
            <w:pPr>
              <w:jc w:val="center"/>
              <w:rPr>
                <w:bCs/>
              </w:rPr>
            </w:pPr>
            <w:r w:rsidRPr="00FA5932">
              <w:rPr>
                <w:bCs/>
              </w:rPr>
              <w:lastRenderedPageBreak/>
              <w:t>16.32-16.40</w:t>
            </w:r>
          </w:p>
        </w:tc>
        <w:tc>
          <w:tcPr>
            <w:tcW w:w="7080" w:type="dxa"/>
            <w:shd w:val="clear" w:color="auto" w:fill="auto"/>
          </w:tcPr>
          <w:p w14:paraId="485DAAFE" w14:textId="77777777" w:rsidR="00FA0BEC" w:rsidRPr="00FA5932" w:rsidRDefault="00FA0BEC" w:rsidP="00FA0BEC">
            <w:pPr>
              <w:jc w:val="center"/>
              <w:rPr>
                <w:bCs/>
              </w:rPr>
            </w:pPr>
            <w:r w:rsidRPr="00FA5932">
              <w:rPr>
                <w:bCs/>
              </w:rPr>
              <w:t>Number of specialists in network on last day of reporting period by specialist/facility type</w:t>
            </w:r>
            <w:r>
              <w:rPr>
                <w:bCs/>
              </w:rPr>
              <w:t xml:space="preserve"> </w:t>
            </w:r>
            <w:r w:rsidRPr="00FA5932">
              <w:rPr>
                <w:bCs/>
              </w:rPr>
              <w:t>- Cardiologist (16.32), Endocrinologist (16.33), Oncologist (16.34), Ophthalmologist (16.35), Pulmonologist (16.36), Rheumatologist (16.37), Urologist (16.38), Acute Inpatient Hospitals (16.39), Skilled Nursing Facilities (16.40)</w:t>
            </w:r>
          </w:p>
        </w:tc>
      </w:tr>
      <w:tr w:rsidR="00FA0BEC" w:rsidRPr="00FA5932" w14:paraId="77B628A0" w14:textId="77777777" w:rsidTr="00FA0BEC">
        <w:tc>
          <w:tcPr>
            <w:tcW w:w="1548" w:type="dxa"/>
            <w:shd w:val="clear" w:color="auto" w:fill="auto"/>
          </w:tcPr>
          <w:p w14:paraId="57281F6D" w14:textId="77777777" w:rsidR="00FA0BEC" w:rsidRPr="00FA5932" w:rsidRDefault="00FA0BEC" w:rsidP="00FA0BEC">
            <w:pPr>
              <w:jc w:val="center"/>
              <w:rPr>
                <w:bCs/>
              </w:rPr>
            </w:pPr>
            <w:r w:rsidRPr="00FA5932">
              <w:rPr>
                <w:bCs/>
              </w:rPr>
              <w:t>16.41</w:t>
            </w:r>
          </w:p>
        </w:tc>
        <w:tc>
          <w:tcPr>
            <w:tcW w:w="7080" w:type="dxa"/>
            <w:shd w:val="clear" w:color="auto" w:fill="auto"/>
          </w:tcPr>
          <w:p w14:paraId="394A6FF7" w14:textId="77777777" w:rsidR="00FA0BEC" w:rsidRPr="00FA5932" w:rsidRDefault="00FA0BEC" w:rsidP="00FA0BEC">
            <w:pPr>
              <w:jc w:val="center"/>
              <w:rPr>
                <w:bCs/>
              </w:rPr>
            </w:pPr>
            <w:r w:rsidRPr="00FA5932">
              <w:rPr>
                <w:bCs/>
              </w:rPr>
              <w:t xml:space="preserve">Total number of enrollees on first day of reporting period </w:t>
            </w:r>
          </w:p>
        </w:tc>
      </w:tr>
      <w:tr w:rsidR="00FA0BEC" w:rsidRPr="00FA5932" w14:paraId="056B08F6" w14:textId="77777777" w:rsidTr="00FA0BEC">
        <w:tc>
          <w:tcPr>
            <w:tcW w:w="1548" w:type="dxa"/>
            <w:shd w:val="clear" w:color="auto" w:fill="auto"/>
          </w:tcPr>
          <w:p w14:paraId="2241706C" w14:textId="77777777" w:rsidR="00FA0BEC" w:rsidRPr="00FA5932" w:rsidRDefault="00FA0BEC" w:rsidP="00FA0BEC">
            <w:pPr>
              <w:jc w:val="center"/>
              <w:rPr>
                <w:bCs/>
              </w:rPr>
            </w:pPr>
            <w:r w:rsidRPr="00FA5932">
              <w:rPr>
                <w:bCs/>
              </w:rPr>
              <w:t>16.42</w:t>
            </w:r>
          </w:p>
        </w:tc>
        <w:tc>
          <w:tcPr>
            <w:tcW w:w="7080" w:type="dxa"/>
            <w:shd w:val="clear" w:color="auto" w:fill="auto"/>
          </w:tcPr>
          <w:p w14:paraId="4382A119" w14:textId="77777777" w:rsidR="00FA0BEC" w:rsidRPr="00FA5932" w:rsidRDefault="00FA0BEC" w:rsidP="00FA0BEC">
            <w:pPr>
              <w:jc w:val="center"/>
              <w:rPr>
                <w:bCs/>
              </w:rPr>
            </w:pPr>
            <w:r w:rsidRPr="00FA5932">
              <w:rPr>
                <w:bCs/>
              </w:rPr>
              <w:t>Total number of enrollees affected by termination of PCPs during reporting period</w:t>
            </w:r>
          </w:p>
        </w:tc>
      </w:tr>
      <w:tr w:rsidR="00FA0BEC" w:rsidRPr="00FA5932" w14:paraId="0156D623" w14:textId="77777777" w:rsidTr="00FA0BEC">
        <w:tc>
          <w:tcPr>
            <w:tcW w:w="1548" w:type="dxa"/>
            <w:shd w:val="clear" w:color="auto" w:fill="auto"/>
          </w:tcPr>
          <w:p w14:paraId="764386C7" w14:textId="77777777" w:rsidR="00FA0BEC" w:rsidRPr="00FA5932" w:rsidRDefault="00FA0BEC" w:rsidP="00FA0BEC">
            <w:pPr>
              <w:jc w:val="center"/>
              <w:rPr>
                <w:bCs/>
              </w:rPr>
            </w:pPr>
            <w:r w:rsidRPr="00FA5932">
              <w:rPr>
                <w:bCs/>
              </w:rPr>
              <w:t>16.43-16.51</w:t>
            </w:r>
          </w:p>
        </w:tc>
        <w:tc>
          <w:tcPr>
            <w:tcW w:w="7080" w:type="dxa"/>
            <w:shd w:val="clear" w:color="auto" w:fill="auto"/>
          </w:tcPr>
          <w:p w14:paraId="17967017" w14:textId="77777777" w:rsidR="00FA0BEC" w:rsidRPr="00FA5932" w:rsidRDefault="00FA0BEC" w:rsidP="00FA0BEC">
            <w:pPr>
              <w:jc w:val="center"/>
              <w:rPr>
                <w:bCs/>
              </w:rPr>
            </w:pPr>
            <w:r w:rsidRPr="00FA5932">
              <w:rPr>
                <w:bCs/>
              </w:rPr>
              <w:t>Total number of enrollees affected by termination of specialists/facilities by specialist/facility type during reporting period- Cardiologist (16.43), Endocrinologist (16.44), Oncologist (16.45), Ophthalmologist (16.46), Pulmonologist (16.47), Rheumatologist (16.48), Urologist (16.49), Acute Inpatient Hospitals (16.50), Skilled Nursing Facilities (16.51)</w:t>
            </w:r>
          </w:p>
        </w:tc>
      </w:tr>
      <w:tr w:rsidR="00FA0BEC" w:rsidRPr="00FA5932" w14:paraId="7BAE1D2F" w14:textId="77777777" w:rsidTr="00FA0BEC">
        <w:tc>
          <w:tcPr>
            <w:tcW w:w="1548" w:type="dxa"/>
            <w:shd w:val="clear" w:color="auto" w:fill="auto"/>
          </w:tcPr>
          <w:p w14:paraId="7B619D88" w14:textId="77777777" w:rsidR="00FA0BEC" w:rsidRPr="00FA5932" w:rsidRDefault="00FA0BEC" w:rsidP="00FA0BEC">
            <w:pPr>
              <w:jc w:val="center"/>
              <w:rPr>
                <w:bCs/>
              </w:rPr>
            </w:pPr>
            <w:r w:rsidRPr="00FA5932">
              <w:rPr>
                <w:bCs/>
              </w:rPr>
              <w:t>16.52</w:t>
            </w:r>
          </w:p>
        </w:tc>
        <w:tc>
          <w:tcPr>
            <w:tcW w:w="7080" w:type="dxa"/>
            <w:shd w:val="clear" w:color="auto" w:fill="auto"/>
          </w:tcPr>
          <w:p w14:paraId="6AE559AC" w14:textId="77777777" w:rsidR="00FA0BEC" w:rsidRPr="00FA5932" w:rsidRDefault="00FA0BEC" w:rsidP="00FA0BEC">
            <w:pPr>
              <w:jc w:val="center"/>
              <w:rPr>
                <w:bCs/>
              </w:rPr>
            </w:pPr>
            <w:r w:rsidRPr="00FA5932">
              <w:rPr>
                <w:bCs/>
              </w:rPr>
              <w:t>Total number of enrollees on last day of reporting period</w:t>
            </w:r>
          </w:p>
        </w:tc>
      </w:tr>
    </w:tbl>
    <w:p w14:paraId="61A27E19" w14:textId="77777777" w:rsidR="00FA0BEC" w:rsidRPr="00FA5932" w:rsidRDefault="00FA0BEC" w:rsidP="00FA0BEC">
      <w:pPr>
        <w:ind w:left="720"/>
      </w:pPr>
    </w:p>
    <w:p w14:paraId="31CC5FD2" w14:textId="77777777" w:rsidR="00FA0BEC" w:rsidRPr="00FA5932" w:rsidRDefault="00FA0BEC" w:rsidP="00FA0BEC">
      <w:r w:rsidRPr="00FA5932">
        <w:br w:type="page"/>
      </w:r>
    </w:p>
    <w:p w14:paraId="48E0DE02" w14:textId="18909F9D" w:rsidR="00047FAE" w:rsidRPr="00FA5932" w:rsidRDefault="00047FAE" w:rsidP="00047FAE">
      <w:pPr>
        <w:pStyle w:val="Heading3"/>
        <w:rPr>
          <w:caps/>
        </w:rPr>
      </w:pPr>
      <w:bookmarkStart w:id="62" w:name="_Toc475956112"/>
      <w:r w:rsidRPr="00FA5932">
        <w:rPr>
          <w:rFonts w:ascii="Times New Roman" w:hAnsi="Times New Roman" w:cs="Times New Roman"/>
          <w:caps/>
          <w:sz w:val="24"/>
        </w:rPr>
        <w:lastRenderedPageBreak/>
        <w:t>17. PAYMENTS TO PROVIDERS</w:t>
      </w:r>
      <w:bookmarkEnd w:id="62"/>
    </w:p>
    <w:p w14:paraId="75B1D1F5" w14:textId="77777777" w:rsidR="00047FAE" w:rsidRPr="00FA5932" w:rsidRDefault="00047FAE" w:rsidP="00047FAE"/>
    <w:tbl>
      <w:tblPr>
        <w:tblW w:w="8865" w:type="dxa"/>
        <w:tblCellMar>
          <w:left w:w="0" w:type="dxa"/>
          <w:right w:w="0" w:type="dxa"/>
        </w:tblCellMar>
        <w:tblLook w:val="04A0" w:firstRow="1" w:lastRow="0" w:firstColumn="1" w:lastColumn="0" w:noHBand="0" w:noVBand="1"/>
      </w:tblPr>
      <w:tblGrid>
        <w:gridCol w:w="1903"/>
        <w:gridCol w:w="2515"/>
        <w:gridCol w:w="1080"/>
        <w:gridCol w:w="1096"/>
        <w:gridCol w:w="2271"/>
      </w:tblGrid>
      <w:tr w:rsidR="00047FAE" w:rsidRPr="00FA5932" w14:paraId="5EF86809" w14:textId="77777777" w:rsidTr="00833A96">
        <w:tc>
          <w:tcPr>
            <w:tcW w:w="190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1D09F09" w14:textId="77777777" w:rsidR="00047FAE" w:rsidRPr="00FA5932" w:rsidRDefault="00047FAE" w:rsidP="00FA0BEC">
            <w:pPr>
              <w:autoSpaceDE w:val="0"/>
              <w:autoSpaceDN w:val="0"/>
              <w:jc w:val="center"/>
              <w:rPr>
                <w:rFonts w:eastAsia="Calibri"/>
                <w:b/>
                <w:bCs/>
              </w:rPr>
            </w:pPr>
            <w:r w:rsidRPr="00FA5932">
              <w:rPr>
                <w:b/>
                <w:bCs/>
              </w:rPr>
              <w:t>Reporting section</w:t>
            </w:r>
          </w:p>
        </w:tc>
        <w:tc>
          <w:tcPr>
            <w:tcW w:w="251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B71FFFF" w14:textId="77777777" w:rsidR="00047FAE" w:rsidRPr="00FA5932" w:rsidRDefault="00047FAE" w:rsidP="00FA0BEC">
            <w:pPr>
              <w:autoSpaceDE w:val="0"/>
              <w:autoSpaceDN w:val="0"/>
              <w:jc w:val="center"/>
              <w:rPr>
                <w:rFonts w:eastAsia="Calibri"/>
                <w:b/>
                <w:bCs/>
              </w:rPr>
            </w:pPr>
            <w:r w:rsidRPr="00FA5932">
              <w:rPr>
                <w:b/>
                <w:bCs/>
              </w:rPr>
              <w:t>Organization Types Required to Report</w:t>
            </w: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F76D0C5" w14:textId="77777777" w:rsidR="00047FAE" w:rsidRPr="00FA5932" w:rsidRDefault="00047FAE" w:rsidP="00FA0BEC">
            <w:pPr>
              <w:autoSpaceDE w:val="0"/>
              <w:autoSpaceDN w:val="0"/>
              <w:jc w:val="center"/>
              <w:rPr>
                <w:rFonts w:eastAsia="Calibri"/>
                <w:b/>
                <w:bCs/>
              </w:rPr>
            </w:pPr>
            <w:r w:rsidRPr="00FA5932">
              <w:rPr>
                <w:b/>
                <w:bCs/>
              </w:rPr>
              <w:t>Report Freq./</w:t>
            </w:r>
          </w:p>
          <w:p w14:paraId="6C340E93" w14:textId="77777777" w:rsidR="00047FAE" w:rsidRPr="00FA5932" w:rsidRDefault="00047FAE" w:rsidP="00FA0BEC">
            <w:pPr>
              <w:autoSpaceDE w:val="0"/>
              <w:autoSpaceDN w:val="0"/>
              <w:jc w:val="center"/>
              <w:rPr>
                <w:rFonts w:eastAsia="Calibri"/>
                <w:b/>
                <w:bCs/>
              </w:rPr>
            </w:pPr>
            <w:r w:rsidRPr="00FA5932">
              <w:rPr>
                <w:b/>
                <w:bCs/>
              </w:rPr>
              <w:t>Level</w:t>
            </w:r>
          </w:p>
        </w:tc>
        <w:tc>
          <w:tcPr>
            <w:tcW w:w="109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42004A8" w14:textId="77777777" w:rsidR="00047FAE" w:rsidRPr="00FA5932" w:rsidRDefault="00047FAE" w:rsidP="00FA0BEC">
            <w:pPr>
              <w:autoSpaceDE w:val="0"/>
              <w:autoSpaceDN w:val="0"/>
              <w:jc w:val="center"/>
              <w:rPr>
                <w:rFonts w:eastAsia="Calibri"/>
                <w:b/>
                <w:bCs/>
              </w:rPr>
            </w:pPr>
            <w:r w:rsidRPr="00FA5932">
              <w:rPr>
                <w:b/>
                <w:bCs/>
              </w:rPr>
              <w:t>Report</w:t>
            </w:r>
          </w:p>
          <w:p w14:paraId="7B5F6031" w14:textId="77777777" w:rsidR="00047FAE" w:rsidRPr="00FA5932" w:rsidRDefault="00047FAE" w:rsidP="00FA0BEC">
            <w:pPr>
              <w:autoSpaceDE w:val="0"/>
              <w:autoSpaceDN w:val="0"/>
              <w:jc w:val="center"/>
              <w:rPr>
                <w:rFonts w:eastAsia="Calibri"/>
                <w:b/>
                <w:bCs/>
              </w:rPr>
            </w:pPr>
            <w:r w:rsidRPr="00FA5932">
              <w:rPr>
                <w:b/>
                <w:bCs/>
              </w:rPr>
              <w:t>Period (s)</w:t>
            </w:r>
          </w:p>
        </w:tc>
        <w:tc>
          <w:tcPr>
            <w:tcW w:w="22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4FA3CBA" w14:textId="77777777" w:rsidR="00047FAE" w:rsidRPr="00FA5932" w:rsidRDefault="00047FAE" w:rsidP="00FA0BEC">
            <w:pPr>
              <w:autoSpaceDE w:val="0"/>
              <w:autoSpaceDN w:val="0"/>
              <w:jc w:val="center"/>
              <w:rPr>
                <w:rFonts w:eastAsia="Calibri"/>
                <w:b/>
                <w:bCs/>
              </w:rPr>
            </w:pPr>
            <w:r w:rsidRPr="00FA5932">
              <w:rPr>
                <w:b/>
                <w:bCs/>
              </w:rPr>
              <w:t>Data Due date (s)</w:t>
            </w:r>
          </w:p>
        </w:tc>
      </w:tr>
      <w:tr w:rsidR="00047FAE" w:rsidRPr="00FA5932" w14:paraId="3AFA62A1" w14:textId="77777777" w:rsidTr="00FA0BEC">
        <w:tc>
          <w:tcPr>
            <w:tcW w:w="19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C1182" w14:textId="77777777" w:rsidR="00047FAE" w:rsidRPr="00FA5932" w:rsidRDefault="00047FAE" w:rsidP="00FA0BEC">
            <w:pPr>
              <w:autoSpaceDE w:val="0"/>
              <w:autoSpaceDN w:val="0"/>
              <w:rPr>
                <w:rFonts w:eastAsia="Calibri"/>
              </w:rPr>
            </w:pPr>
            <w:r w:rsidRPr="00FA5932">
              <w:t>17. Payments to Providers</w:t>
            </w:r>
          </w:p>
        </w:tc>
        <w:tc>
          <w:tcPr>
            <w:tcW w:w="2515" w:type="dxa"/>
            <w:tcBorders>
              <w:top w:val="nil"/>
              <w:left w:val="nil"/>
              <w:bottom w:val="single" w:sz="8" w:space="0" w:color="auto"/>
              <w:right w:val="single" w:sz="8" w:space="0" w:color="auto"/>
            </w:tcBorders>
            <w:tcMar>
              <w:top w:w="0" w:type="dxa"/>
              <w:left w:w="108" w:type="dxa"/>
              <w:bottom w:w="0" w:type="dxa"/>
              <w:right w:w="108" w:type="dxa"/>
            </w:tcMar>
          </w:tcPr>
          <w:p w14:paraId="1BF8AC2E" w14:textId="77777777" w:rsidR="00047FAE" w:rsidRPr="00FA5932" w:rsidRDefault="00047FAE" w:rsidP="00FA0BEC">
            <w:pPr>
              <w:autoSpaceDE w:val="0"/>
              <w:autoSpaceDN w:val="0"/>
            </w:pPr>
            <w:r w:rsidRPr="00FA5932">
              <w:t>01 – Local CCP</w:t>
            </w:r>
          </w:p>
          <w:p w14:paraId="2DF20F3E" w14:textId="77777777" w:rsidR="00047FAE" w:rsidRPr="00FA5932" w:rsidRDefault="00047FAE" w:rsidP="00FA0BEC">
            <w:pPr>
              <w:autoSpaceDE w:val="0"/>
              <w:autoSpaceDN w:val="0"/>
              <w:rPr>
                <w:sz w:val="22"/>
                <w:szCs w:val="22"/>
              </w:rPr>
            </w:pPr>
            <w:r w:rsidRPr="00FA5932">
              <w:t>11 – Regional CCP</w:t>
            </w:r>
          </w:p>
          <w:p w14:paraId="3A3F8FA5" w14:textId="77777777" w:rsidR="00047FAE" w:rsidRPr="00FA5932" w:rsidRDefault="00047FAE" w:rsidP="00FA0BEC">
            <w:pPr>
              <w:autoSpaceDE w:val="0"/>
              <w:autoSpaceDN w:val="0"/>
            </w:pPr>
            <w:r w:rsidRPr="00FA5932">
              <w:t>15 – RFB Local CCP</w:t>
            </w:r>
          </w:p>
          <w:p w14:paraId="337689C7" w14:textId="77777777" w:rsidR="00047FAE" w:rsidRPr="00FA5932" w:rsidRDefault="00047FAE" w:rsidP="00FA0BEC">
            <w:pPr>
              <w:autoSpaceDE w:val="0"/>
              <w:autoSpaceDN w:val="0"/>
            </w:pPr>
            <w:r w:rsidRPr="00FA5932">
              <w:t>04 – PFFS</w:t>
            </w:r>
          </w:p>
          <w:p w14:paraId="65907327" w14:textId="77777777" w:rsidR="00047FAE" w:rsidRPr="00FA5932" w:rsidRDefault="00047FAE" w:rsidP="00FA0BEC">
            <w:pPr>
              <w:autoSpaceDE w:val="0"/>
              <w:autoSpaceDN w:val="0"/>
            </w:pPr>
            <w:r w:rsidRPr="00FA5932">
              <w:t>05 – MMP*</w:t>
            </w:r>
          </w:p>
          <w:p w14:paraId="719E9387" w14:textId="77777777" w:rsidR="00047FAE" w:rsidRPr="00FA5932" w:rsidRDefault="00047FAE" w:rsidP="00FA0BEC">
            <w:pPr>
              <w:autoSpaceDE w:val="0"/>
              <w:autoSpaceDN w:val="0"/>
              <w:rPr>
                <w:rFonts w:eastAsia="Calibri"/>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8EA59D" w14:textId="77777777" w:rsidR="00047FAE" w:rsidRPr="00FA5932" w:rsidRDefault="00047FAE" w:rsidP="00FA0BEC">
            <w:pPr>
              <w:autoSpaceDE w:val="0"/>
              <w:autoSpaceDN w:val="0"/>
              <w:rPr>
                <w:rFonts w:eastAsia="Calibri"/>
              </w:rPr>
            </w:pPr>
            <w:r w:rsidRPr="00FA5932">
              <w:t>1/Year</w:t>
            </w:r>
          </w:p>
          <w:p w14:paraId="5A7476BD" w14:textId="77777777" w:rsidR="00047FAE" w:rsidRPr="00FA5932" w:rsidRDefault="00047FAE" w:rsidP="00FA0BEC">
            <w:pPr>
              <w:autoSpaceDE w:val="0"/>
              <w:autoSpaceDN w:val="0"/>
              <w:rPr>
                <w:rFonts w:eastAsia="Calibri"/>
              </w:rPr>
            </w:pPr>
            <w:r w:rsidRPr="00FA5932">
              <w:t>Contract</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14:paraId="40FC107E" w14:textId="77777777" w:rsidR="00047FAE" w:rsidRPr="00FA5932" w:rsidRDefault="00047FAE" w:rsidP="00FA0BEC">
            <w:pPr>
              <w:autoSpaceDE w:val="0"/>
              <w:autoSpaceDN w:val="0"/>
              <w:rPr>
                <w:rFonts w:eastAsia="Calibri"/>
                <w:strike/>
              </w:rPr>
            </w:pPr>
            <w:r w:rsidRPr="00FA5932">
              <w:rPr>
                <w:rFonts w:eastAsia="Calibri"/>
              </w:rPr>
              <w:t>1/1-12/31</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211197D4" w14:textId="77777777" w:rsidR="00047FAE" w:rsidRPr="00FA5932" w:rsidRDefault="00047FAE" w:rsidP="00FA0BEC">
            <w:pPr>
              <w:autoSpaceDE w:val="0"/>
              <w:autoSpaceDN w:val="0"/>
              <w:rPr>
                <w:rFonts w:eastAsia="Calibri"/>
              </w:rPr>
            </w:pPr>
            <w:r w:rsidRPr="00FA5932">
              <w:rPr>
                <w:rFonts w:eastAsia="Calibri"/>
              </w:rPr>
              <w:t>Last Monday of February in following year</w:t>
            </w:r>
          </w:p>
        </w:tc>
      </w:tr>
    </w:tbl>
    <w:p w14:paraId="32A68053" w14:textId="6BED1B57" w:rsidR="00047FAE" w:rsidRPr="00FA5932" w:rsidRDefault="00047FAE" w:rsidP="00047FAE">
      <w:pPr>
        <w:ind w:left="360"/>
      </w:pPr>
      <w:r w:rsidRPr="00FA5932">
        <w:t>*</w:t>
      </w:r>
      <w:r w:rsidR="00B9542A" w:rsidRPr="00FA5932">
        <w:t> MMPs</w:t>
      </w:r>
      <w:r w:rsidRPr="00FA5932">
        <w:t xml:space="preserve"> should report for all APMs, not just Medicare MMPs.</w:t>
      </w:r>
    </w:p>
    <w:p w14:paraId="3895AEB8" w14:textId="77777777" w:rsidR="00047FAE" w:rsidRPr="00FA5932" w:rsidRDefault="00047FAE" w:rsidP="00047FAE">
      <w:pPr>
        <w:ind w:left="720"/>
      </w:pPr>
    </w:p>
    <w:p w14:paraId="615C9605" w14:textId="318F6768" w:rsidR="00047FAE" w:rsidRPr="00FA5932" w:rsidRDefault="00047FAE" w:rsidP="00047FAE">
      <w:pPr>
        <w:rPr>
          <w:sz w:val="22"/>
          <w:szCs w:val="22"/>
        </w:rPr>
      </w:pPr>
      <w:r w:rsidRPr="00FA5932">
        <w:t xml:space="preserve">This reporting section requires a </w:t>
      </w:r>
      <w:r w:rsidR="00D15D0E">
        <w:t>file</w:t>
      </w:r>
      <w:r w:rsidRPr="00FA5932">
        <w:t xml:space="preserve"> upload.</w:t>
      </w:r>
    </w:p>
    <w:p w14:paraId="2FC981B3" w14:textId="77777777" w:rsidR="00A67DE7" w:rsidRDefault="00A67DE7" w:rsidP="00A67DE7">
      <w:pPr>
        <w:rPr>
          <w:u w:val="single"/>
        </w:rPr>
      </w:pPr>
    </w:p>
    <w:p w14:paraId="5AF7811C" w14:textId="252B7C3B" w:rsidR="00A67DE7" w:rsidRPr="00570AA9" w:rsidRDefault="00A67DE7" w:rsidP="00A67DE7">
      <w:pPr>
        <w:rPr>
          <w:u w:val="single"/>
        </w:rPr>
      </w:pPr>
      <w:r w:rsidRPr="00570AA9">
        <w:rPr>
          <w:u w:val="single"/>
        </w:rPr>
        <w:t xml:space="preserve">Based on internal review, we </w:t>
      </w:r>
      <w:r>
        <w:rPr>
          <w:u w:val="single"/>
        </w:rPr>
        <w:t xml:space="preserve">are </w:t>
      </w:r>
      <w:r w:rsidRPr="00570AA9">
        <w:rPr>
          <w:u w:val="single"/>
        </w:rPr>
        <w:t>add</w:t>
      </w:r>
      <w:r>
        <w:rPr>
          <w:u w:val="single"/>
        </w:rPr>
        <w:t>ing</w:t>
      </w:r>
      <w:r w:rsidRPr="00570AA9">
        <w:rPr>
          <w:u w:val="single"/>
        </w:rPr>
        <w:t xml:space="preserve"> four data elements (shown </w:t>
      </w:r>
      <w:r>
        <w:rPr>
          <w:u w:val="single"/>
        </w:rPr>
        <w:t xml:space="preserve">immediately below, and </w:t>
      </w:r>
      <w:r w:rsidRPr="00570AA9">
        <w:rPr>
          <w:u w:val="single"/>
        </w:rPr>
        <w:t>in table) in order to more accurately categorize existing MA payment arrangements. Categories 2, 3 and 4 of value based payment are inherently linked to quality as defined in the HHS developed Alternative Payment Model (APM) Definitional Framework. However, CMS recognizes that some providers are paid based on pure risk based or pure capitation models with no link to quality (e.g. 3N and 4N in the APM definitional framework), which are not specified under the current reporting data elements.  The addition of the four proposed elements would allow more accurate reporting about the full spectrum and prevalence of alternative payment models in Medicare Advantage.</w:t>
      </w:r>
    </w:p>
    <w:p w14:paraId="6420EA0F" w14:textId="77777777" w:rsidR="00A67DE7" w:rsidRPr="00570AA9" w:rsidRDefault="00A67DE7" w:rsidP="00A67DE7">
      <w:pPr>
        <w:rPr>
          <w:u w:val="single"/>
        </w:rPr>
      </w:pPr>
    </w:p>
    <w:p w14:paraId="5DC027F3" w14:textId="77777777" w:rsidR="00A67DE7" w:rsidRPr="00570AA9" w:rsidRDefault="00A67DE7" w:rsidP="00A67DE7">
      <w:pPr>
        <w:rPr>
          <w:u w:val="single"/>
        </w:rPr>
      </w:pPr>
      <w:r w:rsidRPr="00570AA9">
        <w:rPr>
          <w:u w:val="single"/>
        </w:rPr>
        <w:t xml:space="preserve">Collecting these data will help to inform us as we determine how broadly MA organizations are using alternative payment arrangements. </w:t>
      </w:r>
    </w:p>
    <w:p w14:paraId="37F41B1A" w14:textId="77777777" w:rsidR="00047FAE" w:rsidRPr="00FA5932" w:rsidRDefault="00047FAE" w:rsidP="00047FAE"/>
    <w:p w14:paraId="170E11FE" w14:textId="18B65099" w:rsidR="0093468F" w:rsidRPr="00570AA9" w:rsidRDefault="00187FAF" w:rsidP="0093468F">
      <w:pPr>
        <w:rPr>
          <w:rFonts w:eastAsiaTheme="minorHAnsi"/>
          <w:b/>
        </w:rPr>
      </w:pPr>
      <w:r>
        <w:rPr>
          <w:rFonts w:eastAsiaTheme="minorHAnsi"/>
          <w:b/>
        </w:rPr>
        <w:t>F</w:t>
      </w:r>
      <w:r w:rsidRPr="00570AA9">
        <w:rPr>
          <w:rFonts w:eastAsiaTheme="minorHAnsi"/>
          <w:b/>
        </w:rPr>
        <w:t>our new</w:t>
      </w:r>
      <w:r w:rsidR="0093468F" w:rsidRPr="00570AA9">
        <w:rPr>
          <w:rFonts w:eastAsiaTheme="minorHAnsi"/>
          <w:b/>
        </w:rPr>
        <w:t xml:space="preserve"> data elements: </w:t>
      </w:r>
    </w:p>
    <w:p w14:paraId="33DC6820" w14:textId="77777777" w:rsidR="0093468F" w:rsidRPr="00570AA9" w:rsidRDefault="0093468F" w:rsidP="00570AA9">
      <w:pPr>
        <w:pStyle w:val="ListParagraph"/>
        <w:rPr>
          <w:rFonts w:ascii="Times New Roman" w:eastAsiaTheme="minorHAnsi" w:hAnsi="Times New Roman"/>
          <w:sz w:val="24"/>
          <w:szCs w:val="24"/>
          <w:u w:val="single"/>
        </w:rPr>
      </w:pPr>
    </w:p>
    <w:p w14:paraId="29936D2A" w14:textId="43252BC1" w:rsidR="0093468F" w:rsidRPr="00570AA9" w:rsidRDefault="00FF7805" w:rsidP="0093468F">
      <w:pPr>
        <w:pStyle w:val="ListParagraph"/>
        <w:numPr>
          <w:ilvl w:val="0"/>
          <w:numId w:val="29"/>
        </w:numPr>
        <w:rPr>
          <w:rFonts w:ascii="Times New Roman" w:eastAsiaTheme="minorHAnsi" w:hAnsi="Times New Roman"/>
          <w:sz w:val="24"/>
          <w:szCs w:val="24"/>
          <w:u w:val="single"/>
        </w:rPr>
      </w:pPr>
      <w:r w:rsidRPr="00A15FE7">
        <w:rPr>
          <w:rFonts w:ascii="Times New Roman" w:eastAsiaTheme="minorHAnsi" w:hAnsi="Times New Roman"/>
          <w:sz w:val="24"/>
          <w:szCs w:val="24"/>
          <w:u w:val="single"/>
        </w:rPr>
        <w:t xml:space="preserve">Total Risk-based payments not linked to quality (e.g. 3N in APM definitional framework). </w:t>
      </w:r>
    </w:p>
    <w:p w14:paraId="6902C7E6" w14:textId="2ABBB353" w:rsidR="00FF7805" w:rsidRPr="00A15FE7" w:rsidRDefault="00FF7805" w:rsidP="0093468F">
      <w:pPr>
        <w:pStyle w:val="ListParagraph"/>
        <w:numPr>
          <w:ilvl w:val="0"/>
          <w:numId w:val="29"/>
        </w:numPr>
        <w:rPr>
          <w:rFonts w:ascii="Times New Roman" w:eastAsiaTheme="minorHAnsi" w:hAnsi="Times New Roman"/>
          <w:sz w:val="24"/>
          <w:szCs w:val="24"/>
          <w:u w:val="single"/>
        </w:rPr>
      </w:pPr>
      <w:r w:rsidRPr="00570AA9">
        <w:rPr>
          <w:rFonts w:ascii="Times New Roman" w:hAnsi="Times New Roman"/>
          <w:sz w:val="24"/>
          <w:szCs w:val="24"/>
          <w:u w:val="single"/>
        </w:rPr>
        <w:t>Total capitation payment not linked to quality (e.g. 4N in the APM definitional framework)</w:t>
      </w:r>
    </w:p>
    <w:p w14:paraId="17CFC06C" w14:textId="17B5E1C6" w:rsidR="0093468F" w:rsidRPr="00570AA9" w:rsidRDefault="00FF7805" w:rsidP="0093468F">
      <w:pPr>
        <w:pStyle w:val="ListParagraph"/>
        <w:numPr>
          <w:ilvl w:val="0"/>
          <w:numId w:val="29"/>
        </w:numPr>
        <w:rPr>
          <w:rFonts w:ascii="Times New Roman" w:eastAsiaTheme="minorHAnsi" w:hAnsi="Times New Roman"/>
          <w:sz w:val="24"/>
          <w:szCs w:val="24"/>
          <w:u w:val="single"/>
        </w:rPr>
      </w:pPr>
      <w:r w:rsidRPr="00570AA9">
        <w:rPr>
          <w:rFonts w:ascii="Times New Roman" w:hAnsi="Times New Roman"/>
          <w:sz w:val="24"/>
          <w:szCs w:val="24"/>
          <w:u w:val="single"/>
        </w:rPr>
        <w:t>Total Medicare Advantage contracted providers paid based risk-based payments not linked to quality (e.g. 3N in the APM definitional framework)</w:t>
      </w:r>
    </w:p>
    <w:p w14:paraId="51795CA9" w14:textId="6ECDE692" w:rsidR="00FF7805" w:rsidRPr="00570AA9" w:rsidRDefault="00FF7805" w:rsidP="0093468F">
      <w:pPr>
        <w:pStyle w:val="ListParagraph"/>
        <w:numPr>
          <w:ilvl w:val="0"/>
          <w:numId w:val="29"/>
        </w:numPr>
        <w:rPr>
          <w:rFonts w:ascii="Times New Roman" w:eastAsiaTheme="minorHAnsi" w:hAnsi="Times New Roman"/>
          <w:sz w:val="24"/>
          <w:szCs w:val="24"/>
          <w:u w:val="single"/>
        </w:rPr>
      </w:pPr>
      <w:r w:rsidRPr="00570AA9">
        <w:rPr>
          <w:rFonts w:ascii="Times New Roman" w:hAnsi="Times New Roman"/>
          <w:sz w:val="24"/>
          <w:szCs w:val="24"/>
          <w:u w:val="single"/>
        </w:rPr>
        <w:t>Total Medicare Advantage contracted providers paid based on capitation with no link to quality (e.g. category 4N in the APM definitional framework).</w:t>
      </w:r>
    </w:p>
    <w:p w14:paraId="6ECC4C32" w14:textId="77777777" w:rsidR="0093468F" w:rsidRDefault="0093468F" w:rsidP="00047FAE"/>
    <w:p w14:paraId="2AC093C1" w14:textId="4FEAB2F2" w:rsidR="00047FAE" w:rsidRPr="00570AA9" w:rsidRDefault="00047FAE" w:rsidP="00047FAE">
      <w:pPr>
        <w:rPr>
          <w:u w:val="single"/>
        </w:rPr>
      </w:pPr>
      <w:r>
        <w:t xml:space="preserve"> </w:t>
      </w:r>
      <w:r w:rsidRPr="00570AA9">
        <w:rPr>
          <w:u w:val="single"/>
        </w:rPr>
        <w:t xml:space="preserve">In order to maintain consistency with HHS goals of increasing the proportion of Medicare payments made based on quality and value, HHS developed the four categories of value based payment: fee-for-service with no link to quality (category 1); fee-for-service with a link to quality (category 2); alternative payment models built on fee-for-service architecture (category 3); and population-based payment (category 4). </w:t>
      </w:r>
      <w:r w:rsidR="00B9542A" w:rsidRPr="00570AA9">
        <w:rPr>
          <w:u w:val="single"/>
        </w:rPr>
        <w:t>CMS will collect</w:t>
      </w:r>
      <w:r w:rsidRPr="00570AA9">
        <w:rPr>
          <w:u w:val="single"/>
        </w:rPr>
        <w:t xml:space="preserve"> data from MA organizations about the proportion of their </w:t>
      </w:r>
      <w:r w:rsidR="00B9542A" w:rsidRPr="00570AA9">
        <w:rPr>
          <w:u w:val="single"/>
        </w:rPr>
        <w:t>payments made</w:t>
      </w:r>
      <w:r w:rsidRPr="00570AA9">
        <w:rPr>
          <w:u w:val="single"/>
        </w:rPr>
        <w:t xml:space="preserve"> to contracted providers based on these four </w:t>
      </w:r>
      <w:r w:rsidRPr="00570AA9">
        <w:rPr>
          <w:u w:val="single"/>
        </w:rPr>
        <w:lastRenderedPageBreak/>
        <w:t xml:space="preserve">categories in order to understand the extent and use of alternate payment models in the MA industry. Descriptions of the four categories are as follows: </w:t>
      </w:r>
    </w:p>
    <w:p w14:paraId="38F12EC0" w14:textId="77777777" w:rsidR="00047FAE" w:rsidRDefault="00047FAE" w:rsidP="00047FAE"/>
    <w:p w14:paraId="3E06E9D4" w14:textId="1C6CB790" w:rsidR="00047FAE" w:rsidRDefault="00047FAE" w:rsidP="00047FAE">
      <w:r w:rsidRPr="00FA5932">
        <w:t xml:space="preserve">  </w:t>
      </w:r>
    </w:p>
    <w:p w14:paraId="2A45413C" w14:textId="77777777" w:rsidR="00047FAE" w:rsidRDefault="00047FAE" w:rsidP="00047FAE"/>
    <w:p w14:paraId="3DE45EC2" w14:textId="1049A8AC" w:rsidR="00047FAE" w:rsidRPr="00570AA9" w:rsidRDefault="00047FAE" w:rsidP="00047FAE">
      <w:pPr>
        <w:pStyle w:val="ListParagraph"/>
        <w:numPr>
          <w:ilvl w:val="0"/>
          <w:numId w:val="30"/>
        </w:numPr>
        <w:rPr>
          <w:u w:val="single"/>
        </w:rPr>
      </w:pPr>
      <w:r w:rsidRPr="00570AA9">
        <w:rPr>
          <w:rFonts w:ascii="Times New Roman" w:hAnsi="Times New Roman"/>
          <w:sz w:val="24"/>
          <w:szCs w:val="24"/>
          <w:u w:val="single"/>
        </w:rPr>
        <w:t xml:space="preserve">Category one </w:t>
      </w:r>
      <w:r w:rsidR="00A67DE7">
        <w:rPr>
          <w:rFonts w:ascii="Times New Roman" w:hAnsi="Times New Roman"/>
          <w:sz w:val="24"/>
          <w:szCs w:val="24"/>
          <w:u w:val="single"/>
        </w:rPr>
        <w:t xml:space="preserve">(1) </w:t>
      </w:r>
      <w:r w:rsidRPr="00570AA9">
        <w:rPr>
          <w:rFonts w:ascii="Times New Roman" w:hAnsi="Times New Roman"/>
          <w:sz w:val="24"/>
          <w:szCs w:val="24"/>
          <w:u w:val="single"/>
        </w:rPr>
        <w:t xml:space="preserve">includes a fee-for-service with no link to quality arrangement to include all arrangements where payments are based on volume of services and not linked to quality of efficiency.  </w:t>
      </w:r>
    </w:p>
    <w:p w14:paraId="7D1408A5" w14:textId="77777777" w:rsidR="00047FAE" w:rsidRPr="00570AA9" w:rsidRDefault="00047FAE" w:rsidP="00047FAE">
      <w:pPr>
        <w:rPr>
          <w:u w:val="single"/>
        </w:rPr>
      </w:pPr>
    </w:p>
    <w:p w14:paraId="049CAFC9" w14:textId="74D87BAA" w:rsidR="00047FAE" w:rsidRPr="00570AA9" w:rsidRDefault="00047FAE" w:rsidP="00047FAE">
      <w:pPr>
        <w:pStyle w:val="ListParagraph"/>
        <w:numPr>
          <w:ilvl w:val="0"/>
          <w:numId w:val="30"/>
        </w:numPr>
        <w:rPr>
          <w:u w:val="single"/>
        </w:rPr>
      </w:pPr>
      <w:r w:rsidRPr="00570AA9">
        <w:rPr>
          <w:rFonts w:ascii="Times New Roman" w:hAnsi="Times New Roman"/>
          <w:sz w:val="24"/>
          <w:szCs w:val="24"/>
          <w:u w:val="single"/>
        </w:rPr>
        <w:t xml:space="preserve">Category two </w:t>
      </w:r>
      <w:r w:rsidR="00A67DE7">
        <w:rPr>
          <w:rFonts w:ascii="Times New Roman" w:hAnsi="Times New Roman"/>
          <w:sz w:val="24"/>
          <w:szCs w:val="24"/>
          <w:u w:val="single"/>
        </w:rPr>
        <w:t xml:space="preserve">(2) </w:t>
      </w:r>
      <w:r w:rsidRPr="00570AA9">
        <w:rPr>
          <w:rFonts w:ascii="Times New Roman" w:hAnsi="Times New Roman"/>
          <w:sz w:val="24"/>
          <w:szCs w:val="24"/>
          <w:u w:val="single"/>
        </w:rPr>
        <w:t xml:space="preserve">includes fee-for-service with a link to quality to include all arrangements where at least a portion of payments vary based on the quality or efficiency of health care delivery including hospital value-based purchasing and physician value-based modifiers. </w:t>
      </w:r>
    </w:p>
    <w:p w14:paraId="0A105FA8" w14:textId="77777777" w:rsidR="00047FAE" w:rsidRPr="00570AA9" w:rsidRDefault="00047FAE" w:rsidP="00047FAE">
      <w:pPr>
        <w:rPr>
          <w:u w:val="single"/>
        </w:rPr>
      </w:pPr>
    </w:p>
    <w:p w14:paraId="313254E6" w14:textId="300D16E7" w:rsidR="00047FAE" w:rsidRPr="00570AA9" w:rsidRDefault="00047FAE" w:rsidP="00047FAE">
      <w:pPr>
        <w:pStyle w:val="ListParagraph"/>
        <w:numPr>
          <w:ilvl w:val="0"/>
          <w:numId w:val="30"/>
        </w:numPr>
        <w:rPr>
          <w:u w:val="single"/>
        </w:rPr>
      </w:pPr>
      <w:r w:rsidRPr="00570AA9">
        <w:rPr>
          <w:rFonts w:ascii="Times New Roman" w:hAnsi="Times New Roman"/>
          <w:sz w:val="24"/>
          <w:szCs w:val="24"/>
          <w:u w:val="single"/>
        </w:rPr>
        <w:t xml:space="preserve">Category three </w:t>
      </w:r>
      <w:r w:rsidR="00A67DE7">
        <w:rPr>
          <w:rFonts w:ascii="Times New Roman" w:hAnsi="Times New Roman"/>
          <w:sz w:val="24"/>
          <w:szCs w:val="24"/>
          <w:u w:val="single"/>
        </w:rPr>
        <w:t xml:space="preserve">(3) </w:t>
      </w:r>
      <w:r w:rsidRPr="00570AA9">
        <w:rPr>
          <w:rFonts w:ascii="Times New Roman" w:hAnsi="Times New Roman"/>
          <w:sz w:val="24"/>
          <w:szCs w:val="24"/>
          <w:u w:val="single"/>
        </w:rPr>
        <w:t xml:space="preserve">includes alternative payment models built on fee-for-service architecture to include all arrangements where some payment is linked to the effective management of a population or an episode of care. Payments are still triggered by delivery of services, but there are opportunities for shared savings or 2-sided risk. </w:t>
      </w:r>
    </w:p>
    <w:p w14:paraId="72EFBD1D" w14:textId="77777777" w:rsidR="00047FAE" w:rsidRPr="00570AA9" w:rsidRDefault="00047FAE" w:rsidP="00047FAE">
      <w:pPr>
        <w:rPr>
          <w:u w:val="single"/>
        </w:rPr>
      </w:pPr>
    </w:p>
    <w:p w14:paraId="7236FF43" w14:textId="0134765C" w:rsidR="00047FAE" w:rsidRPr="00570AA9" w:rsidRDefault="00047FAE" w:rsidP="00047FAE">
      <w:pPr>
        <w:pStyle w:val="ListParagraph"/>
        <w:numPr>
          <w:ilvl w:val="0"/>
          <w:numId w:val="30"/>
        </w:numPr>
        <w:rPr>
          <w:u w:val="single"/>
        </w:rPr>
      </w:pPr>
      <w:r w:rsidRPr="00570AA9">
        <w:rPr>
          <w:rFonts w:ascii="Times New Roman" w:hAnsi="Times New Roman"/>
          <w:sz w:val="24"/>
          <w:szCs w:val="24"/>
          <w:u w:val="single"/>
        </w:rPr>
        <w:t>Category four</w:t>
      </w:r>
      <w:r w:rsidR="00A67DE7">
        <w:rPr>
          <w:rFonts w:ascii="Times New Roman" w:hAnsi="Times New Roman"/>
          <w:sz w:val="24"/>
          <w:szCs w:val="24"/>
          <w:u w:val="single"/>
        </w:rPr>
        <w:t xml:space="preserve"> (4) </w:t>
      </w:r>
      <w:r w:rsidRPr="00570AA9">
        <w:rPr>
          <w:rFonts w:ascii="Times New Roman" w:hAnsi="Times New Roman"/>
          <w:sz w:val="24"/>
          <w:szCs w:val="24"/>
          <w:u w:val="single"/>
        </w:rPr>
        <w:t xml:space="preserve"> includes population-based payment arrangements to include some payment is not directly triggered by service delivery so volume is not linked to payment. Under these arrangements, clinicians and organizations are paid and responsible for the care of a beneficiary for a long period (e.g., greater than a year).  </w:t>
      </w:r>
    </w:p>
    <w:p w14:paraId="42EBA5C0" w14:textId="77777777" w:rsidR="00047FAE" w:rsidRPr="00570AA9" w:rsidRDefault="00047FAE" w:rsidP="00047FAE">
      <w:pPr>
        <w:rPr>
          <w:u w:val="single"/>
        </w:rPr>
      </w:pPr>
    </w:p>
    <w:p w14:paraId="65428CB1" w14:textId="77777777" w:rsidR="00047FAE" w:rsidRPr="00A67DE7" w:rsidRDefault="00047FAE" w:rsidP="00047FAE">
      <w:pPr>
        <w:rPr>
          <w:u w:val="single"/>
        </w:rPr>
      </w:pPr>
      <w:r w:rsidRPr="00A67DE7">
        <w:rPr>
          <w:u w:val="single"/>
        </w:rPr>
        <w:t>For detailed information regarding these categories, please refer to the Alternative Payment Model (APM) Framework at https://hcp-lan.org/workproducts/apm-whitepaper.pdf</w:t>
      </w:r>
    </w:p>
    <w:p w14:paraId="451C4941" w14:textId="77777777" w:rsidR="00047FAE" w:rsidRPr="00570AA9" w:rsidRDefault="00047FAE" w:rsidP="00047FAE">
      <w:pPr>
        <w:rPr>
          <w:u w:val="single"/>
        </w:rPr>
      </w:pPr>
    </w:p>
    <w:p w14:paraId="67071DA9" w14:textId="77777777" w:rsidR="00047FAE" w:rsidRPr="00FA5932" w:rsidRDefault="00047FAE" w:rsidP="00047FAE"/>
    <w:p w14:paraId="1709CEF6" w14:textId="77777777" w:rsidR="00047FAE" w:rsidRPr="00EE18CE" w:rsidRDefault="00047FAE" w:rsidP="00047FAE">
      <w:pPr>
        <w:rPr>
          <w:b/>
        </w:rPr>
      </w:pPr>
      <w:r w:rsidRPr="00EE18CE">
        <w:rPr>
          <w:b/>
        </w:rPr>
        <w:t>Data Elements (at the contract level):</w:t>
      </w:r>
    </w:p>
    <w:p w14:paraId="6E5582CA" w14:textId="77777777" w:rsidR="00047FAE" w:rsidRPr="00FA5932" w:rsidRDefault="00047FAE" w:rsidP="00047FAE"/>
    <w:tbl>
      <w:tblPr>
        <w:tblW w:w="8630" w:type="dxa"/>
        <w:tblCellMar>
          <w:left w:w="0" w:type="dxa"/>
          <w:right w:w="0" w:type="dxa"/>
        </w:tblCellMar>
        <w:tblLook w:val="04A0" w:firstRow="1" w:lastRow="0" w:firstColumn="1" w:lastColumn="0" w:noHBand="0" w:noVBand="1"/>
      </w:tblPr>
      <w:tblGrid>
        <w:gridCol w:w="1548"/>
        <w:gridCol w:w="7082"/>
      </w:tblGrid>
      <w:tr w:rsidR="00047FAE" w:rsidRPr="00FA5932" w14:paraId="686CB952" w14:textId="77777777" w:rsidTr="00EE18CE">
        <w:trPr>
          <w:tblHeader/>
        </w:trPr>
        <w:tc>
          <w:tcPr>
            <w:tcW w:w="154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1876DE6" w14:textId="77777777" w:rsidR="00047FAE" w:rsidRPr="00FA5932" w:rsidRDefault="00047FAE" w:rsidP="00FA0BEC">
            <w:pPr>
              <w:jc w:val="center"/>
              <w:rPr>
                <w:b/>
                <w:bCs/>
              </w:rPr>
            </w:pPr>
            <w:r w:rsidRPr="00FA5932">
              <w:rPr>
                <w:b/>
                <w:bCs/>
              </w:rPr>
              <w:t>Element Number</w:t>
            </w:r>
          </w:p>
        </w:tc>
        <w:tc>
          <w:tcPr>
            <w:tcW w:w="7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3900DC3" w14:textId="77777777" w:rsidR="00047FAE" w:rsidRPr="00FA5932" w:rsidRDefault="00047FAE" w:rsidP="00FA0BEC">
            <w:pPr>
              <w:jc w:val="center"/>
              <w:rPr>
                <w:b/>
                <w:bCs/>
              </w:rPr>
            </w:pPr>
            <w:r w:rsidRPr="00FA5932">
              <w:rPr>
                <w:b/>
                <w:bCs/>
              </w:rPr>
              <w:t>Data Elements for Payments to Provider</w:t>
            </w:r>
          </w:p>
        </w:tc>
      </w:tr>
      <w:tr w:rsidR="00047FAE" w:rsidRPr="00FA5932" w14:paraId="3FCE6452" w14:textId="77777777" w:rsidTr="00FA0BEC">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E6392" w14:textId="77777777" w:rsidR="00047FAE" w:rsidRPr="00FA5932" w:rsidRDefault="00047FAE" w:rsidP="00FA0BEC">
            <w:pPr>
              <w:jc w:val="center"/>
            </w:pPr>
            <w:r w:rsidRPr="00FA5932">
              <w:t>17.1</w:t>
            </w: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790E9746" w14:textId="77777777" w:rsidR="00047FAE" w:rsidRPr="00FA5932" w:rsidRDefault="00047FAE" w:rsidP="00FA0BEC">
            <w:pPr>
              <w:jc w:val="center"/>
            </w:pPr>
            <w:r w:rsidRPr="00FA5932">
              <w:t xml:space="preserve">Total Medicare Advantage payment made to contracted providers. </w:t>
            </w:r>
          </w:p>
        </w:tc>
      </w:tr>
      <w:tr w:rsidR="00047FAE" w:rsidRPr="00F137D1" w14:paraId="60C0D06F" w14:textId="77777777" w:rsidTr="00FA0BEC">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B7C6C" w14:textId="77777777" w:rsidR="00047FAE" w:rsidRPr="00F137D1" w:rsidRDefault="00047FAE" w:rsidP="00FA0BEC">
            <w:pPr>
              <w:jc w:val="center"/>
            </w:pPr>
            <w:r w:rsidRPr="00F137D1">
              <w:t>17.2</w:t>
            </w: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441124E2" w14:textId="77777777" w:rsidR="00047FAE" w:rsidRPr="00F137D1" w:rsidRDefault="00047FAE" w:rsidP="00FA0BEC">
            <w:pPr>
              <w:jc w:val="center"/>
            </w:pPr>
            <w:r w:rsidRPr="00F137D1">
              <w:t>Total Medicare Advantage payment made on a fee-for-service basis with no link to quality</w:t>
            </w:r>
            <w:r>
              <w:t xml:space="preserve"> (category 1)</w:t>
            </w:r>
            <w:r w:rsidRPr="00F137D1">
              <w:t xml:space="preserve">. </w:t>
            </w:r>
          </w:p>
        </w:tc>
      </w:tr>
      <w:tr w:rsidR="00047FAE" w:rsidRPr="00F137D1" w14:paraId="02CB4B7A" w14:textId="77777777" w:rsidTr="00FA0BEC">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92676" w14:textId="77777777" w:rsidR="00047FAE" w:rsidRPr="00F137D1" w:rsidRDefault="00047FAE" w:rsidP="00FA0BEC">
            <w:pPr>
              <w:jc w:val="center"/>
            </w:pPr>
            <w:r w:rsidRPr="00F137D1">
              <w:t>17.3</w:t>
            </w: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5A156B89" w14:textId="77777777" w:rsidR="00047FAE" w:rsidRPr="00F137D1" w:rsidRDefault="00047FAE" w:rsidP="00FA0BEC">
            <w:pPr>
              <w:jc w:val="center"/>
            </w:pPr>
            <w:r w:rsidRPr="00F137D1">
              <w:t>Total Medicare Advantage payment made on a fee-for-service basis with a link to quality</w:t>
            </w:r>
            <w:r>
              <w:t xml:space="preserve"> (category 2)</w:t>
            </w:r>
            <w:r w:rsidRPr="00F137D1">
              <w:t>.</w:t>
            </w:r>
          </w:p>
        </w:tc>
      </w:tr>
      <w:tr w:rsidR="00047FAE" w:rsidRPr="00F137D1" w14:paraId="1D6CE30E" w14:textId="77777777" w:rsidTr="00FA0BEC">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B3F97" w14:textId="77777777" w:rsidR="00047FAE" w:rsidRPr="00F137D1" w:rsidRDefault="00047FAE" w:rsidP="00FA0BEC">
            <w:pPr>
              <w:jc w:val="center"/>
            </w:pPr>
            <w:r w:rsidRPr="00F137D1">
              <w:t>17.4</w:t>
            </w:r>
            <w:r>
              <w:t>a</w:t>
            </w: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4C636D82" w14:textId="77777777" w:rsidR="00047FAE" w:rsidRPr="00F137D1" w:rsidRDefault="00047FAE" w:rsidP="00FA0BEC">
            <w:pPr>
              <w:jc w:val="center"/>
            </w:pPr>
            <w:r w:rsidRPr="00F137D1">
              <w:t xml:space="preserve">Total Medicare Advantage payment made using </w:t>
            </w:r>
            <w:r w:rsidRPr="00F137D1">
              <w:rPr>
                <w:lang w:val="en"/>
              </w:rPr>
              <w:t>alternative payment models built on fee-for-service architecture</w:t>
            </w:r>
            <w:r>
              <w:rPr>
                <w:lang w:val="en"/>
              </w:rPr>
              <w:t xml:space="preserve"> (category 3)</w:t>
            </w:r>
          </w:p>
        </w:tc>
      </w:tr>
      <w:tr w:rsidR="00047FAE" w:rsidRPr="00F137D1" w14:paraId="227C1C47" w14:textId="77777777" w:rsidTr="00FA0BEC">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4F46DB" w14:textId="77777777" w:rsidR="00047FAE" w:rsidRPr="00A67DE7" w:rsidRDefault="00047FAE" w:rsidP="00FA0BEC">
            <w:pPr>
              <w:jc w:val="center"/>
              <w:rPr>
                <w:u w:val="single"/>
              </w:rPr>
            </w:pPr>
            <w:r w:rsidRPr="00A67DE7">
              <w:rPr>
                <w:u w:val="single"/>
              </w:rPr>
              <w:t>17.4b</w:t>
            </w:r>
          </w:p>
        </w:tc>
        <w:tc>
          <w:tcPr>
            <w:tcW w:w="7080" w:type="dxa"/>
            <w:tcBorders>
              <w:top w:val="nil"/>
              <w:left w:val="nil"/>
              <w:bottom w:val="single" w:sz="8" w:space="0" w:color="auto"/>
              <w:right w:val="single" w:sz="8" w:space="0" w:color="auto"/>
            </w:tcBorders>
            <w:tcMar>
              <w:top w:w="0" w:type="dxa"/>
              <w:left w:w="108" w:type="dxa"/>
              <w:bottom w:w="0" w:type="dxa"/>
              <w:right w:w="108" w:type="dxa"/>
            </w:tcMar>
          </w:tcPr>
          <w:p w14:paraId="7D5E374A" w14:textId="79DFD816" w:rsidR="00047FAE" w:rsidRPr="00570AA9" w:rsidRDefault="00047FAE" w:rsidP="00FA0BEC">
            <w:pPr>
              <w:jc w:val="center"/>
              <w:rPr>
                <w:u w:val="single"/>
              </w:rPr>
            </w:pPr>
            <w:r w:rsidRPr="00570AA9">
              <w:rPr>
                <w:u w:val="single"/>
              </w:rPr>
              <w:t xml:space="preserve">Total Risk-based payments not linked to quality (e.g. 3N in APM </w:t>
            </w:r>
            <w:r w:rsidR="00B9542A" w:rsidRPr="00570AA9">
              <w:rPr>
                <w:u w:val="single"/>
              </w:rPr>
              <w:t>definitional</w:t>
            </w:r>
            <w:r w:rsidRPr="00570AA9">
              <w:rPr>
                <w:u w:val="single"/>
              </w:rPr>
              <w:t xml:space="preserve"> framework)</w:t>
            </w:r>
          </w:p>
        </w:tc>
      </w:tr>
      <w:tr w:rsidR="00047FAE" w:rsidRPr="00F137D1" w14:paraId="0FADCB80" w14:textId="77777777" w:rsidTr="00FA0BEC">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59627" w14:textId="77777777" w:rsidR="00047FAE" w:rsidRPr="00F137D1" w:rsidRDefault="00047FAE" w:rsidP="00FA0BEC">
            <w:pPr>
              <w:jc w:val="center"/>
            </w:pPr>
            <w:r w:rsidRPr="00F137D1">
              <w:t>17.5</w:t>
            </w:r>
            <w:r>
              <w:t>a</w:t>
            </w: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046E1F27" w14:textId="77777777" w:rsidR="00047FAE" w:rsidRPr="00F137D1" w:rsidRDefault="00047FAE" w:rsidP="00FA0BEC">
            <w:pPr>
              <w:jc w:val="center"/>
            </w:pPr>
            <w:r w:rsidRPr="00F137D1">
              <w:t xml:space="preserve">Total Medicare Advantage payment made using </w:t>
            </w:r>
            <w:r w:rsidRPr="00F137D1">
              <w:rPr>
                <w:lang w:val="en"/>
              </w:rPr>
              <w:t>population-based payment</w:t>
            </w:r>
            <w:r>
              <w:rPr>
                <w:lang w:val="en"/>
              </w:rPr>
              <w:t xml:space="preserve"> (category 4)</w:t>
            </w:r>
            <w:r w:rsidRPr="00F137D1">
              <w:t>.</w:t>
            </w:r>
          </w:p>
        </w:tc>
      </w:tr>
      <w:tr w:rsidR="00047FAE" w:rsidRPr="00F137D1" w14:paraId="717D044E" w14:textId="77777777" w:rsidTr="00FA0BEC">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64A70C" w14:textId="77777777" w:rsidR="00047FAE" w:rsidRPr="00A67DE7" w:rsidRDefault="00047FAE" w:rsidP="00FA0BEC">
            <w:pPr>
              <w:jc w:val="center"/>
              <w:rPr>
                <w:u w:val="single"/>
              </w:rPr>
            </w:pPr>
            <w:r w:rsidRPr="00A67DE7">
              <w:rPr>
                <w:u w:val="single"/>
              </w:rPr>
              <w:t>17.5b</w:t>
            </w:r>
          </w:p>
        </w:tc>
        <w:tc>
          <w:tcPr>
            <w:tcW w:w="7080" w:type="dxa"/>
            <w:tcBorders>
              <w:top w:val="nil"/>
              <w:left w:val="nil"/>
              <w:bottom w:val="single" w:sz="8" w:space="0" w:color="auto"/>
              <w:right w:val="single" w:sz="8" w:space="0" w:color="auto"/>
            </w:tcBorders>
            <w:tcMar>
              <w:top w:w="0" w:type="dxa"/>
              <w:left w:w="108" w:type="dxa"/>
              <w:bottom w:w="0" w:type="dxa"/>
              <w:right w:w="108" w:type="dxa"/>
            </w:tcMar>
          </w:tcPr>
          <w:p w14:paraId="45693E04" w14:textId="77777777" w:rsidR="00047FAE" w:rsidRPr="00F137D1" w:rsidRDefault="00047FAE" w:rsidP="00FA0BEC">
            <w:pPr>
              <w:jc w:val="center"/>
            </w:pPr>
            <w:r w:rsidRPr="00570AA9">
              <w:rPr>
                <w:u w:val="single"/>
              </w:rPr>
              <w:t>Total capitation payment not linked to quality (e.g. 4N in the APM definitional framework)</w:t>
            </w:r>
          </w:p>
        </w:tc>
      </w:tr>
      <w:tr w:rsidR="00047FAE" w:rsidRPr="00F137D1" w14:paraId="12069FBF" w14:textId="77777777" w:rsidTr="00FA0BEC">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B10E8" w14:textId="77777777" w:rsidR="00047FAE" w:rsidRPr="00F137D1" w:rsidRDefault="00047FAE" w:rsidP="00FA0BEC">
            <w:pPr>
              <w:jc w:val="center"/>
            </w:pPr>
            <w:r w:rsidRPr="00F137D1">
              <w:t>17.6</w:t>
            </w: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7D6475C2" w14:textId="77777777" w:rsidR="00047FAE" w:rsidRPr="00F137D1" w:rsidRDefault="00047FAE" w:rsidP="00FA0BEC">
            <w:pPr>
              <w:jc w:val="center"/>
            </w:pPr>
            <w:r w:rsidRPr="00F137D1">
              <w:t xml:space="preserve">Total number of Medicare Advantage contracted providers. </w:t>
            </w:r>
          </w:p>
        </w:tc>
      </w:tr>
      <w:tr w:rsidR="00047FAE" w:rsidRPr="00F137D1" w14:paraId="47167EA5" w14:textId="77777777" w:rsidTr="00FA0BEC">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B1710" w14:textId="77777777" w:rsidR="00047FAE" w:rsidRPr="00F137D1" w:rsidRDefault="00047FAE" w:rsidP="00FA0BEC">
            <w:pPr>
              <w:jc w:val="center"/>
            </w:pPr>
            <w:r w:rsidRPr="00F137D1">
              <w:lastRenderedPageBreak/>
              <w:t>17.7</w:t>
            </w: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47208EE3" w14:textId="77777777" w:rsidR="00047FAE" w:rsidRPr="00F137D1" w:rsidRDefault="00047FAE" w:rsidP="00FA0BEC">
            <w:pPr>
              <w:jc w:val="center"/>
            </w:pPr>
            <w:r w:rsidRPr="00F137D1">
              <w:t>Total Medicare Advantage contracted providers paid on a fee-for-service basis with no link to quality</w:t>
            </w:r>
            <w:r>
              <w:t xml:space="preserve"> (category 1)</w:t>
            </w:r>
            <w:r w:rsidRPr="00F137D1">
              <w:t>.</w:t>
            </w:r>
          </w:p>
        </w:tc>
      </w:tr>
      <w:tr w:rsidR="00047FAE" w:rsidRPr="00F137D1" w14:paraId="0FE7AD1C" w14:textId="77777777" w:rsidTr="00FA0BEC">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55429" w14:textId="77777777" w:rsidR="00047FAE" w:rsidRPr="00F137D1" w:rsidRDefault="00047FAE" w:rsidP="00FA0BEC">
            <w:pPr>
              <w:jc w:val="center"/>
            </w:pPr>
            <w:r w:rsidRPr="00F137D1">
              <w:t>17.8</w:t>
            </w: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787A8906" w14:textId="77777777" w:rsidR="00047FAE" w:rsidRPr="00F137D1" w:rsidRDefault="00047FAE" w:rsidP="00FA0BEC">
            <w:pPr>
              <w:jc w:val="center"/>
            </w:pPr>
            <w:r w:rsidRPr="00F137D1">
              <w:t>Total Medicare Advantage contracted providers paid on a fee-for-service basis with a link to quality</w:t>
            </w:r>
            <w:r>
              <w:t xml:space="preserve"> (category 2)</w:t>
            </w:r>
            <w:r w:rsidRPr="00F137D1">
              <w:t>.</w:t>
            </w:r>
          </w:p>
        </w:tc>
      </w:tr>
      <w:tr w:rsidR="00047FAE" w:rsidRPr="00F137D1" w14:paraId="25C62CF6" w14:textId="77777777" w:rsidTr="00FA0BEC">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8BD73" w14:textId="77777777" w:rsidR="00047FAE" w:rsidRPr="00F137D1" w:rsidRDefault="00047FAE" w:rsidP="00FA0BEC">
            <w:pPr>
              <w:jc w:val="center"/>
            </w:pPr>
            <w:r w:rsidRPr="00F137D1">
              <w:t>17.9</w:t>
            </w:r>
            <w:r>
              <w:t>a</w:t>
            </w:r>
          </w:p>
        </w:tc>
        <w:tc>
          <w:tcPr>
            <w:tcW w:w="7080" w:type="dxa"/>
            <w:tcBorders>
              <w:top w:val="nil"/>
              <w:left w:val="nil"/>
              <w:bottom w:val="single" w:sz="8" w:space="0" w:color="auto"/>
              <w:right w:val="single" w:sz="8" w:space="0" w:color="auto"/>
            </w:tcBorders>
            <w:tcMar>
              <w:top w:w="0" w:type="dxa"/>
              <w:left w:w="108" w:type="dxa"/>
              <w:bottom w:w="0" w:type="dxa"/>
              <w:right w:w="108" w:type="dxa"/>
            </w:tcMar>
            <w:hideMark/>
          </w:tcPr>
          <w:p w14:paraId="0CB8BA0D" w14:textId="77777777" w:rsidR="00047FAE" w:rsidRPr="00F137D1" w:rsidRDefault="00047FAE" w:rsidP="00FA0BEC">
            <w:pPr>
              <w:jc w:val="center"/>
            </w:pPr>
            <w:r w:rsidRPr="00F137D1">
              <w:t>Total Medicare Advantage contracted providers paid based on alternative payment models built on a fee-for-service architecture</w:t>
            </w:r>
            <w:r>
              <w:t xml:space="preserve"> (category 3)</w:t>
            </w:r>
            <w:r w:rsidRPr="00F137D1">
              <w:t xml:space="preserve">. </w:t>
            </w:r>
          </w:p>
        </w:tc>
      </w:tr>
      <w:tr w:rsidR="00047FAE" w:rsidRPr="00F137D1" w14:paraId="36462E2F" w14:textId="77777777" w:rsidTr="00FA0BEC">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B7A199" w14:textId="77777777" w:rsidR="00047FAE" w:rsidRPr="00570AA9" w:rsidRDefault="00047FAE" w:rsidP="00FA0BEC">
            <w:pPr>
              <w:jc w:val="center"/>
              <w:rPr>
                <w:u w:val="single"/>
              </w:rPr>
            </w:pPr>
            <w:r w:rsidRPr="00570AA9">
              <w:rPr>
                <w:u w:val="single"/>
              </w:rPr>
              <w:t>17.9b</w:t>
            </w:r>
          </w:p>
        </w:tc>
        <w:tc>
          <w:tcPr>
            <w:tcW w:w="7080" w:type="dxa"/>
            <w:tcBorders>
              <w:top w:val="nil"/>
              <w:left w:val="nil"/>
              <w:bottom w:val="single" w:sz="8" w:space="0" w:color="auto"/>
              <w:right w:val="single" w:sz="8" w:space="0" w:color="auto"/>
            </w:tcBorders>
            <w:tcMar>
              <w:top w:w="0" w:type="dxa"/>
              <w:left w:w="108" w:type="dxa"/>
              <w:bottom w:w="0" w:type="dxa"/>
              <w:right w:w="108" w:type="dxa"/>
            </w:tcMar>
          </w:tcPr>
          <w:p w14:paraId="25BF4852" w14:textId="77777777" w:rsidR="00047FAE" w:rsidRPr="00570AA9" w:rsidRDefault="00047FAE" w:rsidP="00FA0BEC">
            <w:pPr>
              <w:jc w:val="center"/>
              <w:rPr>
                <w:u w:val="single"/>
              </w:rPr>
            </w:pPr>
            <w:r w:rsidRPr="00570AA9">
              <w:rPr>
                <w:u w:val="single"/>
              </w:rPr>
              <w:t>Total Medicare Advantage contracted providers paid based risk-based payments not linked to quality (e.g. 3N in the APM definitional framework)</w:t>
            </w:r>
          </w:p>
        </w:tc>
      </w:tr>
      <w:tr w:rsidR="00047FAE" w14:paraId="222E5E0F" w14:textId="77777777" w:rsidTr="00FA0BEC">
        <w:tc>
          <w:tcPr>
            <w:tcW w:w="1548" w:type="dxa"/>
            <w:tcBorders>
              <w:top w:val="nil"/>
              <w:left w:val="single" w:sz="8" w:space="0" w:color="auto"/>
              <w:bottom w:val="nil"/>
              <w:right w:val="single" w:sz="8" w:space="0" w:color="auto"/>
            </w:tcBorders>
            <w:tcMar>
              <w:top w:w="0" w:type="dxa"/>
              <w:left w:w="108" w:type="dxa"/>
              <w:bottom w:w="0" w:type="dxa"/>
              <w:right w:w="108" w:type="dxa"/>
            </w:tcMar>
            <w:hideMark/>
          </w:tcPr>
          <w:p w14:paraId="3D6683FC" w14:textId="77777777" w:rsidR="00047FAE" w:rsidRPr="00F137D1" w:rsidRDefault="00047FAE" w:rsidP="00FA0BEC">
            <w:pPr>
              <w:jc w:val="center"/>
            </w:pPr>
            <w:r w:rsidRPr="00F137D1">
              <w:t>17.10</w:t>
            </w:r>
            <w:r>
              <w:t>a</w:t>
            </w:r>
          </w:p>
        </w:tc>
        <w:tc>
          <w:tcPr>
            <w:tcW w:w="7080" w:type="dxa"/>
            <w:tcBorders>
              <w:top w:val="nil"/>
              <w:left w:val="nil"/>
              <w:bottom w:val="nil"/>
              <w:right w:val="single" w:sz="8" w:space="0" w:color="auto"/>
            </w:tcBorders>
            <w:tcMar>
              <w:top w:w="0" w:type="dxa"/>
              <w:left w:w="108" w:type="dxa"/>
              <w:bottom w:w="0" w:type="dxa"/>
              <w:right w:w="108" w:type="dxa"/>
            </w:tcMar>
            <w:hideMark/>
          </w:tcPr>
          <w:p w14:paraId="20E23C41" w14:textId="77777777" w:rsidR="00047FAE" w:rsidRDefault="00047FAE" w:rsidP="00FA0BEC">
            <w:pPr>
              <w:jc w:val="center"/>
            </w:pPr>
            <w:r w:rsidRPr="00F137D1">
              <w:t>Total Medicare Advantage contracted providers paid based on population based payment</w:t>
            </w:r>
            <w:r>
              <w:t xml:space="preserve"> (category 4)</w:t>
            </w:r>
            <w:r w:rsidRPr="00F137D1">
              <w:t>.</w:t>
            </w:r>
          </w:p>
        </w:tc>
      </w:tr>
      <w:tr w:rsidR="00047FAE" w14:paraId="39ED3E44" w14:textId="77777777" w:rsidTr="00FA0BEC">
        <w:tc>
          <w:tcPr>
            <w:tcW w:w="15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DB341F" w14:textId="77777777" w:rsidR="00047FAE" w:rsidRPr="00570AA9" w:rsidRDefault="00047FAE" w:rsidP="00FA0BEC">
            <w:pPr>
              <w:jc w:val="center"/>
              <w:rPr>
                <w:u w:val="single"/>
              </w:rPr>
            </w:pPr>
            <w:r w:rsidRPr="00570AA9">
              <w:rPr>
                <w:u w:val="single"/>
              </w:rPr>
              <w:t>17.10b</w:t>
            </w:r>
          </w:p>
        </w:tc>
        <w:tc>
          <w:tcPr>
            <w:tcW w:w="7080" w:type="dxa"/>
            <w:tcBorders>
              <w:top w:val="nil"/>
              <w:left w:val="nil"/>
              <w:bottom w:val="single" w:sz="8" w:space="0" w:color="auto"/>
              <w:right w:val="single" w:sz="8" w:space="0" w:color="auto"/>
            </w:tcBorders>
            <w:tcMar>
              <w:top w:w="0" w:type="dxa"/>
              <w:left w:w="108" w:type="dxa"/>
              <w:bottom w:w="0" w:type="dxa"/>
              <w:right w:w="108" w:type="dxa"/>
            </w:tcMar>
          </w:tcPr>
          <w:p w14:paraId="5F6B7ED3" w14:textId="77777777" w:rsidR="00047FAE" w:rsidRPr="00570AA9" w:rsidRDefault="00047FAE" w:rsidP="00FA0BEC">
            <w:pPr>
              <w:jc w:val="center"/>
              <w:rPr>
                <w:u w:val="single"/>
              </w:rPr>
            </w:pPr>
            <w:r w:rsidRPr="00570AA9">
              <w:rPr>
                <w:u w:val="single"/>
              </w:rPr>
              <w:t>Total Medicare Advantage contracted providers paid based on capitation with no link to quality (e.g. category 4N in the APM definitional framework).</w:t>
            </w:r>
          </w:p>
        </w:tc>
      </w:tr>
    </w:tbl>
    <w:p w14:paraId="5D7A99D5" w14:textId="77777777" w:rsidR="00047FAE" w:rsidRDefault="00047FAE" w:rsidP="00047FAE">
      <w:pPr>
        <w:rPr>
          <w:rFonts w:ascii="Calibri" w:eastAsiaTheme="minorHAnsi" w:hAnsi="Calibri"/>
          <w:sz w:val="22"/>
          <w:szCs w:val="22"/>
          <w:u w:val="single"/>
        </w:rPr>
      </w:pPr>
      <w:r>
        <w:rPr>
          <w:u w:val="single"/>
        </w:rPr>
        <w:br w:type="page"/>
      </w:r>
    </w:p>
    <w:p w14:paraId="42F04869" w14:textId="77777777" w:rsidR="0061639A" w:rsidRPr="00EE18CE" w:rsidRDefault="0061639A" w:rsidP="00327BCB">
      <w:pPr>
        <w:rPr>
          <w:b/>
        </w:rPr>
      </w:pPr>
      <w:bookmarkStart w:id="63" w:name="_Toc436825825"/>
      <w:r w:rsidRPr="00EE18CE">
        <w:rPr>
          <w:b/>
          <w:caps/>
        </w:rPr>
        <w:lastRenderedPageBreak/>
        <w:t>Appendix 1:  FAQs: Reporting Sections 5 &amp; 6:</w:t>
      </w:r>
      <w:bookmarkEnd w:id="63"/>
      <w:r w:rsidRPr="00EE18CE">
        <w:rPr>
          <w:b/>
          <w:caps/>
        </w:rPr>
        <w:t xml:space="preserve"> </w:t>
      </w:r>
    </w:p>
    <w:p w14:paraId="1716BAB1" w14:textId="77777777" w:rsidR="0061639A" w:rsidRPr="00A52D1D" w:rsidRDefault="0061639A" w:rsidP="00C36585">
      <w:pPr>
        <w:spacing w:before="240"/>
        <w:jc w:val="center"/>
      </w:pPr>
      <w:bookmarkStart w:id="64" w:name="_Toc436825826"/>
      <w:r w:rsidRPr="00C36585">
        <w:rPr>
          <w:b/>
        </w:rPr>
        <w:t>Grievances, Organization Determinations, &amp; Reconsiderations</w:t>
      </w:r>
      <w:bookmarkEnd w:id="64"/>
    </w:p>
    <w:p w14:paraId="5E04C3E8" w14:textId="77777777" w:rsidR="0061639A" w:rsidRPr="00E70D4D" w:rsidRDefault="0061639A" w:rsidP="0061639A">
      <w:pPr>
        <w:rPr>
          <w:sz w:val="22"/>
          <w:szCs w:val="22"/>
        </w:rPr>
      </w:pPr>
    </w:p>
    <w:tbl>
      <w:tblPr>
        <w:tblpPr w:leftFromText="180" w:rightFromText="180" w:vertAnchor="text" w:horzAnchor="margin" w:tblpXSpec="center" w:tblpY="7"/>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96"/>
        <w:gridCol w:w="4573"/>
        <w:gridCol w:w="3707"/>
      </w:tblGrid>
      <w:tr w:rsidR="0061639A" w:rsidRPr="00E70D4D" w14:paraId="1CA3676C" w14:textId="77777777" w:rsidTr="002110D9">
        <w:trPr>
          <w:trHeight w:val="600"/>
          <w:tblHeader/>
        </w:trPr>
        <w:tc>
          <w:tcPr>
            <w:tcW w:w="129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DC908A" w14:textId="77777777" w:rsidR="0061639A" w:rsidRPr="00E70D4D" w:rsidRDefault="0061639A" w:rsidP="00B25F55">
            <w:pPr>
              <w:spacing w:after="200" w:line="276" w:lineRule="auto"/>
              <w:rPr>
                <w:rFonts w:eastAsiaTheme="minorHAnsi"/>
                <w:sz w:val="22"/>
                <w:szCs w:val="22"/>
              </w:rPr>
            </w:pPr>
          </w:p>
        </w:tc>
        <w:tc>
          <w:tcPr>
            <w:tcW w:w="457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A20899" w14:textId="77777777" w:rsidR="0061639A" w:rsidRPr="00E70D4D" w:rsidRDefault="0061639A" w:rsidP="00B25F55">
            <w:pPr>
              <w:spacing w:line="276" w:lineRule="auto"/>
              <w:jc w:val="center"/>
              <w:rPr>
                <w:b/>
                <w:bCs/>
                <w:sz w:val="22"/>
                <w:szCs w:val="22"/>
              </w:rPr>
            </w:pPr>
            <w:r w:rsidRPr="00E70D4D">
              <w:rPr>
                <w:b/>
                <w:bCs/>
                <w:sz w:val="22"/>
                <w:szCs w:val="22"/>
              </w:rPr>
              <w:t>PLAN INQUIRIES</w:t>
            </w:r>
          </w:p>
        </w:tc>
        <w:tc>
          <w:tcPr>
            <w:tcW w:w="37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A30C932" w14:textId="77777777" w:rsidR="0061639A" w:rsidRPr="00E70D4D" w:rsidRDefault="0061639A" w:rsidP="00B25F55">
            <w:pPr>
              <w:spacing w:line="276" w:lineRule="auto"/>
              <w:jc w:val="center"/>
              <w:rPr>
                <w:b/>
                <w:bCs/>
                <w:sz w:val="22"/>
                <w:szCs w:val="22"/>
              </w:rPr>
            </w:pPr>
            <w:r w:rsidRPr="00E70D4D">
              <w:rPr>
                <w:b/>
                <w:bCs/>
                <w:sz w:val="22"/>
                <w:szCs w:val="22"/>
              </w:rPr>
              <w:t>CMS RESPONSES</w:t>
            </w:r>
          </w:p>
        </w:tc>
      </w:tr>
      <w:tr w:rsidR="0061639A" w:rsidRPr="00E70D4D" w14:paraId="0E1393CF" w14:textId="77777777" w:rsidTr="003D374C">
        <w:trPr>
          <w:trHeight w:val="2540"/>
        </w:trPr>
        <w:tc>
          <w:tcPr>
            <w:tcW w:w="1296" w:type="dxa"/>
            <w:vMerge w:val="restart"/>
            <w:tcBorders>
              <w:top w:val="single" w:sz="4" w:space="0" w:color="auto"/>
              <w:left w:val="single" w:sz="4" w:space="0" w:color="auto"/>
              <w:bottom w:val="single" w:sz="4" w:space="0" w:color="auto"/>
              <w:right w:val="single" w:sz="4" w:space="0" w:color="auto"/>
            </w:tcBorders>
            <w:hideMark/>
          </w:tcPr>
          <w:p w14:paraId="43C34F0F" w14:textId="77777777" w:rsidR="00EB7520" w:rsidRDefault="00EB7520" w:rsidP="0040019D">
            <w:pPr>
              <w:pStyle w:val="ListParagraph"/>
              <w:numPr>
                <w:ilvl w:val="0"/>
                <w:numId w:val="10"/>
              </w:numPr>
              <w:spacing w:line="276" w:lineRule="auto"/>
              <w:jc w:val="center"/>
              <w:rPr>
                <w:rFonts w:ascii="Times New Roman" w:hAnsi="Times New Roman"/>
              </w:rPr>
            </w:pPr>
          </w:p>
        </w:tc>
        <w:tc>
          <w:tcPr>
            <w:tcW w:w="4573" w:type="dxa"/>
            <w:vMerge w:val="restart"/>
            <w:tcBorders>
              <w:top w:val="single" w:sz="4" w:space="0" w:color="auto"/>
              <w:left w:val="single" w:sz="4" w:space="0" w:color="auto"/>
              <w:bottom w:val="single" w:sz="4" w:space="0" w:color="auto"/>
              <w:right w:val="single" w:sz="4" w:space="0" w:color="auto"/>
            </w:tcBorders>
            <w:hideMark/>
          </w:tcPr>
          <w:p w14:paraId="36BCCE76" w14:textId="142B0DA6" w:rsidR="0061639A" w:rsidRPr="00E70D4D" w:rsidRDefault="0061639A" w:rsidP="00715604">
            <w:pPr>
              <w:spacing w:line="276" w:lineRule="auto"/>
              <w:rPr>
                <w:sz w:val="22"/>
                <w:szCs w:val="22"/>
              </w:rPr>
            </w:pPr>
            <w:r w:rsidRPr="00E70D4D">
              <w:rPr>
                <w:sz w:val="22"/>
                <w:szCs w:val="22"/>
              </w:rPr>
              <w:t>Should plans report informal complaints as Grievances under the Part C reporting requirements?  For example</w:t>
            </w:r>
            <w:r w:rsidR="00715604">
              <w:rPr>
                <w:sz w:val="22"/>
                <w:szCs w:val="22"/>
              </w:rPr>
              <w:t>,</w:t>
            </w:r>
            <w:r w:rsidRPr="00E70D4D">
              <w:rPr>
                <w:sz w:val="22"/>
                <w:szCs w:val="22"/>
              </w:rPr>
              <w:t xml:space="preserve"> During the course of a home visit, a member expresses dissatisfaction regarding a particular issue.  The member does not contact the plan directly to file a complaint, but the plan representative determines the member is not happy and logs the issue for Quality Improvement tracking.  </w:t>
            </w:r>
          </w:p>
        </w:tc>
        <w:tc>
          <w:tcPr>
            <w:tcW w:w="3707" w:type="dxa"/>
            <w:tcBorders>
              <w:top w:val="single" w:sz="4" w:space="0" w:color="auto"/>
              <w:left w:val="single" w:sz="4" w:space="0" w:color="auto"/>
              <w:bottom w:val="single" w:sz="4" w:space="0" w:color="auto"/>
              <w:right w:val="single" w:sz="4" w:space="0" w:color="auto"/>
            </w:tcBorders>
            <w:hideMark/>
          </w:tcPr>
          <w:p w14:paraId="044960CF" w14:textId="77777777" w:rsidR="0061639A" w:rsidRPr="00E70D4D" w:rsidRDefault="0061639A" w:rsidP="00B25F55">
            <w:pPr>
              <w:spacing w:line="276" w:lineRule="auto"/>
              <w:rPr>
                <w:sz w:val="22"/>
                <w:szCs w:val="22"/>
              </w:rPr>
            </w:pPr>
            <w:r w:rsidRPr="00E70D4D">
              <w:rPr>
                <w:sz w:val="22"/>
                <w:szCs w:val="22"/>
              </w:rPr>
              <w:t>Plans are to report any grievances filed directly with the plan and processed in accordance with the plan grievance procedures outlined under 42 CFR Part 422, Subpart M.  Plans are not to report complaints made to providers, such as the complaint in the example provided, that are not filed with the plan.</w:t>
            </w:r>
          </w:p>
        </w:tc>
      </w:tr>
      <w:tr w:rsidR="0061639A" w:rsidRPr="00E70D4D" w14:paraId="760ADFF3" w14:textId="77777777" w:rsidTr="003D374C">
        <w:trPr>
          <w:trHeight w:val="70"/>
        </w:trPr>
        <w:tc>
          <w:tcPr>
            <w:tcW w:w="1296" w:type="dxa"/>
            <w:vMerge/>
            <w:tcBorders>
              <w:top w:val="single" w:sz="4" w:space="0" w:color="auto"/>
              <w:left w:val="single" w:sz="4" w:space="0" w:color="auto"/>
              <w:bottom w:val="single" w:sz="4" w:space="0" w:color="auto"/>
              <w:right w:val="single" w:sz="4" w:space="0" w:color="auto"/>
            </w:tcBorders>
            <w:vAlign w:val="center"/>
            <w:hideMark/>
          </w:tcPr>
          <w:p w14:paraId="201A1EEE" w14:textId="77777777" w:rsidR="00EB7520" w:rsidRDefault="00EB7520" w:rsidP="0040019D">
            <w:pPr>
              <w:pStyle w:val="ListParagraph"/>
              <w:numPr>
                <w:ilvl w:val="0"/>
                <w:numId w:val="10"/>
              </w:numPr>
              <w:jc w:val="center"/>
              <w:rPr>
                <w:rFonts w:ascii="Times New Roman" w:hAnsi="Times New Roman"/>
              </w:rPr>
            </w:pPr>
          </w:p>
        </w:tc>
        <w:tc>
          <w:tcPr>
            <w:tcW w:w="4573" w:type="dxa"/>
            <w:vMerge/>
            <w:tcBorders>
              <w:top w:val="single" w:sz="4" w:space="0" w:color="auto"/>
              <w:left w:val="single" w:sz="4" w:space="0" w:color="auto"/>
              <w:bottom w:val="single" w:sz="4" w:space="0" w:color="auto"/>
              <w:right w:val="single" w:sz="4" w:space="0" w:color="auto"/>
            </w:tcBorders>
            <w:vAlign w:val="center"/>
            <w:hideMark/>
          </w:tcPr>
          <w:p w14:paraId="252142D1" w14:textId="77777777" w:rsidR="0061639A" w:rsidRPr="00E70D4D" w:rsidRDefault="0061639A" w:rsidP="00B25F55">
            <w:pPr>
              <w:rPr>
                <w:sz w:val="22"/>
                <w:szCs w:val="22"/>
              </w:rPr>
            </w:pPr>
          </w:p>
        </w:tc>
        <w:tc>
          <w:tcPr>
            <w:tcW w:w="3707" w:type="dxa"/>
            <w:tcBorders>
              <w:top w:val="single" w:sz="4" w:space="0" w:color="auto"/>
              <w:left w:val="single" w:sz="4" w:space="0" w:color="auto"/>
              <w:bottom w:val="single" w:sz="4" w:space="0" w:color="auto"/>
              <w:right w:val="single" w:sz="4" w:space="0" w:color="auto"/>
            </w:tcBorders>
            <w:hideMark/>
          </w:tcPr>
          <w:p w14:paraId="080D01CE" w14:textId="77777777" w:rsidR="0061639A" w:rsidRPr="00E70D4D" w:rsidRDefault="0061639A" w:rsidP="00B25F55">
            <w:pPr>
              <w:spacing w:line="276" w:lineRule="auto"/>
              <w:rPr>
                <w:rFonts w:eastAsiaTheme="minorHAnsi"/>
                <w:sz w:val="22"/>
                <w:szCs w:val="22"/>
              </w:rPr>
            </w:pPr>
          </w:p>
        </w:tc>
      </w:tr>
      <w:tr w:rsidR="0061639A" w:rsidRPr="00E70D4D" w14:paraId="1704D242" w14:textId="77777777" w:rsidTr="003D374C">
        <w:trPr>
          <w:trHeight w:val="1215"/>
        </w:trPr>
        <w:tc>
          <w:tcPr>
            <w:tcW w:w="1296" w:type="dxa"/>
            <w:tcBorders>
              <w:top w:val="single" w:sz="4" w:space="0" w:color="auto"/>
              <w:left w:val="single" w:sz="4" w:space="0" w:color="auto"/>
              <w:bottom w:val="single" w:sz="4" w:space="0" w:color="auto"/>
              <w:right w:val="single" w:sz="4" w:space="0" w:color="auto"/>
            </w:tcBorders>
            <w:hideMark/>
          </w:tcPr>
          <w:p w14:paraId="1A3E5C40" w14:textId="77777777" w:rsidR="00EB7520" w:rsidRDefault="00EB7520" w:rsidP="0040019D">
            <w:pPr>
              <w:pStyle w:val="ListParagraph"/>
              <w:numPr>
                <w:ilvl w:val="0"/>
                <w:numId w:val="10"/>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14:paraId="6565B72C" w14:textId="77777777" w:rsidR="0061639A" w:rsidRPr="00E70D4D" w:rsidRDefault="0061639A" w:rsidP="00B25F55">
            <w:pPr>
              <w:spacing w:line="276" w:lineRule="auto"/>
              <w:rPr>
                <w:sz w:val="22"/>
                <w:szCs w:val="22"/>
              </w:rPr>
            </w:pPr>
            <w:r w:rsidRPr="00E70D4D">
              <w:rPr>
                <w:sz w:val="22"/>
                <w:szCs w:val="22"/>
              </w:rPr>
              <w:t xml:space="preserve">Should plans report </w:t>
            </w:r>
            <w:r w:rsidRPr="009B5CBA">
              <w:rPr>
                <w:b/>
                <w:sz w:val="22"/>
                <w:szCs w:val="22"/>
              </w:rPr>
              <w:t>all</w:t>
            </w:r>
            <w:r w:rsidRPr="00E70D4D">
              <w:rPr>
                <w:sz w:val="22"/>
                <w:szCs w:val="22"/>
              </w:rPr>
              <w:t xml:space="preserve"> Dual Eligible member grievances to CMS?  </w:t>
            </w:r>
          </w:p>
        </w:tc>
        <w:tc>
          <w:tcPr>
            <w:tcW w:w="3707" w:type="dxa"/>
            <w:tcBorders>
              <w:top w:val="single" w:sz="4" w:space="0" w:color="auto"/>
              <w:left w:val="single" w:sz="4" w:space="0" w:color="auto"/>
              <w:bottom w:val="single" w:sz="4" w:space="0" w:color="auto"/>
              <w:right w:val="single" w:sz="4" w:space="0" w:color="auto"/>
            </w:tcBorders>
            <w:hideMark/>
          </w:tcPr>
          <w:p w14:paraId="0A310E78" w14:textId="58385EE0" w:rsidR="0061639A" w:rsidRPr="00E70D4D" w:rsidRDefault="0061639A" w:rsidP="002D249A">
            <w:pPr>
              <w:spacing w:line="276" w:lineRule="auto"/>
              <w:rPr>
                <w:sz w:val="22"/>
                <w:szCs w:val="22"/>
              </w:rPr>
            </w:pPr>
            <w:r w:rsidRPr="00E70D4D">
              <w:rPr>
                <w:sz w:val="22"/>
                <w:szCs w:val="22"/>
              </w:rPr>
              <w:t xml:space="preserve">No.  Plans are only to report Dual Eligible member grievances processed in accordance with the  grievance procedures outlined under 42 CFR Part 422, Subpart M.  </w:t>
            </w:r>
            <w:r w:rsidR="00CF5D36" w:rsidRPr="00326277">
              <w:rPr>
                <w:sz w:val="22"/>
                <w:szCs w:val="22"/>
              </w:rPr>
              <w:t xml:space="preserve">For example, grievances </w:t>
            </w:r>
            <w:r w:rsidR="0088238C" w:rsidRPr="00326277">
              <w:rPr>
                <w:sz w:val="22"/>
                <w:szCs w:val="22"/>
              </w:rPr>
              <w:t>filed under</w:t>
            </w:r>
            <w:r w:rsidR="00CF5D36" w:rsidRPr="00326277">
              <w:rPr>
                <w:sz w:val="22"/>
                <w:szCs w:val="22"/>
              </w:rPr>
              <w:t xml:space="preserve"> the state Medicaid process but not filed with </w:t>
            </w:r>
            <w:r w:rsidR="0088238C" w:rsidRPr="00326277">
              <w:rPr>
                <w:sz w:val="22"/>
                <w:szCs w:val="22"/>
              </w:rPr>
              <w:t>the plan</w:t>
            </w:r>
            <w:r w:rsidR="00CF5D36" w:rsidRPr="00326277">
              <w:rPr>
                <w:sz w:val="22"/>
                <w:szCs w:val="22"/>
              </w:rPr>
              <w:t xml:space="preserve"> and addressed under the plan’s Subpart M grievance process, should not be reported.”</w:t>
            </w:r>
          </w:p>
        </w:tc>
      </w:tr>
      <w:tr w:rsidR="0061639A" w:rsidRPr="00E70D4D" w14:paraId="40578156" w14:textId="77777777" w:rsidTr="003D374C">
        <w:trPr>
          <w:trHeight w:val="1215"/>
        </w:trPr>
        <w:tc>
          <w:tcPr>
            <w:tcW w:w="1296" w:type="dxa"/>
            <w:tcBorders>
              <w:top w:val="single" w:sz="4" w:space="0" w:color="auto"/>
              <w:left w:val="single" w:sz="4" w:space="0" w:color="auto"/>
              <w:bottom w:val="single" w:sz="4" w:space="0" w:color="auto"/>
              <w:right w:val="single" w:sz="4" w:space="0" w:color="auto"/>
            </w:tcBorders>
            <w:hideMark/>
          </w:tcPr>
          <w:p w14:paraId="2F02FE73" w14:textId="77777777" w:rsidR="00EB7520" w:rsidRDefault="00EB7520" w:rsidP="0040019D">
            <w:pPr>
              <w:pStyle w:val="ListParagraph"/>
              <w:numPr>
                <w:ilvl w:val="0"/>
                <w:numId w:val="10"/>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14:paraId="20E85EC4" w14:textId="52B75E17" w:rsidR="0061639A" w:rsidRPr="00E70D4D" w:rsidRDefault="0061639A" w:rsidP="00B25F55">
            <w:pPr>
              <w:spacing w:line="276" w:lineRule="auto"/>
              <w:rPr>
                <w:sz w:val="22"/>
                <w:szCs w:val="22"/>
              </w:rPr>
            </w:pPr>
            <w:r w:rsidRPr="00E70D4D">
              <w:rPr>
                <w:sz w:val="22"/>
                <w:szCs w:val="22"/>
              </w:rPr>
              <w:t>Is a plan to report a grievance, organization determination or reconsideration to CMS when the plan makes the final decision or when the request is received</w:t>
            </w:r>
            <w:r w:rsidR="00715604" w:rsidRPr="00E70D4D">
              <w:rPr>
                <w:sz w:val="22"/>
                <w:szCs w:val="22"/>
              </w:rPr>
              <w:t xml:space="preserve">?  </w:t>
            </w:r>
          </w:p>
        </w:tc>
        <w:tc>
          <w:tcPr>
            <w:tcW w:w="3707" w:type="dxa"/>
            <w:tcBorders>
              <w:top w:val="single" w:sz="4" w:space="0" w:color="auto"/>
              <w:left w:val="single" w:sz="4" w:space="0" w:color="auto"/>
              <w:bottom w:val="single" w:sz="4" w:space="0" w:color="auto"/>
              <w:right w:val="single" w:sz="4" w:space="0" w:color="auto"/>
            </w:tcBorders>
            <w:hideMark/>
          </w:tcPr>
          <w:p w14:paraId="0D8848A4" w14:textId="77777777" w:rsidR="0061639A" w:rsidRPr="00E70D4D" w:rsidRDefault="0061639A" w:rsidP="00B25F55">
            <w:pPr>
              <w:spacing w:line="276" w:lineRule="auto"/>
              <w:rPr>
                <w:sz w:val="22"/>
                <w:szCs w:val="22"/>
              </w:rPr>
            </w:pPr>
            <w:r w:rsidRPr="00E70D4D">
              <w:rPr>
                <w:sz w:val="22"/>
                <w:szCs w:val="22"/>
              </w:rPr>
              <w:t>Plans are to report grievances, organization determinations and reconsiderations that were completed (i.e., plan has notified enrollee of its decision or provided or paid for a service, if applicable) during the reporting period, regardless of when the request was received.</w:t>
            </w:r>
          </w:p>
        </w:tc>
      </w:tr>
    </w:tbl>
    <w:p w14:paraId="78099E33" w14:textId="77777777" w:rsidR="0061639A" w:rsidRDefault="0061639A">
      <w:r>
        <w:br w:type="page"/>
      </w:r>
    </w:p>
    <w:tbl>
      <w:tblPr>
        <w:tblpPr w:leftFromText="180" w:rightFromText="180" w:vertAnchor="text" w:horzAnchor="margin" w:tblpXSpec="center" w:tblpY="7"/>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96"/>
        <w:gridCol w:w="4573"/>
        <w:gridCol w:w="3707"/>
      </w:tblGrid>
      <w:tr w:rsidR="0061639A" w:rsidRPr="00E70D4D" w14:paraId="1D1E3C08" w14:textId="77777777" w:rsidTr="0061639A">
        <w:trPr>
          <w:trHeight w:val="1215"/>
        </w:trPr>
        <w:tc>
          <w:tcPr>
            <w:tcW w:w="1296" w:type="dxa"/>
            <w:tcBorders>
              <w:top w:val="single" w:sz="4" w:space="0" w:color="auto"/>
              <w:left w:val="single" w:sz="4" w:space="0" w:color="auto"/>
              <w:bottom w:val="single" w:sz="4" w:space="0" w:color="auto"/>
              <w:right w:val="single" w:sz="4" w:space="0" w:color="auto"/>
            </w:tcBorders>
          </w:tcPr>
          <w:p w14:paraId="24070231" w14:textId="77777777" w:rsidR="00EB7520" w:rsidRDefault="00EB7520" w:rsidP="0040019D">
            <w:pPr>
              <w:pStyle w:val="ListParagraph"/>
              <w:numPr>
                <w:ilvl w:val="0"/>
                <w:numId w:val="10"/>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tcPr>
          <w:p w14:paraId="3BEBC86D" w14:textId="77777777" w:rsidR="0061639A" w:rsidRPr="00E70D4D" w:rsidRDefault="0061639A" w:rsidP="00B25F55">
            <w:pPr>
              <w:spacing w:line="276" w:lineRule="auto"/>
              <w:rPr>
                <w:sz w:val="22"/>
                <w:szCs w:val="22"/>
              </w:rPr>
            </w:pPr>
            <w:r w:rsidRPr="00E70D4D">
              <w:rPr>
                <w:sz w:val="22"/>
                <w:szCs w:val="22"/>
              </w:rPr>
              <w:t xml:space="preserve">Are plans to report only those organization determinations defined under </w:t>
            </w:r>
            <w:r w:rsidRPr="00E70D4D">
              <w:rPr>
                <w:rFonts w:eastAsia="Calibri"/>
                <w:sz w:val="22"/>
                <w:szCs w:val="22"/>
              </w:rPr>
              <w:t>42 C.F.R. 422.566?</w:t>
            </w:r>
          </w:p>
        </w:tc>
        <w:tc>
          <w:tcPr>
            <w:tcW w:w="3707" w:type="dxa"/>
            <w:tcBorders>
              <w:top w:val="single" w:sz="4" w:space="0" w:color="auto"/>
              <w:left w:val="single" w:sz="4" w:space="0" w:color="auto"/>
              <w:bottom w:val="single" w:sz="4" w:space="0" w:color="auto"/>
              <w:right w:val="single" w:sz="4" w:space="0" w:color="auto"/>
            </w:tcBorders>
          </w:tcPr>
          <w:p w14:paraId="5F74C108" w14:textId="77777777" w:rsidR="0061639A" w:rsidRPr="00E70D4D" w:rsidRDefault="0061639A" w:rsidP="00B25F55">
            <w:pPr>
              <w:pStyle w:val="Default"/>
              <w:rPr>
                <w:rFonts w:ascii="Times New Roman" w:hAnsi="Times New Roman" w:cs="Times New Roman"/>
                <w:sz w:val="22"/>
                <w:szCs w:val="22"/>
              </w:rPr>
            </w:pPr>
            <w:r w:rsidRPr="00E70D4D">
              <w:rPr>
                <w:rFonts w:ascii="Times New Roman" w:eastAsia="Calibri" w:hAnsi="Times New Roman" w:cs="Times New Roman"/>
                <w:color w:val="auto"/>
                <w:sz w:val="22"/>
                <w:szCs w:val="22"/>
              </w:rPr>
              <w:t xml:space="preserve">CMS requires plans to report requests for payment and services, as described in the Part C Technical Specifications, </w:t>
            </w:r>
            <w:r w:rsidRPr="000F1894">
              <w:rPr>
                <w:rFonts w:ascii="Times New Roman" w:eastAsia="Calibri" w:hAnsi="Times New Roman" w:cs="Times New Roman"/>
                <w:color w:val="auto"/>
                <w:sz w:val="22"/>
                <w:szCs w:val="22"/>
              </w:rPr>
              <w:t xml:space="preserve">Reporting section 6.  </w:t>
            </w:r>
            <w:r w:rsidRPr="000F1894">
              <w:rPr>
                <w:rFonts w:ascii="Times New Roman" w:eastAsia="Calibri" w:hAnsi="Times New Roman" w:cs="Times New Roman"/>
                <w:sz w:val="22"/>
                <w:szCs w:val="22"/>
              </w:rPr>
              <w:t>Plans are to report requests for payment and services consistent with CMS regulations at 42 C.F.R. Part 422, Subpart M</w:t>
            </w:r>
            <w:r w:rsidRPr="000F1894">
              <w:rPr>
                <w:rFonts w:ascii="Times New Roman" w:eastAsia="Calibri" w:hAnsi="Times New Roman" w:cs="Times New Roman"/>
                <w:color w:val="auto"/>
                <w:sz w:val="22"/>
                <w:szCs w:val="22"/>
              </w:rPr>
              <w:t xml:space="preserve"> </w:t>
            </w:r>
            <w:r w:rsidRPr="000F1894">
              <w:rPr>
                <w:rFonts w:ascii="Times New Roman" w:eastAsia="Calibri" w:hAnsi="Times New Roman" w:cs="Times New Roman"/>
                <w:sz w:val="22"/>
                <w:szCs w:val="22"/>
              </w:rPr>
              <w:t>as “organization determinations</w:t>
            </w:r>
            <w:r>
              <w:rPr>
                <w:rFonts w:ascii="Times New Roman" w:eastAsia="Calibri" w:hAnsi="Times New Roman" w:cs="Times New Roman"/>
                <w:sz w:val="22"/>
                <w:szCs w:val="22"/>
              </w:rPr>
              <w:t>.</w:t>
            </w:r>
            <w:r w:rsidRPr="00E70D4D">
              <w:rPr>
                <w:rFonts w:ascii="Times New Roman" w:eastAsia="Calibri" w:hAnsi="Times New Roman" w:cs="Times New Roman"/>
                <w:sz w:val="22"/>
                <w:szCs w:val="22"/>
              </w:rPr>
              <w:t xml:space="preserve">” </w:t>
            </w:r>
            <w:r w:rsidRPr="00E70D4D">
              <w:rPr>
                <w:rFonts w:ascii="Times New Roman" w:eastAsia="Calibri" w:hAnsi="Times New Roman" w:cs="Times New Roman"/>
                <w:color w:val="auto"/>
                <w:sz w:val="22"/>
                <w:szCs w:val="22"/>
              </w:rPr>
              <w:t>For example, plans are to include adjudicated claims in the reportable data for Organization Determinations.</w:t>
            </w:r>
          </w:p>
        </w:tc>
      </w:tr>
      <w:tr w:rsidR="0061639A" w:rsidRPr="00E70D4D" w14:paraId="596D82AA" w14:textId="77777777" w:rsidTr="0061639A">
        <w:trPr>
          <w:trHeight w:val="960"/>
        </w:trPr>
        <w:tc>
          <w:tcPr>
            <w:tcW w:w="1296" w:type="dxa"/>
            <w:tcBorders>
              <w:top w:val="single" w:sz="4" w:space="0" w:color="auto"/>
              <w:left w:val="single" w:sz="4" w:space="0" w:color="auto"/>
              <w:bottom w:val="single" w:sz="4" w:space="0" w:color="auto"/>
              <w:right w:val="single" w:sz="4" w:space="0" w:color="auto"/>
            </w:tcBorders>
            <w:hideMark/>
          </w:tcPr>
          <w:p w14:paraId="2BF1B681" w14:textId="77777777" w:rsidR="00EB7520" w:rsidRDefault="00EB7520" w:rsidP="0040019D">
            <w:pPr>
              <w:pStyle w:val="ListParagraph"/>
              <w:numPr>
                <w:ilvl w:val="0"/>
                <w:numId w:val="10"/>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14:paraId="72F34428" w14:textId="77777777" w:rsidR="0061639A" w:rsidRPr="00E70D4D" w:rsidRDefault="0061639A" w:rsidP="00B25F55">
            <w:pPr>
              <w:spacing w:line="276" w:lineRule="auto"/>
              <w:rPr>
                <w:sz w:val="22"/>
                <w:szCs w:val="22"/>
              </w:rPr>
            </w:pPr>
            <w:r w:rsidRPr="00E70D4D">
              <w:rPr>
                <w:sz w:val="22"/>
                <w:szCs w:val="22"/>
              </w:rPr>
              <w:t xml:space="preserve">We are seeking information on how we should report pre-service requests and claims requests for this category.  Do you want fully favorable, partially favorable, and adverse for both pre-service requests and claims requests?  </w:t>
            </w:r>
          </w:p>
        </w:tc>
        <w:tc>
          <w:tcPr>
            <w:tcW w:w="3707" w:type="dxa"/>
            <w:tcBorders>
              <w:top w:val="single" w:sz="4" w:space="0" w:color="auto"/>
              <w:left w:val="single" w:sz="4" w:space="0" w:color="auto"/>
              <w:bottom w:val="single" w:sz="4" w:space="0" w:color="auto"/>
              <w:right w:val="single" w:sz="4" w:space="0" w:color="auto"/>
            </w:tcBorders>
            <w:hideMark/>
          </w:tcPr>
          <w:p w14:paraId="798AB5CD" w14:textId="77777777" w:rsidR="0061639A" w:rsidRPr="00E70D4D" w:rsidRDefault="0061639A" w:rsidP="00B25F55">
            <w:pPr>
              <w:spacing w:line="276" w:lineRule="auto"/>
              <w:rPr>
                <w:sz w:val="22"/>
                <w:szCs w:val="22"/>
              </w:rPr>
            </w:pPr>
            <w:r w:rsidRPr="00E70D4D">
              <w:rPr>
                <w:bCs/>
                <w:sz w:val="22"/>
                <w:szCs w:val="22"/>
              </w:rPr>
              <w:t xml:space="preserve">Yes.  Plans are to report </w:t>
            </w:r>
            <w:r w:rsidRPr="00E70D4D">
              <w:t>fully</w:t>
            </w:r>
            <w:r w:rsidRPr="00E70D4D">
              <w:rPr>
                <w:bCs/>
                <w:sz w:val="22"/>
                <w:szCs w:val="22"/>
              </w:rPr>
              <w:t xml:space="preserve"> favorable, partially </w:t>
            </w:r>
            <w:r w:rsidRPr="000F1894">
              <w:rPr>
                <w:bCs/>
                <w:sz w:val="22"/>
                <w:szCs w:val="22"/>
              </w:rPr>
              <w:t xml:space="preserve">favorable, and adverse pre-service and claims requests (organization determinations and </w:t>
            </w:r>
            <w:r w:rsidRPr="00E70D4D">
              <w:rPr>
                <w:bCs/>
                <w:sz w:val="22"/>
                <w:szCs w:val="22"/>
              </w:rPr>
              <w:t>reconsiderations)</w:t>
            </w:r>
            <w:r>
              <w:rPr>
                <w:bCs/>
                <w:sz w:val="22"/>
                <w:szCs w:val="22"/>
              </w:rPr>
              <w:t>, as described in this guidance</w:t>
            </w:r>
          </w:p>
        </w:tc>
      </w:tr>
      <w:tr w:rsidR="0061639A" w:rsidRPr="00E70D4D" w14:paraId="117A846C" w14:textId="77777777" w:rsidTr="0061639A">
        <w:trPr>
          <w:trHeight w:val="773"/>
        </w:trPr>
        <w:tc>
          <w:tcPr>
            <w:tcW w:w="1296" w:type="dxa"/>
            <w:tcBorders>
              <w:top w:val="single" w:sz="4" w:space="0" w:color="auto"/>
              <w:left w:val="single" w:sz="4" w:space="0" w:color="auto"/>
              <w:bottom w:val="single" w:sz="4" w:space="0" w:color="auto"/>
              <w:right w:val="single" w:sz="4" w:space="0" w:color="auto"/>
            </w:tcBorders>
            <w:hideMark/>
          </w:tcPr>
          <w:p w14:paraId="593AA413" w14:textId="77777777" w:rsidR="00EB7520" w:rsidRDefault="00EB7520" w:rsidP="0040019D">
            <w:pPr>
              <w:pStyle w:val="ListParagraph"/>
              <w:numPr>
                <w:ilvl w:val="0"/>
                <w:numId w:val="10"/>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noWrap/>
            <w:hideMark/>
          </w:tcPr>
          <w:p w14:paraId="39B55175" w14:textId="77777777" w:rsidR="0061639A" w:rsidRPr="00E70D4D" w:rsidRDefault="0061639A" w:rsidP="00B25F55">
            <w:pPr>
              <w:spacing w:line="276" w:lineRule="auto"/>
              <w:rPr>
                <w:sz w:val="22"/>
                <w:szCs w:val="22"/>
              </w:rPr>
            </w:pPr>
            <w:r w:rsidRPr="00E70D4D">
              <w:rPr>
                <w:sz w:val="22"/>
                <w:szCs w:val="22"/>
              </w:rPr>
              <w:t>If we have a prior authorization request and a claim for the same service -- is that considered a duplicate or should we report both?</w:t>
            </w:r>
          </w:p>
        </w:tc>
        <w:tc>
          <w:tcPr>
            <w:tcW w:w="3707" w:type="dxa"/>
            <w:tcBorders>
              <w:top w:val="single" w:sz="4" w:space="0" w:color="auto"/>
              <w:left w:val="single" w:sz="4" w:space="0" w:color="auto"/>
              <w:bottom w:val="single" w:sz="4" w:space="0" w:color="auto"/>
              <w:right w:val="single" w:sz="4" w:space="0" w:color="auto"/>
            </w:tcBorders>
            <w:hideMark/>
          </w:tcPr>
          <w:p w14:paraId="7C02C633" w14:textId="77777777" w:rsidR="0061639A" w:rsidRPr="00E70D4D" w:rsidRDefault="0061639A" w:rsidP="00B25F55">
            <w:pPr>
              <w:spacing w:line="276" w:lineRule="auto"/>
              <w:rPr>
                <w:b/>
                <w:bCs/>
                <w:sz w:val="22"/>
                <w:szCs w:val="22"/>
              </w:rPr>
            </w:pPr>
            <w:r w:rsidRPr="00E70D4D">
              <w:rPr>
                <w:sz w:val="22"/>
                <w:szCs w:val="22"/>
              </w:rPr>
              <w:t xml:space="preserve">Plans are to report </w:t>
            </w:r>
            <w:r w:rsidRPr="00E70D4D">
              <w:rPr>
                <w:b/>
                <w:sz w:val="22"/>
                <w:szCs w:val="22"/>
              </w:rPr>
              <w:t xml:space="preserve">both </w:t>
            </w:r>
            <w:r w:rsidRPr="00E70D4D">
              <w:rPr>
                <w:sz w:val="22"/>
                <w:szCs w:val="22"/>
              </w:rPr>
              <w:t xml:space="preserve">a prior authorization request and a claim for the same service; this is not considered a duplicate.  </w:t>
            </w:r>
          </w:p>
        </w:tc>
      </w:tr>
      <w:tr w:rsidR="0061639A" w:rsidRPr="00E70D4D" w14:paraId="014EA6E4" w14:textId="77777777" w:rsidTr="0061639A">
        <w:trPr>
          <w:trHeight w:val="720"/>
        </w:trPr>
        <w:tc>
          <w:tcPr>
            <w:tcW w:w="1296" w:type="dxa"/>
            <w:tcBorders>
              <w:top w:val="single" w:sz="4" w:space="0" w:color="auto"/>
              <w:left w:val="single" w:sz="4" w:space="0" w:color="auto"/>
              <w:bottom w:val="single" w:sz="4" w:space="0" w:color="auto"/>
              <w:right w:val="single" w:sz="4" w:space="0" w:color="auto"/>
            </w:tcBorders>
            <w:hideMark/>
          </w:tcPr>
          <w:p w14:paraId="2436DA4F" w14:textId="77777777" w:rsidR="00EB7520" w:rsidRDefault="00EB7520" w:rsidP="0040019D">
            <w:pPr>
              <w:pStyle w:val="ListParagraph"/>
              <w:numPr>
                <w:ilvl w:val="0"/>
                <w:numId w:val="10"/>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noWrap/>
            <w:hideMark/>
          </w:tcPr>
          <w:p w14:paraId="6761CF94" w14:textId="77777777" w:rsidR="0061639A" w:rsidRPr="00E70D4D" w:rsidRDefault="0061639A" w:rsidP="00B25F55">
            <w:pPr>
              <w:spacing w:line="276" w:lineRule="auto"/>
              <w:rPr>
                <w:sz w:val="22"/>
                <w:szCs w:val="22"/>
              </w:rPr>
            </w:pPr>
            <w:r w:rsidRPr="00E70D4D">
              <w:rPr>
                <w:sz w:val="22"/>
                <w:szCs w:val="22"/>
              </w:rPr>
              <w:t>Is a request for a predetermination to be counted as an organization determination?  Does it matter who requests the predetermination – contracted provider, non-contracted provider or member?  If so, should they also be counted as partially and fully unfavorable?</w:t>
            </w:r>
          </w:p>
        </w:tc>
        <w:tc>
          <w:tcPr>
            <w:tcW w:w="3707" w:type="dxa"/>
            <w:tcBorders>
              <w:top w:val="single" w:sz="4" w:space="0" w:color="auto"/>
              <w:left w:val="single" w:sz="4" w:space="0" w:color="auto"/>
              <w:bottom w:val="single" w:sz="4" w:space="0" w:color="auto"/>
              <w:right w:val="single" w:sz="4" w:space="0" w:color="auto"/>
            </w:tcBorders>
            <w:hideMark/>
          </w:tcPr>
          <w:p w14:paraId="2E655A87" w14:textId="77777777" w:rsidR="0061639A" w:rsidRPr="00E70D4D" w:rsidRDefault="0061639A" w:rsidP="00B25F55">
            <w:pPr>
              <w:spacing w:line="276" w:lineRule="auto"/>
              <w:rPr>
                <w:sz w:val="22"/>
                <w:szCs w:val="22"/>
              </w:rPr>
            </w:pPr>
            <w:r w:rsidRPr="00E70D4D">
              <w:rPr>
                <w:sz w:val="22"/>
                <w:szCs w:val="22"/>
              </w:rPr>
              <w:t>Organization determinations include a request for a pre-service (“predetermination”) decision submitted to the plan, regardless of who makes the pre-service request – e.g., a contracted provider, non-contracted provider or member.  Plans are to report partially favorable, adverse and fully favorable pre-service organization determinations</w:t>
            </w:r>
            <w:r>
              <w:rPr>
                <w:sz w:val="22"/>
                <w:szCs w:val="22"/>
              </w:rPr>
              <w:t>, as described in this guidance</w:t>
            </w:r>
            <w:r w:rsidRPr="00E70D4D">
              <w:rPr>
                <w:sz w:val="22"/>
                <w:szCs w:val="22"/>
              </w:rPr>
              <w:t>.</w:t>
            </w:r>
          </w:p>
        </w:tc>
      </w:tr>
      <w:tr w:rsidR="0061639A" w:rsidRPr="00E70D4D" w14:paraId="545A2CDB" w14:textId="77777777" w:rsidTr="0061639A">
        <w:trPr>
          <w:trHeight w:val="720"/>
        </w:trPr>
        <w:tc>
          <w:tcPr>
            <w:tcW w:w="1296" w:type="dxa"/>
            <w:tcBorders>
              <w:top w:val="single" w:sz="4" w:space="0" w:color="auto"/>
              <w:left w:val="single" w:sz="4" w:space="0" w:color="auto"/>
              <w:bottom w:val="single" w:sz="4" w:space="0" w:color="auto"/>
              <w:right w:val="single" w:sz="4" w:space="0" w:color="auto"/>
            </w:tcBorders>
            <w:hideMark/>
          </w:tcPr>
          <w:p w14:paraId="416534FF" w14:textId="77777777" w:rsidR="00EB7520" w:rsidRDefault="00EB7520" w:rsidP="0040019D">
            <w:pPr>
              <w:pStyle w:val="ListParagraph"/>
              <w:numPr>
                <w:ilvl w:val="0"/>
                <w:numId w:val="10"/>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noWrap/>
            <w:hideMark/>
          </w:tcPr>
          <w:p w14:paraId="62AEEF01" w14:textId="77777777" w:rsidR="0061639A" w:rsidRPr="00E70D4D" w:rsidRDefault="0061639A" w:rsidP="00B25F55">
            <w:pPr>
              <w:spacing w:line="276" w:lineRule="auto"/>
              <w:rPr>
                <w:sz w:val="22"/>
                <w:szCs w:val="22"/>
              </w:rPr>
            </w:pPr>
            <w:r w:rsidRPr="00E70D4D">
              <w:rPr>
                <w:sz w:val="22"/>
                <w:szCs w:val="22"/>
              </w:rPr>
              <w:t>Should plans report determinations made by delegated entities or only decisions that are made directly by the plan – e.g., should plans report decisions made by contracted radiology or dental groups?</w:t>
            </w:r>
          </w:p>
        </w:tc>
        <w:tc>
          <w:tcPr>
            <w:tcW w:w="3707" w:type="dxa"/>
            <w:tcBorders>
              <w:top w:val="single" w:sz="4" w:space="0" w:color="auto"/>
              <w:left w:val="single" w:sz="4" w:space="0" w:color="auto"/>
              <w:bottom w:val="single" w:sz="4" w:space="0" w:color="auto"/>
              <w:right w:val="single" w:sz="4" w:space="0" w:color="auto"/>
            </w:tcBorders>
            <w:hideMark/>
          </w:tcPr>
          <w:p w14:paraId="6C13F2E5" w14:textId="5FA17F75" w:rsidR="0061639A" w:rsidRPr="00E70D4D" w:rsidRDefault="0061639A" w:rsidP="00B25F55">
            <w:pPr>
              <w:spacing w:line="276" w:lineRule="auto"/>
              <w:rPr>
                <w:sz w:val="22"/>
                <w:szCs w:val="22"/>
              </w:rPr>
            </w:pPr>
            <w:r w:rsidRPr="00E70D4D">
              <w:rPr>
                <w:sz w:val="22"/>
                <w:szCs w:val="22"/>
              </w:rPr>
              <w:t>Yes.  Plans are to report decisions made by delegated entities – such as an external, contracted entity responsible for organization determinations (e.g., claims processing and pre-service decisions) or reconsiderations</w:t>
            </w:r>
            <w:r w:rsidR="00715604" w:rsidRPr="00E70D4D">
              <w:rPr>
                <w:sz w:val="22"/>
                <w:szCs w:val="22"/>
              </w:rPr>
              <w:t xml:space="preserve">.  </w:t>
            </w:r>
          </w:p>
        </w:tc>
      </w:tr>
    </w:tbl>
    <w:p w14:paraId="2277BC88" w14:textId="77777777" w:rsidR="0061639A" w:rsidRDefault="0061639A">
      <w:r>
        <w:br w:type="page"/>
      </w:r>
    </w:p>
    <w:tbl>
      <w:tblPr>
        <w:tblpPr w:leftFromText="180" w:rightFromText="180" w:vertAnchor="text" w:horzAnchor="margin" w:tblpXSpec="center" w:tblpY="7"/>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96"/>
        <w:gridCol w:w="4573"/>
        <w:gridCol w:w="3707"/>
      </w:tblGrid>
      <w:tr w:rsidR="0061639A" w:rsidRPr="00E70D4D" w14:paraId="654B4107" w14:textId="77777777" w:rsidTr="0061639A">
        <w:trPr>
          <w:trHeight w:val="710"/>
        </w:trPr>
        <w:tc>
          <w:tcPr>
            <w:tcW w:w="1296" w:type="dxa"/>
            <w:tcBorders>
              <w:top w:val="single" w:sz="4" w:space="0" w:color="auto"/>
              <w:left w:val="single" w:sz="4" w:space="0" w:color="auto"/>
              <w:bottom w:val="single" w:sz="4" w:space="0" w:color="auto"/>
              <w:right w:val="single" w:sz="4" w:space="0" w:color="auto"/>
            </w:tcBorders>
            <w:hideMark/>
          </w:tcPr>
          <w:p w14:paraId="66886141" w14:textId="77777777" w:rsidR="00EB7520" w:rsidRDefault="00EB7520" w:rsidP="0040019D">
            <w:pPr>
              <w:pStyle w:val="ListParagraph"/>
              <w:numPr>
                <w:ilvl w:val="0"/>
                <w:numId w:val="10"/>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14:paraId="1907EF21" w14:textId="77777777" w:rsidR="0061639A" w:rsidRPr="00E70D4D" w:rsidRDefault="0061639A" w:rsidP="00B25F55">
            <w:pPr>
              <w:spacing w:line="276" w:lineRule="auto"/>
              <w:rPr>
                <w:sz w:val="22"/>
                <w:szCs w:val="22"/>
              </w:rPr>
            </w:pPr>
            <w:r w:rsidRPr="00E70D4D">
              <w:rPr>
                <w:bCs/>
                <w:sz w:val="22"/>
                <w:szCs w:val="22"/>
              </w:rPr>
              <w:t>The Tech Specs advise plans to exclude certain duplicate/edits when reporting on the claim denial requirement.  Is the intent to exclude duplicates or is it to exclude "billing" errors or both?  For example, if a claim is denied because the provider didn’t submit the claim with the required modifier, should that be excluded from the count?</w:t>
            </w:r>
          </w:p>
        </w:tc>
        <w:tc>
          <w:tcPr>
            <w:tcW w:w="3707" w:type="dxa"/>
            <w:tcBorders>
              <w:top w:val="single" w:sz="4" w:space="0" w:color="auto"/>
              <w:left w:val="single" w:sz="4" w:space="0" w:color="auto"/>
              <w:bottom w:val="single" w:sz="4" w:space="0" w:color="auto"/>
              <w:right w:val="single" w:sz="4" w:space="0" w:color="auto"/>
            </w:tcBorders>
            <w:hideMark/>
          </w:tcPr>
          <w:p w14:paraId="606D89C5" w14:textId="1484FA78" w:rsidR="0061639A" w:rsidRPr="00E70D4D" w:rsidRDefault="0061639A" w:rsidP="00B25F55">
            <w:pPr>
              <w:spacing w:line="276" w:lineRule="auto"/>
              <w:rPr>
                <w:sz w:val="22"/>
                <w:szCs w:val="22"/>
              </w:rPr>
            </w:pPr>
            <w:r w:rsidRPr="00E70D4D">
              <w:rPr>
                <w:sz w:val="22"/>
                <w:szCs w:val="22"/>
              </w:rPr>
              <w:t>Plans should exclude duplicate claim submissions (e.g., a request for payment concerning the same service) and claims returned to a provider/supplier due to error (e.g., claim submissions or forms that are incomplete, invalid or do not meet the requirements for a Medicare claim)</w:t>
            </w:r>
            <w:r w:rsidR="00715604" w:rsidRPr="00E70D4D">
              <w:rPr>
                <w:sz w:val="22"/>
                <w:szCs w:val="22"/>
              </w:rPr>
              <w:t xml:space="preserve">.  </w:t>
            </w:r>
          </w:p>
        </w:tc>
      </w:tr>
      <w:tr w:rsidR="0061639A" w:rsidRPr="00E70D4D" w14:paraId="73543E8F" w14:textId="77777777" w:rsidTr="0061639A">
        <w:trPr>
          <w:trHeight w:val="800"/>
        </w:trPr>
        <w:tc>
          <w:tcPr>
            <w:tcW w:w="1296" w:type="dxa"/>
            <w:tcBorders>
              <w:top w:val="single" w:sz="4" w:space="0" w:color="auto"/>
              <w:left w:val="single" w:sz="4" w:space="0" w:color="auto"/>
              <w:bottom w:val="single" w:sz="4" w:space="0" w:color="auto"/>
              <w:right w:val="single" w:sz="4" w:space="0" w:color="auto"/>
            </w:tcBorders>
            <w:hideMark/>
          </w:tcPr>
          <w:p w14:paraId="130A8A0E" w14:textId="77777777" w:rsidR="00EB7520" w:rsidRDefault="00EB7520" w:rsidP="0040019D">
            <w:pPr>
              <w:pStyle w:val="ListParagraph"/>
              <w:numPr>
                <w:ilvl w:val="0"/>
                <w:numId w:val="10"/>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14:paraId="165EECC4" w14:textId="776A6968" w:rsidR="0061639A" w:rsidRPr="00E70D4D" w:rsidRDefault="0061639A" w:rsidP="00B25F55">
            <w:pPr>
              <w:spacing w:line="276" w:lineRule="auto"/>
              <w:rPr>
                <w:sz w:val="22"/>
                <w:szCs w:val="22"/>
              </w:rPr>
            </w:pPr>
            <w:r w:rsidRPr="00E70D4D">
              <w:rPr>
                <w:sz w:val="22"/>
                <w:szCs w:val="22"/>
              </w:rPr>
              <w:t xml:space="preserve">Do we have to include lab claims for this reporting section?  Do we need to report the ones which involve </w:t>
            </w:r>
            <w:r w:rsidRPr="00E70D4D">
              <w:rPr>
                <w:sz w:val="22"/>
                <w:szCs w:val="22"/>
                <w:u w:val="single"/>
              </w:rPr>
              <w:t>no pre-service</w:t>
            </w:r>
            <w:r w:rsidRPr="00E70D4D">
              <w:rPr>
                <w:sz w:val="22"/>
                <w:szCs w:val="22"/>
              </w:rPr>
              <w:t xml:space="preserve"> as well as the ones that involve pre-service?  </w:t>
            </w:r>
          </w:p>
        </w:tc>
        <w:tc>
          <w:tcPr>
            <w:tcW w:w="3707" w:type="dxa"/>
            <w:tcBorders>
              <w:top w:val="single" w:sz="4" w:space="0" w:color="auto"/>
              <w:left w:val="single" w:sz="4" w:space="0" w:color="auto"/>
              <w:bottom w:val="single" w:sz="4" w:space="0" w:color="auto"/>
              <w:right w:val="single" w:sz="4" w:space="0" w:color="auto"/>
            </w:tcBorders>
            <w:hideMark/>
          </w:tcPr>
          <w:p w14:paraId="52ADDF16" w14:textId="77777777" w:rsidR="0061639A" w:rsidRPr="00E70D4D" w:rsidRDefault="0061639A" w:rsidP="00B25F55">
            <w:pPr>
              <w:spacing w:line="276" w:lineRule="auto"/>
              <w:rPr>
                <w:sz w:val="22"/>
                <w:szCs w:val="22"/>
              </w:rPr>
            </w:pPr>
            <w:r w:rsidRPr="00E70D4D">
              <w:rPr>
                <w:bCs/>
                <w:sz w:val="22"/>
                <w:szCs w:val="22"/>
              </w:rPr>
              <w:t xml:space="preserve">Yes.  Plans are to report lab claims.  Even in the absence of a pre-service request, a request for payment (claim) is a reportable organization determination.  </w:t>
            </w:r>
          </w:p>
        </w:tc>
      </w:tr>
      <w:tr w:rsidR="0061639A" w:rsidRPr="00E70D4D" w14:paraId="23CB679B" w14:textId="77777777" w:rsidTr="0061639A">
        <w:trPr>
          <w:trHeight w:val="480"/>
        </w:trPr>
        <w:tc>
          <w:tcPr>
            <w:tcW w:w="1296" w:type="dxa"/>
            <w:tcBorders>
              <w:top w:val="single" w:sz="4" w:space="0" w:color="auto"/>
              <w:left w:val="single" w:sz="4" w:space="0" w:color="auto"/>
              <w:bottom w:val="single" w:sz="4" w:space="0" w:color="auto"/>
              <w:right w:val="single" w:sz="4" w:space="0" w:color="auto"/>
            </w:tcBorders>
            <w:hideMark/>
          </w:tcPr>
          <w:p w14:paraId="01F0DF8D" w14:textId="77777777" w:rsidR="00EB7520" w:rsidRDefault="00EB7520" w:rsidP="0040019D">
            <w:pPr>
              <w:pStyle w:val="ListParagraph"/>
              <w:numPr>
                <w:ilvl w:val="0"/>
                <w:numId w:val="10"/>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14:paraId="10BCD168" w14:textId="545FA7BC" w:rsidR="0061639A" w:rsidRPr="00E70D4D" w:rsidRDefault="0061639A" w:rsidP="00B25F55">
            <w:pPr>
              <w:spacing w:line="276" w:lineRule="auto"/>
              <w:rPr>
                <w:sz w:val="22"/>
                <w:szCs w:val="22"/>
              </w:rPr>
            </w:pPr>
            <w:r w:rsidRPr="00E70D4D">
              <w:rPr>
                <w:sz w:val="22"/>
                <w:szCs w:val="22"/>
              </w:rPr>
              <w:t xml:space="preserve">Enrollee is hospitalized for heart surgery, no prior authorization is required and the claim is paid timely in accordance with full benefit coverage.  </w:t>
            </w:r>
            <w:r w:rsidRPr="00E70D4D" w:rsidDel="002362B4">
              <w:rPr>
                <w:sz w:val="22"/>
                <w:szCs w:val="22"/>
              </w:rPr>
              <w:t>Our reading of the Medicare Managed Care Manual reveals that the organization is only required to notify the enrollee of Partially Favorable or Adverse decisions.  There is no requirement to notify enrollees of Fully Favorable decisions</w:t>
            </w:r>
            <w:r w:rsidR="00715604" w:rsidRPr="00E70D4D" w:rsidDel="002362B4">
              <w:rPr>
                <w:sz w:val="22"/>
                <w:szCs w:val="22"/>
              </w:rPr>
              <w:t xml:space="preserve">.  </w:t>
            </w:r>
            <w:r w:rsidRPr="00E70D4D">
              <w:rPr>
                <w:sz w:val="22"/>
                <w:szCs w:val="22"/>
                <w:u w:val="single"/>
              </w:rPr>
              <w:t xml:space="preserve">Is this an organization determination?  </w:t>
            </w:r>
          </w:p>
        </w:tc>
        <w:tc>
          <w:tcPr>
            <w:tcW w:w="3707" w:type="dxa"/>
            <w:tcBorders>
              <w:top w:val="single" w:sz="4" w:space="0" w:color="auto"/>
              <w:left w:val="single" w:sz="4" w:space="0" w:color="auto"/>
              <w:bottom w:val="single" w:sz="4" w:space="0" w:color="auto"/>
              <w:right w:val="single" w:sz="4" w:space="0" w:color="auto"/>
            </w:tcBorders>
            <w:hideMark/>
          </w:tcPr>
          <w:p w14:paraId="36BA4A91" w14:textId="648AA829" w:rsidR="0061639A" w:rsidRPr="00E70D4D" w:rsidRDefault="0061639A" w:rsidP="00B25F55">
            <w:pPr>
              <w:spacing w:line="276" w:lineRule="auto"/>
              <w:rPr>
                <w:sz w:val="22"/>
                <w:szCs w:val="22"/>
              </w:rPr>
            </w:pPr>
            <w:r w:rsidRPr="00E70D4D">
              <w:rPr>
                <w:sz w:val="22"/>
                <w:szCs w:val="22"/>
              </w:rPr>
              <w:t xml:space="preserve">Prior authorization is not required to consider a decision an organization determination.  A submitted claim is a request for an organization determination.  All paid claims are reportable (fully favorable) organization determinations.  </w:t>
            </w:r>
            <w:r w:rsidRPr="00E70D4D" w:rsidDel="002362B4">
              <w:rPr>
                <w:sz w:val="22"/>
                <w:szCs w:val="22"/>
              </w:rPr>
              <w:t>Timeframe and notification requirements for Fully Favorable determinations are described under 42 C.F.R 422.568(b) and (c)</w:t>
            </w:r>
            <w:r w:rsidR="00715604" w:rsidRPr="00E70D4D" w:rsidDel="002362B4">
              <w:rPr>
                <w:sz w:val="22"/>
                <w:szCs w:val="22"/>
              </w:rPr>
              <w:t xml:space="preserve">. </w:t>
            </w:r>
            <w:r w:rsidR="00715604" w:rsidRPr="00E70D4D">
              <w:rPr>
                <w:sz w:val="22"/>
                <w:szCs w:val="22"/>
              </w:rPr>
              <w:t xml:space="preserve"> </w:t>
            </w:r>
            <w:r w:rsidRPr="00E70D4D" w:rsidDel="002362B4">
              <w:rPr>
                <w:i/>
                <w:iCs/>
                <w:sz w:val="22"/>
                <w:szCs w:val="22"/>
              </w:rPr>
              <w:t>Written</w:t>
            </w:r>
            <w:r w:rsidRPr="00E70D4D" w:rsidDel="002362B4">
              <w:rPr>
                <w:sz w:val="22"/>
                <w:szCs w:val="22"/>
              </w:rPr>
              <w:t xml:space="preserve"> notice is required for Partially Favorable, and Adverse determinations.  </w:t>
            </w:r>
          </w:p>
        </w:tc>
      </w:tr>
      <w:tr w:rsidR="0061639A" w:rsidRPr="00E70D4D" w14:paraId="0197C21D" w14:textId="77777777" w:rsidTr="0061639A">
        <w:trPr>
          <w:trHeight w:val="800"/>
        </w:trPr>
        <w:tc>
          <w:tcPr>
            <w:tcW w:w="1296" w:type="dxa"/>
            <w:tcBorders>
              <w:top w:val="single" w:sz="4" w:space="0" w:color="auto"/>
              <w:left w:val="single" w:sz="4" w:space="0" w:color="auto"/>
              <w:bottom w:val="single" w:sz="4" w:space="0" w:color="auto"/>
              <w:right w:val="single" w:sz="4" w:space="0" w:color="auto"/>
            </w:tcBorders>
            <w:hideMark/>
          </w:tcPr>
          <w:p w14:paraId="4D52715C" w14:textId="77777777" w:rsidR="00EB7520" w:rsidRDefault="00EB7520" w:rsidP="0040019D">
            <w:pPr>
              <w:pStyle w:val="ListParagraph"/>
              <w:numPr>
                <w:ilvl w:val="0"/>
                <w:numId w:val="10"/>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14:paraId="6ED3BE45" w14:textId="77777777" w:rsidR="0061639A" w:rsidRPr="00FA5932" w:rsidRDefault="0061639A" w:rsidP="00B25F55">
            <w:pPr>
              <w:spacing w:line="276" w:lineRule="auto"/>
              <w:rPr>
                <w:sz w:val="22"/>
                <w:szCs w:val="22"/>
              </w:rPr>
            </w:pPr>
            <w:r w:rsidRPr="00FA5932">
              <w:rPr>
                <w:sz w:val="22"/>
                <w:szCs w:val="22"/>
              </w:rPr>
              <w:t xml:space="preserve">Enrollee obtains a rhinoplasty for purely cosmetic reasons, which is a clear exclusion on the policy.  Enrollee and provider both know this is likely not covered but they submit the claim.  Claim is denied as an exclusion/ non-covered service.  Neither the enrollee nor the provider pursues it any further.  Is this an organization determination?  </w:t>
            </w:r>
          </w:p>
        </w:tc>
        <w:tc>
          <w:tcPr>
            <w:tcW w:w="3707" w:type="dxa"/>
            <w:tcBorders>
              <w:top w:val="single" w:sz="4" w:space="0" w:color="auto"/>
              <w:left w:val="single" w:sz="4" w:space="0" w:color="auto"/>
              <w:bottom w:val="single" w:sz="4" w:space="0" w:color="auto"/>
              <w:right w:val="single" w:sz="4" w:space="0" w:color="auto"/>
            </w:tcBorders>
            <w:hideMark/>
          </w:tcPr>
          <w:p w14:paraId="4C3753D4" w14:textId="77777777" w:rsidR="0061639A" w:rsidRPr="00FA5932" w:rsidRDefault="0061639A" w:rsidP="00B25F55">
            <w:pPr>
              <w:spacing w:line="276" w:lineRule="auto"/>
              <w:rPr>
                <w:sz w:val="22"/>
                <w:szCs w:val="22"/>
              </w:rPr>
            </w:pPr>
            <w:r w:rsidRPr="00FA5932">
              <w:rPr>
                <w:sz w:val="22"/>
                <w:szCs w:val="22"/>
              </w:rPr>
              <w:t>The plan is to report this denial as an organization determination.  A request for payment (claim) is a reportable organization determination.</w:t>
            </w:r>
          </w:p>
        </w:tc>
      </w:tr>
      <w:tr w:rsidR="0061639A" w:rsidRPr="00E70D4D" w14:paraId="6505AF54" w14:textId="77777777" w:rsidTr="0061639A">
        <w:trPr>
          <w:trHeight w:val="975"/>
        </w:trPr>
        <w:tc>
          <w:tcPr>
            <w:tcW w:w="1296" w:type="dxa"/>
            <w:tcBorders>
              <w:top w:val="single" w:sz="4" w:space="0" w:color="auto"/>
              <w:left w:val="single" w:sz="4" w:space="0" w:color="auto"/>
              <w:bottom w:val="single" w:sz="4" w:space="0" w:color="auto"/>
              <w:right w:val="single" w:sz="4" w:space="0" w:color="auto"/>
            </w:tcBorders>
            <w:hideMark/>
          </w:tcPr>
          <w:p w14:paraId="35FE7AB3" w14:textId="77777777" w:rsidR="00EB7520" w:rsidRDefault="00EB7520" w:rsidP="0040019D">
            <w:pPr>
              <w:pStyle w:val="ListParagraph"/>
              <w:numPr>
                <w:ilvl w:val="0"/>
                <w:numId w:val="10"/>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14:paraId="7EB5E64A" w14:textId="69B78B52" w:rsidR="0061639A" w:rsidRPr="00E70D4D" w:rsidRDefault="0061639A" w:rsidP="00B25F55">
            <w:pPr>
              <w:spacing w:line="276" w:lineRule="auto"/>
              <w:rPr>
                <w:sz w:val="22"/>
                <w:szCs w:val="22"/>
              </w:rPr>
            </w:pPr>
            <w:r w:rsidRPr="00E70D4D">
              <w:rPr>
                <w:sz w:val="22"/>
                <w:szCs w:val="22"/>
              </w:rPr>
              <w:t>Enrollee is out of area and in need of urgent care</w:t>
            </w:r>
            <w:r w:rsidR="00715604" w:rsidRPr="00E70D4D">
              <w:rPr>
                <w:sz w:val="22"/>
                <w:szCs w:val="22"/>
              </w:rPr>
              <w:t xml:space="preserve">.  </w:t>
            </w:r>
            <w:r w:rsidRPr="00E70D4D">
              <w:rPr>
                <w:sz w:val="22"/>
                <w:szCs w:val="22"/>
              </w:rPr>
              <w:t>Provider is out of area / network.  The enrollee calls plan and requests a coverage determination for this service.  Health Plan approves use of out of area services.  Claim is submitted and paid in full</w:t>
            </w:r>
            <w:r w:rsidR="00715604" w:rsidRPr="00E70D4D">
              <w:rPr>
                <w:sz w:val="22"/>
                <w:szCs w:val="22"/>
              </w:rPr>
              <w:t xml:space="preserve">.  </w:t>
            </w:r>
            <w:r w:rsidRPr="00FA5932">
              <w:rPr>
                <w:sz w:val="22"/>
                <w:szCs w:val="22"/>
              </w:rPr>
              <w:t>Is this counted as one event (i.e., pre-auth and claim not counted as two events)?</w:t>
            </w:r>
          </w:p>
        </w:tc>
        <w:tc>
          <w:tcPr>
            <w:tcW w:w="3707" w:type="dxa"/>
            <w:tcBorders>
              <w:top w:val="single" w:sz="4" w:space="0" w:color="auto"/>
              <w:left w:val="single" w:sz="4" w:space="0" w:color="auto"/>
              <w:bottom w:val="single" w:sz="4" w:space="0" w:color="auto"/>
              <w:right w:val="single" w:sz="4" w:space="0" w:color="auto"/>
            </w:tcBorders>
            <w:hideMark/>
          </w:tcPr>
          <w:p w14:paraId="23509235" w14:textId="77777777" w:rsidR="0061639A" w:rsidRPr="00E70D4D" w:rsidRDefault="0061639A" w:rsidP="00B25F55">
            <w:pPr>
              <w:spacing w:line="276" w:lineRule="auto"/>
              <w:rPr>
                <w:sz w:val="22"/>
                <w:szCs w:val="22"/>
              </w:rPr>
            </w:pPr>
            <w:r w:rsidRPr="00E70D4D">
              <w:rPr>
                <w:sz w:val="22"/>
                <w:szCs w:val="22"/>
              </w:rPr>
              <w:t>In this example, both the pre-service decision and claim are counted as two, separate fully favorable organization determinations.  A</w:t>
            </w:r>
            <w:r w:rsidRPr="00E70D4D" w:rsidDel="002362B4">
              <w:rPr>
                <w:sz w:val="22"/>
                <w:szCs w:val="22"/>
              </w:rPr>
              <w:t xml:space="preserve"> claim submitted for </w:t>
            </w:r>
            <w:r w:rsidRPr="00E70D4D">
              <w:rPr>
                <w:sz w:val="22"/>
                <w:szCs w:val="22"/>
              </w:rPr>
              <w:t xml:space="preserve">payment </w:t>
            </w:r>
            <w:r w:rsidRPr="00E70D4D" w:rsidDel="002362B4">
              <w:rPr>
                <w:sz w:val="22"/>
                <w:szCs w:val="22"/>
              </w:rPr>
              <w:t xml:space="preserve">is an organization determination request.  </w:t>
            </w:r>
            <w:r w:rsidRPr="00E70D4D">
              <w:rPr>
                <w:sz w:val="22"/>
                <w:szCs w:val="22"/>
              </w:rPr>
              <w:t>C</w:t>
            </w:r>
            <w:r w:rsidRPr="00E70D4D" w:rsidDel="002362B4">
              <w:rPr>
                <w:sz w:val="22"/>
                <w:szCs w:val="22"/>
              </w:rPr>
              <w:t xml:space="preserve">laims </w:t>
            </w:r>
            <w:r w:rsidRPr="00E70D4D">
              <w:rPr>
                <w:sz w:val="22"/>
                <w:szCs w:val="22"/>
              </w:rPr>
              <w:t xml:space="preserve">paid in full </w:t>
            </w:r>
            <w:r w:rsidRPr="00E70D4D" w:rsidDel="002362B4">
              <w:rPr>
                <w:sz w:val="22"/>
                <w:szCs w:val="22"/>
              </w:rPr>
              <w:t>are reportable (</w:t>
            </w:r>
            <w:r w:rsidRPr="00E70D4D">
              <w:rPr>
                <w:sz w:val="22"/>
                <w:szCs w:val="22"/>
              </w:rPr>
              <w:t>f</w:t>
            </w:r>
            <w:r w:rsidRPr="00E70D4D" w:rsidDel="002362B4">
              <w:rPr>
                <w:sz w:val="22"/>
                <w:szCs w:val="22"/>
              </w:rPr>
              <w:t xml:space="preserve">ully </w:t>
            </w:r>
            <w:r w:rsidRPr="00E70D4D">
              <w:rPr>
                <w:sz w:val="22"/>
                <w:szCs w:val="22"/>
              </w:rPr>
              <w:t>f</w:t>
            </w:r>
            <w:r w:rsidRPr="00E70D4D" w:rsidDel="002362B4">
              <w:rPr>
                <w:sz w:val="22"/>
                <w:szCs w:val="22"/>
              </w:rPr>
              <w:t xml:space="preserve">avorable) organization determinations.  </w:t>
            </w:r>
          </w:p>
        </w:tc>
      </w:tr>
      <w:tr w:rsidR="0061639A" w:rsidRPr="00E70D4D" w14:paraId="4B2609BE" w14:textId="77777777" w:rsidTr="0061639A">
        <w:trPr>
          <w:trHeight w:val="620"/>
        </w:trPr>
        <w:tc>
          <w:tcPr>
            <w:tcW w:w="1296" w:type="dxa"/>
            <w:tcBorders>
              <w:top w:val="single" w:sz="4" w:space="0" w:color="auto"/>
              <w:left w:val="single" w:sz="4" w:space="0" w:color="auto"/>
              <w:bottom w:val="single" w:sz="4" w:space="0" w:color="auto"/>
              <w:right w:val="single" w:sz="4" w:space="0" w:color="auto"/>
            </w:tcBorders>
            <w:hideMark/>
          </w:tcPr>
          <w:p w14:paraId="26240C93" w14:textId="77777777" w:rsidR="00EB7520" w:rsidRDefault="00EB7520" w:rsidP="0040019D">
            <w:pPr>
              <w:pStyle w:val="ListParagraph"/>
              <w:numPr>
                <w:ilvl w:val="0"/>
                <w:numId w:val="10"/>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14:paraId="50031BD3" w14:textId="77777777" w:rsidR="0061639A" w:rsidRPr="00E70D4D" w:rsidRDefault="0061639A" w:rsidP="00B25F55">
            <w:pPr>
              <w:spacing w:line="276" w:lineRule="auto"/>
              <w:rPr>
                <w:sz w:val="22"/>
                <w:szCs w:val="22"/>
              </w:rPr>
            </w:pPr>
            <w:r w:rsidRPr="00E70D4D">
              <w:rPr>
                <w:sz w:val="22"/>
                <w:szCs w:val="22"/>
              </w:rPr>
              <w:t>When an organization determination is extended into the future does that extension count in the reporting of org determinations (e.g. on-going approval for services approved in the initial decision)?</w:t>
            </w:r>
          </w:p>
          <w:p w14:paraId="224F3EE0" w14:textId="77777777" w:rsidR="0061639A" w:rsidRPr="00E70D4D" w:rsidRDefault="0061639A" w:rsidP="00B25F55">
            <w:pPr>
              <w:spacing w:line="276" w:lineRule="auto"/>
              <w:rPr>
                <w:sz w:val="22"/>
                <w:szCs w:val="22"/>
              </w:rPr>
            </w:pPr>
          </w:p>
          <w:p w14:paraId="552BED51" w14:textId="77777777" w:rsidR="0061639A" w:rsidRPr="00E70D4D" w:rsidRDefault="0061639A" w:rsidP="00B25F55">
            <w:pPr>
              <w:spacing w:line="276" w:lineRule="auto"/>
              <w:rPr>
                <w:sz w:val="22"/>
                <w:szCs w:val="22"/>
              </w:rPr>
            </w:pPr>
          </w:p>
        </w:tc>
        <w:tc>
          <w:tcPr>
            <w:tcW w:w="3707" w:type="dxa"/>
            <w:tcBorders>
              <w:top w:val="single" w:sz="4" w:space="0" w:color="auto"/>
              <w:left w:val="single" w:sz="4" w:space="0" w:color="auto"/>
              <w:bottom w:val="single" w:sz="4" w:space="0" w:color="auto"/>
              <w:right w:val="single" w:sz="4" w:space="0" w:color="auto"/>
            </w:tcBorders>
            <w:hideMark/>
          </w:tcPr>
          <w:p w14:paraId="113C2361" w14:textId="77777777" w:rsidR="0061639A" w:rsidRPr="00E70D4D" w:rsidRDefault="0061639A" w:rsidP="00B25F55">
            <w:pPr>
              <w:spacing w:line="276" w:lineRule="auto"/>
              <w:rPr>
                <w:sz w:val="22"/>
                <w:szCs w:val="22"/>
                <w:u w:val="single"/>
              </w:rPr>
            </w:pPr>
            <w:r w:rsidRPr="00E70D4D">
              <w:rPr>
                <w:sz w:val="22"/>
                <w:szCs w:val="22"/>
              </w:rPr>
              <w:t xml:space="preserve">Yes.  Plans generally are to count an initial request for an organization determination (request for an ongoing course of treatment) as separate from any additional requests to extend the coverage.  For example, plans are to count an initial approved request for physical therapy services as one organization determination.  If the plan, later, approves a subsequent request to continue the ongoing services, the plan should count the decision to extend physical therapy services as another, separate organization determination.  </w:t>
            </w:r>
          </w:p>
        </w:tc>
      </w:tr>
      <w:tr w:rsidR="0061639A" w:rsidRPr="00E70D4D" w14:paraId="114BCFEB" w14:textId="77777777" w:rsidTr="0061639A">
        <w:trPr>
          <w:trHeight w:val="1016"/>
        </w:trPr>
        <w:tc>
          <w:tcPr>
            <w:tcW w:w="1296" w:type="dxa"/>
            <w:tcBorders>
              <w:top w:val="single" w:sz="4" w:space="0" w:color="auto"/>
              <w:left w:val="single" w:sz="4" w:space="0" w:color="auto"/>
              <w:bottom w:val="single" w:sz="4" w:space="0" w:color="auto"/>
              <w:right w:val="single" w:sz="4" w:space="0" w:color="auto"/>
            </w:tcBorders>
            <w:vAlign w:val="center"/>
            <w:hideMark/>
          </w:tcPr>
          <w:p w14:paraId="0D509F22" w14:textId="77777777" w:rsidR="00EB7520" w:rsidRDefault="00EB7520" w:rsidP="0040019D">
            <w:pPr>
              <w:pStyle w:val="ListParagraph"/>
              <w:numPr>
                <w:ilvl w:val="0"/>
                <w:numId w:val="10"/>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14:paraId="68F59E69" w14:textId="77777777" w:rsidR="0061639A" w:rsidRPr="00E70D4D" w:rsidRDefault="0061639A" w:rsidP="00B25F55">
            <w:pPr>
              <w:spacing w:line="276" w:lineRule="auto"/>
              <w:rPr>
                <w:sz w:val="22"/>
                <w:szCs w:val="22"/>
              </w:rPr>
            </w:pPr>
            <w:r w:rsidRPr="00E70D4D">
              <w:rPr>
                <w:sz w:val="22"/>
                <w:szCs w:val="22"/>
              </w:rPr>
              <w:t xml:space="preserve">Our interpretation is that the term “contracted provider” means “contracted with the health plan” not “contracted with Medicare”. </w:t>
            </w:r>
          </w:p>
          <w:p w14:paraId="31CB11CA" w14:textId="77777777" w:rsidR="0061639A" w:rsidRPr="00E70D4D" w:rsidRDefault="0061639A" w:rsidP="00B25F55">
            <w:pPr>
              <w:spacing w:line="276" w:lineRule="auto"/>
              <w:rPr>
                <w:rFonts w:eastAsiaTheme="minorHAnsi"/>
                <w:sz w:val="22"/>
                <w:szCs w:val="22"/>
              </w:rPr>
            </w:pPr>
          </w:p>
        </w:tc>
        <w:tc>
          <w:tcPr>
            <w:tcW w:w="3707" w:type="dxa"/>
            <w:tcBorders>
              <w:top w:val="single" w:sz="4" w:space="0" w:color="auto"/>
              <w:left w:val="single" w:sz="4" w:space="0" w:color="auto"/>
              <w:bottom w:val="single" w:sz="4" w:space="0" w:color="auto"/>
              <w:right w:val="single" w:sz="4" w:space="0" w:color="auto"/>
            </w:tcBorders>
            <w:hideMark/>
          </w:tcPr>
          <w:p w14:paraId="56763E95" w14:textId="77777777" w:rsidR="0061639A" w:rsidRPr="00E70D4D" w:rsidRDefault="0061639A" w:rsidP="00B25F55">
            <w:pPr>
              <w:spacing w:line="276" w:lineRule="auto"/>
              <w:rPr>
                <w:rFonts w:eastAsiaTheme="minorHAnsi"/>
                <w:sz w:val="22"/>
                <w:szCs w:val="22"/>
              </w:rPr>
            </w:pPr>
            <w:r w:rsidRPr="00E70D4D">
              <w:rPr>
                <w:sz w:val="22"/>
                <w:szCs w:val="22"/>
              </w:rPr>
              <w:t>Yes.  For purposes of Part C Reporting Section 6 reporting requirements, “contracted provider” means “contracted with the health plan” not “contracted” (or participating) with Medicare.”</w:t>
            </w:r>
            <w:r w:rsidRPr="00E70D4D" w:rsidDel="00FE4F68">
              <w:rPr>
                <w:sz w:val="22"/>
                <w:szCs w:val="22"/>
              </w:rPr>
              <w:t xml:space="preserve"> </w:t>
            </w:r>
          </w:p>
        </w:tc>
      </w:tr>
      <w:tr w:rsidR="0061639A" w:rsidRPr="00E70D4D" w14:paraId="17E4D0CE" w14:textId="77777777" w:rsidTr="0061639A">
        <w:trPr>
          <w:trHeight w:val="1070"/>
        </w:trPr>
        <w:tc>
          <w:tcPr>
            <w:tcW w:w="1296" w:type="dxa"/>
            <w:tcBorders>
              <w:top w:val="single" w:sz="4" w:space="0" w:color="auto"/>
              <w:left w:val="single" w:sz="4" w:space="0" w:color="auto"/>
              <w:bottom w:val="single" w:sz="4" w:space="0" w:color="auto"/>
              <w:right w:val="single" w:sz="4" w:space="0" w:color="auto"/>
            </w:tcBorders>
            <w:vAlign w:val="center"/>
            <w:hideMark/>
          </w:tcPr>
          <w:p w14:paraId="24743287" w14:textId="77777777" w:rsidR="00EB7520" w:rsidRDefault="00EB7520" w:rsidP="0040019D">
            <w:pPr>
              <w:pStyle w:val="ListParagraph"/>
              <w:numPr>
                <w:ilvl w:val="0"/>
                <w:numId w:val="10"/>
              </w:numPr>
              <w:spacing w:line="276" w:lineRule="auto"/>
              <w:jc w:val="center"/>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14:paraId="18C33BD0" w14:textId="4168B3F0" w:rsidR="0061639A" w:rsidRPr="00E70D4D" w:rsidRDefault="0061639A" w:rsidP="00B25F55">
            <w:pPr>
              <w:spacing w:line="276" w:lineRule="auto"/>
              <w:rPr>
                <w:sz w:val="22"/>
                <w:szCs w:val="22"/>
              </w:rPr>
            </w:pPr>
            <w:r w:rsidRPr="00E70D4D">
              <w:rPr>
                <w:sz w:val="22"/>
                <w:szCs w:val="22"/>
              </w:rPr>
              <w:t>When we make an adverse determination that is sent to the QIO for review and later our adverse determination is overturned, should we count and report the initial Adverse determination that goes to the QIO?  We understand that QIO determinations are excluded from our reporting</w:t>
            </w:r>
            <w:r w:rsidR="00715604" w:rsidRPr="00E70D4D">
              <w:rPr>
                <w:sz w:val="22"/>
                <w:szCs w:val="22"/>
              </w:rPr>
              <w:t xml:space="preserve">.  </w:t>
            </w:r>
          </w:p>
        </w:tc>
        <w:tc>
          <w:tcPr>
            <w:tcW w:w="3707" w:type="dxa"/>
            <w:tcBorders>
              <w:top w:val="single" w:sz="4" w:space="0" w:color="auto"/>
              <w:left w:val="single" w:sz="4" w:space="0" w:color="auto"/>
              <w:bottom w:val="single" w:sz="4" w:space="0" w:color="auto"/>
              <w:right w:val="single" w:sz="4" w:space="0" w:color="auto"/>
            </w:tcBorders>
            <w:hideMark/>
          </w:tcPr>
          <w:p w14:paraId="14DA5B14" w14:textId="68CBCE49" w:rsidR="0061639A" w:rsidRPr="00E70D4D" w:rsidRDefault="0061639A" w:rsidP="00B25F55">
            <w:pPr>
              <w:spacing w:line="276" w:lineRule="auto"/>
              <w:rPr>
                <w:sz w:val="22"/>
                <w:szCs w:val="22"/>
                <w:u w:val="single"/>
              </w:rPr>
            </w:pPr>
            <w:r w:rsidRPr="00E70D4D">
              <w:rPr>
                <w:sz w:val="22"/>
                <w:szCs w:val="22"/>
              </w:rPr>
              <w:t>Yes</w:t>
            </w:r>
            <w:r w:rsidR="00715604" w:rsidRPr="00E70D4D">
              <w:rPr>
                <w:sz w:val="22"/>
                <w:szCs w:val="22"/>
              </w:rPr>
              <w:t xml:space="preserve">.  </w:t>
            </w:r>
            <w:r w:rsidRPr="00E70D4D">
              <w:rPr>
                <w:sz w:val="22"/>
                <w:szCs w:val="22"/>
              </w:rPr>
              <w:t>Regardless of whether a QIO overturns an Adverse organization determination, plans are to report the initial adverse or partially favorable organization determination.</w:t>
            </w:r>
          </w:p>
        </w:tc>
      </w:tr>
      <w:tr w:rsidR="0061639A" w:rsidRPr="00E70D4D" w14:paraId="3FD96219" w14:textId="77777777" w:rsidTr="0061639A">
        <w:trPr>
          <w:trHeight w:val="735"/>
        </w:trPr>
        <w:tc>
          <w:tcPr>
            <w:tcW w:w="1296" w:type="dxa"/>
            <w:tcBorders>
              <w:top w:val="single" w:sz="4" w:space="0" w:color="auto"/>
              <w:left w:val="single" w:sz="4" w:space="0" w:color="auto"/>
              <w:bottom w:val="single" w:sz="4" w:space="0" w:color="auto"/>
              <w:right w:val="single" w:sz="4" w:space="0" w:color="auto"/>
            </w:tcBorders>
            <w:vAlign w:val="center"/>
            <w:hideMark/>
          </w:tcPr>
          <w:p w14:paraId="402B2DB3" w14:textId="77777777" w:rsidR="00EB7520" w:rsidRDefault="00EB7520" w:rsidP="0040019D">
            <w:pPr>
              <w:pStyle w:val="ListParagraph"/>
              <w:numPr>
                <w:ilvl w:val="0"/>
                <w:numId w:val="10"/>
              </w:numPr>
              <w:jc w:val="center"/>
              <w:rPr>
                <w:rFonts w:ascii="Times New Roman" w:hAnsi="Times New Roman"/>
              </w:rPr>
            </w:pPr>
          </w:p>
          <w:p w14:paraId="53851513" w14:textId="77777777" w:rsidR="0061639A" w:rsidRPr="00E70D4D" w:rsidRDefault="0061639A" w:rsidP="00B25F55">
            <w:pPr>
              <w:pStyle w:val="ListParagraph"/>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14:paraId="33866D11" w14:textId="77777777" w:rsidR="0061639A" w:rsidRPr="00E70D4D" w:rsidRDefault="0061639A" w:rsidP="00B25F55">
            <w:pPr>
              <w:spacing w:line="276" w:lineRule="auto"/>
              <w:rPr>
                <w:sz w:val="22"/>
                <w:szCs w:val="22"/>
              </w:rPr>
            </w:pPr>
            <w:r w:rsidRPr="00E70D4D">
              <w:rPr>
                <w:sz w:val="22"/>
                <w:szCs w:val="22"/>
              </w:rPr>
              <w:t xml:space="preserve">Should cases forwarded to the Part C IRE be counted once in the reporting section, i.e., as the Partially Favorable or adverse decision prior to sending to the IRE?  </w:t>
            </w:r>
          </w:p>
        </w:tc>
        <w:tc>
          <w:tcPr>
            <w:tcW w:w="3707" w:type="dxa"/>
            <w:tcBorders>
              <w:top w:val="single" w:sz="4" w:space="0" w:color="auto"/>
              <w:left w:val="single" w:sz="4" w:space="0" w:color="auto"/>
              <w:bottom w:val="single" w:sz="4" w:space="0" w:color="auto"/>
              <w:right w:val="single" w:sz="4" w:space="0" w:color="auto"/>
            </w:tcBorders>
            <w:hideMark/>
          </w:tcPr>
          <w:p w14:paraId="471305FC" w14:textId="55C3BFFC" w:rsidR="0061639A" w:rsidRPr="00E70D4D" w:rsidRDefault="0061639A" w:rsidP="00B132C5">
            <w:pPr>
              <w:spacing w:line="276" w:lineRule="auto"/>
              <w:rPr>
                <w:sz w:val="22"/>
                <w:szCs w:val="22"/>
                <w:u w:val="single"/>
              </w:rPr>
            </w:pPr>
            <w:r w:rsidRPr="00E70D4D">
              <w:rPr>
                <w:sz w:val="22"/>
                <w:szCs w:val="22"/>
              </w:rPr>
              <w:t xml:space="preserve">When a plan upholds its adverse or partially favorable organization determination at the reconsideration level, the plan generally must report both the adverse or partially favorable organization determination </w:t>
            </w:r>
            <w:r w:rsidRPr="00E70D4D">
              <w:rPr>
                <w:i/>
                <w:sz w:val="22"/>
                <w:szCs w:val="22"/>
              </w:rPr>
              <w:t>and</w:t>
            </w:r>
            <w:r w:rsidRPr="00E70D4D">
              <w:rPr>
                <w:sz w:val="22"/>
                <w:szCs w:val="22"/>
              </w:rPr>
              <w:t xml:space="preserve"> reconsideration.  </w:t>
            </w:r>
            <w:r w:rsidRPr="00E70D4D">
              <w:rPr>
                <w:sz w:val="22"/>
                <w:szCs w:val="22"/>
                <w:u w:val="single"/>
              </w:rPr>
              <w:t>Exceptions</w:t>
            </w:r>
            <w:r w:rsidRPr="00E70D4D">
              <w:rPr>
                <w:sz w:val="22"/>
                <w:szCs w:val="22"/>
              </w:rPr>
              <w:t xml:space="preserve">: Plans are not to report   QIO determinations concerning an inpatient hospital, skilled nursing facility, home health and comprehensive outpatient rehabilitation facility services terminations.  </w:t>
            </w:r>
          </w:p>
        </w:tc>
      </w:tr>
      <w:tr w:rsidR="0061639A" w:rsidRPr="00C02B3E" w14:paraId="6F7EFE13" w14:textId="77777777" w:rsidTr="0061639A">
        <w:trPr>
          <w:trHeight w:val="975"/>
        </w:trPr>
        <w:tc>
          <w:tcPr>
            <w:tcW w:w="1296" w:type="dxa"/>
            <w:tcBorders>
              <w:top w:val="single" w:sz="4" w:space="0" w:color="auto"/>
              <w:left w:val="single" w:sz="4" w:space="0" w:color="auto"/>
              <w:bottom w:val="single" w:sz="4" w:space="0" w:color="auto"/>
              <w:right w:val="single" w:sz="4" w:space="0" w:color="auto"/>
            </w:tcBorders>
            <w:hideMark/>
          </w:tcPr>
          <w:p w14:paraId="119532D9" w14:textId="77777777" w:rsidR="00EB7520" w:rsidRDefault="00EB7520" w:rsidP="0040019D">
            <w:pPr>
              <w:pStyle w:val="ListParagraph"/>
              <w:numPr>
                <w:ilvl w:val="0"/>
                <w:numId w:val="10"/>
              </w:numPr>
              <w:jc w:val="center"/>
              <w:rPr>
                <w:rFonts w:ascii="Times New Roman" w:hAnsi="Times New Roman"/>
              </w:rPr>
            </w:pPr>
          </w:p>
          <w:p w14:paraId="23CC798A" w14:textId="77777777" w:rsidR="0061639A" w:rsidRPr="00E70D4D" w:rsidRDefault="0061639A" w:rsidP="00B25F55">
            <w:pPr>
              <w:pStyle w:val="ListParagraph"/>
              <w:rPr>
                <w:rFonts w:ascii="Times New Roman" w:hAnsi="Times New Roman"/>
              </w:rPr>
            </w:pPr>
          </w:p>
        </w:tc>
        <w:tc>
          <w:tcPr>
            <w:tcW w:w="4573" w:type="dxa"/>
            <w:tcBorders>
              <w:top w:val="single" w:sz="4" w:space="0" w:color="auto"/>
              <w:left w:val="single" w:sz="4" w:space="0" w:color="auto"/>
              <w:bottom w:val="single" w:sz="4" w:space="0" w:color="auto"/>
              <w:right w:val="single" w:sz="4" w:space="0" w:color="auto"/>
            </w:tcBorders>
            <w:hideMark/>
          </w:tcPr>
          <w:p w14:paraId="765F5A47" w14:textId="77777777" w:rsidR="0061639A" w:rsidRPr="00FA5932" w:rsidRDefault="0061639A" w:rsidP="00B25F55">
            <w:pPr>
              <w:spacing w:line="276" w:lineRule="auto"/>
              <w:rPr>
                <w:sz w:val="22"/>
                <w:szCs w:val="22"/>
              </w:rPr>
            </w:pPr>
            <w:r w:rsidRPr="00FA5932">
              <w:rPr>
                <w:sz w:val="22"/>
                <w:szCs w:val="22"/>
              </w:rPr>
              <w:t xml:space="preserve">Should supplemental benefit data be excluded from the Part C Reporting?  </w:t>
            </w:r>
          </w:p>
        </w:tc>
        <w:tc>
          <w:tcPr>
            <w:tcW w:w="3707" w:type="dxa"/>
            <w:tcBorders>
              <w:top w:val="single" w:sz="4" w:space="0" w:color="auto"/>
              <w:left w:val="single" w:sz="4" w:space="0" w:color="auto"/>
              <w:bottom w:val="single" w:sz="4" w:space="0" w:color="auto"/>
              <w:right w:val="single" w:sz="4" w:space="0" w:color="auto"/>
            </w:tcBorders>
            <w:hideMark/>
          </w:tcPr>
          <w:p w14:paraId="43174A02" w14:textId="6DB5A706" w:rsidR="0061639A" w:rsidRPr="00FA5932" w:rsidRDefault="0061639A" w:rsidP="00B25F55">
            <w:pPr>
              <w:spacing w:line="276" w:lineRule="auto"/>
              <w:rPr>
                <w:sz w:val="22"/>
                <w:szCs w:val="22"/>
              </w:rPr>
            </w:pPr>
            <w:r w:rsidRPr="00FA5932">
              <w:rPr>
                <w:sz w:val="22"/>
                <w:szCs w:val="22"/>
              </w:rPr>
              <w:t xml:space="preserve">As described in this guidance, a plan’s response to a request for coverage (payment or provision) of an item or service is a reportable organization </w:t>
            </w:r>
            <w:r w:rsidRPr="00FA5932">
              <w:rPr>
                <w:sz w:val="22"/>
                <w:szCs w:val="22"/>
              </w:rPr>
              <w:lastRenderedPageBreak/>
              <w:t>determination</w:t>
            </w:r>
            <w:r w:rsidR="00715604" w:rsidRPr="00FA5932">
              <w:rPr>
                <w:sz w:val="22"/>
                <w:szCs w:val="22"/>
              </w:rPr>
              <w:t xml:space="preserve">.  </w:t>
            </w:r>
            <w:r w:rsidRPr="00FA5932">
              <w:rPr>
                <w:sz w:val="22"/>
                <w:szCs w:val="22"/>
              </w:rPr>
              <w:t xml:space="preserve">Thus, requests for coverage of a supplemental benefit (e.g., a non-Medicare covered item/service) are reportable under this effort.  </w:t>
            </w:r>
          </w:p>
        </w:tc>
      </w:tr>
    </w:tbl>
    <w:p w14:paraId="75E60673" w14:textId="77777777" w:rsidR="0061639A" w:rsidRDefault="0061639A" w:rsidP="0061639A">
      <w:pPr>
        <w:rPr>
          <w:sz w:val="22"/>
          <w:szCs w:val="22"/>
        </w:rPr>
      </w:pPr>
    </w:p>
    <w:sectPr w:rsidR="0061639A" w:rsidSect="002C5EE1">
      <w:footerReference w:type="defaul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3BF26" w14:textId="77777777" w:rsidR="009D70F7" w:rsidRDefault="009D70F7">
      <w:r>
        <w:separator/>
      </w:r>
    </w:p>
  </w:endnote>
  <w:endnote w:type="continuationSeparator" w:id="0">
    <w:p w14:paraId="4DEDF744" w14:textId="77777777" w:rsidR="009D70F7" w:rsidRDefault="009D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5FFA4" w14:textId="77777777" w:rsidR="002C5EE1" w:rsidRDefault="002C5EE1" w:rsidP="00F21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4D1750" w14:textId="77777777" w:rsidR="002C5EE1" w:rsidRDefault="002C5EE1" w:rsidP="00F214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FF859" w14:textId="11373C47" w:rsidR="002C5EE1" w:rsidRPr="001313B5" w:rsidRDefault="002C5EE1" w:rsidP="00105306">
    <w:pPr>
      <w:pStyle w:val="Footer"/>
      <w:tabs>
        <w:tab w:val="left" w:pos="7780"/>
        <w:tab w:val="right" w:pos="9360"/>
      </w:tabs>
      <w:rPr>
        <w: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813790"/>
      <w:docPartObj>
        <w:docPartGallery w:val="Page Numbers (Bottom of Page)"/>
        <w:docPartUnique/>
      </w:docPartObj>
    </w:sdtPr>
    <w:sdtEndPr>
      <w:rPr>
        <w:color w:val="7F7F7F" w:themeColor="background1" w:themeShade="7F"/>
        <w:spacing w:val="60"/>
      </w:rPr>
    </w:sdtEndPr>
    <w:sdtContent>
      <w:p w14:paraId="4AABE4EA" w14:textId="3E6747D0" w:rsidR="002C5EE1" w:rsidRDefault="002C5EE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3437470F" w14:textId="77777777" w:rsidR="002C5EE1" w:rsidRDefault="002C5E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254342"/>
      <w:docPartObj>
        <w:docPartGallery w:val="Page Numbers (Bottom of Page)"/>
        <w:docPartUnique/>
      </w:docPartObj>
    </w:sdtPr>
    <w:sdtEndPr>
      <w:rPr>
        <w:noProof/>
      </w:rPr>
    </w:sdtEndPr>
    <w:sdtContent>
      <w:p w14:paraId="5E702DF2" w14:textId="5450311B" w:rsidR="002C5EE1" w:rsidRDefault="002C5EE1">
        <w:pPr>
          <w:pStyle w:val="Footer"/>
          <w:jc w:val="right"/>
        </w:pPr>
        <w:r>
          <w:fldChar w:fldCharType="begin"/>
        </w:r>
        <w:r>
          <w:instrText xml:space="preserve"> PAGE   \* MERGEFORMAT </w:instrText>
        </w:r>
        <w:r>
          <w:fldChar w:fldCharType="separate"/>
        </w:r>
        <w:r w:rsidR="00DF5B1A">
          <w:rPr>
            <w:noProof/>
          </w:rPr>
          <w:t>23</w:t>
        </w:r>
        <w:r>
          <w:rPr>
            <w:noProof/>
          </w:rPr>
          <w:fldChar w:fldCharType="end"/>
        </w:r>
      </w:p>
    </w:sdtContent>
  </w:sdt>
  <w:p w14:paraId="0A6EC34B" w14:textId="77777777" w:rsidR="002C5EE1" w:rsidRPr="001313B5" w:rsidRDefault="002C5EE1" w:rsidP="00105306">
    <w:pPr>
      <w:pStyle w:val="Footer"/>
      <w:tabs>
        <w:tab w:val="left" w:pos="7780"/>
        <w:tab w:val="right" w:pos="9360"/>
      </w:tabs>
      <w:rPr>
        <w: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8208A" w14:textId="77777777" w:rsidR="009D70F7" w:rsidRDefault="009D70F7">
      <w:r>
        <w:separator/>
      </w:r>
    </w:p>
  </w:footnote>
  <w:footnote w:type="continuationSeparator" w:id="0">
    <w:p w14:paraId="69B6269F" w14:textId="77777777" w:rsidR="009D70F7" w:rsidRDefault="009D70F7">
      <w:r>
        <w:continuationSeparator/>
      </w:r>
    </w:p>
  </w:footnote>
  <w:footnote w:id="1">
    <w:p w14:paraId="74BCAC5E" w14:textId="77777777" w:rsidR="002C5EE1" w:rsidRDefault="002C5EE1">
      <w:pPr>
        <w:pStyle w:val="FootnoteText"/>
      </w:pPr>
      <w:r>
        <w:rPr>
          <w:rStyle w:val="FootnoteReference"/>
        </w:rPr>
        <w:footnoteRef/>
      </w:r>
      <w:r>
        <w:t xml:space="preserve"> The term “measure” has been replaced with the term “reporting section” effective 2013.</w:t>
      </w:r>
    </w:p>
  </w:footnote>
  <w:footnote w:id="2">
    <w:p w14:paraId="7F3FF9E4" w14:textId="77777777" w:rsidR="002C5EE1" w:rsidRPr="00D955AB" w:rsidRDefault="002C5EE1" w:rsidP="004D612B">
      <w:pPr>
        <w:pStyle w:val="FootnoteText"/>
      </w:pPr>
      <w:r w:rsidRPr="00D43B3F">
        <w:rPr>
          <w:rStyle w:val="FootnoteReference"/>
        </w:rPr>
        <w:footnoteRef/>
      </w:r>
      <w:r w:rsidRPr="00D43B3F">
        <w:t xml:space="preserve"> </w:t>
      </w:r>
      <w:r w:rsidRPr="00D955AB">
        <w:t>A cancelled enrollment is one that never becomes effective as in the following example:</w:t>
      </w:r>
    </w:p>
    <w:p w14:paraId="54628B33" w14:textId="3984BD99" w:rsidR="002C5EE1" w:rsidRPr="00D955AB" w:rsidRDefault="002C5EE1" w:rsidP="004D612B">
      <w:pPr>
        <w:pStyle w:val="FootnoteText"/>
      </w:pPr>
      <w:r w:rsidRPr="00D955AB">
        <w:t>An individual submits an enrollment request to enroll in Plan A on March 25th for an effective date of April 1st.  Then, on March 30th, the individual contacts Plan A and submits a request to cancel the enrollment.  Plan A cancels the enrollment request per our instructions in Chapter 2, and the enrollment never becomes effective.”</w:t>
      </w:r>
    </w:p>
  </w:footnote>
  <w:footnote w:id="3">
    <w:p w14:paraId="36014FBC" w14:textId="0E7382C3" w:rsidR="002C5EE1" w:rsidRDefault="002C5EE1" w:rsidP="00FA0BEC">
      <w:pPr>
        <w:pStyle w:val="FootnoteText"/>
      </w:pPr>
      <w:r>
        <w:rPr>
          <w:rStyle w:val="FootnoteReference"/>
        </w:rPr>
        <w:footnoteRef/>
      </w:r>
      <w:r>
        <w:t xml:space="preserve"> Note:  </w:t>
      </w:r>
      <w:r>
        <w:rPr>
          <w:rFonts w:eastAsia="Calibri"/>
          <w:szCs w:val="22"/>
        </w:rPr>
        <w:t xml:space="preserve">Organizations are to report on terminations of contracts between the organization and the provider(s), such that affected enrollees are no longer able to see the provider(s) in-network.  For example, if a PCP terminates its contract with a certain medical group and then joins a different medical group that is also contracted with the organization, but the enrollees assigned to that PCP are still able to see him/her continuously with no disruption, then this type of termination would </w:t>
      </w:r>
      <w:r w:rsidRPr="003E06AE">
        <w:rPr>
          <w:rFonts w:eastAsia="Calibri"/>
          <w:i/>
          <w:szCs w:val="22"/>
        </w:rPr>
        <w:t>not</w:t>
      </w:r>
      <w:r>
        <w:rPr>
          <w:rFonts w:eastAsia="Calibri"/>
          <w:szCs w:val="22"/>
        </w:rPr>
        <w:t xml:space="preserve"> be counted.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25214FE"/>
    <w:lvl w:ilvl="0">
      <w:start w:val="1"/>
      <w:numFmt w:val="bullet"/>
      <w:pStyle w:val="ListBullet2"/>
      <w:lvlText w:val=""/>
      <w:lvlJc w:val="left"/>
      <w:pPr>
        <w:tabs>
          <w:tab w:val="num" w:pos="5760"/>
        </w:tabs>
        <w:ind w:left="5760" w:hanging="360"/>
      </w:pPr>
      <w:rPr>
        <w:rFonts w:ascii="Wingdings" w:hAnsi="Wingdings" w:hint="default"/>
      </w:rPr>
    </w:lvl>
  </w:abstractNum>
  <w:abstractNum w:abstractNumId="1" w15:restartNumberingAfterBreak="0">
    <w:nsid w:val="FFFFFF89"/>
    <w:multiLevelType w:val="singleLevel"/>
    <w:tmpl w:val="373AFB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775F8"/>
    <w:multiLevelType w:val="hybridMultilevel"/>
    <w:tmpl w:val="DFBCC1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D6490"/>
    <w:multiLevelType w:val="hybridMultilevel"/>
    <w:tmpl w:val="11C291B6"/>
    <w:lvl w:ilvl="0" w:tplc="B9F43DB8">
      <w:start w:val="1"/>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DD361C"/>
    <w:multiLevelType w:val="hybridMultilevel"/>
    <w:tmpl w:val="235610CE"/>
    <w:lvl w:ilvl="0" w:tplc="13B8B962">
      <w:start w:val="1"/>
      <w:numFmt w:val="bullet"/>
      <w:lvlText w:val=""/>
      <w:lvlJc w:val="left"/>
      <w:pPr>
        <w:ind w:left="54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220DD"/>
    <w:multiLevelType w:val="hybridMultilevel"/>
    <w:tmpl w:val="04F0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2187D"/>
    <w:multiLevelType w:val="hybridMultilevel"/>
    <w:tmpl w:val="E0E65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71E57"/>
    <w:multiLevelType w:val="hybridMultilevel"/>
    <w:tmpl w:val="5D10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606F8"/>
    <w:multiLevelType w:val="hybridMultilevel"/>
    <w:tmpl w:val="0AAE12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4745B"/>
    <w:multiLevelType w:val="hybridMultilevel"/>
    <w:tmpl w:val="5F9426E0"/>
    <w:lvl w:ilvl="0" w:tplc="A2C4A7A0">
      <w:start w:val="1"/>
      <w:numFmt w:val="upperLetter"/>
      <w:pStyle w:val="Style1"/>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061B59"/>
    <w:multiLevelType w:val="hybridMultilevel"/>
    <w:tmpl w:val="3B6CF1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1A73DBF"/>
    <w:multiLevelType w:val="hybridMultilevel"/>
    <w:tmpl w:val="ED1CF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E51538"/>
    <w:multiLevelType w:val="hybridMultilevel"/>
    <w:tmpl w:val="D1D0B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23AA7"/>
    <w:multiLevelType w:val="hybridMultilevel"/>
    <w:tmpl w:val="3968B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84593"/>
    <w:multiLevelType w:val="hybridMultilevel"/>
    <w:tmpl w:val="94283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EA1719"/>
    <w:multiLevelType w:val="hybridMultilevel"/>
    <w:tmpl w:val="47526A8E"/>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E92730"/>
    <w:multiLevelType w:val="hybridMultilevel"/>
    <w:tmpl w:val="3B6C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A6CCC"/>
    <w:multiLevelType w:val="hybridMultilevel"/>
    <w:tmpl w:val="15F8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C5581"/>
    <w:multiLevelType w:val="hybridMultilevel"/>
    <w:tmpl w:val="387EA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BD3D66"/>
    <w:multiLevelType w:val="hybridMultilevel"/>
    <w:tmpl w:val="652A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F0DF0"/>
    <w:multiLevelType w:val="hybridMultilevel"/>
    <w:tmpl w:val="A30E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87929"/>
    <w:multiLevelType w:val="hybridMultilevel"/>
    <w:tmpl w:val="C2164108"/>
    <w:lvl w:ilvl="0" w:tplc="135E610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59F2752"/>
    <w:multiLevelType w:val="hybridMultilevel"/>
    <w:tmpl w:val="803C2242"/>
    <w:lvl w:ilvl="0" w:tplc="46B269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E5224D"/>
    <w:multiLevelType w:val="hybridMultilevel"/>
    <w:tmpl w:val="284AF55C"/>
    <w:lvl w:ilvl="0" w:tplc="7E285B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25231D"/>
    <w:multiLevelType w:val="hybridMultilevel"/>
    <w:tmpl w:val="AE58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A4112"/>
    <w:multiLevelType w:val="hybridMultilevel"/>
    <w:tmpl w:val="02E8F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24F9C"/>
    <w:multiLevelType w:val="multilevel"/>
    <w:tmpl w:val="BD3C202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7A474D3"/>
    <w:multiLevelType w:val="hybridMultilevel"/>
    <w:tmpl w:val="BDF4E318"/>
    <w:lvl w:ilvl="0" w:tplc="8FD8CAD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1D1F8E"/>
    <w:multiLevelType w:val="hybridMultilevel"/>
    <w:tmpl w:val="909633FE"/>
    <w:lvl w:ilvl="0" w:tplc="1974E33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26B5D"/>
    <w:multiLevelType w:val="hybridMultilevel"/>
    <w:tmpl w:val="310A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C1F5C"/>
    <w:multiLevelType w:val="hybridMultilevel"/>
    <w:tmpl w:val="F61EA85C"/>
    <w:lvl w:ilvl="0" w:tplc="48B8095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A6990"/>
    <w:multiLevelType w:val="multilevel"/>
    <w:tmpl w:val="16FACB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5050CD6"/>
    <w:multiLevelType w:val="hybridMultilevel"/>
    <w:tmpl w:val="1570B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84B18"/>
    <w:multiLevelType w:val="hybridMultilevel"/>
    <w:tmpl w:val="1810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A1626"/>
    <w:multiLevelType w:val="hybridMultilevel"/>
    <w:tmpl w:val="B34C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1EA0"/>
    <w:multiLevelType w:val="hybridMultilevel"/>
    <w:tmpl w:val="4CB41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10"/>
  </w:num>
  <w:num w:numId="6">
    <w:abstractNumId w:val="28"/>
  </w:num>
  <w:num w:numId="7">
    <w:abstractNumId w:val="15"/>
  </w:num>
  <w:num w:numId="8">
    <w:abstractNumId w:val="25"/>
  </w:num>
  <w:num w:numId="9">
    <w:abstractNumId w:val="4"/>
  </w:num>
  <w:num w:numId="10">
    <w:abstractNumId w:val="16"/>
  </w:num>
  <w:num w:numId="11">
    <w:abstractNumId w:val="35"/>
  </w:num>
  <w:num w:numId="12">
    <w:abstractNumId w:val="13"/>
  </w:num>
  <w:num w:numId="13">
    <w:abstractNumId w:val="11"/>
  </w:num>
  <w:num w:numId="14">
    <w:abstractNumId w:val="6"/>
  </w:num>
  <w:num w:numId="15">
    <w:abstractNumId w:val="26"/>
  </w:num>
  <w:num w:numId="16">
    <w:abstractNumId w:val="22"/>
  </w:num>
  <w:num w:numId="17">
    <w:abstractNumId w:val="27"/>
  </w:num>
  <w:num w:numId="18">
    <w:abstractNumId w:val="29"/>
  </w:num>
  <w:num w:numId="19">
    <w:abstractNumId w:val="31"/>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0"/>
  </w:num>
  <w:num w:numId="30">
    <w:abstractNumId w:val="17"/>
  </w:num>
  <w:num w:numId="31">
    <w:abstractNumId w:val="21"/>
  </w:num>
  <w:num w:numId="32">
    <w:abstractNumId w:val="12"/>
  </w:num>
  <w:num w:numId="33">
    <w:abstractNumId w:val="8"/>
  </w:num>
  <w:num w:numId="34">
    <w:abstractNumId w:val="3"/>
  </w:num>
  <w:num w:numId="35">
    <w:abstractNumId w:val="18"/>
  </w:num>
  <w:num w:numId="36">
    <w:abstractNumId w:val="14"/>
  </w:num>
  <w:num w:numId="37">
    <w:abstractNumId w:val="23"/>
  </w:num>
  <w:num w:numId="38">
    <w:abstractNumId w:val="5"/>
  </w:num>
  <w:num w:numId="39">
    <w:abstractNumId w:val="34"/>
  </w:num>
  <w:num w:numId="40">
    <w:abstractNumId w:val="20"/>
  </w:num>
  <w:num w:numId="41">
    <w:abstractNumId w:val="24"/>
  </w:num>
  <w:num w:numId="42">
    <w:abstractNumId w:val="33"/>
  </w:num>
  <w:num w:numId="43">
    <w:abstractNumId w:val="19"/>
  </w:num>
  <w:num w:numId="44">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96"/>
    <w:rsid w:val="00001DE0"/>
    <w:rsid w:val="00002B0D"/>
    <w:rsid w:val="000032B9"/>
    <w:rsid w:val="00003B32"/>
    <w:rsid w:val="00003B5A"/>
    <w:rsid w:val="00004CB6"/>
    <w:rsid w:val="000069BC"/>
    <w:rsid w:val="00010885"/>
    <w:rsid w:val="00011A5D"/>
    <w:rsid w:val="00012B20"/>
    <w:rsid w:val="00012E99"/>
    <w:rsid w:val="00013058"/>
    <w:rsid w:val="00013146"/>
    <w:rsid w:val="0001319A"/>
    <w:rsid w:val="00013A2A"/>
    <w:rsid w:val="00013AF5"/>
    <w:rsid w:val="00014871"/>
    <w:rsid w:val="00015FC0"/>
    <w:rsid w:val="000170A4"/>
    <w:rsid w:val="00017A16"/>
    <w:rsid w:val="00020316"/>
    <w:rsid w:val="00022B93"/>
    <w:rsid w:val="000234C7"/>
    <w:rsid w:val="000235DD"/>
    <w:rsid w:val="00024BE9"/>
    <w:rsid w:val="0002648B"/>
    <w:rsid w:val="0002732E"/>
    <w:rsid w:val="00030F0B"/>
    <w:rsid w:val="00035451"/>
    <w:rsid w:val="000357D1"/>
    <w:rsid w:val="000371A0"/>
    <w:rsid w:val="000378E1"/>
    <w:rsid w:val="00041EF2"/>
    <w:rsid w:val="00043196"/>
    <w:rsid w:val="0004343B"/>
    <w:rsid w:val="00044155"/>
    <w:rsid w:val="00047FAE"/>
    <w:rsid w:val="0005043B"/>
    <w:rsid w:val="0005066B"/>
    <w:rsid w:val="00050EF1"/>
    <w:rsid w:val="00052185"/>
    <w:rsid w:val="00052326"/>
    <w:rsid w:val="00052466"/>
    <w:rsid w:val="0005286F"/>
    <w:rsid w:val="00052C65"/>
    <w:rsid w:val="000549BA"/>
    <w:rsid w:val="00055666"/>
    <w:rsid w:val="00056512"/>
    <w:rsid w:val="00057457"/>
    <w:rsid w:val="0005784A"/>
    <w:rsid w:val="000602B2"/>
    <w:rsid w:val="00064B0F"/>
    <w:rsid w:val="000652B6"/>
    <w:rsid w:val="000666E6"/>
    <w:rsid w:val="00070129"/>
    <w:rsid w:val="000706AF"/>
    <w:rsid w:val="00070F4F"/>
    <w:rsid w:val="000723A0"/>
    <w:rsid w:val="000724E8"/>
    <w:rsid w:val="00072F15"/>
    <w:rsid w:val="000732E7"/>
    <w:rsid w:val="000743C0"/>
    <w:rsid w:val="00076498"/>
    <w:rsid w:val="000808E8"/>
    <w:rsid w:val="00081E1B"/>
    <w:rsid w:val="00085629"/>
    <w:rsid w:val="000858EF"/>
    <w:rsid w:val="00086433"/>
    <w:rsid w:val="00087EA1"/>
    <w:rsid w:val="000903C1"/>
    <w:rsid w:val="0009040A"/>
    <w:rsid w:val="00090536"/>
    <w:rsid w:val="00090CAE"/>
    <w:rsid w:val="000911F0"/>
    <w:rsid w:val="0009156E"/>
    <w:rsid w:val="0009208A"/>
    <w:rsid w:val="00093401"/>
    <w:rsid w:val="00093788"/>
    <w:rsid w:val="00093AED"/>
    <w:rsid w:val="00094697"/>
    <w:rsid w:val="00095BEC"/>
    <w:rsid w:val="0009764D"/>
    <w:rsid w:val="000A174B"/>
    <w:rsid w:val="000A1768"/>
    <w:rsid w:val="000A2A77"/>
    <w:rsid w:val="000A2BDA"/>
    <w:rsid w:val="000A37F0"/>
    <w:rsid w:val="000A3D81"/>
    <w:rsid w:val="000A52AF"/>
    <w:rsid w:val="000A5E98"/>
    <w:rsid w:val="000A629F"/>
    <w:rsid w:val="000A7AB5"/>
    <w:rsid w:val="000A7C1E"/>
    <w:rsid w:val="000B00B7"/>
    <w:rsid w:val="000B3125"/>
    <w:rsid w:val="000B32C6"/>
    <w:rsid w:val="000B775C"/>
    <w:rsid w:val="000C2A5F"/>
    <w:rsid w:val="000C30ED"/>
    <w:rsid w:val="000C377A"/>
    <w:rsid w:val="000C46FA"/>
    <w:rsid w:val="000C4C3B"/>
    <w:rsid w:val="000D03BD"/>
    <w:rsid w:val="000D1388"/>
    <w:rsid w:val="000D36EC"/>
    <w:rsid w:val="000D3936"/>
    <w:rsid w:val="000D510B"/>
    <w:rsid w:val="000D6330"/>
    <w:rsid w:val="000D6575"/>
    <w:rsid w:val="000D7177"/>
    <w:rsid w:val="000D756B"/>
    <w:rsid w:val="000D7D13"/>
    <w:rsid w:val="000E1382"/>
    <w:rsid w:val="000E2287"/>
    <w:rsid w:val="000E35C9"/>
    <w:rsid w:val="000E457B"/>
    <w:rsid w:val="000E5B71"/>
    <w:rsid w:val="000E7318"/>
    <w:rsid w:val="000E7648"/>
    <w:rsid w:val="000E7B34"/>
    <w:rsid w:val="000F2BEA"/>
    <w:rsid w:val="000F62EC"/>
    <w:rsid w:val="000F6F81"/>
    <w:rsid w:val="000F6FEC"/>
    <w:rsid w:val="000F796C"/>
    <w:rsid w:val="001000B0"/>
    <w:rsid w:val="00100E5D"/>
    <w:rsid w:val="00102089"/>
    <w:rsid w:val="001020C6"/>
    <w:rsid w:val="001023A4"/>
    <w:rsid w:val="00103F90"/>
    <w:rsid w:val="00104F94"/>
    <w:rsid w:val="00105306"/>
    <w:rsid w:val="00105B2C"/>
    <w:rsid w:val="0010622F"/>
    <w:rsid w:val="00106316"/>
    <w:rsid w:val="001071E5"/>
    <w:rsid w:val="001077FB"/>
    <w:rsid w:val="00107F77"/>
    <w:rsid w:val="00111D96"/>
    <w:rsid w:val="001122B1"/>
    <w:rsid w:val="00112358"/>
    <w:rsid w:val="00113366"/>
    <w:rsid w:val="00113F9F"/>
    <w:rsid w:val="001145EA"/>
    <w:rsid w:val="00114C70"/>
    <w:rsid w:val="0011574E"/>
    <w:rsid w:val="00115CFE"/>
    <w:rsid w:val="00116DD3"/>
    <w:rsid w:val="001215D6"/>
    <w:rsid w:val="00121823"/>
    <w:rsid w:val="00122F88"/>
    <w:rsid w:val="00124B85"/>
    <w:rsid w:val="00125C03"/>
    <w:rsid w:val="00126196"/>
    <w:rsid w:val="00126433"/>
    <w:rsid w:val="001278AC"/>
    <w:rsid w:val="00127E6E"/>
    <w:rsid w:val="001313B5"/>
    <w:rsid w:val="00132262"/>
    <w:rsid w:val="001322F7"/>
    <w:rsid w:val="00132758"/>
    <w:rsid w:val="00132BB8"/>
    <w:rsid w:val="00134DA2"/>
    <w:rsid w:val="00135D43"/>
    <w:rsid w:val="001363D3"/>
    <w:rsid w:val="001405A9"/>
    <w:rsid w:val="00140969"/>
    <w:rsid w:val="00141E8F"/>
    <w:rsid w:val="00142F5A"/>
    <w:rsid w:val="00144130"/>
    <w:rsid w:val="001450D0"/>
    <w:rsid w:val="00145445"/>
    <w:rsid w:val="001457CC"/>
    <w:rsid w:val="00145A23"/>
    <w:rsid w:val="00145B9E"/>
    <w:rsid w:val="001502E7"/>
    <w:rsid w:val="001524B4"/>
    <w:rsid w:val="00155EC5"/>
    <w:rsid w:val="00156E26"/>
    <w:rsid w:val="00156ED8"/>
    <w:rsid w:val="00162B6E"/>
    <w:rsid w:val="00163642"/>
    <w:rsid w:val="00163BC1"/>
    <w:rsid w:val="0016412D"/>
    <w:rsid w:val="0016418E"/>
    <w:rsid w:val="001649F4"/>
    <w:rsid w:val="00164ACC"/>
    <w:rsid w:val="0016572B"/>
    <w:rsid w:val="00165C7C"/>
    <w:rsid w:val="001663CF"/>
    <w:rsid w:val="00166A21"/>
    <w:rsid w:val="00167524"/>
    <w:rsid w:val="001678B2"/>
    <w:rsid w:val="00167BF2"/>
    <w:rsid w:val="00167E2A"/>
    <w:rsid w:val="00170BFA"/>
    <w:rsid w:val="001716E3"/>
    <w:rsid w:val="001717C6"/>
    <w:rsid w:val="0017199F"/>
    <w:rsid w:val="00171D03"/>
    <w:rsid w:val="00174ABA"/>
    <w:rsid w:val="00176B0E"/>
    <w:rsid w:val="001771BE"/>
    <w:rsid w:val="00181B04"/>
    <w:rsid w:val="00182AEE"/>
    <w:rsid w:val="0018693C"/>
    <w:rsid w:val="001872D5"/>
    <w:rsid w:val="001873EC"/>
    <w:rsid w:val="00187FAF"/>
    <w:rsid w:val="00190023"/>
    <w:rsid w:val="0019040C"/>
    <w:rsid w:val="00190A4F"/>
    <w:rsid w:val="00190F13"/>
    <w:rsid w:val="00194FE6"/>
    <w:rsid w:val="001A0F43"/>
    <w:rsid w:val="001A0FA4"/>
    <w:rsid w:val="001A29E8"/>
    <w:rsid w:val="001A2EF2"/>
    <w:rsid w:val="001A2FDF"/>
    <w:rsid w:val="001A3043"/>
    <w:rsid w:val="001A3236"/>
    <w:rsid w:val="001A3B7F"/>
    <w:rsid w:val="001A48D3"/>
    <w:rsid w:val="001A4D5F"/>
    <w:rsid w:val="001A5C5C"/>
    <w:rsid w:val="001A6406"/>
    <w:rsid w:val="001A6C59"/>
    <w:rsid w:val="001B03C8"/>
    <w:rsid w:val="001B050F"/>
    <w:rsid w:val="001B1805"/>
    <w:rsid w:val="001B3991"/>
    <w:rsid w:val="001B4C77"/>
    <w:rsid w:val="001C0BE3"/>
    <w:rsid w:val="001C1476"/>
    <w:rsid w:val="001C1E4E"/>
    <w:rsid w:val="001C21A9"/>
    <w:rsid w:val="001C297A"/>
    <w:rsid w:val="001C35BE"/>
    <w:rsid w:val="001C585A"/>
    <w:rsid w:val="001D04E4"/>
    <w:rsid w:val="001D16DA"/>
    <w:rsid w:val="001D1CB7"/>
    <w:rsid w:val="001D243B"/>
    <w:rsid w:val="001D2943"/>
    <w:rsid w:val="001D3C71"/>
    <w:rsid w:val="001D414A"/>
    <w:rsid w:val="001D6F25"/>
    <w:rsid w:val="001E08FB"/>
    <w:rsid w:val="001E0CF1"/>
    <w:rsid w:val="001E0E92"/>
    <w:rsid w:val="001E12DB"/>
    <w:rsid w:val="001E1F1A"/>
    <w:rsid w:val="001E2142"/>
    <w:rsid w:val="001E2A7F"/>
    <w:rsid w:val="001E2E55"/>
    <w:rsid w:val="001E325C"/>
    <w:rsid w:val="001E3B4E"/>
    <w:rsid w:val="001E54E5"/>
    <w:rsid w:val="001E5FFD"/>
    <w:rsid w:val="001E6F83"/>
    <w:rsid w:val="001F3769"/>
    <w:rsid w:val="001F4565"/>
    <w:rsid w:val="001F53C1"/>
    <w:rsid w:val="001F54DA"/>
    <w:rsid w:val="001F7D91"/>
    <w:rsid w:val="002001CA"/>
    <w:rsid w:val="00200DF6"/>
    <w:rsid w:val="00201366"/>
    <w:rsid w:val="00201EC9"/>
    <w:rsid w:val="00201FDE"/>
    <w:rsid w:val="00202DF2"/>
    <w:rsid w:val="00203717"/>
    <w:rsid w:val="00203751"/>
    <w:rsid w:val="00204BAE"/>
    <w:rsid w:val="002065C7"/>
    <w:rsid w:val="00207598"/>
    <w:rsid w:val="002077DB"/>
    <w:rsid w:val="00207806"/>
    <w:rsid w:val="0021047A"/>
    <w:rsid w:val="00210F39"/>
    <w:rsid w:val="002110D9"/>
    <w:rsid w:val="002126F8"/>
    <w:rsid w:val="00212C20"/>
    <w:rsid w:val="00212C95"/>
    <w:rsid w:val="00212E6F"/>
    <w:rsid w:val="0021322C"/>
    <w:rsid w:val="00213BCE"/>
    <w:rsid w:val="00214DDF"/>
    <w:rsid w:val="002153FA"/>
    <w:rsid w:val="0021576A"/>
    <w:rsid w:val="00216BCC"/>
    <w:rsid w:val="00217541"/>
    <w:rsid w:val="002177D0"/>
    <w:rsid w:val="00217971"/>
    <w:rsid w:val="002200BF"/>
    <w:rsid w:val="00222156"/>
    <w:rsid w:val="00222D3E"/>
    <w:rsid w:val="00223970"/>
    <w:rsid w:val="002251D4"/>
    <w:rsid w:val="00226142"/>
    <w:rsid w:val="00226385"/>
    <w:rsid w:val="002267DE"/>
    <w:rsid w:val="0022723A"/>
    <w:rsid w:val="00232CA4"/>
    <w:rsid w:val="00233B54"/>
    <w:rsid w:val="00234ACA"/>
    <w:rsid w:val="00235065"/>
    <w:rsid w:val="002359D6"/>
    <w:rsid w:val="002361A2"/>
    <w:rsid w:val="00236B9B"/>
    <w:rsid w:val="00236C30"/>
    <w:rsid w:val="00236C96"/>
    <w:rsid w:val="002371C8"/>
    <w:rsid w:val="002376BE"/>
    <w:rsid w:val="00237D73"/>
    <w:rsid w:val="00241659"/>
    <w:rsid w:val="002432A4"/>
    <w:rsid w:val="00243BC0"/>
    <w:rsid w:val="00243D30"/>
    <w:rsid w:val="002448BA"/>
    <w:rsid w:val="00246305"/>
    <w:rsid w:val="0024687C"/>
    <w:rsid w:val="002468F6"/>
    <w:rsid w:val="00246EB2"/>
    <w:rsid w:val="00247794"/>
    <w:rsid w:val="00247E6F"/>
    <w:rsid w:val="0025163E"/>
    <w:rsid w:val="00251744"/>
    <w:rsid w:val="00252BCE"/>
    <w:rsid w:val="00253351"/>
    <w:rsid w:val="00253372"/>
    <w:rsid w:val="00253401"/>
    <w:rsid w:val="0025418F"/>
    <w:rsid w:val="002547B5"/>
    <w:rsid w:val="00256F8C"/>
    <w:rsid w:val="002612BF"/>
    <w:rsid w:val="0026273B"/>
    <w:rsid w:val="002631F4"/>
    <w:rsid w:val="00263902"/>
    <w:rsid w:val="00264615"/>
    <w:rsid w:val="00264F72"/>
    <w:rsid w:val="00265664"/>
    <w:rsid w:val="00265827"/>
    <w:rsid w:val="00265AA2"/>
    <w:rsid w:val="002666C3"/>
    <w:rsid w:val="00267883"/>
    <w:rsid w:val="0027109F"/>
    <w:rsid w:val="002711E0"/>
    <w:rsid w:val="00271E08"/>
    <w:rsid w:val="00272D2C"/>
    <w:rsid w:val="00274BAE"/>
    <w:rsid w:val="00274DE2"/>
    <w:rsid w:val="00274E63"/>
    <w:rsid w:val="00275FE4"/>
    <w:rsid w:val="00276516"/>
    <w:rsid w:val="00276687"/>
    <w:rsid w:val="00277B3A"/>
    <w:rsid w:val="00277E4E"/>
    <w:rsid w:val="00280E72"/>
    <w:rsid w:val="00281B72"/>
    <w:rsid w:val="00284011"/>
    <w:rsid w:val="002850A6"/>
    <w:rsid w:val="00285836"/>
    <w:rsid w:val="0028677C"/>
    <w:rsid w:val="00286C21"/>
    <w:rsid w:val="00290253"/>
    <w:rsid w:val="0029118E"/>
    <w:rsid w:val="00293CCB"/>
    <w:rsid w:val="00296233"/>
    <w:rsid w:val="0029666D"/>
    <w:rsid w:val="002969CC"/>
    <w:rsid w:val="002A10D1"/>
    <w:rsid w:val="002A48CE"/>
    <w:rsid w:val="002A624B"/>
    <w:rsid w:val="002A7866"/>
    <w:rsid w:val="002A7B94"/>
    <w:rsid w:val="002B0577"/>
    <w:rsid w:val="002B0ABA"/>
    <w:rsid w:val="002B1EF7"/>
    <w:rsid w:val="002B2BD3"/>
    <w:rsid w:val="002B2D22"/>
    <w:rsid w:val="002B2EAC"/>
    <w:rsid w:val="002B3F66"/>
    <w:rsid w:val="002B47FC"/>
    <w:rsid w:val="002B49C3"/>
    <w:rsid w:val="002B6755"/>
    <w:rsid w:val="002B7A78"/>
    <w:rsid w:val="002C364D"/>
    <w:rsid w:val="002C44FC"/>
    <w:rsid w:val="002C5124"/>
    <w:rsid w:val="002C5EE1"/>
    <w:rsid w:val="002C6276"/>
    <w:rsid w:val="002C7C2E"/>
    <w:rsid w:val="002D02D5"/>
    <w:rsid w:val="002D080F"/>
    <w:rsid w:val="002D172D"/>
    <w:rsid w:val="002D1B73"/>
    <w:rsid w:val="002D249A"/>
    <w:rsid w:val="002D279A"/>
    <w:rsid w:val="002D3829"/>
    <w:rsid w:val="002D653F"/>
    <w:rsid w:val="002D6C01"/>
    <w:rsid w:val="002E0E55"/>
    <w:rsid w:val="002E1984"/>
    <w:rsid w:val="002E19B3"/>
    <w:rsid w:val="002E1A57"/>
    <w:rsid w:val="002E240D"/>
    <w:rsid w:val="002E3CBF"/>
    <w:rsid w:val="002E43E1"/>
    <w:rsid w:val="002E5859"/>
    <w:rsid w:val="002E7DF3"/>
    <w:rsid w:val="002E7E20"/>
    <w:rsid w:val="002F0850"/>
    <w:rsid w:val="002F559D"/>
    <w:rsid w:val="002F5A2B"/>
    <w:rsid w:val="002F5B4B"/>
    <w:rsid w:val="002F6032"/>
    <w:rsid w:val="002F6EFC"/>
    <w:rsid w:val="002F73B0"/>
    <w:rsid w:val="002F7E91"/>
    <w:rsid w:val="0030113A"/>
    <w:rsid w:val="003022A6"/>
    <w:rsid w:val="003023E1"/>
    <w:rsid w:val="003033AB"/>
    <w:rsid w:val="003039F5"/>
    <w:rsid w:val="003056E7"/>
    <w:rsid w:val="00305B76"/>
    <w:rsid w:val="00306A85"/>
    <w:rsid w:val="00307876"/>
    <w:rsid w:val="003103D1"/>
    <w:rsid w:val="00311535"/>
    <w:rsid w:val="00311936"/>
    <w:rsid w:val="00312219"/>
    <w:rsid w:val="003147B6"/>
    <w:rsid w:val="00314F71"/>
    <w:rsid w:val="00317A66"/>
    <w:rsid w:val="00317E2B"/>
    <w:rsid w:val="00320942"/>
    <w:rsid w:val="003228BF"/>
    <w:rsid w:val="003238EE"/>
    <w:rsid w:val="00323922"/>
    <w:rsid w:val="00325283"/>
    <w:rsid w:val="003254B4"/>
    <w:rsid w:val="0032588B"/>
    <w:rsid w:val="00325D0C"/>
    <w:rsid w:val="00326062"/>
    <w:rsid w:val="00326277"/>
    <w:rsid w:val="00326543"/>
    <w:rsid w:val="00326D0C"/>
    <w:rsid w:val="00327BCB"/>
    <w:rsid w:val="00327F5C"/>
    <w:rsid w:val="00327FC0"/>
    <w:rsid w:val="00330042"/>
    <w:rsid w:val="00330A22"/>
    <w:rsid w:val="00331031"/>
    <w:rsid w:val="00331402"/>
    <w:rsid w:val="00332FBC"/>
    <w:rsid w:val="00333635"/>
    <w:rsid w:val="003339BE"/>
    <w:rsid w:val="003349D9"/>
    <w:rsid w:val="00334DE7"/>
    <w:rsid w:val="00337090"/>
    <w:rsid w:val="00337C29"/>
    <w:rsid w:val="0034085B"/>
    <w:rsid w:val="003419D7"/>
    <w:rsid w:val="00342891"/>
    <w:rsid w:val="00343DB6"/>
    <w:rsid w:val="00344FF0"/>
    <w:rsid w:val="003451D7"/>
    <w:rsid w:val="00346548"/>
    <w:rsid w:val="00346B86"/>
    <w:rsid w:val="00354DC8"/>
    <w:rsid w:val="00357C0B"/>
    <w:rsid w:val="0036040C"/>
    <w:rsid w:val="00361CA0"/>
    <w:rsid w:val="00362248"/>
    <w:rsid w:val="00362729"/>
    <w:rsid w:val="00363714"/>
    <w:rsid w:val="0036427E"/>
    <w:rsid w:val="00364F84"/>
    <w:rsid w:val="00365F71"/>
    <w:rsid w:val="00366321"/>
    <w:rsid w:val="00366A6F"/>
    <w:rsid w:val="003676DC"/>
    <w:rsid w:val="0037169B"/>
    <w:rsid w:val="00372603"/>
    <w:rsid w:val="00373258"/>
    <w:rsid w:val="00373410"/>
    <w:rsid w:val="0037361F"/>
    <w:rsid w:val="00373625"/>
    <w:rsid w:val="003748CA"/>
    <w:rsid w:val="00374FC1"/>
    <w:rsid w:val="00377213"/>
    <w:rsid w:val="00377D48"/>
    <w:rsid w:val="00380C52"/>
    <w:rsid w:val="00382507"/>
    <w:rsid w:val="00382AD8"/>
    <w:rsid w:val="00384547"/>
    <w:rsid w:val="0038554A"/>
    <w:rsid w:val="003858E0"/>
    <w:rsid w:val="00385C43"/>
    <w:rsid w:val="00385EDA"/>
    <w:rsid w:val="00387C99"/>
    <w:rsid w:val="00390901"/>
    <w:rsid w:val="00390C06"/>
    <w:rsid w:val="0039175D"/>
    <w:rsid w:val="00391F6B"/>
    <w:rsid w:val="00392B63"/>
    <w:rsid w:val="00392E43"/>
    <w:rsid w:val="00393B36"/>
    <w:rsid w:val="00395279"/>
    <w:rsid w:val="003972DA"/>
    <w:rsid w:val="00397E63"/>
    <w:rsid w:val="003A0D1F"/>
    <w:rsid w:val="003A17A5"/>
    <w:rsid w:val="003A1F68"/>
    <w:rsid w:val="003A2725"/>
    <w:rsid w:val="003A2E8E"/>
    <w:rsid w:val="003A5EB9"/>
    <w:rsid w:val="003A7CAC"/>
    <w:rsid w:val="003B000A"/>
    <w:rsid w:val="003B12BF"/>
    <w:rsid w:val="003B1AD1"/>
    <w:rsid w:val="003B1D31"/>
    <w:rsid w:val="003B3C96"/>
    <w:rsid w:val="003B4EF4"/>
    <w:rsid w:val="003B71E3"/>
    <w:rsid w:val="003B75FD"/>
    <w:rsid w:val="003B7BFA"/>
    <w:rsid w:val="003B7EBA"/>
    <w:rsid w:val="003C0F3C"/>
    <w:rsid w:val="003C0FA2"/>
    <w:rsid w:val="003C14D1"/>
    <w:rsid w:val="003C2056"/>
    <w:rsid w:val="003C2296"/>
    <w:rsid w:val="003C22CB"/>
    <w:rsid w:val="003C26F9"/>
    <w:rsid w:val="003C29B1"/>
    <w:rsid w:val="003C2A40"/>
    <w:rsid w:val="003C3BF7"/>
    <w:rsid w:val="003C6A74"/>
    <w:rsid w:val="003C73EB"/>
    <w:rsid w:val="003C742C"/>
    <w:rsid w:val="003D0922"/>
    <w:rsid w:val="003D0ED8"/>
    <w:rsid w:val="003D2896"/>
    <w:rsid w:val="003D36A0"/>
    <w:rsid w:val="003D374C"/>
    <w:rsid w:val="003D5B7B"/>
    <w:rsid w:val="003D628F"/>
    <w:rsid w:val="003E04DE"/>
    <w:rsid w:val="003E069E"/>
    <w:rsid w:val="003E3CED"/>
    <w:rsid w:val="003E49CC"/>
    <w:rsid w:val="003E4A86"/>
    <w:rsid w:val="003E5278"/>
    <w:rsid w:val="003E6885"/>
    <w:rsid w:val="003E7AA6"/>
    <w:rsid w:val="003E7B2A"/>
    <w:rsid w:val="003F1AA5"/>
    <w:rsid w:val="003F25F3"/>
    <w:rsid w:val="003F269E"/>
    <w:rsid w:val="003F2D9D"/>
    <w:rsid w:val="003F2F8E"/>
    <w:rsid w:val="003F3013"/>
    <w:rsid w:val="003F383B"/>
    <w:rsid w:val="003F4F82"/>
    <w:rsid w:val="003F57E0"/>
    <w:rsid w:val="003F6561"/>
    <w:rsid w:val="003F7D9F"/>
    <w:rsid w:val="0040019D"/>
    <w:rsid w:val="004008F8"/>
    <w:rsid w:val="00400D6B"/>
    <w:rsid w:val="00403B87"/>
    <w:rsid w:val="004045C6"/>
    <w:rsid w:val="00404884"/>
    <w:rsid w:val="004051D6"/>
    <w:rsid w:val="00405A3E"/>
    <w:rsid w:val="00405DCA"/>
    <w:rsid w:val="00406A71"/>
    <w:rsid w:val="00411B25"/>
    <w:rsid w:val="00411B62"/>
    <w:rsid w:val="00412815"/>
    <w:rsid w:val="0041403D"/>
    <w:rsid w:val="0041414D"/>
    <w:rsid w:val="00414F20"/>
    <w:rsid w:val="0041535F"/>
    <w:rsid w:val="00416832"/>
    <w:rsid w:val="0042215B"/>
    <w:rsid w:val="00422DA9"/>
    <w:rsid w:val="0042536B"/>
    <w:rsid w:val="00426D39"/>
    <w:rsid w:val="0042763E"/>
    <w:rsid w:val="00427ED3"/>
    <w:rsid w:val="004332EC"/>
    <w:rsid w:val="00433AD0"/>
    <w:rsid w:val="00434992"/>
    <w:rsid w:val="004354C9"/>
    <w:rsid w:val="00440E0A"/>
    <w:rsid w:val="00440F1A"/>
    <w:rsid w:val="00440FD6"/>
    <w:rsid w:val="00442510"/>
    <w:rsid w:val="004425AE"/>
    <w:rsid w:val="004447D6"/>
    <w:rsid w:val="00444952"/>
    <w:rsid w:val="00446469"/>
    <w:rsid w:val="0045031F"/>
    <w:rsid w:val="00451C5C"/>
    <w:rsid w:val="00451EAD"/>
    <w:rsid w:val="0045301B"/>
    <w:rsid w:val="004533DE"/>
    <w:rsid w:val="0045427E"/>
    <w:rsid w:val="00454788"/>
    <w:rsid w:val="0045489F"/>
    <w:rsid w:val="00454EF3"/>
    <w:rsid w:val="00455569"/>
    <w:rsid w:val="00456F30"/>
    <w:rsid w:val="00457118"/>
    <w:rsid w:val="0045737D"/>
    <w:rsid w:val="004600E0"/>
    <w:rsid w:val="00460CC5"/>
    <w:rsid w:val="00461214"/>
    <w:rsid w:val="0046165D"/>
    <w:rsid w:val="00461770"/>
    <w:rsid w:val="0046281B"/>
    <w:rsid w:val="004661C7"/>
    <w:rsid w:val="00466638"/>
    <w:rsid w:val="00466AFE"/>
    <w:rsid w:val="0047366A"/>
    <w:rsid w:val="00474330"/>
    <w:rsid w:val="004747C8"/>
    <w:rsid w:val="00474C68"/>
    <w:rsid w:val="0047541D"/>
    <w:rsid w:val="00475A64"/>
    <w:rsid w:val="00476C99"/>
    <w:rsid w:val="004772BE"/>
    <w:rsid w:val="004772CC"/>
    <w:rsid w:val="00481AD5"/>
    <w:rsid w:val="0048294D"/>
    <w:rsid w:val="00482B8F"/>
    <w:rsid w:val="00482DAB"/>
    <w:rsid w:val="0048484E"/>
    <w:rsid w:val="00485437"/>
    <w:rsid w:val="004857F8"/>
    <w:rsid w:val="004879E3"/>
    <w:rsid w:val="00487AB7"/>
    <w:rsid w:val="0049139D"/>
    <w:rsid w:val="00491A2B"/>
    <w:rsid w:val="00492DB0"/>
    <w:rsid w:val="00492E41"/>
    <w:rsid w:val="00492F02"/>
    <w:rsid w:val="0049313C"/>
    <w:rsid w:val="0049355A"/>
    <w:rsid w:val="00495245"/>
    <w:rsid w:val="00495374"/>
    <w:rsid w:val="00495F7D"/>
    <w:rsid w:val="004968DA"/>
    <w:rsid w:val="0049727C"/>
    <w:rsid w:val="00497705"/>
    <w:rsid w:val="004A07F2"/>
    <w:rsid w:val="004A25BF"/>
    <w:rsid w:val="004A308A"/>
    <w:rsid w:val="004A361C"/>
    <w:rsid w:val="004A37FE"/>
    <w:rsid w:val="004A40C5"/>
    <w:rsid w:val="004A54E8"/>
    <w:rsid w:val="004A660A"/>
    <w:rsid w:val="004A68A5"/>
    <w:rsid w:val="004B1AE7"/>
    <w:rsid w:val="004B2F89"/>
    <w:rsid w:val="004B3D0A"/>
    <w:rsid w:val="004B3E08"/>
    <w:rsid w:val="004B480C"/>
    <w:rsid w:val="004B56C5"/>
    <w:rsid w:val="004B5961"/>
    <w:rsid w:val="004B7515"/>
    <w:rsid w:val="004B76CC"/>
    <w:rsid w:val="004C3E35"/>
    <w:rsid w:val="004C3F65"/>
    <w:rsid w:val="004C43CA"/>
    <w:rsid w:val="004C47A0"/>
    <w:rsid w:val="004C4C2D"/>
    <w:rsid w:val="004C5943"/>
    <w:rsid w:val="004C6936"/>
    <w:rsid w:val="004C70D6"/>
    <w:rsid w:val="004C72FC"/>
    <w:rsid w:val="004C7D29"/>
    <w:rsid w:val="004C7E1A"/>
    <w:rsid w:val="004D0549"/>
    <w:rsid w:val="004D075A"/>
    <w:rsid w:val="004D1186"/>
    <w:rsid w:val="004D12F4"/>
    <w:rsid w:val="004D19F7"/>
    <w:rsid w:val="004D1DA0"/>
    <w:rsid w:val="004D26D3"/>
    <w:rsid w:val="004D286A"/>
    <w:rsid w:val="004D53D9"/>
    <w:rsid w:val="004D612B"/>
    <w:rsid w:val="004E0995"/>
    <w:rsid w:val="004E199E"/>
    <w:rsid w:val="004E305A"/>
    <w:rsid w:val="004E32D7"/>
    <w:rsid w:val="004E3BBF"/>
    <w:rsid w:val="004E5A59"/>
    <w:rsid w:val="004E5DE3"/>
    <w:rsid w:val="004E5FBB"/>
    <w:rsid w:val="004E6F8C"/>
    <w:rsid w:val="004F0BAF"/>
    <w:rsid w:val="004F0BF7"/>
    <w:rsid w:val="004F0D1D"/>
    <w:rsid w:val="004F14F5"/>
    <w:rsid w:val="004F1E0E"/>
    <w:rsid w:val="004F2971"/>
    <w:rsid w:val="004F3847"/>
    <w:rsid w:val="004F38BA"/>
    <w:rsid w:val="004F47CE"/>
    <w:rsid w:val="004F5A07"/>
    <w:rsid w:val="004F5B14"/>
    <w:rsid w:val="004F66B6"/>
    <w:rsid w:val="0050005F"/>
    <w:rsid w:val="00502EB4"/>
    <w:rsid w:val="0050383C"/>
    <w:rsid w:val="00503CD8"/>
    <w:rsid w:val="005042B4"/>
    <w:rsid w:val="00504475"/>
    <w:rsid w:val="00504761"/>
    <w:rsid w:val="00505D7C"/>
    <w:rsid w:val="00506A13"/>
    <w:rsid w:val="00511BA1"/>
    <w:rsid w:val="005139C8"/>
    <w:rsid w:val="00513C7D"/>
    <w:rsid w:val="0051539C"/>
    <w:rsid w:val="00515F54"/>
    <w:rsid w:val="00517C84"/>
    <w:rsid w:val="00521110"/>
    <w:rsid w:val="00521F40"/>
    <w:rsid w:val="00524526"/>
    <w:rsid w:val="00525F42"/>
    <w:rsid w:val="005261F0"/>
    <w:rsid w:val="0052754C"/>
    <w:rsid w:val="00530701"/>
    <w:rsid w:val="005308D4"/>
    <w:rsid w:val="00531294"/>
    <w:rsid w:val="00531686"/>
    <w:rsid w:val="00532D06"/>
    <w:rsid w:val="00533DFB"/>
    <w:rsid w:val="00536034"/>
    <w:rsid w:val="00541C91"/>
    <w:rsid w:val="00541DCA"/>
    <w:rsid w:val="0054225F"/>
    <w:rsid w:val="00542A28"/>
    <w:rsid w:val="00542CAA"/>
    <w:rsid w:val="00542DE4"/>
    <w:rsid w:val="00543169"/>
    <w:rsid w:val="00543D34"/>
    <w:rsid w:val="00544745"/>
    <w:rsid w:val="0054531B"/>
    <w:rsid w:val="00546905"/>
    <w:rsid w:val="00547526"/>
    <w:rsid w:val="00550057"/>
    <w:rsid w:val="00551587"/>
    <w:rsid w:val="00551931"/>
    <w:rsid w:val="0055275B"/>
    <w:rsid w:val="00554283"/>
    <w:rsid w:val="005558F2"/>
    <w:rsid w:val="00557ACF"/>
    <w:rsid w:val="00560989"/>
    <w:rsid w:val="00562760"/>
    <w:rsid w:val="00562B76"/>
    <w:rsid w:val="00563930"/>
    <w:rsid w:val="005646A1"/>
    <w:rsid w:val="005647BE"/>
    <w:rsid w:val="00564EF1"/>
    <w:rsid w:val="0056578B"/>
    <w:rsid w:val="00565965"/>
    <w:rsid w:val="005660BD"/>
    <w:rsid w:val="0056676A"/>
    <w:rsid w:val="005673D3"/>
    <w:rsid w:val="005700E9"/>
    <w:rsid w:val="00570AA9"/>
    <w:rsid w:val="005710BC"/>
    <w:rsid w:val="00571C8A"/>
    <w:rsid w:val="00572695"/>
    <w:rsid w:val="005754F5"/>
    <w:rsid w:val="005764D8"/>
    <w:rsid w:val="005767F5"/>
    <w:rsid w:val="00577008"/>
    <w:rsid w:val="005772AF"/>
    <w:rsid w:val="00581C8D"/>
    <w:rsid w:val="00581F79"/>
    <w:rsid w:val="00585827"/>
    <w:rsid w:val="005866C2"/>
    <w:rsid w:val="0058707E"/>
    <w:rsid w:val="00587C45"/>
    <w:rsid w:val="00590778"/>
    <w:rsid w:val="00590F43"/>
    <w:rsid w:val="00591395"/>
    <w:rsid w:val="0059183F"/>
    <w:rsid w:val="00594FCD"/>
    <w:rsid w:val="00595413"/>
    <w:rsid w:val="00595903"/>
    <w:rsid w:val="00596B61"/>
    <w:rsid w:val="005A0789"/>
    <w:rsid w:val="005A2227"/>
    <w:rsid w:val="005A417E"/>
    <w:rsid w:val="005A67A6"/>
    <w:rsid w:val="005A6BDB"/>
    <w:rsid w:val="005A71D6"/>
    <w:rsid w:val="005B08DC"/>
    <w:rsid w:val="005B34AE"/>
    <w:rsid w:val="005B36B7"/>
    <w:rsid w:val="005B4C9A"/>
    <w:rsid w:val="005B4E3F"/>
    <w:rsid w:val="005B5F6F"/>
    <w:rsid w:val="005B6698"/>
    <w:rsid w:val="005B75B8"/>
    <w:rsid w:val="005C063E"/>
    <w:rsid w:val="005C427E"/>
    <w:rsid w:val="005C4405"/>
    <w:rsid w:val="005C4F7E"/>
    <w:rsid w:val="005C525B"/>
    <w:rsid w:val="005C5D43"/>
    <w:rsid w:val="005C7141"/>
    <w:rsid w:val="005D0868"/>
    <w:rsid w:val="005D218F"/>
    <w:rsid w:val="005D2309"/>
    <w:rsid w:val="005D2374"/>
    <w:rsid w:val="005D28C2"/>
    <w:rsid w:val="005D4778"/>
    <w:rsid w:val="005D6E77"/>
    <w:rsid w:val="005D6EC9"/>
    <w:rsid w:val="005D7402"/>
    <w:rsid w:val="005D7775"/>
    <w:rsid w:val="005E0821"/>
    <w:rsid w:val="005E09BD"/>
    <w:rsid w:val="005E345D"/>
    <w:rsid w:val="005E45D4"/>
    <w:rsid w:val="005E5363"/>
    <w:rsid w:val="005E6C1B"/>
    <w:rsid w:val="005E6F99"/>
    <w:rsid w:val="005E7B0F"/>
    <w:rsid w:val="005F052F"/>
    <w:rsid w:val="005F2858"/>
    <w:rsid w:val="005F3A83"/>
    <w:rsid w:val="005F3F3B"/>
    <w:rsid w:val="005F49F3"/>
    <w:rsid w:val="005F4B17"/>
    <w:rsid w:val="005F4C63"/>
    <w:rsid w:val="005F5360"/>
    <w:rsid w:val="005F583E"/>
    <w:rsid w:val="005F5B3D"/>
    <w:rsid w:val="005F62DA"/>
    <w:rsid w:val="005F65AC"/>
    <w:rsid w:val="005F70C2"/>
    <w:rsid w:val="005F7A5D"/>
    <w:rsid w:val="00600196"/>
    <w:rsid w:val="00600F09"/>
    <w:rsid w:val="006014CE"/>
    <w:rsid w:val="0060200D"/>
    <w:rsid w:val="006044F6"/>
    <w:rsid w:val="006059A3"/>
    <w:rsid w:val="006061F7"/>
    <w:rsid w:val="0061228E"/>
    <w:rsid w:val="0061292F"/>
    <w:rsid w:val="0061301A"/>
    <w:rsid w:val="00613260"/>
    <w:rsid w:val="006142C2"/>
    <w:rsid w:val="00614554"/>
    <w:rsid w:val="0061639A"/>
    <w:rsid w:val="0061795F"/>
    <w:rsid w:val="00617D53"/>
    <w:rsid w:val="006201A9"/>
    <w:rsid w:val="00620A8F"/>
    <w:rsid w:val="006210F7"/>
    <w:rsid w:val="00621E57"/>
    <w:rsid w:val="00622AD1"/>
    <w:rsid w:val="00622E31"/>
    <w:rsid w:val="006240EB"/>
    <w:rsid w:val="006253AD"/>
    <w:rsid w:val="00625711"/>
    <w:rsid w:val="00625A02"/>
    <w:rsid w:val="00625B57"/>
    <w:rsid w:val="00625D00"/>
    <w:rsid w:val="006267A6"/>
    <w:rsid w:val="00630517"/>
    <w:rsid w:val="00631D32"/>
    <w:rsid w:val="00631DEC"/>
    <w:rsid w:val="00631E97"/>
    <w:rsid w:val="00633082"/>
    <w:rsid w:val="00634C07"/>
    <w:rsid w:val="00635311"/>
    <w:rsid w:val="00635460"/>
    <w:rsid w:val="00637DEA"/>
    <w:rsid w:val="00640211"/>
    <w:rsid w:val="00641CB5"/>
    <w:rsid w:val="0064490F"/>
    <w:rsid w:val="00646A5B"/>
    <w:rsid w:val="00647DBA"/>
    <w:rsid w:val="00650275"/>
    <w:rsid w:val="006512B7"/>
    <w:rsid w:val="00653135"/>
    <w:rsid w:val="00653600"/>
    <w:rsid w:val="00653FAC"/>
    <w:rsid w:val="00655A76"/>
    <w:rsid w:val="00655D0E"/>
    <w:rsid w:val="006579D5"/>
    <w:rsid w:val="00657AAE"/>
    <w:rsid w:val="00660F9E"/>
    <w:rsid w:val="006611CD"/>
    <w:rsid w:val="00661CF2"/>
    <w:rsid w:val="00662CD8"/>
    <w:rsid w:val="00662FD8"/>
    <w:rsid w:val="006635F4"/>
    <w:rsid w:val="006639DC"/>
    <w:rsid w:val="00663B64"/>
    <w:rsid w:val="00664B9C"/>
    <w:rsid w:val="00664E34"/>
    <w:rsid w:val="0066506F"/>
    <w:rsid w:val="00665BC2"/>
    <w:rsid w:val="00666446"/>
    <w:rsid w:val="00666E88"/>
    <w:rsid w:val="00671A71"/>
    <w:rsid w:val="00672A17"/>
    <w:rsid w:val="00672F83"/>
    <w:rsid w:val="00673989"/>
    <w:rsid w:val="00674ABC"/>
    <w:rsid w:val="00675634"/>
    <w:rsid w:val="00675988"/>
    <w:rsid w:val="00675ADE"/>
    <w:rsid w:val="00677C6B"/>
    <w:rsid w:val="00682218"/>
    <w:rsid w:val="006825D8"/>
    <w:rsid w:val="006836A2"/>
    <w:rsid w:val="006851A0"/>
    <w:rsid w:val="00685E30"/>
    <w:rsid w:val="00685EAE"/>
    <w:rsid w:val="00686089"/>
    <w:rsid w:val="00687708"/>
    <w:rsid w:val="006922C3"/>
    <w:rsid w:val="00692A69"/>
    <w:rsid w:val="00692F0B"/>
    <w:rsid w:val="006943F4"/>
    <w:rsid w:val="00694D10"/>
    <w:rsid w:val="0069538E"/>
    <w:rsid w:val="006956D6"/>
    <w:rsid w:val="006971EC"/>
    <w:rsid w:val="0069793C"/>
    <w:rsid w:val="006A0231"/>
    <w:rsid w:val="006A0ABA"/>
    <w:rsid w:val="006A0B0D"/>
    <w:rsid w:val="006A0EE0"/>
    <w:rsid w:val="006A2E84"/>
    <w:rsid w:val="006A2F6F"/>
    <w:rsid w:val="006A356E"/>
    <w:rsid w:val="006A3B9F"/>
    <w:rsid w:val="006A5116"/>
    <w:rsid w:val="006A5C67"/>
    <w:rsid w:val="006A6326"/>
    <w:rsid w:val="006A790E"/>
    <w:rsid w:val="006A7CC9"/>
    <w:rsid w:val="006B0394"/>
    <w:rsid w:val="006B0619"/>
    <w:rsid w:val="006B0C1E"/>
    <w:rsid w:val="006B1852"/>
    <w:rsid w:val="006B1A68"/>
    <w:rsid w:val="006B1C7E"/>
    <w:rsid w:val="006B2004"/>
    <w:rsid w:val="006B2556"/>
    <w:rsid w:val="006B26B1"/>
    <w:rsid w:val="006B283C"/>
    <w:rsid w:val="006B2A38"/>
    <w:rsid w:val="006B2A57"/>
    <w:rsid w:val="006B2F9A"/>
    <w:rsid w:val="006B4690"/>
    <w:rsid w:val="006B487D"/>
    <w:rsid w:val="006B6D18"/>
    <w:rsid w:val="006B79FB"/>
    <w:rsid w:val="006C151C"/>
    <w:rsid w:val="006C226D"/>
    <w:rsid w:val="006C23C7"/>
    <w:rsid w:val="006C2958"/>
    <w:rsid w:val="006C3AE7"/>
    <w:rsid w:val="006C4234"/>
    <w:rsid w:val="006C42CD"/>
    <w:rsid w:val="006C4368"/>
    <w:rsid w:val="006C4FC5"/>
    <w:rsid w:val="006C5272"/>
    <w:rsid w:val="006C6352"/>
    <w:rsid w:val="006C6741"/>
    <w:rsid w:val="006C6F98"/>
    <w:rsid w:val="006D06DC"/>
    <w:rsid w:val="006D1188"/>
    <w:rsid w:val="006D1288"/>
    <w:rsid w:val="006D40DB"/>
    <w:rsid w:val="006D4864"/>
    <w:rsid w:val="006D4E3E"/>
    <w:rsid w:val="006D563E"/>
    <w:rsid w:val="006D5A87"/>
    <w:rsid w:val="006D6B6D"/>
    <w:rsid w:val="006D6C72"/>
    <w:rsid w:val="006E3AD7"/>
    <w:rsid w:val="006E53EE"/>
    <w:rsid w:val="006E5C51"/>
    <w:rsid w:val="006E6432"/>
    <w:rsid w:val="006E740A"/>
    <w:rsid w:val="006E7B0D"/>
    <w:rsid w:val="006F129D"/>
    <w:rsid w:val="006F133C"/>
    <w:rsid w:val="006F19FA"/>
    <w:rsid w:val="006F3399"/>
    <w:rsid w:val="006F3C63"/>
    <w:rsid w:val="006F3E9A"/>
    <w:rsid w:val="006F5FDB"/>
    <w:rsid w:val="006F6537"/>
    <w:rsid w:val="006F6A27"/>
    <w:rsid w:val="006F6CCC"/>
    <w:rsid w:val="00700ED4"/>
    <w:rsid w:val="00702663"/>
    <w:rsid w:val="00702FF8"/>
    <w:rsid w:val="00704E1A"/>
    <w:rsid w:val="00704F4E"/>
    <w:rsid w:val="007056A8"/>
    <w:rsid w:val="0070747F"/>
    <w:rsid w:val="00710889"/>
    <w:rsid w:val="00712D6C"/>
    <w:rsid w:val="007133D8"/>
    <w:rsid w:val="00713FA4"/>
    <w:rsid w:val="00714DEE"/>
    <w:rsid w:val="00715604"/>
    <w:rsid w:val="00716245"/>
    <w:rsid w:val="00717132"/>
    <w:rsid w:val="00720F9E"/>
    <w:rsid w:val="007212EB"/>
    <w:rsid w:val="0072189A"/>
    <w:rsid w:val="00721A31"/>
    <w:rsid w:val="007222C2"/>
    <w:rsid w:val="00723B59"/>
    <w:rsid w:val="00723B96"/>
    <w:rsid w:val="00723E00"/>
    <w:rsid w:val="00723FEE"/>
    <w:rsid w:val="00724011"/>
    <w:rsid w:val="00724C89"/>
    <w:rsid w:val="0072536B"/>
    <w:rsid w:val="0072538E"/>
    <w:rsid w:val="00726494"/>
    <w:rsid w:val="00727F1A"/>
    <w:rsid w:val="00730334"/>
    <w:rsid w:val="007309CE"/>
    <w:rsid w:val="00730C95"/>
    <w:rsid w:val="007317CA"/>
    <w:rsid w:val="00731A9E"/>
    <w:rsid w:val="0073260E"/>
    <w:rsid w:val="00733454"/>
    <w:rsid w:val="00736386"/>
    <w:rsid w:val="0073665B"/>
    <w:rsid w:val="00736EB9"/>
    <w:rsid w:val="00737416"/>
    <w:rsid w:val="007377DE"/>
    <w:rsid w:val="00740367"/>
    <w:rsid w:val="00741328"/>
    <w:rsid w:val="00741410"/>
    <w:rsid w:val="00741BBB"/>
    <w:rsid w:val="00742189"/>
    <w:rsid w:val="00742C59"/>
    <w:rsid w:val="00742CBF"/>
    <w:rsid w:val="00742D70"/>
    <w:rsid w:val="0074606C"/>
    <w:rsid w:val="007464F5"/>
    <w:rsid w:val="0074679F"/>
    <w:rsid w:val="00746C4F"/>
    <w:rsid w:val="007479C2"/>
    <w:rsid w:val="00747C94"/>
    <w:rsid w:val="00750A12"/>
    <w:rsid w:val="00751F65"/>
    <w:rsid w:val="00753609"/>
    <w:rsid w:val="007541EE"/>
    <w:rsid w:val="007546E3"/>
    <w:rsid w:val="0075479E"/>
    <w:rsid w:val="007550F5"/>
    <w:rsid w:val="0075567C"/>
    <w:rsid w:val="007562EB"/>
    <w:rsid w:val="00756E31"/>
    <w:rsid w:val="00757F17"/>
    <w:rsid w:val="0076046F"/>
    <w:rsid w:val="00760515"/>
    <w:rsid w:val="00763C6C"/>
    <w:rsid w:val="00765119"/>
    <w:rsid w:val="00766935"/>
    <w:rsid w:val="00766BFA"/>
    <w:rsid w:val="00767D1E"/>
    <w:rsid w:val="0077191F"/>
    <w:rsid w:val="00772059"/>
    <w:rsid w:val="007725F7"/>
    <w:rsid w:val="00772A28"/>
    <w:rsid w:val="00773851"/>
    <w:rsid w:val="00776D97"/>
    <w:rsid w:val="007777EA"/>
    <w:rsid w:val="007806D5"/>
    <w:rsid w:val="00780996"/>
    <w:rsid w:val="00780BDB"/>
    <w:rsid w:val="007817B5"/>
    <w:rsid w:val="00782125"/>
    <w:rsid w:val="00782D19"/>
    <w:rsid w:val="00783ABA"/>
    <w:rsid w:val="0078797A"/>
    <w:rsid w:val="00790707"/>
    <w:rsid w:val="007909B9"/>
    <w:rsid w:val="007913DA"/>
    <w:rsid w:val="00792DC6"/>
    <w:rsid w:val="00795853"/>
    <w:rsid w:val="00797721"/>
    <w:rsid w:val="00797961"/>
    <w:rsid w:val="00797EA7"/>
    <w:rsid w:val="007A02E2"/>
    <w:rsid w:val="007A02F2"/>
    <w:rsid w:val="007A0857"/>
    <w:rsid w:val="007A0ACC"/>
    <w:rsid w:val="007A1BA6"/>
    <w:rsid w:val="007A3CA9"/>
    <w:rsid w:val="007A437D"/>
    <w:rsid w:val="007A46F2"/>
    <w:rsid w:val="007A53A2"/>
    <w:rsid w:val="007B01C5"/>
    <w:rsid w:val="007B10C9"/>
    <w:rsid w:val="007B2346"/>
    <w:rsid w:val="007B31B6"/>
    <w:rsid w:val="007B4263"/>
    <w:rsid w:val="007B4583"/>
    <w:rsid w:val="007B4747"/>
    <w:rsid w:val="007B47FE"/>
    <w:rsid w:val="007B6B73"/>
    <w:rsid w:val="007C072E"/>
    <w:rsid w:val="007C0881"/>
    <w:rsid w:val="007C0940"/>
    <w:rsid w:val="007C0FDE"/>
    <w:rsid w:val="007C164E"/>
    <w:rsid w:val="007C4C9C"/>
    <w:rsid w:val="007C4E39"/>
    <w:rsid w:val="007C4E7D"/>
    <w:rsid w:val="007C5186"/>
    <w:rsid w:val="007C561D"/>
    <w:rsid w:val="007C6A50"/>
    <w:rsid w:val="007C779A"/>
    <w:rsid w:val="007C7BD3"/>
    <w:rsid w:val="007D0AB5"/>
    <w:rsid w:val="007D0D38"/>
    <w:rsid w:val="007D0DA1"/>
    <w:rsid w:val="007D0EBB"/>
    <w:rsid w:val="007D1001"/>
    <w:rsid w:val="007D23EF"/>
    <w:rsid w:val="007D2D8E"/>
    <w:rsid w:val="007D3EBC"/>
    <w:rsid w:val="007D519E"/>
    <w:rsid w:val="007D661A"/>
    <w:rsid w:val="007E0B05"/>
    <w:rsid w:val="007E1F60"/>
    <w:rsid w:val="007E3390"/>
    <w:rsid w:val="007E48C4"/>
    <w:rsid w:val="007E5712"/>
    <w:rsid w:val="007E5958"/>
    <w:rsid w:val="007F1330"/>
    <w:rsid w:val="007F3E42"/>
    <w:rsid w:val="007F5CD2"/>
    <w:rsid w:val="007F5EA6"/>
    <w:rsid w:val="007F6352"/>
    <w:rsid w:val="007F65C8"/>
    <w:rsid w:val="007F7D4C"/>
    <w:rsid w:val="00801CDA"/>
    <w:rsid w:val="00802258"/>
    <w:rsid w:val="00802BD9"/>
    <w:rsid w:val="00810046"/>
    <w:rsid w:val="00812165"/>
    <w:rsid w:val="008135A2"/>
    <w:rsid w:val="00813C70"/>
    <w:rsid w:val="00814214"/>
    <w:rsid w:val="00815EC6"/>
    <w:rsid w:val="0081643F"/>
    <w:rsid w:val="00817717"/>
    <w:rsid w:val="0081794E"/>
    <w:rsid w:val="00817F77"/>
    <w:rsid w:val="00821338"/>
    <w:rsid w:val="00822DDC"/>
    <w:rsid w:val="008232A6"/>
    <w:rsid w:val="008241AF"/>
    <w:rsid w:val="00826155"/>
    <w:rsid w:val="008277EA"/>
    <w:rsid w:val="00827D53"/>
    <w:rsid w:val="0083014A"/>
    <w:rsid w:val="0083084D"/>
    <w:rsid w:val="008311A6"/>
    <w:rsid w:val="008318FB"/>
    <w:rsid w:val="00831B7C"/>
    <w:rsid w:val="0083298A"/>
    <w:rsid w:val="00833A96"/>
    <w:rsid w:val="00833EAE"/>
    <w:rsid w:val="008344CB"/>
    <w:rsid w:val="00834CAE"/>
    <w:rsid w:val="00835873"/>
    <w:rsid w:val="00835AF0"/>
    <w:rsid w:val="00835DDD"/>
    <w:rsid w:val="00835EF6"/>
    <w:rsid w:val="00840B28"/>
    <w:rsid w:val="00841B6B"/>
    <w:rsid w:val="00843034"/>
    <w:rsid w:val="00845D00"/>
    <w:rsid w:val="00845F98"/>
    <w:rsid w:val="0084710B"/>
    <w:rsid w:val="00847A2C"/>
    <w:rsid w:val="00850CD5"/>
    <w:rsid w:val="00856ED3"/>
    <w:rsid w:val="00857AB5"/>
    <w:rsid w:val="00860389"/>
    <w:rsid w:val="008603BB"/>
    <w:rsid w:val="0086121C"/>
    <w:rsid w:val="0086241F"/>
    <w:rsid w:val="00862867"/>
    <w:rsid w:val="008628D7"/>
    <w:rsid w:val="00862EE3"/>
    <w:rsid w:val="0086315F"/>
    <w:rsid w:val="00863528"/>
    <w:rsid w:val="00863E9C"/>
    <w:rsid w:val="00864265"/>
    <w:rsid w:val="008644FC"/>
    <w:rsid w:val="0086458B"/>
    <w:rsid w:val="00864D4F"/>
    <w:rsid w:val="00866C9B"/>
    <w:rsid w:val="00866CF7"/>
    <w:rsid w:val="00870602"/>
    <w:rsid w:val="00870B7C"/>
    <w:rsid w:val="00871B3B"/>
    <w:rsid w:val="00872665"/>
    <w:rsid w:val="008734DB"/>
    <w:rsid w:val="0087563C"/>
    <w:rsid w:val="00875AFB"/>
    <w:rsid w:val="00875BC9"/>
    <w:rsid w:val="00877946"/>
    <w:rsid w:val="00880F42"/>
    <w:rsid w:val="0088238C"/>
    <w:rsid w:val="0088283D"/>
    <w:rsid w:val="00883DBE"/>
    <w:rsid w:val="00884041"/>
    <w:rsid w:val="00884743"/>
    <w:rsid w:val="00885096"/>
    <w:rsid w:val="0088684D"/>
    <w:rsid w:val="00886B8B"/>
    <w:rsid w:val="008878E4"/>
    <w:rsid w:val="00887919"/>
    <w:rsid w:val="008900E8"/>
    <w:rsid w:val="00890F58"/>
    <w:rsid w:val="00891812"/>
    <w:rsid w:val="00891C63"/>
    <w:rsid w:val="00893ACC"/>
    <w:rsid w:val="00894361"/>
    <w:rsid w:val="008945D7"/>
    <w:rsid w:val="00894A8B"/>
    <w:rsid w:val="00894D1C"/>
    <w:rsid w:val="00894F47"/>
    <w:rsid w:val="0089536A"/>
    <w:rsid w:val="00896384"/>
    <w:rsid w:val="00896BA2"/>
    <w:rsid w:val="00897328"/>
    <w:rsid w:val="008A0839"/>
    <w:rsid w:val="008A2B58"/>
    <w:rsid w:val="008A302D"/>
    <w:rsid w:val="008A60E7"/>
    <w:rsid w:val="008A7659"/>
    <w:rsid w:val="008B04F5"/>
    <w:rsid w:val="008B1178"/>
    <w:rsid w:val="008B22E8"/>
    <w:rsid w:val="008B3020"/>
    <w:rsid w:val="008B336C"/>
    <w:rsid w:val="008B3D1A"/>
    <w:rsid w:val="008B4418"/>
    <w:rsid w:val="008B54E8"/>
    <w:rsid w:val="008B656A"/>
    <w:rsid w:val="008B73F8"/>
    <w:rsid w:val="008C00EC"/>
    <w:rsid w:val="008C02FA"/>
    <w:rsid w:val="008C13E5"/>
    <w:rsid w:val="008C204A"/>
    <w:rsid w:val="008C30F0"/>
    <w:rsid w:val="008C32D4"/>
    <w:rsid w:val="008C34AE"/>
    <w:rsid w:val="008C38BE"/>
    <w:rsid w:val="008C436A"/>
    <w:rsid w:val="008C4CDE"/>
    <w:rsid w:val="008D02C8"/>
    <w:rsid w:val="008D1AD8"/>
    <w:rsid w:val="008D1B76"/>
    <w:rsid w:val="008D1EE8"/>
    <w:rsid w:val="008D299E"/>
    <w:rsid w:val="008D2B09"/>
    <w:rsid w:val="008D4643"/>
    <w:rsid w:val="008D4964"/>
    <w:rsid w:val="008D4B56"/>
    <w:rsid w:val="008D521D"/>
    <w:rsid w:val="008D660D"/>
    <w:rsid w:val="008D7229"/>
    <w:rsid w:val="008E1F61"/>
    <w:rsid w:val="008E385A"/>
    <w:rsid w:val="008E39D9"/>
    <w:rsid w:val="008E6BCF"/>
    <w:rsid w:val="008E6BEE"/>
    <w:rsid w:val="008F1AB0"/>
    <w:rsid w:val="008F24F5"/>
    <w:rsid w:val="008F3BA4"/>
    <w:rsid w:val="008F4CE2"/>
    <w:rsid w:val="008F56FB"/>
    <w:rsid w:val="008F5E41"/>
    <w:rsid w:val="008F5F85"/>
    <w:rsid w:val="008F6768"/>
    <w:rsid w:val="008F6F20"/>
    <w:rsid w:val="008F7A99"/>
    <w:rsid w:val="00900834"/>
    <w:rsid w:val="00900C1B"/>
    <w:rsid w:val="00901AAE"/>
    <w:rsid w:val="00901AF3"/>
    <w:rsid w:val="009032DE"/>
    <w:rsid w:val="00903771"/>
    <w:rsid w:val="00903DD4"/>
    <w:rsid w:val="00903E32"/>
    <w:rsid w:val="009057FC"/>
    <w:rsid w:val="009066EA"/>
    <w:rsid w:val="009067D8"/>
    <w:rsid w:val="00906CD9"/>
    <w:rsid w:val="009101DB"/>
    <w:rsid w:val="00910B8B"/>
    <w:rsid w:val="0091132C"/>
    <w:rsid w:val="009114F1"/>
    <w:rsid w:val="00912AD2"/>
    <w:rsid w:val="00912B52"/>
    <w:rsid w:val="00913548"/>
    <w:rsid w:val="009137C1"/>
    <w:rsid w:val="00913CE2"/>
    <w:rsid w:val="00914414"/>
    <w:rsid w:val="00914685"/>
    <w:rsid w:val="009146CB"/>
    <w:rsid w:val="009159D6"/>
    <w:rsid w:val="00915FE2"/>
    <w:rsid w:val="00916173"/>
    <w:rsid w:val="00916469"/>
    <w:rsid w:val="00917DF0"/>
    <w:rsid w:val="00920AE7"/>
    <w:rsid w:val="00920EBA"/>
    <w:rsid w:val="00921BB9"/>
    <w:rsid w:val="00922B6A"/>
    <w:rsid w:val="009230F6"/>
    <w:rsid w:val="00923F36"/>
    <w:rsid w:val="00925613"/>
    <w:rsid w:val="0092657B"/>
    <w:rsid w:val="00927A44"/>
    <w:rsid w:val="00931098"/>
    <w:rsid w:val="00931772"/>
    <w:rsid w:val="009344B2"/>
    <w:rsid w:val="0093468F"/>
    <w:rsid w:val="0093643A"/>
    <w:rsid w:val="00936A7A"/>
    <w:rsid w:val="009403B2"/>
    <w:rsid w:val="009426CC"/>
    <w:rsid w:val="0094364C"/>
    <w:rsid w:val="00946938"/>
    <w:rsid w:val="00946A84"/>
    <w:rsid w:val="00950AFD"/>
    <w:rsid w:val="00951630"/>
    <w:rsid w:val="00951A65"/>
    <w:rsid w:val="0095225D"/>
    <w:rsid w:val="00952829"/>
    <w:rsid w:val="0095300A"/>
    <w:rsid w:val="0095401D"/>
    <w:rsid w:val="00954ACE"/>
    <w:rsid w:val="00955D2E"/>
    <w:rsid w:val="00957E76"/>
    <w:rsid w:val="0096001B"/>
    <w:rsid w:val="009604CB"/>
    <w:rsid w:val="00960675"/>
    <w:rsid w:val="0096131D"/>
    <w:rsid w:val="00961320"/>
    <w:rsid w:val="00962369"/>
    <w:rsid w:val="0096409F"/>
    <w:rsid w:val="00964A04"/>
    <w:rsid w:val="00964DEC"/>
    <w:rsid w:val="00965F4D"/>
    <w:rsid w:val="0096654A"/>
    <w:rsid w:val="009673AE"/>
    <w:rsid w:val="00971220"/>
    <w:rsid w:val="009723B9"/>
    <w:rsid w:val="009733CE"/>
    <w:rsid w:val="00974730"/>
    <w:rsid w:val="009747AD"/>
    <w:rsid w:val="00976171"/>
    <w:rsid w:val="00976F00"/>
    <w:rsid w:val="00977289"/>
    <w:rsid w:val="00977F47"/>
    <w:rsid w:val="00980C61"/>
    <w:rsid w:val="00982B94"/>
    <w:rsid w:val="00982C3F"/>
    <w:rsid w:val="009833F6"/>
    <w:rsid w:val="00984381"/>
    <w:rsid w:val="009852A9"/>
    <w:rsid w:val="009861C9"/>
    <w:rsid w:val="00987F46"/>
    <w:rsid w:val="00992518"/>
    <w:rsid w:val="0099288C"/>
    <w:rsid w:val="009929DA"/>
    <w:rsid w:val="009932AA"/>
    <w:rsid w:val="00993A24"/>
    <w:rsid w:val="00993B50"/>
    <w:rsid w:val="0099430C"/>
    <w:rsid w:val="00994BA9"/>
    <w:rsid w:val="00994DCF"/>
    <w:rsid w:val="0099641D"/>
    <w:rsid w:val="00996FBB"/>
    <w:rsid w:val="009A1420"/>
    <w:rsid w:val="009A192F"/>
    <w:rsid w:val="009A2D81"/>
    <w:rsid w:val="009A41D8"/>
    <w:rsid w:val="009A4960"/>
    <w:rsid w:val="009A5D2A"/>
    <w:rsid w:val="009A5E56"/>
    <w:rsid w:val="009A5E57"/>
    <w:rsid w:val="009A6220"/>
    <w:rsid w:val="009A7148"/>
    <w:rsid w:val="009A722E"/>
    <w:rsid w:val="009A734F"/>
    <w:rsid w:val="009A74F1"/>
    <w:rsid w:val="009B004C"/>
    <w:rsid w:val="009B00E0"/>
    <w:rsid w:val="009B015A"/>
    <w:rsid w:val="009B1F9F"/>
    <w:rsid w:val="009B20F5"/>
    <w:rsid w:val="009B2604"/>
    <w:rsid w:val="009B2B8B"/>
    <w:rsid w:val="009B3911"/>
    <w:rsid w:val="009B3934"/>
    <w:rsid w:val="009B5264"/>
    <w:rsid w:val="009B5CBA"/>
    <w:rsid w:val="009C04AF"/>
    <w:rsid w:val="009C1778"/>
    <w:rsid w:val="009C2108"/>
    <w:rsid w:val="009C2350"/>
    <w:rsid w:val="009C26C4"/>
    <w:rsid w:val="009C2789"/>
    <w:rsid w:val="009C2A2A"/>
    <w:rsid w:val="009C345A"/>
    <w:rsid w:val="009C4250"/>
    <w:rsid w:val="009C4863"/>
    <w:rsid w:val="009C4DFA"/>
    <w:rsid w:val="009D1056"/>
    <w:rsid w:val="009D1365"/>
    <w:rsid w:val="009D16FF"/>
    <w:rsid w:val="009D1BD4"/>
    <w:rsid w:val="009D2669"/>
    <w:rsid w:val="009D6DB5"/>
    <w:rsid w:val="009D70F7"/>
    <w:rsid w:val="009E0BBC"/>
    <w:rsid w:val="009E204D"/>
    <w:rsid w:val="009E28F7"/>
    <w:rsid w:val="009E2C6F"/>
    <w:rsid w:val="009E389B"/>
    <w:rsid w:val="009E3A91"/>
    <w:rsid w:val="009E3CED"/>
    <w:rsid w:val="009E563D"/>
    <w:rsid w:val="009E5844"/>
    <w:rsid w:val="009E5E16"/>
    <w:rsid w:val="009E7DAE"/>
    <w:rsid w:val="009E7FC2"/>
    <w:rsid w:val="009F33AA"/>
    <w:rsid w:val="009F43D8"/>
    <w:rsid w:val="009F4DF4"/>
    <w:rsid w:val="009F7665"/>
    <w:rsid w:val="009F7A00"/>
    <w:rsid w:val="00A02E22"/>
    <w:rsid w:val="00A02EA3"/>
    <w:rsid w:val="00A048EA"/>
    <w:rsid w:val="00A0579A"/>
    <w:rsid w:val="00A0601C"/>
    <w:rsid w:val="00A06B1A"/>
    <w:rsid w:val="00A103F4"/>
    <w:rsid w:val="00A10B7A"/>
    <w:rsid w:val="00A1101C"/>
    <w:rsid w:val="00A15FE7"/>
    <w:rsid w:val="00A1649C"/>
    <w:rsid w:val="00A1670A"/>
    <w:rsid w:val="00A2211D"/>
    <w:rsid w:val="00A2273F"/>
    <w:rsid w:val="00A2312A"/>
    <w:rsid w:val="00A26E5E"/>
    <w:rsid w:val="00A3044D"/>
    <w:rsid w:val="00A305FF"/>
    <w:rsid w:val="00A310F6"/>
    <w:rsid w:val="00A328D0"/>
    <w:rsid w:val="00A32AA1"/>
    <w:rsid w:val="00A337D7"/>
    <w:rsid w:val="00A33C81"/>
    <w:rsid w:val="00A33CDA"/>
    <w:rsid w:val="00A340FB"/>
    <w:rsid w:val="00A35873"/>
    <w:rsid w:val="00A36847"/>
    <w:rsid w:val="00A3728F"/>
    <w:rsid w:val="00A3733A"/>
    <w:rsid w:val="00A40B78"/>
    <w:rsid w:val="00A429AC"/>
    <w:rsid w:val="00A42DA8"/>
    <w:rsid w:val="00A451BC"/>
    <w:rsid w:val="00A46B1C"/>
    <w:rsid w:val="00A46E5F"/>
    <w:rsid w:val="00A470C4"/>
    <w:rsid w:val="00A47576"/>
    <w:rsid w:val="00A47BE5"/>
    <w:rsid w:val="00A47E41"/>
    <w:rsid w:val="00A50444"/>
    <w:rsid w:val="00A51E93"/>
    <w:rsid w:val="00A52601"/>
    <w:rsid w:val="00A52A81"/>
    <w:rsid w:val="00A52D1D"/>
    <w:rsid w:val="00A53CE5"/>
    <w:rsid w:val="00A578DA"/>
    <w:rsid w:val="00A609C6"/>
    <w:rsid w:val="00A60CA1"/>
    <w:rsid w:val="00A617A9"/>
    <w:rsid w:val="00A61F6E"/>
    <w:rsid w:val="00A64FFD"/>
    <w:rsid w:val="00A659DF"/>
    <w:rsid w:val="00A65D71"/>
    <w:rsid w:val="00A675C1"/>
    <w:rsid w:val="00A67DE7"/>
    <w:rsid w:val="00A703F2"/>
    <w:rsid w:val="00A72334"/>
    <w:rsid w:val="00A7349F"/>
    <w:rsid w:val="00A736C1"/>
    <w:rsid w:val="00A73BBB"/>
    <w:rsid w:val="00A73D0A"/>
    <w:rsid w:val="00A73D5C"/>
    <w:rsid w:val="00A740B9"/>
    <w:rsid w:val="00A74AEF"/>
    <w:rsid w:val="00A74C21"/>
    <w:rsid w:val="00A753BC"/>
    <w:rsid w:val="00A757EA"/>
    <w:rsid w:val="00A768EF"/>
    <w:rsid w:val="00A77C7A"/>
    <w:rsid w:val="00A77E4C"/>
    <w:rsid w:val="00A80EE8"/>
    <w:rsid w:val="00A81EF8"/>
    <w:rsid w:val="00A82747"/>
    <w:rsid w:val="00A82924"/>
    <w:rsid w:val="00A829B2"/>
    <w:rsid w:val="00A82E2E"/>
    <w:rsid w:val="00A83183"/>
    <w:rsid w:val="00A85DEB"/>
    <w:rsid w:val="00A85FC3"/>
    <w:rsid w:val="00A85FCF"/>
    <w:rsid w:val="00A86ED0"/>
    <w:rsid w:val="00A873A1"/>
    <w:rsid w:val="00A87D88"/>
    <w:rsid w:val="00A9263D"/>
    <w:rsid w:val="00A92F78"/>
    <w:rsid w:val="00A939B3"/>
    <w:rsid w:val="00A943D1"/>
    <w:rsid w:val="00AA04BB"/>
    <w:rsid w:val="00AA0F0E"/>
    <w:rsid w:val="00AA156E"/>
    <w:rsid w:val="00AA1A8A"/>
    <w:rsid w:val="00AA412F"/>
    <w:rsid w:val="00AA481E"/>
    <w:rsid w:val="00AA4A3D"/>
    <w:rsid w:val="00AA4C79"/>
    <w:rsid w:val="00AA636A"/>
    <w:rsid w:val="00AA75DB"/>
    <w:rsid w:val="00AB18AF"/>
    <w:rsid w:val="00AB1B39"/>
    <w:rsid w:val="00AB2583"/>
    <w:rsid w:val="00AB332F"/>
    <w:rsid w:val="00AB3683"/>
    <w:rsid w:val="00AB490B"/>
    <w:rsid w:val="00AB6151"/>
    <w:rsid w:val="00AB6E4F"/>
    <w:rsid w:val="00AB70FD"/>
    <w:rsid w:val="00AC19F7"/>
    <w:rsid w:val="00AC1DAA"/>
    <w:rsid w:val="00AC2D85"/>
    <w:rsid w:val="00AC3173"/>
    <w:rsid w:val="00AC3383"/>
    <w:rsid w:val="00AC4159"/>
    <w:rsid w:val="00AD1755"/>
    <w:rsid w:val="00AD1FF0"/>
    <w:rsid w:val="00AD2A37"/>
    <w:rsid w:val="00AD3123"/>
    <w:rsid w:val="00AD3AF8"/>
    <w:rsid w:val="00AD3D42"/>
    <w:rsid w:val="00AD43DE"/>
    <w:rsid w:val="00AD46C1"/>
    <w:rsid w:val="00AD559B"/>
    <w:rsid w:val="00AD5D41"/>
    <w:rsid w:val="00AD5D72"/>
    <w:rsid w:val="00AD6914"/>
    <w:rsid w:val="00AD6C84"/>
    <w:rsid w:val="00AD6EE4"/>
    <w:rsid w:val="00AD732B"/>
    <w:rsid w:val="00AE017C"/>
    <w:rsid w:val="00AE0E82"/>
    <w:rsid w:val="00AE2920"/>
    <w:rsid w:val="00AE32FB"/>
    <w:rsid w:val="00AE4853"/>
    <w:rsid w:val="00AE5570"/>
    <w:rsid w:val="00AE6832"/>
    <w:rsid w:val="00AE7273"/>
    <w:rsid w:val="00AE75EF"/>
    <w:rsid w:val="00AF0116"/>
    <w:rsid w:val="00AF135C"/>
    <w:rsid w:val="00AF1CD5"/>
    <w:rsid w:val="00AF2741"/>
    <w:rsid w:val="00AF2930"/>
    <w:rsid w:val="00AF357B"/>
    <w:rsid w:val="00AF4175"/>
    <w:rsid w:val="00AF41CC"/>
    <w:rsid w:val="00AF451A"/>
    <w:rsid w:val="00AF4831"/>
    <w:rsid w:val="00AF5BB4"/>
    <w:rsid w:val="00AF6179"/>
    <w:rsid w:val="00AF66F7"/>
    <w:rsid w:val="00AF6D32"/>
    <w:rsid w:val="00B01278"/>
    <w:rsid w:val="00B01772"/>
    <w:rsid w:val="00B026B6"/>
    <w:rsid w:val="00B03E56"/>
    <w:rsid w:val="00B046EB"/>
    <w:rsid w:val="00B05257"/>
    <w:rsid w:val="00B06AD9"/>
    <w:rsid w:val="00B06EB8"/>
    <w:rsid w:val="00B076C0"/>
    <w:rsid w:val="00B125AE"/>
    <w:rsid w:val="00B1305C"/>
    <w:rsid w:val="00B132C5"/>
    <w:rsid w:val="00B1334E"/>
    <w:rsid w:val="00B142DF"/>
    <w:rsid w:val="00B14313"/>
    <w:rsid w:val="00B143AB"/>
    <w:rsid w:val="00B14CE4"/>
    <w:rsid w:val="00B15730"/>
    <w:rsid w:val="00B16A7C"/>
    <w:rsid w:val="00B16F9F"/>
    <w:rsid w:val="00B2078E"/>
    <w:rsid w:val="00B20B40"/>
    <w:rsid w:val="00B20E9D"/>
    <w:rsid w:val="00B20F96"/>
    <w:rsid w:val="00B21395"/>
    <w:rsid w:val="00B21640"/>
    <w:rsid w:val="00B21783"/>
    <w:rsid w:val="00B235D0"/>
    <w:rsid w:val="00B23A2A"/>
    <w:rsid w:val="00B25730"/>
    <w:rsid w:val="00B2582E"/>
    <w:rsid w:val="00B25F55"/>
    <w:rsid w:val="00B262A0"/>
    <w:rsid w:val="00B26920"/>
    <w:rsid w:val="00B26FC2"/>
    <w:rsid w:val="00B2761D"/>
    <w:rsid w:val="00B34EBC"/>
    <w:rsid w:val="00B356BD"/>
    <w:rsid w:val="00B36052"/>
    <w:rsid w:val="00B36A6F"/>
    <w:rsid w:val="00B36D79"/>
    <w:rsid w:val="00B40875"/>
    <w:rsid w:val="00B40D75"/>
    <w:rsid w:val="00B42307"/>
    <w:rsid w:val="00B4260B"/>
    <w:rsid w:val="00B42671"/>
    <w:rsid w:val="00B43876"/>
    <w:rsid w:val="00B46EC7"/>
    <w:rsid w:val="00B471E6"/>
    <w:rsid w:val="00B524D8"/>
    <w:rsid w:val="00B52E11"/>
    <w:rsid w:val="00B53633"/>
    <w:rsid w:val="00B54006"/>
    <w:rsid w:val="00B544E7"/>
    <w:rsid w:val="00B54AB0"/>
    <w:rsid w:val="00B54EB8"/>
    <w:rsid w:val="00B601B4"/>
    <w:rsid w:val="00B60981"/>
    <w:rsid w:val="00B61BF2"/>
    <w:rsid w:val="00B634EA"/>
    <w:rsid w:val="00B638F9"/>
    <w:rsid w:val="00B65726"/>
    <w:rsid w:val="00B6622E"/>
    <w:rsid w:val="00B67649"/>
    <w:rsid w:val="00B678FF"/>
    <w:rsid w:val="00B70124"/>
    <w:rsid w:val="00B702EB"/>
    <w:rsid w:val="00B705F0"/>
    <w:rsid w:val="00B71A1F"/>
    <w:rsid w:val="00B745B9"/>
    <w:rsid w:val="00B74680"/>
    <w:rsid w:val="00B74A03"/>
    <w:rsid w:val="00B74C45"/>
    <w:rsid w:val="00B7592C"/>
    <w:rsid w:val="00B75C7D"/>
    <w:rsid w:val="00B7632F"/>
    <w:rsid w:val="00B7648E"/>
    <w:rsid w:val="00B80B1E"/>
    <w:rsid w:val="00B82545"/>
    <w:rsid w:val="00B82E11"/>
    <w:rsid w:val="00B84305"/>
    <w:rsid w:val="00B8519C"/>
    <w:rsid w:val="00B8776A"/>
    <w:rsid w:val="00B90A73"/>
    <w:rsid w:val="00B90C14"/>
    <w:rsid w:val="00B9139A"/>
    <w:rsid w:val="00B91999"/>
    <w:rsid w:val="00B91D72"/>
    <w:rsid w:val="00B936D2"/>
    <w:rsid w:val="00B93992"/>
    <w:rsid w:val="00B9542A"/>
    <w:rsid w:val="00BA05BD"/>
    <w:rsid w:val="00BA2300"/>
    <w:rsid w:val="00BA2FDD"/>
    <w:rsid w:val="00BA517F"/>
    <w:rsid w:val="00BA52E9"/>
    <w:rsid w:val="00BA586F"/>
    <w:rsid w:val="00BA5F59"/>
    <w:rsid w:val="00BA609D"/>
    <w:rsid w:val="00BA6E5E"/>
    <w:rsid w:val="00BA756A"/>
    <w:rsid w:val="00BB1548"/>
    <w:rsid w:val="00BB1678"/>
    <w:rsid w:val="00BB26FF"/>
    <w:rsid w:val="00BB3B46"/>
    <w:rsid w:val="00BB7794"/>
    <w:rsid w:val="00BC0ED6"/>
    <w:rsid w:val="00BC0F8C"/>
    <w:rsid w:val="00BC13BF"/>
    <w:rsid w:val="00BC2A37"/>
    <w:rsid w:val="00BC2FAC"/>
    <w:rsid w:val="00BC3D19"/>
    <w:rsid w:val="00BC3FFB"/>
    <w:rsid w:val="00BC4DBB"/>
    <w:rsid w:val="00BC66AA"/>
    <w:rsid w:val="00BC72AC"/>
    <w:rsid w:val="00BD0C70"/>
    <w:rsid w:val="00BD1EA5"/>
    <w:rsid w:val="00BD2179"/>
    <w:rsid w:val="00BD2EC2"/>
    <w:rsid w:val="00BD33C8"/>
    <w:rsid w:val="00BD3D71"/>
    <w:rsid w:val="00BD4DB9"/>
    <w:rsid w:val="00BD4DF9"/>
    <w:rsid w:val="00BD5846"/>
    <w:rsid w:val="00BD5CA0"/>
    <w:rsid w:val="00BD677E"/>
    <w:rsid w:val="00BD7C1C"/>
    <w:rsid w:val="00BE0773"/>
    <w:rsid w:val="00BE348B"/>
    <w:rsid w:val="00BE350B"/>
    <w:rsid w:val="00BE3596"/>
    <w:rsid w:val="00BE4866"/>
    <w:rsid w:val="00BE6ED4"/>
    <w:rsid w:val="00BF2109"/>
    <w:rsid w:val="00BF430D"/>
    <w:rsid w:val="00BF4E3B"/>
    <w:rsid w:val="00BF57D8"/>
    <w:rsid w:val="00BF5CF8"/>
    <w:rsid w:val="00BF773E"/>
    <w:rsid w:val="00BF7F07"/>
    <w:rsid w:val="00C0225A"/>
    <w:rsid w:val="00C02AA8"/>
    <w:rsid w:val="00C02B3E"/>
    <w:rsid w:val="00C02F29"/>
    <w:rsid w:val="00C04302"/>
    <w:rsid w:val="00C06497"/>
    <w:rsid w:val="00C0690E"/>
    <w:rsid w:val="00C07117"/>
    <w:rsid w:val="00C07E95"/>
    <w:rsid w:val="00C10105"/>
    <w:rsid w:val="00C10184"/>
    <w:rsid w:val="00C1083D"/>
    <w:rsid w:val="00C11F4B"/>
    <w:rsid w:val="00C134D2"/>
    <w:rsid w:val="00C139A4"/>
    <w:rsid w:val="00C157F9"/>
    <w:rsid w:val="00C16054"/>
    <w:rsid w:val="00C16A72"/>
    <w:rsid w:val="00C16ED5"/>
    <w:rsid w:val="00C22278"/>
    <w:rsid w:val="00C23BBA"/>
    <w:rsid w:val="00C25E34"/>
    <w:rsid w:val="00C26342"/>
    <w:rsid w:val="00C271DC"/>
    <w:rsid w:val="00C3026C"/>
    <w:rsid w:val="00C30BE1"/>
    <w:rsid w:val="00C325CC"/>
    <w:rsid w:val="00C32DDD"/>
    <w:rsid w:val="00C342FD"/>
    <w:rsid w:val="00C348ED"/>
    <w:rsid w:val="00C36410"/>
    <w:rsid w:val="00C36585"/>
    <w:rsid w:val="00C373F4"/>
    <w:rsid w:val="00C374CF"/>
    <w:rsid w:val="00C42CDB"/>
    <w:rsid w:val="00C438FD"/>
    <w:rsid w:val="00C453F5"/>
    <w:rsid w:val="00C45EF2"/>
    <w:rsid w:val="00C460CA"/>
    <w:rsid w:val="00C46A3F"/>
    <w:rsid w:val="00C51A58"/>
    <w:rsid w:val="00C5390D"/>
    <w:rsid w:val="00C53C73"/>
    <w:rsid w:val="00C545AA"/>
    <w:rsid w:val="00C54EC4"/>
    <w:rsid w:val="00C5544E"/>
    <w:rsid w:val="00C56B16"/>
    <w:rsid w:val="00C57649"/>
    <w:rsid w:val="00C5776F"/>
    <w:rsid w:val="00C5785D"/>
    <w:rsid w:val="00C61005"/>
    <w:rsid w:val="00C61387"/>
    <w:rsid w:val="00C63D9A"/>
    <w:rsid w:val="00C64140"/>
    <w:rsid w:val="00C64262"/>
    <w:rsid w:val="00C65B02"/>
    <w:rsid w:val="00C66151"/>
    <w:rsid w:val="00C66F6B"/>
    <w:rsid w:val="00C67E26"/>
    <w:rsid w:val="00C701E6"/>
    <w:rsid w:val="00C70AC7"/>
    <w:rsid w:val="00C70B2D"/>
    <w:rsid w:val="00C71CEC"/>
    <w:rsid w:val="00C724B8"/>
    <w:rsid w:val="00C72D7B"/>
    <w:rsid w:val="00C72F54"/>
    <w:rsid w:val="00C736FF"/>
    <w:rsid w:val="00C73A78"/>
    <w:rsid w:val="00C73BEE"/>
    <w:rsid w:val="00C744A1"/>
    <w:rsid w:val="00C74663"/>
    <w:rsid w:val="00C759A2"/>
    <w:rsid w:val="00C76D56"/>
    <w:rsid w:val="00C77DAC"/>
    <w:rsid w:val="00C80DAA"/>
    <w:rsid w:val="00C81AE0"/>
    <w:rsid w:val="00C81F24"/>
    <w:rsid w:val="00C86707"/>
    <w:rsid w:val="00C874C1"/>
    <w:rsid w:val="00C90203"/>
    <w:rsid w:val="00C919C6"/>
    <w:rsid w:val="00C91C75"/>
    <w:rsid w:val="00C922E4"/>
    <w:rsid w:val="00C95A93"/>
    <w:rsid w:val="00C95AEF"/>
    <w:rsid w:val="00CA10CB"/>
    <w:rsid w:val="00CA1A66"/>
    <w:rsid w:val="00CA5C57"/>
    <w:rsid w:val="00CA647B"/>
    <w:rsid w:val="00CA658F"/>
    <w:rsid w:val="00CA6F05"/>
    <w:rsid w:val="00CA7577"/>
    <w:rsid w:val="00CB0C54"/>
    <w:rsid w:val="00CB1547"/>
    <w:rsid w:val="00CB2C9F"/>
    <w:rsid w:val="00CB486A"/>
    <w:rsid w:val="00CB68EC"/>
    <w:rsid w:val="00CB7070"/>
    <w:rsid w:val="00CB71A2"/>
    <w:rsid w:val="00CB7935"/>
    <w:rsid w:val="00CB7AA9"/>
    <w:rsid w:val="00CB7AF9"/>
    <w:rsid w:val="00CB7C61"/>
    <w:rsid w:val="00CC00E8"/>
    <w:rsid w:val="00CC086B"/>
    <w:rsid w:val="00CC0CB6"/>
    <w:rsid w:val="00CC0FD6"/>
    <w:rsid w:val="00CC115A"/>
    <w:rsid w:val="00CC14D2"/>
    <w:rsid w:val="00CC2FB8"/>
    <w:rsid w:val="00CC41AD"/>
    <w:rsid w:val="00CC4631"/>
    <w:rsid w:val="00CC483F"/>
    <w:rsid w:val="00CC4D31"/>
    <w:rsid w:val="00CC6143"/>
    <w:rsid w:val="00CC65DE"/>
    <w:rsid w:val="00CC6BCD"/>
    <w:rsid w:val="00CC7417"/>
    <w:rsid w:val="00CC7792"/>
    <w:rsid w:val="00CD070C"/>
    <w:rsid w:val="00CD1036"/>
    <w:rsid w:val="00CD10BF"/>
    <w:rsid w:val="00CD1FC3"/>
    <w:rsid w:val="00CD292C"/>
    <w:rsid w:val="00CD309E"/>
    <w:rsid w:val="00CD388D"/>
    <w:rsid w:val="00CD3BE6"/>
    <w:rsid w:val="00CD42AF"/>
    <w:rsid w:val="00CD43DD"/>
    <w:rsid w:val="00CD5027"/>
    <w:rsid w:val="00CD622B"/>
    <w:rsid w:val="00CD7061"/>
    <w:rsid w:val="00CD75F0"/>
    <w:rsid w:val="00CE0432"/>
    <w:rsid w:val="00CE254D"/>
    <w:rsid w:val="00CE4375"/>
    <w:rsid w:val="00CE59CA"/>
    <w:rsid w:val="00CE63AD"/>
    <w:rsid w:val="00CE6F96"/>
    <w:rsid w:val="00CE78A8"/>
    <w:rsid w:val="00CF0D7D"/>
    <w:rsid w:val="00CF1616"/>
    <w:rsid w:val="00CF4377"/>
    <w:rsid w:val="00CF48F9"/>
    <w:rsid w:val="00CF51A1"/>
    <w:rsid w:val="00CF5BC9"/>
    <w:rsid w:val="00CF5D36"/>
    <w:rsid w:val="00CF5D37"/>
    <w:rsid w:val="00CF5D8F"/>
    <w:rsid w:val="00CF62FA"/>
    <w:rsid w:val="00CF68D0"/>
    <w:rsid w:val="00CF7246"/>
    <w:rsid w:val="00CF78E3"/>
    <w:rsid w:val="00D01415"/>
    <w:rsid w:val="00D01BC5"/>
    <w:rsid w:val="00D02371"/>
    <w:rsid w:val="00D02959"/>
    <w:rsid w:val="00D02FF4"/>
    <w:rsid w:val="00D0376F"/>
    <w:rsid w:val="00D054AB"/>
    <w:rsid w:val="00D063C3"/>
    <w:rsid w:val="00D07F84"/>
    <w:rsid w:val="00D10308"/>
    <w:rsid w:val="00D1064C"/>
    <w:rsid w:val="00D11524"/>
    <w:rsid w:val="00D11A34"/>
    <w:rsid w:val="00D11C6D"/>
    <w:rsid w:val="00D12DA5"/>
    <w:rsid w:val="00D1427B"/>
    <w:rsid w:val="00D148FB"/>
    <w:rsid w:val="00D1497E"/>
    <w:rsid w:val="00D14B6B"/>
    <w:rsid w:val="00D15D0E"/>
    <w:rsid w:val="00D1786F"/>
    <w:rsid w:val="00D2000D"/>
    <w:rsid w:val="00D22F05"/>
    <w:rsid w:val="00D238E8"/>
    <w:rsid w:val="00D24499"/>
    <w:rsid w:val="00D25989"/>
    <w:rsid w:val="00D25B0D"/>
    <w:rsid w:val="00D25F34"/>
    <w:rsid w:val="00D26975"/>
    <w:rsid w:val="00D27D0B"/>
    <w:rsid w:val="00D30051"/>
    <w:rsid w:val="00D30186"/>
    <w:rsid w:val="00D31CB0"/>
    <w:rsid w:val="00D31CBA"/>
    <w:rsid w:val="00D320D3"/>
    <w:rsid w:val="00D32819"/>
    <w:rsid w:val="00D33DBD"/>
    <w:rsid w:val="00D36634"/>
    <w:rsid w:val="00D3666C"/>
    <w:rsid w:val="00D368C5"/>
    <w:rsid w:val="00D37990"/>
    <w:rsid w:val="00D40215"/>
    <w:rsid w:val="00D403E4"/>
    <w:rsid w:val="00D4057A"/>
    <w:rsid w:val="00D409A9"/>
    <w:rsid w:val="00D40FB2"/>
    <w:rsid w:val="00D41AD4"/>
    <w:rsid w:val="00D41B80"/>
    <w:rsid w:val="00D41C60"/>
    <w:rsid w:val="00D4223A"/>
    <w:rsid w:val="00D425CA"/>
    <w:rsid w:val="00D42BBB"/>
    <w:rsid w:val="00D43048"/>
    <w:rsid w:val="00D433A6"/>
    <w:rsid w:val="00D43A40"/>
    <w:rsid w:val="00D43B3F"/>
    <w:rsid w:val="00D446B4"/>
    <w:rsid w:val="00D451FF"/>
    <w:rsid w:val="00D45CC2"/>
    <w:rsid w:val="00D46D74"/>
    <w:rsid w:val="00D46EA3"/>
    <w:rsid w:val="00D4799A"/>
    <w:rsid w:val="00D50463"/>
    <w:rsid w:val="00D50497"/>
    <w:rsid w:val="00D524E5"/>
    <w:rsid w:val="00D541D6"/>
    <w:rsid w:val="00D5460A"/>
    <w:rsid w:val="00D5478B"/>
    <w:rsid w:val="00D54A55"/>
    <w:rsid w:val="00D57746"/>
    <w:rsid w:val="00D6009B"/>
    <w:rsid w:val="00D614D8"/>
    <w:rsid w:val="00D61AD1"/>
    <w:rsid w:val="00D62FE6"/>
    <w:rsid w:val="00D643EE"/>
    <w:rsid w:val="00D64D2A"/>
    <w:rsid w:val="00D652A8"/>
    <w:rsid w:val="00D6546E"/>
    <w:rsid w:val="00D674CA"/>
    <w:rsid w:val="00D67E8E"/>
    <w:rsid w:val="00D713A4"/>
    <w:rsid w:val="00D732FE"/>
    <w:rsid w:val="00D735BE"/>
    <w:rsid w:val="00D73812"/>
    <w:rsid w:val="00D73B79"/>
    <w:rsid w:val="00D761FB"/>
    <w:rsid w:val="00D77B60"/>
    <w:rsid w:val="00D77C9F"/>
    <w:rsid w:val="00D808EC"/>
    <w:rsid w:val="00D80E3F"/>
    <w:rsid w:val="00D81190"/>
    <w:rsid w:val="00D82FE2"/>
    <w:rsid w:val="00D83E74"/>
    <w:rsid w:val="00D84EA5"/>
    <w:rsid w:val="00D857DE"/>
    <w:rsid w:val="00D874DD"/>
    <w:rsid w:val="00D90597"/>
    <w:rsid w:val="00D90755"/>
    <w:rsid w:val="00D9116B"/>
    <w:rsid w:val="00D91633"/>
    <w:rsid w:val="00D92CC9"/>
    <w:rsid w:val="00D9369F"/>
    <w:rsid w:val="00D93C10"/>
    <w:rsid w:val="00D9406D"/>
    <w:rsid w:val="00D9447F"/>
    <w:rsid w:val="00D94EA3"/>
    <w:rsid w:val="00D955AB"/>
    <w:rsid w:val="00D97912"/>
    <w:rsid w:val="00D9791C"/>
    <w:rsid w:val="00D97A32"/>
    <w:rsid w:val="00DA0C79"/>
    <w:rsid w:val="00DA123E"/>
    <w:rsid w:val="00DA1782"/>
    <w:rsid w:val="00DA3592"/>
    <w:rsid w:val="00DA4848"/>
    <w:rsid w:val="00DA4B6B"/>
    <w:rsid w:val="00DA4BE4"/>
    <w:rsid w:val="00DA68B8"/>
    <w:rsid w:val="00DA75A2"/>
    <w:rsid w:val="00DB0906"/>
    <w:rsid w:val="00DB101C"/>
    <w:rsid w:val="00DB20AC"/>
    <w:rsid w:val="00DB366A"/>
    <w:rsid w:val="00DB504C"/>
    <w:rsid w:val="00DB5344"/>
    <w:rsid w:val="00DB64AB"/>
    <w:rsid w:val="00DB64E6"/>
    <w:rsid w:val="00DB72B3"/>
    <w:rsid w:val="00DC1D13"/>
    <w:rsid w:val="00DC212A"/>
    <w:rsid w:val="00DC4684"/>
    <w:rsid w:val="00DC6E94"/>
    <w:rsid w:val="00DD0AF5"/>
    <w:rsid w:val="00DD0DB3"/>
    <w:rsid w:val="00DD1598"/>
    <w:rsid w:val="00DD2D0F"/>
    <w:rsid w:val="00DD30AC"/>
    <w:rsid w:val="00DD3BC2"/>
    <w:rsid w:val="00DD3EF6"/>
    <w:rsid w:val="00DD66BF"/>
    <w:rsid w:val="00DD6FB1"/>
    <w:rsid w:val="00DD7B0D"/>
    <w:rsid w:val="00DE09A5"/>
    <w:rsid w:val="00DE29D3"/>
    <w:rsid w:val="00DE3B2F"/>
    <w:rsid w:val="00DE44CE"/>
    <w:rsid w:val="00DE6278"/>
    <w:rsid w:val="00DE6BEC"/>
    <w:rsid w:val="00DE74D5"/>
    <w:rsid w:val="00DF0991"/>
    <w:rsid w:val="00DF14DA"/>
    <w:rsid w:val="00DF17FE"/>
    <w:rsid w:val="00DF22F9"/>
    <w:rsid w:val="00DF2A0D"/>
    <w:rsid w:val="00DF5B1A"/>
    <w:rsid w:val="00DF6B14"/>
    <w:rsid w:val="00DF7359"/>
    <w:rsid w:val="00DF7AA2"/>
    <w:rsid w:val="00DF7B31"/>
    <w:rsid w:val="00DF7E09"/>
    <w:rsid w:val="00E035F5"/>
    <w:rsid w:val="00E04243"/>
    <w:rsid w:val="00E043B0"/>
    <w:rsid w:val="00E0577A"/>
    <w:rsid w:val="00E07BE3"/>
    <w:rsid w:val="00E07CCA"/>
    <w:rsid w:val="00E10DEF"/>
    <w:rsid w:val="00E10EAB"/>
    <w:rsid w:val="00E112F2"/>
    <w:rsid w:val="00E13C53"/>
    <w:rsid w:val="00E14143"/>
    <w:rsid w:val="00E161B7"/>
    <w:rsid w:val="00E17086"/>
    <w:rsid w:val="00E21301"/>
    <w:rsid w:val="00E213EF"/>
    <w:rsid w:val="00E2314A"/>
    <w:rsid w:val="00E2472F"/>
    <w:rsid w:val="00E24CB9"/>
    <w:rsid w:val="00E254EF"/>
    <w:rsid w:val="00E2557A"/>
    <w:rsid w:val="00E26F38"/>
    <w:rsid w:val="00E30A01"/>
    <w:rsid w:val="00E30A5D"/>
    <w:rsid w:val="00E30C6B"/>
    <w:rsid w:val="00E3103B"/>
    <w:rsid w:val="00E336F1"/>
    <w:rsid w:val="00E34BCD"/>
    <w:rsid w:val="00E350FE"/>
    <w:rsid w:val="00E35600"/>
    <w:rsid w:val="00E35E42"/>
    <w:rsid w:val="00E367F9"/>
    <w:rsid w:val="00E37385"/>
    <w:rsid w:val="00E37D17"/>
    <w:rsid w:val="00E40430"/>
    <w:rsid w:val="00E42F0A"/>
    <w:rsid w:val="00E43152"/>
    <w:rsid w:val="00E43B17"/>
    <w:rsid w:val="00E4401F"/>
    <w:rsid w:val="00E45CA6"/>
    <w:rsid w:val="00E45EDB"/>
    <w:rsid w:val="00E46253"/>
    <w:rsid w:val="00E46873"/>
    <w:rsid w:val="00E47309"/>
    <w:rsid w:val="00E47311"/>
    <w:rsid w:val="00E47AA0"/>
    <w:rsid w:val="00E47F82"/>
    <w:rsid w:val="00E50A4A"/>
    <w:rsid w:val="00E50F43"/>
    <w:rsid w:val="00E5128D"/>
    <w:rsid w:val="00E51773"/>
    <w:rsid w:val="00E51FA6"/>
    <w:rsid w:val="00E53B16"/>
    <w:rsid w:val="00E53BCD"/>
    <w:rsid w:val="00E53DAA"/>
    <w:rsid w:val="00E54092"/>
    <w:rsid w:val="00E56343"/>
    <w:rsid w:val="00E56F93"/>
    <w:rsid w:val="00E600A2"/>
    <w:rsid w:val="00E62B25"/>
    <w:rsid w:val="00E63780"/>
    <w:rsid w:val="00E641F8"/>
    <w:rsid w:val="00E64CAC"/>
    <w:rsid w:val="00E64F49"/>
    <w:rsid w:val="00E67FCB"/>
    <w:rsid w:val="00E71873"/>
    <w:rsid w:val="00E71EAF"/>
    <w:rsid w:val="00E722E0"/>
    <w:rsid w:val="00E766D0"/>
    <w:rsid w:val="00E772C3"/>
    <w:rsid w:val="00E779AE"/>
    <w:rsid w:val="00E80F97"/>
    <w:rsid w:val="00E8365B"/>
    <w:rsid w:val="00E871E7"/>
    <w:rsid w:val="00E90085"/>
    <w:rsid w:val="00E9012A"/>
    <w:rsid w:val="00E9079A"/>
    <w:rsid w:val="00E9092E"/>
    <w:rsid w:val="00E90DD1"/>
    <w:rsid w:val="00E91009"/>
    <w:rsid w:val="00E91A95"/>
    <w:rsid w:val="00E91D8F"/>
    <w:rsid w:val="00E945D4"/>
    <w:rsid w:val="00E95516"/>
    <w:rsid w:val="00E95A1D"/>
    <w:rsid w:val="00E96B0F"/>
    <w:rsid w:val="00E96E78"/>
    <w:rsid w:val="00EA36CD"/>
    <w:rsid w:val="00EA3EE7"/>
    <w:rsid w:val="00EA4ED4"/>
    <w:rsid w:val="00EA6E81"/>
    <w:rsid w:val="00EA7ADF"/>
    <w:rsid w:val="00EB0811"/>
    <w:rsid w:val="00EB0B64"/>
    <w:rsid w:val="00EB1238"/>
    <w:rsid w:val="00EB2D7D"/>
    <w:rsid w:val="00EB30A2"/>
    <w:rsid w:val="00EB3CC2"/>
    <w:rsid w:val="00EB3EA4"/>
    <w:rsid w:val="00EB494E"/>
    <w:rsid w:val="00EB6FA1"/>
    <w:rsid w:val="00EB7520"/>
    <w:rsid w:val="00EC074F"/>
    <w:rsid w:val="00EC2465"/>
    <w:rsid w:val="00EC36BA"/>
    <w:rsid w:val="00EC37F9"/>
    <w:rsid w:val="00EC3890"/>
    <w:rsid w:val="00EC3BAA"/>
    <w:rsid w:val="00EC42DC"/>
    <w:rsid w:val="00EC48FF"/>
    <w:rsid w:val="00EC7081"/>
    <w:rsid w:val="00ED018A"/>
    <w:rsid w:val="00ED0469"/>
    <w:rsid w:val="00ED0647"/>
    <w:rsid w:val="00ED1A23"/>
    <w:rsid w:val="00ED221D"/>
    <w:rsid w:val="00ED4521"/>
    <w:rsid w:val="00ED5709"/>
    <w:rsid w:val="00ED60EA"/>
    <w:rsid w:val="00ED6204"/>
    <w:rsid w:val="00ED64C4"/>
    <w:rsid w:val="00ED6743"/>
    <w:rsid w:val="00ED73E3"/>
    <w:rsid w:val="00EE0F32"/>
    <w:rsid w:val="00EE18CE"/>
    <w:rsid w:val="00EE1B9C"/>
    <w:rsid w:val="00EE46AC"/>
    <w:rsid w:val="00EE4F4B"/>
    <w:rsid w:val="00EE606A"/>
    <w:rsid w:val="00EE6AFB"/>
    <w:rsid w:val="00EF0DDC"/>
    <w:rsid w:val="00EF14FD"/>
    <w:rsid w:val="00EF1903"/>
    <w:rsid w:val="00EF2C94"/>
    <w:rsid w:val="00EF2CD5"/>
    <w:rsid w:val="00EF2E04"/>
    <w:rsid w:val="00EF3487"/>
    <w:rsid w:val="00EF407A"/>
    <w:rsid w:val="00EF444B"/>
    <w:rsid w:val="00EF4694"/>
    <w:rsid w:val="00EF6425"/>
    <w:rsid w:val="00EF71D3"/>
    <w:rsid w:val="00F00225"/>
    <w:rsid w:val="00F003FC"/>
    <w:rsid w:val="00F0061B"/>
    <w:rsid w:val="00F01DAC"/>
    <w:rsid w:val="00F02BE1"/>
    <w:rsid w:val="00F02E65"/>
    <w:rsid w:val="00F03F59"/>
    <w:rsid w:val="00F056E8"/>
    <w:rsid w:val="00F058E8"/>
    <w:rsid w:val="00F07389"/>
    <w:rsid w:val="00F137D1"/>
    <w:rsid w:val="00F140D8"/>
    <w:rsid w:val="00F14C08"/>
    <w:rsid w:val="00F1516C"/>
    <w:rsid w:val="00F162E7"/>
    <w:rsid w:val="00F214C8"/>
    <w:rsid w:val="00F22002"/>
    <w:rsid w:val="00F22589"/>
    <w:rsid w:val="00F22AA4"/>
    <w:rsid w:val="00F23BE4"/>
    <w:rsid w:val="00F24E71"/>
    <w:rsid w:val="00F27441"/>
    <w:rsid w:val="00F308B7"/>
    <w:rsid w:val="00F3251D"/>
    <w:rsid w:val="00F3354D"/>
    <w:rsid w:val="00F33834"/>
    <w:rsid w:val="00F33A29"/>
    <w:rsid w:val="00F33B85"/>
    <w:rsid w:val="00F3618E"/>
    <w:rsid w:val="00F36CBD"/>
    <w:rsid w:val="00F36DC0"/>
    <w:rsid w:val="00F37B22"/>
    <w:rsid w:val="00F405AE"/>
    <w:rsid w:val="00F41FCA"/>
    <w:rsid w:val="00F4359D"/>
    <w:rsid w:val="00F4641D"/>
    <w:rsid w:val="00F470B1"/>
    <w:rsid w:val="00F505B6"/>
    <w:rsid w:val="00F50B8F"/>
    <w:rsid w:val="00F5128A"/>
    <w:rsid w:val="00F51802"/>
    <w:rsid w:val="00F529D1"/>
    <w:rsid w:val="00F54300"/>
    <w:rsid w:val="00F5454B"/>
    <w:rsid w:val="00F54664"/>
    <w:rsid w:val="00F55F16"/>
    <w:rsid w:val="00F5610A"/>
    <w:rsid w:val="00F5679F"/>
    <w:rsid w:val="00F57660"/>
    <w:rsid w:val="00F57954"/>
    <w:rsid w:val="00F60E88"/>
    <w:rsid w:val="00F60ED9"/>
    <w:rsid w:val="00F629DF"/>
    <w:rsid w:val="00F63DEE"/>
    <w:rsid w:val="00F64202"/>
    <w:rsid w:val="00F6443A"/>
    <w:rsid w:val="00F64AA1"/>
    <w:rsid w:val="00F718D0"/>
    <w:rsid w:val="00F73BAD"/>
    <w:rsid w:val="00F74B8E"/>
    <w:rsid w:val="00F750AB"/>
    <w:rsid w:val="00F759F0"/>
    <w:rsid w:val="00F763C8"/>
    <w:rsid w:val="00F764CA"/>
    <w:rsid w:val="00F76664"/>
    <w:rsid w:val="00F778CF"/>
    <w:rsid w:val="00F77CBB"/>
    <w:rsid w:val="00F800A5"/>
    <w:rsid w:val="00F80FD4"/>
    <w:rsid w:val="00F81213"/>
    <w:rsid w:val="00F83256"/>
    <w:rsid w:val="00F837E6"/>
    <w:rsid w:val="00F8586C"/>
    <w:rsid w:val="00F90688"/>
    <w:rsid w:val="00F91D06"/>
    <w:rsid w:val="00F92EBF"/>
    <w:rsid w:val="00F93956"/>
    <w:rsid w:val="00F950FC"/>
    <w:rsid w:val="00F95C09"/>
    <w:rsid w:val="00F95D2E"/>
    <w:rsid w:val="00F962B4"/>
    <w:rsid w:val="00F96561"/>
    <w:rsid w:val="00F97238"/>
    <w:rsid w:val="00FA0BEC"/>
    <w:rsid w:val="00FA1B7D"/>
    <w:rsid w:val="00FA364C"/>
    <w:rsid w:val="00FA43CA"/>
    <w:rsid w:val="00FA4A1E"/>
    <w:rsid w:val="00FA5932"/>
    <w:rsid w:val="00FA5A09"/>
    <w:rsid w:val="00FA69DF"/>
    <w:rsid w:val="00FA78C7"/>
    <w:rsid w:val="00FA79C7"/>
    <w:rsid w:val="00FA7DBC"/>
    <w:rsid w:val="00FB1238"/>
    <w:rsid w:val="00FB1517"/>
    <w:rsid w:val="00FB56FE"/>
    <w:rsid w:val="00FB5E7B"/>
    <w:rsid w:val="00FB6BC7"/>
    <w:rsid w:val="00FB759A"/>
    <w:rsid w:val="00FB764F"/>
    <w:rsid w:val="00FC11C7"/>
    <w:rsid w:val="00FC2280"/>
    <w:rsid w:val="00FC411E"/>
    <w:rsid w:val="00FC43E9"/>
    <w:rsid w:val="00FC491E"/>
    <w:rsid w:val="00FC5DD7"/>
    <w:rsid w:val="00FC640C"/>
    <w:rsid w:val="00FC6950"/>
    <w:rsid w:val="00FC69D0"/>
    <w:rsid w:val="00FD13A2"/>
    <w:rsid w:val="00FD2CB7"/>
    <w:rsid w:val="00FD3A07"/>
    <w:rsid w:val="00FD40E0"/>
    <w:rsid w:val="00FD45D0"/>
    <w:rsid w:val="00FD4696"/>
    <w:rsid w:val="00FD53A7"/>
    <w:rsid w:val="00FD6278"/>
    <w:rsid w:val="00FE0272"/>
    <w:rsid w:val="00FE27E7"/>
    <w:rsid w:val="00FE4009"/>
    <w:rsid w:val="00FE445D"/>
    <w:rsid w:val="00FE472E"/>
    <w:rsid w:val="00FE5078"/>
    <w:rsid w:val="00FE5ABE"/>
    <w:rsid w:val="00FE63FF"/>
    <w:rsid w:val="00FF0362"/>
    <w:rsid w:val="00FF05F8"/>
    <w:rsid w:val="00FF060A"/>
    <w:rsid w:val="00FF098E"/>
    <w:rsid w:val="00FF1CE4"/>
    <w:rsid w:val="00FF2013"/>
    <w:rsid w:val="00FF40CF"/>
    <w:rsid w:val="00FF4375"/>
    <w:rsid w:val="00FF56EC"/>
    <w:rsid w:val="00FF5C66"/>
    <w:rsid w:val="00FF65A6"/>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E0ECC"/>
  <w15:docId w15:val="{834C0235-580B-446B-B38B-987A2B3C2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68F"/>
    <w:rPr>
      <w:sz w:val="24"/>
      <w:szCs w:val="24"/>
    </w:rPr>
  </w:style>
  <w:style w:type="paragraph" w:styleId="Heading1">
    <w:name w:val="heading 1"/>
    <w:basedOn w:val="Normal"/>
    <w:next w:val="Normal"/>
    <w:link w:val="Heading1Char"/>
    <w:uiPriority w:val="9"/>
    <w:qFormat/>
    <w:rsid w:val="00305B7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35E20"/>
    <w:pPr>
      <w:keepNext/>
      <w:widowControl w:val="0"/>
      <w:pBdr>
        <w:bottom w:val="single" w:sz="12" w:space="1" w:color="auto"/>
      </w:pBdr>
      <w:spacing w:after="120"/>
      <w:ind w:right="5040"/>
      <w:outlineLvl w:val="1"/>
    </w:pPr>
    <w:rPr>
      <w:rFonts w:ascii="Arial" w:hAnsi="Arial"/>
      <w:b/>
      <w:smallCaps/>
      <w:szCs w:val="20"/>
    </w:rPr>
  </w:style>
  <w:style w:type="paragraph" w:styleId="Heading3">
    <w:name w:val="heading 3"/>
    <w:basedOn w:val="Normal"/>
    <w:next w:val="Normal"/>
    <w:link w:val="Heading3Char"/>
    <w:qFormat/>
    <w:rsid w:val="0056363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5460A"/>
    <w:pPr>
      <w:keepNext/>
      <w:tabs>
        <w:tab w:val="num" w:pos="864"/>
      </w:tabs>
      <w:spacing w:before="240" w:after="60"/>
      <w:ind w:left="864" w:hanging="144"/>
      <w:outlineLvl w:val="3"/>
    </w:pPr>
    <w:rPr>
      <w:rFonts w:ascii="Arial" w:hAnsi="Arial"/>
      <w:b/>
      <w:bCs/>
      <w:sz w:val="28"/>
      <w:szCs w:val="28"/>
    </w:rPr>
  </w:style>
  <w:style w:type="paragraph" w:styleId="Heading5">
    <w:name w:val="heading 5"/>
    <w:basedOn w:val="Normal"/>
    <w:next w:val="Normal"/>
    <w:link w:val="Heading5Char"/>
    <w:qFormat/>
    <w:rsid w:val="00D5460A"/>
    <w:pPr>
      <w:tabs>
        <w:tab w:val="num" w:pos="1008"/>
      </w:tabs>
      <w:spacing w:before="240" w:after="60"/>
      <w:ind w:left="1008" w:hanging="432"/>
      <w:outlineLvl w:val="4"/>
    </w:pPr>
    <w:rPr>
      <w:rFonts w:ascii="Arial" w:hAnsi="Arial"/>
      <w:b/>
      <w:bCs/>
      <w:i/>
      <w:iCs/>
      <w:sz w:val="26"/>
      <w:szCs w:val="26"/>
    </w:rPr>
  </w:style>
  <w:style w:type="paragraph" w:styleId="Heading6">
    <w:name w:val="heading 6"/>
    <w:basedOn w:val="Normal"/>
    <w:next w:val="Normal"/>
    <w:link w:val="Heading6Char"/>
    <w:qFormat/>
    <w:rsid w:val="00D5460A"/>
    <w:pPr>
      <w:tabs>
        <w:tab w:val="num" w:pos="1152"/>
      </w:tabs>
      <w:spacing w:before="240" w:after="60"/>
      <w:ind w:left="1152" w:hanging="432"/>
      <w:outlineLvl w:val="5"/>
    </w:pPr>
    <w:rPr>
      <w:rFonts w:ascii="Arial" w:hAnsi="Arial"/>
      <w:b/>
      <w:bCs/>
      <w:sz w:val="22"/>
      <w:szCs w:val="22"/>
    </w:rPr>
  </w:style>
  <w:style w:type="paragraph" w:styleId="Heading7">
    <w:name w:val="heading 7"/>
    <w:basedOn w:val="Normal"/>
    <w:next w:val="Normal"/>
    <w:link w:val="Heading7Char"/>
    <w:qFormat/>
    <w:rsid w:val="00D5460A"/>
    <w:pPr>
      <w:tabs>
        <w:tab w:val="num" w:pos="1296"/>
      </w:tabs>
      <w:spacing w:before="240" w:after="60"/>
      <w:ind w:left="1296" w:hanging="288"/>
      <w:outlineLvl w:val="6"/>
    </w:pPr>
    <w:rPr>
      <w:rFonts w:ascii="Arial" w:hAnsi="Arial"/>
    </w:rPr>
  </w:style>
  <w:style w:type="paragraph" w:styleId="Heading8">
    <w:name w:val="heading 8"/>
    <w:basedOn w:val="Normal"/>
    <w:next w:val="Normal"/>
    <w:link w:val="Heading8Char"/>
    <w:qFormat/>
    <w:rsid w:val="00D5460A"/>
    <w:pPr>
      <w:tabs>
        <w:tab w:val="num" w:pos="1440"/>
      </w:tabs>
      <w:spacing w:before="240" w:after="60"/>
      <w:ind w:left="1440" w:hanging="432"/>
      <w:outlineLvl w:val="7"/>
    </w:pPr>
    <w:rPr>
      <w:rFonts w:ascii="Arial" w:hAnsi="Arial"/>
      <w:i/>
      <w:iCs/>
    </w:rPr>
  </w:style>
  <w:style w:type="paragraph" w:styleId="Heading9">
    <w:name w:val="heading 9"/>
    <w:basedOn w:val="Normal"/>
    <w:next w:val="Normal"/>
    <w:link w:val="Heading9Char"/>
    <w:qFormat/>
    <w:rsid w:val="00D5460A"/>
    <w:pPr>
      <w:tabs>
        <w:tab w:val="num" w:pos="1584"/>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1769"/>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EE17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rsid w:val="005661FB"/>
    <w:pPr>
      <w:spacing w:before="40" w:after="40" w:line="200" w:lineRule="exact"/>
    </w:pPr>
    <w:rPr>
      <w:rFonts w:ascii="Arial Narrow" w:hAnsi="Arial Narrow"/>
      <w:sz w:val="19"/>
      <w:szCs w:val="19"/>
    </w:rPr>
  </w:style>
  <w:style w:type="character" w:customStyle="1" w:styleId="TableTextChar">
    <w:name w:val="Table Text Char"/>
    <w:link w:val="TableText"/>
    <w:rsid w:val="005661FB"/>
    <w:rPr>
      <w:rFonts w:ascii="Arial Narrow" w:hAnsi="Arial Narrow"/>
      <w:sz w:val="19"/>
      <w:szCs w:val="19"/>
      <w:lang w:val="en-US" w:eastAsia="en-US" w:bidi="ar-SA"/>
    </w:rPr>
  </w:style>
  <w:style w:type="paragraph" w:customStyle="1" w:styleId="TableText2">
    <w:name w:val="Table Text 2"/>
    <w:basedOn w:val="Normal"/>
    <w:rsid w:val="005661FB"/>
    <w:pPr>
      <w:spacing w:before="40" w:after="40" w:line="200" w:lineRule="exact"/>
    </w:pPr>
    <w:rPr>
      <w:rFonts w:ascii="Arial Narrow" w:hAnsi="Arial Narrow"/>
      <w:sz w:val="19"/>
    </w:rPr>
  </w:style>
  <w:style w:type="paragraph" w:styleId="NormalWeb">
    <w:name w:val="Normal (Web)"/>
    <w:basedOn w:val="Normal"/>
    <w:uiPriority w:val="99"/>
    <w:rsid w:val="005661FB"/>
  </w:style>
  <w:style w:type="paragraph" w:styleId="Header">
    <w:name w:val="header"/>
    <w:basedOn w:val="Normal"/>
    <w:link w:val="HeaderChar"/>
    <w:uiPriority w:val="99"/>
    <w:rsid w:val="00ED2090"/>
    <w:pPr>
      <w:tabs>
        <w:tab w:val="center" w:pos="4320"/>
        <w:tab w:val="right" w:pos="8640"/>
      </w:tabs>
    </w:pPr>
  </w:style>
  <w:style w:type="paragraph" w:customStyle="1" w:styleId="alignleftdebug">
    <w:name w:val="alignleft debug"/>
    <w:basedOn w:val="Normal"/>
    <w:rsid w:val="00BF07F3"/>
    <w:pPr>
      <w:spacing w:before="100" w:beforeAutospacing="1" w:after="100" w:afterAutospacing="1"/>
    </w:pPr>
  </w:style>
  <w:style w:type="paragraph" w:styleId="Footer">
    <w:name w:val="footer"/>
    <w:basedOn w:val="Normal"/>
    <w:link w:val="FooterChar"/>
    <w:uiPriority w:val="99"/>
    <w:rsid w:val="00DC03F6"/>
    <w:pPr>
      <w:tabs>
        <w:tab w:val="center" w:pos="4320"/>
        <w:tab w:val="right" w:pos="8640"/>
      </w:tabs>
    </w:pPr>
  </w:style>
  <w:style w:type="character" w:styleId="PageNumber">
    <w:name w:val="page number"/>
    <w:basedOn w:val="DefaultParagraphFont"/>
    <w:rsid w:val="00DC03F6"/>
  </w:style>
  <w:style w:type="paragraph" w:styleId="ListBullet2">
    <w:name w:val="List Bullet 2"/>
    <w:basedOn w:val="Normal"/>
    <w:rsid w:val="001172C2"/>
    <w:pPr>
      <w:numPr>
        <w:numId w:val="2"/>
      </w:numPr>
      <w:spacing w:before="60" w:after="60"/>
    </w:pPr>
    <w:rPr>
      <w:rFonts w:ascii="Times" w:eastAsia="Times" w:hAnsi="Times"/>
      <w:szCs w:val="20"/>
    </w:rPr>
  </w:style>
  <w:style w:type="character" w:styleId="CommentReference">
    <w:name w:val="annotation reference"/>
    <w:uiPriority w:val="99"/>
    <w:semiHidden/>
    <w:rsid w:val="00F10247"/>
    <w:rPr>
      <w:sz w:val="16"/>
      <w:szCs w:val="16"/>
    </w:rPr>
  </w:style>
  <w:style w:type="paragraph" w:styleId="CommentText">
    <w:name w:val="annotation text"/>
    <w:basedOn w:val="Normal"/>
    <w:link w:val="CommentTextChar"/>
    <w:uiPriority w:val="99"/>
    <w:semiHidden/>
    <w:rsid w:val="00F10247"/>
    <w:rPr>
      <w:sz w:val="20"/>
      <w:szCs w:val="20"/>
    </w:rPr>
  </w:style>
  <w:style w:type="paragraph" w:styleId="CommentSubject">
    <w:name w:val="annotation subject"/>
    <w:basedOn w:val="CommentText"/>
    <w:next w:val="CommentText"/>
    <w:semiHidden/>
    <w:rsid w:val="00F10247"/>
    <w:rPr>
      <w:b/>
      <w:bCs/>
    </w:rPr>
  </w:style>
  <w:style w:type="paragraph" w:styleId="BalloonText">
    <w:name w:val="Balloon Text"/>
    <w:basedOn w:val="Normal"/>
    <w:link w:val="BalloonTextChar"/>
    <w:uiPriority w:val="99"/>
    <w:semiHidden/>
    <w:rsid w:val="00F10247"/>
    <w:rPr>
      <w:rFonts w:ascii="Tahoma" w:hAnsi="Tahoma" w:cs="Tahoma"/>
      <w:sz w:val="16"/>
      <w:szCs w:val="16"/>
    </w:rPr>
  </w:style>
  <w:style w:type="paragraph" w:styleId="ListBullet">
    <w:name w:val="List Bullet"/>
    <w:basedOn w:val="Normal"/>
    <w:link w:val="ListBulletChar"/>
    <w:rsid w:val="00D0604F"/>
    <w:pPr>
      <w:numPr>
        <w:numId w:val="3"/>
      </w:numPr>
    </w:pPr>
  </w:style>
  <w:style w:type="paragraph" w:styleId="TOC2">
    <w:name w:val="toc 2"/>
    <w:basedOn w:val="Normal"/>
    <w:next w:val="Normal"/>
    <w:autoRedefine/>
    <w:uiPriority w:val="39"/>
    <w:qFormat/>
    <w:rsid w:val="00A33C81"/>
    <w:pPr>
      <w:tabs>
        <w:tab w:val="left" w:pos="720"/>
        <w:tab w:val="left" w:pos="8730"/>
      </w:tabs>
      <w:spacing w:line="360" w:lineRule="auto"/>
      <w:ind w:left="720" w:hanging="270"/>
    </w:pPr>
    <w:rPr>
      <w:noProof/>
    </w:rPr>
  </w:style>
  <w:style w:type="paragraph" w:styleId="TOC3">
    <w:name w:val="toc 3"/>
    <w:basedOn w:val="Normal"/>
    <w:next w:val="Normal"/>
    <w:autoRedefine/>
    <w:uiPriority w:val="39"/>
    <w:qFormat/>
    <w:rsid w:val="0045489F"/>
    <w:pPr>
      <w:tabs>
        <w:tab w:val="right" w:leader="dot" w:pos="9000"/>
      </w:tabs>
      <w:spacing w:line="360" w:lineRule="auto"/>
      <w:ind w:left="720" w:right="547" w:hanging="274"/>
    </w:pPr>
    <w:rPr>
      <w:noProof/>
    </w:rPr>
  </w:style>
  <w:style w:type="character" w:styleId="Hyperlink">
    <w:name w:val="Hyperlink"/>
    <w:uiPriority w:val="99"/>
    <w:rsid w:val="00825129"/>
    <w:rPr>
      <w:color w:val="0000FF"/>
      <w:u w:val="single"/>
    </w:rPr>
  </w:style>
  <w:style w:type="character" w:customStyle="1" w:styleId="Heading3Char">
    <w:name w:val="Heading 3 Char"/>
    <w:link w:val="Heading3"/>
    <w:rsid w:val="00825129"/>
    <w:rPr>
      <w:rFonts w:ascii="Arial" w:hAnsi="Arial" w:cs="Arial"/>
      <w:b/>
      <w:bCs/>
      <w:sz w:val="26"/>
      <w:szCs w:val="26"/>
      <w:lang w:val="en-US" w:eastAsia="en-US" w:bidi="ar-SA"/>
    </w:rPr>
  </w:style>
  <w:style w:type="paragraph" w:customStyle="1" w:styleId="Style1">
    <w:name w:val="Style1"/>
    <w:basedOn w:val="ListBullet"/>
    <w:link w:val="Style1Char"/>
    <w:rsid w:val="000F598C"/>
    <w:pPr>
      <w:numPr>
        <w:numId w:val="4"/>
      </w:numPr>
      <w:spacing w:before="120" w:after="120"/>
    </w:pPr>
    <w:rPr>
      <w:b/>
      <w:bCs/>
    </w:rPr>
  </w:style>
  <w:style w:type="character" w:customStyle="1" w:styleId="ListBulletChar">
    <w:name w:val="List Bullet Char"/>
    <w:link w:val="ListBullet"/>
    <w:rsid w:val="000F598C"/>
    <w:rPr>
      <w:sz w:val="24"/>
      <w:szCs w:val="24"/>
    </w:rPr>
  </w:style>
  <w:style w:type="character" w:customStyle="1" w:styleId="Style1Char">
    <w:name w:val="Style1 Char"/>
    <w:link w:val="Style1"/>
    <w:rsid w:val="000F598C"/>
    <w:rPr>
      <w:b/>
      <w:bCs/>
      <w:sz w:val="24"/>
      <w:szCs w:val="24"/>
    </w:rPr>
  </w:style>
  <w:style w:type="paragraph" w:styleId="PlainText">
    <w:name w:val="Plain Text"/>
    <w:basedOn w:val="Normal"/>
    <w:link w:val="PlainTextChar"/>
    <w:uiPriority w:val="99"/>
    <w:unhideWhenUsed/>
    <w:rsid w:val="008F6CE3"/>
    <w:rPr>
      <w:rFonts w:ascii="Consolas" w:hAnsi="Consolas"/>
      <w:sz w:val="21"/>
      <w:szCs w:val="21"/>
    </w:rPr>
  </w:style>
  <w:style w:type="character" w:customStyle="1" w:styleId="PlainTextChar">
    <w:name w:val="Plain Text Char"/>
    <w:link w:val="PlainText"/>
    <w:uiPriority w:val="99"/>
    <w:rsid w:val="008F6CE3"/>
    <w:rPr>
      <w:rFonts w:ascii="Consolas" w:hAnsi="Consolas"/>
      <w:sz w:val="21"/>
      <w:szCs w:val="21"/>
    </w:rPr>
  </w:style>
  <w:style w:type="character" w:customStyle="1" w:styleId="BalloonTextChar">
    <w:name w:val="Balloon Text Char"/>
    <w:link w:val="BalloonText"/>
    <w:uiPriority w:val="99"/>
    <w:semiHidden/>
    <w:rsid w:val="00FD53A7"/>
    <w:rPr>
      <w:rFonts w:ascii="Tahoma" w:hAnsi="Tahoma" w:cs="Tahoma"/>
      <w:sz w:val="16"/>
      <w:szCs w:val="16"/>
    </w:rPr>
  </w:style>
  <w:style w:type="character" w:styleId="Emphasis">
    <w:name w:val="Emphasis"/>
    <w:uiPriority w:val="20"/>
    <w:qFormat/>
    <w:rsid w:val="00FD53A7"/>
    <w:rPr>
      <w:b/>
      <w:bCs/>
      <w:i w:val="0"/>
      <w:iCs w:val="0"/>
    </w:rPr>
  </w:style>
  <w:style w:type="paragraph" w:styleId="Revision">
    <w:name w:val="Revision"/>
    <w:hidden/>
    <w:uiPriority w:val="99"/>
    <w:semiHidden/>
    <w:rsid w:val="00CA658F"/>
    <w:rPr>
      <w:sz w:val="24"/>
      <w:szCs w:val="24"/>
    </w:rPr>
  </w:style>
  <w:style w:type="character" w:customStyle="1" w:styleId="CommentTextChar">
    <w:name w:val="Comment Text Char"/>
    <w:basedOn w:val="DefaultParagraphFont"/>
    <w:link w:val="CommentText"/>
    <w:uiPriority w:val="99"/>
    <w:semiHidden/>
    <w:rsid w:val="00D36634"/>
  </w:style>
  <w:style w:type="character" w:styleId="Strong">
    <w:name w:val="Strong"/>
    <w:uiPriority w:val="22"/>
    <w:qFormat/>
    <w:rsid w:val="000B3125"/>
    <w:rPr>
      <w:b/>
      <w:bCs/>
    </w:rPr>
  </w:style>
  <w:style w:type="paragraph" w:styleId="ListParagraph">
    <w:name w:val="List Paragraph"/>
    <w:basedOn w:val="Normal"/>
    <w:uiPriority w:val="34"/>
    <w:qFormat/>
    <w:rsid w:val="00D9369F"/>
    <w:pPr>
      <w:ind w:left="720"/>
    </w:pPr>
    <w:rPr>
      <w:rFonts w:ascii="Calibri" w:eastAsia="Calibri" w:hAnsi="Calibri"/>
      <w:sz w:val="22"/>
      <w:szCs w:val="22"/>
    </w:rPr>
  </w:style>
  <w:style w:type="character" w:styleId="FollowedHyperlink">
    <w:name w:val="FollowedHyperlink"/>
    <w:uiPriority w:val="99"/>
    <w:semiHidden/>
    <w:unhideWhenUsed/>
    <w:rsid w:val="00B90A73"/>
    <w:rPr>
      <w:color w:val="800080"/>
      <w:u w:val="single"/>
    </w:rPr>
  </w:style>
  <w:style w:type="character" w:customStyle="1" w:styleId="FooterChar">
    <w:name w:val="Footer Char"/>
    <w:link w:val="Footer"/>
    <w:uiPriority w:val="99"/>
    <w:rsid w:val="00E63780"/>
    <w:rPr>
      <w:sz w:val="24"/>
      <w:szCs w:val="24"/>
    </w:rPr>
  </w:style>
  <w:style w:type="character" w:customStyle="1" w:styleId="HeaderChar">
    <w:name w:val="Header Char"/>
    <w:link w:val="Header"/>
    <w:uiPriority w:val="99"/>
    <w:rsid w:val="00B71A1F"/>
    <w:rPr>
      <w:sz w:val="24"/>
      <w:szCs w:val="24"/>
    </w:rPr>
  </w:style>
  <w:style w:type="character" w:customStyle="1" w:styleId="Heading1Char">
    <w:name w:val="Heading 1 Char"/>
    <w:link w:val="Heading1"/>
    <w:uiPriority w:val="9"/>
    <w:rsid w:val="00305B76"/>
    <w:rPr>
      <w:rFonts w:ascii="Cambria" w:eastAsia="Times New Roman" w:hAnsi="Cambria" w:cs="Times New Roman"/>
      <w:b/>
      <w:bCs/>
      <w:kern w:val="32"/>
      <w:sz w:val="32"/>
      <w:szCs w:val="32"/>
    </w:rPr>
  </w:style>
  <w:style w:type="paragraph" w:customStyle="1" w:styleId="xmsonormal">
    <w:name w:val="x_msonormal"/>
    <w:basedOn w:val="Normal"/>
    <w:rsid w:val="0039175D"/>
    <w:pPr>
      <w:spacing w:before="100" w:beforeAutospacing="1" w:after="100" w:afterAutospacing="1"/>
    </w:pPr>
  </w:style>
  <w:style w:type="character" w:customStyle="1" w:styleId="xmsocommentreference">
    <w:name w:val="x_msocommentreference"/>
    <w:basedOn w:val="DefaultParagraphFont"/>
    <w:rsid w:val="0039175D"/>
  </w:style>
  <w:style w:type="character" w:customStyle="1" w:styleId="Heading4Char">
    <w:name w:val="Heading 4 Char"/>
    <w:basedOn w:val="DefaultParagraphFont"/>
    <w:link w:val="Heading4"/>
    <w:rsid w:val="00D5460A"/>
    <w:rPr>
      <w:rFonts w:ascii="Arial" w:hAnsi="Arial"/>
      <w:b/>
      <w:bCs/>
      <w:sz w:val="28"/>
      <w:szCs w:val="28"/>
    </w:rPr>
  </w:style>
  <w:style w:type="character" w:customStyle="1" w:styleId="Heading5Char">
    <w:name w:val="Heading 5 Char"/>
    <w:basedOn w:val="DefaultParagraphFont"/>
    <w:link w:val="Heading5"/>
    <w:rsid w:val="00D5460A"/>
    <w:rPr>
      <w:rFonts w:ascii="Arial" w:hAnsi="Arial"/>
      <w:b/>
      <w:bCs/>
      <w:i/>
      <w:iCs/>
      <w:sz w:val="26"/>
      <w:szCs w:val="26"/>
    </w:rPr>
  </w:style>
  <w:style w:type="character" w:customStyle="1" w:styleId="Heading6Char">
    <w:name w:val="Heading 6 Char"/>
    <w:basedOn w:val="DefaultParagraphFont"/>
    <w:link w:val="Heading6"/>
    <w:rsid w:val="00D5460A"/>
    <w:rPr>
      <w:rFonts w:ascii="Arial" w:hAnsi="Arial"/>
      <w:b/>
      <w:bCs/>
      <w:sz w:val="22"/>
      <w:szCs w:val="22"/>
    </w:rPr>
  </w:style>
  <w:style w:type="character" w:customStyle="1" w:styleId="Heading7Char">
    <w:name w:val="Heading 7 Char"/>
    <w:basedOn w:val="DefaultParagraphFont"/>
    <w:link w:val="Heading7"/>
    <w:rsid w:val="00D5460A"/>
    <w:rPr>
      <w:rFonts w:ascii="Arial" w:hAnsi="Arial"/>
      <w:sz w:val="24"/>
      <w:szCs w:val="24"/>
    </w:rPr>
  </w:style>
  <w:style w:type="character" w:customStyle="1" w:styleId="Heading8Char">
    <w:name w:val="Heading 8 Char"/>
    <w:basedOn w:val="DefaultParagraphFont"/>
    <w:link w:val="Heading8"/>
    <w:rsid w:val="00D5460A"/>
    <w:rPr>
      <w:rFonts w:ascii="Arial" w:hAnsi="Arial"/>
      <w:i/>
      <w:iCs/>
      <w:sz w:val="24"/>
      <w:szCs w:val="24"/>
    </w:rPr>
  </w:style>
  <w:style w:type="character" w:customStyle="1" w:styleId="Heading9Char">
    <w:name w:val="Heading 9 Char"/>
    <w:basedOn w:val="DefaultParagraphFont"/>
    <w:link w:val="Heading9"/>
    <w:rsid w:val="00D5460A"/>
    <w:rPr>
      <w:rFonts w:ascii="Arial" w:hAnsi="Arial" w:cs="Arial"/>
      <w:sz w:val="22"/>
      <w:szCs w:val="22"/>
    </w:rPr>
  </w:style>
  <w:style w:type="paragraph" w:customStyle="1" w:styleId="coltext">
    <w:name w:val="col text"/>
    <w:aliases w:val="ct"/>
    <w:basedOn w:val="Normal"/>
    <w:uiPriority w:val="99"/>
    <w:rsid w:val="00F74B8E"/>
    <w:rPr>
      <w:rFonts w:ascii="Arial" w:hAnsi="Arial"/>
      <w:sz w:val="18"/>
      <w:szCs w:val="20"/>
    </w:rPr>
  </w:style>
  <w:style w:type="character" w:customStyle="1" w:styleId="Heading2Char">
    <w:name w:val="Heading 2 Char"/>
    <w:basedOn w:val="DefaultParagraphFont"/>
    <w:link w:val="Heading2"/>
    <w:rsid w:val="00A82747"/>
    <w:rPr>
      <w:rFonts w:ascii="Arial" w:hAnsi="Arial"/>
      <w:b/>
      <w:smallCaps/>
      <w:sz w:val="24"/>
    </w:rPr>
  </w:style>
  <w:style w:type="paragraph" w:styleId="FootnoteText">
    <w:name w:val="footnote text"/>
    <w:basedOn w:val="Normal"/>
    <w:link w:val="FootnoteTextChar"/>
    <w:unhideWhenUsed/>
    <w:rsid w:val="00AA4C79"/>
    <w:rPr>
      <w:sz w:val="20"/>
      <w:szCs w:val="20"/>
    </w:rPr>
  </w:style>
  <w:style w:type="character" w:customStyle="1" w:styleId="FootnoteTextChar">
    <w:name w:val="Footnote Text Char"/>
    <w:basedOn w:val="DefaultParagraphFont"/>
    <w:link w:val="FootnoteText"/>
    <w:rsid w:val="00AA4C79"/>
  </w:style>
  <w:style w:type="character" w:styleId="FootnoteReference">
    <w:name w:val="footnote reference"/>
    <w:basedOn w:val="DefaultParagraphFont"/>
    <w:semiHidden/>
    <w:unhideWhenUsed/>
    <w:rsid w:val="00AA4C79"/>
    <w:rPr>
      <w:vertAlign w:val="superscript"/>
    </w:rPr>
  </w:style>
  <w:style w:type="character" w:customStyle="1" w:styleId="itxtrst">
    <w:name w:val="itxtrst"/>
    <w:basedOn w:val="DefaultParagraphFont"/>
    <w:rsid w:val="007725F7"/>
  </w:style>
  <w:style w:type="paragraph" w:styleId="TOCHeading">
    <w:name w:val="TOC Heading"/>
    <w:basedOn w:val="Heading1"/>
    <w:next w:val="Normal"/>
    <w:uiPriority w:val="39"/>
    <w:unhideWhenUsed/>
    <w:qFormat/>
    <w:rsid w:val="00766BF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semiHidden/>
    <w:unhideWhenUsed/>
    <w:qFormat/>
    <w:rsid w:val="00766BFA"/>
    <w:pPr>
      <w:spacing w:after="100" w:line="276" w:lineRule="auto"/>
    </w:pPr>
    <w:rPr>
      <w:rFonts w:asciiTheme="minorHAnsi" w:eastAsiaTheme="minorEastAsia" w:hAnsiTheme="minorHAnsi" w:cstheme="minorBidi"/>
      <w:sz w:val="22"/>
      <w:szCs w:val="22"/>
      <w:lang w:eastAsia="ja-JP"/>
    </w:rPr>
  </w:style>
  <w:style w:type="character" w:customStyle="1" w:styleId="goog-trans-section">
    <w:name w:val="goog-trans-section"/>
    <w:basedOn w:val="DefaultParagraphFont"/>
    <w:rsid w:val="00BC7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5423">
      <w:bodyDiv w:val="1"/>
      <w:marLeft w:val="0"/>
      <w:marRight w:val="0"/>
      <w:marTop w:val="0"/>
      <w:marBottom w:val="0"/>
      <w:divBdr>
        <w:top w:val="none" w:sz="0" w:space="0" w:color="auto"/>
        <w:left w:val="none" w:sz="0" w:space="0" w:color="auto"/>
        <w:bottom w:val="none" w:sz="0" w:space="0" w:color="auto"/>
        <w:right w:val="none" w:sz="0" w:space="0" w:color="auto"/>
      </w:divBdr>
    </w:div>
    <w:div w:id="101389213">
      <w:bodyDiv w:val="1"/>
      <w:marLeft w:val="0"/>
      <w:marRight w:val="0"/>
      <w:marTop w:val="0"/>
      <w:marBottom w:val="0"/>
      <w:divBdr>
        <w:top w:val="none" w:sz="0" w:space="0" w:color="auto"/>
        <w:left w:val="none" w:sz="0" w:space="0" w:color="auto"/>
        <w:bottom w:val="none" w:sz="0" w:space="0" w:color="auto"/>
        <w:right w:val="none" w:sz="0" w:space="0" w:color="auto"/>
      </w:divBdr>
    </w:div>
    <w:div w:id="116799292">
      <w:bodyDiv w:val="1"/>
      <w:marLeft w:val="0"/>
      <w:marRight w:val="0"/>
      <w:marTop w:val="0"/>
      <w:marBottom w:val="0"/>
      <w:divBdr>
        <w:top w:val="none" w:sz="0" w:space="0" w:color="auto"/>
        <w:left w:val="none" w:sz="0" w:space="0" w:color="auto"/>
        <w:bottom w:val="none" w:sz="0" w:space="0" w:color="auto"/>
        <w:right w:val="none" w:sz="0" w:space="0" w:color="auto"/>
      </w:divBdr>
    </w:div>
    <w:div w:id="180551924">
      <w:bodyDiv w:val="1"/>
      <w:marLeft w:val="0"/>
      <w:marRight w:val="0"/>
      <w:marTop w:val="0"/>
      <w:marBottom w:val="0"/>
      <w:divBdr>
        <w:top w:val="none" w:sz="0" w:space="0" w:color="auto"/>
        <w:left w:val="none" w:sz="0" w:space="0" w:color="auto"/>
        <w:bottom w:val="none" w:sz="0" w:space="0" w:color="auto"/>
        <w:right w:val="none" w:sz="0" w:space="0" w:color="auto"/>
      </w:divBdr>
    </w:div>
    <w:div w:id="190413769">
      <w:bodyDiv w:val="1"/>
      <w:marLeft w:val="0"/>
      <w:marRight w:val="0"/>
      <w:marTop w:val="0"/>
      <w:marBottom w:val="0"/>
      <w:divBdr>
        <w:top w:val="none" w:sz="0" w:space="0" w:color="auto"/>
        <w:left w:val="none" w:sz="0" w:space="0" w:color="auto"/>
        <w:bottom w:val="none" w:sz="0" w:space="0" w:color="auto"/>
        <w:right w:val="none" w:sz="0" w:space="0" w:color="auto"/>
      </w:divBdr>
    </w:div>
    <w:div w:id="210965158">
      <w:bodyDiv w:val="1"/>
      <w:marLeft w:val="0"/>
      <w:marRight w:val="0"/>
      <w:marTop w:val="0"/>
      <w:marBottom w:val="0"/>
      <w:divBdr>
        <w:top w:val="none" w:sz="0" w:space="0" w:color="auto"/>
        <w:left w:val="none" w:sz="0" w:space="0" w:color="auto"/>
        <w:bottom w:val="none" w:sz="0" w:space="0" w:color="auto"/>
        <w:right w:val="none" w:sz="0" w:space="0" w:color="auto"/>
      </w:divBdr>
    </w:div>
    <w:div w:id="214120332">
      <w:bodyDiv w:val="1"/>
      <w:marLeft w:val="0"/>
      <w:marRight w:val="0"/>
      <w:marTop w:val="0"/>
      <w:marBottom w:val="0"/>
      <w:divBdr>
        <w:top w:val="none" w:sz="0" w:space="0" w:color="auto"/>
        <w:left w:val="none" w:sz="0" w:space="0" w:color="auto"/>
        <w:bottom w:val="none" w:sz="0" w:space="0" w:color="auto"/>
        <w:right w:val="none" w:sz="0" w:space="0" w:color="auto"/>
      </w:divBdr>
    </w:div>
    <w:div w:id="308679656">
      <w:bodyDiv w:val="1"/>
      <w:marLeft w:val="0"/>
      <w:marRight w:val="0"/>
      <w:marTop w:val="0"/>
      <w:marBottom w:val="0"/>
      <w:divBdr>
        <w:top w:val="none" w:sz="0" w:space="0" w:color="auto"/>
        <w:left w:val="none" w:sz="0" w:space="0" w:color="auto"/>
        <w:bottom w:val="none" w:sz="0" w:space="0" w:color="auto"/>
        <w:right w:val="none" w:sz="0" w:space="0" w:color="auto"/>
      </w:divBdr>
    </w:div>
    <w:div w:id="310057683">
      <w:bodyDiv w:val="1"/>
      <w:marLeft w:val="0"/>
      <w:marRight w:val="0"/>
      <w:marTop w:val="0"/>
      <w:marBottom w:val="0"/>
      <w:divBdr>
        <w:top w:val="none" w:sz="0" w:space="0" w:color="auto"/>
        <w:left w:val="none" w:sz="0" w:space="0" w:color="auto"/>
        <w:bottom w:val="none" w:sz="0" w:space="0" w:color="auto"/>
        <w:right w:val="none" w:sz="0" w:space="0" w:color="auto"/>
      </w:divBdr>
    </w:div>
    <w:div w:id="319045112">
      <w:bodyDiv w:val="1"/>
      <w:marLeft w:val="0"/>
      <w:marRight w:val="0"/>
      <w:marTop w:val="0"/>
      <w:marBottom w:val="0"/>
      <w:divBdr>
        <w:top w:val="none" w:sz="0" w:space="0" w:color="auto"/>
        <w:left w:val="none" w:sz="0" w:space="0" w:color="auto"/>
        <w:bottom w:val="none" w:sz="0" w:space="0" w:color="auto"/>
        <w:right w:val="none" w:sz="0" w:space="0" w:color="auto"/>
      </w:divBdr>
    </w:div>
    <w:div w:id="339894951">
      <w:bodyDiv w:val="1"/>
      <w:marLeft w:val="0"/>
      <w:marRight w:val="0"/>
      <w:marTop w:val="0"/>
      <w:marBottom w:val="0"/>
      <w:divBdr>
        <w:top w:val="none" w:sz="0" w:space="0" w:color="auto"/>
        <w:left w:val="none" w:sz="0" w:space="0" w:color="auto"/>
        <w:bottom w:val="none" w:sz="0" w:space="0" w:color="auto"/>
        <w:right w:val="none" w:sz="0" w:space="0" w:color="auto"/>
      </w:divBdr>
    </w:div>
    <w:div w:id="370151352">
      <w:bodyDiv w:val="1"/>
      <w:marLeft w:val="0"/>
      <w:marRight w:val="0"/>
      <w:marTop w:val="0"/>
      <w:marBottom w:val="0"/>
      <w:divBdr>
        <w:top w:val="none" w:sz="0" w:space="0" w:color="auto"/>
        <w:left w:val="none" w:sz="0" w:space="0" w:color="auto"/>
        <w:bottom w:val="none" w:sz="0" w:space="0" w:color="auto"/>
        <w:right w:val="none" w:sz="0" w:space="0" w:color="auto"/>
      </w:divBdr>
    </w:div>
    <w:div w:id="396437272">
      <w:bodyDiv w:val="1"/>
      <w:marLeft w:val="0"/>
      <w:marRight w:val="0"/>
      <w:marTop w:val="0"/>
      <w:marBottom w:val="0"/>
      <w:divBdr>
        <w:top w:val="none" w:sz="0" w:space="0" w:color="auto"/>
        <w:left w:val="none" w:sz="0" w:space="0" w:color="auto"/>
        <w:bottom w:val="none" w:sz="0" w:space="0" w:color="auto"/>
        <w:right w:val="none" w:sz="0" w:space="0" w:color="auto"/>
      </w:divBdr>
      <w:divsChild>
        <w:div w:id="1191718759">
          <w:marLeft w:val="0"/>
          <w:marRight w:val="0"/>
          <w:marTop w:val="0"/>
          <w:marBottom w:val="0"/>
          <w:divBdr>
            <w:top w:val="none" w:sz="0" w:space="0" w:color="auto"/>
            <w:left w:val="none" w:sz="0" w:space="0" w:color="auto"/>
            <w:bottom w:val="none" w:sz="0" w:space="0" w:color="auto"/>
            <w:right w:val="none" w:sz="0" w:space="0" w:color="auto"/>
          </w:divBdr>
          <w:divsChild>
            <w:div w:id="1549612801">
              <w:marLeft w:val="0"/>
              <w:marRight w:val="0"/>
              <w:marTop w:val="0"/>
              <w:marBottom w:val="0"/>
              <w:divBdr>
                <w:top w:val="none" w:sz="0" w:space="0" w:color="auto"/>
                <w:left w:val="none" w:sz="0" w:space="0" w:color="auto"/>
                <w:bottom w:val="none" w:sz="0" w:space="0" w:color="auto"/>
                <w:right w:val="none" w:sz="0" w:space="0" w:color="auto"/>
              </w:divBdr>
              <w:divsChild>
                <w:div w:id="686298086">
                  <w:marLeft w:val="0"/>
                  <w:marRight w:val="0"/>
                  <w:marTop w:val="0"/>
                  <w:marBottom w:val="0"/>
                  <w:divBdr>
                    <w:top w:val="none" w:sz="0" w:space="0" w:color="auto"/>
                    <w:left w:val="none" w:sz="0" w:space="0" w:color="auto"/>
                    <w:bottom w:val="none" w:sz="0" w:space="0" w:color="auto"/>
                    <w:right w:val="none" w:sz="0" w:space="0" w:color="auto"/>
                  </w:divBdr>
                  <w:divsChild>
                    <w:div w:id="57941055">
                      <w:marLeft w:val="300"/>
                      <w:marRight w:val="0"/>
                      <w:marTop w:val="0"/>
                      <w:marBottom w:val="0"/>
                      <w:divBdr>
                        <w:top w:val="none" w:sz="0" w:space="0" w:color="auto"/>
                        <w:left w:val="none" w:sz="0" w:space="0" w:color="auto"/>
                        <w:bottom w:val="none" w:sz="0" w:space="0" w:color="auto"/>
                        <w:right w:val="none" w:sz="0" w:space="0" w:color="auto"/>
                      </w:divBdr>
                      <w:divsChild>
                        <w:div w:id="1120338492">
                          <w:marLeft w:val="0"/>
                          <w:marRight w:val="0"/>
                          <w:marTop w:val="0"/>
                          <w:marBottom w:val="0"/>
                          <w:divBdr>
                            <w:top w:val="none" w:sz="0" w:space="0" w:color="auto"/>
                            <w:left w:val="none" w:sz="0" w:space="0" w:color="auto"/>
                            <w:bottom w:val="none" w:sz="0" w:space="0" w:color="auto"/>
                            <w:right w:val="none" w:sz="0" w:space="0" w:color="auto"/>
                          </w:divBdr>
                        </w:div>
                        <w:div w:id="10366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460729">
      <w:bodyDiv w:val="1"/>
      <w:marLeft w:val="0"/>
      <w:marRight w:val="0"/>
      <w:marTop w:val="0"/>
      <w:marBottom w:val="0"/>
      <w:divBdr>
        <w:top w:val="none" w:sz="0" w:space="0" w:color="auto"/>
        <w:left w:val="none" w:sz="0" w:space="0" w:color="auto"/>
        <w:bottom w:val="none" w:sz="0" w:space="0" w:color="auto"/>
        <w:right w:val="none" w:sz="0" w:space="0" w:color="auto"/>
      </w:divBdr>
    </w:div>
    <w:div w:id="410322802">
      <w:bodyDiv w:val="1"/>
      <w:marLeft w:val="0"/>
      <w:marRight w:val="0"/>
      <w:marTop w:val="0"/>
      <w:marBottom w:val="0"/>
      <w:divBdr>
        <w:top w:val="none" w:sz="0" w:space="0" w:color="auto"/>
        <w:left w:val="none" w:sz="0" w:space="0" w:color="auto"/>
        <w:bottom w:val="none" w:sz="0" w:space="0" w:color="auto"/>
        <w:right w:val="none" w:sz="0" w:space="0" w:color="auto"/>
      </w:divBdr>
    </w:div>
    <w:div w:id="430126961">
      <w:bodyDiv w:val="1"/>
      <w:marLeft w:val="0"/>
      <w:marRight w:val="0"/>
      <w:marTop w:val="0"/>
      <w:marBottom w:val="0"/>
      <w:divBdr>
        <w:top w:val="none" w:sz="0" w:space="0" w:color="auto"/>
        <w:left w:val="none" w:sz="0" w:space="0" w:color="auto"/>
        <w:bottom w:val="none" w:sz="0" w:space="0" w:color="auto"/>
        <w:right w:val="none" w:sz="0" w:space="0" w:color="auto"/>
      </w:divBdr>
    </w:div>
    <w:div w:id="438571033">
      <w:bodyDiv w:val="1"/>
      <w:marLeft w:val="0"/>
      <w:marRight w:val="0"/>
      <w:marTop w:val="0"/>
      <w:marBottom w:val="0"/>
      <w:divBdr>
        <w:top w:val="none" w:sz="0" w:space="0" w:color="auto"/>
        <w:left w:val="none" w:sz="0" w:space="0" w:color="auto"/>
        <w:bottom w:val="none" w:sz="0" w:space="0" w:color="auto"/>
        <w:right w:val="none" w:sz="0" w:space="0" w:color="auto"/>
      </w:divBdr>
    </w:div>
    <w:div w:id="453603069">
      <w:bodyDiv w:val="1"/>
      <w:marLeft w:val="0"/>
      <w:marRight w:val="0"/>
      <w:marTop w:val="0"/>
      <w:marBottom w:val="0"/>
      <w:divBdr>
        <w:top w:val="none" w:sz="0" w:space="0" w:color="auto"/>
        <w:left w:val="none" w:sz="0" w:space="0" w:color="auto"/>
        <w:bottom w:val="none" w:sz="0" w:space="0" w:color="auto"/>
        <w:right w:val="none" w:sz="0" w:space="0" w:color="auto"/>
      </w:divBdr>
    </w:div>
    <w:div w:id="458232271">
      <w:bodyDiv w:val="1"/>
      <w:marLeft w:val="0"/>
      <w:marRight w:val="0"/>
      <w:marTop w:val="0"/>
      <w:marBottom w:val="0"/>
      <w:divBdr>
        <w:top w:val="none" w:sz="0" w:space="0" w:color="auto"/>
        <w:left w:val="none" w:sz="0" w:space="0" w:color="auto"/>
        <w:bottom w:val="none" w:sz="0" w:space="0" w:color="auto"/>
        <w:right w:val="none" w:sz="0" w:space="0" w:color="auto"/>
      </w:divBdr>
    </w:div>
    <w:div w:id="480730300">
      <w:bodyDiv w:val="1"/>
      <w:marLeft w:val="0"/>
      <w:marRight w:val="0"/>
      <w:marTop w:val="0"/>
      <w:marBottom w:val="0"/>
      <w:divBdr>
        <w:top w:val="none" w:sz="0" w:space="0" w:color="auto"/>
        <w:left w:val="none" w:sz="0" w:space="0" w:color="auto"/>
        <w:bottom w:val="none" w:sz="0" w:space="0" w:color="auto"/>
        <w:right w:val="none" w:sz="0" w:space="0" w:color="auto"/>
      </w:divBdr>
    </w:div>
    <w:div w:id="540171692">
      <w:bodyDiv w:val="1"/>
      <w:marLeft w:val="0"/>
      <w:marRight w:val="0"/>
      <w:marTop w:val="0"/>
      <w:marBottom w:val="0"/>
      <w:divBdr>
        <w:top w:val="none" w:sz="0" w:space="0" w:color="auto"/>
        <w:left w:val="none" w:sz="0" w:space="0" w:color="auto"/>
        <w:bottom w:val="none" w:sz="0" w:space="0" w:color="auto"/>
        <w:right w:val="none" w:sz="0" w:space="0" w:color="auto"/>
      </w:divBdr>
    </w:div>
    <w:div w:id="599796134">
      <w:bodyDiv w:val="1"/>
      <w:marLeft w:val="0"/>
      <w:marRight w:val="0"/>
      <w:marTop w:val="0"/>
      <w:marBottom w:val="0"/>
      <w:divBdr>
        <w:top w:val="none" w:sz="0" w:space="0" w:color="auto"/>
        <w:left w:val="none" w:sz="0" w:space="0" w:color="auto"/>
        <w:bottom w:val="none" w:sz="0" w:space="0" w:color="auto"/>
        <w:right w:val="none" w:sz="0" w:space="0" w:color="auto"/>
      </w:divBdr>
    </w:div>
    <w:div w:id="615217059">
      <w:bodyDiv w:val="1"/>
      <w:marLeft w:val="0"/>
      <w:marRight w:val="0"/>
      <w:marTop w:val="0"/>
      <w:marBottom w:val="0"/>
      <w:divBdr>
        <w:top w:val="none" w:sz="0" w:space="0" w:color="auto"/>
        <w:left w:val="none" w:sz="0" w:space="0" w:color="auto"/>
        <w:bottom w:val="none" w:sz="0" w:space="0" w:color="auto"/>
        <w:right w:val="none" w:sz="0" w:space="0" w:color="auto"/>
      </w:divBdr>
    </w:div>
    <w:div w:id="643394643">
      <w:bodyDiv w:val="1"/>
      <w:marLeft w:val="0"/>
      <w:marRight w:val="0"/>
      <w:marTop w:val="0"/>
      <w:marBottom w:val="0"/>
      <w:divBdr>
        <w:top w:val="none" w:sz="0" w:space="0" w:color="auto"/>
        <w:left w:val="none" w:sz="0" w:space="0" w:color="auto"/>
        <w:bottom w:val="none" w:sz="0" w:space="0" w:color="auto"/>
        <w:right w:val="none" w:sz="0" w:space="0" w:color="auto"/>
      </w:divBdr>
    </w:div>
    <w:div w:id="658996695">
      <w:bodyDiv w:val="1"/>
      <w:marLeft w:val="0"/>
      <w:marRight w:val="0"/>
      <w:marTop w:val="0"/>
      <w:marBottom w:val="0"/>
      <w:divBdr>
        <w:top w:val="none" w:sz="0" w:space="0" w:color="auto"/>
        <w:left w:val="none" w:sz="0" w:space="0" w:color="auto"/>
        <w:bottom w:val="none" w:sz="0" w:space="0" w:color="auto"/>
        <w:right w:val="none" w:sz="0" w:space="0" w:color="auto"/>
      </w:divBdr>
    </w:div>
    <w:div w:id="675959987">
      <w:bodyDiv w:val="1"/>
      <w:marLeft w:val="0"/>
      <w:marRight w:val="0"/>
      <w:marTop w:val="0"/>
      <w:marBottom w:val="0"/>
      <w:divBdr>
        <w:top w:val="none" w:sz="0" w:space="0" w:color="auto"/>
        <w:left w:val="none" w:sz="0" w:space="0" w:color="auto"/>
        <w:bottom w:val="none" w:sz="0" w:space="0" w:color="auto"/>
        <w:right w:val="none" w:sz="0" w:space="0" w:color="auto"/>
      </w:divBdr>
    </w:div>
    <w:div w:id="756288323">
      <w:bodyDiv w:val="1"/>
      <w:marLeft w:val="0"/>
      <w:marRight w:val="0"/>
      <w:marTop w:val="0"/>
      <w:marBottom w:val="0"/>
      <w:divBdr>
        <w:top w:val="none" w:sz="0" w:space="0" w:color="auto"/>
        <w:left w:val="none" w:sz="0" w:space="0" w:color="auto"/>
        <w:bottom w:val="none" w:sz="0" w:space="0" w:color="auto"/>
        <w:right w:val="none" w:sz="0" w:space="0" w:color="auto"/>
      </w:divBdr>
    </w:div>
    <w:div w:id="761603245">
      <w:bodyDiv w:val="1"/>
      <w:marLeft w:val="0"/>
      <w:marRight w:val="0"/>
      <w:marTop w:val="0"/>
      <w:marBottom w:val="0"/>
      <w:divBdr>
        <w:top w:val="none" w:sz="0" w:space="0" w:color="auto"/>
        <w:left w:val="none" w:sz="0" w:space="0" w:color="auto"/>
        <w:bottom w:val="none" w:sz="0" w:space="0" w:color="auto"/>
        <w:right w:val="none" w:sz="0" w:space="0" w:color="auto"/>
      </w:divBdr>
    </w:div>
    <w:div w:id="763383769">
      <w:bodyDiv w:val="1"/>
      <w:marLeft w:val="0"/>
      <w:marRight w:val="0"/>
      <w:marTop w:val="0"/>
      <w:marBottom w:val="0"/>
      <w:divBdr>
        <w:top w:val="none" w:sz="0" w:space="0" w:color="auto"/>
        <w:left w:val="none" w:sz="0" w:space="0" w:color="auto"/>
        <w:bottom w:val="none" w:sz="0" w:space="0" w:color="auto"/>
        <w:right w:val="none" w:sz="0" w:space="0" w:color="auto"/>
      </w:divBdr>
    </w:div>
    <w:div w:id="779184816">
      <w:bodyDiv w:val="1"/>
      <w:marLeft w:val="0"/>
      <w:marRight w:val="0"/>
      <w:marTop w:val="0"/>
      <w:marBottom w:val="0"/>
      <w:divBdr>
        <w:top w:val="none" w:sz="0" w:space="0" w:color="auto"/>
        <w:left w:val="none" w:sz="0" w:space="0" w:color="auto"/>
        <w:bottom w:val="none" w:sz="0" w:space="0" w:color="auto"/>
        <w:right w:val="none" w:sz="0" w:space="0" w:color="auto"/>
      </w:divBdr>
    </w:div>
    <w:div w:id="780566199">
      <w:bodyDiv w:val="1"/>
      <w:marLeft w:val="0"/>
      <w:marRight w:val="0"/>
      <w:marTop w:val="0"/>
      <w:marBottom w:val="0"/>
      <w:divBdr>
        <w:top w:val="none" w:sz="0" w:space="0" w:color="auto"/>
        <w:left w:val="none" w:sz="0" w:space="0" w:color="auto"/>
        <w:bottom w:val="none" w:sz="0" w:space="0" w:color="auto"/>
        <w:right w:val="none" w:sz="0" w:space="0" w:color="auto"/>
      </w:divBdr>
    </w:div>
    <w:div w:id="798687715">
      <w:bodyDiv w:val="1"/>
      <w:marLeft w:val="0"/>
      <w:marRight w:val="0"/>
      <w:marTop w:val="0"/>
      <w:marBottom w:val="0"/>
      <w:divBdr>
        <w:top w:val="none" w:sz="0" w:space="0" w:color="auto"/>
        <w:left w:val="none" w:sz="0" w:space="0" w:color="auto"/>
        <w:bottom w:val="none" w:sz="0" w:space="0" w:color="auto"/>
        <w:right w:val="none" w:sz="0" w:space="0" w:color="auto"/>
      </w:divBdr>
    </w:div>
    <w:div w:id="798764557">
      <w:bodyDiv w:val="1"/>
      <w:marLeft w:val="0"/>
      <w:marRight w:val="0"/>
      <w:marTop w:val="0"/>
      <w:marBottom w:val="0"/>
      <w:divBdr>
        <w:top w:val="none" w:sz="0" w:space="0" w:color="auto"/>
        <w:left w:val="none" w:sz="0" w:space="0" w:color="auto"/>
        <w:bottom w:val="none" w:sz="0" w:space="0" w:color="auto"/>
        <w:right w:val="none" w:sz="0" w:space="0" w:color="auto"/>
      </w:divBdr>
    </w:div>
    <w:div w:id="809327095">
      <w:bodyDiv w:val="1"/>
      <w:marLeft w:val="0"/>
      <w:marRight w:val="0"/>
      <w:marTop w:val="0"/>
      <w:marBottom w:val="0"/>
      <w:divBdr>
        <w:top w:val="none" w:sz="0" w:space="0" w:color="auto"/>
        <w:left w:val="none" w:sz="0" w:space="0" w:color="auto"/>
        <w:bottom w:val="none" w:sz="0" w:space="0" w:color="auto"/>
        <w:right w:val="none" w:sz="0" w:space="0" w:color="auto"/>
      </w:divBdr>
    </w:div>
    <w:div w:id="923415852">
      <w:bodyDiv w:val="1"/>
      <w:marLeft w:val="0"/>
      <w:marRight w:val="0"/>
      <w:marTop w:val="0"/>
      <w:marBottom w:val="0"/>
      <w:divBdr>
        <w:top w:val="none" w:sz="0" w:space="0" w:color="auto"/>
        <w:left w:val="none" w:sz="0" w:space="0" w:color="auto"/>
        <w:bottom w:val="none" w:sz="0" w:space="0" w:color="auto"/>
        <w:right w:val="none" w:sz="0" w:space="0" w:color="auto"/>
      </w:divBdr>
    </w:div>
    <w:div w:id="940991746">
      <w:bodyDiv w:val="1"/>
      <w:marLeft w:val="0"/>
      <w:marRight w:val="0"/>
      <w:marTop w:val="0"/>
      <w:marBottom w:val="0"/>
      <w:divBdr>
        <w:top w:val="none" w:sz="0" w:space="0" w:color="auto"/>
        <w:left w:val="none" w:sz="0" w:space="0" w:color="auto"/>
        <w:bottom w:val="none" w:sz="0" w:space="0" w:color="auto"/>
        <w:right w:val="none" w:sz="0" w:space="0" w:color="auto"/>
      </w:divBdr>
    </w:div>
    <w:div w:id="955984851">
      <w:bodyDiv w:val="1"/>
      <w:marLeft w:val="0"/>
      <w:marRight w:val="0"/>
      <w:marTop w:val="0"/>
      <w:marBottom w:val="0"/>
      <w:divBdr>
        <w:top w:val="none" w:sz="0" w:space="0" w:color="auto"/>
        <w:left w:val="none" w:sz="0" w:space="0" w:color="auto"/>
        <w:bottom w:val="none" w:sz="0" w:space="0" w:color="auto"/>
        <w:right w:val="none" w:sz="0" w:space="0" w:color="auto"/>
      </w:divBdr>
    </w:div>
    <w:div w:id="970477443">
      <w:bodyDiv w:val="1"/>
      <w:marLeft w:val="0"/>
      <w:marRight w:val="0"/>
      <w:marTop w:val="0"/>
      <w:marBottom w:val="0"/>
      <w:divBdr>
        <w:top w:val="none" w:sz="0" w:space="0" w:color="auto"/>
        <w:left w:val="none" w:sz="0" w:space="0" w:color="auto"/>
        <w:bottom w:val="none" w:sz="0" w:space="0" w:color="auto"/>
        <w:right w:val="none" w:sz="0" w:space="0" w:color="auto"/>
      </w:divBdr>
    </w:div>
    <w:div w:id="997029798">
      <w:bodyDiv w:val="1"/>
      <w:marLeft w:val="0"/>
      <w:marRight w:val="0"/>
      <w:marTop w:val="0"/>
      <w:marBottom w:val="0"/>
      <w:divBdr>
        <w:top w:val="none" w:sz="0" w:space="0" w:color="auto"/>
        <w:left w:val="none" w:sz="0" w:space="0" w:color="auto"/>
        <w:bottom w:val="none" w:sz="0" w:space="0" w:color="auto"/>
        <w:right w:val="none" w:sz="0" w:space="0" w:color="auto"/>
      </w:divBdr>
    </w:div>
    <w:div w:id="1046217854">
      <w:bodyDiv w:val="1"/>
      <w:marLeft w:val="0"/>
      <w:marRight w:val="0"/>
      <w:marTop w:val="0"/>
      <w:marBottom w:val="0"/>
      <w:divBdr>
        <w:top w:val="none" w:sz="0" w:space="0" w:color="auto"/>
        <w:left w:val="none" w:sz="0" w:space="0" w:color="auto"/>
        <w:bottom w:val="none" w:sz="0" w:space="0" w:color="auto"/>
        <w:right w:val="none" w:sz="0" w:space="0" w:color="auto"/>
      </w:divBdr>
    </w:div>
    <w:div w:id="1057360038">
      <w:bodyDiv w:val="1"/>
      <w:marLeft w:val="0"/>
      <w:marRight w:val="0"/>
      <w:marTop w:val="0"/>
      <w:marBottom w:val="0"/>
      <w:divBdr>
        <w:top w:val="none" w:sz="0" w:space="0" w:color="auto"/>
        <w:left w:val="none" w:sz="0" w:space="0" w:color="auto"/>
        <w:bottom w:val="none" w:sz="0" w:space="0" w:color="auto"/>
        <w:right w:val="none" w:sz="0" w:space="0" w:color="auto"/>
      </w:divBdr>
      <w:divsChild>
        <w:div w:id="715398588">
          <w:marLeft w:val="0"/>
          <w:marRight w:val="0"/>
          <w:marTop w:val="0"/>
          <w:marBottom w:val="0"/>
          <w:divBdr>
            <w:top w:val="none" w:sz="0" w:space="0" w:color="auto"/>
            <w:left w:val="single" w:sz="6" w:space="0" w:color="999999"/>
            <w:bottom w:val="none" w:sz="0" w:space="0" w:color="auto"/>
            <w:right w:val="none" w:sz="0" w:space="0" w:color="auto"/>
          </w:divBdr>
          <w:divsChild>
            <w:div w:id="973943959">
              <w:marLeft w:val="0"/>
              <w:marRight w:val="0"/>
              <w:marTop w:val="0"/>
              <w:marBottom w:val="0"/>
              <w:divBdr>
                <w:top w:val="single" w:sz="6" w:space="0" w:color="999999"/>
                <w:left w:val="none" w:sz="0" w:space="0" w:color="auto"/>
                <w:bottom w:val="none" w:sz="0" w:space="0" w:color="auto"/>
                <w:right w:val="single" w:sz="6" w:space="0" w:color="999999"/>
              </w:divBdr>
              <w:divsChild>
                <w:div w:id="162552753">
                  <w:marLeft w:val="0"/>
                  <w:marRight w:val="0"/>
                  <w:marTop w:val="204"/>
                  <w:marBottom w:val="0"/>
                  <w:divBdr>
                    <w:top w:val="single" w:sz="6" w:space="0" w:color="FFFFFF"/>
                    <w:left w:val="none" w:sz="0" w:space="0" w:color="auto"/>
                    <w:bottom w:val="none" w:sz="0" w:space="0" w:color="auto"/>
                    <w:right w:val="none" w:sz="0" w:space="0" w:color="auto"/>
                  </w:divBdr>
                  <w:divsChild>
                    <w:div w:id="319962300">
                      <w:marLeft w:val="0"/>
                      <w:marRight w:val="0"/>
                      <w:marTop w:val="0"/>
                      <w:marBottom w:val="0"/>
                      <w:divBdr>
                        <w:top w:val="none" w:sz="0" w:space="0" w:color="auto"/>
                        <w:left w:val="none" w:sz="0" w:space="0" w:color="auto"/>
                        <w:bottom w:val="none" w:sz="0" w:space="0" w:color="auto"/>
                        <w:right w:val="none" w:sz="0" w:space="0" w:color="auto"/>
                      </w:divBdr>
                      <w:divsChild>
                        <w:div w:id="219102660">
                          <w:marLeft w:val="0"/>
                          <w:marRight w:val="0"/>
                          <w:marTop w:val="0"/>
                          <w:marBottom w:val="0"/>
                          <w:divBdr>
                            <w:top w:val="none" w:sz="0" w:space="0" w:color="auto"/>
                            <w:left w:val="none" w:sz="0" w:space="0" w:color="auto"/>
                            <w:bottom w:val="none" w:sz="0" w:space="0" w:color="auto"/>
                            <w:right w:val="none" w:sz="0" w:space="0" w:color="auto"/>
                          </w:divBdr>
                          <w:divsChild>
                            <w:div w:id="44763567">
                              <w:marLeft w:val="0"/>
                              <w:marRight w:val="0"/>
                              <w:marTop w:val="0"/>
                              <w:marBottom w:val="0"/>
                              <w:divBdr>
                                <w:top w:val="none" w:sz="0" w:space="0" w:color="auto"/>
                                <w:left w:val="none" w:sz="0" w:space="0" w:color="auto"/>
                                <w:bottom w:val="none" w:sz="0" w:space="0" w:color="auto"/>
                                <w:right w:val="none" w:sz="0" w:space="0" w:color="auto"/>
                              </w:divBdr>
                              <w:divsChild>
                                <w:div w:id="1627927535">
                                  <w:marLeft w:val="0"/>
                                  <w:marRight w:val="204"/>
                                  <w:marTop w:val="54"/>
                                  <w:marBottom w:val="136"/>
                                  <w:divBdr>
                                    <w:top w:val="none" w:sz="0" w:space="0" w:color="auto"/>
                                    <w:left w:val="none" w:sz="0" w:space="0" w:color="auto"/>
                                    <w:bottom w:val="none" w:sz="0" w:space="0" w:color="auto"/>
                                    <w:right w:val="none" w:sz="0" w:space="0" w:color="auto"/>
                                  </w:divBdr>
                                  <w:divsChild>
                                    <w:div w:id="755369166">
                                      <w:marLeft w:val="0"/>
                                      <w:marRight w:val="0"/>
                                      <w:marTop w:val="0"/>
                                      <w:marBottom w:val="0"/>
                                      <w:divBdr>
                                        <w:top w:val="none" w:sz="0" w:space="0" w:color="auto"/>
                                        <w:left w:val="none" w:sz="0" w:space="0" w:color="auto"/>
                                        <w:bottom w:val="none" w:sz="0" w:space="0" w:color="auto"/>
                                        <w:right w:val="none" w:sz="0" w:space="0" w:color="auto"/>
                                      </w:divBdr>
                                      <w:divsChild>
                                        <w:div w:id="1267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3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628341">
      <w:bodyDiv w:val="1"/>
      <w:marLeft w:val="0"/>
      <w:marRight w:val="0"/>
      <w:marTop w:val="0"/>
      <w:marBottom w:val="0"/>
      <w:divBdr>
        <w:top w:val="none" w:sz="0" w:space="0" w:color="auto"/>
        <w:left w:val="none" w:sz="0" w:space="0" w:color="auto"/>
        <w:bottom w:val="none" w:sz="0" w:space="0" w:color="auto"/>
        <w:right w:val="none" w:sz="0" w:space="0" w:color="auto"/>
      </w:divBdr>
      <w:divsChild>
        <w:div w:id="1923486836">
          <w:marLeft w:val="0"/>
          <w:marRight w:val="0"/>
          <w:marTop w:val="0"/>
          <w:marBottom w:val="0"/>
          <w:divBdr>
            <w:top w:val="none" w:sz="0" w:space="0" w:color="auto"/>
            <w:left w:val="none" w:sz="0" w:space="0" w:color="auto"/>
            <w:bottom w:val="none" w:sz="0" w:space="0" w:color="auto"/>
            <w:right w:val="none" w:sz="0" w:space="0" w:color="auto"/>
          </w:divBdr>
        </w:div>
      </w:divsChild>
    </w:div>
    <w:div w:id="1117137495">
      <w:bodyDiv w:val="1"/>
      <w:marLeft w:val="0"/>
      <w:marRight w:val="0"/>
      <w:marTop w:val="0"/>
      <w:marBottom w:val="0"/>
      <w:divBdr>
        <w:top w:val="none" w:sz="0" w:space="0" w:color="auto"/>
        <w:left w:val="none" w:sz="0" w:space="0" w:color="auto"/>
        <w:bottom w:val="none" w:sz="0" w:space="0" w:color="auto"/>
        <w:right w:val="none" w:sz="0" w:space="0" w:color="auto"/>
      </w:divBdr>
    </w:div>
    <w:div w:id="1120565684">
      <w:bodyDiv w:val="1"/>
      <w:marLeft w:val="0"/>
      <w:marRight w:val="0"/>
      <w:marTop w:val="0"/>
      <w:marBottom w:val="0"/>
      <w:divBdr>
        <w:top w:val="none" w:sz="0" w:space="0" w:color="auto"/>
        <w:left w:val="none" w:sz="0" w:space="0" w:color="auto"/>
        <w:bottom w:val="none" w:sz="0" w:space="0" w:color="auto"/>
        <w:right w:val="none" w:sz="0" w:space="0" w:color="auto"/>
      </w:divBdr>
    </w:div>
    <w:div w:id="1133213112">
      <w:bodyDiv w:val="1"/>
      <w:marLeft w:val="0"/>
      <w:marRight w:val="0"/>
      <w:marTop w:val="0"/>
      <w:marBottom w:val="0"/>
      <w:divBdr>
        <w:top w:val="none" w:sz="0" w:space="0" w:color="auto"/>
        <w:left w:val="none" w:sz="0" w:space="0" w:color="auto"/>
        <w:bottom w:val="none" w:sz="0" w:space="0" w:color="auto"/>
        <w:right w:val="none" w:sz="0" w:space="0" w:color="auto"/>
      </w:divBdr>
    </w:div>
    <w:div w:id="1181044176">
      <w:bodyDiv w:val="1"/>
      <w:marLeft w:val="0"/>
      <w:marRight w:val="0"/>
      <w:marTop w:val="0"/>
      <w:marBottom w:val="0"/>
      <w:divBdr>
        <w:top w:val="none" w:sz="0" w:space="0" w:color="auto"/>
        <w:left w:val="none" w:sz="0" w:space="0" w:color="auto"/>
        <w:bottom w:val="none" w:sz="0" w:space="0" w:color="auto"/>
        <w:right w:val="none" w:sz="0" w:space="0" w:color="auto"/>
      </w:divBdr>
    </w:div>
    <w:div w:id="1213422700">
      <w:bodyDiv w:val="1"/>
      <w:marLeft w:val="0"/>
      <w:marRight w:val="0"/>
      <w:marTop w:val="0"/>
      <w:marBottom w:val="0"/>
      <w:divBdr>
        <w:top w:val="none" w:sz="0" w:space="0" w:color="auto"/>
        <w:left w:val="none" w:sz="0" w:space="0" w:color="auto"/>
        <w:bottom w:val="none" w:sz="0" w:space="0" w:color="auto"/>
        <w:right w:val="none" w:sz="0" w:space="0" w:color="auto"/>
      </w:divBdr>
    </w:div>
    <w:div w:id="1271165680">
      <w:bodyDiv w:val="1"/>
      <w:marLeft w:val="0"/>
      <w:marRight w:val="0"/>
      <w:marTop w:val="0"/>
      <w:marBottom w:val="0"/>
      <w:divBdr>
        <w:top w:val="none" w:sz="0" w:space="0" w:color="auto"/>
        <w:left w:val="none" w:sz="0" w:space="0" w:color="auto"/>
        <w:bottom w:val="none" w:sz="0" w:space="0" w:color="auto"/>
        <w:right w:val="none" w:sz="0" w:space="0" w:color="auto"/>
      </w:divBdr>
    </w:div>
    <w:div w:id="1279794684">
      <w:bodyDiv w:val="1"/>
      <w:marLeft w:val="0"/>
      <w:marRight w:val="0"/>
      <w:marTop w:val="0"/>
      <w:marBottom w:val="0"/>
      <w:divBdr>
        <w:top w:val="none" w:sz="0" w:space="0" w:color="auto"/>
        <w:left w:val="none" w:sz="0" w:space="0" w:color="auto"/>
        <w:bottom w:val="none" w:sz="0" w:space="0" w:color="auto"/>
        <w:right w:val="none" w:sz="0" w:space="0" w:color="auto"/>
      </w:divBdr>
      <w:divsChild>
        <w:div w:id="2090077760">
          <w:marLeft w:val="0"/>
          <w:marRight w:val="0"/>
          <w:marTop w:val="0"/>
          <w:marBottom w:val="0"/>
          <w:divBdr>
            <w:top w:val="none" w:sz="0" w:space="0" w:color="auto"/>
            <w:left w:val="none" w:sz="0" w:space="0" w:color="auto"/>
            <w:bottom w:val="none" w:sz="0" w:space="0" w:color="auto"/>
            <w:right w:val="none" w:sz="0" w:space="0" w:color="auto"/>
          </w:divBdr>
          <w:divsChild>
            <w:div w:id="884097739">
              <w:marLeft w:val="0"/>
              <w:marRight w:val="0"/>
              <w:marTop w:val="0"/>
              <w:marBottom w:val="0"/>
              <w:divBdr>
                <w:top w:val="none" w:sz="0" w:space="0" w:color="auto"/>
                <w:left w:val="none" w:sz="0" w:space="0" w:color="auto"/>
                <w:bottom w:val="none" w:sz="0" w:space="0" w:color="auto"/>
                <w:right w:val="none" w:sz="0" w:space="0" w:color="auto"/>
              </w:divBdr>
              <w:divsChild>
                <w:div w:id="1983734272">
                  <w:marLeft w:val="0"/>
                  <w:marRight w:val="0"/>
                  <w:marTop w:val="0"/>
                  <w:marBottom w:val="0"/>
                  <w:divBdr>
                    <w:top w:val="none" w:sz="0" w:space="0" w:color="auto"/>
                    <w:left w:val="none" w:sz="0" w:space="0" w:color="auto"/>
                    <w:bottom w:val="none" w:sz="0" w:space="0" w:color="auto"/>
                    <w:right w:val="none" w:sz="0" w:space="0" w:color="auto"/>
                  </w:divBdr>
                  <w:divsChild>
                    <w:div w:id="16583370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729699">
      <w:bodyDiv w:val="1"/>
      <w:marLeft w:val="0"/>
      <w:marRight w:val="0"/>
      <w:marTop w:val="0"/>
      <w:marBottom w:val="0"/>
      <w:divBdr>
        <w:top w:val="none" w:sz="0" w:space="0" w:color="auto"/>
        <w:left w:val="none" w:sz="0" w:space="0" w:color="auto"/>
        <w:bottom w:val="none" w:sz="0" w:space="0" w:color="auto"/>
        <w:right w:val="none" w:sz="0" w:space="0" w:color="auto"/>
      </w:divBdr>
    </w:div>
    <w:div w:id="1299646569">
      <w:bodyDiv w:val="1"/>
      <w:marLeft w:val="0"/>
      <w:marRight w:val="0"/>
      <w:marTop w:val="0"/>
      <w:marBottom w:val="0"/>
      <w:divBdr>
        <w:top w:val="none" w:sz="0" w:space="0" w:color="auto"/>
        <w:left w:val="none" w:sz="0" w:space="0" w:color="auto"/>
        <w:bottom w:val="none" w:sz="0" w:space="0" w:color="auto"/>
        <w:right w:val="none" w:sz="0" w:space="0" w:color="auto"/>
      </w:divBdr>
    </w:div>
    <w:div w:id="1314023634">
      <w:bodyDiv w:val="1"/>
      <w:marLeft w:val="0"/>
      <w:marRight w:val="0"/>
      <w:marTop w:val="0"/>
      <w:marBottom w:val="0"/>
      <w:divBdr>
        <w:top w:val="none" w:sz="0" w:space="0" w:color="auto"/>
        <w:left w:val="none" w:sz="0" w:space="0" w:color="auto"/>
        <w:bottom w:val="none" w:sz="0" w:space="0" w:color="auto"/>
        <w:right w:val="none" w:sz="0" w:space="0" w:color="auto"/>
      </w:divBdr>
    </w:div>
    <w:div w:id="1387411103">
      <w:bodyDiv w:val="1"/>
      <w:marLeft w:val="0"/>
      <w:marRight w:val="0"/>
      <w:marTop w:val="0"/>
      <w:marBottom w:val="0"/>
      <w:divBdr>
        <w:top w:val="none" w:sz="0" w:space="0" w:color="auto"/>
        <w:left w:val="none" w:sz="0" w:space="0" w:color="auto"/>
        <w:bottom w:val="none" w:sz="0" w:space="0" w:color="auto"/>
        <w:right w:val="none" w:sz="0" w:space="0" w:color="auto"/>
      </w:divBdr>
    </w:div>
    <w:div w:id="1405953208">
      <w:bodyDiv w:val="1"/>
      <w:marLeft w:val="0"/>
      <w:marRight w:val="0"/>
      <w:marTop w:val="0"/>
      <w:marBottom w:val="0"/>
      <w:divBdr>
        <w:top w:val="none" w:sz="0" w:space="0" w:color="auto"/>
        <w:left w:val="none" w:sz="0" w:space="0" w:color="auto"/>
        <w:bottom w:val="none" w:sz="0" w:space="0" w:color="auto"/>
        <w:right w:val="none" w:sz="0" w:space="0" w:color="auto"/>
      </w:divBdr>
    </w:div>
    <w:div w:id="1485929379">
      <w:bodyDiv w:val="1"/>
      <w:marLeft w:val="0"/>
      <w:marRight w:val="0"/>
      <w:marTop w:val="0"/>
      <w:marBottom w:val="0"/>
      <w:divBdr>
        <w:top w:val="none" w:sz="0" w:space="0" w:color="auto"/>
        <w:left w:val="none" w:sz="0" w:space="0" w:color="auto"/>
        <w:bottom w:val="none" w:sz="0" w:space="0" w:color="auto"/>
        <w:right w:val="none" w:sz="0" w:space="0" w:color="auto"/>
      </w:divBdr>
    </w:div>
    <w:div w:id="1500727536">
      <w:bodyDiv w:val="1"/>
      <w:marLeft w:val="0"/>
      <w:marRight w:val="0"/>
      <w:marTop w:val="0"/>
      <w:marBottom w:val="0"/>
      <w:divBdr>
        <w:top w:val="none" w:sz="0" w:space="0" w:color="auto"/>
        <w:left w:val="none" w:sz="0" w:space="0" w:color="auto"/>
        <w:bottom w:val="none" w:sz="0" w:space="0" w:color="auto"/>
        <w:right w:val="none" w:sz="0" w:space="0" w:color="auto"/>
      </w:divBdr>
    </w:div>
    <w:div w:id="1507095414">
      <w:bodyDiv w:val="1"/>
      <w:marLeft w:val="0"/>
      <w:marRight w:val="0"/>
      <w:marTop w:val="0"/>
      <w:marBottom w:val="0"/>
      <w:divBdr>
        <w:top w:val="none" w:sz="0" w:space="0" w:color="auto"/>
        <w:left w:val="none" w:sz="0" w:space="0" w:color="auto"/>
        <w:bottom w:val="none" w:sz="0" w:space="0" w:color="auto"/>
        <w:right w:val="none" w:sz="0" w:space="0" w:color="auto"/>
      </w:divBdr>
    </w:div>
    <w:div w:id="1508519676">
      <w:bodyDiv w:val="1"/>
      <w:marLeft w:val="0"/>
      <w:marRight w:val="0"/>
      <w:marTop w:val="0"/>
      <w:marBottom w:val="0"/>
      <w:divBdr>
        <w:top w:val="none" w:sz="0" w:space="0" w:color="auto"/>
        <w:left w:val="none" w:sz="0" w:space="0" w:color="auto"/>
        <w:bottom w:val="none" w:sz="0" w:space="0" w:color="auto"/>
        <w:right w:val="none" w:sz="0" w:space="0" w:color="auto"/>
      </w:divBdr>
    </w:div>
    <w:div w:id="1520847277">
      <w:bodyDiv w:val="1"/>
      <w:marLeft w:val="0"/>
      <w:marRight w:val="0"/>
      <w:marTop w:val="0"/>
      <w:marBottom w:val="0"/>
      <w:divBdr>
        <w:top w:val="none" w:sz="0" w:space="0" w:color="auto"/>
        <w:left w:val="none" w:sz="0" w:space="0" w:color="auto"/>
        <w:bottom w:val="none" w:sz="0" w:space="0" w:color="auto"/>
        <w:right w:val="none" w:sz="0" w:space="0" w:color="auto"/>
      </w:divBdr>
    </w:div>
    <w:div w:id="1546524136">
      <w:bodyDiv w:val="1"/>
      <w:marLeft w:val="0"/>
      <w:marRight w:val="0"/>
      <w:marTop w:val="0"/>
      <w:marBottom w:val="0"/>
      <w:divBdr>
        <w:top w:val="none" w:sz="0" w:space="0" w:color="auto"/>
        <w:left w:val="none" w:sz="0" w:space="0" w:color="auto"/>
        <w:bottom w:val="none" w:sz="0" w:space="0" w:color="auto"/>
        <w:right w:val="none" w:sz="0" w:space="0" w:color="auto"/>
      </w:divBdr>
    </w:div>
    <w:div w:id="1627085713">
      <w:bodyDiv w:val="1"/>
      <w:marLeft w:val="0"/>
      <w:marRight w:val="0"/>
      <w:marTop w:val="0"/>
      <w:marBottom w:val="0"/>
      <w:divBdr>
        <w:top w:val="none" w:sz="0" w:space="0" w:color="auto"/>
        <w:left w:val="none" w:sz="0" w:space="0" w:color="auto"/>
        <w:bottom w:val="none" w:sz="0" w:space="0" w:color="auto"/>
        <w:right w:val="none" w:sz="0" w:space="0" w:color="auto"/>
      </w:divBdr>
    </w:div>
    <w:div w:id="1701512814">
      <w:bodyDiv w:val="1"/>
      <w:marLeft w:val="0"/>
      <w:marRight w:val="0"/>
      <w:marTop w:val="0"/>
      <w:marBottom w:val="0"/>
      <w:divBdr>
        <w:top w:val="none" w:sz="0" w:space="0" w:color="auto"/>
        <w:left w:val="none" w:sz="0" w:space="0" w:color="auto"/>
        <w:bottom w:val="none" w:sz="0" w:space="0" w:color="auto"/>
        <w:right w:val="none" w:sz="0" w:space="0" w:color="auto"/>
      </w:divBdr>
    </w:div>
    <w:div w:id="1740403538">
      <w:bodyDiv w:val="1"/>
      <w:marLeft w:val="0"/>
      <w:marRight w:val="0"/>
      <w:marTop w:val="0"/>
      <w:marBottom w:val="0"/>
      <w:divBdr>
        <w:top w:val="none" w:sz="0" w:space="0" w:color="auto"/>
        <w:left w:val="none" w:sz="0" w:space="0" w:color="auto"/>
        <w:bottom w:val="none" w:sz="0" w:space="0" w:color="auto"/>
        <w:right w:val="none" w:sz="0" w:space="0" w:color="auto"/>
      </w:divBdr>
    </w:div>
    <w:div w:id="1755588550">
      <w:bodyDiv w:val="1"/>
      <w:marLeft w:val="0"/>
      <w:marRight w:val="0"/>
      <w:marTop w:val="0"/>
      <w:marBottom w:val="0"/>
      <w:divBdr>
        <w:top w:val="none" w:sz="0" w:space="0" w:color="auto"/>
        <w:left w:val="none" w:sz="0" w:space="0" w:color="auto"/>
        <w:bottom w:val="none" w:sz="0" w:space="0" w:color="auto"/>
        <w:right w:val="none" w:sz="0" w:space="0" w:color="auto"/>
      </w:divBdr>
    </w:div>
    <w:div w:id="1760909073">
      <w:bodyDiv w:val="1"/>
      <w:marLeft w:val="0"/>
      <w:marRight w:val="0"/>
      <w:marTop w:val="0"/>
      <w:marBottom w:val="0"/>
      <w:divBdr>
        <w:top w:val="none" w:sz="0" w:space="0" w:color="auto"/>
        <w:left w:val="none" w:sz="0" w:space="0" w:color="auto"/>
        <w:bottom w:val="none" w:sz="0" w:space="0" w:color="auto"/>
        <w:right w:val="none" w:sz="0" w:space="0" w:color="auto"/>
      </w:divBdr>
    </w:div>
    <w:div w:id="1812597311">
      <w:bodyDiv w:val="1"/>
      <w:marLeft w:val="0"/>
      <w:marRight w:val="0"/>
      <w:marTop w:val="0"/>
      <w:marBottom w:val="0"/>
      <w:divBdr>
        <w:top w:val="none" w:sz="0" w:space="0" w:color="auto"/>
        <w:left w:val="none" w:sz="0" w:space="0" w:color="auto"/>
        <w:bottom w:val="none" w:sz="0" w:space="0" w:color="auto"/>
        <w:right w:val="none" w:sz="0" w:space="0" w:color="auto"/>
      </w:divBdr>
    </w:div>
    <w:div w:id="1873691103">
      <w:bodyDiv w:val="1"/>
      <w:marLeft w:val="0"/>
      <w:marRight w:val="0"/>
      <w:marTop w:val="0"/>
      <w:marBottom w:val="0"/>
      <w:divBdr>
        <w:top w:val="none" w:sz="0" w:space="0" w:color="auto"/>
        <w:left w:val="none" w:sz="0" w:space="0" w:color="auto"/>
        <w:bottom w:val="none" w:sz="0" w:space="0" w:color="auto"/>
        <w:right w:val="none" w:sz="0" w:space="0" w:color="auto"/>
      </w:divBdr>
    </w:div>
    <w:div w:id="1876850015">
      <w:bodyDiv w:val="1"/>
      <w:marLeft w:val="0"/>
      <w:marRight w:val="0"/>
      <w:marTop w:val="0"/>
      <w:marBottom w:val="0"/>
      <w:divBdr>
        <w:top w:val="none" w:sz="0" w:space="0" w:color="auto"/>
        <w:left w:val="none" w:sz="0" w:space="0" w:color="auto"/>
        <w:bottom w:val="none" w:sz="0" w:space="0" w:color="auto"/>
        <w:right w:val="none" w:sz="0" w:space="0" w:color="auto"/>
      </w:divBdr>
    </w:div>
    <w:div w:id="1902982865">
      <w:bodyDiv w:val="1"/>
      <w:marLeft w:val="0"/>
      <w:marRight w:val="0"/>
      <w:marTop w:val="0"/>
      <w:marBottom w:val="0"/>
      <w:divBdr>
        <w:top w:val="none" w:sz="0" w:space="0" w:color="auto"/>
        <w:left w:val="none" w:sz="0" w:space="0" w:color="auto"/>
        <w:bottom w:val="none" w:sz="0" w:space="0" w:color="auto"/>
        <w:right w:val="none" w:sz="0" w:space="0" w:color="auto"/>
      </w:divBdr>
    </w:div>
    <w:div w:id="1912503519">
      <w:bodyDiv w:val="1"/>
      <w:marLeft w:val="0"/>
      <w:marRight w:val="0"/>
      <w:marTop w:val="0"/>
      <w:marBottom w:val="0"/>
      <w:divBdr>
        <w:top w:val="none" w:sz="0" w:space="0" w:color="auto"/>
        <w:left w:val="none" w:sz="0" w:space="0" w:color="auto"/>
        <w:bottom w:val="none" w:sz="0" w:space="0" w:color="auto"/>
        <w:right w:val="none" w:sz="0" w:space="0" w:color="auto"/>
      </w:divBdr>
    </w:div>
    <w:div w:id="1915970911">
      <w:bodyDiv w:val="1"/>
      <w:marLeft w:val="0"/>
      <w:marRight w:val="0"/>
      <w:marTop w:val="0"/>
      <w:marBottom w:val="0"/>
      <w:divBdr>
        <w:top w:val="none" w:sz="0" w:space="0" w:color="auto"/>
        <w:left w:val="none" w:sz="0" w:space="0" w:color="auto"/>
        <w:bottom w:val="none" w:sz="0" w:space="0" w:color="auto"/>
        <w:right w:val="none" w:sz="0" w:space="0" w:color="auto"/>
      </w:divBdr>
    </w:div>
    <w:div w:id="1921714858">
      <w:bodyDiv w:val="1"/>
      <w:marLeft w:val="0"/>
      <w:marRight w:val="0"/>
      <w:marTop w:val="0"/>
      <w:marBottom w:val="0"/>
      <w:divBdr>
        <w:top w:val="none" w:sz="0" w:space="0" w:color="auto"/>
        <w:left w:val="none" w:sz="0" w:space="0" w:color="auto"/>
        <w:bottom w:val="none" w:sz="0" w:space="0" w:color="auto"/>
        <w:right w:val="none" w:sz="0" w:space="0" w:color="auto"/>
      </w:divBdr>
      <w:divsChild>
        <w:div w:id="356545994">
          <w:marLeft w:val="0"/>
          <w:marRight w:val="0"/>
          <w:marTop w:val="0"/>
          <w:marBottom w:val="0"/>
          <w:divBdr>
            <w:top w:val="none" w:sz="0" w:space="0" w:color="auto"/>
            <w:left w:val="none" w:sz="0" w:space="0" w:color="auto"/>
            <w:bottom w:val="none" w:sz="0" w:space="0" w:color="auto"/>
            <w:right w:val="none" w:sz="0" w:space="0" w:color="auto"/>
          </w:divBdr>
          <w:divsChild>
            <w:div w:id="931931489">
              <w:marLeft w:val="0"/>
              <w:marRight w:val="0"/>
              <w:marTop w:val="0"/>
              <w:marBottom w:val="0"/>
              <w:divBdr>
                <w:top w:val="none" w:sz="0" w:space="0" w:color="auto"/>
                <w:left w:val="none" w:sz="0" w:space="0" w:color="auto"/>
                <w:bottom w:val="none" w:sz="0" w:space="0" w:color="auto"/>
                <w:right w:val="none" w:sz="0" w:space="0" w:color="auto"/>
              </w:divBdr>
              <w:divsChild>
                <w:div w:id="353531920">
                  <w:marLeft w:val="0"/>
                  <w:marRight w:val="0"/>
                  <w:marTop w:val="0"/>
                  <w:marBottom w:val="0"/>
                  <w:divBdr>
                    <w:top w:val="none" w:sz="0" w:space="0" w:color="auto"/>
                    <w:left w:val="none" w:sz="0" w:space="0" w:color="auto"/>
                    <w:bottom w:val="none" w:sz="0" w:space="0" w:color="auto"/>
                    <w:right w:val="none" w:sz="0" w:space="0" w:color="auto"/>
                  </w:divBdr>
                  <w:divsChild>
                    <w:div w:id="944767737">
                      <w:marLeft w:val="300"/>
                      <w:marRight w:val="0"/>
                      <w:marTop w:val="0"/>
                      <w:marBottom w:val="0"/>
                      <w:divBdr>
                        <w:top w:val="none" w:sz="0" w:space="0" w:color="auto"/>
                        <w:left w:val="none" w:sz="0" w:space="0" w:color="auto"/>
                        <w:bottom w:val="none" w:sz="0" w:space="0" w:color="auto"/>
                        <w:right w:val="none" w:sz="0" w:space="0" w:color="auto"/>
                      </w:divBdr>
                      <w:divsChild>
                        <w:div w:id="978733063">
                          <w:marLeft w:val="0"/>
                          <w:marRight w:val="0"/>
                          <w:marTop w:val="0"/>
                          <w:marBottom w:val="0"/>
                          <w:divBdr>
                            <w:top w:val="none" w:sz="0" w:space="0" w:color="auto"/>
                            <w:left w:val="none" w:sz="0" w:space="0" w:color="auto"/>
                            <w:bottom w:val="none" w:sz="0" w:space="0" w:color="auto"/>
                            <w:right w:val="none" w:sz="0" w:space="0" w:color="auto"/>
                          </w:divBdr>
                        </w:div>
                        <w:div w:id="275793700">
                          <w:marLeft w:val="0"/>
                          <w:marRight w:val="0"/>
                          <w:marTop w:val="0"/>
                          <w:marBottom w:val="0"/>
                          <w:divBdr>
                            <w:top w:val="none" w:sz="0" w:space="0" w:color="auto"/>
                            <w:left w:val="none" w:sz="0" w:space="0" w:color="auto"/>
                            <w:bottom w:val="none" w:sz="0" w:space="0" w:color="auto"/>
                            <w:right w:val="none" w:sz="0" w:space="0" w:color="auto"/>
                          </w:divBdr>
                        </w:div>
                        <w:div w:id="11813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428562">
      <w:bodyDiv w:val="1"/>
      <w:marLeft w:val="0"/>
      <w:marRight w:val="0"/>
      <w:marTop w:val="0"/>
      <w:marBottom w:val="0"/>
      <w:divBdr>
        <w:top w:val="none" w:sz="0" w:space="0" w:color="auto"/>
        <w:left w:val="none" w:sz="0" w:space="0" w:color="auto"/>
        <w:bottom w:val="none" w:sz="0" w:space="0" w:color="auto"/>
        <w:right w:val="none" w:sz="0" w:space="0" w:color="auto"/>
      </w:divBdr>
    </w:div>
    <w:div w:id="2024162006">
      <w:bodyDiv w:val="1"/>
      <w:marLeft w:val="0"/>
      <w:marRight w:val="0"/>
      <w:marTop w:val="0"/>
      <w:marBottom w:val="0"/>
      <w:divBdr>
        <w:top w:val="none" w:sz="0" w:space="0" w:color="auto"/>
        <w:left w:val="none" w:sz="0" w:space="0" w:color="auto"/>
        <w:bottom w:val="none" w:sz="0" w:space="0" w:color="auto"/>
        <w:right w:val="none" w:sz="0" w:space="0" w:color="auto"/>
      </w:divBdr>
    </w:div>
    <w:div w:id="2024237321">
      <w:bodyDiv w:val="1"/>
      <w:marLeft w:val="0"/>
      <w:marRight w:val="0"/>
      <w:marTop w:val="0"/>
      <w:marBottom w:val="0"/>
      <w:divBdr>
        <w:top w:val="none" w:sz="0" w:space="0" w:color="auto"/>
        <w:left w:val="none" w:sz="0" w:space="0" w:color="auto"/>
        <w:bottom w:val="none" w:sz="0" w:space="0" w:color="auto"/>
        <w:right w:val="none" w:sz="0" w:space="0" w:color="auto"/>
      </w:divBdr>
      <w:divsChild>
        <w:div w:id="1043599731">
          <w:marLeft w:val="0"/>
          <w:marRight w:val="0"/>
          <w:marTop w:val="0"/>
          <w:marBottom w:val="0"/>
          <w:divBdr>
            <w:top w:val="none" w:sz="0" w:space="0" w:color="auto"/>
            <w:left w:val="none" w:sz="0" w:space="0" w:color="auto"/>
            <w:bottom w:val="none" w:sz="0" w:space="0" w:color="auto"/>
            <w:right w:val="none" w:sz="0" w:space="0" w:color="auto"/>
          </w:divBdr>
          <w:divsChild>
            <w:div w:id="614875225">
              <w:marLeft w:val="0"/>
              <w:marRight w:val="0"/>
              <w:marTop w:val="0"/>
              <w:marBottom w:val="0"/>
              <w:divBdr>
                <w:top w:val="none" w:sz="0" w:space="0" w:color="auto"/>
                <w:left w:val="none" w:sz="0" w:space="0" w:color="auto"/>
                <w:bottom w:val="none" w:sz="0" w:space="0" w:color="auto"/>
                <w:right w:val="none" w:sz="0" w:space="0" w:color="auto"/>
              </w:divBdr>
              <w:divsChild>
                <w:div w:id="1276399646">
                  <w:marLeft w:val="0"/>
                  <w:marRight w:val="0"/>
                  <w:marTop w:val="0"/>
                  <w:marBottom w:val="0"/>
                  <w:divBdr>
                    <w:top w:val="none" w:sz="0" w:space="0" w:color="auto"/>
                    <w:left w:val="none" w:sz="0" w:space="0" w:color="auto"/>
                    <w:bottom w:val="none" w:sz="0" w:space="0" w:color="auto"/>
                    <w:right w:val="none" w:sz="0" w:space="0" w:color="auto"/>
                  </w:divBdr>
                  <w:divsChild>
                    <w:div w:id="1875189020">
                      <w:marLeft w:val="300"/>
                      <w:marRight w:val="0"/>
                      <w:marTop w:val="0"/>
                      <w:marBottom w:val="0"/>
                      <w:divBdr>
                        <w:top w:val="none" w:sz="0" w:space="0" w:color="auto"/>
                        <w:left w:val="none" w:sz="0" w:space="0" w:color="auto"/>
                        <w:bottom w:val="none" w:sz="0" w:space="0" w:color="auto"/>
                        <w:right w:val="none" w:sz="0" w:space="0" w:color="auto"/>
                      </w:divBdr>
                      <w:divsChild>
                        <w:div w:id="331296073">
                          <w:marLeft w:val="0"/>
                          <w:marRight w:val="0"/>
                          <w:marTop w:val="0"/>
                          <w:marBottom w:val="0"/>
                          <w:divBdr>
                            <w:top w:val="none" w:sz="0" w:space="0" w:color="auto"/>
                            <w:left w:val="none" w:sz="0" w:space="0" w:color="auto"/>
                            <w:bottom w:val="none" w:sz="0" w:space="0" w:color="auto"/>
                            <w:right w:val="none" w:sz="0" w:space="0" w:color="auto"/>
                          </w:divBdr>
                        </w:div>
                        <w:div w:id="7527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015138">
      <w:bodyDiv w:val="1"/>
      <w:marLeft w:val="0"/>
      <w:marRight w:val="0"/>
      <w:marTop w:val="0"/>
      <w:marBottom w:val="0"/>
      <w:divBdr>
        <w:top w:val="none" w:sz="0" w:space="0" w:color="auto"/>
        <w:left w:val="none" w:sz="0" w:space="0" w:color="auto"/>
        <w:bottom w:val="none" w:sz="0" w:space="0" w:color="auto"/>
        <w:right w:val="none" w:sz="0" w:space="0" w:color="auto"/>
      </w:divBdr>
    </w:div>
    <w:div w:id="211963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ms.gov/MMCA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ms.gov/MMCA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pms@cms.hhs.go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ms.gov/Medicare/Medicare-Advantage/MedicareAdvantageApp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3807C-7C1E-44F1-A2CE-27D8E773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12491</Words>
  <Characters>71203</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Medicare Part C Plan Reporting Requirements</vt:lpstr>
    </vt:vector>
  </TitlesOfParts>
  <Company>Booz Allen Hamilton</Company>
  <LinksUpToDate>false</LinksUpToDate>
  <CharactersWithSpaces>83527</CharactersWithSpaces>
  <SharedDoc>false</SharedDoc>
  <HLinks>
    <vt:vector size="192" baseType="variant">
      <vt:variant>
        <vt:i4>1704027</vt:i4>
      </vt:variant>
      <vt:variant>
        <vt:i4>183</vt:i4>
      </vt:variant>
      <vt:variant>
        <vt:i4>0</vt:i4>
      </vt:variant>
      <vt:variant>
        <vt:i4>5</vt:i4>
      </vt:variant>
      <vt:variant>
        <vt:lpwstr>http://www.webmd.com/heart-disease/coronary-artery-bypass-graft-cabg-surgery</vt:lpwstr>
      </vt:variant>
      <vt:variant>
        <vt:lpwstr/>
      </vt:variant>
      <vt:variant>
        <vt:i4>5046309</vt:i4>
      </vt:variant>
      <vt:variant>
        <vt:i4>180</vt:i4>
      </vt:variant>
      <vt:variant>
        <vt:i4>0</vt:i4>
      </vt:variant>
      <vt:variant>
        <vt:i4>5</vt:i4>
      </vt:variant>
      <vt:variant>
        <vt:lpwstr>mailto:hpms@cms.hhs.gov</vt:lpwstr>
      </vt:variant>
      <vt:variant>
        <vt:lpwstr/>
      </vt:variant>
      <vt:variant>
        <vt:i4>3866716</vt:i4>
      </vt:variant>
      <vt:variant>
        <vt:i4>177</vt:i4>
      </vt:variant>
      <vt:variant>
        <vt:i4>0</vt:i4>
      </vt:variant>
      <vt:variant>
        <vt:i4>5</vt:i4>
      </vt:variant>
      <vt:variant>
        <vt:lpwstr>mailto:PartCplanreporting@cms.hhs.gov</vt:lpwstr>
      </vt:variant>
      <vt:variant>
        <vt:lpwstr/>
      </vt:variant>
      <vt:variant>
        <vt:i4>1638463</vt:i4>
      </vt:variant>
      <vt:variant>
        <vt:i4>170</vt:i4>
      </vt:variant>
      <vt:variant>
        <vt:i4>0</vt:i4>
      </vt:variant>
      <vt:variant>
        <vt:i4>5</vt:i4>
      </vt:variant>
      <vt:variant>
        <vt:lpwstr/>
      </vt:variant>
      <vt:variant>
        <vt:lpwstr>_Toc292176808</vt:lpwstr>
      </vt:variant>
      <vt:variant>
        <vt:i4>1638463</vt:i4>
      </vt:variant>
      <vt:variant>
        <vt:i4>164</vt:i4>
      </vt:variant>
      <vt:variant>
        <vt:i4>0</vt:i4>
      </vt:variant>
      <vt:variant>
        <vt:i4>5</vt:i4>
      </vt:variant>
      <vt:variant>
        <vt:lpwstr/>
      </vt:variant>
      <vt:variant>
        <vt:lpwstr>_Toc292176807</vt:lpwstr>
      </vt:variant>
      <vt:variant>
        <vt:i4>1638463</vt:i4>
      </vt:variant>
      <vt:variant>
        <vt:i4>158</vt:i4>
      </vt:variant>
      <vt:variant>
        <vt:i4>0</vt:i4>
      </vt:variant>
      <vt:variant>
        <vt:i4>5</vt:i4>
      </vt:variant>
      <vt:variant>
        <vt:lpwstr/>
      </vt:variant>
      <vt:variant>
        <vt:lpwstr>_Toc292176806</vt:lpwstr>
      </vt:variant>
      <vt:variant>
        <vt:i4>1638463</vt:i4>
      </vt:variant>
      <vt:variant>
        <vt:i4>152</vt:i4>
      </vt:variant>
      <vt:variant>
        <vt:i4>0</vt:i4>
      </vt:variant>
      <vt:variant>
        <vt:i4>5</vt:i4>
      </vt:variant>
      <vt:variant>
        <vt:lpwstr/>
      </vt:variant>
      <vt:variant>
        <vt:lpwstr>_Toc292176805</vt:lpwstr>
      </vt:variant>
      <vt:variant>
        <vt:i4>1638463</vt:i4>
      </vt:variant>
      <vt:variant>
        <vt:i4>146</vt:i4>
      </vt:variant>
      <vt:variant>
        <vt:i4>0</vt:i4>
      </vt:variant>
      <vt:variant>
        <vt:i4>5</vt:i4>
      </vt:variant>
      <vt:variant>
        <vt:lpwstr/>
      </vt:variant>
      <vt:variant>
        <vt:lpwstr>_Toc292176804</vt:lpwstr>
      </vt:variant>
      <vt:variant>
        <vt:i4>1638463</vt:i4>
      </vt:variant>
      <vt:variant>
        <vt:i4>140</vt:i4>
      </vt:variant>
      <vt:variant>
        <vt:i4>0</vt:i4>
      </vt:variant>
      <vt:variant>
        <vt:i4>5</vt:i4>
      </vt:variant>
      <vt:variant>
        <vt:lpwstr/>
      </vt:variant>
      <vt:variant>
        <vt:lpwstr>_Toc292176803</vt:lpwstr>
      </vt:variant>
      <vt:variant>
        <vt:i4>1638463</vt:i4>
      </vt:variant>
      <vt:variant>
        <vt:i4>134</vt:i4>
      </vt:variant>
      <vt:variant>
        <vt:i4>0</vt:i4>
      </vt:variant>
      <vt:variant>
        <vt:i4>5</vt:i4>
      </vt:variant>
      <vt:variant>
        <vt:lpwstr/>
      </vt:variant>
      <vt:variant>
        <vt:lpwstr>_Toc292176802</vt:lpwstr>
      </vt:variant>
      <vt:variant>
        <vt:i4>1638463</vt:i4>
      </vt:variant>
      <vt:variant>
        <vt:i4>128</vt:i4>
      </vt:variant>
      <vt:variant>
        <vt:i4>0</vt:i4>
      </vt:variant>
      <vt:variant>
        <vt:i4>5</vt:i4>
      </vt:variant>
      <vt:variant>
        <vt:lpwstr/>
      </vt:variant>
      <vt:variant>
        <vt:lpwstr>_Toc292176801</vt:lpwstr>
      </vt:variant>
      <vt:variant>
        <vt:i4>1638463</vt:i4>
      </vt:variant>
      <vt:variant>
        <vt:i4>122</vt:i4>
      </vt:variant>
      <vt:variant>
        <vt:i4>0</vt:i4>
      </vt:variant>
      <vt:variant>
        <vt:i4>5</vt:i4>
      </vt:variant>
      <vt:variant>
        <vt:lpwstr/>
      </vt:variant>
      <vt:variant>
        <vt:lpwstr>_Toc292176800</vt:lpwstr>
      </vt:variant>
      <vt:variant>
        <vt:i4>1048624</vt:i4>
      </vt:variant>
      <vt:variant>
        <vt:i4>116</vt:i4>
      </vt:variant>
      <vt:variant>
        <vt:i4>0</vt:i4>
      </vt:variant>
      <vt:variant>
        <vt:i4>5</vt:i4>
      </vt:variant>
      <vt:variant>
        <vt:lpwstr/>
      </vt:variant>
      <vt:variant>
        <vt:lpwstr>_Toc292176799</vt:lpwstr>
      </vt:variant>
      <vt:variant>
        <vt:i4>1048624</vt:i4>
      </vt:variant>
      <vt:variant>
        <vt:i4>110</vt:i4>
      </vt:variant>
      <vt:variant>
        <vt:i4>0</vt:i4>
      </vt:variant>
      <vt:variant>
        <vt:i4>5</vt:i4>
      </vt:variant>
      <vt:variant>
        <vt:lpwstr/>
      </vt:variant>
      <vt:variant>
        <vt:lpwstr>_Toc292176798</vt:lpwstr>
      </vt:variant>
      <vt:variant>
        <vt:i4>1048624</vt:i4>
      </vt:variant>
      <vt:variant>
        <vt:i4>104</vt:i4>
      </vt:variant>
      <vt:variant>
        <vt:i4>0</vt:i4>
      </vt:variant>
      <vt:variant>
        <vt:i4>5</vt:i4>
      </vt:variant>
      <vt:variant>
        <vt:lpwstr/>
      </vt:variant>
      <vt:variant>
        <vt:lpwstr>_Toc292176797</vt:lpwstr>
      </vt:variant>
      <vt:variant>
        <vt:i4>1048624</vt:i4>
      </vt:variant>
      <vt:variant>
        <vt:i4>98</vt:i4>
      </vt:variant>
      <vt:variant>
        <vt:i4>0</vt:i4>
      </vt:variant>
      <vt:variant>
        <vt:i4>5</vt:i4>
      </vt:variant>
      <vt:variant>
        <vt:lpwstr/>
      </vt:variant>
      <vt:variant>
        <vt:lpwstr>_Toc292176796</vt:lpwstr>
      </vt:variant>
      <vt:variant>
        <vt:i4>1048624</vt:i4>
      </vt:variant>
      <vt:variant>
        <vt:i4>92</vt:i4>
      </vt:variant>
      <vt:variant>
        <vt:i4>0</vt:i4>
      </vt:variant>
      <vt:variant>
        <vt:i4>5</vt:i4>
      </vt:variant>
      <vt:variant>
        <vt:lpwstr/>
      </vt:variant>
      <vt:variant>
        <vt:lpwstr>_Toc292176795</vt:lpwstr>
      </vt:variant>
      <vt:variant>
        <vt:i4>1048624</vt:i4>
      </vt:variant>
      <vt:variant>
        <vt:i4>86</vt:i4>
      </vt:variant>
      <vt:variant>
        <vt:i4>0</vt:i4>
      </vt:variant>
      <vt:variant>
        <vt:i4>5</vt:i4>
      </vt:variant>
      <vt:variant>
        <vt:lpwstr/>
      </vt:variant>
      <vt:variant>
        <vt:lpwstr>_Toc292176794</vt:lpwstr>
      </vt:variant>
      <vt:variant>
        <vt:i4>1048624</vt:i4>
      </vt:variant>
      <vt:variant>
        <vt:i4>80</vt:i4>
      </vt:variant>
      <vt:variant>
        <vt:i4>0</vt:i4>
      </vt:variant>
      <vt:variant>
        <vt:i4>5</vt:i4>
      </vt:variant>
      <vt:variant>
        <vt:lpwstr/>
      </vt:variant>
      <vt:variant>
        <vt:lpwstr>_Toc292176793</vt:lpwstr>
      </vt:variant>
      <vt:variant>
        <vt:i4>1048624</vt:i4>
      </vt:variant>
      <vt:variant>
        <vt:i4>74</vt:i4>
      </vt:variant>
      <vt:variant>
        <vt:i4>0</vt:i4>
      </vt:variant>
      <vt:variant>
        <vt:i4>5</vt:i4>
      </vt:variant>
      <vt:variant>
        <vt:lpwstr/>
      </vt:variant>
      <vt:variant>
        <vt:lpwstr>_Toc292176792</vt:lpwstr>
      </vt:variant>
      <vt:variant>
        <vt:i4>1048624</vt:i4>
      </vt:variant>
      <vt:variant>
        <vt:i4>68</vt:i4>
      </vt:variant>
      <vt:variant>
        <vt:i4>0</vt:i4>
      </vt:variant>
      <vt:variant>
        <vt:i4>5</vt:i4>
      </vt:variant>
      <vt:variant>
        <vt:lpwstr/>
      </vt:variant>
      <vt:variant>
        <vt:lpwstr>_Toc292176791</vt:lpwstr>
      </vt:variant>
      <vt:variant>
        <vt:i4>1048624</vt:i4>
      </vt:variant>
      <vt:variant>
        <vt:i4>62</vt:i4>
      </vt:variant>
      <vt:variant>
        <vt:i4>0</vt:i4>
      </vt:variant>
      <vt:variant>
        <vt:i4>5</vt:i4>
      </vt:variant>
      <vt:variant>
        <vt:lpwstr/>
      </vt:variant>
      <vt:variant>
        <vt:lpwstr>_Toc292176790</vt:lpwstr>
      </vt:variant>
      <vt:variant>
        <vt:i4>1114160</vt:i4>
      </vt:variant>
      <vt:variant>
        <vt:i4>56</vt:i4>
      </vt:variant>
      <vt:variant>
        <vt:i4>0</vt:i4>
      </vt:variant>
      <vt:variant>
        <vt:i4>5</vt:i4>
      </vt:variant>
      <vt:variant>
        <vt:lpwstr/>
      </vt:variant>
      <vt:variant>
        <vt:lpwstr>_Toc292176789</vt:lpwstr>
      </vt:variant>
      <vt:variant>
        <vt:i4>1114160</vt:i4>
      </vt:variant>
      <vt:variant>
        <vt:i4>50</vt:i4>
      </vt:variant>
      <vt:variant>
        <vt:i4>0</vt:i4>
      </vt:variant>
      <vt:variant>
        <vt:i4>5</vt:i4>
      </vt:variant>
      <vt:variant>
        <vt:lpwstr/>
      </vt:variant>
      <vt:variant>
        <vt:lpwstr>_Toc292176788</vt:lpwstr>
      </vt:variant>
      <vt:variant>
        <vt:i4>1114160</vt:i4>
      </vt:variant>
      <vt:variant>
        <vt:i4>44</vt:i4>
      </vt:variant>
      <vt:variant>
        <vt:i4>0</vt:i4>
      </vt:variant>
      <vt:variant>
        <vt:i4>5</vt:i4>
      </vt:variant>
      <vt:variant>
        <vt:lpwstr/>
      </vt:variant>
      <vt:variant>
        <vt:lpwstr>_Toc292176787</vt:lpwstr>
      </vt:variant>
      <vt:variant>
        <vt:i4>1114160</vt:i4>
      </vt:variant>
      <vt:variant>
        <vt:i4>38</vt:i4>
      </vt:variant>
      <vt:variant>
        <vt:i4>0</vt:i4>
      </vt:variant>
      <vt:variant>
        <vt:i4>5</vt:i4>
      </vt:variant>
      <vt:variant>
        <vt:lpwstr/>
      </vt:variant>
      <vt:variant>
        <vt:lpwstr>_Toc292176786</vt:lpwstr>
      </vt:variant>
      <vt:variant>
        <vt:i4>1114160</vt:i4>
      </vt:variant>
      <vt:variant>
        <vt:i4>32</vt:i4>
      </vt:variant>
      <vt:variant>
        <vt:i4>0</vt:i4>
      </vt:variant>
      <vt:variant>
        <vt:i4>5</vt:i4>
      </vt:variant>
      <vt:variant>
        <vt:lpwstr/>
      </vt:variant>
      <vt:variant>
        <vt:lpwstr>_Toc292176785</vt:lpwstr>
      </vt:variant>
      <vt:variant>
        <vt:i4>1114160</vt:i4>
      </vt:variant>
      <vt:variant>
        <vt:i4>26</vt:i4>
      </vt:variant>
      <vt:variant>
        <vt:i4>0</vt:i4>
      </vt:variant>
      <vt:variant>
        <vt:i4>5</vt:i4>
      </vt:variant>
      <vt:variant>
        <vt:lpwstr/>
      </vt:variant>
      <vt:variant>
        <vt:lpwstr>_Toc292176784</vt:lpwstr>
      </vt:variant>
      <vt:variant>
        <vt:i4>1114160</vt:i4>
      </vt:variant>
      <vt:variant>
        <vt:i4>20</vt:i4>
      </vt:variant>
      <vt:variant>
        <vt:i4>0</vt:i4>
      </vt:variant>
      <vt:variant>
        <vt:i4>5</vt:i4>
      </vt:variant>
      <vt:variant>
        <vt:lpwstr/>
      </vt:variant>
      <vt:variant>
        <vt:lpwstr>_Toc292176783</vt:lpwstr>
      </vt:variant>
      <vt:variant>
        <vt:i4>1114160</vt:i4>
      </vt:variant>
      <vt:variant>
        <vt:i4>14</vt:i4>
      </vt:variant>
      <vt:variant>
        <vt:i4>0</vt:i4>
      </vt:variant>
      <vt:variant>
        <vt:i4>5</vt:i4>
      </vt:variant>
      <vt:variant>
        <vt:lpwstr/>
      </vt:variant>
      <vt:variant>
        <vt:lpwstr>_Toc292176782</vt:lpwstr>
      </vt:variant>
      <vt:variant>
        <vt:i4>1114160</vt:i4>
      </vt:variant>
      <vt:variant>
        <vt:i4>8</vt:i4>
      </vt:variant>
      <vt:variant>
        <vt:i4>0</vt:i4>
      </vt:variant>
      <vt:variant>
        <vt:i4>5</vt:i4>
      </vt:variant>
      <vt:variant>
        <vt:lpwstr/>
      </vt:variant>
      <vt:variant>
        <vt:lpwstr>_Toc292176781</vt:lpwstr>
      </vt:variant>
      <vt:variant>
        <vt:i4>1114160</vt:i4>
      </vt:variant>
      <vt:variant>
        <vt:i4>2</vt:i4>
      </vt:variant>
      <vt:variant>
        <vt:i4>0</vt:i4>
      </vt:variant>
      <vt:variant>
        <vt:i4>5</vt:i4>
      </vt:variant>
      <vt:variant>
        <vt:lpwstr/>
      </vt:variant>
      <vt:variant>
        <vt:lpwstr>_Toc292176780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Part C Plan Reporting Requirements</dc:title>
  <dc:creator>Terry</dc:creator>
  <cp:lastModifiedBy>Maria Sotirelis</cp:lastModifiedBy>
  <cp:revision>3</cp:revision>
  <cp:lastPrinted>2017-02-27T15:07:00Z</cp:lastPrinted>
  <dcterms:created xsi:type="dcterms:W3CDTF">2017-03-02T20:19:00Z</dcterms:created>
  <dcterms:modified xsi:type="dcterms:W3CDTF">2017-03-02T20:19:00Z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-282344557</vt:i4>
  </property>
  <property fmtid="{D5CDD505-2E9C-101B-9397-08002B2CF9AE}" pid="3" name="_NewReviewCycle">
    <vt:lpwstr/>
  </property>
  <property fmtid="{D5CDD505-2E9C-101B-9397-08002B2CF9AE}" pid="4" name="_EmailSubject">
    <vt:lpwstr>Non-substantive change to the PRA (CMS-10261, OMB 0938-1054)</vt:lpwstr>
  </property>
  <property fmtid="{D5CDD505-2E9C-101B-9397-08002B2CF9AE}" pid="5" name="_AuthorEmail">
    <vt:lpwstr>Maria.Sotirelis@cms.hhs.gov</vt:lpwstr>
  </property>
  <property fmtid="{D5CDD505-2E9C-101B-9397-08002B2CF9AE}" pid="6" name="_AuthorEmailDisplayName">
    <vt:lpwstr>Sotirelis, Maria (CMS/CM)</vt:lpwstr>
  </property>
  <property fmtid="{D5CDD505-2E9C-101B-9397-08002B2CF9AE}" pid="7" name="_PreviousAdHocReviewCycleID">
    <vt:i4>-1871945446</vt:i4>
  </property>
</Properties>
</file>