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633" w:rsidRDefault="00323633">
      <w:pPr>
        <w:pStyle w:val="BodyText"/>
        <w:spacing w:before="5"/>
        <w:rPr>
          <w:sz w:val="28"/>
        </w:rPr>
      </w:pPr>
    </w:p>
    <w:p w:rsidR="00323633" w:rsidRDefault="00CC0D3C">
      <w:pPr>
        <w:spacing w:before="102"/>
        <w:ind w:left="107"/>
        <w:rPr>
          <w:rFonts w:ascii="Tahoma"/>
          <w:sz w:val="30"/>
        </w:rPr>
      </w:pPr>
      <w:bookmarkStart w:id="0" w:name="Supporting_Statement_for_the_Paperwork_R"/>
      <w:bookmarkStart w:id="1" w:name="Medicare_and_Medicaid_Programs:_Conditio"/>
      <w:bookmarkStart w:id="2" w:name="for_Home_Health_Agencies_and_Supporting_"/>
      <w:bookmarkEnd w:id="0"/>
      <w:bookmarkEnd w:id="1"/>
      <w:bookmarkEnd w:id="2"/>
      <w:r>
        <w:rPr>
          <w:rFonts w:ascii="Tahoma"/>
          <w:sz w:val="30"/>
        </w:rPr>
        <w:t>Home Health Conditions of Participation (</w:t>
      </w:r>
      <w:proofErr w:type="spellStart"/>
      <w:r>
        <w:rPr>
          <w:rFonts w:ascii="Tahoma"/>
          <w:sz w:val="30"/>
        </w:rPr>
        <w:t>CoPs</w:t>
      </w:r>
      <w:proofErr w:type="spellEnd"/>
      <w:r>
        <w:rPr>
          <w:rFonts w:ascii="Tahoma"/>
          <w:sz w:val="30"/>
        </w:rPr>
        <w:t>) and Supporting Regulations</w:t>
      </w:r>
    </w:p>
    <w:p w:rsidR="00323633" w:rsidRDefault="00323633">
      <w:pPr>
        <w:pStyle w:val="BodyText"/>
        <w:rPr>
          <w:rFonts w:ascii="Tahoma"/>
          <w:sz w:val="36"/>
        </w:rPr>
      </w:pPr>
    </w:p>
    <w:p w:rsidR="00323633" w:rsidRDefault="00323633">
      <w:pPr>
        <w:pStyle w:val="BodyText"/>
        <w:spacing w:before="2"/>
        <w:rPr>
          <w:rFonts w:ascii="Tahoma"/>
          <w:sz w:val="27"/>
        </w:rPr>
      </w:pPr>
    </w:p>
    <w:p w:rsidR="00323633" w:rsidRDefault="00CC0D3C">
      <w:pPr>
        <w:pStyle w:val="ListParagraph"/>
        <w:numPr>
          <w:ilvl w:val="0"/>
          <w:numId w:val="4"/>
        </w:numPr>
        <w:tabs>
          <w:tab w:val="left" w:pos="1079"/>
          <w:tab w:val="left" w:pos="1080"/>
        </w:tabs>
        <w:spacing w:before="1"/>
        <w:jc w:val="left"/>
        <w:rPr>
          <w:rFonts w:ascii="Verdana"/>
          <w:sz w:val="24"/>
        </w:rPr>
      </w:pPr>
      <w:bookmarkStart w:id="3" w:name="(CMS-R-39,_OMB_Control_#:__0938-0365)"/>
      <w:bookmarkStart w:id="4" w:name="A._Background"/>
      <w:bookmarkEnd w:id="3"/>
      <w:bookmarkEnd w:id="4"/>
      <w:r>
        <w:rPr>
          <w:rFonts w:ascii="Verdana"/>
          <w:sz w:val="24"/>
        </w:rPr>
        <w:t>Background</w:t>
      </w:r>
    </w:p>
    <w:p w:rsidR="00323633" w:rsidRDefault="00323633">
      <w:pPr>
        <w:pStyle w:val="BodyText"/>
        <w:spacing w:before="4"/>
        <w:rPr>
          <w:rFonts w:ascii="Verdana"/>
          <w:sz w:val="28"/>
        </w:rPr>
      </w:pPr>
    </w:p>
    <w:p w:rsidR="00323633" w:rsidRDefault="00CC0D3C">
      <w:pPr>
        <w:pStyle w:val="BodyText"/>
        <w:spacing w:line="247" w:lineRule="auto"/>
        <w:ind w:left="360" w:right="522" w:hanging="1"/>
      </w:pPr>
      <w:r>
        <w:t xml:space="preserve">The purpose of this package is to request Office of Management and Budget (OMB) </w:t>
      </w:r>
      <w:r w:rsidR="001E1D16">
        <w:t xml:space="preserve">extend </w:t>
      </w:r>
      <w:r>
        <w:t>the collection of information requirements for the existing conditions of participation (</w:t>
      </w:r>
      <w:proofErr w:type="spellStart"/>
      <w:r>
        <w:t>CoPs</w:t>
      </w:r>
      <w:proofErr w:type="spellEnd"/>
      <w:r>
        <w:t>) that home health agencies must meet to participate in the Medicare program (CMS-R-39, OMB</w:t>
      </w:r>
    </w:p>
    <w:p w:rsidR="00323633" w:rsidRDefault="00CC0D3C">
      <w:pPr>
        <w:pStyle w:val="BodyText"/>
        <w:spacing w:line="247" w:lineRule="auto"/>
        <w:ind w:left="360" w:right="522"/>
      </w:pPr>
      <w:r>
        <w:t xml:space="preserve">#0938-0365). On March 10, 1997, we proposed to revise the HHA conditions; however, those revisions were not finalized. Also, on January 25, 1999 we finalized a portion of the </w:t>
      </w:r>
      <w:proofErr w:type="spellStart"/>
      <w:r>
        <w:t>CoPs</w:t>
      </w:r>
      <w:proofErr w:type="spellEnd"/>
      <w:r>
        <w:t xml:space="preserve"> to require the use of the Outcome and Assessment Information Set (OASIS). That request is approved under OMB numbers 0938-</w:t>
      </w:r>
      <w:r w:rsidR="001D1202">
        <w:t>1279</w:t>
      </w:r>
      <w:r>
        <w:t>. This submission replaces the prior version.</w:t>
      </w:r>
    </w:p>
    <w:p w:rsidR="00323633" w:rsidRDefault="00323633">
      <w:pPr>
        <w:pStyle w:val="BodyText"/>
        <w:spacing w:before="7"/>
      </w:pPr>
    </w:p>
    <w:p w:rsidR="00323633" w:rsidRDefault="00CC0D3C">
      <w:pPr>
        <w:pStyle w:val="BodyText"/>
        <w:ind w:left="360"/>
      </w:pPr>
      <w:r>
        <w:t>Home health services are covered for the elderly and disabled under the Hospital Insurance (Part</w:t>
      </w:r>
    </w:p>
    <w:p w:rsidR="00323633" w:rsidRDefault="00CC0D3C">
      <w:pPr>
        <w:pStyle w:val="ListParagraph"/>
        <w:numPr>
          <w:ilvl w:val="0"/>
          <w:numId w:val="3"/>
        </w:numPr>
        <w:tabs>
          <w:tab w:val="left" w:pos="672"/>
        </w:tabs>
        <w:spacing w:before="6" w:line="247" w:lineRule="auto"/>
        <w:ind w:right="1041" w:firstLine="0"/>
        <w:rPr>
          <w:sz w:val="24"/>
        </w:rPr>
      </w:pPr>
      <w:r>
        <w:rPr>
          <w:sz w:val="24"/>
        </w:rPr>
        <w:t xml:space="preserve">and Supplemental Medical Insurance (Part B) benefits of the Medicare program, and are described in section 1861(m) of the Social Security Act (the Act) (42 U.S.C. 1395x). These services must be furnished </w:t>
      </w:r>
      <w:r>
        <w:rPr>
          <w:spacing w:val="-3"/>
          <w:sz w:val="24"/>
        </w:rPr>
        <w:t xml:space="preserve">by, </w:t>
      </w:r>
      <w:r>
        <w:rPr>
          <w:sz w:val="24"/>
        </w:rPr>
        <w:t>or under arrangement with, an HHA that participates in the Medicare program, and be provided on a visiting basis in the beneficiary's home. They may include the</w:t>
      </w:r>
      <w:r>
        <w:rPr>
          <w:spacing w:val="-8"/>
          <w:sz w:val="24"/>
        </w:rPr>
        <w:t xml:space="preserve"> </w:t>
      </w:r>
      <w:r>
        <w:rPr>
          <w:sz w:val="24"/>
        </w:rPr>
        <w:t>following:</w:t>
      </w:r>
    </w:p>
    <w:p w:rsidR="00323633" w:rsidRDefault="00323633">
      <w:pPr>
        <w:pStyle w:val="BodyText"/>
        <w:spacing w:before="3"/>
      </w:pPr>
    </w:p>
    <w:p w:rsidR="00323633" w:rsidRDefault="00CC0D3C">
      <w:pPr>
        <w:pStyle w:val="ListParagraph"/>
        <w:numPr>
          <w:ilvl w:val="1"/>
          <w:numId w:val="3"/>
        </w:numPr>
        <w:tabs>
          <w:tab w:val="left" w:pos="1079"/>
          <w:tab w:val="left" w:pos="1080"/>
        </w:tabs>
        <w:spacing w:line="244" w:lineRule="auto"/>
        <w:ind w:right="804"/>
        <w:rPr>
          <w:sz w:val="24"/>
        </w:rPr>
      </w:pPr>
      <w:r>
        <w:rPr>
          <w:sz w:val="24"/>
        </w:rPr>
        <w:t>Part-time or intermittent skilled nursing care furnished by or under the supervision of</w:t>
      </w:r>
      <w:r>
        <w:rPr>
          <w:spacing w:val="-34"/>
          <w:sz w:val="24"/>
        </w:rPr>
        <w:t xml:space="preserve"> </w:t>
      </w:r>
      <w:r>
        <w:rPr>
          <w:sz w:val="24"/>
        </w:rPr>
        <w:t>a registered</w:t>
      </w:r>
      <w:r>
        <w:rPr>
          <w:spacing w:val="-11"/>
          <w:sz w:val="24"/>
        </w:rPr>
        <w:t xml:space="preserve"> </w:t>
      </w:r>
      <w:r>
        <w:rPr>
          <w:sz w:val="24"/>
        </w:rPr>
        <w:t>nurse.</w:t>
      </w:r>
    </w:p>
    <w:p w:rsidR="00323633" w:rsidRDefault="00CC0D3C">
      <w:pPr>
        <w:pStyle w:val="ListParagraph"/>
        <w:numPr>
          <w:ilvl w:val="1"/>
          <w:numId w:val="3"/>
        </w:numPr>
        <w:tabs>
          <w:tab w:val="left" w:pos="1079"/>
          <w:tab w:val="left" w:pos="1080"/>
        </w:tabs>
        <w:spacing w:line="293" w:lineRule="exact"/>
        <w:rPr>
          <w:sz w:val="24"/>
        </w:rPr>
      </w:pPr>
      <w:r>
        <w:rPr>
          <w:sz w:val="24"/>
        </w:rPr>
        <w:t>Physical</w:t>
      </w:r>
      <w:r>
        <w:rPr>
          <w:spacing w:val="-10"/>
          <w:sz w:val="24"/>
        </w:rPr>
        <w:t xml:space="preserve"> </w:t>
      </w:r>
      <w:r>
        <w:rPr>
          <w:sz w:val="24"/>
        </w:rPr>
        <w:t>therapy,</w:t>
      </w:r>
      <w:r>
        <w:rPr>
          <w:spacing w:val="-10"/>
          <w:sz w:val="24"/>
        </w:rPr>
        <w:t xml:space="preserve"> </w:t>
      </w:r>
      <w:r>
        <w:rPr>
          <w:sz w:val="24"/>
        </w:rPr>
        <w:t>speech-language</w:t>
      </w:r>
      <w:r>
        <w:rPr>
          <w:spacing w:val="-11"/>
          <w:sz w:val="24"/>
        </w:rPr>
        <w:t xml:space="preserve"> </w:t>
      </w:r>
      <w:r>
        <w:rPr>
          <w:sz w:val="24"/>
        </w:rPr>
        <w:t>pathology,</w:t>
      </w:r>
      <w:r>
        <w:rPr>
          <w:spacing w:val="-10"/>
          <w:sz w:val="24"/>
        </w:rPr>
        <w:t xml:space="preserve"> </w:t>
      </w:r>
      <w:r>
        <w:rPr>
          <w:sz w:val="24"/>
        </w:rPr>
        <w:t>or</w:t>
      </w:r>
      <w:r>
        <w:rPr>
          <w:spacing w:val="-11"/>
          <w:sz w:val="24"/>
        </w:rPr>
        <w:t xml:space="preserve"> </w:t>
      </w:r>
      <w:r>
        <w:rPr>
          <w:sz w:val="24"/>
        </w:rPr>
        <w:t>occupational</w:t>
      </w:r>
      <w:r>
        <w:rPr>
          <w:spacing w:val="-10"/>
          <w:sz w:val="24"/>
        </w:rPr>
        <w:t xml:space="preserve"> </w:t>
      </w:r>
      <w:r>
        <w:rPr>
          <w:sz w:val="24"/>
        </w:rPr>
        <w:t>therapy.</w:t>
      </w:r>
    </w:p>
    <w:p w:rsidR="00323633" w:rsidRDefault="00CC0D3C">
      <w:pPr>
        <w:pStyle w:val="ListParagraph"/>
        <w:numPr>
          <w:ilvl w:val="1"/>
          <w:numId w:val="3"/>
        </w:numPr>
        <w:tabs>
          <w:tab w:val="left" w:pos="1079"/>
          <w:tab w:val="left" w:pos="1080"/>
        </w:tabs>
        <w:spacing w:before="3"/>
        <w:rPr>
          <w:sz w:val="24"/>
        </w:rPr>
      </w:pPr>
      <w:r>
        <w:rPr>
          <w:sz w:val="24"/>
        </w:rPr>
        <w:t>Medical social services under the direction of a</w:t>
      </w:r>
      <w:r>
        <w:rPr>
          <w:spacing w:val="-27"/>
          <w:sz w:val="24"/>
        </w:rPr>
        <w:t xml:space="preserve"> </w:t>
      </w:r>
      <w:r>
        <w:rPr>
          <w:sz w:val="24"/>
        </w:rPr>
        <w:t>physician.</w:t>
      </w:r>
    </w:p>
    <w:p w:rsidR="00323633" w:rsidRDefault="00CC0D3C">
      <w:pPr>
        <w:pStyle w:val="ListParagraph"/>
        <w:numPr>
          <w:ilvl w:val="1"/>
          <w:numId w:val="3"/>
        </w:numPr>
        <w:tabs>
          <w:tab w:val="left" w:pos="1079"/>
          <w:tab w:val="left" w:pos="1080"/>
        </w:tabs>
        <w:spacing w:before="3"/>
        <w:rPr>
          <w:sz w:val="24"/>
        </w:rPr>
      </w:pPr>
      <w:r>
        <w:rPr>
          <w:sz w:val="24"/>
        </w:rPr>
        <w:t>Part-time or intermittent home health aide</w:t>
      </w:r>
      <w:r>
        <w:rPr>
          <w:spacing w:val="-16"/>
          <w:sz w:val="24"/>
        </w:rPr>
        <w:t xml:space="preserve"> </w:t>
      </w:r>
      <w:r>
        <w:rPr>
          <w:sz w:val="24"/>
        </w:rPr>
        <w:t>services.</w:t>
      </w:r>
    </w:p>
    <w:p w:rsidR="00323633" w:rsidRDefault="00CC0D3C">
      <w:pPr>
        <w:pStyle w:val="ListParagraph"/>
        <w:numPr>
          <w:ilvl w:val="1"/>
          <w:numId w:val="3"/>
        </w:numPr>
        <w:tabs>
          <w:tab w:val="left" w:pos="1079"/>
          <w:tab w:val="left" w:pos="1080"/>
        </w:tabs>
        <w:spacing w:before="3"/>
        <w:rPr>
          <w:sz w:val="24"/>
        </w:rPr>
      </w:pPr>
      <w:r>
        <w:rPr>
          <w:sz w:val="24"/>
        </w:rPr>
        <w:t>Medical supplies (other than drugs and biologicals) and durable medical</w:t>
      </w:r>
      <w:r>
        <w:rPr>
          <w:spacing w:val="-27"/>
          <w:sz w:val="24"/>
        </w:rPr>
        <w:t xml:space="preserve"> </w:t>
      </w:r>
      <w:r>
        <w:rPr>
          <w:sz w:val="24"/>
        </w:rPr>
        <w:t>equipment.</w:t>
      </w:r>
    </w:p>
    <w:p w:rsidR="00323633" w:rsidRDefault="00CC0D3C">
      <w:pPr>
        <w:pStyle w:val="ListParagraph"/>
        <w:numPr>
          <w:ilvl w:val="1"/>
          <w:numId w:val="3"/>
        </w:numPr>
        <w:tabs>
          <w:tab w:val="left" w:pos="1079"/>
          <w:tab w:val="left" w:pos="1080"/>
        </w:tabs>
        <w:spacing w:before="3" w:line="244" w:lineRule="auto"/>
        <w:ind w:right="611"/>
        <w:rPr>
          <w:sz w:val="24"/>
        </w:rPr>
      </w:pPr>
      <w:r>
        <w:rPr>
          <w:sz w:val="24"/>
        </w:rPr>
        <w:t>Services of interns and residents if the HHA is owned by or affiliated with a hospital</w:t>
      </w:r>
      <w:r>
        <w:rPr>
          <w:spacing w:val="-35"/>
          <w:sz w:val="24"/>
        </w:rPr>
        <w:t xml:space="preserve"> </w:t>
      </w:r>
      <w:r>
        <w:rPr>
          <w:sz w:val="24"/>
        </w:rPr>
        <w:t>that has an approved medical education</w:t>
      </w:r>
      <w:r>
        <w:rPr>
          <w:spacing w:val="-17"/>
          <w:sz w:val="24"/>
        </w:rPr>
        <w:t xml:space="preserve"> </w:t>
      </w:r>
      <w:r>
        <w:rPr>
          <w:sz w:val="24"/>
        </w:rPr>
        <w:t>program.</w:t>
      </w:r>
    </w:p>
    <w:p w:rsidR="00323633" w:rsidRDefault="00CC0D3C">
      <w:pPr>
        <w:pStyle w:val="ListParagraph"/>
        <w:numPr>
          <w:ilvl w:val="1"/>
          <w:numId w:val="3"/>
        </w:numPr>
        <w:tabs>
          <w:tab w:val="left" w:pos="1079"/>
          <w:tab w:val="left" w:pos="1080"/>
        </w:tabs>
        <w:spacing w:line="244" w:lineRule="auto"/>
        <w:ind w:right="867"/>
        <w:rPr>
          <w:sz w:val="24"/>
        </w:rPr>
      </w:pPr>
      <w:r>
        <w:rPr>
          <w:sz w:val="24"/>
        </w:rPr>
        <w:t>Services at hospitals, SNFs, or rehabilitation centers when they involve equipment</w:t>
      </w:r>
      <w:r>
        <w:rPr>
          <w:spacing w:val="-31"/>
          <w:sz w:val="24"/>
        </w:rPr>
        <w:t xml:space="preserve"> </w:t>
      </w:r>
      <w:r>
        <w:rPr>
          <w:sz w:val="24"/>
        </w:rPr>
        <w:t>too cumbersome to bring to the</w:t>
      </w:r>
      <w:r>
        <w:rPr>
          <w:spacing w:val="-10"/>
          <w:sz w:val="24"/>
        </w:rPr>
        <w:t xml:space="preserve"> </w:t>
      </w:r>
      <w:r>
        <w:rPr>
          <w:sz w:val="24"/>
        </w:rPr>
        <w:t>home.</w:t>
      </w:r>
    </w:p>
    <w:p w:rsidR="00323633" w:rsidRDefault="00323633">
      <w:pPr>
        <w:pStyle w:val="BodyText"/>
        <w:spacing w:before="9"/>
      </w:pPr>
    </w:p>
    <w:p w:rsidR="00323633" w:rsidRDefault="00CC0D3C">
      <w:pPr>
        <w:pStyle w:val="BodyText"/>
        <w:spacing w:before="1" w:line="247" w:lineRule="auto"/>
        <w:ind w:left="360" w:right="522"/>
      </w:pPr>
      <w:r>
        <w:t xml:space="preserve">Section 1861(o) of the Act (42 U.S.C. 1395x) specifies certain requirements that a home health agency must meet to participate in the Medicare program. (Existing regulations at 42 CFR 440.70(d) specify that HHAs participating in the Medicaid program must also meet the Medicare </w:t>
      </w:r>
      <w:proofErr w:type="spellStart"/>
      <w:r>
        <w:t>CoPs</w:t>
      </w:r>
      <w:proofErr w:type="spellEnd"/>
      <w:r>
        <w:t xml:space="preserve">.) In particular, section 1861(o)(6) of the Act requires that an HHA must meet the </w:t>
      </w:r>
      <w:proofErr w:type="spellStart"/>
      <w:r>
        <w:t>CoPs</w:t>
      </w:r>
      <w:proofErr w:type="spellEnd"/>
      <w:r>
        <w:t xml:space="preserve"> specified in section 1891(a) of the Act and such other </w:t>
      </w:r>
      <w:proofErr w:type="spellStart"/>
      <w:r>
        <w:t>CoPs</w:t>
      </w:r>
      <w:proofErr w:type="spellEnd"/>
      <w:r>
        <w:t xml:space="preserve"> as the Secretary finds necessary in the interest of the health and safety of its patients. Section 1891(a) of the Act establishes specific requirements for HHAs in several areas, including patient rights, home health aide training and competency, and compliance with applicable Federal, State, and local laws.</w:t>
      </w:r>
    </w:p>
    <w:p w:rsidR="00323633" w:rsidRDefault="00323633">
      <w:pPr>
        <w:spacing w:line="247" w:lineRule="auto"/>
        <w:sectPr w:rsidR="00323633">
          <w:type w:val="continuous"/>
          <w:pgSz w:w="12240" w:h="15840"/>
          <w:pgMar w:top="1500" w:right="940" w:bottom="280" w:left="1080" w:header="720" w:footer="720" w:gutter="0"/>
          <w:cols w:space="720"/>
        </w:sectPr>
      </w:pPr>
    </w:p>
    <w:p w:rsidR="00323633" w:rsidRDefault="00323633">
      <w:pPr>
        <w:pStyle w:val="BodyText"/>
        <w:spacing w:before="8"/>
        <w:rPr>
          <w:sz w:val="11"/>
        </w:rPr>
      </w:pPr>
    </w:p>
    <w:p w:rsidR="00323633" w:rsidRDefault="00CC0D3C">
      <w:pPr>
        <w:pStyle w:val="BodyText"/>
        <w:spacing w:before="90" w:line="247" w:lineRule="auto"/>
        <w:ind w:left="120" w:right="102"/>
      </w:pPr>
      <w:r>
        <w:t xml:space="preserve">Under the authority of sections 1861(o), 1871 and 1891 of the Act, the Secretary has established in regulations the requirements that an HHA must meet to participate in the Medicare program. These requirements are set forth in 42 CFR Part 484 as Conditions of Participation for Home Health Agencies. The </w:t>
      </w:r>
      <w:proofErr w:type="spellStart"/>
      <w:r>
        <w:t>CoPs</w:t>
      </w:r>
      <w:proofErr w:type="spellEnd"/>
      <w:r>
        <w:t xml:space="preserve"> apply to an HHA as an entity as well as the services furnished to each individual under the care of the HHA, unless a condition is specifically limited to Medicare beneficiaries. Under section 1891(b) of the Act, the Secretary is responsible for assuring that the </w:t>
      </w:r>
      <w:proofErr w:type="spellStart"/>
      <w:r>
        <w:t>CoPs</w:t>
      </w:r>
      <w:proofErr w:type="spellEnd"/>
      <w:r>
        <w:t xml:space="preserve">, and their enforcement, are adequate to protect the health and safety of individuals under the care of an HHA and to promote the effective and efficient use of Medicare funds. To implement this requirement, State survey agencies generally conduct surveys of HHAs to determine whether they are complying with the </w:t>
      </w:r>
      <w:proofErr w:type="spellStart"/>
      <w:r>
        <w:t>CoPs</w:t>
      </w:r>
      <w:proofErr w:type="spellEnd"/>
      <w:r>
        <w:t>.</w:t>
      </w:r>
    </w:p>
    <w:p w:rsidR="00323633" w:rsidRDefault="00323633">
      <w:pPr>
        <w:pStyle w:val="BodyText"/>
        <w:rPr>
          <w:sz w:val="26"/>
        </w:rPr>
      </w:pPr>
    </w:p>
    <w:p w:rsidR="00323633" w:rsidRDefault="00CC0D3C">
      <w:pPr>
        <w:pStyle w:val="ListParagraph"/>
        <w:numPr>
          <w:ilvl w:val="0"/>
          <w:numId w:val="4"/>
        </w:numPr>
        <w:tabs>
          <w:tab w:val="left" w:pos="839"/>
          <w:tab w:val="left" w:pos="840"/>
        </w:tabs>
        <w:spacing w:before="220"/>
        <w:ind w:left="840"/>
        <w:jc w:val="left"/>
        <w:rPr>
          <w:rFonts w:ascii="Verdana"/>
          <w:sz w:val="24"/>
        </w:rPr>
      </w:pPr>
      <w:bookmarkStart w:id="5" w:name="B._Justification"/>
      <w:bookmarkEnd w:id="5"/>
      <w:r>
        <w:rPr>
          <w:rFonts w:ascii="Verdana"/>
          <w:sz w:val="24"/>
        </w:rPr>
        <w:t>Justification</w:t>
      </w:r>
    </w:p>
    <w:p w:rsidR="00323633" w:rsidRDefault="00323633">
      <w:pPr>
        <w:pStyle w:val="BodyText"/>
        <w:rPr>
          <w:rFonts w:ascii="Verdana"/>
          <w:sz w:val="28"/>
        </w:rPr>
      </w:pPr>
    </w:p>
    <w:p w:rsidR="00323633" w:rsidRDefault="00CC0D3C">
      <w:pPr>
        <w:pStyle w:val="ListParagraph"/>
        <w:numPr>
          <w:ilvl w:val="1"/>
          <w:numId w:val="4"/>
        </w:numPr>
        <w:tabs>
          <w:tab w:val="left" w:pos="839"/>
          <w:tab w:val="left" w:pos="840"/>
        </w:tabs>
        <w:spacing w:before="240"/>
        <w:rPr>
          <w:rFonts w:ascii="Arial"/>
          <w:sz w:val="24"/>
        </w:rPr>
      </w:pPr>
      <w:bookmarkStart w:id="6" w:name="1._Need_and_Legal_Basis"/>
      <w:bookmarkEnd w:id="6"/>
      <w:r>
        <w:rPr>
          <w:rFonts w:ascii="Arial"/>
          <w:sz w:val="24"/>
        </w:rPr>
        <w:t>Need and Legal</w:t>
      </w:r>
      <w:r>
        <w:rPr>
          <w:rFonts w:ascii="Arial"/>
          <w:spacing w:val="-3"/>
          <w:sz w:val="24"/>
        </w:rPr>
        <w:t xml:space="preserve"> </w:t>
      </w:r>
      <w:r>
        <w:rPr>
          <w:rFonts w:ascii="Arial"/>
          <w:sz w:val="24"/>
        </w:rPr>
        <w:t>Basis</w:t>
      </w:r>
    </w:p>
    <w:p w:rsidR="00323633" w:rsidRDefault="00323633">
      <w:pPr>
        <w:pStyle w:val="BodyText"/>
        <w:spacing w:before="1"/>
        <w:rPr>
          <w:rFonts w:ascii="Arial"/>
          <w:sz w:val="30"/>
        </w:rPr>
      </w:pPr>
    </w:p>
    <w:p w:rsidR="00323633" w:rsidRDefault="00CC0D3C">
      <w:pPr>
        <w:pStyle w:val="BodyText"/>
        <w:spacing w:line="247" w:lineRule="auto"/>
        <w:ind w:left="120" w:right="3"/>
      </w:pPr>
      <w:r>
        <w:t xml:space="preserve">The information collection requirements for which we are requesting OMB approval are listed below. These requirements are among other requirements classified as (or known as) the </w:t>
      </w:r>
      <w:proofErr w:type="spellStart"/>
      <w:r>
        <w:t>CoPs</w:t>
      </w:r>
      <w:proofErr w:type="spellEnd"/>
      <w:r>
        <w:t xml:space="preserve"> which are based on criteria prescribed in law and are standards designed to ensure that each facility has properly trained staff to provide the appropriate safe physical environment for patients. These particular standards reflect comparable standards developed by industry organizations such as The Joint Commission and the Community Health Accreditation Program.</w:t>
      </w:r>
    </w:p>
    <w:p w:rsidR="00323633" w:rsidRDefault="00323633">
      <w:pPr>
        <w:pStyle w:val="BodyText"/>
        <w:rPr>
          <w:sz w:val="26"/>
        </w:rPr>
      </w:pPr>
    </w:p>
    <w:p w:rsidR="00323633" w:rsidRDefault="00CC0D3C">
      <w:pPr>
        <w:pStyle w:val="ListParagraph"/>
        <w:numPr>
          <w:ilvl w:val="1"/>
          <w:numId w:val="4"/>
        </w:numPr>
        <w:tabs>
          <w:tab w:val="left" w:pos="839"/>
          <w:tab w:val="left" w:pos="840"/>
        </w:tabs>
        <w:spacing w:before="220"/>
        <w:rPr>
          <w:rFonts w:ascii="Arial"/>
          <w:sz w:val="24"/>
        </w:rPr>
      </w:pPr>
      <w:bookmarkStart w:id="7" w:name="2._Information_Users"/>
      <w:bookmarkEnd w:id="7"/>
      <w:r>
        <w:rPr>
          <w:rFonts w:ascii="Arial"/>
          <w:sz w:val="24"/>
        </w:rPr>
        <w:t>Information</w:t>
      </w:r>
      <w:r>
        <w:rPr>
          <w:rFonts w:ascii="Arial"/>
          <w:spacing w:val="-1"/>
          <w:sz w:val="24"/>
        </w:rPr>
        <w:t xml:space="preserve"> </w:t>
      </w:r>
      <w:r>
        <w:rPr>
          <w:rFonts w:ascii="Arial"/>
          <w:sz w:val="24"/>
        </w:rPr>
        <w:t>Users</w:t>
      </w:r>
    </w:p>
    <w:p w:rsidR="00323633" w:rsidRDefault="00323633">
      <w:pPr>
        <w:pStyle w:val="BodyText"/>
        <w:spacing w:before="1"/>
        <w:rPr>
          <w:rFonts w:ascii="Arial"/>
          <w:sz w:val="30"/>
        </w:rPr>
      </w:pPr>
    </w:p>
    <w:p w:rsidR="00323633" w:rsidRDefault="00CC0D3C">
      <w:pPr>
        <w:pStyle w:val="BodyText"/>
        <w:spacing w:line="247" w:lineRule="auto"/>
        <w:ind w:left="120" w:right="102"/>
      </w:pPr>
      <w:r>
        <w:t xml:space="preserve">The primary users of this information will be State agency surveyors, the regional home health intermediaries, CMS and HHAs for the purpose of ensuring compliance with Medicare </w:t>
      </w:r>
      <w:proofErr w:type="spellStart"/>
      <w:r>
        <w:t>CoPs</w:t>
      </w:r>
      <w:proofErr w:type="spellEnd"/>
      <w:r>
        <w:t xml:space="preserve"> as well as ensuring the quality of care provided by HHA patients.</w:t>
      </w:r>
    </w:p>
    <w:p w:rsidR="00323633" w:rsidRDefault="00323633">
      <w:pPr>
        <w:pStyle w:val="BodyText"/>
        <w:rPr>
          <w:sz w:val="26"/>
        </w:rPr>
      </w:pPr>
    </w:p>
    <w:p w:rsidR="00323633" w:rsidRDefault="00CC0D3C">
      <w:pPr>
        <w:pStyle w:val="ListParagraph"/>
        <w:numPr>
          <w:ilvl w:val="1"/>
          <w:numId w:val="4"/>
        </w:numPr>
        <w:tabs>
          <w:tab w:val="left" w:pos="839"/>
          <w:tab w:val="left" w:pos="840"/>
        </w:tabs>
        <w:spacing w:before="219"/>
        <w:rPr>
          <w:rFonts w:ascii="Arial"/>
          <w:sz w:val="24"/>
        </w:rPr>
      </w:pPr>
      <w:bookmarkStart w:id="8" w:name="3._Use_of_Information_Technology"/>
      <w:bookmarkEnd w:id="8"/>
      <w:r>
        <w:rPr>
          <w:rFonts w:ascii="Arial"/>
          <w:sz w:val="24"/>
        </w:rPr>
        <w:t>Use of Information</w:t>
      </w:r>
      <w:r>
        <w:rPr>
          <w:rFonts w:ascii="Arial"/>
          <w:spacing w:val="3"/>
          <w:sz w:val="24"/>
        </w:rPr>
        <w:t xml:space="preserve"> </w:t>
      </w:r>
      <w:r>
        <w:rPr>
          <w:rFonts w:ascii="Arial"/>
          <w:sz w:val="24"/>
        </w:rPr>
        <w:t>Technology</w:t>
      </w:r>
    </w:p>
    <w:p w:rsidR="00323633" w:rsidRDefault="00323633">
      <w:pPr>
        <w:pStyle w:val="BodyText"/>
        <w:spacing w:before="1"/>
        <w:rPr>
          <w:rFonts w:ascii="Arial"/>
          <w:sz w:val="30"/>
        </w:rPr>
      </w:pPr>
    </w:p>
    <w:p w:rsidR="00323633" w:rsidRDefault="00CC0D3C">
      <w:pPr>
        <w:pStyle w:val="BodyText"/>
        <w:spacing w:line="247" w:lineRule="auto"/>
        <w:ind w:left="119" w:right="102"/>
      </w:pPr>
      <w:r>
        <w:t>CMS does not require a specific format for maintaining the documentation required in this information collection. HHAs are free to select the most efficient and effective documentation format for their needs, including the maintenance of electronic records in accordance with their unique technical capabilities.</w:t>
      </w:r>
    </w:p>
    <w:p w:rsidR="00323633" w:rsidRDefault="00323633">
      <w:pPr>
        <w:pStyle w:val="BodyText"/>
        <w:rPr>
          <w:sz w:val="26"/>
        </w:rPr>
      </w:pPr>
    </w:p>
    <w:p w:rsidR="00323633" w:rsidRDefault="00CC0D3C">
      <w:pPr>
        <w:pStyle w:val="ListParagraph"/>
        <w:numPr>
          <w:ilvl w:val="1"/>
          <w:numId w:val="4"/>
        </w:numPr>
        <w:tabs>
          <w:tab w:val="left" w:pos="839"/>
          <w:tab w:val="left" w:pos="840"/>
        </w:tabs>
        <w:spacing w:before="219"/>
        <w:rPr>
          <w:rFonts w:ascii="Arial"/>
          <w:sz w:val="24"/>
        </w:rPr>
      </w:pPr>
      <w:bookmarkStart w:id="9" w:name="4._Duplication"/>
      <w:bookmarkEnd w:id="9"/>
      <w:r>
        <w:rPr>
          <w:rFonts w:ascii="Arial"/>
          <w:sz w:val="24"/>
        </w:rPr>
        <w:t>Duplication</w:t>
      </w:r>
    </w:p>
    <w:p w:rsidR="00323633" w:rsidRDefault="00323633">
      <w:pPr>
        <w:pStyle w:val="BodyText"/>
        <w:spacing w:before="1"/>
        <w:rPr>
          <w:rFonts w:ascii="Arial"/>
          <w:sz w:val="30"/>
        </w:rPr>
      </w:pPr>
    </w:p>
    <w:p w:rsidR="00323633" w:rsidRDefault="00CC0D3C">
      <w:pPr>
        <w:pStyle w:val="BodyText"/>
        <w:ind w:left="119"/>
      </w:pPr>
      <w:r>
        <w:t>There is no duplication of information.</w:t>
      </w:r>
    </w:p>
    <w:p w:rsidR="00323633" w:rsidRDefault="00323633">
      <w:pPr>
        <w:sectPr w:rsidR="00323633">
          <w:pgSz w:w="12240" w:h="15840"/>
          <w:pgMar w:top="1500" w:right="1400" w:bottom="280" w:left="1320" w:header="720" w:footer="720" w:gutter="0"/>
          <w:cols w:space="720"/>
        </w:sectPr>
      </w:pPr>
    </w:p>
    <w:p w:rsidR="00323633" w:rsidRDefault="00323633">
      <w:pPr>
        <w:pStyle w:val="BodyText"/>
        <w:spacing w:before="2"/>
        <w:rPr>
          <w:sz w:val="13"/>
        </w:rPr>
      </w:pPr>
    </w:p>
    <w:p w:rsidR="00323633" w:rsidRDefault="00CC0D3C">
      <w:pPr>
        <w:pStyle w:val="ListParagraph"/>
        <w:numPr>
          <w:ilvl w:val="1"/>
          <w:numId w:val="4"/>
        </w:numPr>
        <w:tabs>
          <w:tab w:val="left" w:pos="839"/>
          <w:tab w:val="left" w:pos="840"/>
        </w:tabs>
        <w:spacing w:before="92"/>
        <w:rPr>
          <w:rFonts w:ascii="Arial"/>
          <w:sz w:val="24"/>
        </w:rPr>
      </w:pPr>
      <w:bookmarkStart w:id="10" w:name="5._Small_Business_Impact"/>
      <w:bookmarkEnd w:id="10"/>
      <w:r>
        <w:rPr>
          <w:rFonts w:ascii="Arial"/>
          <w:sz w:val="24"/>
        </w:rPr>
        <w:t>Small Business</w:t>
      </w:r>
      <w:r>
        <w:rPr>
          <w:rFonts w:ascii="Arial"/>
          <w:spacing w:val="-1"/>
          <w:sz w:val="24"/>
        </w:rPr>
        <w:t xml:space="preserve"> </w:t>
      </w:r>
      <w:r>
        <w:rPr>
          <w:rFonts w:ascii="Arial"/>
          <w:sz w:val="24"/>
        </w:rPr>
        <w:t>Impact</w:t>
      </w:r>
    </w:p>
    <w:p w:rsidR="00323633" w:rsidRDefault="00323633">
      <w:pPr>
        <w:pStyle w:val="BodyText"/>
        <w:spacing w:before="1"/>
        <w:rPr>
          <w:rFonts w:ascii="Arial"/>
          <w:sz w:val="30"/>
        </w:rPr>
      </w:pPr>
    </w:p>
    <w:p w:rsidR="00323633" w:rsidRDefault="00CC0D3C">
      <w:pPr>
        <w:pStyle w:val="BodyText"/>
        <w:spacing w:line="247" w:lineRule="auto"/>
        <w:ind w:left="120"/>
      </w:pPr>
      <w:r>
        <w:t>This information collection affects small businesses. However, the requirements are sufficiently flexible for facilities to meet them in a way consistent with their existing operations.</w:t>
      </w:r>
    </w:p>
    <w:p w:rsidR="00323633" w:rsidRDefault="00323633">
      <w:pPr>
        <w:pStyle w:val="BodyText"/>
        <w:rPr>
          <w:sz w:val="26"/>
        </w:rPr>
      </w:pPr>
    </w:p>
    <w:p w:rsidR="00323633" w:rsidRDefault="00CC0D3C">
      <w:pPr>
        <w:pStyle w:val="ListParagraph"/>
        <w:numPr>
          <w:ilvl w:val="1"/>
          <w:numId w:val="4"/>
        </w:numPr>
        <w:tabs>
          <w:tab w:val="left" w:pos="839"/>
          <w:tab w:val="left" w:pos="840"/>
        </w:tabs>
        <w:spacing w:before="219"/>
        <w:rPr>
          <w:rFonts w:ascii="Arial"/>
          <w:sz w:val="24"/>
        </w:rPr>
      </w:pPr>
      <w:bookmarkStart w:id="11" w:name="6._Less_Frequent_Collection"/>
      <w:bookmarkEnd w:id="11"/>
      <w:r>
        <w:rPr>
          <w:rFonts w:ascii="Arial"/>
          <w:sz w:val="24"/>
        </w:rPr>
        <w:t>Less Frequent</w:t>
      </w:r>
      <w:r>
        <w:rPr>
          <w:rFonts w:ascii="Arial"/>
          <w:spacing w:val="-8"/>
          <w:sz w:val="24"/>
        </w:rPr>
        <w:t xml:space="preserve"> </w:t>
      </w:r>
      <w:r>
        <w:rPr>
          <w:rFonts w:ascii="Arial"/>
          <w:sz w:val="24"/>
        </w:rPr>
        <w:t>Collection</w:t>
      </w:r>
    </w:p>
    <w:p w:rsidR="00323633" w:rsidRDefault="00323633">
      <w:pPr>
        <w:pStyle w:val="BodyText"/>
        <w:spacing w:before="1"/>
        <w:rPr>
          <w:rFonts w:ascii="Arial"/>
          <w:sz w:val="30"/>
        </w:rPr>
      </w:pPr>
    </w:p>
    <w:p w:rsidR="00323633" w:rsidRDefault="00CC0D3C">
      <w:pPr>
        <w:pStyle w:val="BodyText"/>
        <w:spacing w:line="247" w:lineRule="auto"/>
        <w:ind w:left="119"/>
      </w:pPr>
      <w:r>
        <w:t xml:space="preserve">With less frequent collection, CMS would not be able to ensure timely compliance with HHA </w:t>
      </w:r>
      <w:proofErr w:type="spellStart"/>
      <w:r>
        <w:t>CoPs</w:t>
      </w:r>
      <w:proofErr w:type="spellEnd"/>
      <w:r>
        <w:t>.</w:t>
      </w:r>
    </w:p>
    <w:p w:rsidR="00323633" w:rsidRDefault="00323633">
      <w:pPr>
        <w:pStyle w:val="BodyText"/>
        <w:rPr>
          <w:sz w:val="26"/>
        </w:rPr>
      </w:pPr>
    </w:p>
    <w:p w:rsidR="00323633" w:rsidRDefault="00CC0D3C">
      <w:pPr>
        <w:pStyle w:val="ListParagraph"/>
        <w:numPr>
          <w:ilvl w:val="1"/>
          <w:numId w:val="4"/>
        </w:numPr>
        <w:tabs>
          <w:tab w:val="left" w:pos="839"/>
          <w:tab w:val="left" w:pos="840"/>
        </w:tabs>
        <w:spacing w:before="220"/>
        <w:rPr>
          <w:rFonts w:ascii="Arial"/>
          <w:sz w:val="24"/>
        </w:rPr>
      </w:pPr>
      <w:bookmarkStart w:id="12" w:name="7._Special_Circumstances_Leading_to_Info"/>
      <w:bookmarkEnd w:id="12"/>
      <w:r>
        <w:rPr>
          <w:rFonts w:ascii="Arial"/>
          <w:sz w:val="24"/>
        </w:rPr>
        <w:t>Special Circumstances Leading to Information</w:t>
      </w:r>
      <w:r>
        <w:rPr>
          <w:rFonts w:ascii="Arial"/>
          <w:spacing w:val="-8"/>
          <w:sz w:val="24"/>
        </w:rPr>
        <w:t xml:space="preserve"> </w:t>
      </w:r>
      <w:r>
        <w:rPr>
          <w:rFonts w:ascii="Arial"/>
          <w:sz w:val="24"/>
        </w:rPr>
        <w:t>Collection</w:t>
      </w:r>
    </w:p>
    <w:p w:rsidR="00323633" w:rsidRDefault="00323633">
      <w:pPr>
        <w:pStyle w:val="BodyText"/>
        <w:spacing w:before="1"/>
        <w:rPr>
          <w:rFonts w:ascii="Arial"/>
          <w:sz w:val="30"/>
        </w:rPr>
      </w:pPr>
    </w:p>
    <w:p w:rsidR="00323633" w:rsidRDefault="00CC0D3C">
      <w:pPr>
        <w:pStyle w:val="BodyText"/>
        <w:ind w:left="119"/>
      </w:pPr>
      <w:r>
        <w:t>There are no special circumstances for collecting this information.</w:t>
      </w:r>
    </w:p>
    <w:p w:rsidR="00323633" w:rsidRDefault="00323633">
      <w:pPr>
        <w:pStyle w:val="BodyText"/>
        <w:rPr>
          <w:sz w:val="26"/>
        </w:rPr>
      </w:pPr>
    </w:p>
    <w:p w:rsidR="00323633" w:rsidRDefault="00CC0D3C">
      <w:pPr>
        <w:pStyle w:val="ListParagraph"/>
        <w:numPr>
          <w:ilvl w:val="1"/>
          <w:numId w:val="4"/>
        </w:numPr>
        <w:tabs>
          <w:tab w:val="left" w:pos="839"/>
          <w:tab w:val="left" w:pos="840"/>
        </w:tabs>
        <w:spacing w:before="227"/>
        <w:rPr>
          <w:rFonts w:ascii="Arial"/>
          <w:sz w:val="24"/>
        </w:rPr>
      </w:pPr>
      <w:bookmarkStart w:id="13" w:name="8._Federal_Register_Notice/Outside_Consu"/>
      <w:bookmarkEnd w:id="13"/>
      <w:r>
        <w:rPr>
          <w:rFonts w:ascii="Arial"/>
          <w:sz w:val="24"/>
        </w:rPr>
        <w:t>Federal Register Notice/Outside</w:t>
      </w:r>
      <w:r>
        <w:rPr>
          <w:rFonts w:ascii="Arial"/>
          <w:spacing w:val="-13"/>
          <w:sz w:val="24"/>
        </w:rPr>
        <w:t xml:space="preserve"> </w:t>
      </w:r>
      <w:r>
        <w:rPr>
          <w:rFonts w:ascii="Arial"/>
          <w:sz w:val="24"/>
        </w:rPr>
        <w:t>Consultation</w:t>
      </w:r>
    </w:p>
    <w:p w:rsidR="00323633" w:rsidRDefault="00323633">
      <w:pPr>
        <w:pStyle w:val="BodyText"/>
        <w:spacing w:before="1"/>
        <w:rPr>
          <w:rFonts w:ascii="Arial"/>
          <w:sz w:val="30"/>
        </w:rPr>
      </w:pPr>
    </w:p>
    <w:p w:rsidR="00323633" w:rsidRDefault="00CC0D3C" w:rsidP="0019299D">
      <w:pPr>
        <w:pStyle w:val="BodyText"/>
        <w:ind w:left="120"/>
        <w:rPr>
          <w:sz w:val="26"/>
        </w:rPr>
      </w:pPr>
      <w:r>
        <w:t xml:space="preserve">The </w:t>
      </w:r>
      <w:r w:rsidR="002E2BE8">
        <w:t>Emergency</w:t>
      </w:r>
      <w:r>
        <w:t xml:space="preserve"> Federal Register </w:t>
      </w:r>
      <w:r w:rsidR="002E2BE8">
        <w:t>notice displayed on March 2, 2017.  The notice will publish on</w:t>
      </w:r>
      <w:r w:rsidR="0019299D">
        <w:t xml:space="preserve"> March </w:t>
      </w:r>
      <w:r w:rsidR="002E2BE8">
        <w:t>2</w:t>
      </w:r>
      <w:bookmarkStart w:id="14" w:name="_GoBack"/>
      <w:bookmarkEnd w:id="14"/>
      <w:r w:rsidR="0019299D">
        <w:t>, 2017.</w:t>
      </w:r>
    </w:p>
    <w:p w:rsidR="00323633" w:rsidRDefault="00CC0D3C">
      <w:pPr>
        <w:pStyle w:val="ListParagraph"/>
        <w:numPr>
          <w:ilvl w:val="1"/>
          <w:numId w:val="4"/>
        </w:numPr>
        <w:tabs>
          <w:tab w:val="left" w:pos="839"/>
          <w:tab w:val="left" w:pos="840"/>
        </w:tabs>
        <w:spacing w:before="227"/>
        <w:rPr>
          <w:rFonts w:ascii="Arial"/>
          <w:sz w:val="24"/>
        </w:rPr>
      </w:pPr>
      <w:bookmarkStart w:id="15" w:name="9._Payment_or_Gift_to_Respondents"/>
      <w:bookmarkEnd w:id="15"/>
      <w:r>
        <w:rPr>
          <w:rFonts w:ascii="Arial"/>
          <w:sz w:val="24"/>
        </w:rPr>
        <w:t>Payment or Gift to</w:t>
      </w:r>
      <w:r>
        <w:rPr>
          <w:rFonts w:ascii="Arial"/>
          <w:spacing w:val="-1"/>
          <w:sz w:val="24"/>
        </w:rPr>
        <w:t xml:space="preserve"> </w:t>
      </w:r>
      <w:r>
        <w:rPr>
          <w:rFonts w:ascii="Arial"/>
          <w:sz w:val="24"/>
        </w:rPr>
        <w:t>Respondents</w:t>
      </w:r>
    </w:p>
    <w:p w:rsidR="00323633" w:rsidRDefault="00323633">
      <w:pPr>
        <w:pStyle w:val="BodyText"/>
        <w:spacing w:before="1"/>
        <w:rPr>
          <w:rFonts w:ascii="Arial"/>
          <w:sz w:val="30"/>
        </w:rPr>
      </w:pPr>
    </w:p>
    <w:p w:rsidR="00323633" w:rsidRDefault="00CC0D3C">
      <w:pPr>
        <w:pStyle w:val="BodyText"/>
        <w:ind w:left="120"/>
      </w:pPr>
      <w:r>
        <w:t>There are no payments or gifts to respondents.</w:t>
      </w:r>
    </w:p>
    <w:p w:rsidR="00323633" w:rsidRDefault="00323633">
      <w:pPr>
        <w:pStyle w:val="BodyText"/>
        <w:rPr>
          <w:sz w:val="26"/>
        </w:rPr>
      </w:pPr>
    </w:p>
    <w:p w:rsidR="00323633" w:rsidRDefault="00CC0D3C">
      <w:pPr>
        <w:pStyle w:val="ListParagraph"/>
        <w:numPr>
          <w:ilvl w:val="1"/>
          <w:numId w:val="4"/>
        </w:numPr>
        <w:tabs>
          <w:tab w:val="left" w:pos="839"/>
          <w:tab w:val="left" w:pos="840"/>
        </w:tabs>
        <w:spacing w:before="227"/>
        <w:rPr>
          <w:rFonts w:ascii="Arial"/>
          <w:sz w:val="24"/>
        </w:rPr>
      </w:pPr>
      <w:bookmarkStart w:id="16" w:name="10._Confidentiality"/>
      <w:bookmarkEnd w:id="16"/>
      <w:r>
        <w:rPr>
          <w:rFonts w:ascii="Arial"/>
          <w:sz w:val="24"/>
        </w:rPr>
        <w:t>Confidentiality</w:t>
      </w:r>
    </w:p>
    <w:p w:rsidR="00323633" w:rsidRDefault="00323633">
      <w:pPr>
        <w:pStyle w:val="BodyText"/>
        <w:rPr>
          <w:rFonts w:ascii="Arial"/>
          <w:sz w:val="30"/>
        </w:rPr>
      </w:pPr>
    </w:p>
    <w:p w:rsidR="00323633" w:rsidRDefault="00CC0D3C">
      <w:pPr>
        <w:pStyle w:val="BodyText"/>
        <w:spacing w:before="1" w:line="247" w:lineRule="auto"/>
        <w:ind w:left="120"/>
      </w:pPr>
      <w:r>
        <w:t>We do not pledge confidentiality of aggregate data. We pledge confidentiality of patient-specific data in accordance with the Privacy Act of 1974 (5 U.S.C. 552a).</w:t>
      </w:r>
    </w:p>
    <w:p w:rsidR="00323633" w:rsidRDefault="00323633">
      <w:pPr>
        <w:pStyle w:val="BodyText"/>
        <w:rPr>
          <w:sz w:val="26"/>
        </w:rPr>
      </w:pPr>
    </w:p>
    <w:p w:rsidR="00323633" w:rsidRDefault="00CC0D3C">
      <w:pPr>
        <w:pStyle w:val="ListParagraph"/>
        <w:numPr>
          <w:ilvl w:val="1"/>
          <w:numId w:val="4"/>
        </w:numPr>
        <w:tabs>
          <w:tab w:val="left" w:pos="839"/>
          <w:tab w:val="left" w:pos="840"/>
        </w:tabs>
        <w:spacing w:before="220"/>
        <w:rPr>
          <w:rFonts w:ascii="Arial"/>
          <w:sz w:val="24"/>
        </w:rPr>
      </w:pPr>
      <w:bookmarkStart w:id="17" w:name="11._Sensitive_Questions"/>
      <w:bookmarkEnd w:id="17"/>
      <w:r>
        <w:rPr>
          <w:rFonts w:ascii="Arial"/>
          <w:sz w:val="24"/>
        </w:rPr>
        <w:t>Sensitive</w:t>
      </w:r>
      <w:r>
        <w:rPr>
          <w:rFonts w:ascii="Arial"/>
          <w:spacing w:val="-6"/>
          <w:sz w:val="24"/>
        </w:rPr>
        <w:t xml:space="preserve"> </w:t>
      </w:r>
      <w:r>
        <w:rPr>
          <w:rFonts w:ascii="Arial"/>
          <w:sz w:val="24"/>
        </w:rPr>
        <w:t>Questions</w:t>
      </w:r>
    </w:p>
    <w:p w:rsidR="00323633" w:rsidRDefault="00323633">
      <w:pPr>
        <w:pStyle w:val="BodyText"/>
        <w:spacing w:before="1"/>
        <w:rPr>
          <w:rFonts w:ascii="Arial"/>
          <w:sz w:val="30"/>
        </w:rPr>
      </w:pPr>
    </w:p>
    <w:p w:rsidR="00323633" w:rsidRDefault="00CC0D3C">
      <w:pPr>
        <w:pStyle w:val="BodyText"/>
        <w:ind w:left="120"/>
      </w:pPr>
      <w:r>
        <w:t>There are no questions of a sensitive nature.</w:t>
      </w:r>
    </w:p>
    <w:p w:rsidR="00323633" w:rsidRDefault="00323633">
      <w:pPr>
        <w:pStyle w:val="BodyText"/>
        <w:rPr>
          <w:sz w:val="26"/>
        </w:rPr>
      </w:pPr>
    </w:p>
    <w:p w:rsidR="00323633" w:rsidRDefault="00CC0D3C">
      <w:pPr>
        <w:pStyle w:val="ListParagraph"/>
        <w:numPr>
          <w:ilvl w:val="1"/>
          <w:numId w:val="4"/>
        </w:numPr>
        <w:tabs>
          <w:tab w:val="left" w:pos="839"/>
          <w:tab w:val="left" w:pos="840"/>
        </w:tabs>
        <w:spacing w:before="227"/>
        <w:rPr>
          <w:rFonts w:ascii="Arial"/>
          <w:sz w:val="24"/>
        </w:rPr>
      </w:pPr>
      <w:bookmarkStart w:id="18" w:name="12._Burden_Estimates_(Hours_and_Wages)"/>
      <w:bookmarkEnd w:id="18"/>
      <w:r>
        <w:rPr>
          <w:rFonts w:ascii="Arial"/>
          <w:sz w:val="24"/>
        </w:rPr>
        <w:t>Burden Estimates (Hours and</w:t>
      </w:r>
      <w:r>
        <w:rPr>
          <w:rFonts w:ascii="Arial"/>
          <w:spacing w:val="6"/>
          <w:sz w:val="24"/>
        </w:rPr>
        <w:t xml:space="preserve"> </w:t>
      </w:r>
      <w:r>
        <w:rPr>
          <w:rFonts w:ascii="Arial"/>
          <w:sz w:val="24"/>
        </w:rPr>
        <w:t>Wages)</w:t>
      </w:r>
    </w:p>
    <w:p w:rsidR="00323633" w:rsidRDefault="00323633">
      <w:pPr>
        <w:pStyle w:val="BodyText"/>
        <w:spacing w:before="1"/>
        <w:rPr>
          <w:rFonts w:ascii="Arial"/>
          <w:sz w:val="30"/>
        </w:rPr>
      </w:pPr>
    </w:p>
    <w:p w:rsidR="00323633" w:rsidRDefault="00CC0D3C">
      <w:pPr>
        <w:pStyle w:val="BodyText"/>
        <w:spacing w:line="247" w:lineRule="auto"/>
        <w:ind w:left="120" w:right="155"/>
      </w:pPr>
      <w:r>
        <w:t>The information collection requirements are shown below with an estimate of the annual reporting and record keeping burdens. Included in the estimates is the time for reviewing instructions, searching existing data sources, gathering and maintaining the data needed, and</w:t>
      </w:r>
    </w:p>
    <w:p w:rsidR="00323633" w:rsidRDefault="00323633">
      <w:pPr>
        <w:spacing w:line="247" w:lineRule="auto"/>
        <w:sectPr w:rsidR="00323633">
          <w:headerReference w:type="default" r:id="rId7"/>
          <w:pgSz w:w="12240" w:h="15840"/>
          <w:pgMar w:top="1700" w:right="1320" w:bottom="280" w:left="1320" w:header="1452" w:footer="0" w:gutter="0"/>
          <w:pgNumType w:start="3"/>
          <w:cols w:space="720"/>
        </w:sectPr>
      </w:pPr>
    </w:p>
    <w:p w:rsidR="00323633" w:rsidRDefault="00323633">
      <w:pPr>
        <w:pStyle w:val="BodyText"/>
        <w:spacing w:before="7"/>
        <w:rPr>
          <w:sz w:val="13"/>
        </w:rPr>
      </w:pPr>
    </w:p>
    <w:p w:rsidR="00323633" w:rsidRDefault="00CC0D3C">
      <w:pPr>
        <w:pStyle w:val="BodyText"/>
        <w:spacing w:before="90"/>
        <w:ind w:left="120"/>
      </w:pPr>
      <w:proofErr w:type="gramStart"/>
      <w:r>
        <w:t>completing</w:t>
      </w:r>
      <w:proofErr w:type="gramEnd"/>
      <w:r>
        <w:t xml:space="preserve"> and reviewing the collection of information.</w:t>
      </w:r>
    </w:p>
    <w:p w:rsidR="00323633" w:rsidRDefault="00323633">
      <w:pPr>
        <w:pStyle w:val="BodyText"/>
        <w:spacing w:before="2"/>
        <w:rPr>
          <w:sz w:val="25"/>
        </w:rPr>
      </w:pPr>
    </w:p>
    <w:p w:rsidR="00323633" w:rsidRDefault="00CC0D3C">
      <w:pPr>
        <w:pStyle w:val="BodyText"/>
        <w:spacing w:line="247" w:lineRule="auto"/>
        <w:ind w:left="119" w:right="143"/>
      </w:pPr>
      <w:r>
        <w:rPr>
          <w:spacing w:val="-3"/>
        </w:rPr>
        <w:t xml:space="preserve">In </w:t>
      </w:r>
      <w:r>
        <w:t>2011</w:t>
      </w:r>
      <w:r>
        <w:rPr>
          <w:spacing w:val="-3"/>
        </w:rPr>
        <w:t xml:space="preserve"> </w:t>
      </w:r>
      <w:r>
        <w:t>there</w:t>
      </w:r>
      <w:r>
        <w:rPr>
          <w:spacing w:val="-4"/>
        </w:rPr>
        <w:t xml:space="preserve"> </w:t>
      </w:r>
      <w:r>
        <w:t>were</w:t>
      </w:r>
      <w:r>
        <w:rPr>
          <w:spacing w:val="-4"/>
        </w:rPr>
        <w:t xml:space="preserve"> </w:t>
      </w:r>
      <w:r>
        <w:t>11,930</w:t>
      </w:r>
      <w:r>
        <w:rPr>
          <w:spacing w:val="-3"/>
        </w:rPr>
        <w:t xml:space="preserve"> </w:t>
      </w:r>
      <w:r>
        <w:t>home</w:t>
      </w:r>
      <w:r>
        <w:rPr>
          <w:spacing w:val="-4"/>
        </w:rPr>
        <w:t xml:space="preserve"> </w:t>
      </w:r>
      <w:r>
        <w:t>health</w:t>
      </w:r>
      <w:r>
        <w:rPr>
          <w:spacing w:val="-3"/>
        </w:rPr>
        <w:t xml:space="preserve"> </w:t>
      </w:r>
      <w:r>
        <w:t>agencies.</w:t>
      </w:r>
      <w:r>
        <w:rPr>
          <w:spacing w:val="-3"/>
        </w:rPr>
        <w:t xml:space="preserve"> </w:t>
      </w:r>
      <w:r>
        <w:t>Based</w:t>
      </w:r>
      <w:r>
        <w:rPr>
          <w:spacing w:val="-3"/>
        </w:rPr>
        <w:t xml:space="preserve"> </w:t>
      </w:r>
      <w:r>
        <w:t>on</w:t>
      </w:r>
      <w:r>
        <w:rPr>
          <w:spacing w:val="-3"/>
        </w:rPr>
        <w:t xml:space="preserve"> </w:t>
      </w:r>
      <w:r>
        <w:t>growth</w:t>
      </w:r>
      <w:r>
        <w:rPr>
          <w:spacing w:val="-3"/>
        </w:rPr>
        <w:t xml:space="preserve"> </w:t>
      </w:r>
      <w:r>
        <w:t>figures</w:t>
      </w:r>
      <w:r>
        <w:rPr>
          <w:spacing w:val="-3"/>
        </w:rPr>
        <w:t xml:space="preserve"> </w:t>
      </w:r>
      <w:r>
        <w:t>for</w:t>
      </w:r>
      <w:r>
        <w:rPr>
          <w:spacing w:val="-4"/>
        </w:rPr>
        <w:t xml:space="preserve"> </w:t>
      </w:r>
      <w:r>
        <w:t>the</w:t>
      </w:r>
      <w:r>
        <w:rPr>
          <w:spacing w:val="-4"/>
        </w:rPr>
        <w:t xml:space="preserve"> </w:t>
      </w:r>
      <w:r>
        <w:t>last</w:t>
      </w:r>
      <w:r>
        <w:rPr>
          <w:spacing w:val="-3"/>
        </w:rPr>
        <w:t xml:space="preserve"> </w:t>
      </w:r>
      <w:r>
        <w:t>three</w:t>
      </w:r>
      <w:r>
        <w:rPr>
          <w:spacing w:val="-4"/>
        </w:rPr>
        <w:t xml:space="preserve"> </w:t>
      </w:r>
      <w:r>
        <w:t xml:space="preserve">years, we estimate that there will be approximately 549 agencies per </w:t>
      </w:r>
      <w:r>
        <w:rPr>
          <w:spacing w:val="-3"/>
        </w:rPr>
        <w:t xml:space="preserve">year </w:t>
      </w:r>
      <w:r>
        <w:t xml:space="preserve">entering the program, for a total of 13,577 home health agencies at the close of the three </w:t>
      </w:r>
      <w:r>
        <w:rPr>
          <w:spacing w:val="-3"/>
        </w:rPr>
        <w:t xml:space="preserve">year </w:t>
      </w:r>
      <w:r>
        <w:t xml:space="preserve">PRA approval period. </w:t>
      </w:r>
      <w:r>
        <w:rPr>
          <w:spacing w:val="-3"/>
        </w:rPr>
        <w:t xml:space="preserve">In </w:t>
      </w:r>
      <w:r>
        <w:t xml:space="preserve">2010 7,015 freestanding HHAs had 10,729,763, for an average of 1,488 admissions per HHA. Based on this average, we estimate that all 11,930 HHAs had 17,751,840 admissions in 2011 and that all 13,577 projected HHAs will have a total of 20,202,576 admissions at the close of the three </w:t>
      </w:r>
      <w:r>
        <w:rPr>
          <w:spacing w:val="-3"/>
        </w:rPr>
        <w:t xml:space="preserve">year </w:t>
      </w:r>
      <w:r>
        <w:t xml:space="preserve">PRA approval period.   We define an average-size HHA as having 1,488 admissions per </w:t>
      </w:r>
      <w:r>
        <w:rPr>
          <w:spacing w:val="-3"/>
        </w:rPr>
        <w:t xml:space="preserve">year </w:t>
      </w:r>
      <w:r>
        <w:t>and 56 clinicians or service providers</w:t>
      </w:r>
      <w:proofErr w:type="gramStart"/>
      <w:r>
        <w:t>.(</w:t>
      </w:r>
      <w:proofErr w:type="gramEnd"/>
      <w:r>
        <w:t xml:space="preserve">based on information from the National Association for Home Care 2010 </w:t>
      </w:r>
      <w:r>
        <w:rPr>
          <w:i/>
        </w:rPr>
        <w:t>Basic Statistics About Home Care</w:t>
      </w:r>
      <w:r>
        <w:rPr>
          <w:i/>
          <w:spacing w:val="-20"/>
        </w:rPr>
        <w:t xml:space="preserve"> </w:t>
      </w:r>
      <w:r>
        <w:t>report).</w:t>
      </w:r>
    </w:p>
    <w:p w:rsidR="00323633" w:rsidRDefault="00323633">
      <w:pPr>
        <w:pStyle w:val="BodyText"/>
        <w:spacing w:before="6"/>
      </w:pPr>
    </w:p>
    <w:p w:rsidR="00323633" w:rsidRDefault="00CC0D3C">
      <w:pPr>
        <w:pStyle w:val="BodyText"/>
        <w:spacing w:line="247" w:lineRule="auto"/>
        <w:ind w:left="119" w:right="10"/>
      </w:pPr>
      <w:r>
        <w:t>Many of the following requirements are performed only once by each agency (such as the development of a standard patient rights disclosure), and many would normally be performed by an agency in the normal course of responsible business practices in the absence of these requirements (such as the maintenance of personnel records) and therefore represent a minimal, if any, burden on home health agencies.</w:t>
      </w:r>
    </w:p>
    <w:p w:rsidR="00323633" w:rsidRDefault="00323633">
      <w:pPr>
        <w:pStyle w:val="BodyText"/>
        <w:spacing w:before="3"/>
      </w:pPr>
    </w:p>
    <w:p w:rsidR="00323633" w:rsidRDefault="00CC0D3C">
      <w:pPr>
        <w:pStyle w:val="ListParagraph"/>
        <w:numPr>
          <w:ilvl w:val="0"/>
          <w:numId w:val="2"/>
        </w:numPr>
        <w:tabs>
          <w:tab w:val="left" w:pos="839"/>
          <w:tab w:val="left" w:pos="840"/>
        </w:tabs>
        <w:rPr>
          <w:sz w:val="24"/>
        </w:rPr>
      </w:pPr>
      <w:r>
        <w:rPr>
          <w:sz w:val="24"/>
        </w:rPr>
        <w:t>§484.10 Condition of participation: Patient</w:t>
      </w:r>
      <w:r>
        <w:rPr>
          <w:spacing w:val="-11"/>
          <w:sz w:val="24"/>
        </w:rPr>
        <w:t xml:space="preserve"> </w:t>
      </w:r>
      <w:r>
        <w:rPr>
          <w:sz w:val="24"/>
        </w:rPr>
        <w:t>rights.</w:t>
      </w:r>
    </w:p>
    <w:p w:rsidR="00323633" w:rsidRDefault="00323633">
      <w:pPr>
        <w:pStyle w:val="BodyText"/>
        <w:spacing w:before="1"/>
        <w:rPr>
          <w:sz w:val="25"/>
        </w:rPr>
      </w:pPr>
    </w:p>
    <w:p w:rsidR="00323633" w:rsidRDefault="00CC0D3C">
      <w:pPr>
        <w:pStyle w:val="BodyText"/>
        <w:spacing w:line="247" w:lineRule="auto"/>
        <w:ind w:left="839" w:right="155"/>
      </w:pPr>
      <w:r>
        <w:t xml:space="preserve">The requirements under this </w:t>
      </w:r>
      <w:proofErr w:type="spellStart"/>
      <w:r>
        <w:t>CoP</w:t>
      </w:r>
      <w:proofErr w:type="spellEnd"/>
      <w:r>
        <w:t xml:space="preserve"> require that the HHA: (a) must provide the patient with a written notice of the patient’s rights in advance of providing care and document that it has complied with this requirement; (b) must document the existence and resolution of complaints about care furnished by the agency that were made by a patient, the patient’s family, or guardian; (c) must advise the patient in advance of the disciplines that will furnish care and the proposed frequency of visits to provide such care as well as any changes in the plan of care before the change is made; (d) must advise the patient of the agency’s policies and procedures regarding disclosure of clinical records; (e) must advise the patient of the extent to which payment for their services can be expected from any Federally</w:t>
      </w:r>
      <w:r>
        <w:rPr>
          <w:spacing w:val="-10"/>
        </w:rPr>
        <w:t xml:space="preserve"> </w:t>
      </w:r>
      <w:r>
        <w:t>funded</w:t>
      </w:r>
      <w:r>
        <w:rPr>
          <w:spacing w:val="-3"/>
        </w:rPr>
        <w:t xml:space="preserve"> </w:t>
      </w:r>
      <w:r>
        <w:t>or</w:t>
      </w:r>
      <w:r>
        <w:rPr>
          <w:spacing w:val="-4"/>
        </w:rPr>
        <w:t xml:space="preserve"> </w:t>
      </w:r>
      <w:r>
        <w:t>aided</w:t>
      </w:r>
      <w:r>
        <w:rPr>
          <w:spacing w:val="-3"/>
        </w:rPr>
        <w:t xml:space="preserve"> </w:t>
      </w:r>
      <w:r>
        <w:t>program,</w:t>
      </w:r>
      <w:r>
        <w:rPr>
          <w:spacing w:val="-3"/>
        </w:rPr>
        <w:t xml:space="preserve"> </w:t>
      </w:r>
      <w:r>
        <w:t>as</w:t>
      </w:r>
      <w:r>
        <w:rPr>
          <w:spacing w:val="-3"/>
        </w:rPr>
        <w:t xml:space="preserve"> </w:t>
      </w:r>
      <w:r>
        <w:t>well</w:t>
      </w:r>
      <w:r>
        <w:rPr>
          <w:spacing w:val="-3"/>
        </w:rPr>
        <w:t xml:space="preserve"> </w:t>
      </w:r>
      <w:r>
        <w:t>as</w:t>
      </w:r>
      <w:r>
        <w:rPr>
          <w:spacing w:val="-3"/>
        </w:rPr>
        <w:t xml:space="preserve"> </w:t>
      </w:r>
      <w:r>
        <w:t>what</w:t>
      </w:r>
      <w:r>
        <w:rPr>
          <w:spacing w:val="-3"/>
        </w:rPr>
        <w:t xml:space="preserve"> </w:t>
      </w:r>
      <w:r>
        <w:t>costs</w:t>
      </w:r>
      <w:r>
        <w:rPr>
          <w:spacing w:val="-3"/>
        </w:rPr>
        <w:t xml:space="preserve"> </w:t>
      </w:r>
      <w:r>
        <w:t>will</w:t>
      </w:r>
      <w:r>
        <w:rPr>
          <w:spacing w:val="-3"/>
        </w:rPr>
        <w:t xml:space="preserve"> </w:t>
      </w:r>
      <w:r>
        <w:t>not</w:t>
      </w:r>
      <w:r>
        <w:rPr>
          <w:spacing w:val="-3"/>
        </w:rPr>
        <w:t xml:space="preserve"> </w:t>
      </w:r>
      <w:r>
        <w:t>be</w:t>
      </w:r>
      <w:r>
        <w:rPr>
          <w:spacing w:val="-4"/>
        </w:rPr>
        <w:t xml:space="preserve"> </w:t>
      </w:r>
      <w:r>
        <w:t>covered</w:t>
      </w:r>
      <w:r>
        <w:rPr>
          <w:spacing w:val="-3"/>
        </w:rPr>
        <w:t xml:space="preserve"> </w:t>
      </w:r>
      <w:r>
        <w:t>by</w:t>
      </w:r>
      <w:r>
        <w:rPr>
          <w:spacing w:val="-10"/>
        </w:rPr>
        <w:t xml:space="preserve"> </w:t>
      </w:r>
      <w:r>
        <w:t>Medicare and must be paid by the individual, and must also advise the patient orally and in writing of any changes in this information; (f) must advise the patient of the number, purpose, and hours of operation of the State home health</w:t>
      </w:r>
      <w:r>
        <w:rPr>
          <w:spacing w:val="-14"/>
        </w:rPr>
        <w:t xml:space="preserve"> </w:t>
      </w:r>
      <w:r>
        <w:t>hotline.</w:t>
      </w:r>
    </w:p>
    <w:p w:rsidR="00323633" w:rsidRDefault="00323633">
      <w:pPr>
        <w:pStyle w:val="BodyText"/>
        <w:spacing w:before="5"/>
      </w:pPr>
    </w:p>
    <w:p w:rsidR="00323633" w:rsidRDefault="00CC0D3C">
      <w:pPr>
        <w:pStyle w:val="BodyText"/>
        <w:spacing w:line="247" w:lineRule="auto"/>
        <w:ind w:left="839" w:right="210"/>
      </w:pPr>
      <w:r>
        <w:t>New HHAs will need to develop a standard notice of rights that will fulfill the requirements contained in paragraphs (a), (c), (d), (e) and (f). The total estimated burden hours for developing the notice of rights is 1 hour per HHA, and 549 hours in any given year for all new HHAs at a cost of $32,940 for an administrator earning $60/hour to perform this task (based on salary data from the Bureau of Labor Statistics and including a 48 percent benefits and overhead adjustment). Existing HHAs have already developed this notice, and would therefore not be affected by this requirement. The standard notice will contain a checklist to be completed by the HHA in a manner appropriate to each client being admitted.</w:t>
      </w:r>
    </w:p>
    <w:p w:rsidR="00323633" w:rsidRDefault="00323633">
      <w:pPr>
        <w:spacing w:line="247" w:lineRule="auto"/>
        <w:sectPr w:rsidR="00323633">
          <w:pgSz w:w="12240" w:h="15840"/>
          <w:pgMar w:top="1700" w:right="1320" w:bottom="280" w:left="1320" w:header="1452" w:footer="0" w:gutter="0"/>
          <w:cols w:space="720"/>
        </w:sectPr>
      </w:pPr>
    </w:p>
    <w:p w:rsidR="00323633" w:rsidRDefault="00323633">
      <w:pPr>
        <w:pStyle w:val="BodyText"/>
        <w:rPr>
          <w:sz w:val="20"/>
        </w:rPr>
      </w:pPr>
    </w:p>
    <w:p w:rsidR="00323633" w:rsidRDefault="00323633">
      <w:pPr>
        <w:pStyle w:val="BodyText"/>
        <w:spacing w:before="3"/>
        <w:rPr>
          <w:sz w:val="18"/>
        </w:rPr>
      </w:pPr>
    </w:p>
    <w:p w:rsidR="00323633" w:rsidRDefault="00CC0D3C">
      <w:pPr>
        <w:pStyle w:val="BodyText"/>
        <w:spacing w:before="90" w:line="247" w:lineRule="auto"/>
        <w:ind w:left="840"/>
      </w:pPr>
      <w:r>
        <w:t>A copy of the signed notice will impose a minimal burden as estimated below. In the rare circumstances to which paragraph (b) applies, it is already common practice to have this information retained in the medical record.  Therefore, the requirement under paragraph</w:t>
      </w:r>
    </w:p>
    <w:p w:rsidR="00323633" w:rsidRDefault="00CC0D3C">
      <w:pPr>
        <w:pStyle w:val="BodyText"/>
        <w:spacing w:line="247" w:lineRule="auto"/>
        <w:ind w:left="839" w:right="161"/>
      </w:pPr>
      <w:r>
        <w:t xml:space="preserve">(b) </w:t>
      </w:r>
      <w:proofErr w:type="gramStart"/>
      <w:r>
        <w:t>imposes</w:t>
      </w:r>
      <w:proofErr w:type="gramEnd"/>
      <w:r>
        <w:t xml:space="preserve"> no burden. The information collection requirements contained in this section mirror those in section 4021 of OBRA ‘87, which specify the rights of patients receiving services from Medicare certified and/or approved HHA’s. These requirements are necessary to ensure HHA compliance with statutory responsibilities. The total estimated annual burden hours for disclosing the notice of rights is 1,479,320 - 1,683,548 (1,488 admits/</w:t>
      </w:r>
      <w:proofErr w:type="spellStart"/>
      <w:r>
        <w:t>yr</w:t>
      </w:r>
      <w:proofErr w:type="spellEnd"/>
      <w:r>
        <w:t xml:space="preserve"> x 5 minutes per admit x 11,930 -13,577 </w:t>
      </w:r>
      <w:proofErr w:type="gramStart"/>
      <w:r>
        <w:t>HHAs  /</w:t>
      </w:r>
      <w:proofErr w:type="gramEnd"/>
      <w:r>
        <w:t xml:space="preserve"> 60 minutes).  Total cost burden is estimated as $68,048,720 - 77,443,208, based on a nurse earning $46/hour to complete this task (1,479,320- 1,683,548 hours x $46/</w:t>
      </w:r>
      <w:proofErr w:type="spellStart"/>
      <w:r>
        <w:t>hr</w:t>
      </w:r>
      <w:proofErr w:type="spellEnd"/>
      <w:r>
        <w:t>, salary estimate includes 48 percent benefits and overhead adjustment). We believe that retaining the signed copy of the notice of rights is standard business practice.</w:t>
      </w:r>
    </w:p>
    <w:p w:rsidR="00323633" w:rsidRDefault="00323633">
      <w:pPr>
        <w:pStyle w:val="BodyText"/>
        <w:spacing w:before="4"/>
      </w:pPr>
    </w:p>
    <w:p w:rsidR="00323633" w:rsidRDefault="00CC0D3C">
      <w:pPr>
        <w:pStyle w:val="ListParagraph"/>
        <w:numPr>
          <w:ilvl w:val="0"/>
          <w:numId w:val="2"/>
        </w:numPr>
        <w:tabs>
          <w:tab w:val="left" w:pos="839"/>
          <w:tab w:val="left" w:pos="840"/>
        </w:tabs>
        <w:spacing w:before="1" w:line="475" w:lineRule="auto"/>
        <w:ind w:right="2399"/>
        <w:rPr>
          <w:sz w:val="24"/>
        </w:rPr>
      </w:pPr>
      <w:r>
        <w:rPr>
          <w:sz w:val="24"/>
        </w:rPr>
        <w:t>§484.11 Condition of participation: Reporting OASIS</w:t>
      </w:r>
      <w:r>
        <w:rPr>
          <w:spacing w:val="-20"/>
          <w:sz w:val="24"/>
        </w:rPr>
        <w:t xml:space="preserve"> </w:t>
      </w:r>
      <w:r>
        <w:rPr>
          <w:sz w:val="24"/>
        </w:rPr>
        <w:t>information CMS-R-209: Approved by OMB (OMB Control #:</w:t>
      </w:r>
      <w:r>
        <w:rPr>
          <w:spacing w:val="-22"/>
          <w:sz w:val="24"/>
        </w:rPr>
        <w:t xml:space="preserve"> </w:t>
      </w:r>
      <w:r>
        <w:rPr>
          <w:sz w:val="24"/>
        </w:rPr>
        <w:t>0938-0760)</w:t>
      </w:r>
    </w:p>
    <w:p w:rsidR="00323633" w:rsidRDefault="00CC0D3C">
      <w:pPr>
        <w:pStyle w:val="ListParagraph"/>
        <w:numPr>
          <w:ilvl w:val="0"/>
          <w:numId w:val="2"/>
        </w:numPr>
        <w:tabs>
          <w:tab w:val="left" w:pos="839"/>
          <w:tab w:val="left" w:pos="840"/>
        </w:tabs>
        <w:spacing w:before="27" w:line="244" w:lineRule="auto"/>
        <w:ind w:right="785"/>
        <w:rPr>
          <w:sz w:val="24"/>
        </w:rPr>
      </w:pPr>
      <w:r>
        <w:rPr>
          <w:sz w:val="24"/>
        </w:rPr>
        <w:t>§484.12 Condition of participation: Compliance with Federal, State and local</w:t>
      </w:r>
      <w:r>
        <w:rPr>
          <w:spacing w:val="-21"/>
          <w:sz w:val="24"/>
        </w:rPr>
        <w:t xml:space="preserve"> </w:t>
      </w:r>
      <w:r>
        <w:rPr>
          <w:sz w:val="24"/>
        </w:rPr>
        <w:t>laws, disclosure and ownership information, and accepted professional standards and principles.</w:t>
      </w:r>
    </w:p>
    <w:p w:rsidR="00323633" w:rsidRDefault="00323633">
      <w:pPr>
        <w:pStyle w:val="BodyText"/>
        <w:spacing w:before="8"/>
      </w:pPr>
    </w:p>
    <w:p w:rsidR="00323633" w:rsidRDefault="00CC0D3C">
      <w:pPr>
        <w:pStyle w:val="BodyText"/>
        <w:spacing w:before="1" w:line="247" w:lineRule="auto"/>
        <w:ind w:left="840" w:right="115"/>
      </w:pPr>
      <w:r>
        <w:t>The HHA must disclose to the State Survey Agency, at the time of the HHA's initial request for certification, the name and address of all persons with an ownership or control interest in the HHA, the name and address of all officers, directors, agents, and managers of the HHA, as well as the name and address of the corporation or association responsible for the management of the HHA and the chief executive and chairman of that corporation or association. This requirement directly implements section 4021 of OBRA '87 and imposes a minimal burden of the creation of a new disclosure of ownership for newly certified HHAs. The burden imposed by the creation of a new document is estimated at 5 minutes for 549 estimated newly certified HHAs. Existing HHAs have already created this disclosure form, and because it must only be done once, they are no longer burdened by this requirement. The total estimated burden is 46 hours in any given year (549 estimated new HHAs x 5 minutes / 60 minutes). Total cost burden is estimated at $2,760 (46 hours x $60/</w:t>
      </w:r>
      <w:proofErr w:type="spellStart"/>
      <w:r>
        <w:t>hr</w:t>
      </w:r>
      <w:proofErr w:type="spellEnd"/>
      <w:r>
        <w:t>). We believe that the act of sending information to the State Survey Agency as part of the application process is standard business practice.</w:t>
      </w:r>
    </w:p>
    <w:p w:rsidR="00323633" w:rsidRDefault="00323633">
      <w:pPr>
        <w:pStyle w:val="BodyText"/>
        <w:spacing w:before="3"/>
      </w:pPr>
    </w:p>
    <w:p w:rsidR="00323633" w:rsidRDefault="00CC0D3C">
      <w:pPr>
        <w:pStyle w:val="ListParagraph"/>
        <w:numPr>
          <w:ilvl w:val="0"/>
          <w:numId w:val="2"/>
        </w:numPr>
        <w:tabs>
          <w:tab w:val="left" w:pos="839"/>
          <w:tab w:val="left" w:pos="840"/>
        </w:tabs>
        <w:rPr>
          <w:sz w:val="24"/>
        </w:rPr>
      </w:pPr>
      <w:r>
        <w:rPr>
          <w:sz w:val="24"/>
        </w:rPr>
        <w:t>§484.14 Condition of participation: Organization, services and</w:t>
      </w:r>
      <w:r>
        <w:rPr>
          <w:spacing w:val="-18"/>
          <w:sz w:val="24"/>
        </w:rPr>
        <w:t xml:space="preserve"> </w:t>
      </w:r>
      <w:r>
        <w:rPr>
          <w:sz w:val="24"/>
        </w:rPr>
        <w:t>administration.</w:t>
      </w:r>
    </w:p>
    <w:p w:rsidR="00323633" w:rsidRDefault="00323633">
      <w:pPr>
        <w:pStyle w:val="BodyText"/>
        <w:spacing w:before="1"/>
        <w:rPr>
          <w:sz w:val="25"/>
        </w:rPr>
      </w:pPr>
    </w:p>
    <w:p w:rsidR="00323633" w:rsidRDefault="00CC0D3C">
      <w:pPr>
        <w:pStyle w:val="BodyText"/>
        <w:spacing w:line="247" w:lineRule="auto"/>
        <w:ind w:left="840" w:right="155"/>
      </w:pPr>
      <w:r>
        <w:t xml:space="preserve">Under this </w:t>
      </w:r>
      <w:proofErr w:type="spellStart"/>
      <w:r>
        <w:t>CoP</w:t>
      </w:r>
      <w:proofErr w:type="spellEnd"/>
      <w:r>
        <w:t xml:space="preserve"> the HHA must organize, manage, and administer its resources to attain and maintain the highest practicable functional capacity for each patient regarding medical, nursing, and rehabilitative needs as indicated by the plan of care. These</w:t>
      </w:r>
    </w:p>
    <w:p w:rsidR="00323633" w:rsidRDefault="00323633">
      <w:pPr>
        <w:spacing w:line="247" w:lineRule="auto"/>
        <w:sectPr w:rsidR="00323633">
          <w:pgSz w:w="12240" w:h="15840"/>
          <w:pgMar w:top="1700" w:right="1320" w:bottom="280" w:left="1320" w:header="1452" w:footer="0" w:gutter="0"/>
          <w:cols w:space="720"/>
        </w:sectPr>
      </w:pPr>
    </w:p>
    <w:p w:rsidR="00323633" w:rsidRDefault="00323633">
      <w:pPr>
        <w:pStyle w:val="BodyText"/>
        <w:spacing w:before="7"/>
        <w:rPr>
          <w:sz w:val="13"/>
        </w:rPr>
      </w:pPr>
    </w:p>
    <w:p w:rsidR="00323633" w:rsidRDefault="00CC0D3C">
      <w:pPr>
        <w:pStyle w:val="BodyText"/>
        <w:spacing w:before="90" w:line="247" w:lineRule="auto"/>
        <w:ind w:left="820" w:right="115"/>
      </w:pPr>
      <w:proofErr w:type="gramStart"/>
      <w:r>
        <w:t>requirements</w:t>
      </w:r>
      <w:proofErr w:type="gramEnd"/>
      <w:r>
        <w:t xml:space="preserve"> are necessary to ensure responsible management of participating HHAs as well as an acceptable quality care for beneficiaries. Paragraphs (c), (e), (f) and (g) impose no additional burden as they are good business or medical practices which would otherwise be self-imposed by facilities in the absence of Federal requirements. Paragraph (g), which requires that a written summary report for each patient be sent to the attending physician every 62 days, imposes a burden of 3 minutes per patient. The estimated annual burden for HHAs is 887,592 – 1,010,129 hours (3 minutes per patient x 1,488 admissions per HHA x 11,930- 13,577 HHAs / 60 minutes) at a cost of $16,864,248 – 19,192,451 for an office assistant to complete this task (887,592 - 1,010,129 hours x $19/hour, salary estimate includes 48% benefits and overhead adjustment).</w:t>
      </w:r>
    </w:p>
    <w:p w:rsidR="00323633" w:rsidRDefault="00323633">
      <w:pPr>
        <w:pStyle w:val="BodyText"/>
        <w:spacing w:before="5"/>
      </w:pPr>
    </w:p>
    <w:p w:rsidR="00323633" w:rsidRDefault="00CC0D3C">
      <w:pPr>
        <w:pStyle w:val="BodyText"/>
        <w:spacing w:line="247" w:lineRule="auto"/>
        <w:ind w:left="820" w:right="119"/>
      </w:pPr>
      <w:r>
        <w:t>Paragraph (i) which relates to the HHA’s institutional planning imposes a minimal</w:t>
      </w:r>
      <w:r>
        <w:rPr>
          <w:spacing w:val="-30"/>
        </w:rPr>
        <w:t xml:space="preserve"> </w:t>
      </w:r>
      <w:r>
        <w:t xml:space="preserve">burden and is the amount of time required to develop the initial plan and to review and revise the existing plan.  We estimate the burden for developing a new plan at 1½ hours (90 minutes) and the burden for reviewing and revising an existing plan at 30 minutes. </w:t>
      </w:r>
      <w:r>
        <w:rPr>
          <w:spacing w:val="-3"/>
        </w:rPr>
        <w:t xml:space="preserve">If </w:t>
      </w:r>
      <w:r>
        <w:t xml:space="preserve">the anticipated source of financing for such expenditure is Title V, Medicare, or Medicaid, the plan must specify whether a capital expenditure proposal has been submitted to the designated planning agency in accordance with section 1122 of the Act, and specify whether the planning agency has approved or disapproved the proposal. The overall plan and budget is reviewed and updated at least annually. The estimated annual burden for existing HHAs is 5,965 – 6,514 hours (11,930 - 13,028 existing HHAs x 30 minutes / 60 minutes, Note: The estimated 13,028 existing HHAs do not include the estimated 549 new HHAs that would be joining the Medicare program in the third and final approval </w:t>
      </w:r>
      <w:r>
        <w:rPr>
          <w:spacing w:val="-3"/>
        </w:rPr>
        <w:t xml:space="preserve">year </w:t>
      </w:r>
      <w:r>
        <w:t xml:space="preserve">for this package). The estimated annual burden for anticipated new HHAs is 824 hours (1½ hours x 549 new HHAs) in any given </w:t>
      </w:r>
      <w:r>
        <w:rPr>
          <w:spacing w:val="-3"/>
        </w:rPr>
        <w:t xml:space="preserve">year. </w:t>
      </w:r>
      <w:r>
        <w:t xml:space="preserve">Therefore, the annual burden for paragraph (i) of this </w:t>
      </w:r>
      <w:proofErr w:type="spellStart"/>
      <w:r>
        <w:t>CoP</w:t>
      </w:r>
      <w:proofErr w:type="spellEnd"/>
      <w:r>
        <w:t xml:space="preserve"> is 6,789 – 7,338 hours (5,965 - 6,514 hours for existing HHAs + 824 hours for estimated new HHAs). The total cost for this requirement is $407,340 – 440,280 for an administrator to complete the task (6,789 - 7,338 hours x</w:t>
      </w:r>
      <w:r>
        <w:rPr>
          <w:spacing w:val="-14"/>
        </w:rPr>
        <w:t xml:space="preserve"> </w:t>
      </w:r>
      <w:r>
        <w:t>$60).</w:t>
      </w:r>
    </w:p>
    <w:p w:rsidR="00323633" w:rsidRDefault="00323633">
      <w:pPr>
        <w:pStyle w:val="BodyText"/>
        <w:rPr>
          <w:sz w:val="26"/>
        </w:rPr>
      </w:pPr>
    </w:p>
    <w:p w:rsidR="00323633" w:rsidRDefault="00323633">
      <w:pPr>
        <w:pStyle w:val="BodyText"/>
        <w:spacing w:before="10"/>
        <w:rPr>
          <w:sz w:val="22"/>
        </w:rPr>
      </w:pPr>
    </w:p>
    <w:p w:rsidR="00323633" w:rsidRDefault="00CC0D3C">
      <w:pPr>
        <w:pStyle w:val="ListParagraph"/>
        <w:numPr>
          <w:ilvl w:val="0"/>
          <w:numId w:val="2"/>
        </w:numPr>
        <w:tabs>
          <w:tab w:val="left" w:pos="819"/>
          <w:tab w:val="left" w:pos="820"/>
        </w:tabs>
        <w:ind w:left="820"/>
        <w:rPr>
          <w:sz w:val="24"/>
        </w:rPr>
      </w:pPr>
      <w:r>
        <w:rPr>
          <w:sz w:val="24"/>
        </w:rPr>
        <w:t>§</w:t>
      </w:r>
      <w:proofErr w:type="gramStart"/>
      <w:r>
        <w:rPr>
          <w:sz w:val="24"/>
        </w:rPr>
        <w:t>484.16  Condition</w:t>
      </w:r>
      <w:proofErr w:type="gramEnd"/>
      <w:r>
        <w:rPr>
          <w:sz w:val="24"/>
        </w:rPr>
        <w:t xml:space="preserve"> of participation: Group of professional</w:t>
      </w:r>
      <w:r>
        <w:rPr>
          <w:spacing w:val="-15"/>
          <w:sz w:val="24"/>
        </w:rPr>
        <w:t xml:space="preserve"> </w:t>
      </w:r>
      <w:r>
        <w:rPr>
          <w:sz w:val="24"/>
        </w:rPr>
        <w:t>personnel.</w:t>
      </w:r>
    </w:p>
    <w:p w:rsidR="00323633" w:rsidRDefault="00CC0D3C">
      <w:pPr>
        <w:pStyle w:val="BodyText"/>
        <w:spacing w:before="6" w:line="247" w:lineRule="auto"/>
        <w:ind w:left="820" w:right="222"/>
      </w:pPr>
      <w:r>
        <w:t xml:space="preserve">Paragraph (a) requires that a group of professional personnel will advise, assist and evaluate the agency. The meetings of this group are documented by dated minutes. This requirement implements statutory provisions of section 1861(o) of the Social Security Act. The burden for this </w:t>
      </w:r>
      <w:proofErr w:type="spellStart"/>
      <w:r>
        <w:t>CoP</w:t>
      </w:r>
      <w:proofErr w:type="spellEnd"/>
      <w:r>
        <w:t xml:space="preserve"> is minimal and is satisfied by recording and dating the minutes of the meeting of professional personnel. We estimate the annual burden to be 10 minutes per agency for a total annual burden of 1,988 – 2,263 hours (11,930 - 13,577 HHAs x 10 minutes / 60 minutes) at a cost of $37,772 – 42,997 (1,988 – 2,263 hours x</w:t>
      </w:r>
    </w:p>
    <w:p w:rsidR="00323633" w:rsidRDefault="00CC0D3C">
      <w:pPr>
        <w:pStyle w:val="BodyText"/>
        <w:spacing w:line="275" w:lineRule="exact"/>
        <w:ind w:left="820"/>
      </w:pPr>
      <w:r>
        <w:t>$19).</w:t>
      </w:r>
    </w:p>
    <w:p w:rsidR="00323633" w:rsidRDefault="00323633">
      <w:pPr>
        <w:pStyle w:val="BodyText"/>
        <w:rPr>
          <w:sz w:val="25"/>
        </w:rPr>
      </w:pPr>
    </w:p>
    <w:p w:rsidR="00323633" w:rsidRDefault="00CC0D3C">
      <w:pPr>
        <w:pStyle w:val="ListParagraph"/>
        <w:numPr>
          <w:ilvl w:val="0"/>
          <w:numId w:val="2"/>
        </w:numPr>
        <w:tabs>
          <w:tab w:val="left" w:pos="819"/>
          <w:tab w:val="left" w:pos="820"/>
        </w:tabs>
        <w:spacing w:line="244" w:lineRule="auto"/>
        <w:ind w:left="820" w:right="587"/>
        <w:rPr>
          <w:sz w:val="24"/>
        </w:rPr>
      </w:pPr>
      <w:r>
        <w:rPr>
          <w:sz w:val="24"/>
        </w:rPr>
        <w:t>§484.18 Condition of participation: Acceptance of patients, plan of care, and</w:t>
      </w:r>
      <w:r>
        <w:rPr>
          <w:spacing w:val="-25"/>
          <w:sz w:val="24"/>
        </w:rPr>
        <w:t xml:space="preserve"> </w:t>
      </w:r>
      <w:r>
        <w:rPr>
          <w:sz w:val="24"/>
        </w:rPr>
        <w:t>medical supervision.</w:t>
      </w:r>
    </w:p>
    <w:p w:rsidR="00323633" w:rsidRDefault="00323633">
      <w:pPr>
        <w:spacing w:line="244" w:lineRule="auto"/>
        <w:rPr>
          <w:sz w:val="24"/>
        </w:rPr>
        <w:sectPr w:rsidR="00323633">
          <w:pgSz w:w="12240" w:h="15840"/>
          <w:pgMar w:top="1700" w:right="1320" w:bottom="280" w:left="1340" w:header="1452" w:footer="0" w:gutter="0"/>
          <w:cols w:space="720"/>
        </w:sectPr>
      </w:pPr>
    </w:p>
    <w:p w:rsidR="00323633" w:rsidRDefault="00CC0D3C">
      <w:pPr>
        <w:pStyle w:val="BodyText"/>
        <w:spacing w:before="61"/>
        <w:ind w:left="4890"/>
      </w:pPr>
      <w:r>
        <w:lastRenderedPageBreak/>
        <w:t>CMS-R-39, OMB Control # 0938-0365, Page 7</w:t>
      </w:r>
    </w:p>
    <w:p w:rsidR="00323633" w:rsidRDefault="00323633">
      <w:pPr>
        <w:pStyle w:val="BodyText"/>
        <w:spacing w:before="5"/>
        <w:rPr>
          <w:sz w:val="21"/>
        </w:rPr>
      </w:pPr>
    </w:p>
    <w:p w:rsidR="00323633" w:rsidRDefault="00CC0D3C">
      <w:pPr>
        <w:pStyle w:val="BodyText"/>
        <w:spacing w:line="247" w:lineRule="auto"/>
        <w:ind w:left="820" w:right="63"/>
      </w:pPr>
      <w:r>
        <w:t>Section §484.18 implements the statutory provisions found in sections 1835 and 1814 of the Act, as well as section 1891(a) as amended by OBRA '87 for non-Medicare patients. Paragraph (a) of this section requires that a plan of care be developed in consultation with agency staff, and cover all pertinent diagnoses. Paragraph (b) requires that a plan of care be periodically reviewed. The written plan of care is established for each patient, and periodically reviewed, by a physician in consultation with agency staff. Paragraph (c) requires that the nurse or therapist to immediately record and sign any verbal orders given by the physician. Recording verbal orders reflects customary and usual medical and business practices. Therefore, this requirement does not impose a burden.</w:t>
      </w:r>
    </w:p>
    <w:p w:rsidR="00323633" w:rsidRDefault="00323633">
      <w:pPr>
        <w:pStyle w:val="BodyText"/>
        <w:spacing w:before="6"/>
      </w:pPr>
    </w:p>
    <w:p w:rsidR="00323633" w:rsidRDefault="00CC0D3C">
      <w:pPr>
        <w:pStyle w:val="BodyText"/>
        <w:spacing w:line="247" w:lineRule="auto"/>
        <w:ind w:left="820" w:right="115"/>
      </w:pPr>
      <w:r>
        <w:t>We estimate that HHAs average 1,488 home health patient admissions per year. The anticipated burden associated with this requirement involves at least one staff member (at</w:t>
      </w:r>
    </w:p>
    <w:p w:rsidR="00323633" w:rsidRDefault="00CC0D3C">
      <w:pPr>
        <w:pStyle w:val="BodyText"/>
        <w:spacing w:line="247" w:lineRule="auto"/>
        <w:ind w:left="820" w:right="115"/>
      </w:pPr>
      <w:r>
        <w:t>$19 per hour) who will facilitate the establishment and periodic review of plans of care</w:t>
      </w:r>
      <w:r>
        <w:rPr>
          <w:spacing w:val="-29"/>
        </w:rPr>
        <w:t xml:space="preserve"> </w:t>
      </w:r>
      <w:r>
        <w:t>by a physician. The burden for paragraphs (a) and (b) is estimated at 5 minutes per</w:t>
      </w:r>
      <w:r>
        <w:rPr>
          <w:spacing w:val="-38"/>
        </w:rPr>
        <w:t xml:space="preserve"> </w:t>
      </w:r>
      <w:r>
        <w:t xml:space="preserve">admission for a total estimated burden of 124 hours per HHA (1,488 admits per </w:t>
      </w:r>
      <w:r>
        <w:rPr>
          <w:spacing w:val="-3"/>
        </w:rPr>
        <w:t xml:space="preserve">year </w:t>
      </w:r>
      <w:r>
        <w:t xml:space="preserve">x 5 minutes / 60 minutes) for a total of 1,479,320 – 1,683,548 hours (1,488 admits per </w:t>
      </w:r>
      <w:r>
        <w:rPr>
          <w:spacing w:val="-3"/>
        </w:rPr>
        <w:t xml:space="preserve">year </w:t>
      </w:r>
      <w:r>
        <w:t>x 5</w:t>
      </w:r>
      <w:r>
        <w:rPr>
          <w:spacing w:val="-7"/>
        </w:rPr>
        <w:t xml:space="preserve"> </w:t>
      </w:r>
      <w:r>
        <w:t>minutes</w:t>
      </w:r>
    </w:p>
    <w:p w:rsidR="00323633" w:rsidRDefault="00CC0D3C">
      <w:pPr>
        <w:pStyle w:val="BodyText"/>
        <w:spacing w:line="247" w:lineRule="auto"/>
        <w:ind w:left="820" w:right="115"/>
      </w:pPr>
      <w:r>
        <w:t>/ 60 minutes x 11,930 – 13,577 HHAs). The cost of this requirement is $28,107,080 – 31,987,412 (1,479,320 - 1,683,548 hours x $19).</w:t>
      </w:r>
    </w:p>
    <w:p w:rsidR="00323633" w:rsidRDefault="00323633">
      <w:pPr>
        <w:pStyle w:val="BodyText"/>
        <w:rPr>
          <w:sz w:val="26"/>
        </w:rPr>
      </w:pPr>
    </w:p>
    <w:p w:rsidR="00323633" w:rsidRDefault="00323633">
      <w:pPr>
        <w:pStyle w:val="BodyText"/>
        <w:spacing w:before="10"/>
        <w:rPr>
          <w:sz w:val="22"/>
        </w:rPr>
      </w:pPr>
    </w:p>
    <w:p w:rsidR="00323633" w:rsidRDefault="00CC0D3C">
      <w:pPr>
        <w:pStyle w:val="ListParagraph"/>
        <w:numPr>
          <w:ilvl w:val="0"/>
          <w:numId w:val="2"/>
        </w:numPr>
        <w:tabs>
          <w:tab w:val="left" w:pos="819"/>
          <w:tab w:val="left" w:pos="820"/>
        </w:tabs>
        <w:spacing w:line="244" w:lineRule="auto"/>
        <w:ind w:left="820" w:right="2339"/>
        <w:rPr>
          <w:sz w:val="24"/>
        </w:rPr>
      </w:pPr>
      <w:r>
        <w:rPr>
          <w:sz w:val="24"/>
        </w:rPr>
        <w:t>§484.20 Condition of participation: Reporting OASIS</w:t>
      </w:r>
      <w:r>
        <w:rPr>
          <w:spacing w:val="-20"/>
          <w:sz w:val="24"/>
        </w:rPr>
        <w:t xml:space="preserve"> </w:t>
      </w:r>
      <w:r>
        <w:rPr>
          <w:sz w:val="24"/>
        </w:rPr>
        <w:t>information. CMS-R-209: Approved by OMB (OMB Control #:</w:t>
      </w:r>
      <w:r>
        <w:rPr>
          <w:spacing w:val="-22"/>
          <w:sz w:val="24"/>
        </w:rPr>
        <w:t xml:space="preserve"> </w:t>
      </w:r>
      <w:r>
        <w:rPr>
          <w:sz w:val="24"/>
        </w:rPr>
        <w:t>0938-0760)</w:t>
      </w:r>
    </w:p>
    <w:p w:rsidR="00323633" w:rsidRDefault="00323633">
      <w:pPr>
        <w:pStyle w:val="BodyText"/>
        <w:spacing w:before="8"/>
      </w:pPr>
    </w:p>
    <w:p w:rsidR="00323633" w:rsidRDefault="00CC0D3C">
      <w:pPr>
        <w:pStyle w:val="BodyText"/>
        <w:spacing w:line="247" w:lineRule="auto"/>
        <w:ind w:left="820" w:right="115"/>
      </w:pPr>
      <w:r>
        <w:t>The requirements under §484.30, §484.32, §484.34 and §484.38 are intended to ensure quality of care, and are commonly accepted as good medical practice, and therefore impose no burden on HHAs as they would be performed even in the absence of Federal regulations.</w:t>
      </w:r>
    </w:p>
    <w:p w:rsidR="00323633" w:rsidRDefault="00323633">
      <w:pPr>
        <w:pStyle w:val="BodyText"/>
        <w:spacing w:before="3"/>
      </w:pPr>
    </w:p>
    <w:p w:rsidR="00323633" w:rsidRDefault="00CC0D3C">
      <w:pPr>
        <w:pStyle w:val="ListParagraph"/>
        <w:numPr>
          <w:ilvl w:val="0"/>
          <w:numId w:val="2"/>
        </w:numPr>
        <w:tabs>
          <w:tab w:val="left" w:pos="819"/>
          <w:tab w:val="left" w:pos="820"/>
        </w:tabs>
        <w:ind w:left="820"/>
        <w:rPr>
          <w:sz w:val="24"/>
        </w:rPr>
      </w:pPr>
      <w:r>
        <w:rPr>
          <w:sz w:val="24"/>
        </w:rPr>
        <w:t>§</w:t>
      </w:r>
      <w:proofErr w:type="gramStart"/>
      <w:r>
        <w:rPr>
          <w:sz w:val="24"/>
        </w:rPr>
        <w:t>484.36  Condition</w:t>
      </w:r>
      <w:proofErr w:type="gramEnd"/>
      <w:r>
        <w:rPr>
          <w:sz w:val="24"/>
        </w:rPr>
        <w:t xml:space="preserve"> of participation: Home health aide</w:t>
      </w:r>
      <w:r>
        <w:rPr>
          <w:spacing w:val="-15"/>
          <w:sz w:val="24"/>
        </w:rPr>
        <w:t xml:space="preserve"> </w:t>
      </w:r>
      <w:r>
        <w:rPr>
          <w:sz w:val="24"/>
        </w:rPr>
        <w:t>services.</w:t>
      </w:r>
    </w:p>
    <w:p w:rsidR="00323633" w:rsidRDefault="00323633">
      <w:pPr>
        <w:pStyle w:val="BodyText"/>
        <w:spacing w:before="2"/>
        <w:rPr>
          <w:sz w:val="25"/>
        </w:rPr>
      </w:pPr>
    </w:p>
    <w:p w:rsidR="00323633" w:rsidRDefault="00CC0D3C">
      <w:pPr>
        <w:pStyle w:val="BodyText"/>
        <w:spacing w:line="247" w:lineRule="auto"/>
        <w:ind w:left="820" w:right="381"/>
        <w:jc w:val="both"/>
      </w:pPr>
      <w:r>
        <w:t>The</w:t>
      </w:r>
      <w:r>
        <w:rPr>
          <w:spacing w:val="-4"/>
        </w:rPr>
        <w:t xml:space="preserve"> </w:t>
      </w:r>
      <w:r>
        <w:t>requirements</w:t>
      </w:r>
      <w:r>
        <w:rPr>
          <w:spacing w:val="-3"/>
        </w:rPr>
        <w:t xml:space="preserve"> </w:t>
      </w:r>
      <w:r>
        <w:t>in</w:t>
      </w:r>
      <w:r>
        <w:rPr>
          <w:spacing w:val="-3"/>
        </w:rPr>
        <w:t xml:space="preserve"> </w:t>
      </w:r>
      <w:r>
        <w:t>paragraphs</w:t>
      </w:r>
      <w:r>
        <w:rPr>
          <w:spacing w:val="-3"/>
        </w:rPr>
        <w:t xml:space="preserve"> </w:t>
      </w:r>
      <w:r>
        <w:t>(a)</w:t>
      </w:r>
      <w:r>
        <w:rPr>
          <w:spacing w:val="-4"/>
        </w:rPr>
        <w:t xml:space="preserve"> </w:t>
      </w:r>
      <w:r>
        <w:t>and</w:t>
      </w:r>
      <w:r>
        <w:rPr>
          <w:spacing w:val="-3"/>
        </w:rPr>
        <w:t xml:space="preserve"> </w:t>
      </w:r>
      <w:r>
        <w:t>(b)</w:t>
      </w:r>
      <w:r>
        <w:rPr>
          <w:spacing w:val="-4"/>
        </w:rPr>
        <w:t xml:space="preserve"> </w:t>
      </w:r>
      <w:r>
        <w:t>directly</w:t>
      </w:r>
      <w:r>
        <w:rPr>
          <w:spacing w:val="-11"/>
        </w:rPr>
        <w:t xml:space="preserve"> </w:t>
      </w:r>
      <w:r>
        <w:t>mirror</w:t>
      </w:r>
      <w:r>
        <w:rPr>
          <w:spacing w:val="-4"/>
        </w:rPr>
        <w:t xml:space="preserve"> </w:t>
      </w:r>
      <w:r>
        <w:t>the</w:t>
      </w:r>
      <w:r>
        <w:rPr>
          <w:spacing w:val="-4"/>
        </w:rPr>
        <w:t xml:space="preserve"> </w:t>
      </w:r>
      <w:r>
        <w:t>statutory</w:t>
      </w:r>
      <w:r>
        <w:rPr>
          <w:spacing w:val="-11"/>
        </w:rPr>
        <w:t xml:space="preserve"> </w:t>
      </w:r>
      <w:r>
        <w:t>requirements</w:t>
      </w:r>
      <w:r>
        <w:rPr>
          <w:spacing w:val="-3"/>
        </w:rPr>
        <w:t xml:space="preserve"> </w:t>
      </w:r>
      <w:r>
        <w:t>of section 4021 of OBRA '87. The requirements of paragraph (c) implements supervisory requirements found in section 1861(o) of the Act. Paragraph (a) imposes no additional burden as this documentation will be included in the personnel record as required</w:t>
      </w:r>
      <w:r>
        <w:rPr>
          <w:spacing w:val="-22"/>
        </w:rPr>
        <w:t xml:space="preserve"> </w:t>
      </w:r>
      <w:r>
        <w:t>in</w:t>
      </w:r>
    </w:p>
    <w:p w:rsidR="00323633" w:rsidRDefault="00CC0D3C">
      <w:pPr>
        <w:pStyle w:val="BodyText"/>
        <w:spacing w:line="275" w:lineRule="exact"/>
        <w:ind w:left="820"/>
      </w:pPr>
      <w:r>
        <w:t>§484.14(e).</w:t>
      </w:r>
    </w:p>
    <w:p w:rsidR="00323633" w:rsidRDefault="00323633">
      <w:pPr>
        <w:pStyle w:val="BodyText"/>
        <w:spacing w:before="2"/>
        <w:rPr>
          <w:sz w:val="25"/>
        </w:rPr>
      </w:pPr>
    </w:p>
    <w:p w:rsidR="00323633" w:rsidRDefault="00CC0D3C">
      <w:pPr>
        <w:pStyle w:val="BodyText"/>
        <w:spacing w:before="1" w:line="247" w:lineRule="auto"/>
        <w:ind w:left="820" w:right="222"/>
      </w:pPr>
      <w:r>
        <w:t>Paragraph (b) imposes a one-time burden (to develop competency evaluation) on any newly certified agencies. We estimate that it will require approximately 3 hours for each newly certified HHA to formulate this evaluation (although this figure may be much lower in practice if agencies chose to adopt standardized evaluation forms). Maintaining documentation that demonstrates that each aide has met the evaluation requirements imposes no burden as this information will be retained in personnel records. Developing the competency evaluation imposes a burden of 1,647 hours (3 hours x 549 estimated</w:t>
      </w:r>
    </w:p>
    <w:p w:rsidR="00323633" w:rsidRDefault="00323633">
      <w:pPr>
        <w:spacing w:line="247" w:lineRule="auto"/>
        <w:sectPr w:rsidR="00323633">
          <w:headerReference w:type="default" r:id="rId8"/>
          <w:pgSz w:w="12240" w:h="15840"/>
          <w:pgMar w:top="1380" w:right="1320" w:bottom="280" w:left="1340" w:header="0" w:footer="0" w:gutter="0"/>
          <w:cols w:space="720"/>
        </w:sectPr>
      </w:pPr>
    </w:p>
    <w:p w:rsidR="00323633" w:rsidRDefault="00CC0D3C">
      <w:pPr>
        <w:pStyle w:val="BodyText"/>
        <w:spacing w:before="61"/>
        <w:ind w:left="4890"/>
      </w:pPr>
      <w:r>
        <w:lastRenderedPageBreak/>
        <w:t>CMS-R-39, OMB Control # 0938-0365, Page 8</w:t>
      </w:r>
    </w:p>
    <w:p w:rsidR="00323633" w:rsidRDefault="00323633">
      <w:pPr>
        <w:pStyle w:val="BodyText"/>
        <w:spacing w:before="5"/>
        <w:rPr>
          <w:sz w:val="21"/>
        </w:rPr>
      </w:pPr>
    </w:p>
    <w:p w:rsidR="00323633" w:rsidRDefault="00CC0D3C">
      <w:pPr>
        <w:pStyle w:val="BodyText"/>
        <w:ind w:left="820"/>
      </w:pPr>
      <w:proofErr w:type="gramStart"/>
      <w:r>
        <w:t>new</w:t>
      </w:r>
      <w:proofErr w:type="gramEnd"/>
      <w:r>
        <w:t xml:space="preserve"> HHAs) in any given year. The cost of this requirement is $98,820 (1,647 hours x</w:t>
      </w:r>
    </w:p>
    <w:p w:rsidR="00323633" w:rsidRDefault="00CC0D3C">
      <w:pPr>
        <w:pStyle w:val="BodyText"/>
        <w:spacing w:before="7"/>
        <w:ind w:left="820"/>
      </w:pPr>
      <w:r>
        <w:t>$60)</w:t>
      </w:r>
    </w:p>
    <w:p w:rsidR="00323633" w:rsidRDefault="00323633">
      <w:pPr>
        <w:pStyle w:val="BodyText"/>
        <w:spacing w:before="2"/>
        <w:rPr>
          <w:sz w:val="25"/>
        </w:rPr>
      </w:pPr>
    </w:p>
    <w:p w:rsidR="00323633" w:rsidRDefault="00CC0D3C">
      <w:pPr>
        <w:pStyle w:val="BodyText"/>
        <w:spacing w:before="1" w:line="247" w:lineRule="auto"/>
        <w:ind w:left="820" w:right="115"/>
      </w:pPr>
      <w:r>
        <w:t xml:space="preserve">Paragraph (c) imposes a burden of approximately 3 minutes for each newly admitted patient that receives aide care, for a total of 887,592 – 1,010,129 hours annually. (1,488 admits/year x 3 minutes x 11,930 – 13,577 HHAs/ 60). The total annual cost burden for this </w:t>
      </w:r>
      <w:proofErr w:type="spellStart"/>
      <w:r>
        <w:t>CoP</w:t>
      </w:r>
      <w:proofErr w:type="spellEnd"/>
      <w:r>
        <w:t xml:space="preserve"> is estimated at $40,829,232 – 46,465,934 (887,592 -1,010,129 hours x</w:t>
      </w:r>
    </w:p>
    <w:p w:rsidR="00323633" w:rsidRDefault="00CC0D3C">
      <w:pPr>
        <w:pStyle w:val="BodyText"/>
        <w:spacing w:line="275" w:lineRule="exact"/>
        <w:ind w:left="820"/>
      </w:pPr>
      <w:r>
        <w:t>$46/hour).</w:t>
      </w:r>
    </w:p>
    <w:p w:rsidR="00323633" w:rsidRDefault="00323633">
      <w:pPr>
        <w:pStyle w:val="BodyText"/>
        <w:spacing w:before="2"/>
        <w:rPr>
          <w:sz w:val="25"/>
        </w:rPr>
      </w:pPr>
    </w:p>
    <w:p w:rsidR="00323633" w:rsidRDefault="00CC0D3C">
      <w:pPr>
        <w:pStyle w:val="BodyText"/>
        <w:spacing w:before="1" w:line="247" w:lineRule="auto"/>
        <w:ind w:left="820" w:right="115"/>
      </w:pPr>
      <w:r>
        <w:t xml:space="preserve">The total annual burden for all provisions within this </w:t>
      </w:r>
      <w:proofErr w:type="spellStart"/>
      <w:r>
        <w:t>CoP</w:t>
      </w:r>
      <w:proofErr w:type="spellEnd"/>
      <w:r>
        <w:t xml:space="preserve"> is 889,239 – 1,011,776 hours (1,647 hours + 887,592 – 1,010,129 hours).  The total annual cost burden is $40,928,052</w:t>
      </w:r>
    </w:p>
    <w:p w:rsidR="00323633" w:rsidRDefault="00CC0D3C">
      <w:pPr>
        <w:pStyle w:val="BodyText"/>
        <w:spacing w:line="275" w:lineRule="exact"/>
        <w:ind w:left="820"/>
      </w:pPr>
      <w:r>
        <w:t>– 46,564,754 ($98,820 + $40,829,232 – 46,465,934).</w:t>
      </w:r>
    </w:p>
    <w:p w:rsidR="00323633" w:rsidRDefault="00323633">
      <w:pPr>
        <w:pStyle w:val="BodyText"/>
        <w:spacing w:before="11"/>
      </w:pPr>
    </w:p>
    <w:p w:rsidR="00323633" w:rsidRDefault="00CC0D3C">
      <w:pPr>
        <w:pStyle w:val="ListParagraph"/>
        <w:numPr>
          <w:ilvl w:val="0"/>
          <w:numId w:val="2"/>
        </w:numPr>
        <w:tabs>
          <w:tab w:val="left" w:pos="819"/>
          <w:tab w:val="left" w:pos="820"/>
        </w:tabs>
        <w:ind w:left="820"/>
        <w:rPr>
          <w:sz w:val="24"/>
        </w:rPr>
      </w:pPr>
      <w:r>
        <w:rPr>
          <w:sz w:val="24"/>
        </w:rPr>
        <w:t>§484.48 Condition of participation: Clinical</w:t>
      </w:r>
      <w:r>
        <w:rPr>
          <w:spacing w:val="-11"/>
          <w:sz w:val="24"/>
        </w:rPr>
        <w:t xml:space="preserve"> </w:t>
      </w:r>
      <w:r>
        <w:rPr>
          <w:sz w:val="24"/>
        </w:rPr>
        <w:t>records.</w:t>
      </w:r>
    </w:p>
    <w:p w:rsidR="00323633" w:rsidRDefault="00323633">
      <w:pPr>
        <w:pStyle w:val="BodyText"/>
        <w:spacing w:before="1"/>
        <w:rPr>
          <w:sz w:val="25"/>
        </w:rPr>
      </w:pPr>
    </w:p>
    <w:p w:rsidR="00323633" w:rsidRDefault="00CC0D3C">
      <w:pPr>
        <w:pStyle w:val="BodyText"/>
        <w:spacing w:line="247" w:lineRule="auto"/>
        <w:ind w:left="820" w:right="129"/>
      </w:pPr>
      <w:r>
        <w:t>This section contains provisions that are specifically required in section 1861(o) of the Act and are necessary to the preservation of a patient’s privacy and quality of care. The requirements of this section state that a clinical record containing pertinent past and current findings is maintained for every patient receiving home health services. Clinical records are retained for 5 years after the month the cost report to which the records apply is filed with the intermediary. The HHA must have written procedures which govern the use and removal of records and conditions for release of information. The requirement that a clinical record be maintained is generally considered to be good medical practice, and therefore, imposes no burden.</w:t>
      </w:r>
    </w:p>
    <w:p w:rsidR="00323633" w:rsidRDefault="00323633">
      <w:pPr>
        <w:pStyle w:val="BodyText"/>
        <w:spacing w:before="5"/>
      </w:pPr>
    </w:p>
    <w:p w:rsidR="00323633" w:rsidRDefault="00CC0D3C">
      <w:pPr>
        <w:pStyle w:val="BodyText"/>
        <w:spacing w:before="1" w:line="247" w:lineRule="auto"/>
        <w:ind w:left="820"/>
      </w:pPr>
      <w:r>
        <w:t xml:space="preserve">There is a minimal burden associated with the retention of clinical records as this merely entails the filing of a copy of the record. The annual burden associated with this </w:t>
      </w:r>
      <w:proofErr w:type="spellStart"/>
      <w:r>
        <w:t>CoP</w:t>
      </w:r>
      <w:proofErr w:type="spellEnd"/>
      <w:r>
        <w:t xml:space="preserve"> is estimated as 3 minutes per patient. Therefore the estimated annual burden for this requirement is 887,592 – 1,010,129 hours (1,488 patients x 3 minutes x 11,930 – 13,577 HHAs / 60 minutes). The cost of this requirement is $16,773,580 – 19,192,451 (882,820 - 1,010,129 hours x $19).</w:t>
      </w:r>
    </w:p>
    <w:p w:rsidR="00323633" w:rsidRDefault="00323633">
      <w:pPr>
        <w:pStyle w:val="BodyText"/>
        <w:spacing w:before="6"/>
      </w:pPr>
    </w:p>
    <w:p w:rsidR="00323633" w:rsidRDefault="00CC0D3C">
      <w:pPr>
        <w:pStyle w:val="BodyText"/>
        <w:spacing w:line="247" w:lineRule="auto"/>
        <w:ind w:left="820" w:right="63"/>
      </w:pPr>
      <w:r>
        <w:t xml:space="preserve">The requirement that HHAs develop written procedures governing use of records imposes a </w:t>
      </w:r>
      <w:proofErr w:type="spellStart"/>
      <w:r>
        <w:t>one time</w:t>
      </w:r>
      <w:proofErr w:type="spellEnd"/>
      <w:r>
        <w:t xml:space="preserve"> burden of 15 minutes on any newly certified HHA for an estimated burden of 137 hours (549 estimated new HHAs x 15 minutes / 60 minutes) at a cost of $8,220 (137 hours x $60) in any given year.</w:t>
      </w:r>
    </w:p>
    <w:p w:rsidR="00323633" w:rsidRDefault="00323633">
      <w:pPr>
        <w:pStyle w:val="BodyText"/>
        <w:spacing w:before="3"/>
      </w:pPr>
    </w:p>
    <w:p w:rsidR="00323633" w:rsidRDefault="00CC0D3C">
      <w:pPr>
        <w:pStyle w:val="ListParagraph"/>
        <w:numPr>
          <w:ilvl w:val="0"/>
          <w:numId w:val="2"/>
        </w:numPr>
        <w:tabs>
          <w:tab w:val="left" w:pos="819"/>
          <w:tab w:val="left" w:pos="820"/>
        </w:tabs>
        <w:ind w:left="820"/>
        <w:rPr>
          <w:sz w:val="24"/>
        </w:rPr>
      </w:pPr>
      <w:r>
        <w:rPr>
          <w:sz w:val="24"/>
        </w:rPr>
        <w:t>§484.52 Condition of participation: Evaluation of the agency’s</w:t>
      </w:r>
      <w:r>
        <w:rPr>
          <w:spacing w:val="-30"/>
          <w:sz w:val="24"/>
        </w:rPr>
        <w:t xml:space="preserve"> </w:t>
      </w:r>
      <w:r>
        <w:rPr>
          <w:sz w:val="24"/>
        </w:rPr>
        <w:t>program.</w:t>
      </w:r>
    </w:p>
    <w:p w:rsidR="00323633" w:rsidRDefault="00323633">
      <w:pPr>
        <w:pStyle w:val="BodyText"/>
        <w:spacing w:before="2"/>
        <w:rPr>
          <w:sz w:val="25"/>
        </w:rPr>
      </w:pPr>
    </w:p>
    <w:p w:rsidR="00323633" w:rsidRDefault="00CC0D3C">
      <w:pPr>
        <w:pStyle w:val="BodyText"/>
        <w:spacing w:line="247" w:lineRule="auto"/>
        <w:ind w:left="820" w:right="115"/>
      </w:pPr>
      <w:r>
        <w:t>The HHA has a written policy requiring an overall evaluation of the agency’s total program at least once a year by the professional group, staff, and consumers. The evaluation consists of an overall policy, administration, and clinical record review. The requirements of this section are necessary to ensure responsible management,</w:t>
      </w:r>
    </w:p>
    <w:p w:rsidR="00323633" w:rsidRDefault="00323633">
      <w:pPr>
        <w:spacing w:line="247" w:lineRule="auto"/>
        <w:sectPr w:rsidR="00323633">
          <w:headerReference w:type="default" r:id="rId9"/>
          <w:pgSz w:w="12240" w:h="15840"/>
          <w:pgMar w:top="1380" w:right="1320" w:bottom="280" w:left="1340" w:header="0" w:footer="0" w:gutter="0"/>
          <w:cols w:space="720"/>
        </w:sectPr>
      </w:pPr>
    </w:p>
    <w:p w:rsidR="00323633" w:rsidRDefault="00CC0D3C">
      <w:pPr>
        <w:pStyle w:val="BodyText"/>
        <w:spacing w:before="61"/>
        <w:ind w:left="4910"/>
      </w:pPr>
      <w:r>
        <w:lastRenderedPageBreak/>
        <w:t>CMS-R-39, OMB Control # 0938-0365, Page 9</w:t>
      </w:r>
    </w:p>
    <w:p w:rsidR="00323633" w:rsidRDefault="00323633">
      <w:pPr>
        <w:pStyle w:val="BodyText"/>
        <w:spacing w:before="5"/>
        <w:rPr>
          <w:sz w:val="21"/>
        </w:rPr>
      </w:pPr>
    </w:p>
    <w:p w:rsidR="00323633" w:rsidRDefault="00CC0D3C">
      <w:pPr>
        <w:pStyle w:val="BodyText"/>
        <w:spacing w:line="247" w:lineRule="auto"/>
        <w:ind w:left="840" w:right="155"/>
      </w:pPr>
      <w:proofErr w:type="gramStart"/>
      <w:r>
        <w:t>professional</w:t>
      </w:r>
      <w:proofErr w:type="gramEnd"/>
      <w:r>
        <w:t xml:space="preserve"> oversight, and quality of care in HHAs. The estimated burdens for this </w:t>
      </w:r>
      <w:proofErr w:type="spellStart"/>
      <w:r>
        <w:t>CoP</w:t>
      </w:r>
      <w:proofErr w:type="spellEnd"/>
      <w:r>
        <w:t xml:space="preserve"> are associated with the following requirements:  1) the development of a written policy;</w:t>
      </w:r>
    </w:p>
    <w:p w:rsidR="00323633" w:rsidRDefault="00CC0D3C">
      <w:pPr>
        <w:pStyle w:val="BodyText"/>
        <w:spacing w:line="247" w:lineRule="auto"/>
        <w:ind w:left="840" w:right="109"/>
      </w:pPr>
      <w:r>
        <w:t>2) minutes kept of the annual meeting; 3) a mechanism established in writing for the collection of data to assist in the evaluation of the agency’s program; and 4) minutes kept of the quarterly review of clinical files when the appropriate health professionals review a sample of open and closed clinical files to determine that established policies are followed.</w:t>
      </w:r>
    </w:p>
    <w:p w:rsidR="00323633" w:rsidRDefault="00323633">
      <w:pPr>
        <w:pStyle w:val="BodyText"/>
        <w:spacing w:before="7"/>
      </w:pPr>
    </w:p>
    <w:p w:rsidR="00323633" w:rsidRDefault="00CC0D3C">
      <w:pPr>
        <w:pStyle w:val="BodyText"/>
        <w:spacing w:line="247" w:lineRule="auto"/>
        <w:ind w:left="840" w:right="131"/>
      </w:pPr>
      <w:r>
        <w:t xml:space="preserve">The development of a written policy governing the annual program evaluation imposes as one-time burden of 3 hours on each newly certified HHA. The annual meeting can be evidenced by a copy of the minutes of the meeting, which we estimate will require 10 minutes for each HHA to develop. Written mechanisms for the collection of program information will impose a one-time burden of 30 minutes on each newly certified HHA. The quarterly review of clinical files can be evidenced by the minutes of the meeting. We estimate that this will impose a quarterly burden of approximately 10 minutes on each HHA.  The burden for this </w:t>
      </w:r>
      <w:proofErr w:type="spellStart"/>
      <w:r>
        <w:t>CoP</w:t>
      </w:r>
      <w:proofErr w:type="spellEnd"/>
      <w:r>
        <w:t xml:space="preserve"> is four-fold as indicated below.</w:t>
      </w:r>
    </w:p>
    <w:p w:rsidR="00323633" w:rsidRDefault="00323633">
      <w:pPr>
        <w:pStyle w:val="BodyText"/>
        <w:spacing w:before="6"/>
      </w:pPr>
    </w:p>
    <w:p w:rsidR="00323633" w:rsidRDefault="00CC0D3C">
      <w:pPr>
        <w:pStyle w:val="ListParagraph"/>
        <w:numPr>
          <w:ilvl w:val="0"/>
          <w:numId w:val="1"/>
        </w:numPr>
        <w:tabs>
          <w:tab w:val="left" w:pos="1160"/>
        </w:tabs>
        <w:ind w:firstLine="0"/>
        <w:rPr>
          <w:sz w:val="24"/>
        </w:rPr>
      </w:pPr>
      <w:r>
        <w:rPr>
          <w:sz w:val="24"/>
        </w:rPr>
        <w:t>Development of a written</w:t>
      </w:r>
      <w:r>
        <w:rPr>
          <w:spacing w:val="-18"/>
          <w:sz w:val="24"/>
        </w:rPr>
        <w:t xml:space="preserve"> </w:t>
      </w:r>
      <w:r>
        <w:rPr>
          <w:sz w:val="24"/>
        </w:rPr>
        <w:t>policy:</w:t>
      </w:r>
    </w:p>
    <w:p w:rsidR="00323633" w:rsidRDefault="00CC0D3C">
      <w:pPr>
        <w:pStyle w:val="BodyText"/>
        <w:spacing w:before="7" w:line="247" w:lineRule="auto"/>
        <w:ind w:left="840" w:right="4404"/>
      </w:pPr>
      <w:r>
        <w:t>3 hours x 549 new HHAs = 1,647 hours 1,647 hours x $60 = $98,820</w:t>
      </w:r>
    </w:p>
    <w:p w:rsidR="00323633" w:rsidRDefault="00323633">
      <w:pPr>
        <w:pStyle w:val="BodyText"/>
        <w:spacing w:before="6"/>
      </w:pPr>
    </w:p>
    <w:p w:rsidR="00323633" w:rsidRDefault="00CC0D3C">
      <w:pPr>
        <w:pStyle w:val="ListParagraph"/>
        <w:numPr>
          <w:ilvl w:val="0"/>
          <w:numId w:val="1"/>
        </w:numPr>
        <w:tabs>
          <w:tab w:val="left" w:pos="1160"/>
        </w:tabs>
        <w:ind w:left="1159" w:hanging="319"/>
        <w:rPr>
          <w:sz w:val="24"/>
        </w:rPr>
      </w:pPr>
      <w:r>
        <w:rPr>
          <w:sz w:val="24"/>
        </w:rPr>
        <w:t>Annual meeting</w:t>
      </w:r>
      <w:r>
        <w:rPr>
          <w:spacing w:val="-8"/>
          <w:sz w:val="24"/>
        </w:rPr>
        <w:t xml:space="preserve"> </w:t>
      </w:r>
      <w:r>
        <w:rPr>
          <w:sz w:val="24"/>
        </w:rPr>
        <w:t>minutes:</w:t>
      </w:r>
    </w:p>
    <w:p w:rsidR="00323633" w:rsidRDefault="00CC0D3C">
      <w:pPr>
        <w:pStyle w:val="BodyText"/>
        <w:spacing w:before="7"/>
        <w:ind w:left="840"/>
      </w:pPr>
      <w:r>
        <w:t>11,930-13,577 HHAs x 10 minutes / 60 = 1,988 – 2,263 hours</w:t>
      </w:r>
    </w:p>
    <w:p w:rsidR="00323633" w:rsidRDefault="00CC0D3C">
      <w:pPr>
        <w:pStyle w:val="BodyText"/>
        <w:spacing w:before="7"/>
        <w:ind w:left="840"/>
      </w:pPr>
      <w:r>
        <w:t>1,988 - 2,263 hours x $19 = $37,772 – 42,997</w:t>
      </w:r>
    </w:p>
    <w:p w:rsidR="00323633" w:rsidRDefault="00323633">
      <w:pPr>
        <w:pStyle w:val="BodyText"/>
        <w:spacing w:before="2"/>
        <w:rPr>
          <w:sz w:val="25"/>
        </w:rPr>
      </w:pPr>
    </w:p>
    <w:p w:rsidR="00323633" w:rsidRDefault="00CC0D3C">
      <w:pPr>
        <w:pStyle w:val="ListParagraph"/>
        <w:numPr>
          <w:ilvl w:val="0"/>
          <w:numId w:val="1"/>
        </w:numPr>
        <w:tabs>
          <w:tab w:val="left" w:pos="1160"/>
        </w:tabs>
        <w:spacing w:line="247" w:lineRule="auto"/>
        <w:ind w:right="2374" w:firstLine="0"/>
        <w:rPr>
          <w:sz w:val="24"/>
        </w:rPr>
      </w:pPr>
      <w:r>
        <w:rPr>
          <w:sz w:val="24"/>
        </w:rPr>
        <w:t>Written mechanisms for the collection of program</w:t>
      </w:r>
      <w:r>
        <w:rPr>
          <w:spacing w:val="-19"/>
          <w:sz w:val="24"/>
        </w:rPr>
        <w:t xml:space="preserve"> </w:t>
      </w:r>
      <w:r>
        <w:rPr>
          <w:sz w:val="24"/>
        </w:rPr>
        <w:t>information: 30 minutes x 549 new HHAs / 60 = 275</w:t>
      </w:r>
      <w:r>
        <w:rPr>
          <w:spacing w:val="-7"/>
          <w:sz w:val="24"/>
        </w:rPr>
        <w:t xml:space="preserve"> </w:t>
      </w:r>
      <w:r>
        <w:rPr>
          <w:sz w:val="24"/>
        </w:rPr>
        <w:t>hours</w:t>
      </w:r>
    </w:p>
    <w:p w:rsidR="00323633" w:rsidRDefault="00CC0D3C">
      <w:pPr>
        <w:pStyle w:val="BodyText"/>
        <w:spacing w:line="275" w:lineRule="exact"/>
        <w:ind w:left="840"/>
      </w:pPr>
      <w:r>
        <w:t>275 hours x $60 = $16,500</w:t>
      </w:r>
    </w:p>
    <w:p w:rsidR="00323633" w:rsidRDefault="00323633">
      <w:pPr>
        <w:pStyle w:val="BodyText"/>
        <w:spacing w:before="3"/>
        <w:rPr>
          <w:sz w:val="25"/>
        </w:rPr>
      </w:pPr>
    </w:p>
    <w:p w:rsidR="00323633" w:rsidRDefault="00CC0D3C">
      <w:pPr>
        <w:pStyle w:val="ListParagraph"/>
        <w:numPr>
          <w:ilvl w:val="0"/>
          <w:numId w:val="1"/>
        </w:numPr>
        <w:tabs>
          <w:tab w:val="left" w:pos="1160"/>
        </w:tabs>
        <w:ind w:left="1159" w:hanging="319"/>
        <w:rPr>
          <w:sz w:val="24"/>
        </w:rPr>
      </w:pPr>
      <w:r>
        <w:rPr>
          <w:sz w:val="24"/>
        </w:rPr>
        <w:t>Minutes of Quarterly review of clinical</w:t>
      </w:r>
      <w:r>
        <w:rPr>
          <w:spacing w:val="-25"/>
          <w:sz w:val="24"/>
        </w:rPr>
        <w:t xml:space="preserve"> </w:t>
      </w:r>
      <w:r>
        <w:rPr>
          <w:sz w:val="24"/>
        </w:rPr>
        <w:t>files:</w:t>
      </w:r>
    </w:p>
    <w:p w:rsidR="00323633" w:rsidRDefault="00CC0D3C">
      <w:pPr>
        <w:pStyle w:val="BodyText"/>
        <w:spacing w:before="6" w:line="247" w:lineRule="auto"/>
        <w:ind w:left="839" w:right="1679"/>
      </w:pPr>
      <w:r>
        <w:t>11,930-13,577 HHAs x 10 minutes x 4 quarters / 60 = 7,953- 9,051 hours 7,953 – 9,051 hours x $19 = $151,107 - 171,969</w:t>
      </w:r>
    </w:p>
    <w:p w:rsidR="00323633" w:rsidRDefault="00323633">
      <w:pPr>
        <w:pStyle w:val="BodyText"/>
        <w:spacing w:before="5"/>
      </w:pPr>
    </w:p>
    <w:p w:rsidR="00323633" w:rsidRDefault="00CC0D3C">
      <w:pPr>
        <w:pStyle w:val="BodyText"/>
        <w:spacing w:before="1" w:line="247" w:lineRule="auto"/>
        <w:ind w:left="839" w:right="2899"/>
      </w:pPr>
      <w:r>
        <w:t xml:space="preserve">Total estimated burden for this </w:t>
      </w:r>
      <w:proofErr w:type="spellStart"/>
      <w:r>
        <w:t>CoP</w:t>
      </w:r>
      <w:proofErr w:type="spellEnd"/>
      <w:r>
        <w:t xml:space="preserve"> = 11,863 – 13,236 hours Total estimated cost for this </w:t>
      </w:r>
      <w:proofErr w:type="spellStart"/>
      <w:r>
        <w:t>CoP</w:t>
      </w:r>
      <w:proofErr w:type="spellEnd"/>
      <w:r>
        <w:t xml:space="preserve"> = $304,199 – 330,286</w:t>
      </w:r>
    </w:p>
    <w:p w:rsidR="00323633" w:rsidRDefault="00323633">
      <w:pPr>
        <w:pStyle w:val="BodyText"/>
        <w:spacing w:before="3"/>
      </w:pPr>
    </w:p>
    <w:p w:rsidR="00323633" w:rsidRDefault="00CC0D3C">
      <w:pPr>
        <w:pStyle w:val="ListParagraph"/>
        <w:numPr>
          <w:ilvl w:val="0"/>
          <w:numId w:val="2"/>
        </w:numPr>
        <w:tabs>
          <w:tab w:val="left" w:pos="839"/>
          <w:tab w:val="left" w:pos="840"/>
        </w:tabs>
        <w:rPr>
          <w:sz w:val="24"/>
        </w:rPr>
      </w:pPr>
      <w:r>
        <w:rPr>
          <w:sz w:val="24"/>
        </w:rPr>
        <w:t>§484.55 Condition of participation: Comprehensive assessment of</w:t>
      </w:r>
      <w:r>
        <w:rPr>
          <w:spacing w:val="-15"/>
          <w:sz w:val="24"/>
        </w:rPr>
        <w:t xml:space="preserve"> </w:t>
      </w:r>
      <w:r>
        <w:rPr>
          <w:sz w:val="24"/>
        </w:rPr>
        <w:t>patients.</w:t>
      </w:r>
    </w:p>
    <w:p w:rsidR="00323633" w:rsidRDefault="00323633">
      <w:pPr>
        <w:pStyle w:val="BodyText"/>
        <w:spacing w:before="1"/>
        <w:rPr>
          <w:sz w:val="25"/>
        </w:rPr>
      </w:pPr>
    </w:p>
    <w:p w:rsidR="00323633" w:rsidRDefault="00CC0D3C">
      <w:pPr>
        <w:pStyle w:val="BodyText"/>
        <w:spacing w:line="491" w:lineRule="auto"/>
        <w:ind w:left="119" w:right="2187" w:firstLine="720"/>
      </w:pPr>
      <w:r>
        <w:t>CMS-R-245: Approved by OMB (OMB Control #: 0938-0760) Total Burden Estimate</w:t>
      </w:r>
    </w:p>
    <w:p w:rsidR="00323633" w:rsidRDefault="00CC0D3C">
      <w:pPr>
        <w:pStyle w:val="BodyText"/>
        <w:spacing w:before="11"/>
        <w:ind w:left="119"/>
      </w:pPr>
      <w:r>
        <w:t>The total annual hourly burden for the information collection requirements under the existing</w:t>
      </w:r>
    </w:p>
    <w:p w:rsidR="00323633" w:rsidRDefault="00323633">
      <w:pPr>
        <w:sectPr w:rsidR="00323633">
          <w:headerReference w:type="default" r:id="rId10"/>
          <w:pgSz w:w="12240" w:h="15840"/>
          <w:pgMar w:top="1380" w:right="1320" w:bottom="280" w:left="1320" w:header="0" w:footer="0" w:gutter="0"/>
          <w:cols w:space="720"/>
        </w:sectPr>
      </w:pPr>
    </w:p>
    <w:p w:rsidR="00323633" w:rsidRDefault="00323633">
      <w:pPr>
        <w:pStyle w:val="BodyText"/>
        <w:spacing w:before="7"/>
        <w:rPr>
          <w:sz w:val="13"/>
        </w:rPr>
      </w:pPr>
    </w:p>
    <w:p w:rsidR="00323633" w:rsidRDefault="00CC0D3C">
      <w:pPr>
        <w:pStyle w:val="BodyText"/>
        <w:spacing w:before="90" w:line="247" w:lineRule="auto"/>
        <w:ind w:left="960" w:right="959"/>
      </w:pPr>
      <w:r>
        <w:t>HHA conditions of participation is estimated to 5,644,430 - 6,422,694 hours. The differences in the estimates (1,048,483.5 hours in the previous estimate and 5,644,430 - 6,422,694 hours in the current estimate) are due to three main factors. An increase in the number of Medicare-certified HHAs from 9,354 to 11,930; a steady increase in the number of HHA’s that are expected to become certified in the next three years; and a significant increase in the number of patients</w:t>
      </w:r>
      <w:r>
        <w:rPr>
          <w:spacing w:val="-39"/>
        </w:rPr>
        <w:t xml:space="preserve"> </w:t>
      </w:r>
      <w:r>
        <w:t xml:space="preserve">using HHA services have resulted in an overall increase in burden. For example, the Patient rights condition of participation requires that all patients be provided with a notice of their rights and that HHAs document compliance with this </w:t>
      </w:r>
      <w:proofErr w:type="spellStart"/>
      <w:proofErr w:type="gramStart"/>
      <w:r>
        <w:t>CoP</w:t>
      </w:r>
      <w:proofErr w:type="gramEnd"/>
      <w:r>
        <w:t>.</w:t>
      </w:r>
      <w:proofErr w:type="spellEnd"/>
      <w:r>
        <w:t xml:space="preserve"> We continue to estimate that such documentation will require 5 minutes per patient. However, the hourly burden estimate has been increased because (1) individual HHAs are caring for more patients than estimated in the previous PRA submission, (2) there are 2,576 more Medicare-certified HHAs than when the last PRA was submitted, and (3) we estimate that 549 new HHAs will become Medicare certified on a yearly basis in the next 3</w:t>
      </w:r>
      <w:r>
        <w:rPr>
          <w:spacing w:val="-32"/>
        </w:rPr>
        <w:t xml:space="preserve"> </w:t>
      </w:r>
      <w:r>
        <w:t>years.</w:t>
      </w:r>
    </w:p>
    <w:p w:rsidR="00323633" w:rsidRDefault="00323633">
      <w:pPr>
        <w:pStyle w:val="BodyText"/>
        <w:spacing w:before="5"/>
      </w:pPr>
    </w:p>
    <w:p w:rsidR="00323633" w:rsidRDefault="00CC0D3C">
      <w:pPr>
        <w:pStyle w:val="BodyText"/>
        <w:spacing w:line="247" w:lineRule="auto"/>
        <w:ind w:left="960" w:right="1001"/>
      </w:pPr>
      <w:r>
        <w:t>Second, we have adjusted the burden estimate to account for patients from all payer sources.</w:t>
      </w:r>
      <w:r>
        <w:rPr>
          <w:spacing w:val="-38"/>
        </w:rPr>
        <w:t xml:space="preserve"> </w:t>
      </w:r>
      <w:r>
        <w:t xml:space="preserve">Due to data limitations, previous Paperwork Reduction Act calculations have only included HHA patients who received services through the Medicare home health benefit. With improved data we are now able to reasonably estimate the total number of HHA admissions from all </w:t>
      </w:r>
      <w:r>
        <w:rPr>
          <w:spacing w:val="-3"/>
        </w:rPr>
        <w:t xml:space="preserve">payer </w:t>
      </w:r>
      <w:r>
        <w:t>sources, thus increasing our estimate of the total number of patients</w:t>
      </w:r>
      <w:r>
        <w:rPr>
          <w:spacing w:val="-25"/>
        </w:rPr>
        <w:t xml:space="preserve"> </w:t>
      </w:r>
      <w:r>
        <w:t>served.</w:t>
      </w:r>
    </w:p>
    <w:p w:rsidR="00323633" w:rsidRDefault="00CC0D3C">
      <w:pPr>
        <w:spacing w:line="228" w:lineRule="exact"/>
        <w:ind w:left="1999"/>
        <w:rPr>
          <w:sz w:val="20"/>
        </w:rPr>
      </w:pPr>
      <w:r>
        <w:rPr>
          <w:sz w:val="20"/>
        </w:rPr>
        <w:t>Table 1: Burden and Cost Estimates Associated with Information Collection Requirements</w:t>
      </w:r>
    </w:p>
    <w:p w:rsidR="00323633" w:rsidRDefault="00323633">
      <w:pPr>
        <w:pStyle w:val="BodyText"/>
        <w:spacing w:before="8"/>
        <w:rPr>
          <w:sz w:val="20"/>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1"/>
        <w:gridCol w:w="1080"/>
        <w:gridCol w:w="1169"/>
        <w:gridCol w:w="991"/>
        <w:gridCol w:w="900"/>
        <w:gridCol w:w="1080"/>
        <w:gridCol w:w="1080"/>
        <w:gridCol w:w="1080"/>
        <w:gridCol w:w="1080"/>
        <w:gridCol w:w="1478"/>
      </w:tblGrid>
      <w:tr w:rsidR="00323633">
        <w:trPr>
          <w:trHeight w:hRule="exact" w:val="758"/>
        </w:trPr>
        <w:tc>
          <w:tcPr>
            <w:tcW w:w="1121" w:type="dxa"/>
          </w:tcPr>
          <w:p w:rsidR="00323633" w:rsidRDefault="00323633">
            <w:pPr>
              <w:pStyle w:val="TableParagraph"/>
              <w:spacing w:line="240" w:lineRule="auto"/>
              <w:rPr>
                <w:sz w:val="18"/>
              </w:rPr>
            </w:pPr>
          </w:p>
          <w:p w:rsidR="00323633" w:rsidRDefault="00323633">
            <w:pPr>
              <w:pStyle w:val="TableParagraph"/>
              <w:spacing w:before="5" w:line="240" w:lineRule="auto"/>
              <w:rPr>
                <w:sz w:val="14"/>
              </w:rPr>
            </w:pPr>
          </w:p>
          <w:p w:rsidR="00323633" w:rsidRDefault="00CC0D3C">
            <w:pPr>
              <w:pStyle w:val="TableParagraph"/>
              <w:spacing w:before="1" w:line="244" w:lineRule="auto"/>
              <w:ind w:left="319" w:hanging="108"/>
              <w:rPr>
                <w:sz w:val="16"/>
              </w:rPr>
            </w:pPr>
            <w:r>
              <w:rPr>
                <w:sz w:val="16"/>
              </w:rPr>
              <w:t>Regulation Section</w:t>
            </w:r>
          </w:p>
        </w:tc>
        <w:tc>
          <w:tcPr>
            <w:tcW w:w="1080" w:type="dxa"/>
          </w:tcPr>
          <w:p w:rsidR="00323633" w:rsidRDefault="00323633">
            <w:pPr>
              <w:pStyle w:val="TableParagraph"/>
              <w:spacing w:line="240" w:lineRule="auto"/>
              <w:rPr>
                <w:sz w:val="18"/>
              </w:rPr>
            </w:pPr>
          </w:p>
          <w:p w:rsidR="00323633" w:rsidRDefault="00323633">
            <w:pPr>
              <w:pStyle w:val="TableParagraph"/>
              <w:spacing w:before="5" w:line="240" w:lineRule="auto"/>
              <w:rPr>
                <w:sz w:val="14"/>
              </w:rPr>
            </w:pPr>
          </w:p>
          <w:p w:rsidR="00323633" w:rsidRDefault="00CC0D3C">
            <w:pPr>
              <w:pStyle w:val="TableParagraph"/>
              <w:spacing w:before="1" w:line="240" w:lineRule="auto"/>
              <w:ind w:left="92" w:right="93"/>
              <w:jc w:val="center"/>
              <w:rPr>
                <w:sz w:val="16"/>
              </w:rPr>
            </w:pPr>
            <w:r>
              <w:rPr>
                <w:sz w:val="16"/>
              </w:rPr>
              <w:t>OMB</w:t>
            </w:r>
          </w:p>
          <w:p w:rsidR="00323633" w:rsidRDefault="00CC0D3C">
            <w:pPr>
              <w:pStyle w:val="TableParagraph"/>
              <w:spacing w:before="3" w:line="240" w:lineRule="auto"/>
              <w:ind w:left="92" w:right="93"/>
              <w:jc w:val="center"/>
              <w:rPr>
                <w:sz w:val="16"/>
              </w:rPr>
            </w:pPr>
            <w:r>
              <w:rPr>
                <w:sz w:val="16"/>
              </w:rPr>
              <w:t>Control No.</w:t>
            </w:r>
          </w:p>
        </w:tc>
        <w:tc>
          <w:tcPr>
            <w:tcW w:w="1169" w:type="dxa"/>
          </w:tcPr>
          <w:p w:rsidR="00323633" w:rsidRDefault="00323633">
            <w:pPr>
              <w:pStyle w:val="TableParagraph"/>
              <w:spacing w:line="240" w:lineRule="auto"/>
              <w:rPr>
                <w:sz w:val="18"/>
              </w:rPr>
            </w:pPr>
          </w:p>
          <w:p w:rsidR="00323633" w:rsidRDefault="00323633">
            <w:pPr>
              <w:pStyle w:val="TableParagraph"/>
              <w:spacing w:line="240" w:lineRule="auto"/>
              <w:rPr>
                <w:sz w:val="18"/>
              </w:rPr>
            </w:pPr>
          </w:p>
          <w:p w:rsidR="00323633" w:rsidRDefault="00CC0D3C">
            <w:pPr>
              <w:pStyle w:val="TableParagraph"/>
              <w:spacing w:before="147" w:line="240" w:lineRule="auto"/>
              <w:ind w:right="173"/>
              <w:jc w:val="right"/>
              <w:rPr>
                <w:sz w:val="16"/>
              </w:rPr>
            </w:pPr>
            <w:r>
              <w:rPr>
                <w:w w:val="95"/>
                <w:sz w:val="16"/>
              </w:rPr>
              <w:t>Respondents</w:t>
            </w:r>
          </w:p>
        </w:tc>
        <w:tc>
          <w:tcPr>
            <w:tcW w:w="991" w:type="dxa"/>
          </w:tcPr>
          <w:p w:rsidR="00323633" w:rsidRDefault="00323633">
            <w:pPr>
              <w:pStyle w:val="TableParagraph"/>
              <w:spacing w:line="240" w:lineRule="auto"/>
              <w:rPr>
                <w:sz w:val="18"/>
              </w:rPr>
            </w:pPr>
          </w:p>
          <w:p w:rsidR="00323633" w:rsidRDefault="00323633">
            <w:pPr>
              <w:pStyle w:val="TableParagraph"/>
              <w:spacing w:line="240" w:lineRule="auto"/>
              <w:rPr>
                <w:sz w:val="18"/>
              </w:rPr>
            </w:pPr>
          </w:p>
          <w:p w:rsidR="00323633" w:rsidRDefault="00CC0D3C">
            <w:pPr>
              <w:pStyle w:val="TableParagraph"/>
              <w:spacing w:before="147" w:line="240" w:lineRule="auto"/>
              <w:ind w:left="109" w:right="110"/>
              <w:jc w:val="center"/>
              <w:rPr>
                <w:sz w:val="16"/>
              </w:rPr>
            </w:pPr>
            <w:r>
              <w:rPr>
                <w:sz w:val="16"/>
              </w:rPr>
              <w:t>Responses</w:t>
            </w:r>
          </w:p>
        </w:tc>
        <w:tc>
          <w:tcPr>
            <w:tcW w:w="900" w:type="dxa"/>
          </w:tcPr>
          <w:p w:rsidR="00323633" w:rsidRDefault="00CC0D3C">
            <w:pPr>
              <w:pStyle w:val="TableParagraph"/>
              <w:spacing w:line="244" w:lineRule="auto"/>
              <w:ind w:left="119" w:right="119"/>
              <w:jc w:val="center"/>
              <w:rPr>
                <w:sz w:val="16"/>
              </w:rPr>
            </w:pPr>
            <w:r>
              <w:rPr>
                <w:sz w:val="16"/>
              </w:rPr>
              <w:t xml:space="preserve">Burden per </w:t>
            </w:r>
            <w:r>
              <w:rPr>
                <w:w w:val="95"/>
                <w:sz w:val="16"/>
              </w:rPr>
              <w:t xml:space="preserve">Response </w:t>
            </w:r>
            <w:r>
              <w:rPr>
                <w:sz w:val="16"/>
              </w:rPr>
              <w:t>(in hours)</w:t>
            </w:r>
          </w:p>
        </w:tc>
        <w:tc>
          <w:tcPr>
            <w:tcW w:w="1080" w:type="dxa"/>
          </w:tcPr>
          <w:p w:rsidR="00323633" w:rsidRDefault="00323633">
            <w:pPr>
              <w:pStyle w:val="TableParagraph"/>
              <w:spacing w:before="2" w:line="240" w:lineRule="auto"/>
              <w:rPr>
                <w:sz w:val="16"/>
              </w:rPr>
            </w:pPr>
          </w:p>
          <w:p w:rsidR="00323633" w:rsidRDefault="00CC0D3C">
            <w:pPr>
              <w:pStyle w:val="TableParagraph"/>
              <w:spacing w:line="244" w:lineRule="auto"/>
              <w:ind w:left="96" w:right="93"/>
              <w:jc w:val="center"/>
              <w:rPr>
                <w:sz w:val="16"/>
              </w:rPr>
            </w:pPr>
            <w:r>
              <w:rPr>
                <w:sz w:val="16"/>
              </w:rPr>
              <w:t>Total Annual</w:t>
            </w:r>
            <w:r>
              <w:rPr>
                <w:w w:val="99"/>
                <w:sz w:val="16"/>
              </w:rPr>
              <w:t xml:space="preserve"> </w:t>
            </w:r>
            <w:r>
              <w:rPr>
                <w:sz w:val="16"/>
              </w:rPr>
              <w:t>Burden</w:t>
            </w:r>
          </w:p>
          <w:p w:rsidR="00323633" w:rsidRDefault="00CC0D3C">
            <w:pPr>
              <w:pStyle w:val="TableParagraph"/>
              <w:spacing w:line="184" w:lineRule="exact"/>
              <w:ind w:left="93" w:right="93"/>
              <w:jc w:val="center"/>
              <w:rPr>
                <w:sz w:val="16"/>
              </w:rPr>
            </w:pPr>
            <w:r>
              <w:rPr>
                <w:sz w:val="16"/>
              </w:rPr>
              <w:t>(in hours)</w:t>
            </w:r>
          </w:p>
        </w:tc>
        <w:tc>
          <w:tcPr>
            <w:tcW w:w="1080" w:type="dxa"/>
          </w:tcPr>
          <w:p w:rsidR="00323633" w:rsidRDefault="00323633">
            <w:pPr>
              <w:pStyle w:val="TableParagraph"/>
              <w:spacing w:before="2" w:line="240" w:lineRule="auto"/>
              <w:rPr>
                <w:sz w:val="16"/>
              </w:rPr>
            </w:pPr>
          </w:p>
          <w:p w:rsidR="00323633" w:rsidRDefault="00CC0D3C">
            <w:pPr>
              <w:pStyle w:val="TableParagraph"/>
              <w:spacing w:line="244" w:lineRule="auto"/>
              <w:ind w:left="107" w:right="108" w:firstLine="2"/>
              <w:jc w:val="center"/>
              <w:rPr>
                <w:sz w:val="16"/>
              </w:rPr>
            </w:pPr>
            <w:r>
              <w:rPr>
                <w:sz w:val="16"/>
              </w:rPr>
              <w:t>Hourly</w:t>
            </w:r>
            <w:r>
              <w:rPr>
                <w:spacing w:val="-27"/>
                <w:sz w:val="16"/>
              </w:rPr>
              <w:t xml:space="preserve"> </w:t>
            </w:r>
            <w:r>
              <w:rPr>
                <w:sz w:val="16"/>
              </w:rPr>
              <w:t>Labor</w:t>
            </w:r>
            <w:r>
              <w:rPr>
                <w:w w:val="99"/>
                <w:sz w:val="16"/>
              </w:rPr>
              <w:t xml:space="preserve"> </w:t>
            </w:r>
            <w:r>
              <w:rPr>
                <w:sz w:val="16"/>
              </w:rPr>
              <w:t xml:space="preserve">Cost </w:t>
            </w:r>
            <w:r>
              <w:rPr>
                <w:spacing w:val="-3"/>
                <w:sz w:val="16"/>
              </w:rPr>
              <w:t xml:space="preserve">of </w:t>
            </w:r>
            <w:r>
              <w:rPr>
                <w:sz w:val="16"/>
              </w:rPr>
              <w:t>Reporting</w:t>
            </w:r>
            <w:r>
              <w:rPr>
                <w:spacing w:val="-17"/>
                <w:sz w:val="16"/>
              </w:rPr>
              <w:t xml:space="preserve"> </w:t>
            </w:r>
            <w:r>
              <w:rPr>
                <w:sz w:val="16"/>
              </w:rPr>
              <w:t>($)</w:t>
            </w:r>
          </w:p>
        </w:tc>
        <w:tc>
          <w:tcPr>
            <w:tcW w:w="1080" w:type="dxa"/>
          </w:tcPr>
          <w:p w:rsidR="00323633" w:rsidRDefault="00323633">
            <w:pPr>
              <w:pStyle w:val="TableParagraph"/>
              <w:spacing w:line="240" w:lineRule="auto"/>
              <w:rPr>
                <w:sz w:val="18"/>
              </w:rPr>
            </w:pPr>
          </w:p>
          <w:p w:rsidR="00323633" w:rsidRDefault="00323633">
            <w:pPr>
              <w:pStyle w:val="TableParagraph"/>
              <w:spacing w:before="5" w:line="240" w:lineRule="auto"/>
              <w:rPr>
                <w:sz w:val="14"/>
              </w:rPr>
            </w:pPr>
          </w:p>
          <w:p w:rsidR="00323633" w:rsidRDefault="00CC0D3C">
            <w:pPr>
              <w:pStyle w:val="TableParagraph"/>
              <w:spacing w:before="1" w:line="244" w:lineRule="auto"/>
              <w:ind w:left="107" w:firstLine="14"/>
              <w:rPr>
                <w:sz w:val="16"/>
              </w:rPr>
            </w:pPr>
            <w:r>
              <w:rPr>
                <w:sz w:val="16"/>
              </w:rPr>
              <w:t>Total Cost of Reporting ($)</w:t>
            </w:r>
          </w:p>
        </w:tc>
        <w:tc>
          <w:tcPr>
            <w:tcW w:w="1080" w:type="dxa"/>
          </w:tcPr>
          <w:p w:rsidR="00323633" w:rsidRDefault="00CC0D3C">
            <w:pPr>
              <w:pStyle w:val="TableParagraph"/>
              <w:spacing w:line="244" w:lineRule="auto"/>
              <w:ind w:left="127" w:right="128" w:firstLine="4"/>
              <w:jc w:val="center"/>
              <w:rPr>
                <w:sz w:val="16"/>
              </w:rPr>
            </w:pPr>
            <w:r>
              <w:rPr>
                <w:sz w:val="16"/>
              </w:rPr>
              <w:t xml:space="preserve">Total Capital/ </w:t>
            </w:r>
            <w:r>
              <w:rPr>
                <w:w w:val="95"/>
                <w:sz w:val="16"/>
              </w:rPr>
              <w:t xml:space="preserve">Maintenance </w:t>
            </w:r>
            <w:r>
              <w:rPr>
                <w:sz w:val="16"/>
              </w:rPr>
              <w:t>Costs ($)</w:t>
            </w:r>
          </w:p>
        </w:tc>
        <w:tc>
          <w:tcPr>
            <w:tcW w:w="1478" w:type="dxa"/>
          </w:tcPr>
          <w:p w:rsidR="00323633" w:rsidRDefault="00323633">
            <w:pPr>
              <w:pStyle w:val="TableParagraph"/>
              <w:spacing w:line="240" w:lineRule="auto"/>
              <w:rPr>
                <w:sz w:val="18"/>
              </w:rPr>
            </w:pPr>
          </w:p>
          <w:p w:rsidR="00323633" w:rsidRDefault="00323633">
            <w:pPr>
              <w:pStyle w:val="TableParagraph"/>
              <w:spacing w:before="5" w:line="240" w:lineRule="auto"/>
              <w:rPr>
                <w:sz w:val="14"/>
              </w:rPr>
            </w:pPr>
          </w:p>
          <w:p w:rsidR="00323633" w:rsidRDefault="00CC0D3C">
            <w:pPr>
              <w:pStyle w:val="TableParagraph"/>
              <w:spacing w:before="1" w:line="244" w:lineRule="auto"/>
              <w:ind w:left="446" w:right="225" w:firstLine="124"/>
              <w:rPr>
                <w:sz w:val="16"/>
              </w:rPr>
            </w:pPr>
            <w:r>
              <w:rPr>
                <w:sz w:val="16"/>
              </w:rPr>
              <w:t>Total Costs ($)</w:t>
            </w:r>
          </w:p>
        </w:tc>
      </w:tr>
      <w:tr w:rsidR="00323633">
        <w:trPr>
          <w:trHeight w:hRule="exact" w:val="197"/>
        </w:trPr>
        <w:tc>
          <w:tcPr>
            <w:tcW w:w="1121" w:type="dxa"/>
          </w:tcPr>
          <w:p w:rsidR="00323633" w:rsidRDefault="00CC0D3C">
            <w:pPr>
              <w:pStyle w:val="TableParagraph"/>
              <w:ind w:left="103" w:right="105"/>
              <w:jc w:val="center"/>
              <w:rPr>
                <w:sz w:val="16"/>
              </w:rPr>
            </w:pPr>
            <w:r>
              <w:rPr>
                <w:sz w:val="16"/>
              </w:rPr>
              <w:t>§484.10</w:t>
            </w:r>
          </w:p>
        </w:tc>
        <w:tc>
          <w:tcPr>
            <w:tcW w:w="1080" w:type="dxa"/>
          </w:tcPr>
          <w:p w:rsidR="00323633" w:rsidRDefault="00323633"/>
        </w:tc>
        <w:tc>
          <w:tcPr>
            <w:tcW w:w="1169" w:type="dxa"/>
          </w:tcPr>
          <w:p w:rsidR="00323633" w:rsidRDefault="00CC0D3C">
            <w:pPr>
              <w:pStyle w:val="TableParagraph"/>
              <w:ind w:left="439" w:right="439"/>
              <w:jc w:val="center"/>
              <w:rPr>
                <w:sz w:val="16"/>
              </w:rPr>
            </w:pPr>
            <w:r>
              <w:rPr>
                <w:sz w:val="16"/>
              </w:rPr>
              <w:t>549</w:t>
            </w:r>
          </w:p>
        </w:tc>
        <w:tc>
          <w:tcPr>
            <w:tcW w:w="991" w:type="dxa"/>
          </w:tcPr>
          <w:p w:rsidR="00323633" w:rsidRDefault="00CC0D3C">
            <w:pPr>
              <w:pStyle w:val="TableParagraph"/>
              <w:ind w:left="110" w:right="110"/>
              <w:jc w:val="center"/>
              <w:rPr>
                <w:sz w:val="16"/>
              </w:rPr>
            </w:pPr>
            <w:r>
              <w:rPr>
                <w:sz w:val="16"/>
              </w:rPr>
              <w:t>549</w:t>
            </w:r>
          </w:p>
        </w:tc>
        <w:tc>
          <w:tcPr>
            <w:tcW w:w="900" w:type="dxa"/>
          </w:tcPr>
          <w:p w:rsidR="00323633" w:rsidRDefault="00CC0D3C">
            <w:pPr>
              <w:pStyle w:val="TableParagraph"/>
              <w:jc w:val="center"/>
              <w:rPr>
                <w:sz w:val="16"/>
              </w:rPr>
            </w:pPr>
            <w:r>
              <w:rPr>
                <w:w w:val="99"/>
                <w:sz w:val="16"/>
              </w:rPr>
              <w:t>1</w:t>
            </w:r>
          </w:p>
        </w:tc>
        <w:tc>
          <w:tcPr>
            <w:tcW w:w="1080" w:type="dxa"/>
          </w:tcPr>
          <w:p w:rsidR="00323633" w:rsidRDefault="00CC0D3C">
            <w:pPr>
              <w:pStyle w:val="TableParagraph"/>
              <w:ind w:left="93" w:right="93"/>
              <w:jc w:val="center"/>
              <w:rPr>
                <w:sz w:val="16"/>
              </w:rPr>
            </w:pPr>
            <w:r>
              <w:rPr>
                <w:sz w:val="16"/>
              </w:rPr>
              <w:t>549</w:t>
            </w:r>
          </w:p>
        </w:tc>
        <w:tc>
          <w:tcPr>
            <w:tcW w:w="1080" w:type="dxa"/>
          </w:tcPr>
          <w:p w:rsidR="00323633" w:rsidRDefault="00CC0D3C">
            <w:pPr>
              <w:pStyle w:val="TableParagraph"/>
              <w:ind w:left="456"/>
              <w:rPr>
                <w:sz w:val="16"/>
              </w:rPr>
            </w:pPr>
            <w:r>
              <w:rPr>
                <w:sz w:val="16"/>
              </w:rPr>
              <w:t>60</w:t>
            </w:r>
          </w:p>
        </w:tc>
        <w:tc>
          <w:tcPr>
            <w:tcW w:w="1080" w:type="dxa"/>
          </w:tcPr>
          <w:p w:rsidR="00323633" w:rsidRDefault="00CC0D3C">
            <w:pPr>
              <w:pStyle w:val="TableParagraph"/>
              <w:ind w:left="316"/>
              <w:rPr>
                <w:sz w:val="16"/>
              </w:rPr>
            </w:pPr>
            <w:r>
              <w:rPr>
                <w:sz w:val="16"/>
              </w:rPr>
              <w:t>32,940</w:t>
            </w:r>
          </w:p>
        </w:tc>
        <w:tc>
          <w:tcPr>
            <w:tcW w:w="1080" w:type="dxa"/>
          </w:tcPr>
          <w:p w:rsidR="00323633" w:rsidRDefault="00CC0D3C">
            <w:pPr>
              <w:pStyle w:val="TableParagraph"/>
              <w:jc w:val="center"/>
              <w:rPr>
                <w:sz w:val="16"/>
              </w:rPr>
            </w:pPr>
            <w:r>
              <w:rPr>
                <w:w w:val="99"/>
                <w:sz w:val="16"/>
              </w:rPr>
              <w:t>0</w:t>
            </w:r>
          </w:p>
        </w:tc>
        <w:tc>
          <w:tcPr>
            <w:tcW w:w="1478" w:type="dxa"/>
          </w:tcPr>
          <w:p w:rsidR="00323633" w:rsidRDefault="00CC0D3C">
            <w:pPr>
              <w:pStyle w:val="TableParagraph"/>
              <w:ind w:left="147" w:right="147"/>
              <w:jc w:val="center"/>
              <w:rPr>
                <w:sz w:val="16"/>
              </w:rPr>
            </w:pPr>
            <w:r>
              <w:rPr>
                <w:sz w:val="16"/>
              </w:rPr>
              <w:t>32,940</w:t>
            </w:r>
          </w:p>
        </w:tc>
      </w:tr>
      <w:tr w:rsidR="00323633">
        <w:trPr>
          <w:trHeight w:hRule="exact" w:val="384"/>
        </w:trPr>
        <w:tc>
          <w:tcPr>
            <w:tcW w:w="1121" w:type="dxa"/>
          </w:tcPr>
          <w:p w:rsidR="00323633" w:rsidRDefault="00CC0D3C">
            <w:pPr>
              <w:pStyle w:val="TableParagraph"/>
              <w:ind w:left="104" w:right="104"/>
              <w:jc w:val="center"/>
              <w:rPr>
                <w:sz w:val="16"/>
              </w:rPr>
            </w:pPr>
            <w:r>
              <w:rPr>
                <w:sz w:val="16"/>
              </w:rPr>
              <w:t>§484.10</w:t>
            </w:r>
          </w:p>
        </w:tc>
        <w:tc>
          <w:tcPr>
            <w:tcW w:w="1080" w:type="dxa"/>
          </w:tcPr>
          <w:p w:rsidR="00323633" w:rsidRDefault="00323633"/>
        </w:tc>
        <w:tc>
          <w:tcPr>
            <w:tcW w:w="1169" w:type="dxa"/>
          </w:tcPr>
          <w:p w:rsidR="00323633" w:rsidRDefault="00CC0D3C">
            <w:pPr>
              <w:pStyle w:val="TableParagraph"/>
              <w:ind w:right="115"/>
              <w:jc w:val="right"/>
              <w:rPr>
                <w:sz w:val="16"/>
              </w:rPr>
            </w:pPr>
            <w:r>
              <w:rPr>
                <w:sz w:val="16"/>
              </w:rPr>
              <w:t>11,930-13,577</w:t>
            </w:r>
          </w:p>
        </w:tc>
        <w:tc>
          <w:tcPr>
            <w:tcW w:w="991" w:type="dxa"/>
          </w:tcPr>
          <w:p w:rsidR="00323633" w:rsidRDefault="00CC0D3C">
            <w:pPr>
              <w:pStyle w:val="TableParagraph"/>
              <w:ind w:left="107"/>
              <w:rPr>
                <w:sz w:val="16"/>
              </w:rPr>
            </w:pPr>
            <w:r>
              <w:rPr>
                <w:sz w:val="16"/>
              </w:rPr>
              <w:t>17,751,840-</w:t>
            </w:r>
          </w:p>
          <w:p w:rsidR="00323633" w:rsidRDefault="00CC0D3C">
            <w:pPr>
              <w:pStyle w:val="TableParagraph"/>
              <w:spacing w:before="3" w:line="240" w:lineRule="auto"/>
              <w:ind w:left="131"/>
              <w:rPr>
                <w:sz w:val="16"/>
              </w:rPr>
            </w:pPr>
            <w:r>
              <w:rPr>
                <w:sz w:val="16"/>
              </w:rPr>
              <w:t>20,202,576</w:t>
            </w:r>
          </w:p>
        </w:tc>
        <w:tc>
          <w:tcPr>
            <w:tcW w:w="900" w:type="dxa"/>
          </w:tcPr>
          <w:p w:rsidR="00323633" w:rsidRDefault="00CC0D3C">
            <w:pPr>
              <w:pStyle w:val="TableParagraph"/>
              <w:ind w:left="119" w:right="119"/>
              <w:jc w:val="center"/>
              <w:rPr>
                <w:sz w:val="16"/>
              </w:rPr>
            </w:pPr>
            <w:r>
              <w:rPr>
                <w:sz w:val="16"/>
              </w:rPr>
              <w:t>.083</w:t>
            </w:r>
          </w:p>
        </w:tc>
        <w:tc>
          <w:tcPr>
            <w:tcW w:w="1080" w:type="dxa"/>
          </w:tcPr>
          <w:p w:rsidR="00323633" w:rsidRDefault="00CC0D3C">
            <w:pPr>
              <w:pStyle w:val="TableParagraph"/>
              <w:ind w:left="191"/>
              <w:rPr>
                <w:sz w:val="16"/>
              </w:rPr>
            </w:pPr>
            <w:r>
              <w:rPr>
                <w:sz w:val="16"/>
              </w:rPr>
              <w:t>1,479,320-</w:t>
            </w:r>
          </w:p>
          <w:p w:rsidR="00323633" w:rsidRDefault="00CC0D3C">
            <w:pPr>
              <w:pStyle w:val="TableParagraph"/>
              <w:spacing w:before="3" w:line="240" w:lineRule="auto"/>
              <w:ind w:left="216"/>
              <w:rPr>
                <w:sz w:val="16"/>
              </w:rPr>
            </w:pPr>
            <w:r>
              <w:rPr>
                <w:sz w:val="16"/>
              </w:rPr>
              <w:t>1,683,548</w:t>
            </w:r>
          </w:p>
        </w:tc>
        <w:tc>
          <w:tcPr>
            <w:tcW w:w="1080" w:type="dxa"/>
          </w:tcPr>
          <w:p w:rsidR="00323633" w:rsidRDefault="00CC0D3C">
            <w:pPr>
              <w:pStyle w:val="TableParagraph"/>
              <w:ind w:left="456"/>
              <w:rPr>
                <w:sz w:val="16"/>
              </w:rPr>
            </w:pPr>
            <w:r>
              <w:rPr>
                <w:sz w:val="16"/>
              </w:rPr>
              <w:t>46</w:t>
            </w:r>
          </w:p>
        </w:tc>
        <w:tc>
          <w:tcPr>
            <w:tcW w:w="1080" w:type="dxa"/>
          </w:tcPr>
          <w:p w:rsidR="00323633" w:rsidRDefault="00CC0D3C">
            <w:pPr>
              <w:pStyle w:val="TableParagraph"/>
              <w:ind w:left="151"/>
              <w:rPr>
                <w:sz w:val="16"/>
              </w:rPr>
            </w:pPr>
            <w:r>
              <w:rPr>
                <w:sz w:val="16"/>
              </w:rPr>
              <w:t>68,048,720-</w:t>
            </w:r>
          </w:p>
          <w:p w:rsidR="00323633" w:rsidRDefault="00CC0D3C">
            <w:pPr>
              <w:pStyle w:val="TableParagraph"/>
              <w:spacing w:before="3" w:line="240" w:lineRule="auto"/>
              <w:ind w:left="177"/>
              <w:rPr>
                <w:sz w:val="16"/>
              </w:rPr>
            </w:pPr>
            <w:r>
              <w:rPr>
                <w:sz w:val="16"/>
              </w:rPr>
              <w:t>77,443,208</w:t>
            </w:r>
          </w:p>
        </w:tc>
        <w:tc>
          <w:tcPr>
            <w:tcW w:w="1080" w:type="dxa"/>
          </w:tcPr>
          <w:p w:rsidR="00323633" w:rsidRDefault="00CC0D3C">
            <w:pPr>
              <w:pStyle w:val="TableParagraph"/>
              <w:jc w:val="center"/>
              <w:rPr>
                <w:sz w:val="16"/>
              </w:rPr>
            </w:pPr>
            <w:r>
              <w:rPr>
                <w:w w:val="98"/>
                <w:sz w:val="16"/>
              </w:rPr>
              <w:t>0</w:t>
            </w:r>
          </w:p>
        </w:tc>
        <w:tc>
          <w:tcPr>
            <w:tcW w:w="1478" w:type="dxa"/>
          </w:tcPr>
          <w:p w:rsidR="00323633" w:rsidRDefault="00CC0D3C">
            <w:pPr>
              <w:pStyle w:val="TableParagraph"/>
              <w:ind w:left="350"/>
              <w:rPr>
                <w:sz w:val="16"/>
              </w:rPr>
            </w:pPr>
            <w:r>
              <w:rPr>
                <w:sz w:val="16"/>
              </w:rPr>
              <w:t>68,048,720-</w:t>
            </w:r>
          </w:p>
          <w:p w:rsidR="00323633" w:rsidRDefault="00CC0D3C">
            <w:pPr>
              <w:pStyle w:val="TableParagraph"/>
              <w:spacing w:before="3" w:line="240" w:lineRule="auto"/>
              <w:ind w:left="376"/>
              <w:rPr>
                <w:sz w:val="16"/>
              </w:rPr>
            </w:pPr>
            <w:r>
              <w:rPr>
                <w:sz w:val="16"/>
              </w:rPr>
              <w:t>77,443,208</w:t>
            </w:r>
          </w:p>
        </w:tc>
      </w:tr>
      <w:tr w:rsidR="00323633">
        <w:trPr>
          <w:trHeight w:hRule="exact" w:val="197"/>
        </w:trPr>
        <w:tc>
          <w:tcPr>
            <w:tcW w:w="1121" w:type="dxa"/>
          </w:tcPr>
          <w:p w:rsidR="00323633" w:rsidRDefault="00CC0D3C">
            <w:pPr>
              <w:pStyle w:val="TableParagraph"/>
              <w:ind w:left="103" w:right="105"/>
              <w:jc w:val="center"/>
              <w:rPr>
                <w:sz w:val="16"/>
              </w:rPr>
            </w:pPr>
            <w:r>
              <w:rPr>
                <w:sz w:val="16"/>
              </w:rPr>
              <w:t>§484.12</w:t>
            </w:r>
          </w:p>
        </w:tc>
        <w:tc>
          <w:tcPr>
            <w:tcW w:w="1080" w:type="dxa"/>
          </w:tcPr>
          <w:p w:rsidR="00323633" w:rsidRDefault="00323633"/>
        </w:tc>
        <w:tc>
          <w:tcPr>
            <w:tcW w:w="1169" w:type="dxa"/>
          </w:tcPr>
          <w:p w:rsidR="00323633" w:rsidRDefault="00CC0D3C">
            <w:pPr>
              <w:pStyle w:val="TableParagraph"/>
              <w:ind w:left="439" w:right="439"/>
              <w:jc w:val="center"/>
              <w:rPr>
                <w:sz w:val="16"/>
              </w:rPr>
            </w:pPr>
            <w:r>
              <w:rPr>
                <w:sz w:val="16"/>
              </w:rPr>
              <w:t>549</w:t>
            </w:r>
          </w:p>
        </w:tc>
        <w:tc>
          <w:tcPr>
            <w:tcW w:w="991" w:type="dxa"/>
          </w:tcPr>
          <w:p w:rsidR="00323633" w:rsidRDefault="00CC0D3C">
            <w:pPr>
              <w:pStyle w:val="TableParagraph"/>
              <w:ind w:left="110" w:right="110"/>
              <w:jc w:val="center"/>
              <w:rPr>
                <w:sz w:val="16"/>
              </w:rPr>
            </w:pPr>
            <w:r>
              <w:rPr>
                <w:sz w:val="16"/>
              </w:rPr>
              <w:t>549</w:t>
            </w:r>
          </w:p>
        </w:tc>
        <w:tc>
          <w:tcPr>
            <w:tcW w:w="900" w:type="dxa"/>
          </w:tcPr>
          <w:p w:rsidR="00323633" w:rsidRDefault="00CC0D3C">
            <w:pPr>
              <w:pStyle w:val="TableParagraph"/>
              <w:ind w:left="119" w:right="119"/>
              <w:jc w:val="center"/>
              <w:rPr>
                <w:sz w:val="16"/>
              </w:rPr>
            </w:pPr>
            <w:r>
              <w:rPr>
                <w:sz w:val="16"/>
              </w:rPr>
              <w:t>.083</w:t>
            </w:r>
          </w:p>
        </w:tc>
        <w:tc>
          <w:tcPr>
            <w:tcW w:w="1080" w:type="dxa"/>
          </w:tcPr>
          <w:p w:rsidR="00323633" w:rsidRDefault="00CC0D3C">
            <w:pPr>
              <w:pStyle w:val="TableParagraph"/>
              <w:ind w:left="93" w:right="93"/>
              <w:jc w:val="center"/>
              <w:rPr>
                <w:sz w:val="16"/>
              </w:rPr>
            </w:pPr>
            <w:r>
              <w:rPr>
                <w:sz w:val="16"/>
              </w:rPr>
              <w:t>46</w:t>
            </w:r>
          </w:p>
        </w:tc>
        <w:tc>
          <w:tcPr>
            <w:tcW w:w="1080" w:type="dxa"/>
          </w:tcPr>
          <w:p w:rsidR="00323633" w:rsidRDefault="00CC0D3C">
            <w:pPr>
              <w:pStyle w:val="TableParagraph"/>
              <w:ind w:left="456"/>
              <w:rPr>
                <w:sz w:val="16"/>
              </w:rPr>
            </w:pPr>
            <w:r>
              <w:rPr>
                <w:sz w:val="16"/>
              </w:rPr>
              <w:t>60</w:t>
            </w:r>
          </w:p>
        </w:tc>
        <w:tc>
          <w:tcPr>
            <w:tcW w:w="1080" w:type="dxa"/>
          </w:tcPr>
          <w:p w:rsidR="00323633" w:rsidRDefault="00CC0D3C">
            <w:pPr>
              <w:pStyle w:val="TableParagraph"/>
              <w:ind w:left="355"/>
              <w:rPr>
                <w:sz w:val="16"/>
              </w:rPr>
            </w:pPr>
            <w:r>
              <w:rPr>
                <w:sz w:val="16"/>
              </w:rPr>
              <w:t>2,760</w:t>
            </w:r>
          </w:p>
        </w:tc>
        <w:tc>
          <w:tcPr>
            <w:tcW w:w="1080" w:type="dxa"/>
          </w:tcPr>
          <w:p w:rsidR="00323633" w:rsidRDefault="00CC0D3C">
            <w:pPr>
              <w:pStyle w:val="TableParagraph"/>
              <w:jc w:val="center"/>
              <w:rPr>
                <w:sz w:val="16"/>
              </w:rPr>
            </w:pPr>
            <w:r>
              <w:rPr>
                <w:w w:val="99"/>
                <w:sz w:val="16"/>
              </w:rPr>
              <w:t>0</w:t>
            </w:r>
          </w:p>
        </w:tc>
        <w:tc>
          <w:tcPr>
            <w:tcW w:w="1478" w:type="dxa"/>
          </w:tcPr>
          <w:p w:rsidR="00323633" w:rsidRDefault="00CC0D3C">
            <w:pPr>
              <w:pStyle w:val="TableParagraph"/>
              <w:ind w:left="147" w:right="147"/>
              <w:jc w:val="center"/>
              <w:rPr>
                <w:sz w:val="16"/>
              </w:rPr>
            </w:pPr>
            <w:r>
              <w:rPr>
                <w:sz w:val="16"/>
              </w:rPr>
              <w:t>2,760</w:t>
            </w:r>
          </w:p>
        </w:tc>
      </w:tr>
      <w:tr w:rsidR="00323633">
        <w:trPr>
          <w:trHeight w:hRule="exact" w:val="384"/>
        </w:trPr>
        <w:tc>
          <w:tcPr>
            <w:tcW w:w="1121" w:type="dxa"/>
          </w:tcPr>
          <w:p w:rsidR="00323633" w:rsidRDefault="00CC0D3C">
            <w:pPr>
              <w:pStyle w:val="TableParagraph"/>
              <w:ind w:left="103" w:right="105"/>
              <w:jc w:val="center"/>
              <w:rPr>
                <w:sz w:val="16"/>
              </w:rPr>
            </w:pPr>
            <w:r>
              <w:rPr>
                <w:sz w:val="16"/>
              </w:rPr>
              <w:t>§484.14(g)</w:t>
            </w:r>
          </w:p>
        </w:tc>
        <w:tc>
          <w:tcPr>
            <w:tcW w:w="1080" w:type="dxa"/>
          </w:tcPr>
          <w:p w:rsidR="00323633" w:rsidRDefault="00323633"/>
        </w:tc>
        <w:tc>
          <w:tcPr>
            <w:tcW w:w="1169" w:type="dxa"/>
          </w:tcPr>
          <w:p w:rsidR="00323633" w:rsidRDefault="00CC0D3C">
            <w:pPr>
              <w:pStyle w:val="TableParagraph"/>
              <w:ind w:right="115"/>
              <w:jc w:val="right"/>
              <w:rPr>
                <w:sz w:val="16"/>
              </w:rPr>
            </w:pPr>
            <w:r>
              <w:rPr>
                <w:sz w:val="16"/>
              </w:rPr>
              <w:t>11,930-13,577</w:t>
            </w:r>
          </w:p>
        </w:tc>
        <w:tc>
          <w:tcPr>
            <w:tcW w:w="991" w:type="dxa"/>
          </w:tcPr>
          <w:p w:rsidR="00323633" w:rsidRDefault="00CC0D3C">
            <w:pPr>
              <w:pStyle w:val="TableParagraph"/>
              <w:ind w:left="107"/>
              <w:rPr>
                <w:sz w:val="16"/>
              </w:rPr>
            </w:pPr>
            <w:r>
              <w:rPr>
                <w:sz w:val="16"/>
              </w:rPr>
              <w:t>17,751,840-</w:t>
            </w:r>
          </w:p>
          <w:p w:rsidR="00323633" w:rsidRDefault="00CC0D3C">
            <w:pPr>
              <w:pStyle w:val="TableParagraph"/>
              <w:spacing w:before="3" w:line="240" w:lineRule="auto"/>
              <w:ind w:left="131"/>
              <w:rPr>
                <w:sz w:val="16"/>
              </w:rPr>
            </w:pPr>
            <w:r>
              <w:rPr>
                <w:sz w:val="16"/>
              </w:rPr>
              <w:t>20,202,576</w:t>
            </w:r>
          </w:p>
        </w:tc>
        <w:tc>
          <w:tcPr>
            <w:tcW w:w="900" w:type="dxa"/>
          </w:tcPr>
          <w:p w:rsidR="00323633" w:rsidRDefault="00CC0D3C">
            <w:pPr>
              <w:pStyle w:val="TableParagraph"/>
              <w:ind w:left="119" w:right="119"/>
              <w:jc w:val="center"/>
              <w:rPr>
                <w:sz w:val="16"/>
              </w:rPr>
            </w:pPr>
            <w:r>
              <w:rPr>
                <w:sz w:val="16"/>
              </w:rPr>
              <w:t>.05</w:t>
            </w:r>
          </w:p>
        </w:tc>
        <w:tc>
          <w:tcPr>
            <w:tcW w:w="1080" w:type="dxa"/>
          </w:tcPr>
          <w:p w:rsidR="00323633" w:rsidRDefault="00CC0D3C">
            <w:pPr>
              <w:pStyle w:val="TableParagraph"/>
              <w:ind w:left="251"/>
              <w:rPr>
                <w:sz w:val="16"/>
              </w:rPr>
            </w:pPr>
            <w:r>
              <w:rPr>
                <w:sz w:val="16"/>
              </w:rPr>
              <w:t>887,592-</w:t>
            </w:r>
          </w:p>
          <w:p w:rsidR="00323633" w:rsidRDefault="00CC0D3C">
            <w:pPr>
              <w:pStyle w:val="TableParagraph"/>
              <w:spacing w:before="3" w:line="240" w:lineRule="auto"/>
              <w:ind w:left="216"/>
              <w:rPr>
                <w:sz w:val="16"/>
              </w:rPr>
            </w:pPr>
            <w:r>
              <w:rPr>
                <w:sz w:val="16"/>
              </w:rPr>
              <w:t>1,010,129</w:t>
            </w:r>
          </w:p>
        </w:tc>
        <w:tc>
          <w:tcPr>
            <w:tcW w:w="1080" w:type="dxa"/>
          </w:tcPr>
          <w:p w:rsidR="00323633" w:rsidRDefault="00CC0D3C">
            <w:pPr>
              <w:pStyle w:val="TableParagraph"/>
              <w:ind w:left="456"/>
              <w:rPr>
                <w:sz w:val="16"/>
              </w:rPr>
            </w:pPr>
            <w:r>
              <w:rPr>
                <w:sz w:val="16"/>
              </w:rPr>
              <w:t>19</w:t>
            </w:r>
          </w:p>
        </w:tc>
        <w:tc>
          <w:tcPr>
            <w:tcW w:w="1080" w:type="dxa"/>
          </w:tcPr>
          <w:p w:rsidR="00323633" w:rsidRDefault="00CC0D3C">
            <w:pPr>
              <w:pStyle w:val="TableParagraph"/>
              <w:ind w:left="151"/>
              <w:rPr>
                <w:sz w:val="16"/>
              </w:rPr>
            </w:pPr>
            <w:r>
              <w:rPr>
                <w:sz w:val="16"/>
              </w:rPr>
              <w:t>16,864,248-</w:t>
            </w:r>
          </w:p>
          <w:p w:rsidR="00323633" w:rsidRDefault="00CC0D3C">
            <w:pPr>
              <w:pStyle w:val="TableParagraph"/>
              <w:spacing w:before="3" w:line="240" w:lineRule="auto"/>
              <w:ind w:left="177"/>
              <w:rPr>
                <w:sz w:val="16"/>
              </w:rPr>
            </w:pPr>
            <w:r>
              <w:rPr>
                <w:sz w:val="16"/>
              </w:rPr>
              <w:t>19,192,451</w:t>
            </w:r>
          </w:p>
        </w:tc>
        <w:tc>
          <w:tcPr>
            <w:tcW w:w="1080" w:type="dxa"/>
          </w:tcPr>
          <w:p w:rsidR="00323633" w:rsidRDefault="00CC0D3C">
            <w:pPr>
              <w:pStyle w:val="TableParagraph"/>
              <w:jc w:val="center"/>
              <w:rPr>
                <w:sz w:val="16"/>
              </w:rPr>
            </w:pPr>
            <w:r>
              <w:rPr>
                <w:w w:val="99"/>
                <w:sz w:val="16"/>
              </w:rPr>
              <w:t>0</w:t>
            </w:r>
          </w:p>
        </w:tc>
        <w:tc>
          <w:tcPr>
            <w:tcW w:w="1478" w:type="dxa"/>
          </w:tcPr>
          <w:p w:rsidR="00323633" w:rsidRDefault="00CC0D3C">
            <w:pPr>
              <w:pStyle w:val="TableParagraph"/>
              <w:ind w:left="350"/>
              <w:rPr>
                <w:sz w:val="16"/>
              </w:rPr>
            </w:pPr>
            <w:r>
              <w:rPr>
                <w:sz w:val="16"/>
              </w:rPr>
              <w:t>16,864,248-</w:t>
            </w:r>
          </w:p>
          <w:p w:rsidR="00323633" w:rsidRDefault="00CC0D3C">
            <w:pPr>
              <w:pStyle w:val="TableParagraph"/>
              <w:spacing w:before="3" w:line="240" w:lineRule="auto"/>
              <w:ind w:left="376"/>
              <w:rPr>
                <w:sz w:val="16"/>
              </w:rPr>
            </w:pPr>
            <w:r>
              <w:rPr>
                <w:sz w:val="16"/>
              </w:rPr>
              <w:t>19,192,451</w:t>
            </w:r>
          </w:p>
        </w:tc>
      </w:tr>
      <w:tr w:rsidR="00323633">
        <w:trPr>
          <w:trHeight w:hRule="exact" w:val="384"/>
        </w:trPr>
        <w:tc>
          <w:tcPr>
            <w:tcW w:w="1121" w:type="dxa"/>
          </w:tcPr>
          <w:p w:rsidR="00323633" w:rsidRDefault="00CC0D3C">
            <w:pPr>
              <w:pStyle w:val="TableParagraph"/>
              <w:ind w:left="103" w:right="105"/>
              <w:jc w:val="center"/>
              <w:rPr>
                <w:sz w:val="16"/>
              </w:rPr>
            </w:pPr>
            <w:r>
              <w:rPr>
                <w:sz w:val="16"/>
              </w:rPr>
              <w:t>§484.14(i)</w:t>
            </w:r>
          </w:p>
        </w:tc>
        <w:tc>
          <w:tcPr>
            <w:tcW w:w="1080" w:type="dxa"/>
          </w:tcPr>
          <w:p w:rsidR="00323633" w:rsidRDefault="00323633"/>
        </w:tc>
        <w:tc>
          <w:tcPr>
            <w:tcW w:w="1169" w:type="dxa"/>
          </w:tcPr>
          <w:p w:rsidR="00323633" w:rsidRDefault="00CC0D3C">
            <w:pPr>
              <w:pStyle w:val="TableParagraph"/>
              <w:ind w:left="335"/>
              <w:rPr>
                <w:sz w:val="16"/>
              </w:rPr>
            </w:pPr>
            <w:r>
              <w:rPr>
                <w:sz w:val="16"/>
              </w:rPr>
              <w:t>11,930-</w:t>
            </w:r>
          </w:p>
          <w:p w:rsidR="00323633" w:rsidRDefault="00CC0D3C">
            <w:pPr>
              <w:pStyle w:val="TableParagraph"/>
              <w:spacing w:before="3" w:line="240" w:lineRule="auto"/>
              <w:ind w:left="362"/>
              <w:rPr>
                <w:sz w:val="16"/>
              </w:rPr>
            </w:pPr>
            <w:r>
              <w:rPr>
                <w:sz w:val="16"/>
              </w:rPr>
              <w:t>13,028</w:t>
            </w:r>
          </w:p>
        </w:tc>
        <w:tc>
          <w:tcPr>
            <w:tcW w:w="991" w:type="dxa"/>
          </w:tcPr>
          <w:p w:rsidR="00323633" w:rsidRDefault="00CC0D3C">
            <w:pPr>
              <w:pStyle w:val="TableParagraph"/>
              <w:ind w:left="247"/>
              <w:rPr>
                <w:sz w:val="16"/>
              </w:rPr>
            </w:pPr>
            <w:r>
              <w:rPr>
                <w:sz w:val="16"/>
              </w:rPr>
              <w:t>11,930-</w:t>
            </w:r>
          </w:p>
          <w:p w:rsidR="00323633" w:rsidRDefault="00CC0D3C">
            <w:pPr>
              <w:pStyle w:val="TableParagraph"/>
              <w:spacing w:before="3" w:line="240" w:lineRule="auto"/>
              <w:ind w:left="271"/>
              <w:rPr>
                <w:sz w:val="16"/>
              </w:rPr>
            </w:pPr>
            <w:r>
              <w:rPr>
                <w:sz w:val="16"/>
              </w:rPr>
              <w:t>13,028</w:t>
            </w:r>
          </w:p>
        </w:tc>
        <w:tc>
          <w:tcPr>
            <w:tcW w:w="900" w:type="dxa"/>
          </w:tcPr>
          <w:p w:rsidR="00323633" w:rsidRDefault="00CC0D3C">
            <w:pPr>
              <w:pStyle w:val="TableParagraph"/>
              <w:ind w:left="118" w:right="119"/>
              <w:jc w:val="center"/>
              <w:rPr>
                <w:sz w:val="16"/>
              </w:rPr>
            </w:pPr>
            <w:r>
              <w:rPr>
                <w:sz w:val="16"/>
              </w:rPr>
              <w:t>.5</w:t>
            </w:r>
          </w:p>
        </w:tc>
        <w:tc>
          <w:tcPr>
            <w:tcW w:w="1080" w:type="dxa"/>
          </w:tcPr>
          <w:p w:rsidR="00323633" w:rsidRDefault="00CC0D3C">
            <w:pPr>
              <w:pStyle w:val="TableParagraph"/>
              <w:ind w:left="93" w:right="93"/>
              <w:jc w:val="center"/>
              <w:rPr>
                <w:sz w:val="16"/>
              </w:rPr>
            </w:pPr>
            <w:r>
              <w:rPr>
                <w:sz w:val="16"/>
              </w:rPr>
              <w:t>5,965- 6,514</w:t>
            </w:r>
          </w:p>
        </w:tc>
        <w:tc>
          <w:tcPr>
            <w:tcW w:w="1080" w:type="dxa"/>
          </w:tcPr>
          <w:p w:rsidR="00323633" w:rsidRDefault="00CC0D3C">
            <w:pPr>
              <w:pStyle w:val="TableParagraph"/>
              <w:ind w:left="456"/>
              <w:rPr>
                <w:sz w:val="16"/>
              </w:rPr>
            </w:pPr>
            <w:r>
              <w:rPr>
                <w:sz w:val="16"/>
              </w:rPr>
              <w:t>60</w:t>
            </w:r>
          </w:p>
        </w:tc>
        <w:tc>
          <w:tcPr>
            <w:tcW w:w="1080" w:type="dxa"/>
          </w:tcPr>
          <w:p w:rsidR="00323633" w:rsidRDefault="00CC0D3C">
            <w:pPr>
              <w:pStyle w:val="TableParagraph"/>
              <w:ind w:left="251"/>
              <w:rPr>
                <w:sz w:val="16"/>
              </w:rPr>
            </w:pPr>
            <w:r>
              <w:rPr>
                <w:sz w:val="16"/>
              </w:rPr>
              <w:t>357,900-</w:t>
            </w:r>
          </w:p>
          <w:p w:rsidR="00323633" w:rsidRDefault="00CC0D3C">
            <w:pPr>
              <w:pStyle w:val="TableParagraph"/>
              <w:spacing w:before="3" w:line="240" w:lineRule="auto"/>
              <w:ind w:left="276"/>
              <w:rPr>
                <w:sz w:val="16"/>
              </w:rPr>
            </w:pPr>
            <w:r>
              <w:rPr>
                <w:sz w:val="16"/>
              </w:rPr>
              <w:t>390,840</w:t>
            </w:r>
          </w:p>
        </w:tc>
        <w:tc>
          <w:tcPr>
            <w:tcW w:w="1080" w:type="dxa"/>
          </w:tcPr>
          <w:p w:rsidR="00323633" w:rsidRDefault="00CC0D3C">
            <w:pPr>
              <w:pStyle w:val="TableParagraph"/>
              <w:jc w:val="center"/>
              <w:rPr>
                <w:sz w:val="16"/>
              </w:rPr>
            </w:pPr>
            <w:r>
              <w:rPr>
                <w:w w:val="98"/>
                <w:sz w:val="16"/>
              </w:rPr>
              <w:t>0</w:t>
            </w:r>
          </w:p>
        </w:tc>
        <w:tc>
          <w:tcPr>
            <w:tcW w:w="1478" w:type="dxa"/>
          </w:tcPr>
          <w:p w:rsidR="00323633" w:rsidRDefault="00CC0D3C">
            <w:pPr>
              <w:pStyle w:val="TableParagraph"/>
              <w:ind w:left="147" w:right="147"/>
              <w:jc w:val="center"/>
              <w:rPr>
                <w:sz w:val="16"/>
              </w:rPr>
            </w:pPr>
            <w:r>
              <w:rPr>
                <w:sz w:val="16"/>
              </w:rPr>
              <w:t>357,900- 390,840</w:t>
            </w:r>
          </w:p>
        </w:tc>
      </w:tr>
      <w:tr w:rsidR="00323633">
        <w:trPr>
          <w:trHeight w:hRule="exact" w:val="197"/>
        </w:trPr>
        <w:tc>
          <w:tcPr>
            <w:tcW w:w="1121" w:type="dxa"/>
          </w:tcPr>
          <w:p w:rsidR="00323633" w:rsidRDefault="00CC0D3C">
            <w:pPr>
              <w:pStyle w:val="TableParagraph"/>
              <w:ind w:left="103" w:right="105"/>
              <w:jc w:val="center"/>
              <w:rPr>
                <w:sz w:val="16"/>
              </w:rPr>
            </w:pPr>
            <w:r>
              <w:rPr>
                <w:sz w:val="16"/>
              </w:rPr>
              <w:t>§484.14(i)</w:t>
            </w:r>
          </w:p>
        </w:tc>
        <w:tc>
          <w:tcPr>
            <w:tcW w:w="1080" w:type="dxa"/>
          </w:tcPr>
          <w:p w:rsidR="00323633" w:rsidRDefault="00323633"/>
        </w:tc>
        <w:tc>
          <w:tcPr>
            <w:tcW w:w="1169" w:type="dxa"/>
          </w:tcPr>
          <w:p w:rsidR="00323633" w:rsidRDefault="00CC0D3C">
            <w:pPr>
              <w:pStyle w:val="TableParagraph"/>
              <w:ind w:left="439" w:right="439"/>
              <w:jc w:val="center"/>
              <w:rPr>
                <w:sz w:val="16"/>
              </w:rPr>
            </w:pPr>
            <w:r>
              <w:rPr>
                <w:sz w:val="16"/>
              </w:rPr>
              <w:t>549</w:t>
            </w:r>
          </w:p>
        </w:tc>
        <w:tc>
          <w:tcPr>
            <w:tcW w:w="991" w:type="dxa"/>
          </w:tcPr>
          <w:p w:rsidR="00323633" w:rsidRDefault="00CC0D3C">
            <w:pPr>
              <w:pStyle w:val="TableParagraph"/>
              <w:ind w:left="110" w:right="110"/>
              <w:jc w:val="center"/>
              <w:rPr>
                <w:sz w:val="16"/>
              </w:rPr>
            </w:pPr>
            <w:r>
              <w:rPr>
                <w:sz w:val="16"/>
              </w:rPr>
              <w:t>549</w:t>
            </w:r>
          </w:p>
        </w:tc>
        <w:tc>
          <w:tcPr>
            <w:tcW w:w="900" w:type="dxa"/>
          </w:tcPr>
          <w:p w:rsidR="00323633" w:rsidRDefault="00CC0D3C">
            <w:pPr>
              <w:pStyle w:val="TableParagraph"/>
              <w:ind w:left="119" w:right="119"/>
              <w:jc w:val="center"/>
              <w:rPr>
                <w:sz w:val="16"/>
              </w:rPr>
            </w:pPr>
            <w:r>
              <w:rPr>
                <w:sz w:val="16"/>
              </w:rPr>
              <w:t>1.5</w:t>
            </w:r>
          </w:p>
        </w:tc>
        <w:tc>
          <w:tcPr>
            <w:tcW w:w="1080" w:type="dxa"/>
          </w:tcPr>
          <w:p w:rsidR="00323633" w:rsidRDefault="00CC0D3C">
            <w:pPr>
              <w:pStyle w:val="TableParagraph"/>
              <w:ind w:left="93" w:right="93"/>
              <w:jc w:val="center"/>
              <w:rPr>
                <w:sz w:val="16"/>
              </w:rPr>
            </w:pPr>
            <w:r>
              <w:rPr>
                <w:sz w:val="16"/>
              </w:rPr>
              <w:t>824</w:t>
            </w:r>
          </w:p>
        </w:tc>
        <w:tc>
          <w:tcPr>
            <w:tcW w:w="1080" w:type="dxa"/>
          </w:tcPr>
          <w:p w:rsidR="00323633" w:rsidRDefault="00CC0D3C">
            <w:pPr>
              <w:pStyle w:val="TableParagraph"/>
              <w:ind w:left="456"/>
              <w:rPr>
                <w:sz w:val="16"/>
              </w:rPr>
            </w:pPr>
            <w:r>
              <w:rPr>
                <w:sz w:val="16"/>
              </w:rPr>
              <w:t>60</w:t>
            </w:r>
          </w:p>
        </w:tc>
        <w:tc>
          <w:tcPr>
            <w:tcW w:w="1080" w:type="dxa"/>
          </w:tcPr>
          <w:p w:rsidR="00323633" w:rsidRDefault="00CC0D3C">
            <w:pPr>
              <w:pStyle w:val="TableParagraph"/>
              <w:ind w:left="316"/>
              <w:rPr>
                <w:sz w:val="16"/>
              </w:rPr>
            </w:pPr>
            <w:r>
              <w:rPr>
                <w:sz w:val="16"/>
              </w:rPr>
              <w:t>49,440</w:t>
            </w:r>
          </w:p>
        </w:tc>
        <w:tc>
          <w:tcPr>
            <w:tcW w:w="1080" w:type="dxa"/>
          </w:tcPr>
          <w:p w:rsidR="00323633" w:rsidRDefault="00CC0D3C">
            <w:pPr>
              <w:pStyle w:val="TableParagraph"/>
              <w:jc w:val="center"/>
              <w:rPr>
                <w:sz w:val="16"/>
              </w:rPr>
            </w:pPr>
            <w:r>
              <w:rPr>
                <w:w w:val="99"/>
                <w:sz w:val="16"/>
              </w:rPr>
              <w:t>0</w:t>
            </w:r>
          </w:p>
        </w:tc>
        <w:tc>
          <w:tcPr>
            <w:tcW w:w="1478" w:type="dxa"/>
          </w:tcPr>
          <w:p w:rsidR="00323633" w:rsidRDefault="00CC0D3C">
            <w:pPr>
              <w:pStyle w:val="TableParagraph"/>
              <w:ind w:left="147" w:right="147"/>
              <w:jc w:val="center"/>
              <w:rPr>
                <w:sz w:val="16"/>
              </w:rPr>
            </w:pPr>
            <w:r>
              <w:rPr>
                <w:sz w:val="16"/>
              </w:rPr>
              <w:t>49,440</w:t>
            </w:r>
          </w:p>
        </w:tc>
      </w:tr>
      <w:tr w:rsidR="00323633">
        <w:trPr>
          <w:trHeight w:hRule="exact" w:val="384"/>
        </w:trPr>
        <w:tc>
          <w:tcPr>
            <w:tcW w:w="1121" w:type="dxa"/>
          </w:tcPr>
          <w:p w:rsidR="00323633" w:rsidRDefault="00CC0D3C">
            <w:pPr>
              <w:pStyle w:val="TableParagraph"/>
              <w:ind w:left="104" w:right="104"/>
              <w:jc w:val="center"/>
              <w:rPr>
                <w:sz w:val="16"/>
              </w:rPr>
            </w:pPr>
            <w:r>
              <w:rPr>
                <w:sz w:val="16"/>
              </w:rPr>
              <w:t>§484.16(a)</w:t>
            </w:r>
          </w:p>
        </w:tc>
        <w:tc>
          <w:tcPr>
            <w:tcW w:w="1080" w:type="dxa"/>
          </w:tcPr>
          <w:p w:rsidR="00323633" w:rsidRDefault="00323633"/>
        </w:tc>
        <w:tc>
          <w:tcPr>
            <w:tcW w:w="1169" w:type="dxa"/>
          </w:tcPr>
          <w:p w:rsidR="00323633" w:rsidRDefault="00CC0D3C">
            <w:pPr>
              <w:pStyle w:val="TableParagraph"/>
              <w:ind w:right="115"/>
              <w:jc w:val="right"/>
              <w:rPr>
                <w:sz w:val="16"/>
              </w:rPr>
            </w:pPr>
            <w:r>
              <w:rPr>
                <w:sz w:val="16"/>
              </w:rPr>
              <w:t>11,930-13,577</w:t>
            </w:r>
          </w:p>
        </w:tc>
        <w:tc>
          <w:tcPr>
            <w:tcW w:w="991" w:type="dxa"/>
          </w:tcPr>
          <w:p w:rsidR="00323633" w:rsidRDefault="00CC0D3C">
            <w:pPr>
              <w:pStyle w:val="TableParagraph"/>
              <w:ind w:left="247"/>
              <w:rPr>
                <w:sz w:val="16"/>
              </w:rPr>
            </w:pPr>
            <w:r>
              <w:rPr>
                <w:sz w:val="16"/>
              </w:rPr>
              <w:t>11,930-</w:t>
            </w:r>
          </w:p>
          <w:p w:rsidR="00323633" w:rsidRDefault="00CC0D3C">
            <w:pPr>
              <w:pStyle w:val="TableParagraph"/>
              <w:spacing w:before="3" w:line="240" w:lineRule="auto"/>
              <w:ind w:left="271"/>
              <w:rPr>
                <w:sz w:val="16"/>
              </w:rPr>
            </w:pPr>
            <w:r>
              <w:rPr>
                <w:sz w:val="16"/>
              </w:rPr>
              <w:t>13,577</w:t>
            </w:r>
          </w:p>
        </w:tc>
        <w:tc>
          <w:tcPr>
            <w:tcW w:w="900" w:type="dxa"/>
          </w:tcPr>
          <w:p w:rsidR="00323633" w:rsidRDefault="00CC0D3C">
            <w:pPr>
              <w:pStyle w:val="TableParagraph"/>
              <w:ind w:left="119" w:right="119"/>
              <w:jc w:val="center"/>
              <w:rPr>
                <w:sz w:val="16"/>
              </w:rPr>
            </w:pPr>
            <w:r>
              <w:rPr>
                <w:sz w:val="16"/>
              </w:rPr>
              <w:t>.167</w:t>
            </w:r>
          </w:p>
        </w:tc>
        <w:tc>
          <w:tcPr>
            <w:tcW w:w="1080" w:type="dxa"/>
          </w:tcPr>
          <w:p w:rsidR="00323633" w:rsidRDefault="00CC0D3C">
            <w:pPr>
              <w:pStyle w:val="TableParagraph"/>
              <w:ind w:left="93" w:right="93"/>
              <w:jc w:val="center"/>
              <w:rPr>
                <w:sz w:val="16"/>
              </w:rPr>
            </w:pPr>
            <w:r>
              <w:rPr>
                <w:sz w:val="16"/>
              </w:rPr>
              <w:t>1,988- 2,263</w:t>
            </w:r>
          </w:p>
        </w:tc>
        <w:tc>
          <w:tcPr>
            <w:tcW w:w="1080" w:type="dxa"/>
          </w:tcPr>
          <w:p w:rsidR="00323633" w:rsidRDefault="00CC0D3C">
            <w:pPr>
              <w:pStyle w:val="TableParagraph"/>
              <w:ind w:left="456"/>
              <w:rPr>
                <w:sz w:val="16"/>
              </w:rPr>
            </w:pPr>
            <w:r>
              <w:rPr>
                <w:sz w:val="16"/>
              </w:rPr>
              <w:t>19</w:t>
            </w:r>
          </w:p>
        </w:tc>
        <w:tc>
          <w:tcPr>
            <w:tcW w:w="1080" w:type="dxa"/>
          </w:tcPr>
          <w:p w:rsidR="00323633" w:rsidRDefault="00CC0D3C">
            <w:pPr>
              <w:pStyle w:val="TableParagraph"/>
              <w:ind w:left="290"/>
              <w:rPr>
                <w:sz w:val="16"/>
              </w:rPr>
            </w:pPr>
            <w:r>
              <w:rPr>
                <w:sz w:val="16"/>
              </w:rPr>
              <w:t>37,772-</w:t>
            </w:r>
          </w:p>
          <w:p w:rsidR="00323633" w:rsidRDefault="00CC0D3C">
            <w:pPr>
              <w:pStyle w:val="TableParagraph"/>
              <w:spacing w:before="3" w:line="240" w:lineRule="auto"/>
              <w:ind w:left="316"/>
              <w:rPr>
                <w:sz w:val="16"/>
              </w:rPr>
            </w:pPr>
            <w:r>
              <w:rPr>
                <w:sz w:val="16"/>
              </w:rPr>
              <w:t>42,997</w:t>
            </w:r>
          </w:p>
        </w:tc>
        <w:tc>
          <w:tcPr>
            <w:tcW w:w="1080" w:type="dxa"/>
          </w:tcPr>
          <w:p w:rsidR="00323633" w:rsidRDefault="00CC0D3C">
            <w:pPr>
              <w:pStyle w:val="TableParagraph"/>
              <w:jc w:val="center"/>
              <w:rPr>
                <w:sz w:val="16"/>
              </w:rPr>
            </w:pPr>
            <w:r>
              <w:rPr>
                <w:w w:val="98"/>
                <w:sz w:val="16"/>
              </w:rPr>
              <w:t>0</w:t>
            </w:r>
          </w:p>
        </w:tc>
        <w:tc>
          <w:tcPr>
            <w:tcW w:w="1478" w:type="dxa"/>
          </w:tcPr>
          <w:p w:rsidR="00323633" w:rsidRDefault="00CC0D3C">
            <w:pPr>
              <w:pStyle w:val="TableParagraph"/>
              <w:ind w:left="147" w:right="147"/>
              <w:jc w:val="center"/>
              <w:rPr>
                <w:sz w:val="16"/>
              </w:rPr>
            </w:pPr>
            <w:r>
              <w:rPr>
                <w:sz w:val="16"/>
              </w:rPr>
              <w:t>37,772- 42,997</w:t>
            </w:r>
          </w:p>
        </w:tc>
      </w:tr>
      <w:tr w:rsidR="00323633">
        <w:trPr>
          <w:trHeight w:hRule="exact" w:val="384"/>
        </w:trPr>
        <w:tc>
          <w:tcPr>
            <w:tcW w:w="1121" w:type="dxa"/>
          </w:tcPr>
          <w:p w:rsidR="00323633" w:rsidRDefault="00CC0D3C">
            <w:pPr>
              <w:pStyle w:val="TableParagraph"/>
              <w:ind w:left="104" w:right="105"/>
              <w:jc w:val="center"/>
              <w:rPr>
                <w:sz w:val="16"/>
              </w:rPr>
            </w:pPr>
            <w:r>
              <w:rPr>
                <w:sz w:val="16"/>
              </w:rPr>
              <w:t>§484.18(a) &amp;</w:t>
            </w:r>
          </w:p>
          <w:p w:rsidR="00323633" w:rsidRDefault="00CC0D3C">
            <w:pPr>
              <w:pStyle w:val="TableParagraph"/>
              <w:spacing w:before="3" w:line="240" w:lineRule="auto"/>
              <w:ind w:left="103" w:right="105"/>
              <w:jc w:val="center"/>
              <w:rPr>
                <w:sz w:val="16"/>
              </w:rPr>
            </w:pPr>
            <w:r>
              <w:rPr>
                <w:sz w:val="16"/>
              </w:rPr>
              <w:t>(b)</w:t>
            </w:r>
          </w:p>
        </w:tc>
        <w:tc>
          <w:tcPr>
            <w:tcW w:w="1080" w:type="dxa"/>
          </w:tcPr>
          <w:p w:rsidR="00323633" w:rsidRDefault="00323633"/>
        </w:tc>
        <w:tc>
          <w:tcPr>
            <w:tcW w:w="1169" w:type="dxa"/>
          </w:tcPr>
          <w:p w:rsidR="00323633" w:rsidRDefault="00CC0D3C">
            <w:pPr>
              <w:pStyle w:val="TableParagraph"/>
              <w:ind w:right="115"/>
              <w:jc w:val="right"/>
              <w:rPr>
                <w:sz w:val="16"/>
              </w:rPr>
            </w:pPr>
            <w:r>
              <w:rPr>
                <w:sz w:val="16"/>
              </w:rPr>
              <w:t>11,930-13,577</w:t>
            </w:r>
          </w:p>
        </w:tc>
        <w:tc>
          <w:tcPr>
            <w:tcW w:w="991" w:type="dxa"/>
          </w:tcPr>
          <w:p w:rsidR="00323633" w:rsidRDefault="00CC0D3C">
            <w:pPr>
              <w:pStyle w:val="TableParagraph"/>
              <w:ind w:left="107"/>
              <w:rPr>
                <w:sz w:val="16"/>
              </w:rPr>
            </w:pPr>
            <w:r>
              <w:rPr>
                <w:sz w:val="16"/>
              </w:rPr>
              <w:t>17,751,840-</w:t>
            </w:r>
          </w:p>
          <w:p w:rsidR="00323633" w:rsidRDefault="00CC0D3C">
            <w:pPr>
              <w:pStyle w:val="TableParagraph"/>
              <w:spacing w:before="3" w:line="240" w:lineRule="auto"/>
              <w:ind w:left="131"/>
              <w:rPr>
                <w:sz w:val="16"/>
              </w:rPr>
            </w:pPr>
            <w:r>
              <w:rPr>
                <w:sz w:val="16"/>
              </w:rPr>
              <w:t>20,202,576</w:t>
            </w:r>
          </w:p>
        </w:tc>
        <w:tc>
          <w:tcPr>
            <w:tcW w:w="900" w:type="dxa"/>
          </w:tcPr>
          <w:p w:rsidR="00323633" w:rsidRDefault="00CC0D3C">
            <w:pPr>
              <w:pStyle w:val="TableParagraph"/>
              <w:ind w:left="119" w:right="119"/>
              <w:jc w:val="center"/>
              <w:rPr>
                <w:sz w:val="16"/>
              </w:rPr>
            </w:pPr>
            <w:r>
              <w:rPr>
                <w:sz w:val="16"/>
              </w:rPr>
              <w:t>.083</w:t>
            </w:r>
          </w:p>
        </w:tc>
        <w:tc>
          <w:tcPr>
            <w:tcW w:w="1080" w:type="dxa"/>
          </w:tcPr>
          <w:p w:rsidR="00323633" w:rsidRDefault="00CC0D3C">
            <w:pPr>
              <w:pStyle w:val="TableParagraph"/>
              <w:ind w:left="191"/>
              <w:rPr>
                <w:sz w:val="16"/>
              </w:rPr>
            </w:pPr>
            <w:r>
              <w:rPr>
                <w:sz w:val="16"/>
              </w:rPr>
              <w:t>1,479,320-</w:t>
            </w:r>
          </w:p>
          <w:p w:rsidR="00323633" w:rsidRDefault="00CC0D3C">
            <w:pPr>
              <w:pStyle w:val="TableParagraph"/>
              <w:spacing w:before="3" w:line="240" w:lineRule="auto"/>
              <w:ind w:left="216"/>
              <w:rPr>
                <w:sz w:val="16"/>
              </w:rPr>
            </w:pPr>
            <w:r>
              <w:rPr>
                <w:sz w:val="16"/>
              </w:rPr>
              <w:t>1,683,548</w:t>
            </w:r>
          </w:p>
        </w:tc>
        <w:tc>
          <w:tcPr>
            <w:tcW w:w="1080" w:type="dxa"/>
          </w:tcPr>
          <w:p w:rsidR="00323633" w:rsidRDefault="00CC0D3C">
            <w:pPr>
              <w:pStyle w:val="TableParagraph"/>
              <w:ind w:left="456"/>
              <w:rPr>
                <w:sz w:val="16"/>
              </w:rPr>
            </w:pPr>
            <w:r>
              <w:rPr>
                <w:sz w:val="16"/>
              </w:rPr>
              <w:t>19</w:t>
            </w:r>
          </w:p>
        </w:tc>
        <w:tc>
          <w:tcPr>
            <w:tcW w:w="1080" w:type="dxa"/>
          </w:tcPr>
          <w:p w:rsidR="00323633" w:rsidRDefault="00CC0D3C">
            <w:pPr>
              <w:pStyle w:val="TableParagraph"/>
              <w:ind w:left="151"/>
              <w:rPr>
                <w:sz w:val="16"/>
              </w:rPr>
            </w:pPr>
            <w:r>
              <w:rPr>
                <w:sz w:val="16"/>
              </w:rPr>
              <w:t>28,107,080-</w:t>
            </w:r>
          </w:p>
          <w:p w:rsidR="00323633" w:rsidRDefault="00CC0D3C">
            <w:pPr>
              <w:pStyle w:val="TableParagraph"/>
              <w:spacing w:before="3" w:line="240" w:lineRule="auto"/>
              <w:ind w:left="177"/>
              <w:rPr>
                <w:sz w:val="16"/>
              </w:rPr>
            </w:pPr>
            <w:r>
              <w:rPr>
                <w:sz w:val="16"/>
              </w:rPr>
              <w:t>31,987,412</w:t>
            </w:r>
          </w:p>
        </w:tc>
        <w:tc>
          <w:tcPr>
            <w:tcW w:w="1080" w:type="dxa"/>
          </w:tcPr>
          <w:p w:rsidR="00323633" w:rsidRDefault="00CC0D3C">
            <w:pPr>
              <w:pStyle w:val="TableParagraph"/>
              <w:jc w:val="center"/>
              <w:rPr>
                <w:sz w:val="16"/>
              </w:rPr>
            </w:pPr>
            <w:r>
              <w:rPr>
                <w:w w:val="98"/>
                <w:sz w:val="16"/>
              </w:rPr>
              <w:t>0</w:t>
            </w:r>
          </w:p>
        </w:tc>
        <w:tc>
          <w:tcPr>
            <w:tcW w:w="1478" w:type="dxa"/>
          </w:tcPr>
          <w:p w:rsidR="00323633" w:rsidRDefault="00CC0D3C">
            <w:pPr>
              <w:pStyle w:val="TableParagraph"/>
              <w:ind w:left="350"/>
              <w:rPr>
                <w:sz w:val="16"/>
              </w:rPr>
            </w:pPr>
            <w:r>
              <w:rPr>
                <w:sz w:val="16"/>
              </w:rPr>
              <w:t>28,107,080-</w:t>
            </w:r>
          </w:p>
          <w:p w:rsidR="00323633" w:rsidRDefault="00CC0D3C">
            <w:pPr>
              <w:pStyle w:val="TableParagraph"/>
              <w:spacing w:before="3" w:line="240" w:lineRule="auto"/>
              <w:ind w:left="376"/>
              <w:rPr>
                <w:sz w:val="16"/>
              </w:rPr>
            </w:pPr>
            <w:r>
              <w:rPr>
                <w:sz w:val="16"/>
              </w:rPr>
              <w:t>31,987,412</w:t>
            </w:r>
          </w:p>
        </w:tc>
      </w:tr>
      <w:tr w:rsidR="00323633">
        <w:trPr>
          <w:trHeight w:hRule="exact" w:val="197"/>
        </w:trPr>
        <w:tc>
          <w:tcPr>
            <w:tcW w:w="1121" w:type="dxa"/>
          </w:tcPr>
          <w:p w:rsidR="00323633" w:rsidRDefault="00CC0D3C">
            <w:pPr>
              <w:pStyle w:val="TableParagraph"/>
              <w:ind w:left="104" w:right="104"/>
              <w:jc w:val="center"/>
              <w:rPr>
                <w:sz w:val="16"/>
              </w:rPr>
            </w:pPr>
            <w:r>
              <w:rPr>
                <w:sz w:val="16"/>
              </w:rPr>
              <w:t>§484.36(b)</w:t>
            </w:r>
          </w:p>
        </w:tc>
        <w:tc>
          <w:tcPr>
            <w:tcW w:w="1080" w:type="dxa"/>
          </w:tcPr>
          <w:p w:rsidR="00323633" w:rsidRDefault="00323633"/>
        </w:tc>
        <w:tc>
          <w:tcPr>
            <w:tcW w:w="1169" w:type="dxa"/>
          </w:tcPr>
          <w:p w:rsidR="00323633" w:rsidRDefault="00CC0D3C">
            <w:pPr>
              <w:pStyle w:val="TableParagraph"/>
              <w:ind w:left="439" w:right="439"/>
              <w:jc w:val="center"/>
              <w:rPr>
                <w:sz w:val="16"/>
              </w:rPr>
            </w:pPr>
            <w:r>
              <w:rPr>
                <w:sz w:val="16"/>
              </w:rPr>
              <w:t>549</w:t>
            </w:r>
          </w:p>
        </w:tc>
        <w:tc>
          <w:tcPr>
            <w:tcW w:w="991" w:type="dxa"/>
          </w:tcPr>
          <w:p w:rsidR="00323633" w:rsidRDefault="00CC0D3C">
            <w:pPr>
              <w:pStyle w:val="TableParagraph"/>
              <w:ind w:left="110" w:right="110"/>
              <w:jc w:val="center"/>
              <w:rPr>
                <w:sz w:val="16"/>
              </w:rPr>
            </w:pPr>
            <w:r>
              <w:rPr>
                <w:sz w:val="16"/>
              </w:rPr>
              <w:t>549</w:t>
            </w:r>
          </w:p>
        </w:tc>
        <w:tc>
          <w:tcPr>
            <w:tcW w:w="900" w:type="dxa"/>
          </w:tcPr>
          <w:p w:rsidR="00323633" w:rsidRDefault="00CC0D3C">
            <w:pPr>
              <w:pStyle w:val="TableParagraph"/>
              <w:jc w:val="center"/>
              <w:rPr>
                <w:sz w:val="16"/>
              </w:rPr>
            </w:pPr>
            <w:r>
              <w:rPr>
                <w:w w:val="99"/>
                <w:sz w:val="16"/>
              </w:rPr>
              <w:t>3</w:t>
            </w:r>
          </w:p>
        </w:tc>
        <w:tc>
          <w:tcPr>
            <w:tcW w:w="1080" w:type="dxa"/>
          </w:tcPr>
          <w:p w:rsidR="00323633" w:rsidRDefault="00CC0D3C">
            <w:pPr>
              <w:pStyle w:val="TableParagraph"/>
              <w:ind w:left="93" w:right="93"/>
              <w:jc w:val="center"/>
              <w:rPr>
                <w:sz w:val="16"/>
              </w:rPr>
            </w:pPr>
            <w:r>
              <w:rPr>
                <w:sz w:val="16"/>
              </w:rPr>
              <w:t>1,647</w:t>
            </w:r>
          </w:p>
        </w:tc>
        <w:tc>
          <w:tcPr>
            <w:tcW w:w="1080" w:type="dxa"/>
          </w:tcPr>
          <w:p w:rsidR="00323633" w:rsidRDefault="00CC0D3C">
            <w:pPr>
              <w:pStyle w:val="TableParagraph"/>
              <w:ind w:left="456"/>
              <w:rPr>
                <w:sz w:val="16"/>
              </w:rPr>
            </w:pPr>
            <w:r>
              <w:rPr>
                <w:sz w:val="16"/>
              </w:rPr>
              <w:t>60</w:t>
            </w:r>
          </w:p>
        </w:tc>
        <w:tc>
          <w:tcPr>
            <w:tcW w:w="1080" w:type="dxa"/>
          </w:tcPr>
          <w:p w:rsidR="00323633" w:rsidRDefault="00CC0D3C">
            <w:pPr>
              <w:pStyle w:val="TableParagraph"/>
              <w:ind w:left="316"/>
              <w:rPr>
                <w:sz w:val="16"/>
              </w:rPr>
            </w:pPr>
            <w:r>
              <w:rPr>
                <w:sz w:val="16"/>
              </w:rPr>
              <w:t>98,820</w:t>
            </w:r>
          </w:p>
        </w:tc>
        <w:tc>
          <w:tcPr>
            <w:tcW w:w="1080" w:type="dxa"/>
          </w:tcPr>
          <w:p w:rsidR="00323633" w:rsidRDefault="00CC0D3C">
            <w:pPr>
              <w:pStyle w:val="TableParagraph"/>
              <w:jc w:val="center"/>
              <w:rPr>
                <w:sz w:val="16"/>
              </w:rPr>
            </w:pPr>
            <w:r>
              <w:rPr>
                <w:w w:val="99"/>
                <w:sz w:val="16"/>
              </w:rPr>
              <w:t>0</w:t>
            </w:r>
          </w:p>
        </w:tc>
        <w:tc>
          <w:tcPr>
            <w:tcW w:w="1478" w:type="dxa"/>
          </w:tcPr>
          <w:p w:rsidR="00323633" w:rsidRDefault="00CC0D3C">
            <w:pPr>
              <w:pStyle w:val="TableParagraph"/>
              <w:ind w:left="147" w:right="147"/>
              <w:jc w:val="center"/>
              <w:rPr>
                <w:sz w:val="16"/>
              </w:rPr>
            </w:pPr>
            <w:r>
              <w:rPr>
                <w:sz w:val="16"/>
              </w:rPr>
              <w:t>98,820</w:t>
            </w:r>
          </w:p>
        </w:tc>
      </w:tr>
      <w:tr w:rsidR="00323633">
        <w:trPr>
          <w:trHeight w:hRule="exact" w:val="384"/>
        </w:trPr>
        <w:tc>
          <w:tcPr>
            <w:tcW w:w="1121" w:type="dxa"/>
          </w:tcPr>
          <w:p w:rsidR="00323633" w:rsidRDefault="00CC0D3C">
            <w:pPr>
              <w:pStyle w:val="TableParagraph"/>
              <w:ind w:left="104" w:right="104"/>
              <w:jc w:val="center"/>
              <w:rPr>
                <w:sz w:val="16"/>
              </w:rPr>
            </w:pPr>
            <w:r>
              <w:rPr>
                <w:sz w:val="16"/>
              </w:rPr>
              <w:t>§484.36(c)</w:t>
            </w:r>
          </w:p>
        </w:tc>
        <w:tc>
          <w:tcPr>
            <w:tcW w:w="1080" w:type="dxa"/>
          </w:tcPr>
          <w:p w:rsidR="00323633" w:rsidRDefault="00323633"/>
        </w:tc>
        <w:tc>
          <w:tcPr>
            <w:tcW w:w="1169" w:type="dxa"/>
          </w:tcPr>
          <w:p w:rsidR="00323633" w:rsidRDefault="00CC0D3C">
            <w:pPr>
              <w:pStyle w:val="TableParagraph"/>
              <w:ind w:right="115"/>
              <w:jc w:val="right"/>
              <w:rPr>
                <w:sz w:val="16"/>
              </w:rPr>
            </w:pPr>
            <w:r>
              <w:rPr>
                <w:sz w:val="16"/>
              </w:rPr>
              <w:t>11,930-13,577</w:t>
            </w:r>
          </w:p>
        </w:tc>
        <w:tc>
          <w:tcPr>
            <w:tcW w:w="991" w:type="dxa"/>
          </w:tcPr>
          <w:p w:rsidR="00323633" w:rsidRDefault="00CC0D3C">
            <w:pPr>
              <w:pStyle w:val="TableParagraph"/>
              <w:ind w:left="107"/>
              <w:rPr>
                <w:sz w:val="16"/>
              </w:rPr>
            </w:pPr>
            <w:r>
              <w:rPr>
                <w:sz w:val="16"/>
              </w:rPr>
              <w:t>17,751,840-</w:t>
            </w:r>
          </w:p>
          <w:p w:rsidR="00323633" w:rsidRDefault="00CC0D3C">
            <w:pPr>
              <w:pStyle w:val="TableParagraph"/>
              <w:spacing w:before="3" w:line="240" w:lineRule="auto"/>
              <w:ind w:left="131"/>
              <w:rPr>
                <w:sz w:val="16"/>
              </w:rPr>
            </w:pPr>
            <w:r>
              <w:rPr>
                <w:sz w:val="16"/>
              </w:rPr>
              <w:t>20,202,576</w:t>
            </w:r>
          </w:p>
        </w:tc>
        <w:tc>
          <w:tcPr>
            <w:tcW w:w="900" w:type="dxa"/>
          </w:tcPr>
          <w:p w:rsidR="00323633" w:rsidRDefault="00CC0D3C">
            <w:pPr>
              <w:pStyle w:val="TableParagraph"/>
              <w:ind w:left="119" w:right="119"/>
              <w:jc w:val="center"/>
              <w:rPr>
                <w:sz w:val="16"/>
              </w:rPr>
            </w:pPr>
            <w:r>
              <w:rPr>
                <w:sz w:val="16"/>
              </w:rPr>
              <w:t>.05</w:t>
            </w:r>
          </w:p>
        </w:tc>
        <w:tc>
          <w:tcPr>
            <w:tcW w:w="1080" w:type="dxa"/>
          </w:tcPr>
          <w:p w:rsidR="00323633" w:rsidRDefault="00CC0D3C">
            <w:pPr>
              <w:pStyle w:val="TableParagraph"/>
              <w:ind w:left="251"/>
              <w:rPr>
                <w:sz w:val="16"/>
              </w:rPr>
            </w:pPr>
            <w:r>
              <w:rPr>
                <w:sz w:val="16"/>
              </w:rPr>
              <w:t>887,592-</w:t>
            </w:r>
          </w:p>
          <w:p w:rsidR="00323633" w:rsidRDefault="00CC0D3C">
            <w:pPr>
              <w:pStyle w:val="TableParagraph"/>
              <w:spacing w:before="3" w:line="240" w:lineRule="auto"/>
              <w:ind w:left="216"/>
              <w:rPr>
                <w:sz w:val="16"/>
              </w:rPr>
            </w:pPr>
            <w:r>
              <w:rPr>
                <w:sz w:val="16"/>
              </w:rPr>
              <w:t>1,010,129</w:t>
            </w:r>
          </w:p>
        </w:tc>
        <w:tc>
          <w:tcPr>
            <w:tcW w:w="1080" w:type="dxa"/>
          </w:tcPr>
          <w:p w:rsidR="00323633" w:rsidRDefault="00CC0D3C">
            <w:pPr>
              <w:pStyle w:val="TableParagraph"/>
              <w:ind w:left="456"/>
              <w:rPr>
                <w:sz w:val="16"/>
              </w:rPr>
            </w:pPr>
            <w:r>
              <w:rPr>
                <w:sz w:val="16"/>
              </w:rPr>
              <w:t>46</w:t>
            </w:r>
          </w:p>
        </w:tc>
        <w:tc>
          <w:tcPr>
            <w:tcW w:w="1080" w:type="dxa"/>
          </w:tcPr>
          <w:p w:rsidR="00323633" w:rsidRDefault="00CC0D3C">
            <w:pPr>
              <w:pStyle w:val="TableParagraph"/>
              <w:ind w:left="151"/>
              <w:rPr>
                <w:sz w:val="16"/>
              </w:rPr>
            </w:pPr>
            <w:r>
              <w:rPr>
                <w:sz w:val="16"/>
              </w:rPr>
              <w:t>40,829,232-</w:t>
            </w:r>
          </w:p>
          <w:p w:rsidR="00323633" w:rsidRDefault="00CC0D3C">
            <w:pPr>
              <w:pStyle w:val="TableParagraph"/>
              <w:spacing w:before="3" w:line="240" w:lineRule="auto"/>
              <w:ind w:left="177"/>
              <w:rPr>
                <w:sz w:val="16"/>
              </w:rPr>
            </w:pPr>
            <w:r>
              <w:rPr>
                <w:sz w:val="16"/>
              </w:rPr>
              <w:t>46,465,934</w:t>
            </w:r>
          </w:p>
        </w:tc>
        <w:tc>
          <w:tcPr>
            <w:tcW w:w="1080" w:type="dxa"/>
          </w:tcPr>
          <w:p w:rsidR="00323633" w:rsidRDefault="00CC0D3C">
            <w:pPr>
              <w:pStyle w:val="TableParagraph"/>
              <w:jc w:val="center"/>
              <w:rPr>
                <w:sz w:val="16"/>
              </w:rPr>
            </w:pPr>
            <w:r>
              <w:rPr>
                <w:w w:val="99"/>
                <w:sz w:val="16"/>
              </w:rPr>
              <w:t>0</w:t>
            </w:r>
          </w:p>
        </w:tc>
        <w:tc>
          <w:tcPr>
            <w:tcW w:w="1478" w:type="dxa"/>
          </w:tcPr>
          <w:p w:rsidR="00323633" w:rsidRDefault="00CC0D3C">
            <w:pPr>
              <w:pStyle w:val="TableParagraph"/>
              <w:ind w:left="350"/>
              <w:rPr>
                <w:sz w:val="16"/>
              </w:rPr>
            </w:pPr>
            <w:r>
              <w:rPr>
                <w:sz w:val="16"/>
              </w:rPr>
              <w:t>40,829,232-</w:t>
            </w:r>
          </w:p>
          <w:p w:rsidR="00323633" w:rsidRDefault="00CC0D3C">
            <w:pPr>
              <w:pStyle w:val="TableParagraph"/>
              <w:spacing w:before="3" w:line="240" w:lineRule="auto"/>
              <w:ind w:left="376"/>
              <w:rPr>
                <w:sz w:val="16"/>
              </w:rPr>
            </w:pPr>
            <w:r>
              <w:rPr>
                <w:sz w:val="16"/>
              </w:rPr>
              <w:t>46,465,934</w:t>
            </w:r>
          </w:p>
        </w:tc>
      </w:tr>
      <w:tr w:rsidR="00323633">
        <w:trPr>
          <w:trHeight w:hRule="exact" w:val="384"/>
        </w:trPr>
        <w:tc>
          <w:tcPr>
            <w:tcW w:w="1121" w:type="dxa"/>
          </w:tcPr>
          <w:p w:rsidR="00323633" w:rsidRDefault="00CC0D3C">
            <w:pPr>
              <w:pStyle w:val="TableParagraph"/>
              <w:ind w:left="104" w:right="104"/>
              <w:jc w:val="center"/>
              <w:rPr>
                <w:sz w:val="16"/>
              </w:rPr>
            </w:pPr>
            <w:r>
              <w:rPr>
                <w:sz w:val="16"/>
              </w:rPr>
              <w:t>§484.48(a)</w:t>
            </w:r>
          </w:p>
        </w:tc>
        <w:tc>
          <w:tcPr>
            <w:tcW w:w="1080" w:type="dxa"/>
          </w:tcPr>
          <w:p w:rsidR="00323633" w:rsidRDefault="00323633"/>
        </w:tc>
        <w:tc>
          <w:tcPr>
            <w:tcW w:w="1169" w:type="dxa"/>
          </w:tcPr>
          <w:p w:rsidR="00323633" w:rsidRDefault="00CC0D3C">
            <w:pPr>
              <w:pStyle w:val="TableParagraph"/>
              <w:ind w:right="115"/>
              <w:jc w:val="right"/>
              <w:rPr>
                <w:sz w:val="16"/>
              </w:rPr>
            </w:pPr>
            <w:r>
              <w:rPr>
                <w:sz w:val="16"/>
              </w:rPr>
              <w:t>11,930-13,577</w:t>
            </w:r>
          </w:p>
        </w:tc>
        <w:tc>
          <w:tcPr>
            <w:tcW w:w="991" w:type="dxa"/>
          </w:tcPr>
          <w:p w:rsidR="00323633" w:rsidRDefault="00CC0D3C">
            <w:pPr>
              <w:pStyle w:val="TableParagraph"/>
              <w:ind w:left="107"/>
              <w:rPr>
                <w:sz w:val="16"/>
              </w:rPr>
            </w:pPr>
            <w:r>
              <w:rPr>
                <w:sz w:val="16"/>
              </w:rPr>
              <w:t>17,751,840-</w:t>
            </w:r>
          </w:p>
          <w:p w:rsidR="00323633" w:rsidRDefault="00CC0D3C">
            <w:pPr>
              <w:pStyle w:val="TableParagraph"/>
              <w:spacing w:before="3" w:line="240" w:lineRule="auto"/>
              <w:ind w:left="131"/>
              <w:rPr>
                <w:sz w:val="16"/>
              </w:rPr>
            </w:pPr>
            <w:r>
              <w:rPr>
                <w:sz w:val="16"/>
              </w:rPr>
              <w:t>20,202,576</w:t>
            </w:r>
          </w:p>
        </w:tc>
        <w:tc>
          <w:tcPr>
            <w:tcW w:w="900" w:type="dxa"/>
          </w:tcPr>
          <w:p w:rsidR="00323633" w:rsidRDefault="00CC0D3C">
            <w:pPr>
              <w:pStyle w:val="TableParagraph"/>
              <w:ind w:left="119" w:right="119"/>
              <w:jc w:val="center"/>
              <w:rPr>
                <w:sz w:val="16"/>
              </w:rPr>
            </w:pPr>
            <w:r>
              <w:rPr>
                <w:sz w:val="16"/>
              </w:rPr>
              <w:t>.05</w:t>
            </w:r>
          </w:p>
        </w:tc>
        <w:tc>
          <w:tcPr>
            <w:tcW w:w="1080" w:type="dxa"/>
          </w:tcPr>
          <w:p w:rsidR="00323633" w:rsidRDefault="00CC0D3C">
            <w:pPr>
              <w:pStyle w:val="TableParagraph"/>
              <w:ind w:left="251"/>
              <w:rPr>
                <w:sz w:val="16"/>
              </w:rPr>
            </w:pPr>
            <w:r>
              <w:rPr>
                <w:sz w:val="16"/>
              </w:rPr>
              <w:t>887,592-</w:t>
            </w:r>
          </w:p>
          <w:p w:rsidR="00323633" w:rsidRDefault="00CC0D3C">
            <w:pPr>
              <w:pStyle w:val="TableParagraph"/>
              <w:spacing w:before="3" w:line="240" w:lineRule="auto"/>
              <w:ind w:left="216"/>
              <w:rPr>
                <w:sz w:val="16"/>
              </w:rPr>
            </w:pPr>
            <w:r>
              <w:rPr>
                <w:sz w:val="16"/>
              </w:rPr>
              <w:t>1,010,129</w:t>
            </w:r>
          </w:p>
        </w:tc>
        <w:tc>
          <w:tcPr>
            <w:tcW w:w="1080" w:type="dxa"/>
          </w:tcPr>
          <w:p w:rsidR="00323633" w:rsidRDefault="00CC0D3C">
            <w:pPr>
              <w:pStyle w:val="TableParagraph"/>
              <w:ind w:left="456"/>
              <w:rPr>
                <w:sz w:val="16"/>
              </w:rPr>
            </w:pPr>
            <w:r>
              <w:rPr>
                <w:sz w:val="16"/>
              </w:rPr>
              <w:t>19</w:t>
            </w:r>
          </w:p>
        </w:tc>
        <w:tc>
          <w:tcPr>
            <w:tcW w:w="1080" w:type="dxa"/>
          </w:tcPr>
          <w:p w:rsidR="00323633" w:rsidRDefault="00CC0D3C">
            <w:pPr>
              <w:pStyle w:val="TableParagraph"/>
              <w:ind w:left="151"/>
              <w:rPr>
                <w:sz w:val="16"/>
              </w:rPr>
            </w:pPr>
            <w:r>
              <w:rPr>
                <w:sz w:val="16"/>
              </w:rPr>
              <w:t>16,864,248-</w:t>
            </w:r>
          </w:p>
          <w:p w:rsidR="00323633" w:rsidRDefault="00CC0D3C">
            <w:pPr>
              <w:pStyle w:val="TableParagraph"/>
              <w:spacing w:before="3" w:line="240" w:lineRule="auto"/>
              <w:ind w:left="177"/>
              <w:rPr>
                <w:sz w:val="16"/>
              </w:rPr>
            </w:pPr>
            <w:r>
              <w:rPr>
                <w:sz w:val="16"/>
              </w:rPr>
              <w:t>19,192,451</w:t>
            </w:r>
          </w:p>
        </w:tc>
        <w:tc>
          <w:tcPr>
            <w:tcW w:w="1080" w:type="dxa"/>
          </w:tcPr>
          <w:p w:rsidR="00323633" w:rsidRDefault="00CC0D3C">
            <w:pPr>
              <w:pStyle w:val="TableParagraph"/>
              <w:jc w:val="center"/>
              <w:rPr>
                <w:sz w:val="16"/>
              </w:rPr>
            </w:pPr>
            <w:r>
              <w:rPr>
                <w:w w:val="99"/>
                <w:sz w:val="16"/>
              </w:rPr>
              <w:t>0</w:t>
            </w:r>
          </w:p>
        </w:tc>
        <w:tc>
          <w:tcPr>
            <w:tcW w:w="1478" w:type="dxa"/>
          </w:tcPr>
          <w:p w:rsidR="00323633" w:rsidRDefault="00CC0D3C">
            <w:pPr>
              <w:pStyle w:val="TableParagraph"/>
              <w:ind w:left="350"/>
              <w:rPr>
                <w:sz w:val="16"/>
              </w:rPr>
            </w:pPr>
            <w:r>
              <w:rPr>
                <w:sz w:val="16"/>
              </w:rPr>
              <w:t>16,864,248-</w:t>
            </w:r>
          </w:p>
          <w:p w:rsidR="00323633" w:rsidRDefault="00CC0D3C">
            <w:pPr>
              <w:pStyle w:val="TableParagraph"/>
              <w:spacing w:before="3" w:line="240" w:lineRule="auto"/>
              <w:ind w:left="376"/>
              <w:rPr>
                <w:sz w:val="16"/>
              </w:rPr>
            </w:pPr>
            <w:r>
              <w:rPr>
                <w:sz w:val="16"/>
              </w:rPr>
              <w:t>19,192,451</w:t>
            </w:r>
          </w:p>
        </w:tc>
      </w:tr>
      <w:tr w:rsidR="00323633">
        <w:trPr>
          <w:trHeight w:hRule="exact" w:val="197"/>
        </w:trPr>
        <w:tc>
          <w:tcPr>
            <w:tcW w:w="1121" w:type="dxa"/>
          </w:tcPr>
          <w:p w:rsidR="00323633" w:rsidRDefault="00CC0D3C">
            <w:pPr>
              <w:pStyle w:val="TableParagraph"/>
              <w:ind w:left="104" w:right="104"/>
              <w:jc w:val="center"/>
              <w:rPr>
                <w:sz w:val="16"/>
              </w:rPr>
            </w:pPr>
            <w:r>
              <w:rPr>
                <w:sz w:val="16"/>
              </w:rPr>
              <w:t>§484.48(b)</w:t>
            </w:r>
          </w:p>
        </w:tc>
        <w:tc>
          <w:tcPr>
            <w:tcW w:w="1080" w:type="dxa"/>
          </w:tcPr>
          <w:p w:rsidR="00323633" w:rsidRDefault="00323633"/>
        </w:tc>
        <w:tc>
          <w:tcPr>
            <w:tcW w:w="1169" w:type="dxa"/>
          </w:tcPr>
          <w:p w:rsidR="00323633" w:rsidRDefault="00CC0D3C">
            <w:pPr>
              <w:pStyle w:val="TableParagraph"/>
              <w:ind w:left="439" w:right="439"/>
              <w:jc w:val="center"/>
              <w:rPr>
                <w:sz w:val="16"/>
              </w:rPr>
            </w:pPr>
            <w:r>
              <w:rPr>
                <w:sz w:val="16"/>
              </w:rPr>
              <w:t>549</w:t>
            </w:r>
          </w:p>
        </w:tc>
        <w:tc>
          <w:tcPr>
            <w:tcW w:w="991" w:type="dxa"/>
          </w:tcPr>
          <w:p w:rsidR="00323633" w:rsidRDefault="00CC0D3C">
            <w:pPr>
              <w:pStyle w:val="TableParagraph"/>
              <w:ind w:left="110" w:right="110"/>
              <w:jc w:val="center"/>
              <w:rPr>
                <w:sz w:val="16"/>
              </w:rPr>
            </w:pPr>
            <w:r>
              <w:rPr>
                <w:sz w:val="16"/>
              </w:rPr>
              <w:t>549</w:t>
            </w:r>
          </w:p>
        </w:tc>
        <w:tc>
          <w:tcPr>
            <w:tcW w:w="900" w:type="dxa"/>
          </w:tcPr>
          <w:p w:rsidR="00323633" w:rsidRDefault="00CC0D3C">
            <w:pPr>
              <w:pStyle w:val="TableParagraph"/>
              <w:ind w:left="119" w:right="119"/>
              <w:jc w:val="center"/>
              <w:rPr>
                <w:sz w:val="16"/>
              </w:rPr>
            </w:pPr>
            <w:r>
              <w:rPr>
                <w:sz w:val="16"/>
              </w:rPr>
              <w:t>.25</w:t>
            </w:r>
          </w:p>
        </w:tc>
        <w:tc>
          <w:tcPr>
            <w:tcW w:w="1080" w:type="dxa"/>
          </w:tcPr>
          <w:p w:rsidR="00323633" w:rsidRDefault="00CC0D3C">
            <w:pPr>
              <w:pStyle w:val="TableParagraph"/>
              <w:ind w:left="93" w:right="93"/>
              <w:jc w:val="center"/>
              <w:rPr>
                <w:sz w:val="16"/>
              </w:rPr>
            </w:pPr>
            <w:r>
              <w:rPr>
                <w:sz w:val="16"/>
              </w:rPr>
              <w:t>137</w:t>
            </w:r>
          </w:p>
        </w:tc>
        <w:tc>
          <w:tcPr>
            <w:tcW w:w="1080" w:type="dxa"/>
          </w:tcPr>
          <w:p w:rsidR="00323633" w:rsidRDefault="00CC0D3C">
            <w:pPr>
              <w:pStyle w:val="TableParagraph"/>
              <w:ind w:left="456"/>
              <w:rPr>
                <w:sz w:val="16"/>
              </w:rPr>
            </w:pPr>
            <w:r>
              <w:rPr>
                <w:sz w:val="16"/>
              </w:rPr>
              <w:t>60</w:t>
            </w:r>
          </w:p>
        </w:tc>
        <w:tc>
          <w:tcPr>
            <w:tcW w:w="1080" w:type="dxa"/>
          </w:tcPr>
          <w:p w:rsidR="00323633" w:rsidRDefault="00CC0D3C">
            <w:pPr>
              <w:pStyle w:val="TableParagraph"/>
              <w:ind w:left="355"/>
              <w:rPr>
                <w:sz w:val="16"/>
              </w:rPr>
            </w:pPr>
            <w:r>
              <w:rPr>
                <w:sz w:val="16"/>
              </w:rPr>
              <w:t>8,220</w:t>
            </w:r>
          </w:p>
        </w:tc>
        <w:tc>
          <w:tcPr>
            <w:tcW w:w="1080" w:type="dxa"/>
          </w:tcPr>
          <w:p w:rsidR="00323633" w:rsidRDefault="00CC0D3C">
            <w:pPr>
              <w:pStyle w:val="TableParagraph"/>
              <w:jc w:val="center"/>
              <w:rPr>
                <w:sz w:val="16"/>
              </w:rPr>
            </w:pPr>
            <w:r>
              <w:rPr>
                <w:w w:val="98"/>
                <w:sz w:val="16"/>
              </w:rPr>
              <w:t>0</w:t>
            </w:r>
          </w:p>
        </w:tc>
        <w:tc>
          <w:tcPr>
            <w:tcW w:w="1478" w:type="dxa"/>
          </w:tcPr>
          <w:p w:rsidR="00323633" w:rsidRDefault="00CC0D3C">
            <w:pPr>
              <w:pStyle w:val="TableParagraph"/>
              <w:ind w:left="147" w:right="147"/>
              <w:jc w:val="center"/>
              <w:rPr>
                <w:sz w:val="16"/>
              </w:rPr>
            </w:pPr>
            <w:r>
              <w:rPr>
                <w:sz w:val="16"/>
              </w:rPr>
              <w:t>8,220</w:t>
            </w:r>
          </w:p>
        </w:tc>
      </w:tr>
      <w:tr w:rsidR="00323633">
        <w:trPr>
          <w:trHeight w:hRule="exact" w:val="197"/>
        </w:trPr>
        <w:tc>
          <w:tcPr>
            <w:tcW w:w="1121" w:type="dxa"/>
          </w:tcPr>
          <w:p w:rsidR="00323633" w:rsidRDefault="00CC0D3C">
            <w:pPr>
              <w:pStyle w:val="TableParagraph"/>
              <w:ind w:left="103" w:right="105"/>
              <w:jc w:val="center"/>
              <w:rPr>
                <w:sz w:val="16"/>
              </w:rPr>
            </w:pPr>
            <w:r>
              <w:rPr>
                <w:sz w:val="16"/>
              </w:rPr>
              <w:t>§484.52</w:t>
            </w:r>
          </w:p>
        </w:tc>
        <w:tc>
          <w:tcPr>
            <w:tcW w:w="1080" w:type="dxa"/>
          </w:tcPr>
          <w:p w:rsidR="00323633" w:rsidRDefault="00323633"/>
        </w:tc>
        <w:tc>
          <w:tcPr>
            <w:tcW w:w="1169" w:type="dxa"/>
          </w:tcPr>
          <w:p w:rsidR="00323633" w:rsidRDefault="00CC0D3C">
            <w:pPr>
              <w:pStyle w:val="TableParagraph"/>
              <w:ind w:left="439" w:right="439"/>
              <w:jc w:val="center"/>
              <w:rPr>
                <w:sz w:val="16"/>
              </w:rPr>
            </w:pPr>
            <w:r>
              <w:rPr>
                <w:sz w:val="16"/>
              </w:rPr>
              <w:t>549</w:t>
            </w:r>
          </w:p>
        </w:tc>
        <w:tc>
          <w:tcPr>
            <w:tcW w:w="991" w:type="dxa"/>
          </w:tcPr>
          <w:p w:rsidR="00323633" w:rsidRDefault="00CC0D3C">
            <w:pPr>
              <w:pStyle w:val="TableParagraph"/>
              <w:ind w:left="110" w:right="110"/>
              <w:jc w:val="center"/>
              <w:rPr>
                <w:sz w:val="16"/>
              </w:rPr>
            </w:pPr>
            <w:r>
              <w:rPr>
                <w:sz w:val="16"/>
              </w:rPr>
              <w:t>549</w:t>
            </w:r>
          </w:p>
        </w:tc>
        <w:tc>
          <w:tcPr>
            <w:tcW w:w="900" w:type="dxa"/>
          </w:tcPr>
          <w:p w:rsidR="00323633" w:rsidRDefault="00CC0D3C">
            <w:pPr>
              <w:pStyle w:val="TableParagraph"/>
              <w:jc w:val="center"/>
              <w:rPr>
                <w:sz w:val="16"/>
              </w:rPr>
            </w:pPr>
            <w:r>
              <w:rPr>
                <w:w w:val="98"/>
                <w:sz w:val="16"/>
              </w:rPr>
              <w:t>3</w:t>
            </w:r>
          </w:p>
        </w:tc>
        <w:tc>
          <w:tcPr>
            <w:tcW w:w="1080" w:type="dxa"/>
          </w:tcPr>
          <w:p w:rsidR="00323633" w:rsidRDefault="00CC0D3C">
            <w:pPr>
              <w:pStyle w:val="TableParagraph"/>
              <w:ind w:left="93" w:right="93"/>
              <w:jc w:val="center"/>
              <w:rPr>
                <w:sz w:val="16"/>
              </w:rPr>
            </w:pPr>
            <w:r>
              <w:rPr>
                <w:sz w:val="16"/>
              </w:rPr>
              <w:t>1,642</w:t>
            </w:r>
          </w:p>
        </w:tc>
        <w:tc>
          <w:tcPr>
            <w:tcW w:w="1080" w:type="dxa"/>
          </w:tcPr>
          <w:p w:rsidR="00323633" w:rsidRDefault="00CC0D3C">
            <w:pPr>
              <w:pStyle w:val="TableParagraph"/>
              <w:ind w:left="456"/>
              <w:rPr>
                <w:sz w:val="16"/>
              </w:rPr>
            </w:pPr>
            <w:r>
              <w:rPr>
                <w:sz w:val="16"/>
              </w:rPr>
              <w:t>60</w:t>
            </w:r>
          </w:p>
        </w:tc>
        <w:tc>
          <w:tcPr>
            <w:tcW w:w="1080" w:type="dxa"/>
          </w:tcPr>
          <w:p w:rsidR="00323633" w:rsidRDefault="00CC0D3C">
            <w:pPr>
              <w:pStyle w:val="TableParagraph"/>
              <w:ind w:left="316"/>
              <w:rPr>
                <w:sz w:val="16"/>
              </w:rPr>
            </w:pPr>
            <w:r>
              <w:rPr>
                <w:sz w:val="16"/>
              </w:rPr>
              <w:t>98,820</w:t>
            </w:r>
          </w:p>
        </w:tc>
        <w:tc>
          <w:tcPr>
            <w:tcW w:w="1080" w:type="dxa"/>
          </w:tcPr>
          <w:p w:rsidR="00323633" w:rsidRDefault="00CC0D3C">
            <w:pPr>
              <w:pStyle w:val="TableParagraph"/>
              <w:jc w:val="center"/>
              <w:rPr>
                <w:sz w:val="16"/>
              </w:rPr>
            </w:pPr>
            <w:r>
              <w:rPr>
                <w:w w:val="98"/>
                <w:sz w:val="16"/>
              </w:rPr>
              <w:t>0</w:t>
            </w:r>
          </w:p>
        </w:tc>
        <w:tc>
          <w:tcPr>
            <w:tcW w:w="1478" w:type="dxa"/>
          </w:tcPr>
          <w:p w:rsidR="00323633" w:rsidRDefault="00CC0D3C">
            <w:pPr>
              <w:pStyle w:val="TableParagraph"/>
              <w:ind w:left="147" w:right="147"/>
              <w:jc w:val="center"/>
              <w:rPr>
                <w:sz w:val="16"/>
              </w:rPr>
            </w:pPr>
            <w:r>
              <w:rPr>
                <w:sz w:val="16"/>
              </w:rPr>
              <w:t>98,820</w:t>
            </w:r>
          </w:p>
        </w:tc>
      </w:tr>
      <w:tr w:rsidR="00323633">
        <w:trPr>
          <w:trHeight w:hRule="exact" w:val="384"/>
        </w:trPr>
        <w:tc>
          <w:tcPr>
            <w:tcW w:w="1121" w:type="dxa"/>
          </w:tcPr>
          <w:p w:rsidR="00323633" w:rsidRDefault="00CC0D3C">
            <w:pPr>
              <w:pStyle w:val="TableParagraph"/>
              <w:ind w:left="103" w:right="105"/>
              <w:jc w:val="center"/>
              <w:rPr>
                <w:sz w:val="16"/>
              </w:rPr>
            </w:pPr>
            <w:r>
              <w:rPr>
                <w:sz w:val="16"/>
              </w:rPr>
              <w:t>§484.52</w:t>
            </w:r>
          </w:p>
        </w:tc>
        <w:tc>
          <w:tcPr>
            <w:tcW w:w="1080" w:type="dxa"/>
          </w:tcPr>
          <w:p w:rsidR="00323633" w:rsidRDefault="00323633"/>
        </w:tc>
        <w:tc>
          <w:tcPr>
            <w:tcW w:w="1169" w:type="dxa"/>
          </w:tcPr>
          <w:p w:rsidR="00323633" w:rsidRDefault="00CC0D3C">
            <w:pPr>
              <w:pStyle w:val="TableParagraph"/>
              <w:ind w:right="115"/>
              <w:jc w:val="right"/>
              <w:rPr>
                <w:sz w:val="16"/>
              </w:rPr>
            </w:pPr>
            <w:r>
              <w:rPr>
                <w:sz w:val="16"/>
              </w:rPr>
              <w:t>11,930-13,577</w:t>
            </w:r>
          </w:p>
        </w:tc>
        <w:tc>
          <w:tcPr>
            <w:tcW w:w="991" w:type="dxa"/>
          </w:tcPr>
          <w:p w:rsidR="00323633" w:rsidRDefault="00CC0D3C">
            <w:pPr>
              <w:pStyle w:val="TableParagraph"/>
              <w:ind w:left="247"/>
              <w:rPr>
                <w:sz w:val="16"/>
              </w:rPr>
            </w:pPr>
            <w:r>
              <w:rPr>
                <w:sz w:val="16"/>
              </w:rPr>
              <w:t>11,930-</w:t>
            </w:r>
          </w:p>
          <w:p w:rsidR="00323633" w:rsidRDefault="00CC0D3C">
            <w:pPr>
              <w:pStyle w:val="TableParagraph"/>
              <w:spacing w:before="3" w:line="240" w:lineRule="auto"/>
              <w:ind w:left="271"/>
              <w:rPr>
                <w:sz w:val="16"/>
              </w:rPr>
            </w:pPr>
            <w:r>
              <w:rPr>
                <w:sz w:val="16"/>
              </w:rPr>
              <w:t>13,577</w:t>
            </w:r>
          </w:p>
        </w:tc>
        <w:tc>
          <w:tcPr>
            <w:tcW w:w="900" w:type="dxa"/>
          </w:tcPr>
          <w:p w:rsidR="00323633" w:rsidRDefault="00CC0D3C">
            <w:pPr>
              <w:pStyle w:val="TableParagraph"/>
              <w:ind w:left="119" w:right="119"/>
              <w:jc w:val="center"/>
              <w:rPr>
                <w:sz w:val="16"/>
              </w:rPr>
            </w:pPr>
            <w:r>
              <w:rPr>
                <w:sz w:val="16"/>
              </w:rPr>
              <w:t>.167</w:t>
            </w:r>
          </w:p>
        </w:tc>
        <w:tc>
          <w:tcPr>
            <w:tcW w:w="1080" w:type="dxa"/>
          </w:tcPr>
          <w:p w:rsidR="00323633" w:rsidRDefault="00CC0D3C">
            <w:pPr>
              <w:pStyle w:val="TableParagraph"/>
              <w:ind w:left="93" w:right="93"/>
              <w:jc w:val="center"/>
              <w:rPr>
                <w:sz w:val="16"/>
              </w:rPr>
            </w:pPr>
            <w:r>
              <w:rPr>
                <w:sz w:val="16"/>
              </w:rPr>
              <w:t>1,988- 2,263</w:t>
            </w:r>
          </w:p>
        </w:tc>
        <w:tc>
          <w:tcPr>
            <w:tcW w:w="1080" w:type="dxa"/>
          </w:tcPr>
          <w:p w:rsidR="00323633" w:rsidRDefault="00CC0D3C">
            <w:pPr>
              <w:pStyle w:val="TableParagraph"/>
              <w:ind w:left="456"/>
              <w:rPr>
                <w:sz w:val="16"/>
              </w:rPr>
            </w:pPr>
            <w:r>
              <w:rPr>
                <w:sz w:val="16"/>
              </w:rPr>
              <w:t>19</w:t>
            </w:r>
          </w:p>
        </w:tc>
        <w:tc>
          <w:tcPr>
            <w:tcW w:w="1080" w:type="dxa"/>
          </w:tcPr>
          <w:p w:rsidR="00323633" w:rsidRDefault="00CC0D3C">
            <w:pPr>
              <w:pStyle w:val="TableParagraph"/>
              <w:ind w:left="290"/>
              <w:rPr>
                <w:sz w:val="16"/>
              </w:rPr>
            </w:pPr>
            <w:r>
              <w:rPr>
                <w:sz w:val="16"/>
              </w:rPr>
              <w:t>37,772-</w:t>
            </w:r>
          </w:p>
          <w:p w:rsidR="00323633" w:rsidRDefault="00CC0D3C">
            <w:pPr>
              <w:pStyle w:val="TableParagraph"/>
              <w:spacing w:before="3" w:line="240" w:lineRule="auto"/>
              <w:ind w:left="316"/>
              <w:rPr>
                <w:sz w:val="16"/>
              </w:rPr>
            </w:pPr>
            <w:r>
              <w:rPr>
                <w:sz w:val="16"/>
              </w:rPr>
              <w:t>42,997</w:t>
            </w:r>
          </w:p>
        </w:tc>
        <w:tc>
          <w:tcPr>
            <w:tcW w:w="1080" w:type="dxa"/>
          </w:tcPr>
          <w:p w:rsidR="00323633" w:rsidRDefault="00CC0D3C">
            <w:pPr>
              <w:pStyle w:val="TableParagraph"/>
              <w:jc w:val="center"/>
              <w:rPr>
                <w:sz w:val="16"/>
              </w:rPr>
            </w:pPr>
            <w:r>
              <w:rPr>
                <w:w w:val="99"/>
                <w:sz w:val="16"/>
              </w:rPr>
              <w:t>0</w:t>
            </w:r>
          </w:p>
        </w:tc>
        <w:tc>
          <w:tcPr>
            <w:tcW w:w="1478" w:type="dxa"/>
          </w:tcPr>
          <w:p w:rsidR="00323633" w:rsidRDefault="00CC0D3C">
            <w:pPr>
              <w:pStyle w:val="TableParagraph"/>
              <w:ind w:left="147" w:right="147"/>
              <w:jc w:val="center"/>
              <w:rPr>
                <w:sz w:val="16"/>
              </w:rPr>
            </w:pPr>
            <w:r>
              <w:rPr>
                <w:sz w:val="16"/>
              </w:rPr>
              <w:t>37,772- 42,997</w:t>
            </w:r>
          </w:p>
        </w:tc>
      </w:tr>
      <w:tr w:rsidR="00323633">
        <w:trPr>
          <w:trHeight w:hRule="exact" w:val="197"/>
        </w:trPr>
        <w:tc>
          <w:tcPr>
            <w:tcW w:w="1121" w:type="dxa"/>
          </w:tcPr>
          <w:p w:rsidR="00323633" w:rsidRDefault="00CC0D3C">
            <w:pPr>
              <w:pStyle w:val="TableParagraph"/>
              <w:ind w:left="104" w:right="104"/>
              <w:jc w:val="center"/>
              <w:rPr>
                <w:sz w:val="16"/>
              </w:rPr>
            </w:pPr>
            <w:r>
              <w:rPr>
                <w:sz w:val="16"/>
              </w:rPr>
              <w:t>§484.52(a)</w:t>
            </w:r>
          </w:p>
        </w:tc>
        <w:tc>
          <w:tcPr>
            <w:tcW w:w="1080" w:type="dxa"/>
          </w:tcPr>
          <w:p w:rsidR="00323633" w:rsidRDefault="00323633"/>
        </w:tc>
        <w:tc>
          <w:tcPr>
            <w:tcW w:w="1169" w:type="dxa"/>
          </w:tcPr>
          <w:p w:rsidR="00323633" w:rsidRDefault="00CC0D3C">
            <w:pPr>
              <w:pStyle w:val="TableParagraph"/>
              <w:ind w:left="439" w:right="439"/>
              <w:jc w:val="center"/>
              <w:rPr>
                <w:sz w:val="16"/>
              </w:rPr>
            </w:pPr>
            <w:r>
              <w:rPr>
                <w:sz w:val="16"/>
              </w:rPr>
              <w:t>549</w:t>
            </w:r>
          </w:p>
        </w:tc>
        <w:tc>
          <w:tcPr>
            <w:tcW w:w="991" w:type="dxa"/>
          </w:tcPr>
          <w:p w:rsidR="00323633" w:rsidRDefault="00CC0D3C">
            <w:pPr>
              <w:pStyle w:val="TableParagraph"/>
              <w:ind w:left="110" w:right="110"/>
              <w:jc w:val="center"/>
              <w:rPr>
                <w:sz w:val="16"/>
              </w:rPr>
            </w:pPr>
            <w:r>
              <w:rPr>
                <w:sz w:val="16"/>
              </w:rPr>
              <w:t>549</w:t>
            </w:r>
          </w:p>
        </w:tc>
        <w:tc>
          <w:tcPr>
            <w:tcW w:w="900" w:type="dxa"/>
          </w:tcPr>
          <w:p w:rsidR="00323633" w:rsidRDefault="00CC0D3C">
            <w:pPr>
              <w:pStyle w:val="TableParagraph"/>
              <w:ind w:left="118" w:right="119"/>
              <w:jc w:val="center"/>
              <w:rPr>
                <w:sz w:val="16"/>
              </w:rPr>
            </w:pPr>
            <w:r>
              <w:rPr>
                <w:sz w:val="16"/>
              </w:rPr>
              <w:t>.5</w:t>
            </w:r>
          </w:p>
        </w:tc>
        <w:tc>
          <w:tcPr>
            <w:tcW w:w="1080" w:type="dxa"/>
          </w:tcPr>
          <w:p w:rsidR="00323633" w:rsidRDefault="00CC0D3C">
            <w:pPr>
              <w:pStyle w:val="TableParagraph"/>
              <w:ind w:left="93" w:right="93"/>
              <w:jc w:val="center"/>
              <w:rPr>
                <w:sz w:val="16"/>
              </w:rPr>
            </w:pPr>
            <w:r>
              <w:rPr>
                <w:sz w:val="16"/>
              </w:rPr>
              <w:t>275</w:t>
            </w:r>
          </w:p>
        </w:tc>
        <w:tc>
          <w:tcPr>
            <w:tcW w:w="1080" w:type="dxa"/>
          </w:tcPr>
          <w:p w:rsidR="00323633" w:rsidRDefault="00CC0D3C">
            <w:pPr>
              <w:pStyle w:val="TableParagraph"/>
              <w:ind w:left="456"/>
              <w:rPr>
                <w:sz w:val="16"/>
              </w:rPr>
            </w:pPr>
            <w:r>
              <w:rPr>
                <w:sz w:val="16"/>
              </w:rPr>
              <w:t>60</w:t>
            </w:r>
          </w:p>
        </w:tc>
        <w:tc>
          <w:tcPr>
            <w:tcW w:w="1080" w:type="dxa"/>
          </w:tcPr>
          <w:p w:rsidR="00323633" w:rsidRDefault="00CC0D3C">
            <w:pPr>
              <w:pStyle w:val="TableParagraph"/>
              <w:ind w:left="316"/>
              <w:rPr>
                <w:sz w:val="16"/>
              </w:rPr>
            </w:pPr>
            <w:r>
              <w:rPr>
                <w:sz w:val="16"/>
              </w:rPr>
              <w:t>16,500</w:t>
            </w:r>
          </w:p>
        </w:tc>
        <w:tc>
          <w:tcPr>
            <w:tcW w:w="1080" w:type="dxa"/>
          </w:tcPr>
          <w:p w:rsidR="00323633" w:rsidRDefault="00CC0D3C">
            <w:pPr>
              <w:pStyle w:val="TableParagraph"/>
              <w:jc w:val="center"/>
              <w:rPr>
                <w:sz w:val="16"/>
              </w:rPr>
            </w:pPr>
            <w:r>
              <w:rPr>
                <w:w w:val="99"/>
                <w:sz w:val="16"/>
              </w:rPr>
              <w:t>0</w:t>
            </w:r>
          </w:p>
        </w:tc>
        <w:tc>
          <w:tcPr>
            <w:tcW w:w="1478" w:type="dxa"/>
          </w:tcPr>
          <w:p w:rsidR="00323633" w:rsidRDefault="00CC0D3C">
            <w:pPr>
              <w:pStyle w:val="TableParagraph"/>
              <w:ind w:left="147" w:right="147"/>
              <w:jc w:val="center"/>
              <w:rPr>
                <w:sz w:val="16"/>
              </w:rPr>
            </w:pPr>
            <w:r>
              <w:rPr>
                <w:sz w:val="16"/>
              </w:rPr>
              <w:t>16,500</w:t>
            </w:r>
          </w:p>
        </w:tc>
      </w:tr>
      <w:tr w:rsidR="00323633">
        <w:trPr>
          <w:trHeight w:hRule="exact" w:val="384"/>
        </w:trPr>
        <w:tc>
          <w:tcPr>
            <w:tcW w:w="1121" w:type="dxa"/>
          </w:tcPr>
          <w:p w:rsidR="00323633" w:rsidRDefault="00CC0D3C">
            <w:pPr>
              <w:pStyle w:val="TableParagraph"/>
              <w:ind w:left="104" w:right="104"/>
              <w:jc w:val="center"/>
              <w:rPr>
                <w:sz w:val="16"/>
              </w:rPr>
            </w:pPr>
            <w:r>
              <w:rPr>
                <w:sz w:val="16"/>
              </w:rPr>
              <w:t>§484.52(b)</w:t>
            </w:r>
          </w:p>
        </w:tc>
        <w:tc>
          <w:tcPr>
            <w:tcW w:w="1080" w:type="dxa"/>
          </w:tcPr>
          <w:p w:rsidR="00323633" w:rsidRDefault="00323633"/>
        </w:tc>
        <w:tc>
          <w:tcPr>
            <w:tcW w:w="1169" w:type="dxa"/>
          </w:tcPr>
          <w:p w:rsidR="00323633" w:rsidRDefault="00CC0D3C">
            <w:pPr>
              <w:pStyle w:val="TableParagraph"/>
              <w:ind w:right="115"/>
              <w:jc w:val="right"/>
              <w:rPr>
                <w:sz w:val="16"/>
              </w:rPr>
            </w:pPr>
            <w:r>
              <w:rPr>
                <w:sz w:val="16"/>
              </w:rPr>
              <w:t>11,930-13,577</w:t>
            </w:r>
          </w:p>
        </w:tc>
        <w:tc>
          <w:tcPr>
            <w:tcW w:w="991" w:type="dxa"/>
          </w:tcPr>
          <w:p w:rsidR="00323633" w:rsidRDefault="00CC0D3C">
            <w:pPr>
              <w:pStyle w:val="TableParagraph"/>
              <w:ind w:left="247"/>
              <w:rPr>
                <w:sz w:val="16"/>
              </w:rPr>
            </w:pPr>
            <w:r>
              <w:rPr>
                <w:sz w:val="16"/>
              </w:rPr>
              <w:t>47,720-</w:t>
            </w:r>
          </w:p>
          <w:p w:rsidR="00323633" w:rsidRDefault="00CC0D3C">
            <w:pPr>
              <w:pStyle w:val="TableParagraph"/>
              <w:spacing w:before="3" w:line="240" w:lineRule="auto"/>
              <w:ind w:left="271"/>
              <w:rPr>
                <w:sz w:val="16"/>
              </w:rPr>
            </w:pPr>
            <w:r>
              <w:rPr>
                <w:sz w:val="16"/>
              </w:rPr>
              <w:t>54,308</w:t>
            </w:r>
          </w:p>
        </w:tc>
        <w:tc>
          <w:tcPr>
            <w:tcW w:w="900" w:type="dxa"/>
          </w:tcPr>
          <w:p w:rsidR="00323633" w:rsidRDefault="00CC0D3C">
            <w:pPr>
              <w:pStyle w:val="TableParagraph"/>
              <w:ind w:left="119" w:right="119"/>
              <w:jc w:val="center"/>
              <w:rPr>
                <w:sz w:val="16"/>
              </w:rPr>
            </w:pPr>
            <w:r>
              <w:rPr>
                <w:sz w:val="16"/>
              </w:rPr>
              <w:t>.167</w:t>
            </w:r>
          </w:p>
        </w:tc>
        <w:tc>
          <w:tcPr>
            <w:tcW w:w="1080" w:type="dxa"/>
          </w:tcPr>
          <w:p w:rsidR="00323633" w:rsidRDefault="00CC0D3C">
            <w:pPr>
              <w:pStyle w:val="TableParagraph"/>
              <w:ind w:left="93" w:right="93"/>
              <w:jc w:val="center"/>
              <w:rPr>
                <w:sz w:val="16"/>
              </w:rPr>
            </w:pPr>
            <w:r>
              <w:rPr>
                <w:sz w:val="16"/>
              </w:rPr>
              <w:t>7,953- 9,051</w:t>
            </w:r>
          </w:p>
        </w:tc>
        <w:tc>
          <w:tcPr>
            <w:tcW w:w="1080" w:type="dxa"/>
          </w:tcPr>
          <w:p w:rsidR="00323633" w:rsidRDefault="00CC0D3C">
            <w:pPr>
              <w:pStyle w:val="TableParagraph"/>
              <w:ind w:left="456"/>
              <w:rPr>
                <w:sz w:val="16"/>
              </w:rPr>
            </w:pPr>
            <w:r>
              <w:rPr>
                <w:sz w:val="16"/>
              </w:rPr>
              <w:t>19</w:t>
            </w:r>
          </w:p>
        </w:tc>
        <w:tc>
          <w:tcPr>
            <w:tcW w:w="1080" w:type="dxa"/>
          </w:tcPr>
          <w:p w:rsidR="00323633" w:rsidRDefault="00CC0D3C">
            <w:pPr>
              <w:pStyle w:val="TableParagraph"/>
              <w:ind w:left="251"/>
              <w:rPr>
                <w:sz w:val="16"/>
              </w:rPr>
            </w:pPr>
            <w:r>
              <w:rPr>
                <w:sz w:val="16"/>
              </w:rPr>
              <w:t>151,107-</w:t>
            </w:r>
          </w:p>
          <w:p w:rsidR="00323633" w:rsidRDefault="00CC0D3C">
            <w:pPr>
              <w:pStyle w:val="TableParagraph"/>
              <w:spacing w:before="3" w:line="240" w:lineRule="auto"/>
              <w:ind w:left="276"/>
              <w:rPr>
                <w:sz w:val="16"/>
              </w:rPr>
            </w:pPr>
            <w:r>
              <w:rPr>
                <w:sz w:val="16"/>
              </w:rPr>
              <w:t>171,969</w:t>
            </w:r>
          </w:p>
        </w:tc>
        <w:tc>
          <w:tcPr>
            <w:tcW w:w="1080" w:type="dxa"/>
          </w:tcPr>
          <w:p w:rsidR="00323633" w:rsidRDefault="00CC0D3C">
            <w:pPr>
              <w:pStyle w:val="TableParagraph"/>
              <w:jc w:val="center"/>
              <w:rPr>
                <w:sz w:val="16"/>
              </w:rPr>
            </w:pPr>
            <w:r>
              <w:rPr>
                <w:w w:val="98"/>
                <w:sz w:val="16"/>
              </w:rPr>
              <w:t>0</w:t>
            </w:r>
          </w:p>
        </w:tc>
        <w:tc>
          <w:tcPr>
            <w:tcW w:w="1478" w:type="dxa"/>
          </w:tcPr>
          <w:p w:rsidR="00323633" w:rsidRDefault="00CC0D3C">
            <w:pPr>
              <w:pStyle w:val="TableParagraph"/>
              <w:ind w:left="147" w:right="147"/>
              <w:jc w:val="center"/>
              <w:rPr>
                <w:sz w:val="16"/>
              </w:rPr>
            </w:pPr>
            <w:r>
              <w:rPr>
                <w:sz w:val="16"/>
              </w:rPr>
              <w:t>151,107- 171,969</w:t>
            </w:r>
          </w:p>
        </w:tc>
      </w:tr>
      <w:tr w:rsidR="00323633">
        <w:trPr>
          <w:trHeight w:hRule="exact" w:val="384"/>
        </w:trPr>
        <w:tc>
          <w:tcPr>
            <w:tcW w:w="1121" w:type="dxa"/>
          </w:tcPr>
          <w:p w:rsidR="00323633" w:rsidRDefault="00CC0D3C">
            <w:pPr>
              <w:pStyle w:val="TableParagraph"/>
              <w:ind w:left="104" w:right="104"/>
              <w:jc w:val="center"/>
              <w:rPr>
                <w:sz w:val="16"/>
              </w:rPr>
            </w:pPr>
            <w:r>
              <w:rPr>
                <w:sz w:val="16"/>
              </w:rPr>
              <w:t>Total</w:t>
            </w:r>
          </w:p>
        </w:tc>
        <w:tc>
          <w:tcPr>
            <w:tcW w:w="1080" w:type="dxa"/>
          </w:tcPr>
          <w:p w:rsidR="00323633" w:rsidRDefault="00323633"/>
        </w:tc>
        <w:tc>
          <w:tcPr>
            <w:tcW w:w="1169" w:type="dxa"/>
          </w:tcPr>
          <w:p w:rsidR="00323633" w:rsidRDefault="00CC0D3C">
            <w:pPr>
              <w:pStyle w:val="TableParagraph"/>
              <w:ind w:right="213"/>
              <w:jc w:val="right"/>
              <w:rPr>
                <w:sz w:val="16"/>
              </w:rPr>
            </w:pPr>
            <w:r>
              <w:rPr>
                <w:sz w:val="16"/>
              </w:rPr>
              <w:t>549-13,577</w:t>
            </w:r>
          </w:p>
        </w:tc>
        <w:tc>
          <w:tcPr>
            <w:tcW w:w="991" w:type="dxa"/>
          </w:tcPr>
          <w:p w:rsidR="00323633" w:rsidRDefault="00CC0D3C">
            <w:pPr>
              <w:pStyle w:val="TableParagraph"/>
              <w:ind w:left="110" w:right="110"/>
              <w:jc w:val="center"/>
              <w:rPr>
                <w:sz w:val="16"/>
              </w:rPr>
            </w:pPr>
            <w:r>
              <w:rPr>
                <w:sz w:val="16"/>
              </w:rPr>
              <w:t>549-</w:t>
            </w:r>
          </w:p>
          <w:p w:rsidR="00323633" w:rsidRDefault="00CC0D3C">
            <w:pPr>
              <w:pStyle w:val="TableParagraph"/>
              <w:spacing w:before="3" w:line="240" w:lineRule="auto"/>
              <w:ind w:left="110" w:right="110"/>
              <w:jc w:val="center"/>
              <w:rPr>
                <w:sz w:val="16"/>
              </w:rPr>
            </w:pPr>
            <w:r>
              <w:rPr>
                <w:sz w:val="16"/>
              </w:rPr>
              <w:t>20,202,576</w:t>
            </w:r>
          </w:p>
        </w:tc>
        <w:tc>
          <w:tcPr>
            <w:tcW w:w="900" w:type="dxa"/>
          </w:tcPr>
          <w:p w:rsidR="00323633" w:rsidRDefault="00323633"/>
        </w:tc>
        <w:tc>
          <w:tcPr>
            <w:tcW w:w="1080" w:type="dxa"/>
          </w:tcPr>
          <w:p w:rsidR="00323633" w:rsidRDefault="00CC0D3C">
            <w:pPr>
              <w:pStyle w:val="TableParagraph"/>
              <w:ind w:left="103"/>
              <w:rPr>
                <w:sz w:val="16"/>
              </w:rPr>
            </w:pPr>
            <w:r>
              <w:rPr>
                <w:sz w:val="16"/>
              </w:rPr>
              <w:t>5,644,430-</w:t>
            </w:r>
          </w:p>
          <w:p w:rsidR="00323633" w:rsidRDefault="00CC0D3C">
            <w:pPr>
              <w:pStyle w:val="TableParagraph"/>
              <w:spacing w:before="3" w:line="240" w:lineRule="auto"/>
              <w:ind w:left="103"/>
              <w:rPr>
                <w:sz w:val="16"/>
              </w:rPr>
            </w:pPr>
            <w:r>
              <w:rPr>
                <w:sz w:val="16"/>
              </w:rPr>
              <w:t>6,422,694</w:t>
            </w:r>
          </w:p>
        </w:tc>
        <w:tc>
          <w:tcPr>
            <w:tcW w:w="1080" w:type="dxa"/>
          </w:tcPr>
          <w:p w:rsidR="00323633" w:rsidRDefault="00323633"/>
        </w:tc>
        <w:tc>
          <w:tcPr>
            <w:tcW w:w="1080" w:type="dxa"/>
          </w:tcPr>
          <w:p w:rsidR="00323633" w:rsidRDefault="00CC0D3C">
            <w:pPr>
              <w:pStyle w:val="TableParagraph"/>
              <w:ind w:left="112"/>
              <w:rPr>
                <w:sz w:val="16"/>
              </w:rPr>
            </w:pPr>
            <w:r>
              <w:rPr>
                <w:sz w:val="16"/>
              </w:rPr>
              <w:t>171,605,579-</w:t>
            </w:r>
          </w:p>
          <w:p w:rsidR="00323633" w:rsidRDefault="00CC0D3C">
            <w:pPr>
              <w:pStyle w:val="TableParagraph"/>
              <w:spacing w:before="3" w:line="240" w:lineRule="auto"/>
              <w:ind w:left="131"/>
              <w:rPr>
                <w:sz w:val="16"/>
              </w:rPr>
            </w:pPr>
            <w:r>
              <w:rPr>
                <w:sz w:val="16"/>
              </w:rPr>
              <w:t>195,237-759</w:t>
            </w:r>
          </w:p>
        </w:tc>
        <w:tc>
          <w:tcPr>
            <w:tcW w:w="1080" w:type="dxa"/>
          </w:tcPr>
          <w:p w:rsidR="00323633" w:rsidRDefault="00CC0D3C">
            <w:pPr>
              <w:pStyle w:val="TableParagraph"/>
              <w:jc w:val="center"/>
              <w:rPr>
                <w:sz w:val="16"/>
              </w:rPr>
            </w:pPr>
            <w:r>
              <w:rPr>
                <w:w w:val="99"/>
                <w:sz w:val="16"/>
              </w:rPr>
              <w:t>0</w:t>
            </w:r>
          </w:p>
        </w:tc>
        <w:tc>
          <w:tcPr>
            <w:tcW w:w="1478" w:type="dxa"/>
          </w:tcPr>
          <w:p w:rsidR="00323633" w:rsidRDefault="00CC0D3C">
            <w:pPr>
              <w:pStyle w:val="TableParagraph"/>
              <w:ind w:left="311"/>
              <w:rPr>
                <w:sz w:val="16"/>
              </w:rPr>
            </w:pPr>
            <w:r>
              <w:rPr>
                <w:sz w:val="16"/>
              </w:rPr>
              <w:t>171,605,579-</w:t>
            </w:r>
          </w:p>
          <w:p w:rsidR="00323633" w:rsidRDefault="00CC0D3C">
            <w:pPr>
              <w:pStyle w:val="TableParagraph"/>
              <w:spacing w:before="3" w:line="240" w:lineRule="auto"/>
              <w:ind w:left="331"/>
              <w:rPr>
                <w:sz w:val="16"/>
              </w:rPr>
            </w:pPr>
            <w:r>
              <w:rPr>
                <w:sz w:val="16"/>
              </w:rPr>
              <w:t>195,237-759</w:t>
            </w:r>
          </w:p>
        </w:tc>
      </w:tr>
    </w:tbl>
    <w:p w:rsidR="00323633" w:rsidRDefault="00323633">
      <w:pPr>
        <w:rPr>
          <w:sz w:val="16"/>
        </w:rPr>
        <w:sectPr w:rsidR="00323633">
          <w:headerReference w:type="default" r:id="rId11"/>
          <w:pgSz w:w="12240" w:h="15840"/>
          <w:pgMar w:top="1700" w:right="480" w:bottom="280" w:left="480" w:header="1452" w:footer="0" w:gutter="0"/>
          <w:pgNumType w:start="10"/>
          <w:cols w:space="720"/>
        </w:sectPr>
      </w:pPr>
    </w:p>
    <w:p w:rsidR="00323633" w:rsidRDefault="00323633">
      <w:pPr>
        <w:pStyle w:val="BodyText"/>
        <w:rPr>
          <w:sz w:val="20"/>
        </w:rPr>
      </w:pPr>
    </w:p>
    <w:p w:rsidR="00323633" w:rsidRDefault="00323633">
      <w:pPr>
        <w:pStyle w:val="BodyText"/>
        <w:rPr>
          <w:sz w:val="20"/>
        </w:rPr>
      </w:pPr>
    </w:p>
    <w:p w:rsidR="00323633" w:rsidRDefault="00323633">
      <w:pPr>
        <w:pStyle w:val="BodyText"/>
        <w:spacing w:before="10"/>
        <w:rPr>
          <w:sz w:val="22"/>
        </w:rPr>
      </w:pPr>
    </w:p>
    <w:p w:rsidR="00323633" w:rsidRDefault="00CC0D3C">
      <w:pPr>
        <w:pStyle w:val="BodyText"/>
        <w:spacing w:before="90" w:line="247" w:lineRule="auto"/>
        <w:ind w:left="120" w:right="1679"/>
      </w:pPr>
      <w:r>
        <w:t xml:space="preserve">Total burden hours for the existing HHA </w:t>
      </w:r>
      <w:proofErr w:type="spellStart"/>
      <w:r>
        <w:t>CoPs</w:t>
      </w:r>
      <w:proofErr w:type="spellEnd"/>
      <w:r>
        <w:t xml:space="preserve"> = 5,644,430 - 6,422,694 hours Total hours previously estimated = 1,048,483.5 hours</w:t>
      </w:r>
    </w:p>
    <w:p w:rsidR="00323633" w:rsidRDefault="00CC0D3C">
      <w:pPr>
        <w:pStyle w:val="BodyText"/>
        <w:spacing w:line="275" w:lineRule="exact"/>
        <w:ind w:left="120"/>
      </w:pPr>
      <w:r>
        <w:t xml:space="preserve">Increase of hours </w:t>
      </w:r>
      <w:proofErr w:type="gramStart"/>
      <w:r>
        <w:t>=  4,595,946.5</w:t>
      </w:r>
      <w:proofErr w:type="gramEnd"/>
      <w:r>
        <w:t xml:space="preserve"> – 5,374,210.5 hours</w:t>
      </w:r>
    </w:p>
    <w:p w:rsidR="00323633" w:rsidRDefault="00323633">
      <w:pPr>
        <w:pStyle w:val="BodyText"/>
        <w:rPr>
          <w:sz w:val="26"/>
        </w:rPr>
      </w:pPr>
    </w:p>
    <w:p w:rsidR="00323633" w:rsidRDefault="00CC0D3C">
      <w:pPr>
        <w:pStyle w:val="ListParagraph"/>
        <w:numPr>
          <w:ilvl w:val="1"/>
          <w:numId w:val="4"/>
        </w:numPr>
        <w:tabs>
          <w:tab w:val="left" w:pos="839"/>
          <w:tab w:val="left" w:pos="840"/>
        </w:tabs>
        <w:spacing w:before="228"/>
        <w:rPr>
          <w:rFonts w:ascii="Arial"/>
          <w:sz w:val="24"/>
        </w:rPr>
      </w:pPr>
      <w:bookmarkStart w:id="19" w:name="13._Capital_Costs"/>
      <w:bookmarkEnd w:id="19"/>
      <w:r>
        <w:rPr>
          <w:rFonts w:ascii="Arial"/>
          <w:sz w:val="24"/>
        </w:rPr>
        <w:t>Capital</w:t>
      </w:r>
      <w:r>
        <w:rPr>
          <w:rFonts w:ascii="Arial"/>
          <w:spacing w:val="-4"/>
          <w:sz w:val="24"/>
        </w:rPr>
        <w:t xml:space="preserve"> </w:t>
      </w:r>
      <w:r>
        <w:rPr>
          <w:rFonts w:ascii="Arial"/>
          <w:sz w:val="24"/>
        </w:rPr>
        <w:t>Costs</w:t>
      </w:r>
    </w:p>
    <w:p w:rsidR="00323633" w:rsidRDefault="00323633">
      <w:pPr>
        <w:pStyle w:val="BodyText"/>
        <w:spacing w:before="1"/>
        <w:rPr>
          <w:rFonts w:ascii="Arial"/>
          <w:sz w:val="30"/>
        </w:rPr>
      </w:pPr>
    </w:p>
    <w:p w:rsidR="00323633" w:rsidRDefault="00CC0D3C">
      <w:pPr>
        <w:pStyle w:val="BodyText"/>
        <w:ind w:left="119"/>
      </w:pPr>
      <w:r>
        <w:t>There are no capital costs associated with this information collection.</w:t>
      </w:r>
    </w:p>
    <w:p w:rsidR="00323633" w:rsidRDefault="00323633">
      <w:pPr>
        <w:pStyle w:val="BodyText"/>
        <w:rPr>
          <w:sz w:val="26"/>
        </w:rPr>
      </w:pPr>
    </w:p>
    <w:p w:rsidR="00323633" w:rsidRDefault="00CC0D3C">
      <w:pPr>
        <w:pStyle w:val="ListParagraph"/>
        <w:numPr>
          <w:ilvl w:val="1"/>
          <w:numId w:val="4"/>
        </w:numPr>
        <w:tabs>
          <w:tab w:val="left" w:pos="839"/>
          <w:tab w:val="left" w:pos="840"/>
        </w:tabs>
        <w:spacing w:before="228"/>
        <w:rPr>
          <w:rFonts w:ascii="Arial"/>
          <w:sz w:val="24"/>
        </w:rPr>
      </w:pPr>
      <w:bookmarkStart w:id="20" w:name="14._Cost_to_Federal_Government"/>
      <w:bookmarkEnd w:id="20"/>
      <w:r>
        <w:rPr>
          <w:rFonts w:ascii="Arial"/>
          <w:sz w:val="24"/>
        </w:rPr>
        <w:t>Cost to Federal</w:t>
      </w:r>
      <w:r>
        <w:rPr>
          <w:rFonts w:ascii="Arial"/>
          <w:spacing w:val="-5"/>
          <w:sz w:val="24"/>
        </w:rPr>
        <w:t xml:space="preserve"> </w:t>
      </w:r>
      <w:r>
        <w:rPr>
          <w:rFonts w:ascii="Arial"/>
          <w:sz w:val="24"/>
        </w:rPr>
        <w:t>Government</w:t>
      </w:r>
    </w:p>
    <w:p w:rsidR="00323633" w:rsidRDefault="00323633">
      <w:pPr>
        <w:pStyle w:val="BodyText"/>
        <w:spacing w:before="1"/>
        <w:rPr>
          <w:rFonts w:ascii="Arial"/>
          <w:sz w:val="30"/>
        </w:rPr>
      </w:pPr>
    </w:p>
    <w:p w:rsidR="00323633" w:rsidRDefault="00CC0D3C">
      <w:pPr>
        <w:pStyle w:val="BodyText"/>
        <w:spacing w:line="247" w:lineRule="auto"/>
        <w:ind w:left="119" w:right="117"/>
      </w:pPr>
      <w:r>
        <w:t xml:space="preserve">We reimburse State agencies to carry out the task of ensuring compliance with these requirements. State agencies generally conduct surveys of home health agencies once every three years. A survey normally requires approximately 70 hours at $138 per hour for a three person survey team.  The total potential cost to the Federal government for HHA initial and recertification surveys is $131,153,820 every 3 </w:t>
      </w:r>
      <w:r>
        <w:rPr>
          <w:spacing w:val="-3"/>
        </w:rPr>
        <w:t xml:space="preserve">years </w:t>
      </w:r>
      <w:r>
        <w:t>(70 hours x $138 /hour x [11,930 existing + 1,647 new HHAs]), provided that all HHAs are surveyed by CMS. However, a significant number</w:t>
      </w:r>
      <w:r>
        <w:rPr>
          <w:spacing w:val="-4"/>
        </w:rPr>
        <w:t xml:space="preserve"> </w:t>
      </w:r>
      <w:r>
        <w:t>of</w:t>
      </w:r>
      <w:r>
        <w:rPr>
          <w:spacing w:val="-4"/>
        </w:rPr>
        <w:t xml:space="preserve"> </w:t>
      </w:r>
      <w:r>
        <w:t>HHAs</w:t>
      </w:r>
      <w:r>
        <w:rPr>
          <w:spacing w:val="-3"/>
        </w:rPr>
        <w:t xml:space="preserve"> </w:t>
      </w:r>
      <w:r>
        <w:t>are</w:t>
      </w:r>
      <w:r>
        <w:rPr>
          <w:spacing w:val="-4"/>
        </w:rPr>
        <w:t xml:space="preserve"> </w:t>
      </w:r>
      <w:r>
        <w:t>deemed</w:t>
      </w:r>
      <w:r>
        <w:rPr>
          <w:spacing w:val="-3"/>
        </w:rPr>
        <w:t xml:space="preserve"> </w:t>
      </w:r>
      <w:r>
        <w:t>providers,</w:t>
      </w:r>
      <w:r>
        <w:rPr>
          <w:spacing w:val="-3"/>
        </w:rPr>
        <w:t xml:space="preserve"> </w:t>
      </w:r>
      <w:r>
        <w:t>and</w:t>
      </w:r>
      <w:r>
        <w:rPr>
          <w:spacing w:val="-3"/>
        </w:rPr>
        <w:t xml:space="preserve"> </w:t>
      </w:r>
      <w:r>
        <w:t>responsibility</w:t>
      </w:r>
      <w:r>
        <w:rPr>
          <w:spacing w:val="-10"/>
        </w:rPr>
        <w:t xml:space="preserve"> </w:t>
      </w:r>
      <w:r>
        <w:t>for</w:t>
      </w:r>
      <w:r>
        <w:rPr>
          <w:spacing w:val="-4"/>
        </w:rPr>
        <w:t xml:space="preserve"> </w:t>
      </w:r>
      <w:r>
        <w:t>surveying</w:t>
      </w:r>
      <w:r>
        <w:rPr>
          <w:spacing w:val="-6"/>
        </w:rPr>
        <w:t xml:space="preserve"> </w:t>
      </w:r>
      <w:r>
        <w:t>these</w:t>
      </w:r>
      <w:r>
        <w:rPr>
          <w:spacing w:val="-4"/>
        </w:rPr>
        <w:t xml:space="preserve"> </w:t>
      </w:r>
      <w:r>
        <w:t>providers</w:t>
      </w:r>
      <w:r>
        <w:rPr>
          <w:spacing w:val="-3"/>
        </w:rPr>
        <w:t xml:space="preserve"> </w:t>
      </w:r>
      <w:r>
        <w:t>is</w:t>
      </w:r>
      <w:r>
        <w:rPr>
          <w:spacing w:val="-3"/>
        </w:rPr>
        <w:t xml:space="preserve"> </w:t>
      </w:r>
      <w:r>
        <w:t>that</w:t>
      </w:r>
      <w:r>
        <w:rPr>
          <w:spacing w:val="-3"/>
        </w:rPr>
        <w:t xml:space="preserve"> </w:t>
      </w:r>
      <w:r>
        <w:t>of the accrediting bodies through which the HHAs seek their deemed status. Thus, in practice, the total cost to the Federal government is significantly lower than the total potential</w:t>
      </w:r>
      <w:r>
        <w:rPr>
          <w:spacing w:val="-37"/>
        </w:rPr>
        <w:t xml:space="preserve"> </w:t>
      </w:r>
      <w:r>
        <w:t>cost.</w:t>
      </w:r>
    </w:p>
    <w:p w:rsidR="00323633" w:rsidRDefault="00323633">
      <w:pPr>
        <w:pStyle w:val="BodyText"/>
        <w:rPr>
          <w:sz w:val="26"/>
        </w:rPr>
      </w:pPr>
    </w:p>
    <w:p w:rsidR="00323633" w:rsidRDefault="00CC0D3C">
      <w:pPr>
        <w:pStyle w:val="ListParagraph"/>
        <w:numPr>
          <w:ilvl w:val="1"/>
          <w:numId w:val="4"/>
        </w:numPr>
        <w:tabs>
          <w:tab w:val="left" w:pos="839"/>
          <w:tab w:val="left" w:pos="840"/>
        </w:tabs>
        <w:spacing w:before="219"/>
        <w:rPr>
          <w:rFonts w:ascii="Arial"/>
          <w:sz w:val="24"/>
        </w:rPr>
      </w:pPr>
      <w:bookmarkStart w:id="21" w:name="15._Changes_to_Burden"/>
      <w:bookmarkEnd w:id="21"/>
      <w:r>
        <w:rPr>
          <w:rFonts w:ascii="Arial"/>
          <w:sz w:val="24"/>
        </w:rPr>
        <w:t>Changes to</w:t>
      </w:r>
      <w:r>
        <w:rPr>
          <w:rFonts w:ascii="Arial"/>
          <w:spacing w:val="-4"/>
          <w:sz w:val="24"/>
        </w:rPr>
        <w:t xml:space="preserve"> </w:t>
      </w:r>
      <w:r>
        <w:rPr>
          <w:rFonts w:ascii="Arial"/>
          <w:sz w:val="24"/>
        </w:rPr>
        <w:t>Burden</w:t>
      </w:r>
    </w:p>
    <w:p w:rsidR="00323633" w:rsidRDefault="00323633">
      <w:pPr>
        <w:pStyle w:val="BodyText"/>
        <w:spacing w:before="1"/>
        <w:rPr>
          <w:rFonts w:ascii="Arial"/>
          <w:sz w:val="30"/>
        </w:rPr>
      </w:pPr>
    </w:p>
    <w:p w:rsidR="00323633" w:rsidRDefault="00CC0D3C">
      <w:pPr>
        <w:pStyle w:val="BodyText"/>
        <w:spacing w:line="247" w:lineRule="auto"/>
        <w:ind w:left="119" w:right="144"/>
      </w:pPr>
      <w:r>
        <w:t>The total annual hourly burden for the information collection requirements under the existing HHA conditions of participation is estimated to be 5,644,430 - 6,422,694 hours. The differences in the estimates (1,048,483.5 hours in the previous estimate and 5,644,430 - 6,422,694 hours in the current estimate) are due to three main factors. First, the number of Medicare-certified HHAs increased from 9,354 to 11,930. Second, we expect a larger volume of HHA’s to become certified in each of the next three years. And third, an improvement in our data has allowed us to improve our estimate of the total number of HHA admissions rather than being limited to only estimating the number of Medicare HHA admissions.</w:t>
      </w:r>
    </w:p>
    <w:p w:rsidR="00323633" w:rsidRDefault="00323633">
      <w:pPr>
        <w:pStyle w:val="BodyText"/>
        <w:spacing w:before="6"/>
      </w:pPr>
    </w:p>
    <w:p w:rsidR="00323633" w:rsidRDefault="00CC0D3C">
      <w:pPr>
        <w:pStyle w:val="BodyText"/>
        <w:spacing w:line="247" w:lineRule="auto"/>
        <w:ind w:left="119" w:right="155"/>
      </w:pPr>
      <w:r>
        <w:t>The total annual cost burden has also increased sue to these same factors. Furthermore, the total annual cost burden has increased due to changes in both the way that the salary estimates are calculated and increases in base salaries over time. Rather than using a single averaged salary estimate to assess the burden for each provision, we have chosen to use specific salary amounts for specific disciplines (e.g. nurses, administrators, and office staff) depending on the discipline that is most likely to be responsible for implementing the requirement at hand. We have also increased salary estimates to reflect recent Bureau of Labor Statistics wage data, and have</w:t>
      </w:r>
    </w:p>
    <w:p w:rsidR="00323633" w:rsidRDefault="00323633">
      <w:pPr>
        <w:spacing w:line="247" w:lineRule="auto"/>
        <w:sectPr w:rsidR="00323633">
          <w:pgSz w:w="12240" w:h="15840"/>
          <w:pgMar w:top="1700" w:right="1320" w:bottom="280" w:left="1320" w:header="1452" w:footer="0" w:gutter="0"/>
          <w:cols w:space="720"/>
        </w:sectPr>
      </w:pPr>
    </w:p>
    <w:p w:rsidR="00323633" w:rsidRDefault="00323633">
      <w:pPr>
        <w:pStyle w:val="BodyText"/>
        <w:spacing w:before="7"/>
        <w:rPr>
          <w:sz w:val="13"/>
        </w:rPr>
      </w:pPr>
    </w:p>
    <w:p w:rsidR="00323633" w:rsidRDefault="00CC0D3C">
      <w:pPr>
        <w:pStyle w:val="BodyText"/>
        <w:spacing w:before="90" w:line="247" w:lineRule="auto"/>
        <w:ind w:left="100" w:right="115"/>
      </w:pPr>
      <w:proofErr w:type="gramStart"/>
      <w:r>
        <w:t>incorporated</w:t>
      </w:r>
      <w:proofErr w:type="gramEnd"/>
      <w:r>
        <w:t xml:space="preserve"> a benefits and overhead package worth 49% of base salary into our estimates to better reflect the true costs of employment. We believe that these adjustments more accurately reflect the impact of these requirements.</w:t>
      </w:r>
    </w:p>
    <w:p w:rsidR="00323633" w:rsidRDefault="00323633">
      <w:pPr>
        <w:pStyle w:val="BodyText"/>
        <w:rPr>
          <w:sz w:val="26"/>
        </w:rPr>
      </w:pPr>
    </w:p>
    <w:p w:rsidR="00323633" w:rsidRDefault="00323633">
      <w:pPr>
        <w:pStyle w:val="BodyText"/>
        <w:rPr>
          <w:sz w:val="26"/>
        </w:rPr>
      </w:pPr>
    </w:p>
    <w:p w:rsidR="00323633" w:rsidRDefault="00CC0D3C">
      <w:pPr>
        <w:pStyle w:val="ListParagraph"/>
        <w:numPr>
          <w:ilvl w:val="1"/>
          <w:numId w:val="4"/>
        </w:numPr>
        <w:tabs>
          <w:tab w:val="left" w:pos="819"/>
          <w:tab w:val="left" w:pos="820"/>
        </w:tabs>
        <w:spacing w:before="203"/>
        <w:ind w:left="820"/>
        <w:rPr>
          <w:rFonts w:ascii="Arial"/>
          <w:sz w:val="24"/>
        </w:rPr>
      </w:pPr>
      <w:bookmarkStart w:id="22" w:name="16._Publication_and_Tabulation_Dates"/>
      <w:bookmarkEnd w:id="22"/>
      <w:r>
        <w:rPr>
          <w:rFonts w:ascii="Arial"/>
          <w:sz w:val="24"/>
        </w:rPr>
        <w:t>Publication and Tabulation</w:t>
      </w:r>
      <w:r>
        <w:rPr>
          <w:rFonts w:ascii="Arial"/>
          <w:spacing w:val="-2"/>
          <w:sz w:val="24"/>
        </w:rPr>
        <w:t xml:space="preserve"> </w:t>
      </w:r>
      <w:r>
        <w:rPr>
          <w:rFonts w:ascii="Arial"/>
          <w:sz w:val="24"/>
        </w:rPr>
        <w:t>Dates</w:t>
      </w:r>
    </w:p>
    <w:p w:rsidR="00323633" w:rsidRDefault="00323633">
      <w:pPr>
        <w:pStyle w:val="BodyText"/>
        <w:spacing w:before="1"/>
        <w:rPr>
          <w:rFonts w:ascii="Arial"/>
          <w:sz w:val="30"/>
        </w:rPr>
      </w:pPr>
    </w:p>
    <w:p w:rsidR="00323633" w:rsidRDefault="00CC0D3C">
      <w:pPr>
        <w:pStyle w:val="BodyText"/>
        <w:ind w:left="100"/>
      </w:pPr>
      <w:r>
        <w:t>There are no publication or tabulation dates.</w:t>
      </w:r>
    </w:p>
    <w:p w:rsidR="00323633" w:rsidRDefault="00323633">
      <w:pPr>
        <w:pStyle w:val="BodyText"/>
        <w:rPr>
          <w:sz w:val="26"/>
        </w:rPr>
      </w:pPr>
    </w:p>
    <w:p w:rsidR="00323633" w:rsidRDefault="00CC0D3C">
      <w:pPr>
        <w:pStyle w:val="ListParagraph"/>
        <w:numPr>
          <w:ilvl w:val="1"/>
          <w:numId w:val="4"/>
        </w:numPr>
        <w:tabs>
          <w:tab w:val="left" w:pos="819"/>
          <w:tab w:val="left" w:pos="820"/>
        </w:tabs>
        <w:spacing w:before="227"/>
        <w:ind w:left="820"/>
        <w:rPr>
          <w:rFonts w:ascii="Arial"/>
          <w:sz w:val="24"/>
        </w:rPr>
      </w:pPr>
      <w:bookmarkStart w:id="23" w:name="17._Expiration_Date"/>
      <w:bookmarkEnd w:id="23"/>
      <w:r>
        <w:rPr>
          <w:rFonts w:ascii="Arial"/>
          <w:sz w:val="24"/>
        </w:rPr>
        <w:t>Expiration</w:t>
      </w:r>
      <w:r>
        <w:rPr>
          <w:rFonts w:ascii="Arial"/>
          <w:spacing w:val="-7"/>
          <w:sz w:val="24"/>
        </w:rPr>
        <w:t xml:space="preserve"> </w:t>
      </w:r>
      <w:r>
        <w:rPr>
          <w:rFonts w:ascii="Arial"/>
          <w:sz w:val="24"/>
        </w:rPr>
        <w:t>Date</w:t>
      </w:r>
    </w:p>
    <w:p w:rsidR="00323633" w:rsidRDefault="00323633">
      <w:pPr>
        <w:pStyle w:val="BodyText"/>
        <w:rPr>
          <w:rFonts w:ascii="Arial"/>
          <w:sz w:val="30"/>
        </w:rPr>
      </w:pPr>
    </w:p>
    <w:p w:rsidR="00323633" w:rsidRDefault="00F013E8">
      <w:pPr>
        <w:pStyle w:val="BodyText"/>
        <w:spacing w:before="1"/>
        <w:ind w:left="100"/>
      </w:pPr>
      <w:r>
        <w:t xml:space="preserve">CMS will display the </w:t>
      </w:r>
      <w:r w:rsidR="00CC0D3C">
        <w:t>expiration date.</w:t>
      </w:r>
    </w:p>
    <w:sectPr w:rsidR="00323633">
      <w:pgSz w:w="12240" w:h="15840"/>
      <w:pgMar w:top="1700" w:right="1320" w:bottom="280" w:left="1340" w:header="145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20F0" w:rsidRDefault="00CC0D3C">
      <w:r>
        <w:separator/>
      </w:r>
    </w:p>
  </w:endnote>
  <w:endnote w:type="continuationSeparator" w:id="0">
    <w:p w:rsidR="005E20F0" w:rsidRDefault="00CC0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20F0" w:rsidRDefault="00CC0D3C">
      <w:r>
        <w:separator/>
      </w:r>
    </w:p>
  </w:footnote>
  <w:footnote w:type="continuationSeparator" w:id="0">
    <w:p w:rsidR="005E20F0" w:rsidRDefault="00CC0D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633" w:rsidRDefault="002E2BE8">
    <w:pPr>
      <w:pStyle w:val="BodyText"/>
      <w:spacing w:line="14" w:lineRule="auto"/>
      <w:rPr>
        <w:sz w:val="20"/>
      </w:rPr>
    </w:pPr>
    <w:r>
      <w:pict>
        <v:shapetype id="_x0000_t202" coordsize="21600,21600" o:spt="202" path="m,l,21600r21600,l21600,xe">
          <v:stroke joinstyle="miter"/>
          <v:path gradientshapeok="t" o:connecttype="rect"/>
        </v:shapetype>
        <v:shape id="_x0000_s1026" type="#_x0000_t202" style="position:absolute;margin-left:310.5pt;margin-top:71.6pt;width:231.5pt;height:15.3pt;z-index:-22360;mso-position-horizontal-relative:page;mso-position-vertical-relative:page" filled="f" stroked="f">
          <v:textbox inset="0,0,0,0">
            <w:txbxContent>
              <w:p w:rsidR="00323633" w:rsidRDefault="00CC0D3C">
                <w:pPr>
                  <w:pStyle w:val="BodyText"/>
                  <w:spacing w:before="10"/>
                  <w:ind w:left="20"/>
                </w:pPr>
                <w:r>
                  <w:t xml:space="preserve">CMS-R-39, OMB Control # 0938-0365, Page </w:t>
                </w:r>
                <w:r>
                  <w:fldChar w:fldCharType="begin"/>
                </w:r>
                <w:r>
                  <w:instrText xml:space="preserve"> PAGE </w:instrText>
                </w:r>
                <w:r>
                  <w:fldChar w:fldCharType="separate"/>
                </w:r>
                <w:r w:rsidR="002E2BE8">
                  <w:rPr>
                    <w:noProof/>
                  </w:rPr>
                  <w:t>6</w:t>
                </w:r>
                <w:r>
                  <w:fldChar w:fldCharType="end"/>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633" w:rsidRDefault="00323633">
    <w:pPr>
      <w:pStyle w:val="BodyText"/>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633" w:rsidRDefault="00323633">
    <w:pPr>
      <w:pStyle w:val="BodyText"/>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633" w:rsidRDefault="00323633">
    <w:pPr>
      <w:pStyle w:val="BodyText"/>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633" w:rsidRDefault="002E2BE8">
    <w:pPr>
      <w:pStyle w:val="BodyText"/>
      <w:spacing w:line="14" w:lineRule="auto"/>
      <w:rPr>
        <w:sz w:val="20"/>
      </w:rPr>
    </w:pPr>
    <w:r>
      <w:pict>
        <v:shapetype id="_x0000_t202" coordsize="21600,21600" o:spt="202" path="m,l,21600r21600,l21600,xe">
          <v:stroke joinstyle="miter"/>
          <v:path gradientshapeok="t" o:connecttype="rect"/>
        </v:shapetype>
        <v:shape id="_x0000_s1025" type="#_x0000_t202" style="position:absolute;margin-left:304.5pt;margin-top:71.6pt;width:237.5pt;height:15.3pt;z-index:-22336;mso-position-horizontal-relative:page;mso-position-vertical-relative:page" filled="f" stroked="f">
          <v:textbox inset="0,0,0,0">
            <w:txbxContent>
              <w:p w:rsidR="00323633" w:rsidRDefault="00CC0D3C">
                <w:pPr>
                  <w:pStyle w:val="BodyText"/>
                  <w:spacing w:before="10"/>
                  <w:ind w:left="20"/>
                </w:pPr>
                <w:r>
                  <w:t xml:space="preserve">CMS-R-39, OMB Control # 0938-0365, Page </w:t>
                </w:r>
                <w:r>
                  <w:fldChar w:fldCharType="begin"/>
                </w:r>
                <w:r>
                  <w:instrText xml:space="preserve"> PAGE </w:instrText>
                </w:r>
                <w:r>
                  <w:fldChar w:fldCharType="separate"/>
                </w:r>
                <w:r w:rsidR="002E2BE8">
                  <w:rPr>
                    <w:noProof/>
                  </w:rPr>
                  <w:t>12</w:t>
                </w:r>
                <w: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CA38A0"/>
    <w:multiLevelType w:val="hybridMultilevel"/>
    <w:tmpl w:val="11368994"/>
    <w:lvl w:ilvl="0" w:tplc="72DA8CEA">
      <w:start w:val="1"/>
      <w:numFmt w:val="upperLetter"/>
      <w:lvlText w:val="%1)"/>
      <w:lvlJc w:val="left"/>
      <w:pPr>
        <w:ind w:left="360" w:hanging="312"/>
        <w:jc w:val="left"/>
      </w:pPr>
      <w:rPr>
        <w:rFonts w:ascii="Times New Roman" w:eastAsia="Times New Roman" w:hAnsi="Times New Roman" w:cs="Times New Roman" w:hint="default"/>
        <w:spacing w:val="-1"/>
        <w:w w:val="99"/>
        <w:sz w:val="24"/>
        <w:szCs w:val="24"/>
      </w:rPr>
    </w:lvl>
    <w:lvl w:ilvl="1" w:tplc="899A68FE">
      <w:numFmt w:val="bullet"/>
      <w:lvlText w:val=""/>
      <w:lvlJc w:val="left"/>
      <w:pPr>
        <w:ind w:left="1080" w:hanging="360"/>
      </w:pPr>
      <w:rPr>
        <w:rFonts w:ascii="Symbol" w:eastAsia="Symbol" w:hAnsi="Symbol" w:cs="Symbol" w:hint="default"/>
        <w:w w:val="100"/>
        <w:sz w:val="24"/>
        <w:szCs w:val="24"/>
      </w:rPr>
    </w:lvl>
    <w:lvl w:ilvl="2" w:tplc="7862D1A0">
      <w:numFmt w:val="bullet"/>
      <w:lvlText w:val="•"/>
      <w:lvlJc w:val="left"/>
      <w:pPr>
        <w:ind w:left="2095" w:hanging="360"/>
      </w:pPr>
      <w:rPr>
        <w:rFonts w:hint="default"/>
      </w:rPr>
    </w:lvl>
    <w:lvl w:ilvl="3" w:tplc="95A0B218">
      <w:numFmt w:val="bullet"/>
      <w:lvlText w:val="•"/>
      <w:lvlJc w:val="left"/>
      <w:pPr>
        <w:ind w:left="3111" w:hanging="360"/>
      </w:pPr>
      <w:rPr>
        <w:rFonts w:hint="default"/>
      </w:rPr>
    </w:lvl>
    <w:lvl w:ilvl="4" w:tplc="B1F6D094">
      <w:numFmt w:val="bullet"/>
      <w:lvlText w:val="•"/>
      <w:lvlJc w:val="left"/>
      <w:pPr>
        <w:ind w:left="4126" w:hanging="360"/>
      </w:pPr>
      <w:rPr>
        <w:rFonts w:hint="default"/>
      </w:rPr>
    </w:lvl>
    <w:lvl w:ilvl="5" w:tplc="69B6C222">
      <w:numFmt w:val="bullet"/>
      <w:lvlText w:val="•"/>
      <w:lvlJc w:val="left"/>
      <w:pPr>
        <w:ind w:left="5142" w:hanging="360"/>
      </w:pPr>
      <w:rPr>
        <w:rFonts w:hint="default"/>
      </w:rPr>
    </w:lvl>
    <w:lvl w:ilvl="6" w:tplc="1B9ECF2A">
      <w:numFmt w:val="bullet"/>
      <w:lvlText w:val="•"/>
      <w:lvlJc w:val="left"/>
      <w:pPr>
        <w:ind w:left="6157" w:hanging="360"/>
      </w:pPr>
      <w:rPr>
        <w:rFonts w:hint="default"/>
      </w:rPr>
    </w:lvl>
    <w:lvl w:ilvl="7" w:tplc="30DAA866">
      <w:numFmt w:val="bullet"/>
      <w:lvlText w:val="•"/>
      <w:lvlJc w:val="left"/>
      <w:pPr>
        <w:ind w:left="7173" w:hanging="360"/>
      </w:pPr>
      <w:rPr>
        <w:rFonts w:hint="default"/>
      </w:rPr>
    </w:lvl>
    <w:lvl w:ilvl="8" w:tplc="FD86ACDC">
      <w:numFmt w:val="bullet"/>
      <w:lvlText w:val="•"/>
      <w:lvlJc w:val="left"/>
      <w:pPr>
        <w:ind w:left="8188" w:hanging="360"/>
      </w:pPr>
      <w:rPr>
        <w:rFonts w:hint="default"/>
      </w:rPr>
    </w:lvl>
  </w:abstractNum>
  <w:abstractNum w:abstractNumId="1" w15:restartNumberingAfterBreak="0">
    <w:nsid w:val="686657E0"/>
    <w:multiLevelType w:val="hybridMultilevel"/>
    <w:tmpl w:val="DAE63F84"/>
    <w:lvl w:ilvl="0" w:tplc="23A4CF7E">
      <w:numFmt w:val="bullet"/>
      <w:lvlText w:val=""/>
      <w:lvlJc w:val="left"/>
      <w:pPr>
        <w:ind w:left="840" w:hanging="720"/>
      </w:pPr>
      <w:rPr>
        <w:rFonts w:ascii="Symbol" w:eastAsia="Symbol" w:hAnsi="Symbol" w:cs="Symbol" w:hint="default"/>
        <w:w w:val="100"/>
        <w:sz w:val="24"/>
        <w:szCs w:val="24"/>
      </w:rPr>
    </w:lvl>
    <w:lvl w:ilvl="1" w:tplc="A588F0A8">
      <w:numFmt w:val="bullet"/>
      <w:lvlText w:val="•"/>
      <w:lvlJc w:val="left"/>
      <w:pPr>
        <w:ind w:left="1716" w:hanging="720"/>
      </w:pPr>
      <w:rPr>
        <w:rFonts w:hint="default"/>
      </w:rPr>
    </w:lvl>
    <w:lvl w:ilvl="2" w:tplc="0B984BAC">
      <w:numFmt w:val="bullet"/>
      <w:lvlText w:val="•"/>
      <w:lvlJc w:val="left"/>
      <w:pPr>
        <w:ind w:left="2592" w:hanging="720"/>
      </w:pPr>
      <w:rPr>
        <w:rFonts w:hint="default"/>
      </w:rPr>
    </w:lvl>
    <w:lvl w:ilvl="3" w:tplc="98206780">
      <w:numFmt w:val="bullet"/>
      <w:lvlText w:val="•"/>
      <w:lvlJc w:val="left"/>
      <w:pPr>
        <w:ind w:left="3468" w:hanging="720"/>
      </w:pPr>
      <w:rPr>
        <w:rFonts w:hint="default"/>
      </w:rPr>
    </w:lvl>
    <w:lvl w:ilvl="4" w:tplc="0C7C44D0">
      <w:numFmt w:val="bullet"/>
      <w:lvlText w:val="•"/>
      <w:lvlJc w:val="left"/>
      <w:pPr>
        <w:ind w:left="4344" w:hanging="720"/>
      </w:pPr>
      <w:rPr>
        <w:rFonts w:hint="default"/>
      </w:rPr>
    </w:lvl>
    <w:lvl w:ilvl="5" w:tplc="46B0232C">
      <w:numFmt w:val="bullet"/>
      <w:lvlText w:val="•"/>
      <w:lvlJc w:val="left"/>
      <w:pPr>
        <w:ind w:left="5220" w:hanging="720"/>
      </w:pPr>
      <w:rPr>
        <w:rFonts w:hint="default"/>
      </w:rPr>
    </w:lvl>
    <w:lvl w:ilvl="6" w:tplc="A510DDA0">
      <w:numFmt w:val="bullet"/>
      <w:lvlText w:val="•"/>
      <w:lvlJc w:val="left"/>
      <w:pPr>
        <w:ind w:left="6096" w:hanging="720"/>
      </w:pPr>
      <w:rPr>
        <w:rFonts w:hint="default"/>
      </w:rPr>
    </w:lvl>
    <w:lvl w:ilvl="7" w:tplc="D33C40F6">
      <w:numFmt w:val="bullet"/>
      <w:lvlText w:val="•"/>
      <w:lvlJc w:val="left"/>
      <w:pPr>
        <w:ind w:left="6972" w:hanging="720"/>
      </w:pPr>
      <w:rPr>
        <w:rFonts w:hint="default"/>
      </w:rPr>
    </w:lvl>
    <w:lvl w:ilvl="8" w:tplc="8D080E92">
      <w:numFmt w:val="bullet"/>
      <w:lvlText w:val="•"/>
      <w:lvlJc w:val="left"/>
      <w:pPr>
        <w:ind w:left="7848" w:hanging="720"/>
      </w:pPr>
      <w:rPr>
        <w:rFonts w:hint="default"/>
      </w:rPr>
    </w:lvl>
  </w:abstractNum>
  <w:abstractNum w:abstractNumId="2" w15:restartNumberingAfterBreak="0">
    <w:nsid w:val="7035728B"/>
    <w:multiLevelType w:val="hybridMultilevel"/>
    <w:tmpl w:val="3CA864C0"/>
    <w:lvl w:ilvl="0" w:tplc="7C74F8E6">
      <w:start w:val="1"/>
      <w:numFmt w:val="upperLetter"/>
      <w:lvlText w:val="%1."/>
      <w:lvlJc w:val="left"/>
      <w:pPr>
        <w:ind w:left="1079" w:hanging="720"/>
        <w:jc w:val="right"/>
      </w:pPr>
      <w:rPr>
        <w:rFonts w:ascii="Verdana" w:eastAsia="Verdana" w:hAnsi="Verdana" w:cs="Verdana" w:hint="default"/>
        <w:spacing w:val="-1"/>
        <w:w w:val="100"/>
        <w:sz w:val="24"/>
        <w:szCs w:val="24"/>
      </w:rPr>
    </w:lvl>
    <w:lvl w:ilvl="1" w:tplc="4268F960">
      <w:start w:val="1"/>
      <w:numFmt w:val="decimal"/>
      <w:lvlText w:val="%2."/>
      <w:lvlJc w:val="left"/>
      <w:pPr>
        <w:ind w:left="840" w:hanging="720"/>
        <w:jc w:val="left"/>
      </w:pPr>
      <w:rPr>
        <w:rFonts w:ascii="Arial" w:eastAsia="Arial" w:hAnsi="Arial" w:cs="Arial" w:hint="default"/>
        <w:spacing w:val="-2"/>
        <w:w w:val="99"/>
        <w:sz w:val="24"/>
        <w:szCs w:val="24"/>
      </w:rPr>
    </w:lvl>
    <w:lvl w:ilvl="2" w:tplc="6524A1DC">
      <w:numFmt w:val="bullet"/>
      <w:lvlText w:val="•"/>
      <w:lvlJc w:val="left"/>
      <w:pPr>
        <w:ind w:left="2017" w:hanging="720"/>
      </w:pPr>
      <w:rPr>
        <w:rFonts w:hint="default"/>
      </w:rPr>
    </w:lvl>
    <w:lvl w:ilvl="3" w:tplc="EEA0FAB8">
      <w:numFmt w:val="bullet"/>
      <w:lvlText w:val="•"/>
      <w:lvlJc w:val="left"/>
      <w:pPr>
        <w:ind w:left="2955" w:hanging="720"/>
      </w:pPr>
      <w:rPr>
        <w:rFonts w:hint="default"/>
      </w:rPr>
    </w:lvl>
    <w:lvl w:ilvl="4" w:tplc="FEA4814C">
      <w:numFmt w:val="bullet"/>
      <w:lvlText w:val="•"/>
      <w:lvlJc w:val="left"/>
      <w:pPr>
        <w:ind w:left="3893" w:hanging="720"/>
      </w:pPr>
      <w:rPr>
        <w:rFonts w:hint="default"/>
      </w:rPr>
    </w:lvl>
    <w:lvl w:ilvl="5" w:tplc="BA4A60DC">
      <w:numFmt w:val="bullet"/>
      <w:lvlText w:val="•"/>
      <w:lvlJc w:val="left"/>
      <w:pPr>
        <w:ind w:left="4831" w:hanging="720"/>
      </w:pPr>
      <w:rPr>
        <w:rFonts w:hint="default"/>
      </w:rPr>
    </w:lvl>
    <w:lvl w:ilvl="6" w:tplc="6102F398">
      <w:numFmt w:val="bullet"/>
      <w:lvlText w:val="•"/>
      <w:lvlJc w:val="left"/>
      <w:pPr>
        <w:ind w:left="5768" w:hanging="720"/>
      </w:pPr>
      <w:rPr>
        <w:rFonts w:hint="default"/>
      </w:rPr>
    </w:lvl>
    <w:lvl w:ilvl="7" w:tplc="D812D156">
      <w:numFmt w:val="bullet"/>
      <w:lvlText w:val="•"/>
      <w:lvlJc w:val="left"/>
      <w:pPr>
        <w:ind w:left="6706" w:hanging="720"/>
      </w:pPr>
      <w:rPr>
        <w:rFonts w:hint="default"/>
      </w:rPr>
    </w:lvl>
    <w:lvl w:ilvl="8" w:tplc="90C69332">
      <w:numFmt w:val="bullet"/>
      <w:lvlText w:val="•"/>
      <w:lvlJc w:val="left"/>
      <w:pPr>
        <w:ind w:left="7644" w:hanging="720"/>
      </w:pPr>
      <w:rPr>
        <w:rFonts w:hint="default"/>
      </w:rPr>
    </w:lvl>
  </w:abstractNum>
  <w:abstractNum w:abstractNumId="3" w15:restartNumberingAfterBreak="0">
    <w:nsid w:val="7C2A3C9E"/>
    <w:multiLevelType w:val="hybridMultilevel"/>
    <w:tmpl w:val="8070A7D4"/>
    <w:lvl w:ilvl="0" w:tplc="EC168B9C">
      <w:start w:val="1"/>
      <w:numFmt w:val="decimal"/>
      <w:lvlText w:val="%1)"/>
      <w:lvlJc w:val="left"/>
      <w:pPr>
        <w:ind w:left="840" w:hanging="320"/>
        <w:jc w:val="left"/>
      </w:pPr>
      <w:rPr>
        <w:rFonts w:ascii="Times New Roman" w:eastAsia="Times New Roman" w:hAnsi="Times New Roman" w:cs="Times New Roman" w:hint="default"/>
        <w:spacing w:val="-8"/>
        <w:w w:val="99"/>
        <w:sz w:val="24"/>
        <w:szCs w:val="24"/>
      </w:rPr>
    </w:lvl>
    <w:lvl w:ilvl="1" w:tplc="44304AF6">
      <w:numFmt w:val="bullet"/>
      <w:lvlText w:val="•"/>
      <w:lvlJc w:val="left"/>
      <w:pPr>
        <w:ind w:left="1716" w:hanging="320"/>
      </w:pPr>
      <w:rPr>
        <w:rFonts w:hint="default"/>
      </w:rPr>
    </w:lvl>
    <w:lvl w:ilvl="2" w:tplc="3B1E411C">
      <w:numFmt w:val="bullet"/>
      <w:lvlText w:val="•"/>
      <w:lvlJc w:val="left"/>
      <w:pPr>
        <w:ind w:left="2592" w:hanging="320"/>
      </w:pPr>
      <w:rPr>
        <w:rFonts w:hint="default"/>
      </w:rPr>
    </w:lvl>
    <w:lvl w:ilvl="3" w:tplc="4EE63EF6">
      <w:numFmt w:val="bullet"/>
      <w:lvlText w:val="•"/>
      <w:lvlJc w:val="left"/>
      <w:pPr>
        <w:ind w:left="3468" w:hanging="320"/>
      </w:pPr>
      <w:rPr>
        <w:rFonts w:hint="default"/>
      </w:rPr>
    </w:lvl>
    <w:lvl w:ilvl="4" w:tplc="BFBC2CB2">
      <w:numFmt w:val="bullet"/>
      <w:lvlText w:val="•"/>
      <w:lvlJc w:val="left"/>
      <w:pPr>
        <w:ind w:left="4344" w:hanging="320"/>
      </w:pPr>
      <w:rPr>
        <w:rFonts w:hint="default"/>
      </w:rPr>
    </w:lvl>
    <w:lvl w:ilvl="5" w:tplc="343A1474">
      <w:numFmt w:val="bullet"/>
      <w:lvlText w:val="•"/>
      <w:lvlJc w:val="left"/>
      <w:pPr>
        <w:ind w:left="5220" w:hanging="320"/>
      </w:pPr>
      <w:rPr>
        <w:rFonts w:hint="default"/>
      </w:rPr>
    </w:lvl>
    <w:lvl w:ilvl="6" w:tplc="19BC9F2C">
      <w:numFmt w:val="bullet"/>
      <w:lvlText w:val="•"/>
      <w:lvlJc w:val="left"/>
      <w:pPr>
        <w:ind w:left="6096" w:hanging="320"/>
      </w:pPr>
      <w:rPr>
        <w:rFonts w:hint="default"/>
      </w:rPr>
    </w:lvl>
    <w:lvl w:ilvl="7" w:tplc="C3A2B856">
      <w:numFmt w:val="bullet"/>
      <w:lvlText w:val="•"/>
      <w:lvlJc w:val="left"/>
      <w:pPr>
        <w:ind w:left="6972" w:hanging="320"/>
      </w:pPr>
      <w:rPr>
        <w:rFonts w:hint="default"/>
      </w:rPr>
    </w:lvl>
    <w:lvl w:ilvl="8" w:tplc="4AB6A44E">
      <w:numFmt w:val="bullet"/>
      <w:lvlText w:val="•"/>
      <w:lvlJc w:val="left"/>
      <w:pPr>
        <w:ind w:left="7848" w:hanging="32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323633"/>
    <w:rsid w:val="0019299D"/>
    <w:rsid w:val="001D1202"/>
    <w:rsid w:val="001E1D16"/>
    <w:rsid w:val="002E2BE8"/>
    <w:rsid w:val="00323633"/>
    <w:rsid w:val="005E20F0"/>
    <w:rsid w:val="00CC0D3C"/>
    <w:rsid w:val="00F01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8B6A4E2E-CFD4-4FAE-BF60-D18CA1EE1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hanging="720"/>
    </w:pPr>
  </w:style>
  <w:style w:type="paragraph" w:customStyle="1" w:styleId="TableParagraph">
    <w:name w:val="Table Paragraph"/>
    <w:basedOn w:val="Normal"/>
    <w:uiPriority w:val="1"/>
    <w:qFormat/>
    <w:pPr>
      <w:spacing w:line="183"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12</Pages>
  <Words>4348</Words>
  <Characters>24785</Characters>
  <Application>Microsoft Office Word</Application>
  <DocSecurity>0</DocSecurity>
  <Lines>206</Lines>
  <Paragraphs>58</Paragraphs>
  <ScaleCrop>false</ScaleCrop>
  <Company>CMS</Company>
  <LinksUpToDate>false</LinksUpToDate>
  <CharactersWithSpaces>29075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Denise King</cp:lastModifiedBy>
  <cp:revision>7</cp:revision>
  <dcterms:created xsi:type="dcterms:W3CDTF">2017-02-27T10:23:00Z</dcterms:created>
  <dcterms:modified xsi:type="dcterms:W3CDTF">2017-03-01T15:47:00Z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2013-06-27T00:00:00Z</vt:filetime>
  </property>
  <property fmtid="{D5CDD505-2E9C-101B-9397-08002B2CF9AE}" pid="3" name="Creator">
    <vt:lpwstr>Acrobat PDFMaker 10.1 for Word</vt:lpwstr>
  </property>
  <property fmtid="{D5CDD505-2E9C-101B-9397-08002B2CF9AE}" pid="4" name="LastSaved">
    <vt:filetime>2017-02-27T00:00:00Z</vt:filetime>
  </property>
</Properties>
</file>