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D4" w:rsidRDefault="001C4265">
      <w:r w:rsidRPr="003171C5">
        <w:t xml:space="preserve">Logic Model </w:t>
      </w:r>
      <w:r>
        <w:t>o</w:t>
      </w:r>
      <w:r w:rsidRPr="003171C5">
        <w:t xml:space="preserve">f </w:t>
      </w:r>
      <w:r>
        <w:t>t</w:t>
      </w:r>
      <w:r w:rsidRPr="003171C5">
        <w:t xml:space="preserve">he </w:t>
      </w:r>
      <w:r w:rsidR="003C2875">
        <w:t xml:space="preserve">CMHI </w:t>
      </w:r>
      <w:bookmarkStart w:id="0" w:name="_GoBack"/>
      <w:bookmarkEnd w:id="0"/>
      <w:r w:rsidRPr="003171C5">
        <w:t xml:space="preserve">National Evaluation </w:t>
      </w:r>
      <w:r>
        <w:t>o</w:t>
      </w:r>
      <w:r w:rsidRPr="003171C5">
        <w:t xml:space="preserve">f </w:t>
      </w:r>
      <w:r>
        <w:t>t</w:t>
      </w:r>
      <w:r w:rsidRPr="003171C5">
        <w:t>he CMHI Expansion</w:t>
      </w:r>
      <w:r>
        <w:t xml:space="preserve"> and Sustainability</w:t>
      </w:r>
      <w:r w:rsidRPr="003171C5">
        <w:t xml:space="preserve"> Grants</w:t>
      </w:r>
    </w:p>
    <w:p w:rsidR="001C4265" w:rsidRDefault="001C4265"/>
    <w:tbl>
      <w:tblPr>
        <w:tblW w:w="50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768"/>
        <w:gridCol w:w="530"/>
        <w:gridCol w:w="4069"/>
        <w:gridCol w:w="2654"/>
        <w:gridCol w:w="2298"/>
      </w:tblGrid>
      <w:tr w:rsidR="001C4265" w:rsidRPr="00FF0514" w:rsidTr="00E935CA">
        <w:trPr>
          <w:cantSplit/>
          <w:trHeight w:val="278"/>
          <w:tblHeader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Goals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Inputs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Activities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Proximal outcomes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Distal outcomes</w:t>
            </w:r>
          </w:p>
        </w:tc>
      </w:tr>
      <w:tr w:rsidR="001C4265" w:rsidRPr="00734218" w:rsidTr="00E935CA">
        <w:trPr>
          <w:cantSplit/>
          <w:trHeight w:val="1887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Expanded implementation of SOC (population; geographic area; services, etc.)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Implementation of expansion of SOC across multiple sectors 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culturally relevant services impedes access to hard-to-reach populations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representation of C and F needs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Sustainability of system of care components after CMHI funding ends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Improved cross agency coordination of services and policy throughout </w:t>
            </w:r>
            <w:r>
              <w:rPr>
                <w:sz w:val="16"/>
              </w:rPr>
              <w:t>grantee area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coordination of care for clients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client and system outcomes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Better understand</w:t>
            </w:r>
            <w:r w:rsidRPr="00734218">
              <w:rPr>
                <w:sz w:val="16"/>
              </w:rPr>
              <w:softHyphen/>
              <w:t>ing of barriers to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and facilitators to expansion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0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Develop understanding of how to inform successful system of care expansion</w:t>
            </w:r>
          </w:p>
          <w:p w:rsidR="001C4265" w:rsidRPr="00734218" w:rsidRDefault="001C4265" w:rsidP="00E935CA">
            <w:pPr>
              <w:pStyle w:val="SL-FlLftSgl"/>
              <w:ind w:left="252" w:hanging="180"/>
              <w:rPr>
                <w:sz w:val="16"/>
              </w:rPr>
            </w:pP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SAMHSA funding for </w:t>
            </w:r>
            <w:r>
              <w:rPr>
                <w:sz w:val="16"/>
              </w:rPr>
              <w:t>grantee</w:t>
            </w:r>
            <w:r w:rsidRPr="00734218">
              <w:rPr>
                <w:sz w:val="16"/>
              </w:rPr>
              <w:t>s to plan and expand systems of care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Technical assistance from national center 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Local infrastructure and processes established through previous CMHI community grants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New commitment to expand system of care across broad</w:t>
            </w:r>
            <w:r>
              <w:rPr>
                <w:sz w:val="16"/>
              </w:rPr>
              <w:t>er areas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New governance and management structures supporting implementation throughout SOC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CDP system for collecting performance indicators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Previous experiences with, and findings from, local and national evaluation of CMHI community grants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New roles for C and F representatives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Policy/ Partnerships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3171C5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Establish policy, administrative and regulatory structures to support SOC implementation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Increase interagency collaboration in statewide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planning and implementation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Expand family and youth involvement in governance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Engage in ongoing monitoring of system performance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Increase interagency collaboration in statewide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planning and implementation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Coordinate direct care across agencies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Expand family and youth involvement in management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Engage in ongoing monitoring of quality of care and services processes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3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Policy changes implemented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3"/>
              </w:numPr>
              <w:ind w:left="252" w:hanging="180"/>
              <w:rPr>
                <w:noProof/>
                <w:sz w:val="16"/>
                <w:u w:val="single"/>
              </w:rPr>
            </w:pPr>
            <w:r w:rsidRPr="00734218">
              <w:rPr>
                <w:noProof/>
                <w:sz w:val="16"/>
              </w:rPr>
              <w:t>Increase in family and youth roles across SOC</w:t>
            </w:r>
          </w:p>
          <w:p w:rsidR="001C4265" w:rsidRPr="003171C5" w:rsidRDefault="001C4265" w:rsidP="001C4265">
            <w:pPr>
              <w:pStyle w:val="SL-FlLftSgl"/>
              <w:numPr>
                <w:ilvl w:val="0"/>
                <w:numId w:val="3"/>
              </w:numPr>
              <w:ind w:left="252" w:hanging="180"/>
              <w:rPr>
                <w:noProof/>
                <w:sz w:val="16"/>
                <w:u w:val="single"/>
              </w:rPr>
            </w:pPr>
            <w:r w:rsidRPr="00734218">
              <w:rPr>
                <w:sz w:val="16"/>
              </w:rPr>
              <w:t>Improved coordination for organizations/agencies</w:t>
            </w:r>
            <w:r w:rsidRPr="00734218" w:rsidDel="006A49B7">
              <w:rPr>
                <w:sz w:val="16"/>
              </w:rPr>
              <w:t xml:space="preserve"> </w:t>
            </w:r>
          </w:p>
          <w:p w:rsidR="001C4265" w:rsidRPr="003171C5" w:rsidRDefault="001C4265" w:rsidP="001C4265">
            <w:pPr>
              <w:pStyle w:val="SL-FlLftSgl"/>
              <w:numPr>
                <w:ilvl w:val="0"/>
                <w:numId w:val="3"/>
              </w:numPr>
              <w:ind w:left="252" w:hanging="180"/>
              <w:rPr>
                <w:noProof/>
                <w:sz w:val="16"/>
                <w:u w:val="single"/>
              </w:rPr>
            </w:pPr>
            <w:r w:rsidRPr="00734218">
              <w:rPr>
                <w:sz w:val="16"/>
              </w:rPr>
              <w:t>Improved system performance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3171C5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Service system processes more child- and family-friendly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Greater coordination of care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quality of care and service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processes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342" w:hanging="270"/>
              <w:rPr>
                <w:sz w:val="16"/>
              </w:rPr>
            </w:pPr>
            <w:r w:rsidRPr="00734218">
              <w:rPr>
                <w:sz w:val="16"/>
              </w:rPr>
              <w:t>Greater expansion of SOC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342" w:hanging="270"/>
              <w:rPr>
                <w:sz w:val="16"/>
              </w:rPr>
            </w:pPr>
            <w:r w:rsidRPr="00734218">
              <w:rPr>
                <w:sz w:val="16"/>
              </w:rPr>
              <w:t>Greater sustainability of SOC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342" w:hanging="270"/>
              <w:rPr>
                <w:sz w:val="16"/>
              </w:rPr>
            </w:pPr>
            <w:r w:rsidRPr="00734218">
              <w:rPr>
                <w:sz w:val="16"/>
              </w:rPr>
              <w:t>Reduction in duplication of services across agencies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342" w:hanging="270"/>
              <w:rPr>
                <w:sz w:val="16"/>
              </w:rPr>
            </w:pPr>
            <w:r w:rsidRPr="00734218">
              <w:rPr>
                <w:sz w:val="16"/>
              </w:rPr>
              <w:t>Closing of service gaps within and across agencies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4"/>
              </w:numPr>
              <w:ind w:left="342" w:hanging="270"/>
              <w:rPr>
                <w:sz w:val="16"/>
              </w:rPr>
            </w:pPr>
            <w:r w:rsidRPr="00734218">
              <w:rPr>
                <w:sz w:val="16"/>
              </w:rPr>
              <w:t>Less fragmentation across service sectors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</w:tr>
      <w:tr w:rsidR="001C4265" w:rsidRPr="00734218" w:rsidTr="00E935CA">
        <w:trPr>
          <w:cantSplit/>
          <w:trHeight w:val="3507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Services/ Supports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6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Expand service array across state and close gaps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6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Promote adoption of culturally valid service and support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6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Mandate provision </w:t>
            </w:r>
            <w:r>
              <w:rPr>
                <w:sz w:val="16"/>
              </w:rPr>
              <w:t xml:space="preserve">of </w:t>
            </w:r>
            <w:r w:rsidRPr="00734218">
              <w:rPr>
                <w:sz w:val="16"/>
              </w:rPr>
              <w:t>evidence-based services and supports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Conduct outreach to historically underserved populations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Provide full array of services/supports within the community that are culturally valid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Offer evidence-based service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Conduct strength-based assessment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Provide individualized care in partnership with families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 w:rsidRPr="003171C5">
              <w:rPr>
                <w:sz w:val="16"/>
              </w:rPr>
              <w:t>Prioritize least restrictive settings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7"/>
              </w:numPr>
              <w:ind w:left="252" w:hanging="180"/>
              <w:rPr>
                <w:sz w:val="16"/>
              </w:rPr>
            </w:pPr>
            <w:r>
              <w:rPr>
                <w:sz w:val="16"/>
              </w:rPr>
              <w:t>Integrate family and youth support options and advocacy</w:t>
            </w:r>
          </w:p>
          <w:p w:rsidR="001C4265" w:rsidRPr="003171C5" w:rsidRDefault="001C4265" w:rsidP="00E935CA">
            <w:pPr>
              <w:pStyle w:val="SL-FlLftSgl"/>
              <w:ind w:left="252"/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8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cultural and linguistic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 xml:space="preserve">policy 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8"/>
              </w:numPr>
              <w:ind w:left="252" w:hanging="180"/>
              <w:rPr>
                <w:sz w:val="16"/>
              </w:rPr>
            </w:pPr>
            <w:r>
              <w:rPr>
                <w:sz w:val="16"/>
              </w:rPr>
              <w:t>Improved service array options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3171C5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9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access to services and supports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9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Increased use of services among historically underserved populations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9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More responsive service delivery to child and family needs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9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More culturally appropriate care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9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Greater use of evidence-based service options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Reduction in service gaps across state and within local systems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Reduced out-of-home and out-of-community services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child and family outcomes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Enduring quality practice</w:t>
            </w:r>
          </w:p>
        </w:tc>
      </w:tr>
    </w:tbl>
    <w:p w:rsidR="001C4265" w:rsidRDefault="001C4265"/>
    <w:p w:rsidR="001C4265" w:rsidRDefault="001C4265">
      <w:pPr>
        <w:spacing w:after="200" w:line="276" w:lineRule="auto"/>
      </w:pPr>
      <w:r>
        <w:br w:type="page"/>
      </w:r>
    </w:p>
    <w:tbl>
      <w:tblPr>
        <w:tblW w:w="50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768"/>
        <w:gridCol w:w="530"/>
        <w:gridCol w:w="4069"/>
        <w:gridCol w:w="2654"/>
        <w:gridCol w:w="2298"/>
      </w:tblGrid>
      <w:tr w:rsidR="001C4265" w:rsidRPr="00FF0514" w:rsidTr="00E935CA">
        <w:trPr>
          <w:cantSplit/>
          <w:trHeight w:val="278"/>
          <w:tblHeader/>
        </w:trPr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lastRenderedPageBreak/>
              <w:t>Goals</w:t>
            </w: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Inputs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Activities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Proximal outcomes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265" w:rsidRPr="00FF0514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FF0514">
              <w:rPr>
                <w:b/>
                <w:sz w:val="16"/>
                <w:szCs w:val="16"/>
              </w:rPr>
              <w:t>Distal outcomes</w:t>
            </w:r>
          </w:p>
        </w:tc>
      </w:tr>
      <w:tr w:rsidR="001C4265" w:rsidRPr="00734218" w:rsidTr="00E935CA">
        <w:trPr>
          <w:cantSplit/>
          <w:trHeight w:val="1338"/>
        </w:trPr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C11AA7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C11AA7">
              <w:rPr>
                <w:b/>
                <w:sz w:val="16"/>
                <w:szCs w:val="16"/>
              </w:rPr>
              <w:t>Financing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Create cross agency financial planning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Maximize financing options for SOC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Explore Medicaid expansion opportunities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Look for braided/blended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4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Develop strategies to fund new services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Develop multi-agency review teams to blend/braid funding for highest risk clients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Share resources and processes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5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Explore additional local funding sources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Increased funding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 costs across service sectors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2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Improved cross agency financial planning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3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 local operating costs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3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 financial barriers to care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1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Reduced costs across state and local systems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Reduced cost-shifting across service sectors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1"/>
              </w:numPr>
              <w:ind w:left="252" w:hanging="180"/>
              <w:rPr>
                <w:sz w:val="16"/>
              </w:rPr>
            </w:pPr>
            <w:r w:rsidRPr="00734218">
              <w:rPr>
                <w:sz w:val="16"/>
              </w:rPr>
              <w:t>Identification of cost off-sets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</w:tr>
      <w:tr w:rsidR="001C4265" w:rsidRPr="00734218" w:rsidTr="00E935CA">
        <w:trPr>
          <w:cantSplit/>
          <w:trHeight w:val="2904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C4265" w:rsidRPr="003171C5" w:rsidRDefault="001C4265" w:rsidP="00E935CA">
            <w:pPr>
              <w:pStyle w:val="SL-FlLftSgl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8019A0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8019A0">
              <w:rPr>
                <w:b/>
                <w:sz w:val="16"/>
                <w:szCs w:val="16"/>
              </w:rPr>
              <w:t>Training/Workforce</w:t>
            </w:r>
          </w:p>
          <w:p w:rsidR="001C4265" w:rsidRPr="008019A0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6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Implement policies to support diverse and competent workforce (e.g., fund positions, mandate and fund training,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outreach in hiring)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6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Support training on evidence-based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6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Mandate training on system of care approaches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  <w:p w:rsidR="001C4265" w:rsidRPr="003171C5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7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Build and support diverse and competent workforce (e.g., training, funding, outreach and hiring)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7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Conduct training in EBTs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7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Monitor provider quality of care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7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Conduct training on system of care approaches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7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Diversify workforce to fit client population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  <w:u w:val="single"/>
              </w:rPr>
              <w:t>State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8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Implement policies to support diverse and competent workforce (e.g., fund positions, mandate and fund training,</w:t>
            </w:r>
            <w:r>
              <w:rPr>
                <w:sz w:val="16"/>
              </w:rPr>
              <w:t xml:space="preserve"> </w:t>
            </w:r>
            <w:r w:rsidRPr="00734218">
              <w:rPr>
                <w:sz w:val="16"/>
              </w:rPr>
              <w:t>outreach in hiring)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8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Support training on evidence-based options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8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Mandate training on system of care approaches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  <w:p w:rsidR="001C4265" w:rsidRPr="00734218" w:rsidRDefault="001C4265" w:rsidP="00E935CA">
            <w:pPr>
              <w:pStyle w:val="SL-FlLftSgl"/>
              <w:rPr>
                <w:sz w:val="16"/>
                <w:u w:val="single"/>
              </w:rPr>
            </w:pPr>
            <w:r w:rsidRPr="00734218">
              <w:rPr>
                <w:sz w:val="16"/>
                <w:u w:val="single"/>
              </w:rPr>
              <w:t>Local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 xml:space="preserve">More diverse and competent workforce 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Greater fidelity to EBTs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Better quality of care delivered by providers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Reduced staff turnover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326" w:hanging="180"/>
              <w:rPr>
                <w:noProof/>
                <w:sz w:val="16"/>
                <w:u w:val="single"/>
              </w:rPr>
            </w:pPr>
            <w:r w:rsidRPr="00734218">
              <w:rPr>
                <w:sz w:val="16"/>
              </w:rPr>
              <w:t>Improved cultural and linguistic, practice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227" w:hanging="180"/>
              <w:rPr>
                <w:sz w:val="16"/>
              </w:rPr>
            </w:pPr>
            <w:r w:rsidRPr="00734218">
              <w:rPr>
                <w:sz w:val="16"/>
              </w:rPr>
              <w:t>More stable work force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227" w:hanging="180"/>
              <w:rPr>
                <w:sz w:val="16"/>
              </w:rPr>
            </w:pPr>
            <w:r w:rsidRPr="00734218">
              <w:rPr>
                <w:sz w:val="16"/>
              </w:rPr>
              <w:t>Workforce competent to meet needs of population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19"/>
              </w:numPr>
              <w:ind w:left="227" w:hanging="180"/>
              <w:rPr>
                <w:sz w:val="16"/>
              </w:rPr>
            </w:pPr>
            <w:r w:rsidRPr="00734218">
              <w:rPr>
                <w:sz w:val="16"/>
              </w:rPr>
              <w:t>Better quality and appropriateness of care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</w:tr>
      <w:tr w:rsidR="001C4265" w:rsidRPr="00734218" w:rsidTr="00E935CA">
        <w:trPr>
          <w:cantSplit/>
          <w:trHeight w:val="2600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4265" w:rsidRPr="006A57A8" w:rsidRDefault="001C4265" w:rsidP="00E935CA">
            <w:pPr>
              <w:pStyle w:val="SL-FlLftSgl"/>
            </w:pPr>
          </w:p>
        </w:tc>
        <w:tc>
          <w:tcPr>
            <w:tcW w:w="6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C4265" w:rsidRPr="006A57A8" w:rsidRDefault="001C4265" w:rsidP="00E935CA">
            <w:pPr>
              <w:pStyle w:val="SL-FlLftSgl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4265" w:rsidRPr="008019A0" w:rsidRDefault="001C4265" w:rsidP="00E935CA">
            <w:pPr>
              <w:pStyle w:val="SL-FlLftSgl"/>
              <w:jc w:val="center"/>
              <w:rPr>
                <w:b/>
                <w:sz w:val="16"/>
                <w:szCs w:val="16"/>
              </w:rPr>
            </w:pPr>
            <w:r w:rsidRPr="008019A0">
              <w:rPr>
                <w:b/>
                <w:sz w:val="16"/>
                <w:szCs w:val="16"/>
              </w:rPr>
              <w:t>Strategic Communications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State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2"/>
              </w:numPr>
              <w:ind w:left="297" w:hanging="180"/>
              <w:rPr>
                <w:sz w:val="16"/>
              </w:rPr>
            </w:pPr>
            <w:r w:rsidRPr="00734218">
              <w:rPr>
                <w:sz w:val="16"/>
              </w:rPr>
              <w:t>Engage in outreach and social marketing efforts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2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Generate reports on outcomes and cost avoidance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2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Create partnerships with and among policy leaders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2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Establish strong family and youth advocacy organizations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2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Foster System of Care Leadership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Local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3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Partner with state advocacy and policy makers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3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Collect data on outcomes and costs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3"/>
              </w:numPr>
              <w:ind w:left="297" w:hanging="180"/>
              <w:rPr>
                <w:sz w:val="16"/>
              </w:rPr>
            </w:pPr>
            <w:r>
              <w:rPr>
                <w:sz w:val="16"/>
              </w:rPr>
              <w:t>Engage in local advocacy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3"/>
              </w:numPr>
              <w:ind w:left="297" w:hanging="180"/>
              <w:rPr>
                <w:sz w:val="16"/>
                <w:u w:val="single"/>
              </w:rPr>
            </w:pPr>
            <w:r>
              <w:rPr>
                <w:sz w:val="16"/>
              </w:rPr>
              <w:t>Support Leadership at local and state levels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State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0"/>
              </w:numPr>
              <w:ind w:left="326" w:hanging="180"/>
              <w:rPr>
                <w:sz w:val="16"/>
              </w:rPr>
            </w:pPr>
            <w:r w:rsidRPr="00734218">
              <w:rPr>
                <w:sz w:val="16"/>
              </w:rPr>
              <w:t>Greater public awareness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0"/>
              </w:numPr>
              <w:ind w:left="326" w:hanging="180"/>
              <w:rPr>
                <w:sz w:val="16"/>
              </w:rPr>
            </w:pPr>
            <w:r>
              <w:rPr>
                <w:sz w:val="16"/>
              </w:rPr>
              <w:t>Engaged Policy Makers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0"/>
              </w:numPr>
              <w:ind w:left="326" w:hanging="180"/>
              <w:rPr>
                <w:sz w:val="16"/>
              </w:rPr>
            </w:pPr>
            <w:r>
              <w:rPr>
                <w:sz w:val="16"/>
              </w:rPr>
              <w:t xml:space="preserve">Increased Leadership 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0"/>
              </w:numPr>
              <w:ind w:left="326" w:hanging="180"/>
              <w:rPr>
                <w:sz w:val="16"/>
              </w:rPr>
            </w:pPr>
            <w:r>
              <w:rPr>
                <w:sz w:val="16"/>
              </w:rPr>
              <w:t>Stable and established youth and family advocacy organizations</w:t>
            </w: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</w:p>
          <w:p w:rsidR="001C4265" w:rsidRDefault="001C4265" w:rsidP="00E935CA">
            <w:pPr>
              <w:pStyle w:val="SL-FlLftSgl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Local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1"/>
              </w:numPr>
              <w:ind w:left="326" w:hanging="180"/>
              <w:rPr>
                <w:sz w:val="16"/>
              </w:rPr>
            </w:pPr>
            <w:r>
              <w:rPr>
                <w:sz w:val="16"/>
              </w:rPr>
              <w:t>Engaged local policy makers</w:t>
            </w:r>
          </w:p>
          <w:p w:rsidR="001C4265" w:rsidRDefault="001C4265" w:rsidP="001C4265">
            <w:pPr>
              <w:pStyle w:val="SL-FlLftSgl"/>
              <w:numPr>
                <w:ilvl w:val="0"/>
                <w:numId w:val="21"/>
              </w:numPr>
              <w:ind w:left="326" w:hanging="180"/>
              <w:rPr>
                <w:sz w:val="16"/>
              </w:rPr>
            </w:pPr>
            <w:r>
              <w:rPr>
                <w:sz w:val="16"/>
              </w:rPr>
              <w:t>Participation in state and local advocacy</w:t>
            </w:r>
          </w:p>
          <w:p w:rsidR="001C4265" w:rsidRPr="00734218" w:rsidRDefault="001C4265" w:rsidP="001C4265">
            <w:pPr>
              <w:pStyle w:val="SL-FlLftSgl"/>
              <w:numPr>
                <w:ilvl w:val="0"/>
                <w:numId w:val="21"/>
              </w:numPr>
              <w:ind w:left="326" w:hanging="180"/>
              <w:rPr>
                <w:sz w:val="16"/>
                <w:u w:val="single"/>
              </w:rPr>
            </w:pPr>
            <w:r>
              <w:rPr>
                <w:sz w:val="16"/>
              </w:rPr>
              <w:t>Use of data for system development and advocacy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65" w:rsidRDefault="001C4265" w:rsidP="00E935CA">
            <w:pPr>
              <w:pStyle w:val="SL-FlLftSgl"/>
              <w:rPr>
                <w:sz w:val="16"/>
              </w:rPr>
            </w:pPr>
            <w:r w:rsidRPr="00734218">
              <w:rPr>
                <w:sz w:val="16"/>
              </w:rPr>
              <w:t>Reduced public stigma</w:t>
            </w:r>
          </w:p>
          <w:p w:rsidR="001C4265" w:rsidRDefault="001C4265" w:rsidP="00E935CA">
            <w:pPr>
              <w:pStyle w:val="SL-FlLftSgl"/>
              <w:rPr>
                <w:sz w:val="16"/>
              </w:rPr>
            </w:pPr>
            <w:r>
              <w:rPr>
                <w:sz w:val="16"/>
              </w:rPr>
              <w:t>Increased public confidence in service delivery</w:t>
            </w:r>
          </w:p>
          <w:p w:rsidR="001C4265" w:rsidRDefault="001C4265" w:rsidP="00E935CA">
            <w:pPr>
              <w:pStyle w:val="SL-FlLftSgl"/>
              <w:rPr>
                <w:sz w:val="16"/>
              </w:rPr>
            </w:pPr>
            <w:r>
              <w:rPr>
                <w:sz w:val="16"/>
              </w:rPr>
              <w:t>Effective legislation</w:t>
            </w:r>
          </w:p>
          <w:p w:rsidR="001C4265" w:rsidRDefault="001C4265" w:rsidP="00E935CA">
            <w:pPr>
              <w:pStyle w:val="SL-FlLftSgl"/>
              <w:rPr>
                <w:sz w:val="16"/>
              </w:rPr>
            </w:pPr>
            <w:r>
              <w:rPr>
                <w:sz w:val="16"/>
              </w:rPr>
              <w:t>Positive media awareness</w:t>
            </w:r>
          </w:p>
          <w:p w:rsidR="001C4265" w:rsidRPr="00734218" w:rsidRDefault="001C4265" w:rsidP="00E935CA">
            <w:pPr>
              <w:pStyle w:val="SL-FlLftSgl"/>
              <w:rPr>
                <w:sz w:val="16"/>
              </w:rPr>
            </w:pPr>
          </w:p>
        </w:tc>
      </w:tr>
    </w:tbl>
    <w:p w:rsidR="001C4265" w:rsidRDefault="001C4265"/>
    <w:sectPr w:rsidR="001C4265" w:rsidSect="001C42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CC6"/>
    <w:multiLevelType w:val="hybridMultilevel"/>
    <w:tmpl w:val="53AC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D422A"/>
    <w:multiLevelType w:val="hybridMultilevel"/>
    <w:tmpl w:val="0D56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B6C44"/>
    <w:multiLevelType w:val="hybridMultilevel"/>
    <w:tmpl w:val="966A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9B0"/>
    <w:multiLevelType w:val="hybridMultilevel"/>
    <w:tmpl w:val="75A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57C6D"/>
    <w:multiLevelType w:val="hybridMultilevel"/>
    <w:tmpl w:val="52C8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C7027"/>
    <w:multiLevelType w:val="hybridMultilevel"/>
    <w:tmpl w:val="B302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407DB"/>
    <w:multiLevelType w:val="hybridMultilevel"/>
    <w:tmpl w:val="1CEE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D4F53"/>
    <w:multiLevelType w:val="hybridMultilevel"/>
    <w:tmpl w:val="F57E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64B"/>
    <w:multiLevelType w:val="hybridMultilevel"/>
    <w:tmpl w:val="9FB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A48F6"/>
    <w:multiLevelType w:val="hybridMultilevel"/>
    <w:tmpl w:val="7BA8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6418E"/>
    <w:multiLevelType w:val="hybridMultilevel"/>
    <w:tmpl w:val="46E2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80AAB"/>
    <w:multiLevelType w:val="hybridMultilevel"/>
    <w:tmpl w:val="D5B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27849"/>
    <w:multiLevelType w:val="hybridMultilevel"/>
    <w:tmpl w:val="B844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02245"/>
    <w:multiLevelType w:val="hybridMultilevel"/>
    <w:tmpl w:val="B304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13D07"/>
    <w:multiLevelType w:val="hybridMultilevel"/>
    <w:tmpl w:val="FEC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44A44"/>
    <w:multiLevelType w:val="hybridMultilevel"/>
    <w:tmpl w:val="D1CA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3720"/>
    <w:multiLevelType w:val="hybridMultilevel"/>
    <w:tmpl w:val="EB44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302D1"/>
    <w:multiLevelType w:val="hybridMultilevel"/>
    <w:tmpl w:val="6876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E1F96"/>
    <w:multiLevelType w:val="hybridMultilevel"/>
    <w:tmpl w:val="B35C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34FEE"/>
    <w:multiLevelType w:val="hybridMultilevel"/>
    <w:tmpl w:val="352A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71452"/>
    <w:multiLevelType w:val="hybridMultilevel"/>
    <w:tmpl w:val="894A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711C6E"/>
    <w:multiLevelType w:val="hybridMultilevel"/>
    <w:tmpl w:val="DBA0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B43D9E"/>
    <w:multiLevelType w:val="hybridMultilevel"/>
    <w:tmpl w:val="53BC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20"/>
  </w:num>
  <w:num w:numId="5">
    <w:abstractNumId w:val="6"/>
  </w:num>
  <w:num w:numId="6">
    <w:abstractNumId w:val="9"/>
  </w:num>
  <w:num w:numId="7">
    <w:abstractNumId w:val="14"/>
  </w:num>
  <w:num w:numId="8">
    <w:abstractNumId w:val="10"/>
  </w:num>
  <w:num w:numId="9">
    <w:abstractNumId w:val="17"/>
  </w:num>
  <w:num w:numId="10">
    <w:abstractNumId w:val="13"/>
  </w:num>
  <w:num w:numId="11">
    <w:abstractNumId w:val="16"/>
  </w:num>
  <w:num w:numId="12">
    <w:abstractNumId w:val="19"/>
  </w:num>
  <w:num w:numId="13">
    <w:abstractNumId w:val="7"/>
  </w:num>
  <w:num w:numId="14">
    <w:abstractNumId w:val="4"/>
  </w:num>
  <w:num w:numId="15">
    <w:abstractNumId w:val="22"/>
  </w:num>
  <w:num w:numId="16">
    <w:abstractNumId w:val="0"/>
  </w:num>
  <w:num w:numId="17">
    <w:abstractNumId w:val="5"/>
  </w:num>
  <w:num w:numId="18">
    <w:abstractNumId w:val="21"/>
  </w:num>
  <w:num w:numId="19">
    <w:abstractNumId w:val="18"/>
  </w:num>
  <w:num w:numId="20">
    <w:abstractNumId w:val="2"/>
  </w:num>
  <w:num w:numId="21">
    <w:abstractNumId w:val="11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65"/>
    <w:rsid w:val="001C4265"/>
    <w:rsid w:val="002A59BD"/>
    <w:rsid w:val="003C2875"/>
    <w:rsid w:val="006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1C4265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1C4265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10C7C945.dotm</Template>
  <TotalTime>0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 Myers</dc:creator>
  <cp:lastModifiedBy>Mary Anne Myers</cp:lastModifiedBy>
  <cp:revision>3</cp:revision>
  <dcterms:created xsi:type="dcterms:W3CDTF">2016-07-27T15:43:00Z</dcterms:created>
  <dcterms:modified xsi:type="dcterms:W3CDTF">2016-08-22T23:33:00Z</dcterms:modified>
</cp:coreProperties>
</file>