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Default="00786E18" w:rsidP="00786E18">
      <w:pPr>
        <w:rPr>
          <w:b/>
        </w:rPr>
      </w:pPr>
      <w:r>
        <w:rPr>
          <w:b/>
        </w:rPr>
        <w:t xml:space="preserve"> </w:t>
      </w:r>
    </w:p>
    <w:p w:rsidR="00786E18" w:rsidRDefault="00786E18" w:rsidP="00786E18">
      <w:pPr>
        <w:jc w:val="center"/>
      </w:pPr>
      <w:r>
        <w:t xml:space="preserve">Information From United States Firms and Processors </w:t>
      </w:r>
    </w:p>
    <w:p w:rsidR="00B23769" w:rsidRDefault="00786E18" w:rsidP="00786E18">
      <w:pPr>
        <w:jc w:val="center"/>
      </w:pPr>
      <w:r>
        <w:t>That Export to the European Community</w:t>
      </w:r>
    </w:p>
    <w:p w:rsidR="00786E18" w:rsidRPr="009A1674" w:rsidRDefault="00786E18" w:rsidP="00786E18">
      <w:pPr>
        <w:jc w:val="center"/>
      </w:pPr>
    </w:p>
    <w:p w:rsidR="00EB7538" w:rsidRPr="009A1674" w:rsidRDefault="00B17A64" w:rsidP="00B23769">
      <w:pPr>
        <w:jc w:val="center"/>
      </w:pPr>
      <w:r>
        <w:t xml:space="preserve">OMB Control Number </w:t>
      </w:r>
      <w:r w:rsidR="00786E18">
        <w:t>0910-0320</w:t>
      </w:r>
      <w:r w:rsidR="00A35D42" w:rsidRPr="009A1674">
        <w:br/>
      </w: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Terms of Clearance:</w:t>
      </w:r>
      <w:r w:rsidR="00786E18">
        <w:rPr>
          <w:b/>
        </w:rPr>
        <w:t xml:space="preserve"> </w:t>
      </w:r>
      <w:r w:rsidR="00786E18">
        <w:t>N</w:t>
      </w:r>
      <w:r w:rsidRPr="007D3DFC">
        <w:t>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786E18" w:rsidRPr="002016FC" w:rsidRDefault="00786E18" w:rsidP="00E86ABB">
      <w:pPr>
        <w:ind w:left="720"/>
      </w:pPr>
      <w:r w:rsidRPr="002016FC">
        <w:t xml:space="preserve">The European Community (EC) is a group of 27 European countries that have agreed to harmonize their commodity requirements to facilitate commerce among member States.  EC legislation for intra-EC trade has been extended to trade with non-EC countries, including the </w:t>
      </w:r>
      <w:smartTag w:uri="urn:schemas-microsoft-com:office:smarttags" w:element="place">
        <w:smartTag w:uri="urn:schemas-microsoft-com:office:smarttags" w:element="country-region">
          <w:r w:rsidRPr="002016FC">
            <w:t>United States</w:t>
          </w:r>
        </w:smartTag>
      </w:smartTag>
      <w:r w:rsidRPr="002016FC">
        <w:t xml:space="preserve">.  For certain food products, including those listed in this document, EC legislation requires assurances from the responsible authority of the country of origin that the processor of the food is in compliance with applicable regulatory requirements.  The European Commission, the executive branch of the EC, requires countries trading with any of the EC member countries to provide lists of firms and processors approved to export certain animal-derived commodities to the EC.  As stated in the notice published in the </w:t>
      </w:r>
      <w:r w:rsidRPr="002016FC">
        <w:rPr>
          <w:u w:val="single"/>
        </w:rPr>
        <w:t>Federal Register</w:t>
      </w:r>
      <w:r w:rsidRPr="002016FC">
        <w:t xml:space="preserve"> of April 4, 1996 (61 FR 15077), </w:t>
      </w:r>
      <w:r>
        <w:t>we</w:t>
      </w:r>
      <w:r w:rsidRPr="002016FC">
        <w:t xml:space="preserve"> established a list of U.S. firms and processors that intended to export shell eggs, dairy products, and game meat and game meat products to the EC.</w:t>
      </w:r>
    </w:p>
    <w:p w:rsidR="00786E18" w:rsidRPr="002016FC" w:rsidRDefault="00786E18" w:rsidP="00E86ABB">
      <w:pPr>
        <w:ind w:left="720"/>
      </w:pPr>
    </w:p>
    <w:p w:rsidR="00786E18" w:rsidRPr="002016FC" w:rsidRDefault="00786E18" w:rsidP="00E86ABB">
      <w:pPr>
        <w:ind w:left="720"/>
        <w:rPr>
          <w:bCs/>
        </w:rPr>
      </w:pPr>
      <w:r w:rsidRPr="00FA10A3">
        <w:t xml:space="preserve">Although our 1996 Federal Register notice did not include on the list firms and processors exporting gelatin and raw, bulk collagen intended for human consumption, EC directives require that </w:t>
      </w:r>
      <w:r>
        <w:t>s</w:t>
      </w:r>
      <w:r w:rsidRPr="00FA10A3">
        <w:t xml:space="preserve">hipments of gelatin and raw, bulk collagen products be accompanied by certification stating that the product, derived from ruminant bones, bovine hides, and pigskins, has been produced in compliance with EC Council Directive 2003/863/EC. The directive contains the requirements for sourcing, manufacture, transport, and storage of raw materials and manufacture of finished products and requires lists identifying non-EC firms and processors that meet EC requirements and have the </w:t>
      </w:r>
      <w:r>
        <w:t>a</w:t>
      </w:r>
      <w:r w:rsidRPr="00FA10A3">
        <w:t xml:space="preserve">ppropriate animal and public health certificates. Therefore, we revised this information collection in order to facilitate exports of gelatin and raw, bulk collagen originating from the United States into the EC. </w:t>
      </w:r>
      <w:r>
        <w:t xml:space="preserve"> OMB approved </w:t>
      </w:r>
      <w:r w:rsidRPr="004F07FB">
        <w:t xml:space="preserve">the revised information collection in </w:t>
      </w:r>
      <w:r w:rsidR="00E96D29">
        <w:t>2014</w:t>
      </w:r>
      <w:r w:rsidRPr="004F07FB">
        <w:t>.</w:t>
      </w:r>
      <w:r>
        <w:t xml:space="preserve">  </w:t>
      </w:r>
      <w:r w:rsidRPr="002016FC">
        <w:t>The description of the data elements to be collected from firms and processors of raw, bulk collagen, and gelatin products follows.  The estimated burden hours associated with this information collection remain 37 total hours.</w:t>
      </w:r>
    </w:p>
    <w:p w:rsidR="00786E18" w:rsidRPr="002016FC" w:rsidRDefault="00786E18" w:rsidP="00E86ABB">
      <w:pPr>
        <w:ind w:left="720"/>
        <w:rPr>
          <w:bCs/>
        </w:rPr>
      </w:pPr>
    </w:p>
    <w:p w:rsidR="00786E18" w:rsidRPr="002016FC" w:rsidRDefault="00786E18" w:rsidP="00E86ABB">
      <w:pPr>
        <w:ind w:left="720"/>
        <w:rPr>
          <w:bCs/>
        </w:rPr>
      </w:pPr>
      <w:r w:rsidRPr="002016FC">
        <w:rPr>
          <w:bCs/>
        </w:rPr>
        <w:t xml:space="preserve">Through this process, FDA is implementing the general policy-making authority granted the Commissioner under 21 U.S.C. 393(d)(2).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786E18" w:rsidRPr="00786E18" w:rsidRDefault="00786E18" w:rsidP="00786E18">
      <w:pPr>
        <w:autoSpaceDE w:val="0"/>
        <w:autoSpaceDN w:val="0"/>
        <w:adjustRightInd w:val="0"/>
        <w:ind w:left="720"/>
        <w:rPr>
          <w:szCs w:val="20"/>
        </w:rPr>
      </w:pPr>
      <w:r w:rsidRPr="00786E18">
        <w:rPr>
          <w:szCs w:val="20"/>
        </w:rPr>
        <w:lastRenderedPageBreak/>
        <w:t>We request the following information from each firm or processor seeking to be included on the lists for shell eggs, dairy products, game meat, game meat products, and animal casings:</w:t>
      </w:r>
    </w:p>
    <w:p w:rsidR="00786E18" w:rsidRPr="00786E18" w:rsidRDefault="00786E18" w:rsidP="00786E18">
      <w:pPr>
        <w:autoSpaceDE w:val="0"/>
        <w:autoSpaceDN w:val="0"/>
        <w:adjustRightInd w:val="0"/>
        <w:ind w:left="720"/>
        <w:rPr>
          <w:bCs/>
        </w:rPr>
      </w:pPr>
      <w:r w:rsidRPr="00786E18">
        <w:rPr>
          <w:szCs w:val="20"/>
        </w:rPr>
        <w:t xml:space="preserve">  </w:t>
      </w:r>
    </w:p>
    <w:p w:rsidR="00786E18" w:rsidRPr="00786E18" w:rsidRDefault="00786E18" w:rsidP="00DE6523">
      <w:pPr>
        <w:numPr>
          <w:ilvl w:val="0"/>
          <w:numId w:val="42"/>
        </w:numPr>
        <w:ind w:left="1080"/>
        <w:rPr>
          <w:szCs w:val="20"/>
        </w:rPr>
      </w:pPr>
      <w:r w:rsidRPr="00786E18">
        <w:rPr>
          <w:szCs w:val="20"/>
        </w:rPr>
        <w:t xml:space="preserve">Business name and address; </w:t>
      </w:r>
    </w:p>
    <w:p w:rsidR="00786E18" w:rsidRPr="00786E18" w:rsidRDefault="00786E18" w:rsidP="00DE6523">
      <w:pPr>
        <w:numPr>
          <w:ilvl w:val="0"/>
          <w:numId w:val="42"/>
        </w:numPr>
        <w:ind w:left="1080"/>
        <w:rPr>
          <w:szCs w:val="20"/>
        </w:rPr>
      </w:pPr>
      <w:r w:rsidRPr="00786E18">
        <w:rPr>
          <w:szCs w:val="20"/>
        </w:rPr>
        <w:t xml:space="preserve">Name and telephone number of person designated as business contact; </w:t>
      </w:r>
    </w:p>
    <w:p w:rsidR="00786E18" w:rsidRPr="00786E18" w:rsidRDefault="00786E18" w:rsidP="00DE6523">
      <w:pPr>
        <w:numPr>
          <w:ilvl w:val="0"/>
          <w:numId w:val="42"/>
        </w:numPr>
        <w:ind w:left="1080"/>
        <w:rPr>
          <w:szCs w:val="20"/>
        </w:rPr>
      </w:pPr>
      <w:r w:rsidRPr="00786E18">
        <w:rPr>
          <w:szCs w:val="20"/>
        </w:rPr>
        <w:t xml:space="preserve">Lists of products presently being shipped to the EC and those intended to be shipped in the next 6 months; </w:t>
      </w:r>
    </w:p>
    <w:p w:rsidR="00786E18" w:rsidRPr="00786E18" w:rsidRDefault="00786E18" w:rsidP="00DE6523">
      <w:pPr>
        <w:numPr>
          <w:ilvl w:val="0"/>
          <w:numId w:val="42"/>
        </w:numPr>
        <w:ind w:left="1080"/>
        <w:rPr>
          <w:szCs w:val="20"/>
        </w:rPr>
      </w:pPr>
      <w:r w:rsidRPr="00786E18">
        <w:rPr>
          <w:szCs w:val="20"/>
        </w:rPr>
        <w:t xml:space="preserve">Name and address of manufacturing plants for each product; and </w:t>
      </w:r>
    </w:p>
    <w:p w:rsidR="00786E18" w:rsidRPr="00786E18" w:rsidRDefault="00786E18" w:rsidP="00DE6523">
      <w:pPr>
        <w:numPr>
          <w:ilvl w:val="0"/>
          <w:numId w:val="42"/>
        </w:numPr>
        <w:ind w:left="1080"/>
        <w:rPr>
          <w:szCs w:val="20"/>
        </w:rPr>
      </w:pPr>
      <w:r w:rsidRPr="00786E18">
        <w:rPr>
          <w:szCs w:val="20"/>
        </w:rPr>
        <w:t>Names and affiliations of any Federal, State, or local governmental agencies that inspect the plant, government-assigned plant identifier such as plant number, and last date of inspection.</w:t>
      </w:r>
    </w:p>
    <w:p w:rsidR="00786E18" w:rsidRPr="00786E18" w:rsidRDefault="00786E18" w:rsidP="00786E18">
      <w:pPr>
        <w:ind w:left="720" w:firstLine="720"/>
        <w:rPr>
          <w:szCs w:val="20"/>
        </w:rPr>
      </w:pPr>
    </w:p>
    <w:p w:rsidR="00786E18" w:rsidRPr="00786E18" w:rsidRDefault="00786E18" w:rsidP="00786E18">
      <w:pPr>
        <w:ind w:left="720"/>
        <w:rPr>
          <w:szCs w:val="20"/>
        </w:rPr>
      </w:pPr>
      <w:r w:rsidRPr="00786E18">
        <w:rPr>
          <w:szCs w:val="20"/>
        </w:rPr>
        <w:t xml:space="preserve">We use the information to maintain lists of firms and processors that have demonstrated current compliance with U.S. requirements.  We provide the lists to the EC quarterly.  Inclusion on the list is voluntary.  EC member countries refer to the lists at ports of entry to verify that products offered for importation to the EC from the </w:t>
      </w:r>
      <w:smartTag w:uri="urn:schemas-microsoft-com:office:smarttags" w:element="country-region">
        <w:r w:rsidRPr="00786E18">
          <w:rPr>
            <w:szCs w:val="20"/>
          </w:rPr>
          <w:t>United States</w:t>
        </w:r>
      </w:smartTag>
      <w:r w:rsidRPr="00786E18">
        <w:rPr>
          <w:szCs w:val="20"/>
        </w:rPr>
        <w:t xml:space="preserve"> are from firms and processors that meet </w:t>
      </w:r>
      <w:smartTag w:uri="urn:schemas-microsoft-com:office:smarttags" w:element="place">
        <w:smartTag w:uri="urn:schemas-microsoft-com:office:smarttags" w:element="country-region">
          <w:r w:rsidRPr="00786E18">
            <w:rPr>
              <w:szCs w:val="20"/>
            </w:rPr>
            <w:t>U.S.</w:t>
          </w:r>
        </w:smartTag>
      </w:smartTag>
      <w:r w:rsidRPr="00786E18">
        <w:rPr>
          <w:szCs w:val="20"/>
        </w:rPr>
        <w:t xml:space="preserve"> regulatory requirements.  Products processed by firms and processors not on the lists are subject to detention and possible refusal at the port.  </w:t>
      </w:r>
    </w:p>
    <w:p w:rsidR="00786E18" w:rsidRPr="00786E18" w:rsidRDefault="00786E18" w:rsidP="00786E18">
      <w:pPr>
        <w:ind w:left="720" w:firstLine="720"/>
        <w:rPr>
          <w:szCs w:val="20"/>
        </w:rPr>
      </w:pPr>
    </w:p>
    <w:p w:rsidR="00786E18" w:rsidRDefault="00786E18" w:rsidP="00786E18">
      <w:pPr>
        <w:ind w:left="720"/>
        <w:rPr>
          <w:szCs w:val="20"/>
        </w:rPr>
      </w:pPr>
      <w:r w:rsidRPr="00786E18">
        <w:rPr>
          <w:szCs w:val="20"/>
        </w:rPr>
        <w:t>We request the following information from each firm or processor seeking to be included on the lists for gelatin and raw, bulk collagen:</w:t>
      </w:r>
    </w:p>
    <w:p w:rsidR="00DE6523" w:rsidRPr="00786E18" w:rsidRDefault="00DE6523" w:rsidP="00786E18">
      <w:pPr>
        <w:ind w:left="720"/>
        <w:rPr>
          <w:szCs w:val="20"/>
        </w:rPr>
      </w:pPr>
    </w:p>
    <w:p w:rsidR="00786E18" w:rsidRPr="00786E18" w:rsidRDefault="00786E18" w:rsidP="009B137C">
      <w:pPr>
        <w:numPr>
          <w:ilvl w:val="0"/>
          <w:numId w:val="41"/>
        </w:numPr>
        <w:tabs>
          <w:tab w:val="clear" w:pos="0"/>
          <w:tab w:val="num" w:pos="-5040"/>
        </w:tabs>
        <w:rPr>
          <w:szCs w:val="20"/>
        </w:rPr>
      </w:pPr>
      <w:r w:rsidRPr="00786E18">
        <w:rPr>
          <w:szCs w:val="20"/>
        </w:rPr>
        <w:t>Business name and address;</w:t>
      </w:r>
    </w:p>
    <w:p w:rsidR="00786E18" w:rsidRPr="00786E18" w:rsidRDefault="00786E18" w:rsidP="009B137C">
      <w:pPr>
        <w:numPr>
          <w:ilvl w:val="0"/>
          <w:numId w:val="41"/>
        </w:numPr>
        <w:tabs>
          <w:tab w:val="clear" w:pos="0"/>
          <w:tab w:val="num" w:pos="-5040"/>
        </w:tabs>
        <w:rPr>
          <w:szCs w:val="20"/>
        </w:rPr>
      </w:pPr>
      <w:r w:rsidRPr="00786E18">
        <w:rPr>
          <w:szCs w:val="20"/>
        </w:rPr>
        <w:t>Name, telephone number, and email address of contact person;</w:t>
      </w:r>
    </w:p>
    <w:p w:rsidR="00015829" w:rsidRDefault="00786E18" w:rsidP="009B137C">
      <w:pPr>
        <w:numPr>
          <w:ilvl w:val="0"/>
          <w:numId w:val="41"/>
        </w:numPr>
        <w:tabs>
          <w:tab w:val="clear" w:pos="0"/>
          <w:tab w:val="num" w:pos="-4320"/>
        </w:tabs>
        <w:rPr>
          <w:szCs w:val="20"/>
        </w:rPr>
      </w:pPr>
      <w:r w:rsidRPr="00786E18">
        <w:rPr>
          <w:szCs w:val="20"/>
        </w:rPr>
        <w:t xml:space="preserve">List of products presently shipped to the EC and those intended to be </w:t>
      </w:r>
    </w:p>
    <w:p w:rsidR="00786E18" w:rsidRPr="00786E18" w:rsidRDefault="00786E18" w:rsidP="009B137C">
      <w:pPr>
        <w:ind w:left="720" w:firstLine="720"/>
        <w:rPr>
          <w:szCs w:val="20"/>
        </w:rPr>
      </w:pPr>
      <w:r w:rsidRPr="00786E18">
        <w:rPr>
          <w:szCs w:val="20"/>
        </w:rPr>
        <w:t xml:space="preserve">shipped within the next 2 years; </w:t>
      </w:r>
      <w:r w:rsidR="00015829">
        <w:rPr>
          <w:szCs w:val="20"/>
        </w:rPr>
        <w:t xml:space="preserve"> </w:t>
      </w:r>
    </w:p>
    <w:p w:rsidR="00015829" w:rsidRDefault="00786E18" w:rsidP="009B137C">
      <w:pPr>
        <w:numPr>
          <w:ilvl w:val="0"/>
          <w:numId w:val="41"/>
        </w:numPr>
        <w:tabs>
          <w:tab w:val="clear" w:pos="0"/>
          <w:tab w:val="num" w:pos="-3600"/>
        </w:tabs>
        <w:rPr>
          <w:szCs w:val="20"/>
        </w:rPr>
      </w:pPr>
      <w:r w:rsidRPr="00786E18">
        <w:rPr>
          <w:szCs w:val="20"/>
        </w:rPr>
        <w:t xml:space="preserve">Name and address of the manufacturing and processing plant for each </w:t>
      </w:r>
    </w:p>
    <w:p w:rsidR="00786E18" w:rsidRPr="00786E18" w:rsidRDefault="00786E18" w:rsidP="009B137C">
      <w:pPr>
        <w:numPr>
          <w:ilvl w:val="0"/>
          <w:numId w:val="41"/>
        </w:numPr>
        <w:tabs>
          <w:tab w:val="clear" w:pos="0"/>
          <w:tab w:val="num" w:pos="-2880"/>
        </w:tabs>
        <w:rPr>
          <w:szCs w:val="20"/>
        </w:rPr>
      </w:pPr>
      <w:r w:rsidRPr="00786E18">
        <w:rPr>
          <w:szCs w:val="20"/>
        </w:rPr>
        <w:t>product;</w:t>
      </w:r>
    </w:p>
    <w:p w:rsidR="00015829" w:rsidRDefault="00786E18" w:rsidP="009B137C">
      <w:pPr>
        <w:numPr>
          <w:ilvl w:val="0"/>
          <w:numId w:val="41"/>
        </w:numPr>
        <w:tabs>
          <w:tab w:val="clear" w:pos="0"/>
          <w:tab w:val="num" w:pos="-2160"/>
        </w:tabs>
        <w:rPr>
          <w:szCs w:val="20"/>
        </w:rPr>
      </w:pPr>
      <w:r w:rsidRPr="00786E18">
        <w:rPr>
          <w:szCs w:val="20"/>
        </w:rPr>
        <w:t xml:space="preserve">Names and affiliations of any Federal, State, and local governmental </w:t>
      </w:r>
    </w:p>
    <w:p w:rsidR="00786E18" w:rsidRPr="00786E18" w:rsidRDefault="00786E18" w:rsidP="00E964CA">
      <w:pPr>
        <w:ind w:left="1440"/>
        <w:rPr>
          <w:szCs w:val="20"/>
        </w:rPr>
      </w:pPr>
      <w:r w:rsidRPr="00786E18">
        <w:rPr>
          <w:szCs w:val="20"/>
        </w:rPr>
        <w:t xml:space="preserve">agencies that inspect the plant, government assigned plant identifier, such as plant number and last date of inspection; and </w:t>
      </w:r>
    </w:p>
    <w:p w:rsidR="00E964CA" w:rsidRDefault="00786E18" w:rsidP="00E964CA">
      <w:pPr>
        <w:numPr>
          <w:ilvl w:val="0"/>
          <w:numId w:val="41"/>
        </w:numPr>
        <w:tabs>
          <w:tab w:val="clear" w:pos="0"/>
          <w:tab w:val="num" w:pos="-1440"/>
        </w:tabs>
        <w:rPr>
          <w:szCs w:val="20"/>
        </w:rPr>
      </w:pPr>
      <w:r w:rsidRPr="00786E18">
        <w:rPr>
          <w:szCs w:val="20"/>
        </w:rPr>
        <w:t xml:space="preserve">A copy of the most recent (within 1 year of the date of application) inspection </w:t>
      </w:r>
    </w:p>
    <w:p w:rsidR="00786E18" w:rsidRPr="00786E18" w:rsidRDefault="00786E18" w:rsidP="00E964CA">
      <w:pPr>
        <w:ind w:left="1440"/>
        <w:rPr>
          <w:szCs w:val="20"/>
        </w:rPr>
      </w:pPr>
      <w:r w:rsidRPr="00786E18">
        <w:rPr>
          <w:szCs w:val="20"/>
        </w:rPr>
        <w:t xml:space="preserve">report issued by a State, local or Federal public health regulatory agency and a copy of a recent laboratory analysis as required by the EC of the finished product including: Total aerobic bacteria, coliforms </w:t>
      </w:r>
      <w:r w:rsidRPr="00786E18">
        <w:rPr>
          <w:sz w:val="20"/>
          <w:szCs w:val="20"/>
        </w:rPr>
        <w:t>(</w:t>
      </w:r>
      <w:r w:rsidRPr="00786E18">
        <w:t xml:space="preserve">30 </w:t>
      </w:r>
      <w:r w:rsidRPr="00786E18">
        <w:rPr>
          <w:rFonts w:ascii="Symbol" w:hAnsi="Symbol" w:cs="Symbol"/>
        </w:rPr>
        <w:t></w:t>
      </w:r>
      <w:r w:rsidRPr="00786E18">
        <w:t>C</w:t>
      </w:r>
      <w:r w:rsidRPr="00786E18">
        <w:rPr>
          <w:sz w:val="20"/>
          <w:szCs w:val="20"/>
        </w:rPr>
        <w:t>)</w:t>
      </w:r>
      <w:r w:rsidRPr="00786E18">
        <w:rPr>
          <w:szCs w:val="20"/>
        </w:rPr>
        <w:t xml:space="preserve">, </w:t>
      </w:r>
      <w:r w:rsidRPr="00786E18">
        <w:t xml:space="preserve">coliforms (44.5 </w:t>
      </w:r>
      <w:r w:rsidRPr="00786E18">
        <w:rPr>
          <w:rFonts w:ascii="Symbol" w:hAnsi="Symbol" w:cs="Symbol"/>
        </w:rPr>
        <w:t></w:t>
      </w:r>
      <w:r w:rsidRPr="00786E18">
        <w:t>C), anaerobic</w:t>
      </w:r>
      <w:r w:rsidRPr="00786E18">
        <w:rPr>
          <w:szCs w:val="20"/>
        </w:rPr>
        <w:t xml:space="preserve"> sulphite-reducing bacteria (no gas production), </w:t>
      </w:r>
      <w:r w:rsidRPr="00786E18">
        <w:rPr>
          <w:szCs w:val="20"/>
          <w:u w:val="single"/>
        </w:rPr>
        <w:t>Clostridium perfringens</w:t>
      </w:r>
      <w:r w:rsidRPr="00786E18">
        <w:rPr>
          <w:szCs w:val="20"/>
        </w:rPr>
        <w:t xml:space="preserve">, </w:t>
      </w:r>
      <w:r w:rsidRPr="00786E18">
        <w:rPr>
          <w:szCs w:val="20"/>
          <w:u w:val="single"/>
        </w:rPr>
        <w:t>Staphylococcus aureus</w:t>
      </w:r>
      <w:r w:rsidRPr="00786E18">
        <w:rPr>
          <w:szCs w:val="20"/>
        </w:rPr>
        <w:t xml:space="preserve">, </w:t>
      </w:r>
      <w:r w:rsidRPr="00786E18">
        <w:rPr>
          <w:szCs w:val="20"/>
          <w:u w:val="single"/>
        </w:rPr>
        <w:t>Salmonella</w:t>
      </w:r>
      <w:r w:rsidRPr="00786E18">
        <w:rPr>
          <w:szCs w:val="20"/>
        </w:rPr>
        <w:t xml:space="preserve">, arsenic, lead, cadmium, mercury, chromium, copper, zinc, </w:t>
      </w:r>
      <w:r w:rsidRPr="00786E18">
        <w:t xml:space="preserve">moisture (105 </w:t>
      </w:r>
      <w:r w:rsidRPr="00786E18">
        <w:rPr>
          <w:rFonts w:ascii="Symbol" w:hAnsi="Symbol" w:cs="Symbol"/>
        </w:rPr>
        <w:t></w:t>
      </w:r>
      <w:r w:rsidRPr="00786E18">
        <w:t xml:space="preserve">C), ash (550 </w:t>
      </w:r>
      <w:r w:rsidRPr="00786E18">
        <w:rPr>
          <w:rFonts w:ascii="Symbol" w:hAnsi="Symbol" w:cs="Symbol"/>
        </w:rPr>
        <w:t></w:t>
      </w:r>
      <w:r w:rsidRPr="00786E18">
        <w:t xml:space="preserve">C), </w:t>
      </w:r>
      <w:r w:rsidRPr="00786E18">
        <w:rPr>
          <w:sz w:val="20"/>
          <w:szCs w:val="20"/>
        </w:rPr>
        <w:t xml:space="preserve"> </w:t>
      </w:r>
      <w:r w:rsidRPr="00786E18">
        <w:rPr>
          <w:szCs w:val="20"/>
        </w:rPr>
        <w:t>sulfur dioxide, and hydrogen peroxide.</w:t>
      </w:r>
    </w:p>
    <w:p w:rsidR="00786E18" w:rsidRPr="00786E18" w:rsidRDefault="00786E18" w:rsidP="00786E18">
      <w:pPr>
        <w:ind w:left="720"/>
        <w:rPr>
          <w:szCs w:val="20"/>
        </w:rPr>
      </w:pPr>
    </w:p>
    <w:p w:rsidR="00786E18" w:rsidRPr="00786E18" w:rsidRDefault="00786E18" w:rsidP="00786E18">
      <w:pPr>
        <w:ind w:left="720"/>
        <w:rPr>
          <w:szCs w:val="20"/>
        </w:rPr>
      </w:pPr>
      <w:r w:rsidRPr="00786E18">
        <w:rPr>
          <w:szCs w:val="20"/>
        </w:rPr>
        <w:t xml:space="preserve">We use the information to maintain a list of approved firms and processors for gelatin and raw, bulk collagen.  We make the list available on our Web site.  We include on the list only firms and processors that are not the subject of an unresolved regulatory enforcement action.  If a listed firm or processor subsequently becomes the subject of a </w:t>
      </w:r>
      <w:r w:rsidRPr="00786E18">
        <w:rPr>
          <w:szCs w:val="20"/>
        </w:rPr>
        <w:lastRenderedPageBreak/>
        <w:t>regulatory enforcement action or an unresolved warning letter, we will view such a circumstance as evidence that the firm or processor is no longer in compliance with applicable U.S. laws and regulations.  Should this occur, we will take steps to remove that firm or processor from the list and send a revised list to the EC authorities, usually within 48 to 72 hours after the relevant  regulatory enforcement action.  If a firm or processor has been delisted as a result of a regulatory enforcement action or unresolved warning letter, the firm or processor will have to reapply for inclusion on the list once the regulatory action has been resolved.</w:t>
      </w:r>
    </w:p>
    <w:p w:rsidR="00786E18" w:rsidRPr="00786E18" w:rsidRDefault="00786E18" w:rsidP="00786E18">
      <w:pPr>
        <w:ind w:left="720" w:firstLine="720"/>
        <w:rPr>
          <w:szCs w:val="20"/>
        </w:rPr>
      </w:pPr>
    </w:p>
    <w:p w:rsidR="00786E18" w:rsidRPr="00786E18" w:rsidRDefault="00786E18" w:rsidP="00786E18">
      <w:pPr>
        <w:ind w:left="720"/>
        <w:rPr>
          <w:szCs w:val="20"/>
        </w:rPr>
      </w:pPr>
      <w:r w:rsidRPr="00786E18">
        <w:rPr>
          <w:szCs w:val="20"/>
        </w:rPr>
        <w:t>We update the list of firms and processors eligible to export gelatin and raw, bulk collagen to the EC quarterly.  Firms and processors placed on the approved exporters list are subject to audit by FDA and EC officials.  Complete requests for inclusion must be submitted to us every 12 months to remain on the list.  Inclusion on the list is voluntary.  However, gelatin and raw, bulk collagen products from firms or processors not on the approved exporters list for these products will not receive an export certificate, and these products may be detained at EC ports of entry.</w:t>
      </w:r>
    </w:p>
    <w:p w:rsidR="00786E18" w:rsidRPr="00786E18" w:rsidRDefault="00786E18" w:rsidP="00786E18">
      <w:pPr>
        <w:ind w:left="720"/>
        <w:rPr>
          <w:szCs w:val="20"/>
        </w:rPr>
      </w:pPr>
    </w:p>
    <w:p w:rsidR="00786E18" w:rsidRPr="005F763E" w:rsidRDefault="00786E18" w:rsidP="005F763E">
      <w:pPr>
        <w:ind w:left="720"/>
      </w:pPr>
      <w:r w:rsidRPr="00786E18">
        <w:rPr>
          <w:u w:val="single"/>
        </w:rPr>
        <w:t>Description of Respondents</w:t>
      </w:r>
      <w:r w:rsidRPr="00786E18">
        <w:t xml:space="preserve">:  </w:t>
      </w:r>
      <w:r w:rsidR="005F763E" w:rsidRPr="005F763E">
        <w:t>The respondents to this collection of information include U.S. producers of shell eggs, game meat, game meat products, gelatin, and collagen.  Respondents are from the private sector (for-profit businesses).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786E18" w:rsidRPr="002016FC" w:rsidRDefault="00786E18" w:rsidP="00E86ABB">
      <w:pPr>
        <w:ind w:left="720"/>
        <w:rPr>
          <w:bCs/>
        </w:rPr>
      </w:pPr>
      <w:r w:rsidRPr="002016FC">
        <w:rPr>
          <w:bCs/>
        </w:rPr>
        <w:t xml:space="preserve">Through the use of improved information technology the agency is always seeking ways to reduce the burden of maintaining such lists.  Firms may submit the required information electronically, by e-mail.  The agency estimates that about seventy-five percent (75%) of the responses </w:t>
      </w:r>
      <w:r>
        <w:rPr>
          <w:bCs/>
        </w:rPr>
        <w:t>will</w:t>
      </w:r>
      <w:r w:rsidRPr="002016FC">
        <w:rPr>
          <w:bCs/>
        </w:rPr>
        <w:t xml:space="preserve"> be </w:t>
      </w:r>
      <w:r>
        <w:rPr>
          <w:bCs/>
        </w:rPr>
        <w:t>submitted</w:t>
      </w:r>
      <w:r w:rsidRPr="002016FC">
        <w:rPr>
          <w:bCs/>
        </w:rPr>
        <w:t xml:space="preserve"> electronically</w:t>
      </w:r>
      <w:r>
        <w:rPr>
          <w:bCs/>
        </w:rPr>
        <w:t xml:space="preserve"> in the next three years</w:t>
      </w:r>
      <w:r w:rsidRPr="002016FC">
        <w:rPr>
          <w:bCs/>
        </w:rPr>
        <w: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902354" w:rsidRDefault="00902354" w:rsidP="00E86ABB">
      <w:pPr>
        <w:ind w:left="720"/>
      </w:pPr>
      <w:r w:rsidRPr="002016FC">
        <w:rPr>
          <w:bCs/>
        </w:rPr>
        <w:t>There is no duplication of effort in this area.</w:t>
      </w:r>
      <w:r w:rsidRPr="002016FC">
        <w:rPr>
          <w:b/>
          <w:bCs/>
        </w:rPr>
        <w:t xml:space="preserve"> </w:t>
      </w:r>
      <w:r w:rsidRPr="002016FC">
        <w:t xml:space="preserve"> No other agency collects this information.  The Food Safety Inspection Service (FSIS) and the Agricultural Marketing Service (AMS) of the U. S. Department of Agriculture (USDA) perform some voluntary inspection and grading of the commodities but maintains no lists of those co</w:t>
      </w:r>
      <w:r w:rsidR="00E86ABB">
        <w:t>mpanies that export to the EC.</w:t>
      </w:r>
    </w:p>
    <w:p w:rsidR="00E86ABB" w:rsidRDefault="00E86ABB" w:rsidP="00E86ABB">
      <w:pPr>
        <w:ind w:left="720"/>
        <w:rPr>
          <w:u w:val="single"/>
        </w:rPr>
      </w:pPr>
    </w:p>
    <w:p w:rsidR="002746DB" w:rsidRPr="00902354" w:rsidRDefault="00EB7538" w:rsidP="00902354">
      <w:pPr>
        <w:pStyle w:val="ListParagraph"/>
        <w:numPr>
          <w:ilvl w:val="0"/>
          <w:numId w:val="1"/>
        </w:numPr>
        <w:rPr>
          <w:u w:val="single"/>
        </w:rPr>
      </w:pPr>
      <w:r w:rsidRPr="00902354">
        <w:rPr>
          <w:u w:val="single"/>
        </w:rPr>
        <w:t>Impact on Small Businesses or Other Small Entities</w:t>
      </w:r>
    </w:p>
    <w:p w:rsidR="00902354" w:rsidRDefault="00902354" w:rsidP="00E86ABB">
      <w:pPr>
        <w:spacing w:before="100" w:beforeAutospacing="1" w:after="100" w:afterAutospacing="1"/>
        <w:ind w:left="720"/>
        <w:rPr>
          <w:bCs/>
        </w:rPr>
      </w:pPr>
      <w:r w:rsidRPr="002016FC">
        <w:rPr>
          <w:rFonts w:cs="Courier New"/>
        </w:rPr>
        <w:t xml:space="preserve">FDA recognizes that some of the affected firms, approximately twenty-five percent (25%), are small businesses, and has kept their particular needs in mind throughout the development of this list process.  There is no known way to reduce the burden on a small business wishing to participate in the list process.  </w:t>
      </w:r>
      <w:r w:rsidRPr="002016FC">
        <w:t xml:space="preserve"> </w:t>
      </w:r>
      <w:r w:rsidRPr="002016FC">
        <w:rPr>
          <w:bCs/>
        </w:rPr>
        <w:t xml:space="preserve">FDA aids small businesses in complying with the agency’s requirements through the agency’s Regional Small Business Representatives and through the administrative and scientific staffs within the agency.  FDA has provided a Small Business Guide on the </w:t>
      </w:r>
      <w:r w:rsidR="00BA1B10">
        <w:rPr>
          <w:bCs/>
        </w:rPr>
        <w:t>A</w:t>
      </w:r>
      <w:r w:rsidRPr="002016FC">
        <w:rPr>
          <w:bCs/>
        </w:rPr>
        <w:t xml:space="preserve">gency’s website at </w:t>
      </w:r>
      <w:hyperlink r:id="rId8" w:history="1">
        <w:r w:rsidRPr="00E46EDB">
          <w:rPr>
            <w:rStyle w:val="Hyperlink"/>
            <w:bCs/>
          </w:rPr>
          <w:t>http://www.fda.gov/oc/industry/</w:t>
        </w:r>
      </w:hyperlink>
      <w:r w:rsidRPr="002016FC">
        <w:rPr>
          <w:bCs/>
        </w:rPr>
        <w:t>.</w:t>
      </w:r>
    </w:p>
    <w:p w:rsidR="00CD77C3" w:rsidRPr="00902354" w:rsidRDefault="00EB7538" w:rsidP="00902354">
      <w:pPr>
        <w:pStyle w:val="ListParagraph"/>
        <w:numPr>
          <w:ilvl w:val="0"/>
          <w:numId w:val="1"/>
        </w:numPr>
        <w:spacing w:before="100" w:beforeAutospacing="1" w:after="100" w:afterAutospacing="1"/>
        <w:rPr>
          <w:u w:val="single"/>
        </w:rPr>
      </w:pPr>
      <w:r w:rsidRPr="00902354">
        <w:rPr>
          <w:u w:val="single"/>
        </w:rPr>
        <w:lastRenderedPageBreak/>
        <w:t>Consequences of Collecting the Information Less Frequently</w:t>
      </w:r>
    </w:p>
    <w:p w:rsidR="00902354" w:rsidRPr="002016FC" w:rsidRDefault="00902354" w:rsidP="00E86ABB">
      <w:pPr>
        <w:ind w:left="720"/>
      </w:pPr>
      <w:r>
        <w:t>D</w:t>
      </w:r>
      <w:r w:rsidRPr="002016FC">
        <w:t>ata collection occurs yearly.</w:t>
      </w:r>
      <w:r>
        <w:t xml:space="preserve">  </w:t>
      </w:r>
      <w:r w:rsidRPr="002016FC">
        <w:t xml:space="preserve">The lists are required by the EC for specific commodities of animal origin to enter into any of the EC member states.  Less frequent collection would not impact any federal program.  The impact would be on U.S. producers of shell eggs, dairy products, game meat, game meat products, animal casings, gelatin, and collagen; their commodities would be detained at the EC port of entry.  </w:t>
      </w:r>
    </w:p>
    <w:p w:rsidR="00CD77C3" w:rsidRPr="00902354" w:rsidRDefault="00EB7538" w:rsidP="00902354">
      <w:pPr>
        <w:pStyle w:val="ListParagraph"/>
        <w:numPr>
          <w:ilvl w:val="0"/>
          <w:numId w:val="1"/>
        </w:numPr>
        <w:spacing w:before="100" w:beforeAutospacing="1" w:after="100" w:afterAutospacing="1"/>
        <w:rPr>
          <w:u w:val="single"/>
        </w:rPr>
      </w:pPr>
      <w:r w:rsidRPr="00902354">
        <w:rPr>
          <w:u w:val="single"/>
        </w:rPr>
        <w:t>Special Circumstances Relating to the Guidelines of 5 CFR 1320.5</w:t>
      </w:r>
    </w:p>
    <w:p w:rsidR="00242ED1" w:rsidRDefault="00902354" w:rsidP="00E86ABB">
      <w:pPr>
        <w:ind w:left="720"/>
      </w:pPr>
      <w:r w:rsidRPr="002016FC">
        <w:t>There are no special circumstances associated with this collection of information.</w:t>
      </w:r>
    </w:p>
    <w:p w:rsidR="00242ED1" w:rsidRDefault="00242ED1" w:rsidP="00F207A4">
      <w:pPr>
        <w:ind w:left="720"/>
      </w:pPr>
    </w:p>
    <w:p w:rsidR="00CD77C3" w:rsidRPr="00902354" w:rsidRDefault="00EB7538" w:rsidP="00902354">
      <w:pPr>
        <w:pStyle w:val="ListParagraph"/>
        <w:numPr>
          <w:ilvl w:val="0"/>
          <w:numId w:val="1"/>
        </w:numPr>
        <w:rPr>
          <w:u w:val="single"/>
        </w:rPr>
      </w:pPr>
      <w:r w:rsidRPr="00902354">
        <w:rPr>
          <w:u w:val="single"/>
        </w:rPr>
        <w:t>Comments in Response to the Federal Register Notice and Efforts to Consult Outside the Agency</w:t>
      </w:r>
    </w:p>
    <w:p w:rsidR="00705086" w:rsidRDefault="00705086" w:rsidP="00705086">
      <w:pPr>
        <w:ind w:left="720"/>
      </w:pPr>
    </w:p>
    <w:p w:rsidR="00892400" w:rsidRDefault="00705086" w:rsidP="00E86ABB">
      <w:pPr>
        <w:ind w:left="720"/>
      </w:pPr>
      <w:r w:rsidRPr="00902354">
        <w:t xml:space="preserve">In accordance with 5 CFR 1320.8(d), FDA published a 60 day notice for public comment in the FEDERAL REGISTER of </w:t>
      </w:r>
      <w:r w:rsidR="00902354" w:rsidRPr="00902354">
        <w:t xml:space="preserve">October 4, 2016 </w:t>
      </w:r>
      <w:r w:rsidRPr="00902354">
        <w:t>(</w:t>
      </w:r>
      <w:r w:rsidR="00902354" w:rsidRPr="00902354">
        <w:t>81</w:t>
      </w:r>
      <w:r w:rsidRPr="00902354">
        <w:t xml:space="preserve"> FR </w:t>
      </w:r>
      <w:r w:rsidR="0090570D">
        <w:t>6</w:t>
      </w:r>
      <w:r w:rsidR="00902354" w:rsidRPr="00902354">
        <w:t>8424</w:t>
      </w:r>
      <w:r w:rsidRPr="00902354">
        <w:t>).  FDA</w:t>
      </w:r>
      <w:r w:rsidRPr="00EA34E3">
        <w:t xml:space="preserve"> received </w:t>
      </w:r>
      <w:r w:rsidR="00902354">
        <w:t>one</w:t>
      </w:r>
      <w:r w:rsidRPr="00EA34E3">
        <w:t xml:space="preserve"> comment</w:t>
      </w:r>
      <w:r w:rsidR="00902354">
        <w:t xml:space="preserve"> which was not PRA-related, and therefore is not addressed in this supporting statement.</w:t>
      </w:r>
      <w:r w:rsidR="00892400">
        <w:t xml:space="preserve"> </w:t>
      </w:r>
    </w:p>
    <w:p w:rsidR="00CD77C3" w:rsidRPr="004C6979" w:rsidRDefault="00EB7538" w:rsidP="00902354">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902354" w:rsidP="00E86ABB">
      <w:pPr>
        <w:ind w:left="720"/>
      </w:pPr>
      <w:r w:rsidRPr="00902354">
        <w:t xml:space="preserve">FDA does not provide any </w:t>
      </w:r>
      <w:r>
        <w:t>payment or gift to respondents.</w:t>
      </w:r>
    </w:p>
    <w:p w:rsidR="00CD77C3" w:rsidRPr="004C6979" w:rsidRDefault="00EB7538" w:rsidP="00902354">
      <w:pPr>
        <w:numPr>
          <w:ilvl w:val="0"/>
          <w:numId w:val="1"/>
        </w:numPr>
        <w:spacing w:before="100" w:beforeAutospacing="1" w:after="100" w:afterAutospacing="1"/>
        <w:rPr>
          <w:u w:val="single"/>
        </w:rPr>
      </w:pPr>
      <w:r w:rsidRPr="004C6979">
        <w:rPr>
          <w:u w:val="single"/>
        </w:rPr>
        <w:t>Assurance of Confidentiality Provided to Respondents</w:t>
      </w:r>
    </w:p>
    <w:p w:rsidR="00107885" w:rsidRPr="00E86ABB" w:rsidRDefault="00E86ABB" w:rsidP="00E86ABB">
      <w:pPr>
        <w:ind w:left="720"/>
        <w:rPr>
          <w:i/>
        </w:rPr>
      </w:pPr>
      <w:r w:rsidRPr="00E86ABB">
        <w:t>The information collected is used in lists transmitted to the EC and published on the Internet in order to facilitate trade.   Thus, FDA makes no assurance of confidentiality of the information provided by respondents.</w:t>
      </w:r>
    </w:p>
    <w:p w:rsidR="004C6979" w:rsidRPr="004C6979" w:rsidRDefault="00EB7538" w:rsidP="00902354">
      <w:pPr>
        <w:numPr>
          <w:ilvl w:val="0"/>
          <w:numId w:val="1"/>
        </w:numPr>
        <w:spacing w:before="100" w:beforeAutospacing="1" w:after="100" w:afterAutospacing="1"/>
        <w:rPr>
          <w:u w:val="single"/>
        </w:rPr>
      </w:pPr>
      <w:r w:rsidRPr="004C6979">
        <w:rPr>
          <w:u w:val="single"/>
        </w:rPr>
        <w:t>Justification for Sensitive Questions</w:t>
      </w:r>
    </w:p>
    <w:p w:rsidR="00E86ABB" w:rsidRPr="00A149A6" w:rsidRDefault="00E86ABB" w:rsidP="00A149A6">
      <w:pPr>
        <w:ind w:left="720"/>
      </w:pPr>
      <w:r w:rsidRPr="002016FC">
        <w:t>This information collection does not involve questions that are of a personally sensitive nature.</w:t>
      </w:r>
    </w:p>
    <w:p w:rsidR="004C6979" w:rsidRPr="00A149A6" w:rsidRDefault="00EB7538" w:rsidP="00A149A6">
      <w:pPr>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5F763E" w:rsidRPr="005F763E" w:rsidRDefault="005F763E" w:rsidP="00842340">
      <w:pPr>
        <w:ind w:left="720"/>
        <w:rPr>
          <w:szCs w:val="20"/>
        </w:rPr>
      </w:pPr>
    </w:p>
    <w:p w:rsidR="005F763E" w:rsidRPr="005F763E" w:rsidRDefault="005F763E" w:rsidP="00842340">
      <w:pPr>
        <w:ind w:left="720"/>
        <w:rPr>
          <w:szCs w:val="20"/>
        </w:rPr>
      </w:pPr>
      <w:r w:rsidRPr="005F763E">
        <w:rPr>
          <w:szCs w:val="20"/>
        </w:rPr>
        <w:t>FDA estimates the burden of this collection of information as follows:</w:t>
      </w:r>
    </w:p>
    <w:p w:rsidR="005F763E" w:rsidRPr="005F763E" w:rsidRDefault="005F763E" w:rsidP="00842340">
      <w:pPr>
        <w:ind w:left="720"/>
        <w:rPr>
          <w:szCs w:val="20"/>
        </w:rPr>
      </w:pPr>
    </w:p>
    <w:tbl>
      <w:tblPr>
        <w:tblW w:w="7988" w:type="dxa"/>
        <w:jc w:val="center"/>
        <w:tblLayout w:type="fixed"/>
        <w:tblCellMar>
          <w:left w:w="102" w:type="dxa"/>
          <w:right w:w="102" w:type="dxa"/>
        </w:tblCellMar>
        <w:tblLook w:val="0000" w:firstRow="0" w:lastRow="0" w:firstColumn="0" w:lastColumn="0" w:noHBand="0" w:noVBand="0"/>
      </w:tblPr>
      <w:tblGrid>
        <w:gridCol w:w="1890"/>
        <w:gridCol w:w="1260"/>
        <w:gridCol w:w="1440"/>
        <w:gridCol w:w="1170"/>
        <w:gridCol w:w="1260"/>
        <w:gridCol w:w="968"/>
      </w:tblGrid>
      <w:tr w:rsidR="005F763E" w:rsidRPr="005F763E" w:rsidTr="00A149A6">
        <w:trPr>
          <w:cantSplit/>
          <w:tblHeader/>
          <w:jc w:val="center"/>
        </w:trPr>
        <w:tc>
          <w:tcPr>
            <w:tcW w:w="7988" w:type="dxa"/>
            <w:gridSpan w:val="6"/>
            <w:tcBorders>
              <w:bottom w:val="single" w:sz="8" w:space="0" w:color="000000"/>
            </w:tcBorders>
          </w:tcPr>
          <w:p w:rsidR="005F763E" w:rsidRPr="005F763E" w:rsidRDefault="005F763E" w:rsidP="007F3567">
            <w:pPr>
              <w:keepNext/>
              <w:ind w:left="720"/>
              <w:jc w:val="center"/>
              <w:rPr>
                <w:sz w:val="20"/>
                <w:szCs w:val="20"/>
              </w:rPr>
            </w:pPr>
            <w:r w:rsidRPr="005F763E">
              <w:rPr>
                <w:sz w:val="20"/>
                <w:szCs w:val="20"/>
              </w:rPr>
              <w:lastRenderedPageBreak/>
              <w:t>Table 1.--Estimated Annual Reporting Burden</w:t>
            </w:r>
          </w:p>
        </w:tc>
      </w:tr>
      <w:tr w:rsidR="00A149A6" w:rsidRPr="005F763E" w:rsidTr="00A149A6">
        <w:trPr>
          <w:cantSplit/>
          <w:tblHeader/>
          <w:jc w:val="center"/>
        </w:trPr>
        <w:tc>
          <w:tcPr>
            <w:tcW w:w="1890" w:type="dxa"/>
            <w:tcBorders>
              <w:top w:val="single" w:sz="8" w:space="0" w:color="000000"/>
              <w:left w:val="single" w:sz="8" w:space="0" w:color="000000"/>
              <w:bottom w:val="single" w:sz="8" w:space="0" w:color="000000"/>
              <w:right w:val="single" w:sz="8" w:space="0" w:color="000000"/>
            </w:tcBorders>
          </w:tcPr>
          <w:p w:rsidR="005F763E" w:rsidRPr="005F763E" w:rsidRDefault="005F763E" w:rsidP="00A149A6">
            <w:pPr>
              <w:keepNext/>
              <w:jc w:val="center"/>
              <w:rPr>
                <w:sz w:val="20"/>
                <w:szCs w:val="20"/>
              </w:rPr>
            </w:pPr>
            <w:r w:rsidRPr="005F763E">
              <w:rPr>
                <w:sz w:val="20"/>
                <w:szCs w:val="20"/>
              </w:rPr>
              <w:t>Products</w:t>
            </w:r>
          </w:p>
        </w:tc>
        <w:tc>
          <w:tcPr>
            <w:tcW w:w="1260" w:type="dxa"/>
            <w:tcBorders>
              <w:top w:val="single" w:sz="8" w:space="0" w:color="000000"/>
              <w:left w:val="single" w:sz="8" w:space="0" w:color="000000"/>
              <w:bottom w:val="single" w:sz="8" w:space="0" w:color="000000"/>
              <w:right w:val="single" w:sz="8" w:space="0" w:color="000000"/>
            </w:tcBorders>
          </w:tcPr>
          <w:p w:rsidR="005F763E" w:rsidRPr="005F763E" w:rsidRDefault="005F763E" w:rsidP="00A149A6">
            <w:pPr>
              <w:keepNext/>
              <w:jc w:val="center"/>
              <w:rPr>
                <w:sz w:val="20"/>
                <w:szCs w:val="20"/>
              </w:rPr>
            </w:pPr>
            <w:r w:rsidRPr="005F763E">
              <w:rPr>
                <w:sz w:val="20"/>
                <w:szCs w:val="20"/>
              </w:rPr>
              <w:t>No. of Respondents</w:t>
            </w:r>
          </w:p>
        </w:tc>
        <w:tc>
          <w:tcPr>
            <w:tcW w:w="1440" w:type="dxa"/>
            <w:tcBorders>
              <w:top w:val="single" w:sz="8" w:space="0" w:color="000000"/>
              <w:left w:val="single" w:sz="8" w:space="0" w:color="000000"/>
              <w:bottom w:val="single" w:sz="8" w:space="0" w:color="000000"/>
              <w:right w:val="single" w:sz="8" w:space="0" w:color="000000"/>
            </w:tcBorders>
          </w:tcPr>
          <w:p w:rsidR="005F763E" w:rsidRPr="005F763E" w:rsidRDefault="0090570D" w:rsidP="0090570D">
            <w:pPr>
              <w:keepNext/>
              <w:jc w:val="center"/>
              <w:rPr>
                <w:sz w:val="20"/>
                <w:szCs w:val="20"/>
              </w:rPr>
            </w:pPr>
            <w:r>
              <w:rPr>
                <w:sz w:val="20"/>
                <w:szCs w:val="20"/>
              </w:rPr>
              <w:t xml:space="preserve">No. of Responses </w:t>
            </w:r>
            <w:r w:rsidR="005F763E" w:rsidRPr="005F763E">
              <w:rPr>
                <w:sz w:val="20"/>
                <w:szCs w:val="20"/>
              </w:rPr>
              <w:t xml:space="preserve"> per Respon</w:t>
            </w:r>
            <w:r>
              <w:rPr>
                <w:sz w:val="20"/>
                <w:szCs w:val="20"/>
              </w:rPr>
              <w:t>d</w:t>
            </w:r>
            <w:r w:rsidR="005F763E" w:rsidRPr="005F763E">
              <w:rPr>
                <w:sz w:val="20"/>
                <w:szCs w:val="20"/>
              </w:rPr>
              <w:t>e</w:t>
            </w:r>
            <w:r>
              <w:rPr>
                <w:sz w:val="20"/>
                <w:szCs w:val="20"/>
              </w:rPr>
              <w:t>nt</w:t>
            </w:r>
          </w:p>
        </w:tc>
        <w:tc>
          <w:tcPr>
            <w:tcW w:w="1170" w:type="dxa"/>
            <w:tcBorders>
              <w:top w:val="single" w:sz="8" w:space="0" w:color="000000"/>
              <w:left w:val="single" w:sz="8" w:space="0" w:color="000000"/>
              <w:bottom w:val="single" w:sz="8" w:space="0" w:color="000000"/>
              <w:right w:val="single" w:sz="8" w:space="0" w:color="000000"/>
            </w:tcBorders>
          </w:tcPr>
          <w:p w:rsidR="005F763E" w:rsidRPr="005F763E" w:rsidRDefault="005F763E" w:rsidP="00A149A6">
            <w:pPr>
              <w:keepNext/>
              <w:jc w:val="center"/>
              <w:rPr>
                <w:sz w:val="20"/>
                <w:szCs w:val="20"/>
              </w:rPr>
            </w:pPr>
            <w:r w:rsidRPr="005F763E">
              <w:rPr>
                <w:sz w:val="20"/>
                <w:szCs w:val="20"/>
              </w:rPr>
              <w:t>Total Annual Responses</w:t>
            </w:r>
          </w:p>
        </w:tc>
        <w:tc>
          <w:tcPr>
            <w:tcW w:w="1260" w:type="dxa"/>
            <w:tcBorders>
              <w:top w:val="single" w:sz="8" w:space="0" w:color="000000"/>
              <w:left w:val="single" w:sz="8" w:space="0" w:color="000000"/>
              <w:bottom w:val="single" w:sz="8" w:space="0" w:color="000000"/>
              <w:right w:val="single" w:sz="8" w:space="0" w:color="000000"/>
            </w:tcBorders>
          </w:tcPr>
          <w:p w:rsidR="005F763E" w:rsidRPr="005F763E" w:rsidRDefault="0090570D" w:rsidP="0090570D">
            <w:pPr>
              <w:keepNext/>
              <w:jc w:val="center"/>
              <w:rPr>
                <w:sz w:val="20"/>
                <w:szCs w:val="20"/>
              </w:rPr>
            </w:pPr>
            <w:r>
              <w:rPr>
                <w:sz w:val="20"/>
                <w:szCs w:val="20"/>
              </w:rPr>
              <w:t xml:space="preserve">Average Burden </w:t>
            </w:r>
            <w:r w:rsidR="005F763E" w:rsidRPr="005F763E">
              <w:rPr>
                <w:sz w:val="20"/>
                <w:szCs w:val="20"/>
              </w:rPr>
              <w:t xml:space="preserve"> per Response</w:t>
            </w:r>
          </w:p>
        </w:tc>
        <w:tc>
          <w:tcPr>
            <w:tcW w:w="968" w:type="dxa"/>
            <w:tcBorders>
              <w:top w:val="single" w:sz="8" w:space="0" w:color="000000"/>
              <w:left w:val="single" w:sz="8" w:space="0" w:color="000000"/>
              <w:bottom w:val="single" w:sz="8" w:space="0" w:color="000000"/>
              <w:right w:val="single" w:sz="8" w:space="0" w:color="000000"/>
            </w:tcBorders>
          </w:tcPr>
          <w:p w:rsidR="005F763E" w:rsidRPr="005F763E" w:rsidRDefault="005F763E" w:rsidP="00A149A6">
            <w:pPr>
              <w:keepNext/>
              <w:ind w:left="33"/>
              <w:jc w:val="center"/>
              <w:rPr>
                <w:sz w:val="20"/>
                <w:szCs w:val="20"/>
              </w:rPr>
            </w:pPr>
            <w:r w:rsidRPr="005F763E">
              <w:rPr>
                <w:sz w:val="20"/>
                <w:szCs w:val="20"/>
              </w:rPr>
              <w:t>Total Hours</w:t>
            </w:r>
          </w:p>
        </w:tc>
      </w:tr>
      <w:tr w:rsidR="00A149A6" w:rsidRPr="005F763E" w:rsidTr="00A149A6">
        <w:trPr>
          <w:cantSplit/>
          <w:jc w:val="center"/>
        </w:trPr>
        <w:tc>
          <w:tcPr>
            <w:tcW w:w="1890" w:type="dxa"/>
            <w:tcBorders>
              <w:top w:val="single" w:sz="8" w:space="0" w:color="000000"/>
              <w:left w:val="single" w:sz="7" w:space="0" w:color="000000"/>
              <w:bottom w:val="single" w:sz="7" w:space="0" w:color="000000"/>
              <w:right w:val="single" w:sz="6" w:space="0" w:color="FFFFFF"/>
            </w:tcBorders>
          </w:tcPr>
          <w:p w:rsidR="005F763E" w:rsidRPr="005F763E" w:rsidRDefault="005F763E" w:rsidP="00A149A6">
            <w:pPr>
              <w:keepNext/>
              <w:rPr>
                <w:sz w:val="20"/>
                <w:szCs w:val="20"/>
              </w:rPr>
            </w:pPr>
            <w:r w:rsidRPr="005F763E">
              <w:rPr>
                <w:sz w:val="20"/>
                <w:szCs w:val="20"/>
              </w:rPr>
              <w:t>Shell Eggs</w:t>
            </w:r>
          </w:p>
        </w:tc>
        <w:tc>
          <w:tcPr>
            <w:tcW w:w="1260" w:type="dxa"/>
            <w:tcBorders>
              <w:top w:val="single" w:sz="8"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10</w:t>
            </w:r>
          </w:p>
        </w:tc>
        <w:tc>
          <w:tcPr>
            <w:tcW w:w="1440" w:type="dxa"/>
            <w:tcBorders>
              <w:top w:val="single" w:sz="8"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1</w:t>
            </w:r>
          </w:p>
        </w:tc>
        <w:tc>
          <w:tcPr>
            <w:tcW w:w="1170" w:type="dxa"/>
            <w:tcBorders>
              <w:top w:val="single" w:sz="8"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10</w:t>
            </w:r>
          </w:p>
        </w:tc>
        <w:tc>
          <w:tcPr>
            <w:tcW w:w="1260" w:type="dxa"/>
            <w:tcBorders>
              <w:top w:val="single" w:sz="8" w:space="0" w:color="000000"/>
              <w:left w:val="single" w:sz="7" w:space="0" w:color="000000"/>
              <w:bottom w:val="single" w:sz="7" w:space="0" w:color="000000"/>
              <w:right w:val="single" w:sz="6" w:space="0" w:color="FFFFFF"/>
            </w:tcBorders>
          </w:tcPr>
          <w:p w:rsidR="005F763E" w:rsidRDefault="005F763E" w:rsidP="00A149A6">
            <w:pPr>
              <w:keepNext/>
              <w:ind w:left="-12"/>
              <w:jc w:val="center"/>
              <w:rPr>
                <w:sz w:val="20"/>
                <w:szCs w:val="20"/>
              </w:rPr>
            </w:pPr>
            <w:r w:rsidRPr="005F763E">
              <w:rPr>
                <w:sz w:val="20"/>
                <w:szCs w:val="20"/>
              </w:rPr>
              <w:t>0.25</w:t>
            </w:r>
          </w:p>
          <w:p w:rsidR="0090570D" w:rsidRPr="005F763E" w:rsidRDefault="0090570D" w:rsidP="00A149A6">
            <w:pPr>
              <w:keepNext/>
              <w:ind w:left="-12"/>
              <w:jc w:val="center"/>
              <w:rPr>
                <w:sz w:val="20"/>
                <w:szCs w:val="20"/>
              </w:rPr>
            </w:pPr>
            <w:r>
              <w:rPr>
                <w:sz w:val="20"/>
                <w:szCs w:val="20"/>
              </w:rPr>
              <w:t>(15 minutes)</w:t>
            </w:r>
          </w:p>
        </w:tc>
        <w:tc>
          <w:tcPr>
            <w:tcW w:w="968" w:type="dxa"/>
            <w:tcBorders>
              <w:top w:val="single" w:sz="8" w:space="0" w:color="000000"/>
              <w:left w:val="single" w:sz="7" w:space="0" w:color="000000"/>
              <w:bottom w:val="single" w:sz="7" w:space="0" w:color="000000"/>
              <w:right w:val="single" w:sz="7" w:space="0" w:color="000000"/>
            </w:tcBorders>
          </w:tcPr>
          <w:p w:rsidR="005F763E" w:rsidRPr="005F763E" w:rsidRDefault="00027F80" w:rsidP="00027F80">
            <w:pPr>
              <w:keepNext/>
              <w:ind w:left="33"/>
              <w:jc w:val="center"/>
              <w:rPr>
                <w:sz w:val="20"/>
                <w:szCs w:val="20"/>
              </w:rPr>
            </w:pPr>
            <w:r>
              <w:rPr>
                <w:sz w:val="20"/>
                <w:szCs w:val="20"/>
              </w:rPr>
              <w:t>2.5</w:t>
            </w:r>
          </w:p>
        </w:tc>
      </w:tr>
      <w:tr w:rsidR="00A149A6" w:rsidRPr="005F763E" w:rsidTr="00A149A6">
        <w:trPr>
          <w:cantSplit/>
          <w:jc w:val="center"/>
        </w:trPr>
        <w:tc>
          <w:tcPr>
            <w:tcW w:w="189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rPr>
                <w:sz w:val="20"/>
                <w:szCs w:val="20"/>
              </w:rPr>
            </w:pPr>
            <w:r w:rsidRPr="005F763E">
              <w:rPr>
                <w:sz w:val="20"/>
                <w:szCs w:val="20"/>
              </w:rPr>
              <w:t>Game Meat and Game Meat Products</w:t>
            </w:r>
          </w:p>
        </w:tc>
        <w:tc>
          <w:tcPr>
            <w:tcW w:w="126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5</w:t>
            </w:r>
          </w:p>
        </w:tc>
        <w:tc>
          <w:tcPr>
            <w:tcW w:w="144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1</w:t>
            </w:r>
          </w:p>
        </w:tc>
        <w:tc>
          <w:tcPr>
            <w:tcW w:w="117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5</w:t>
            </w:r>
          </w:p>
        </w:tc>
        <w:tc>
          <w:tcPr>
            <w:tcW w:w="1260" w:type="dxa"/>
            <w:tcBorders>
              <w:top w:val="single" w:sz="7" w:space="0" w:color="000000"/>
              <w:left w:val="single" w:sz="7" w:space="0" w:color="000000"/>
              <w:bottom w:val="single" w:sz="7" w:space="0" w:color="000000"/>
              <w:right w:val="single" w:sz="6" w:space="0" w:color="FFFFFF"/>
            </w:tcBorders>
          </w:tcPr>
          <w:p w:rsidR="005F763E" w:rsidRDefault="005F763E" w:rsidP="00A149A6">
            <w:pPr>
              <w:keepNext/>
              <w:ind w:left="-12"/>
              <w:jc w:val="center"/>
              <w:rPr>
                <w:sz w:val="20"/>
                <w:szCs w:val="20"/>
              </w:rPr>
            </w:pPr>
            <w:r w:rsidRPr="005F763E">
              <w:rPr>
                <w:sz w:val="20"/>
                <w:szCs w:val="20"/>
              </w:rPr>
              <w:t>0.25</w:t>
            </w:r>
          </w:p>
          <w:p w:rsidR="0090570D" w:rsidRPr="005F763E" w:rsidRDefault="0090570D" w:rsidP="00A149A6">
            <w:pPr>
              <w:keepNext/>
              <w:ind w:left="-12"/>
              <w:jc w:val="center"/>
              <w:rPr>
                <w:sz w:val="20"/>
                <w:szCs w:val="20"/>
              </w:rPr>
            </w:pPr>
            <w:r>
              <w:rPr>
                <w:sz w:val="20"/>
                <w:szCs w:val="20"/>
              </w:rPr>
              <w:t>(15 minutes)</w:t>
            </w:r>
          </w:p>
        </w:tc>
        <w:tc>
          <w:tcPr>
            <w:tcW w:w="968" w:type="dxa"/>
            <w:tcBorders>
              <w:top w:val="single" w:sz="7" w:space="0" w:color="000000"/>
              <w:left w:val="single" w:sz="7" w:space="0" w:color="000000"/>
              <w:bottom w:val="single" w:sz="7" w:space="0" w:color="000000"/>
              <w:right w:val="single" w:sz="7" w:space="0" w:color="000000"/>
            </w:tcBorders>
          </w:tcPr>
          <w:p w:rsidR="005F763E" w:rsidRPr="005F763E" w:rsidRDefault="00027F80" w:rsidP="00027F80">
            <w:pPr>
              <w:keepNext/>
              <w:ind w:left="33"/>
              <w:jc w:val="center"/>
              <w:rPr>
                <w:sz w:val="20"/>
                <w:szCs w:val="20"/>
              </w:rPr>
            </w:pPr>
            <w:r>
              <w:rPr>
                <w:sz w:val="20"/>
                <w:szCs w:val="20"/>
              </w:rPr>
              <w:t>1.25</w:t>
            </w:r>
          </w:p>
        </w:tc>
      </w:tr>
      <w:tr w:rsidR="00A149A6" w:rsidRPr="005F763E" w:rsidTr="00A149A6">
        <w:trPr>
          <w:cantSplit/>
          <w:trHeight w:val="262"/>
          <w:jc w:val="center"/>
        </w:trPr>
        <w:tc>
          <w:tcPr>
            <w:tcW w:w="189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rPr>
                <w:sz w:val="20"/>
                <w:szCs w:val="20"/>
              </w:rPr>
            </w:pPr>
            <w:r w:rsidRPr="005F763E">
              <w:rPr>
                <w:sz w:val="20"/>
                <w:szCs w:val="20"/>
              </w:rPr>
              <w:t>Gelatin</w:t>
            </w:r>
          </w:p>
        </w:tc>
        <w:tc>
          <w:tcPr>
            <w:tcW w:w="126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Pr>
                <w:sz w:val="20"/>
                <w:szCs w:val="20"/>
              </w:rPr>
              <w:t>7</w:t>
            </w:r>
          </w:p>
        </w:tc>
        <w:tc>
          <w:tcPr>
            <w:tcW w:w="144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1</w:t>
            </w:r>
          </w:p>
        </w:tc>
        <w:tc>
          <w:tcPr>
            <w:tcW w:w="117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Pr>
                <w:sz w:val="20"/>
                <w:szCs w:val="20"/>
              </w:rPr>
              <w:t>7</w:t>
            </w:r>
          </w:p>
        </w:tc>
        <w:tc>
          <w:tcPr>
            <w:tcW w:w="1260" w:type="dxa"/>
            <w:tcBorders>
              <w:top w:val="single" w:sz="7" w:space="0" w:color="000000"/>
              <w:left w:val="single" w:sz="7" w:space="0" w:color="000000"/>
              <w:bottom w:val="single" w:sz="7" w:space="0" w:color="000000"/>
              <w:right w:val="single" w:sz="6" w:space="0" w:color="FFFFFF"/>
            </w:tcBorders>
          </w:tcPr>
          <w:p w:rsidR="005F763E" w:rsidRDefault="005F763E" w:rsidP="00A149A6">
            <w:pPr>
              <w:keepNext/>
              <w:ind w:left="-12"/>
              <w:jc w:val="center"/>
              <w:rPr>
                <w:sz w:val="20"/>
                <w:szCs w:val="20"/>
              </w:rPr>
            </w:pPr>
            <w:r w:rsidRPr="005F763E">
              <w:rPr>
                <w:sz w:val="20"/>
                <w:szCs w:val="20"/>
              </w:rPr>
              <w:t>0.25</w:t>
            </w:r>
          </w:p>
          <w:p w:rsidR="0090570D" w:rsidRPr="005F763E" w:rsidRDefault="0090570D" w:rsidP="00A149A6">
            <w:pPr>
              <w:keepNext/>
              <w:ind w:left="-12"/>
              <w:jc w:val="center"/>
              <w:rPr>
                <w:sz w:val="20"/>
                <w:szCs w:val="20"/>
              </w:rPr>
            </w:pPr>
            <w:r>
              <w:rPr>
                <w:sz w:val="20"/>
                <w:szCs w:val="20"/>
              </w:rPr>
              <w:t>(15 minutes)</w:t>
            </w:r>
          </w:p>
        </w:tc>
        <w:tc>
          <w:tcPr>
            <w:tcW w:w="968" w:type="dxa"/>
            <w:tcBorders>
              <w:top w:val="single" w:sz="7" w:space="0" w:color="000000"/>
              <w:left w:val="single" w:sz="7" w:space="0" w:color="000000"/>
              <w:bottom w:val="single" w:sz="7" w:space="0" w:color="000000"/>
              <w:right w:val="single" w:sz="7" w:space="0" w:color="000000"/>
            </w:tcBorders>
          </w:tcPr>
          <w:p w:rsidR="005F763E" w:rsidRPr="005F763E" w:rsidRDefault="00027F80" w:rsidP="00A149A6">
            <w:pPr>
              <w:keepNext/>
              <w:ind w:left="33"/>
              <w:jc w:val="center"/>
              <w:rPr>
                <w:sz w:val="20"/>
                <w:szCs w:val="20"/>
              </w:rPr>
            </w:pPr>
            <w:r>
              <w:rPr>
                <w:sz w:val="20"/>
                <w:szCs w:val="20"/>
              </w:rPr>
              <w:t>1.75</w:t>
            </w:r>
          </w:p>
        </w:tc>
      </w:tr>
      <w:tr w:rsidR="00A149A6" w:rsidRPr="005F763E" w:rsidTr="00A149A6">
        <w:trPr>
          <w:cantSplit/>
          <w:trHeight w:val="253"/>
          <w:jc w:val="center"/>
        </w:trPr>
        <w:tc>
          <w:tcPr>
            <w:tcW w:w="189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rPr>
                <w:sz w:val="20"/>
                <w:szCs w:val="20"/>
              </w:rPr>
            </w:pPr>
            <w:r w:rsidRPr="005F763E">
              <w:rPr>
                <w:sz w:val="20"/>
                <w:szCs w:val="20"/>
              </w:rPr>
              <w:t>Collagen</w:t>
            </w:r>
          </w:p>
        </w:tc>
        <w:tc>
          <w:tcPr>
            <w:tcW w:w="126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Pr>
                <w:sz w:val="20"/>
                <w:szCs w:val="20"/>
              </w:rPr>
              <w:t>18</w:t>
            </w:r>
          </w:p>
        </w:tc>
        <w:tc>
          <w:tcPr>
            <w:tcW w:w="144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sidRPr="005F763E">
              <w:rPr>
                <w:sz w:val="20"/>
                <w:szCs w:val="20"/>
              </w:rPr>
              <w:t>1</w:t>
            </w:r>
          </w:p>
        </w:tc>
        <w:tc>
          <w:tcPr>
            <w:tcW w:w="1170" w:type="dxa"/>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jc w:val="center"/>
              <w:rPr>
                <w:sz w:val="20"/>
                <w:szCs w:val="20"/>
              </w:rPr>
            </w:pPr>
            <w:r>
              <w:rPr>
                <w:sz w:val="20"/>
                <w:szCs w:val="20"/>
              </w:rPr>
              <w:t>18</w:t>
            </w:r>
          </w:p>
        </w:tc>
        <w:tc>
          <w:tcPr>
            <w:tcW w:w="1260" w:type="dxa"/>
            <w:tcBorders>
              <w:top w:val="single" w:sz="7" w:space="0" w:color="000000"/>
              <w:left w:val="single" w:sz="7" w:space="0" w:color="000000"/>
              <w:bottom w:val="single" w:sz="7" w:space="0" w:color="000000"/>
              <w:right w:val="single" w:sz="6" w:space="0" w:color="FFFFFF"/>
            </w:tcBorders>
          </w:tcPr>
          <w:p w:rsidR="005F763E" w:rsidRDefault="005F763E" w:rsidP="00A149A6">
            <w:pPr>
              <w:keepNext/>
              <w:ind w:left="-12"/>
              <w:jc w:val="center"/>
              <w:rPr>
                <w:sz w:val="20"/>
                <w:szCs w:val="20"/>
              </w:rPr>
            </w:pPr>
            <w:r w:rsidRPr="005F763E">
              <w:rPr>
                <w:sz w:val="20"/>
                <w:szCs w:val="20"/>
              </w:rPr>
              <w:t>0.25</w:t>
            </w:r>
          </w:p>
          <w:p w:rsidR="0090570D" w:rsidRPr="005F763E" w:rsidRDefault="0090570D" w:rsidP="00A149A6">
            <w:pPr>
              <w:keepNext/>
              <w:ind w:left="-12"/>
              <w:jc w:val="center"/>
              <w:rPr>
                <w:sz w:val="20"/>
                <w:szCs w:val="20"/>
              </w:rPr>
            </w:pPr>
            <w:r>
              <w:rPr>
                <w:sz w:val="20"/>
                <w:szCs w:val="20"/>
              </w:rPr>
              <w:t>(15 minutes)</w:t>
            </w:r>
          </w:p>
        </w:tc>
        <w:tc>
          <w:tcPr>
            <w:tcW w:w="968" w:type="dxa"/>
            <w:tcBorders>
              <w:top w:val="single" w:sz="7" w:space="0" w:color="000000"/>
              <w:left w:val="single" w:sz="7" w:space="0" w:color="000000"/>
              <w:bottom w:val="single" w:sz="7" w:space="0" w:color="000000"/>
              <w:right w:val="single" w:sz="7" w:space="0" w:color="000000"/>
            </w:tcBorders>
          </w:tcPr>
          <w:p w:rsidR="005F763E" w:rsidRPr="005F763E" w:rsidRDefault="00027F80" w:rsidP="00A149A6">
            <w:pPr>
              <w:keepNext/>
              <w:ind w:left="33"/>
              <w:jc w:val="center"/>
              <w:rPr>
                <w:sz w:val="20"/>
                <w:szCs w:val="20"/>
              </w:rPr>
            </w:pPr>
            <w:r>
              <w:rPr>
                <w:sz w:val="20"/>
                <w:szCs w:val="20"/>
              </w:rPr>
              <w:t>4.5</w:t>
            </w:r>
          </w:p>
        </w:tc>
      </w:tr>
      <w:tr w:rsidR="005F763E" w:rsidRPr="005F763E" w:rsidTr="00A149A6">
        <w:trPr>
          <w:cantSplit/>
          <w:trHeight w:val="163"/>
          <w:jc w:val="center"/>
        </w:trPr>
        <w:tc>
          <w:tcPr>
            <w:tcW w:w="7020" w:type="dxa"/>
            <w:gridSpan w:val="5"/>
            <w:tcBorders>
              <w:top w:val="single" w:sz="7" w:space="0" w:color="000000"/>
              <w:left w:val="single" w:sz="7" w:space="0" w:color="000000"/>
              <w:bottom w:val="single" w:sz="7" w:space="0" w:color="000000"/>
              <w:right w:val="single" w:sz="6" w:space="0" w:color="FFFFFF"/>
            </w:tcBorders>
          </w:tcPr>
          <w:p w:rsidR="005F763E" w:rsidRPr="005F763E" w:rsidRDefault="005F763E" w:rsidP="00A149A6">
            <w:pPr>
              <w:keepNext/>
              <w:rPr>
                <w:sz w:val="20"/>
                <w:szCs w:val="20"/>
              </w:rPr>
            </w:pPr>
            <w:r w:rsidRPr="005F763E">
              <w:rPr>
                <w:sz w:val="20"/>
                <w:szCs w:val="20"/>
              </w:rPr>
              <w:t>Total</w:t>
            </w:r>
          </w:p>
        </w:tc>
        <w:tc>
          <w:tcPr>
            <w:tcW w:w="968" w:type="dxa"/>
            <w:tcBorders>
              <w:top w:val="single" w:sz="7" w:space="0" w:color="000000"/>
              <w:left w:val="single" w:sz="7" w:space="0" w:color="000000"/>
              <w:bottom w:val="single" w:sz="7" w:space="0" w:color="000000"/>
              <w:right w:val="single" w:sz="7" w:space="0" w:color="000000"/>
            </w:tcBorders>
          </w:tcPr>
          <w:p w:rsidR="005F763E" w:rsidRPr="005F763E" w:rsidRDefault="005F763E" w:rsidP="00027F80">
            <w:pPr>
              <w:keepNext/>
              <w:ind w:left="33"/>
              <w:jc w:val="center"/>
              <w:rPr>
                <w:sz w:val="20"/>
                <w:szCs w:val="20"/>
              </w:rPr>
            </w:pPr>
            <w:r>
              <w:rPr>
                <w:sz w:val="20"/>
                <w:szCs w:val="20"/>
              </w:rPr>
              <w:t>1</w:t>
            </w:r>
            <w:r w:rsidR="00027F80">
              <w:rPr>
                <w:sz w:val="20"/>
                <w:szCs w:val="20"/>
              </w:rPr>
              <w:t>0</w:t>
            </w:r>
          </w:p>
        </w:tc>
      </w:tr>
      <w:tr w:rsidR="005F763E" w:rsidRPr="005F763E" w:rsidTr="00A149A6">
        <w:trPr>
          <w:cantSplit/>
          <w:trHeight w:val="163"/>
          <w:jc w:val="center"/>
        </w:trPr>
        <w:tc>
          <w:tcPr>
            <w:tcW w:w="7988" w:type="dxa"/>
            <w:gridSpan w:val="6"/>
            <w:tcBorders>
              <w:top w:val="single" w:sz="7" w:space="0" w:color="000000"/>
              <w:bottom w:val="nil"/>
            </w:tcBorders>
          </w:tcPr>
          <w:p w:rsidR="005F763E" w:rsidRPr="005F763E" w:rsidRDefault="005F763E" w:rsidP="00C366B8">
            <w:pPr>
              <w:keepNext/>
              <w:rPr>
                <w:sz w:val="20"/>
                <w:szCs w:val="20"/>
              </w:rPr>
            </w:pPr>
          </w:p>
        </w:tc>
      </w:tr>
    </w:tbl>
    <w:p w:rsidR="005F763E" w:rsidRPr="005F763E" w:rsidRDefault="005F763E" w:rsidP="00842340">
      <w:pPr>
        <w:ind w:left="720"/>
        <w:rPr>
          <w:sz w:val="20"/>
          <w:szCs w:val="20"/>
        </w:rPr>
      </w:pPr>
    </w:p>
    <w:p w:rsidR="005F763E" w:rsidRDefault="005F763E" w:rsidP="00842340">
      <w:pPr>
        <w:ind w:left="720"/>
      </w:pPr>
      <w:r w:rsidRPr="005F763E">
        <w:t>We base our estimates of the number of respondents and total annual responses on the submissions that we have received in the past 3 years for each product type.  To calculate the estimate for the hours per response values, we assumed that the information requested is readily available to the submitter.  We expect that the submitter will need to gather information from appropriate persons in the submitter’s company and to prepare this information for submission.  We believe that this effort should take no longer than 15 minutes (0.2</w:t>
      </w:r>
      <w:r w:rsidR="00A149A6">
        <w:t>5 hour) per response.</w:t>
      </w:r>
    </w:p>
    <w:p w:rsidR="005F763E" w:rsidRDefault="005F763E" w:rsidP="00842340">
      <w:pPr>
        <w:ind w:left="720"/>
      </w:pPr>
    </w:p>
    <w:p w:rsidR="005F763E" w:rsidRDefault="005F763E" w:rsidP="00842340">
      <w:pPr>
        <w:ind w:left="720"/>
      </w:pPr>
      <w:r w:rsidRPr="005F763E">
        <w:t xml:space="preserve">We estimate that we will receive 1 submission from 10 shell egg producers annually, for a total of 10 annual responses.  Each submission is estimated to take 0.25 hour per response for a total of 2.5 hours.  We estimate that we will receive one submission from five game meat and game meat product producers annually, for a total of five annual responses.  Each submission is estimated to take 0.25 hour per response for a total of 1.25 hours.  We estimate that we will receive one submission from </w:t>
      </w:r>
      <w:r w:rsidR="00842340">
        <w:t>seven</w:t>
      </w:r>
      <w:r w:rsidRPr="005F763E">
        <w:t xml:space="preserve"> gelatin producers annually, for a total of </w:t>
      </w:r>
      <w:r w:rsidR="00842340">
        <w:t>seven</w:t>
      </w:r>
      <w:r w:rsidRPr="005F763E">
        <w:t xml:space="preserve"> annual responses.  Each submission is estimated to take 0.25 hour per response for a total of </w:t>
      </w:r>
      <w:r w:rsidR="00842340">
        <w:t>1</w:t>
      </w:r>
      <w:r w:rsidRPr="005F763E">
        <w:t>.</w:t>
      </w:r>
      <w:r w:rsidR="00842340">
        <w:t>7</w:t>
      </w:r>
      <w:r w:rsidRPr="005F763E">
        <w:t>5 hour</w:t>
      </w:r>
      <w:r w:rsidR="00842340">
        <w:t>s</w:t>
      </w:r>
      <w:r w:rsidRPr="005F763E">
        <w:t xml:space="preserve">.  We estimate that we will receive one submission from </w:t>
      </w:r>
      <w:r w:rsidR="00842340">
        <w:t>18</w:t>
      </w:r>
      <w:r w:rsidRPr="005F763E">
        <w:t xml:space="preserve"> collagen producers annually, for a total of </w:t>
      </w:r>
      <w:r w:rsidR="00842340">
        <w:t>18</w:t>
      </w:r>
      <w:r w:rsidRPr="005F763E">
        <w:t xml:space="preserve"> annual responses.  Each submission is estimated to take 0.25 hour per response for a total of </w:t>
      </w:r>
      <w:r w:rsidR="00842340">
        <w:t>4</w:t>
      </w:r>
      <w:r w:rsidRPr="005F763E">
        <w:t>.5 hour</w:t>
      </w:r>
      <w:r w:rsidR="00027F80">
        <w:t>s</w:t>
      </w:r>
      <w:r w:rsidR="0000540C">
        <w:t xml:space="preserve"> (animal casing burden is now included within the collagen burden)</w:t>
      </w:r>
      <w:r w:rsidRPr="005F763E">
        <w:t xml:space="preserve">.  Therefore, the proposed annual burden for this information collection is </w:t>
      </w:r>
      <w:r w:rsidR="00842340">
        <w:t>1</w:t>
      </w:r>
      <w:r w:rsidR="00027F80">
        <w:t>0</w:t>
      </w:r>
      <w:r w:rsidRPr="005F763E">
        <w:t xml:space="preserve"> hours.</w:t>
      </w:r>
    </w:p>
    <w:p w:rsidR="005F763E" w:rsidRDefault="005F763E" w:rsidP="00842340">
      <w:pPr>
        <w:ind w:left="720"/>
      </w:pPr>
    </w:p>
    <w:p w:rsidR="005F763E" w:rsidRPr="005F763E" w:rsidRDefault="005F763E" w:rsidP="00842340">
      <w:pPr>
        <w:ind w:left="720"/>
      </w:pPr>
      <w:r>
        <w:t>This collection has previously included information collected to maintain lists of eligible exporters of dairy products; dairy products are covered under OMB control number 0910–0509, so the estimated burden has been removed from this collection.</w:t>
      </w:r>
      <w:r w:rsidR="00842340">
        <w:t xml:space="preserve">  This collection also included information collected to maintain lists of eligible exporters of animal casings</w:t>
      </w:r>
      <w:r w:rsidR="0000540C">
        <w:t>, and this burden is now consolidated with the estimated burden for collagen.</w:t>
      </w:r>
    </w:p>
    <w:p w:rsidR="003740BC" w:rsidRDefault="003740BC" w:rsidP="00842340">
      <w:pPr>
        <w:pStyle w:val="BodyText2"/>
        <w:ind w:left="360"/>
      </w:pPr>
    </w:p>
    <w:p w:rsidR="00A93ED9" w:rsidRDefault="00A93ED9" w:rsidP="00A93ED9">
      <w:pPr>
        <w:pStyle w:val="BodyText2"/>
        <w:ind w:left="360"/>
      </w:pPr>
      <w:r w:rsidRPr="00C75CBF">
        <w:t xml:space="preserve">12b. </w:t>
      </w:r>
      <w:r w:rsidR="00411D11" w:rsidRPr="00C75CBF">
        <w:rPr>
          <w:u w:val="single"/>
        </w:rPr>
        <w:t>Annualized Cost Burden Estimate</w:t>
      </w:r>
    </w:p>
    <w:p w:rsidR="00A93ED9" w:rsidRDefault="00A93ED9" w:rsidP="001D495A">
      <w:pPr>
        <w:pStyle w:val="BodyText2"/>
        <w:ind w:left="720"/>
      </w:pPr>
    </w:p>
    <w:p w:rsidR="003740BC" w:rsidRDefault="00842340" w:rsidP="00842340">
      <w:pPr>
        <w:pStyle w:val="BodyText2"/>
        <w:ind w:left="720"/>
      </w:pPr>
      <w:r>
        <w:t>FDA estimates that there are 40</w:t>
      </w:r>
      <w:r w:rsidRPr="00842340">
        <w:t xml:space="preserve"> respondent firms.  We estimate the average hourly wage of an employee responding to the information collection to be equivalent to that of a base GS-12, step 5 hourly wage ($</w:t>
      </w:r>
      <w:r>
        <w:t>4</w:t>
      </w:r>
      <w:r w:rsidRPr="00842340">
        <w:t>3.</w:t>
      </w:r>
      <w:r>
        <w:t>29</w:t>
      </w:r>
      <w:r w:rsidRPr="00842340">
        <w:t>/hour per the 201</w:t>
      </w:r>
      <w:r>
        <w:t>7</w:t>
      </w:r>
      <w:r w:rsidRPr="00842340">
        <w:t xml:space="preserve"> GS Salary Table).  Doubling this </w:t>
      </w:r>
      <w:r w:rsidRPr="00842340">
        <w:lastRenderedPageBreak/>
        <w:t>wage to account for overhead costs, FDA estimates the hourly cost to respondents to be $</w:t>
      </w:r>
      <w:r>
        <w:t>8</w:t>
      </w:r>
      <w:r w:rsidRPr="00842340">
        <w:t>6</w:t>
      </w:r>
      <w:r>
        <w:t>.</w:t>
      </w:r>
      <w:r w:rsidRPr="00842340">
        <w:t>5</w:t>
      </w:r>
      <w:r>
        <w:t>8</w:t>
      </w:r>
      <w:r w:rsidRPr="00842340">
        <w:t>.  Thus, the estimated cost incurred by the respondents is $</w:t>
      </w:r>
      <w:r w:rsidR="00027F80">
        <w:t>865</w:t>
      </w:r>
      <w:r w:rsidR="00E96D29">
        <w:t>.8</w:t>
      </w:r>
      <w:r w:rsidR="00027F80">
        <w:t>0</w:t>
      </w:r>
      <w:r w:rsidRPr="00842340">
        <w:t xml:space="preserve"> (</w:t>
      </w:r>
      <w:r>
        <w:t>11</w:t>
      </w:r>
      <w:r w:rsidRPr="00842340">
        <w:t xml:space="preserve"> burden hours x $</w:t>
      </w:r>
      <w:r>
        <w:t>8</w:t>
      </w:r>
      <w:r w:rsidRPr="00842340">
        <w:t>6</w:t>
      </w:r>
      <w:r>
        <w:t>.</w:t>
      </w:r>
      <w:r w:rsidRPr="00842340">
        <w:t>5</w:t>
      </w:r>
      <w:r>
        <w:t>8</w:t>
      </w:r>
      <w:r w:rsidRPr="00842340">
        <w:t>/hr. = $</w:t>
      </w:r>
      <w:r w:rsidR="00027F80">
        <w:t>865</w:t>
      </w:r>
      <w:r w:rsidRPr="00842340">
        <w:t>.</w:t>
      </w:r>
      <w:r>
        <w:t>8</w:t>
      </w:r>
      <w:r w:rsidR="00027F80">
        <w:t>0</w:t>
      </w:r>
      <w:r w:rsidRPr="00842340">
        <w:t>).</w:t>
      </w:r>
    </w:p>
    <w:p w:rsidR="004C6979" w:rsidRPr="004C6979" w:rsidRDefault="00EB7538" w:rsidP="00902354">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AB7040" w:rsidP="00AB7040">
      <w:pPr>
        <w:ind w:left="720"/>
      </w:pPr>
      <w:r w:rsidRPr="002016FC">
        <w:t>There are no capital, start-up, operating, or maintenance costs associated with this collection.</w:t>
      </w:r>
    </w:p>
    <w:p w:rsidR="004C6979" w:rsidRPr="004C6979" w:rsidRDefault="00EB7538" w:rsidP="00902354">
      <w:pPr>
        <w:numPr>
          <w:ilvl w:val="0"/>
          <w:numId w:val="1"/>
        </w:numPr>
        <w:spacing w:before="100" w:beforeAutospacing="1" w:after="100" w:afterAutospacing="1"/>
        <w:rPr>
          <w:u w:val="single"/>
        </w:rPr>
      </w:pPr>
      <w:r w:rsidRPr="004C6979">
        <w:rPr>
          <w:u w:val="single"/>
        </w:rPr>
        <w:t>Annualized Cost to the Federal Government</w:t>
      </w:r>
    </w:p>
    <w:p w:rsidR="00A70426" w:rsidRDefault="00AB7040" w:rsidP="00AB7040">
      <w:pPr>
        <w:ind w:left="720"/>
      </w:pPr>
      <w:r w:rsidRPr="002016FC">
        <w:t xml:space="preserve">FDA employees review the information collected and maintain the list process.  The </w:t>
      </w:r>
      <w:r w:rsidR="00E96D29">
        <w:t>40</w:t>
      </w:r>
      <w:r w:rsidR="00E96D29" w:rsidRPr="002016FC">
        <w:t xml:space="preserve"> </w:t>
      </w:r>
      <w:r w:rsidRPr="002016FC">
        <w:t xml:space="preserve">respondent firms submit one response each.  We estimate that each response will take two hours of time, or </w:t>
      </w:r>
      <w:r w:rsidR="00E96D29">
        <w:t>80</w:t>
      </w:r>
      <w:r w:rsidR="00E96D29" w:rsidRPr="002016FC">
        <w:t xml:space="preserve"> </w:t>
      </w:r>
      <w:r w:rsidRPr="002016FC">
        <w:t>hours annually for all responses (</w:t>
      </w:r>
      <w:r w:rsidR="00E96D29">
        <w:t>40</w:t>
      </w:r>
      <w:r w:rsidR="00E96D29" w:rsidRPr="002016FC">
        <w:t xml:space="preserve"> </w:t>
      </w:r>
      <w:r w:rsidRPr="002016FC">
        <w:t xml:space="preserve">x 2 = </w:t>
      </w:r>
      <w:r w:rsidR="00E96D29">
        <w:t>80</w:t>
      </w:r>
      <w:r w:rsidRPr="002016FC">
        <w:t>).  We estimate the average hourly wage of this Federal employee to be that of a base GS-13, step 5 ($</w:t>
      </w:r>
      <w:r w:rsidR="00E96D29">
        <w:t>51.48</w:t>
      </w:r>
      <w:r w:rsidRPr="002016FC">
        <w:t>/hour per the 20</w:t>
      </w:r>
      <w:r>
        <w:t>1</w:t>
      </w:r>
      <w:r w:rsidR="00E96D29">
        <w:t>7</w:t>
      </w:r>
      <w:r w:rsidRPr="002016FC">
        <w:t xml:space="preserve"> GS Salary Table).  Doubling this wage to account for overhead costs, FDA estimates the hourly cost to the Federal government to be $</w:t>
      </w:r>
      <w:r w:rsidR="00E96D29">
        <w:t>102.96</w:t>
      </w:r>
      <w:r w:rsidRPr="002016FC">
        <w:t>.  Thus, the annual cost to the Federal government is estimated to be $</w:t>
      </w:r>
      <w:r w:rsidR="00E96D29">
        <w:t>8,237</w:t>
      </w:r>
      <w:r w:rsidRPr="002016FC">
        <w:t xml:space="preserve"> (</w:t>
      </w:r>
      <w:r w:rsidR="00E96D29">
        <w:t>80</w:t>
      </w:r>
      <w:r w:rsidR="00E96D29" w:rsidRPr="002016FC">
        <w:t xml:space="preserve"> </w:t>
      </w:r>
      <w:r w:rsidRPr="002016FC">
        <w:t>hours x $</w:t>
      </w:r>
      <w:r w:rsidR="00E96D29">
        <w:t>102.96</w:t>
      </w:r>
      <w:r w:rsidRPr="002016FC">
        <w:t>/hr = $</w:t>
      </w:r>
      <w:r w:rsidR="00E96D29">
        <w:t>8,236.80</w:t>
      </w:r>
      <w:r w:rsidRPr="002016FC">
        <w:t>).</w:t>
      </w:r>
    </w:p>
    <w:p w:rsidR="004C6979" w:rsidRPr="004C6979" w:rsidRDefault="00EB7538" w:rsidP="00902354">
      <w:pPr>
        <w:numPr>
          <w:ilvl w:val="0"/>
          <w:numId w:val="1"/>
        </w:numPr>
        <w:spacing w:before="100" w:beforeAutospacing="1" w:after="100" w:afterAutospacing="1"/>
        <w:rPr>
          <w:u w:val="single"/>
        </w:rPr>
      </w:pPr>
      <w:r w:rsidRPr="004C6979">
        <w:rPr>
          <w:u w:val="single"/>
        </w:rPr>
        <w:t>Explanation for Program Changes or Adjustments</w:t>
      </w:r>
    </w:p>
    <w:p w:rsidR="000F4660" w:rsidRDefault="000F4660" w:rsidP="00D730BF">
      <w:pPr>
        <w:ind w:left="720"/>
      </w:pPr>
      <w:r>
        <w:t xml:space="preserve">This information collection is requesting a renewal with changes through </w:t>
      </w:r>
      <w:r w:rsidR="00E96D29">
        <w:t>adjustments</w:t>
      </w:r>
      <w:r>
        <w:t xml:space="preserve"> to the number of responses and number of burden hours.</w:t>
      </w:r>
    </w:p>
    <w:p w:rsidR="000F4660" w:rsidRDefault="000F4660" w:rsidP="00D730BF">
      <w:pPr>
        <w:ind w:left="720"/>
      </w:pPr>
    </w:p>
    <w:p w:rsidR="000F4660" w:rsidRDefault="00AB7040" w:rsidP="00D730BF">
      <w:pPr>
        <w:ind w:left="720"/>
      </w:pPr>
      <w:r w:rsidRPr="00AB7040">
        <w:t xml:space="preserve">The burden </w:t>
      </w:r>
      <w:r w:rsidR="000F4660">
        <w:t xml:space="preserve">for this collection of information </w:t>
      </w:r>
      <w:r w:rsidRPr="00AB7040">
        <w:t xml:space="preserve">has </w:t>
      </w:r>
      <w:r w:rsidR="000F4660">
        <w:t>been reduced</w:t>
      </w:r>
      <w:r w:rsidRPr="00AB7040">
        <w:t xml:space="preserve"> from the burden shown in the current inventory. </w:t>
      </w:r>
      <w:r w:rsidR="00A149A6">
        <w:t xml:space="preserve">  There has been an adjustment to reduce the number of responses from 146 to 40, and number of burden hours from 37 to 1</w:t>
      </w:r>
      <w:r w:rsidR="00027F80">
        <w:t>0</w:t>
      </w:r>
      <w:r w:rsidR="00A149A6">
        <w:t>.  These changes are the result of</w:t>
      </w:r>
      <w:r w:rsidR="000F4660">
        <w:t>:</w:t>
      </w:r>
    </w:p>
    <w:p w:rsidR="000F4660" w:rsidRDefault="000F4660" w:rsidP="000F4660">
      <w:pPr>
        <w:pStyle w:val="ListParagraph"/>
        <w:numPr>
          <w:ilvl w:val="0"/>
          <w:numId w:val="45"/>
        </w:numPr>
      </w:pPr>
      <w:r>
        <w:t>T</w:t>
      </w:r>
      <w:r w:rsidR="00A149A6">
        <w:t xml:space="preserve">ransferring response and hourly burden for previously maintained lists of eligible exporters of dairy products to Europe </w:t>
      </w:r>
      <w:r w:rsidR="00E96D29">
        <w:t xml:space="preserve">from </w:t>
      </w:r>
      <w:r>
        <w:t>this collection to OMB Co</w:t>
      </w:r>
      <w:r w:rsidR="00A149A6">
        <w:t xml:space="preserve">llection </w:t>
      </w:r>
      <w:r>
        <w:t>N</w:t>
      </w:r>
      <w:r w:rsidR="00A149A6">
        <w:t xml:space="preserve">umber 0910-0509 (120 responses, 30 hours), </w:t>
      </w:r>
    </w:p>
    <w:p w:rsidR="000F4660" w:rsidRDefault="0000540C" w:rsidP="000F4660">
      <w:pPr>
        <w:pStyle w:val="ListParagraph"/>
        <w:numPr>
          <w:ilvl w:val="0"/>
          <w:numId w:val="45"/>
        </w:numPr>
      </w:pPr>
      <w:r>
        <w:t xml:space="preserve">Consolidation </w:t>
      </w:r>
      <w:r w:rsidR="00A149A6">
        <w:t>of animal casings burden (5 responses and 1 hour)</w:t>
      </w:r>
      <w:r>
        <w:t xml:space="preserve"> with collagen burden</w:t>
      </w:r>
      <w:r w:rsidR="00A149A6">
        <w:t xml:space="preserve">, and </w:t>
      </w:r>
    </w:p>
    <w:p w:rsidR="000F4660" w:rsidRDefault="000F4660" w:rsidP="000F4660">
      <w:pPr>
        <w:pStyle w:val="ListParagraph"/>
        <w:numPr>
          <w:ilvl w:val="0"/>
          <w:numId w:val="45"/>
        </w:numPr>
      </w:pPr>
      <w:r>
        <w:t>A</w:t>
      </w:r>
      <w:r w:rsidR="00A149A6">
        <w:t>dditional gelatin and collagen responses (</w:t>
      </w:r>
      <w:r>
        <w:t xml:space="preserve">4 responses and 1 burden hour for gelatin and 15 responses and 4 burden hours for collagen).  </w:t>
      </w:r>
    </w:p>
    <w:p w:rsidR="000F4660" w:rsidRDefault="000F4660" w:rsidP="00D730BF">
      <w:pPr>
        <w:ind w:left="720"/>
      </w:pPr>
    </w:p>
    <w:p w:rsidR="009F66B5" w:rsidRDefault="000F4660" w:rsidP="000F4660">
      <w:pPr>
        <w:ind w:left="720"/>
      </w:pPr>
      <w:r>
        <w:t>Therefore, the total change in burden for this collection is a reduction of 106 responses (146 – 120 – 5 + 4 +15) and 2</w:t>
      </w:r>
      <w:r w:rsidR="00027F80">
        <w:t>7</w:t>
      </w:r>
      <w:r>
        <w:t xml:space="preserve"> burden hours (37 -</w:t>
      </w:r>
      <w:r w:rsidR="00027F80">
        <w:t xml:space="preserve"> </w:t>
      </w:r>
      <w:r>
        <w:t xml:space="preserve">30 – </w:t>
      </w:r>
      <w:r w:rsidR="00027F80">
        <w:t>0.5</w:t>
      </w:r>
      <w:r>
        <w:t xml:space="preserve"> +</w:t>
      </w:r>
      <w:r w:rsidR="00027F80">
        <w:t xml:space="preserve"> 0.25</w:t>
      </w:r>
      <w:r>
        <w:t xml:space="preserve"> +</w:t>
      </w:r>
      <w:r w:rsidR="00027F80">
        <w:t xml:space="preserve"> </w:t>
      </w:r>
      <w:r w:rsidR="00313BA9">
        <w:t>3.5</w:t>
      </w:r>
      <w:bookmarkStart w:id="0" w:name="_GoBack"/>
      <w:bookmarkEnd w:id="0"/>
      <w:r>
        <w:t>) for a new total of 40 responses and 1</w:t>
      </w:r>
      <w:r w:rsidR="00027F80">
        <w:t>0</w:t>
      </w:r>
      <w:r>
        <w:t xml:space="preserve"> burden hours.</w:t>
      </w:r>
    </w:p>
    <w:p w:rsidR="00027F80" w:rsidRDefault="00027F80" w:rsidP="000F4660">
      <w:pPr>
        <w:ind w:left="720"/>
      </w:pPr>
    </w:p>
    <w:p w:rsidR="00027F80" w:rsidRPr="000F4660" w:rsidRDefault="00027F80" w:rsidP="000F4660">
      <w:pPr>
        <w:ind w:left="720"/>
      </w:pPr>
      <w:r>
        <w:t xml:space="preserve">The previously approved ICR submitted to OMB included six ICs entered in ROCIS and which were stated in the table in Item 12.  Upon this submission, we consolidated the six ICs in Item 12 of the supporting statement to four ICs, and consolidated all six ICs into </w:t>
      </w:r>
      <w:r w:rsidR="003D299E">
        <w:t>on</w:t>
      </w:r>
      <w:r w:rsidR="00BF766D">
        <w:t>e</w:t>
      </w:r>
      <w:r w:rsidR="003D299E">
        <w:t xml:space="preserve"> IC in ROCIS.  Therefore, for this submission of extension, this ICR now has one IC </w:t>
      </w:r>
      <w:r w:rsidR="003D299E">
        <w:lastRenderedPageBreak/>
        <w:t>in ROCIS.  The information collection activities and the burden associated with each IC, however, remain broken down into four ICs in this supporting statement’s table in Item 12.</w:t>
      </w:r>
    </w:p>
    <w:p w:rsidR="004C6979" w:rsidRPr="004C6979" w:rsidRDefault="00EB7538" w:rsidP="00902354">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AB7040" w:rsidP="00AB7040">
      <w:pPr>
        <w:ind w:left="720"/>
      </w:pPr>
      <w:r w:rsidRPr="00AB7040">
        <w:t>FDA publishes the lists on the Internet.</w:t>
      </w:r>
    </w:p>
    <w:p w:rsidR="004C6979" w:rsidRPr="004C6979" w:rsidRDefault="00EB7538" w:rsidP="00902354">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AB7040" w:rsidP="00D730BF">
      <w:pPr>
        <w:ind w:left="720"/>
      </w:pPr>
      <w:r w:rsidRPr="00AB7040">
        <w:t>FDA has no reason for not displaying the OMB approval date.</w:t>
      </w:r>
    </w:p>
    <w:p w:rsidR="00EB7538" w:rsidRDefault="00EB7538" w:rsidP="00902354">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AB7040" w:rsidP="00AB7040">
      <w:pPr>
        <w:ind w:left="720"/>
      </w:pPr>
      <w:r w:rsidRPr="002016FC">
        <w:t>There are no exceptions to the certification.</w:t>
      </w:r>
    </w:p>
    <w:sectPr w:rsidR="00E00EA0"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DF" w:rsidRDefault="00E876DF">
      <w:r>
        <w:separator/>
      </w:r>
    </w:p>
  </w:endnote>
  <w:endnote w:type="continuationSeparator" w:id="0">
    <w:p w:rsidR="00E876DF" w:rsidRDefault="00E8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BA9">
      <w:rPr>
        <w:rStyle w:val="PageNumber"/>
        <w:noProof/>
      </w:rPr>
      <w:t>6</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DF" w:rsidRDefault="00E876DF">
      <w:r>
        <w:separator/>
      </w:r>
    </w:p>
  </w:footnote>
  <w:footnote w:type="continuationSeparator" w:id="0">
    <w:p w:rsidR="00E876DF" w:rsidRDefault="00E87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F16A3A"/>
    <w:multiLevelType w:val="hybridMultilevel"/>
    <w:tmpl w:val="E86E44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13B0BD7"/>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601800"/>
    <w:multiLevelType w:val="hybridMultilevel"/>
    <w:tmpl w:val="002040A4"/>
    <w:lvl w:ilvl="0" w:tplc="929C0F54">
      <w:start w:val="1"/>
      <w:numFmt w:val="bullet"/>
      <w:lvlText w:val=""/>
      <w:lvlJc w:val="left"/>
      <w:pPr>
        <w:tabs>
          <w:tab w:val="num" w:pos="0"/>
        </w:tabs>
        <w:ind w:left="0"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9B7453"/>
    <w:multiLevelType w:val="hybridMultilevel"/>
    <w:tmpl w:val="D18A25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8"/>
  </w:num>
  <w:num w:numId="6">
    <w:abstractNumId w:val="32"/>
  </w:num>
  <w:num w:numId="7">
    <w:abstractNumId w:val="39"/>
  </w:num>
  <w:num w:numId="8">
    <w:abstractNumId w:val="5"/>
  </w:num>
  <w:num w:numId="9">
    <w:abstractNumId w:val="33"/>
  </w:num>
  <w:num w:numId="10">
    <w:abstractNumId w:val="24"/>
  </w:num>
  <w:num w:numId="11">
    <w:abstractNumId w:val="11"/>
  </w:num>
  <w:num w:numId="12">
    <w:abstractNumId w:val="43"/>
  </w:num>
  <w:num w:numId="13">
    <w:abstractNumId w:val="22"/>
  </w:num>
  <w:num w:numId="14">
    <w:abstractNumId w:val="10"/>
  </w:num>
  <w:num w:numId="15">
    <w:abstractNumId w:val="18"/>
  </w:num>
  <w:num w:numId="16">
    <w:abstractNumId w:val="17"/>
  </w:num>
  <w:num w:numId="17">
    <w:abstractNumId w:val="38"/>
  </w:num>
  <w:num w:numId="18">
    <w:abstractNumId w:val="42"/>
  </w:num>
  <w:num w:numId="19">
    <w:abstractNumId w:val="40"/>
  </w:num>
  <w:num w:numId="20">
    <w:abstractNumId w:val="21"/>
  </w:num>
  <w:num w:numId="21">
    <w:abstractNumId w:val="16"/>
  </w:num>
  <w:num w:numId="22">
    <w:abstractNumId w:val="4"/>
  </w:num>
  <w:num w:numId="23">
    <w:abstractNumId w:val="36"/>
  </w:num>
  <w:num w:numId="24">
    <w:abstractNumId w:val="27"/>
  </w:num>
  <w:num w:numId="25">
    <w:abstractNumId w:val="14"/>
  </w:num>
  <w:num w:numId="26">
    <w:abstractNumId w:val="7"/>
  </w:num>
  <w:num w:numId="27">
    <w:abstractNumId w:val="44"/>
  </w:num>
  <w:num w:numId="28">
    <w:abstractNumId w:val="37"/>
  </w:num>
  <w:num w:numId="29">
    <w:abstractNumId w:val="6"/>
  </w:num>
  <w:num w:numId="30">
    <w:abstractNumId w:val="20"/>
  </w:num>
  <w:num w:numId="31">
    <w:abstractNumId w:val="3"/>
  </w:num>
  <w:num w:numId="32">
    <w:abstractNumId w:val="1"/>
  </w:num>
  <w:num w:numId="33">
    <w:abstractNumId w:val="23"/>
  </w:num>
  <w:num w:numId="34">
    <w:abstractNumId w:val="41"/>
  </w:num>
  <w:num w:numId="35">
    <w:abstractNumId w:val="15"/>
  </w:num>
  <w:num w:numId="36">
    <w:abstractNumId w:val="34"/>
  </w:num>
  <w:num w:numId="37">
    <w:abstractNumId w:val="12"/>
  </w:num>
  <w:num w:numId="38">
    <w:abstractNumId w:val="28"/>
  </w:num>
  <w:num w:numId="39">
    <w:abstractNumId w:val="35"/>
  </w:num>
  <w:num w:numId="40">
    <w:abstractNumId w:val="2"/>
  </w:num>
  <w:num w:numId="41">
    <w:abstractNumId w:val="29"/>
  </w:num>
  <w:num w:numId="42">
    <w:abstractNumId w:val="9"/>
  </w:num>
  <w:num w:numId="43">
    <w:abstractNumId w:val="31"/>
  </w:num>
  <w:num w:numId="44">
    <w:abstractNumId w:val="26"/>
  </w:num>
  <w:num w:numId="4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40C"/>
    <w:rsid w:val="00015829"/>
    <w:rsid w:val="00027F80"/>
    <w:rsid w:val="00031A2C"/>
    <w:rsid w:val="0006570F"/>
    <w:rsid w:val="000C560C"/>
    <w:rsid w:val="000D48FD"/>
    <w:rsid w:val="000E1C64"/>
    <w:rsid w:val="000F4660"/>
    <w:rsid w:val="000F7119"/>
    <w:rsid w:val="00100739"/>
    <w:rsid w:val="00107885"/>
    <w:rsid w:val="00114FC4"/>
    <w:rsid w:val="0012329C"/>
    <w:rsid w:val="00134FA7"/>
    <w:rsid w:val="00137950"/>
    <w:rsid w:val="00145B74"/>
    <w:rsid w:val="00152F29"/>
    <w:rsid w:val="00154A46"/>
    <w:rsid w:val="00170F2E"/>
    <w:rsid w:val="00185270"/>
    <w:rsid w:val="001A3B5A"/>
    <w:rsid w:val="001B7CE9"/>
    <w:rsid w:val="001D495A"/>
    <w:rsid w:val="001E244C"/>
    <w:rsid w:val="001F1437"/>
    <w:rsid w:val="002259EF"/>
    <w:rsid w:val="00242646"/>
    <w:rsid w:val="00242ED1"/>
    <w:rsid w:val="002444BB"/>
    <w:rsid w:val="00254069"/>
    <w:rsid w:val="00270748"/>
    <w:rsid w:val="002734E5"/>
    <w:rsid w:val="002746DB"/>
    <w:rsid w:val="00280CAF"/>
    <w:rsid w:val="00282F09"/>
    <w:rsid w:val="00297532"/>
    <w:rsid w:val="002A1210"/>
    <w:rsid w:val="002D14D8"/>
    <w:rsid w:val="002D4799"/>
    <w:rsid w:val="002E3FA4"/>
    <w:rsid w:val="003113FF"/>
    <w:rsid w:val="00313BA9"/>
    <w:rsid w:val="0032277F"/>
    <w:rsid w:val="00350523"/>
    <w:rsid w:val="0035189D"/>
    <w:rsid w:val="003740BC"/>
    <w:rsid w:val="003801A3"/>
    <w:rsid w:val="00383D90"/>
    <w:rsid w:val="003A50CC"/>
    <w:rsid w:val="003B42B3"/>
    <w:rsid w:val="003B6384"/>
    <w:rsid w:val="003C4EBB"/>
    <w:rsid w:val="003D1531"/>
    <w:rsid w:val="003D299E"/>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C08F1"/>
    <w:rsid w:val="004C6979"/>
    <w:rsid w:val="004D3E7A"/>
    <w:rsid w:val="004F594B"/>
    <w:rsid w:val="004F61E1"/>
    <w:rsid w:val="00544138"/>
    <w:rsid w:val="00584583"/>
    <w:rsid w:val="00590EEB"/>
    <w:rsid w:val="005A4099"/>
    <w:rsid w:val="005A6FEC"/>
    <w:rsid w:val="005B0A1D"/>
    <w:rsid w:val="005C38B2"/>
    <w:rsid w:val="005C5029"/>
    <w:rsid w:val="005C55C2"/>
    <w:rsid w:val="005C745C"/>
    <w:rsid w:val="005D4DF5"/>
    <w:rsid w:val="005F763E"/>
    <w:rsid w:val="00611D6B"/>
    <w:rsid w:val="006326EC"/>
    <w:rsid w:val="006641C7"/>
    <w:rsid w:val="00670BE2"/>
    <w:rsid w:val="006A26C6"/>
    <w:rsid w:val="006A7D5D"/>
    <w:rsid w:val="006D5D57"/>
    <w:rsid w:val="006F4D6D"/>
    <w:rsid w:val="00705086"/>
    <w:rsid w:val="00754497"/>
    <w:rsid w:val="00786E18"/>
    <w:rsid w:val="00787C39"/>
    <w:rsid w:val="00795DF3"/>
    <w:rsid w:val="007A373C"/>
    <w:rsid w:val="007B225C"/>
    <w:rsid w:val="007C75B1"/>
    <w:rsid w:val="007D3DFC"/>
    <w:rsid w:val="007E2F07"/>
    <w:rsid w:val="007F3567"/>
    <w:rsid w:val="0080776D"/>
    <w:rsid w:val="00810145"/>
    <w:rsid w:val="008108FA"/>
    <w:rsid w:val="00810FF1"/>
    <w:rsid w:val="00822336"/>
    <w:rsid w:val="00823DFA"/>
    <w:rsid w:val="00842340"/>
    <w:rsid w:val="00843752"/>
    <w:rsid w:val="0084479F"/>
    <w:rsid w:val="0085725E"/>
    <w:rsid w:val="00876CFF"/>
    <w:rsid w:val="00885B09"/>
    <w:rsid w:val="00892400"/>
    <w:rsid w:val="008A209D"/>
    <w:rsid w:val="008A22BB"/>
    <w:rsid w:val="008B0E29"/>
    <w:rsid w:val="008B0EFA"/>
    <w:rsid w:val="008B30AB"/>
    <w:rsid w:val="008E2AA2"/>
    <w:rsid w:val="008E5F55"/>
    <w:rsid w:val="00902354"/>
    <w:rsid w:val="0090570D"/>
    <w:rsid w:val="00905DEF"/>
    <w:rsid w:val="00913B43"/>
    <w:rsid w:val="00930203"/>
    <w:rsid w:val="009311D2"/>
    <w:rsid w:val="009311E6"/>
    <w:rsid w:val="00931275"/>
    <w:rsid w:val="00936AC7"/>
    <w:rsid w:val="00937BE3"/>
    <w:rsid w:val="0094377B"/>
    <w:rsid w:val="00953B64"/>
    <w:rsid w:val="009A1674"/>
    <w:rsid w:val="009B137C"/>
    <w:rsid w:val="009C684F"/>
    <w:rsid w:val="009D074C"/>
    <w:rsid w:val="009F1F1D"/>
    <w:rsid w:val="009F2B4F"/>
    <w:rsid w:val="009F66B5"/>
    <w:rsid w:val="00A149A6"/>
    <w:rsid w:val="00A16221"/>
    <w:rsid w:val="00A20A7D"/>
    <w:rsid w:val="00A35D42"/>
    <w:rsid w:val="00A46CCF"/>
    <w:rsid w:val="00A53451"/>
    <w:rsid w:val="00A70426"/>
    <w:rsid w:val="00A91E9A"/>
    <w:rsid w:val="00A93ED9"/>
    <w:rsid w:val="00A96221"/>
    <w:rsid w:val="00AB7040"/>
    <w:rsid w:val="00AC6A99"/>
    <w:rsid w:val="00B055EF"/>
    <w:rsid w:val="00B1718F"/>
    <w:rsid w:val="00B17A64"/>
    <w:rsid w:val="00B23769"/>
    <w:rsid w:val="00B81808"/>
    <w:rsid w:val="00B86DFA"/>
    <w:rsid w:val="00B936D0"/>
    <w:rsid w:val="00BA1B10"/>
    <w:rsid w:val="00BD3D5B"/>
    <w:rsid w:val="00BE3600"/>
    <w:rsid w:val="00BF766D"/>
    <w:rsid w:val="00C01F6F"/>
    <w:rsid w:val="00C149AB"/>
    <w:rsid w:val="00C35B6B"/>
    <w:rsid w:val="00C36020"/>
    <w:rsid w:val="00C366B8"/>
    <w:rsid w:val="00C40694"/>
    <w:rsid w:val="00C70542"/>
    <w:rsid w:val="00C75CBF"/>
    <w:rsid w:val="00CC2894"/>
    <w:rsid w:val="00CC665B"/>
    <w:rsid w:val="00CD77C3"/>
    <w:rsid w:val="00CE112C"/>
    <w:rsid w:val="00CF55D4"/>
    <w:rsid w:val="00D608DA"/>
    <w:rsid w:val="00D730BF"/>
    <w:rsid w:val="00DA6C73"/>
    <w:rsid w:val="00DC3788"/>
    <w:rsid w:val="00DC76C7"/>
    <w:rsid w:val="00DD09F5"/>
    <w:rsid w:val="00DD4201"/>
    <w:rsid w:val="00DD5E9F"/>
    <w:rsid w:val="00DE5711"/>
    <w:rsid w:val="00DE6523"/>
    <w:rsid w:val="00E00EA0"/>
    <w:rsid w:val="00E26758"/>
    <w:rsid w:val="00E4357B"/>
    <w:rsid w:val="00E63DE5"/>
    <w:rsid w:val="00E65A37"/>
    <w:rsid w:val="00E77B48"/>
    <w:rsid w:val="00E86ABB"/>
    <w:rsid w:val="00E876DF"/>
    <w:rsid w:val="00E91799"/>
    <w:rsid w:val="00E964CA"/>
    <w:rsid w:val="00E96D29"/>
    <w:rsid w:val="00EA21FE"/>
    <w:rsid w:val="00EA34E3"/>
    <w:rsid w:val="00EB7538"/>
    <w:rsid w:val="00EE6468"/>
    <w:rsid w:val="00F01869"/>
    <w:rsid w:val="00F207A4"/>
    <w:rsid w:val="00F355AC"/>
    <w:rsid w:val="00F4048E"/>
    <w:rsid w:val="00F4144C"/>
    <w:rsid w:val="00F71A5A"/>
    <w:rsid w:val="00F769E0"/>
    <w:rsid w:val="00FA75FE"/>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02354"/>
    <w:pPr>
      <w:ind w:left="720"/>
      <w:contextualSpacing/>
    </w:pPr>
  </w:style>
  <w:style w:type="character" w:styleId="Hyperlink">
    <w:name w:val="Hyperlink"/>
    <w:basedOn w:val="DefaultParagraphFont"/>
    <w:rsid w:val="00902354"/>
    <w:rPr>
      <w:color w:val="0000FF" w:themeColor="hyperlink"/>
      <w:u w:val="single"/>
    </w:rPr>
  </w:style>
  <w:style w:type="character" w:styleId="CommentReference">
    <w:name w:val="annotation reference"/>
    <w:basedOn w:val="DefaultParagraphFont"/>
    <w:rsid w:val="00937BE3"/>
    <w:rPr>
      <w:sz w:val="16"/>
      <w:szCs w:val="16"/>
    </w:rPr>
  </w:style>
  <w:style w:type="paragraph" w:styleId="CommentText">
    <w:name w:val="annotation text"/>
    <w:basedOn w:val="Normal"/>
    <w:link w:val="CommentTextChar"/>
    <w:rsid w:val="00937BE3"/>
    <w:rPr>
      <w:sz w:val="20"/>
      <w:szCs w:val="20"/>
    </w:rPr>
  </w:style>
  <w:style w:type="character" w:customStyle="1" w:styleId="CommentTextChar">
    <w:name w:val="Comment Text Char"/>
    <w:basedOn w:val="DefaultParagraphFont"/>
    <w:link w:val="CommentText"/>
    <w:rsid w:val="00937BE3"/>
  </w:style>
  <w:style w:type="paragraph" w:styleId="CommentSubject">
    <w:name w:val="annotation subject"/>
    <w:basedOn w:val="CommentText"/>
    <w:next w:val="CommentText"/>
    <w:link w:val="CommentSubjectChar"/>
    <w:rsid w:val="00937BE3"/>
    <w:rPr>
      <w:b/>
      <w:bCs/>
    </w:rPr>
  </w:style>
  <w:style w:type="character" w:customStyle="1" w:styleId="CommentSubjectChar">
    <w:name w:val="Comment Subject Char"/>
    <w:basedOn w:val="CommentTextChar"/>
    <w:link w:val="CommentSubject"/>
    <w:rsid w:val="00937B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02354"/>
    <w:pPr>
      <w:ind w:left="720"/>
      <w:contextualSpacing/>
    </w:pPr>
  </w:style>
  <w:style w:type="character" w:styleId="Hyperlink">
    <w:name w:val="Hyperlink"/>
    <w:basedOn w:val="DefaultParagraphFont"/>
    <w:rsid w:val="00902354"/>
    <w:rPr>
      <w:color w:val="0000FF" w:themeColor="hyperlink"/>
      <w:u w:val="single"/>
    </w:rPr>
  </w:style>
  <w:style w:type="character" w:styleId="CommentReference">
    <w:name w:val="annotation reference"/>
    <w:basedOn w:val="DefaultParagraphFont"/>
    <w:rsid w:val="00937BE3"/>
    <w:rPr>
      <w:sz w:val="16"/>
      <w:szCs w:val="16"/>
    </w:rPr>
  </w:style>
  <w:style w:type="paragraph" w:styleId="CommentText">
    <w:name w:val="annotation text"/>
    <w:basedOn w:val="Normal"/>
    <w:link w:val="CommentTextChar"/>
    <w:rsid w:val="00937BE3"/>
    <w:rPr>
      <w:sz w:val="20"/>
      <w:szCs w:val="20"/>
    </w:rPr>
  </w:style>
  <w:style w:type="character" w:customStyle="1" w:styleId="CommentTextChar">
    <w:name w:val="Comment Text Char"/>
    <w:basedOn w:val="DefaultParagraphFont"/>
    <w:link w:val="CommentText"/>
    <w:rsid w:val="00937BE3"/>
  </w:style>
  <w:style w:type="paragraph" w:styleId="CommentSubject">
    <w:name w:val="annotation subject"/>
    <w:basedOn w:val="CommentText"/>
    <w:next w:val="CommentText"/>
    <w:link w:val="CommentSubjectChar"/>
    <w:rsid w:val="00937BE3"/>
    <w:rPr>
      <w:b/>
      <w:bCs/>
    </w:rPr>
  </w:style>
  <w:style w:type="character" w:customStyle="1" w:styleId="CommentSubjectChar">
    <w:name w:val="Comment Subject Char"/>
    <w:basedOn w:val="CommentTextChar"/>
    <w:link w:val="CommentSubject"/>
    <w:rsid w:val="00937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oc/indust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2477</Words>
  <Characters>13202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12</cp:revision>
  <cp:lastPrinted>2010-12-08T18:17:00Z</cp:lastPrinted>
  <dcterms:created xsi:type="dcterms:W3CDTF">2017-03-15T20:21:00Z</dcterms:created>
  <dcterms:modified xsi:type="dcterms:W3CDTF">2017-03-27T13:55:00Z</dcterms:modified>
</cp:coreProperties>
</file>