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DF78EC">
        <w:rPr>
          <w:u w:val="single"/>
        </w:rPr>
        <w:t xml:space="preserve"> 0704-04</w:t>
      </w:r>
      <w:r w:rsidR="003F3CD1">
        <w:rPr>
          <w:u w:val="single"/>
        </w:rPr>
        <w:t>77</w:t>
      </w:r>
      <w:r w:rsidR="00911989">
        <w:rPr>
          <w:u w:val="single"/>
        </w:rPr>
        <w:t xml:space="preserve"> - </w:t>
      </w:r>
      <w:r w:rsidR="003F3CD1">
        <w:rPr>
          <w:u w:val="single"/>
        </w:rPr>
        <w:t>Organizational Conflicts of Interest in Major Defense Acquisition Programs</w:t>
      </w:r>
    </w:p>
    <w:p w:rsidR="005E0A0F" w:rsidRDefault="005E0A0F" w:rsidP="00AC5BD4">
      <w:pPr>
        <w:pStyle w:val="NormalWeb"/>
        <w:tabs>
          <w:tab w:val="left" w:pos="360"/>
          <w:tab w:val="left" w:pos="720"/>
          <w:tab w:val="left" w:pos="1080"/>
          <w:tab w:val="left" w:pos="1440"/>
        </w:tabs>
        <w:spacing w:line="288" w:lineRule="atLeast"/>
      </w:pPr>
      <w:r>
        <w:t>A.</w:t>
      </w:r>
      <w:r w:rsidR="00AC4386">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1.</w:t>
      </w:r>
      <w:r w:rsidR="00AC4386">
        <w:t xml:space="preserve"> </w:t>
      </w:r>
      <w:r w:rsidR="005E0A0F">
        <w:t xml:space="preserve"> </w:t>
      </w:r>
      <w:r w:rsidR="005E0A0F">
        <w:rPr>
          <w:u w:val="single"/>
        </w:rPr>
        <w:t>Need for the Information Collection</w:t>
      </w:r>
    </w:p>
    <w:p w:rsidR="003F3CD1" w:rsidRDefault="003F3CD1" w:rsidP="003F3CD1">
      <w:pPr>
        <w:widowControl w:val="0"/>
      </w:pPr>
      <w:bookmarkStart w:id="2" w:name="OLE_LINK5"/>
      <w:bookmarkEnd w:id="1"/>
      <w:r>
        <w:tab/>
      </w:r>
      <w:r w:rsidR="00AC4386" w:rsidRPr="003F3CD1">
        <w:t>This justification supports a request for renewal of OMB Control Number 0704-04</w:t>
      </w:r>
      <w:r w:rsidRPr="003F3CD1">
        <w:t>77</w:t>
      </w:r>
      <w:r w:rsidR="00DF78EC" w:rsidRPr="003F3CD1">
        <w:t xml:space="preserve">.  </w:t>
      </w:r>
      <w:bookmarkEnd w:id="2"/>
      <w:r w:rsidRPr="003F3CD1">
        <w:t>This information collection concerns organizational conflicts of interest in Major Defense Acquisition Programs (MDAPs).  This collection requirement is necessary to implement section 207 of the Weapon Systems Acquisition Reform Act of 2009 (WSARA).  Section 207 requires that DoD provide uniform guidance in the Defense Federal Acquisition Regulation Supplement (DFARS) and tighten existing requirements for organizational conflicts of interest (OCIs) by contractors in major defense programs.</w:t>
      </w:r>
    </w:p>
    <w:p w:rsidR="003F3CD1" w:rsidRPr="003F3CD1" w:rsidRDefault="003F3CD1" w:rsidP="003F3CD1">
      <w:pPr>
        <w:widowControl w:val="0"/>
      </w:pPr>
    </w:p>
    <w:p w:rsidR="003F3CD1" w:rsidRPr="006E2E75" w:rsidRDefault="00CE7016" w:rsidP="00C16DCB">
      <w:pPr>
        <w:widowControl w:val="0"/>
      </w:pPr>
      <w:r>
        <w:tab/>
      </w:r>
      <w:r w:rsidR="003F3CD1" w:rsidRPr="006E2E75">
        <w:t xml:space="preserve">This statutory requirement is implemented in DFARS 209.571-8 and the associated solicitation provision 252.209-7008, Notice of Prohibition Relating to Organizational Conflict of Interest–Major Defense Acquisition Program.  Notwithstanding the section 207 information collection language, the requirement to submit a mitigation plan when there was an organizational conflict of interest that can be resolved </w:t>
      </w:r>
      <w:r w:rsidR="001C68B5" w:rsidRPr="006E2E75">
        <w:t>through</w:t>
      </w:r>
      <w:r w:rsidR="003F3CD1" w:rsidRPr="006E2E75">
        <w:t xml:space="preserve"> mitigation has existed for many years.  It was formalized under this information collection clearance because of the new explicit statutory </w:t>
      </w:r>
      <w:r w:rsidR="003F3CD1" w:rsidRPr="003F3CD1">
        <w:t xml:space="preserve">requirement to address organizational conflicts of interest in MDAPs. </w:t>
      </w:r>
      <w:r w:rsidR="00C16DCB">
        <w:t xml:space="preserve"> </w:t>
      </w:r>
      <w:r w:rsidR="003F3CD1" w:rsidRPr="003F3CD1">
        <w:t xml:space="preserve">In order to comply with the statute, </w:t>
      </w:r>
      <w:r w:rsidR="00C16DCB">
        <w:t>DFARS clause 2</w:t>
      </w:r>
      <w:r w:rsidR="003F3CD1" w:rsidRPr="003F3CD1">
        <w:t xml:space="preserve">52.209-7008, </w:t>
      </w:r>
      <w:bookmarkStart w:id="3" w:name="OLE_LINK13"/>
      <w:bookmarkStart w:id="4" w:name="OLE_LINK14"/>
      <w:r w:rsidR="003F3CD1" w:rsidRPr="003F3CD1">
        <w:t>Notice of Prohibition Relating to Organizational Conflict of Interest—Major Defense Acquisition Program</w:t>
      </w:r>
      <w:r w:rsidR="003F3CD1">
        <w:t xml:space="preserve">, </w:t>
      </w:r>
      <w:bookmarkEnd w:id="3"/>
      <w:bookmarkEnd w:id="4"/>
      <w:r w:rsidR="003F3CD1" w:rsidRPr="003F3CD1">
        <w:t>requires</w:t>
      </w:r>
      <w:r w:rsidR="003F3CD1" w:rsidRPr="006E2E75">
        <w:t xml:space="preserve"> an offeror to submit a mitigation plan if requesting an exemption from the statutory limitation on future contracting.</w:t>
      </w:r>
    </w:p>
    <w:p w:rsidR="005E0A0F" w:rsidRDefault="00AC5BD4" w:rsidP="00AC5BD4">
      <w:pPr>
        <w:pStyle w:val="NormalWeb"/>
        <w:tabs>
          <w:tab w:val="left" w:pos="360"/>
          <w:tab w:val="left" w:pos="720"/>
          <w:tab w:val="left" w:pos="1080"/>
          <w:tab w:val="left" w:pos="1440"/>
        </w:tabs>
        <w:spacing w:line="288" w:lineRule="atLeast"/>
      </w:pPr>
      <w:r>
        <w:tab/>
      </w:r>
      <w:r w:rsidR="005E0A0F">
        <w:t>2.</w:t>
      </w:r>
      <w:r w:rsidR="009F484F">
        <w:t xml:space="preserve">  </w:t>
      </w:r>
      <w:r w:rsidR="005E0A0F">
        <w:rPr>
          <w:u w:val="single"/>
        </w:rPr>
        <w:t>Use of the Information</w:t>
      </w:r>
    </w:p>
    <w:p w:rsidR="003F3CD1" w:rsidRPr="006E2E75" w:rsidRDefault="003F3CD1" w:rsidP="00CE7016">
      <w:pPr>
        <w:tabs>
          <w:tab w:val="left" w:pos="3060"/>
        </w:tabs>
        <w:ind w:firstLine="720"/>
      </w:pPr>
      <w:r w:rsidRPr="006E2E75">
        <w:t>DoD will use this information to resolve organizational conflicts of interest arising in a systems engineering and technical assistance contract for an MDAP, as required by section 207 of WSARA.</w:t>
      </w:r>
    </w:p>
    <w:p w:rsidR="005E0A0F" w:rsidRDefault="00AC5BD4" w:rsidP="00AC5BD4">
      <w:pPr>
        <w:pStyle w:val="NormalWeb"/>
        <w:tabs>
          <w:tab w:val="left" w:pos="360"/>
          <w:tab w:val="left" w:pos="720"/>
          <w:tab w:val="left" w:pos="1080"/>
          <w:tab w:val="left" w:pos="1440"/>
        </w:tabs>
        <w:spacing w:line="288" w:lineRule="atLeast"/>
        <w:rPr>
          <w:u w:val="single"/>
        </w:rPr>
      </w:pPr>
      <w:r>
        <w:tab/>
      </w:r>
      <w:r w:rsidR="005E0A0F">
        <w:t>3.</w:t>
      </w:r>
      <w:r w:rsidR="009F484F">
        <w:t xml:space="preserve">  </w:t>
      </w:r>
      <w:r w:rsidR="005E0A0F">
        <w:rPr>
          <w:u w:val="single"/>
        </w:rPr>
        <w:t>Use of Information Technology</w:t>
      </w:r>
    </w:p>
    <w:p w:rsidR="00235CB5" w:rsidRDefault="004818C0" w:rsidP="00AC5BD4">
      <w:pPr>
        <w:pStyle w:val="NormalWeb"/>
        <w:tabs>
          <w:tab w:val="left" w:pos="360"/>
          <w:tab w:val="left" w:pos="720"/>
          <w:tab w:val="left" w:pos="1080"/>
          <w:tab w:val="left" w:pos="1440"/>
        </w:tabs>
        <w:spacing w:line="288" w:lineRule="atLeast"/>
      </w:pPr>
      <w:r>
        <w:tab/>
      </w:r>
      <w:r>
        <w:tab/>
        <w:t>Information technology is used to the maximum extent</w:t>
      </w:r>
      <w:r w:rsidR="00307B14" w:rsidRPr="00307B14">
        <w:t xml:space="preserve"> practicable</w:t>
      </w:r>
      <w:r w:rsidR="00235CB5">
        <w:t xml:space="preserve">.  </w:t>
      </w:r>
      <w:r w:rsidR="00235CB5" w:rsidRPr="006E2E75">
        <w:t>Offerors and contractors submit the required information electronically</w:t>
      </w:r>
      <w:r w:rsidR="00CE7016">
        <w:t xml:space="preserve"> (100% of the time)</w:t>
      </w:r>
      <w:r w:rsidR="00235CB5" w:rsidRPr="006E2E75">
        <w:t>.</w:t>
      </w:r>
    </w:p>
    <w:p w:rsidR="005E0A0F" w:rsidRDefault="00AC5BD4" w:rsidP="00AC5BD4">
      <w:pPr>
        <w:pStyle w:val="NormalWeb"/>
        <w:tabs>
          <w:tab w:val="left" w:pos="360"/>
          <w:tab w:val="left" w:pos="720"/>
          <w:tab w:val="left" w:pos="1080"/>
          <w:tab w:val="left" w:pos="1440"/>
        </w:tabs>
        <w:spacing w:line="288" w:lineRule="atLeast"/>
      </w:pPr>
      <w:r>
        <w:tab/>
      </w:r>
      <w:r w:rsidR="005E0A0F">
        <w:t>4.</w:t>
      </w:r>
      <w:r w:rsidR="009F484F">
        <w:t xml:space="preserve">  </w:t>
      </w:r>
      <w:r w:rsidR="005E0A0F">
        <w:rPr>
          <w:u w:val="single"/>
        </w:rPr>
        <w:t>Non-duplication</w:t>
      </w:r>
    </w:p>
    <w:p w:rsidR="00EC7C12" w:rsidRDefault="00AC5BD4" w:rsidP="00AC5BD4">
      <w:pPr>
        <w:pStyle w:val="NormalWeb"/>
        <w:tabs>
          <w:tab w:val="left" w:pos="360"/>
          <w:tab w:val="left" w:pos="720"/>
          <w:tab w:val="left" w:pos="1080"/>
          <w:tab w:val="left" w:pos="1440"/>
        </w:tabs>
        <w:spacing w:line="288" w:lineRule="atLeast"/>
      </w:pPr>
      <w:r>
        <w:tab/>
      </w:r>
      <w:r>
        <w:tab/>
      </w:r>
      <w:bookmarkStart w:id="5" w:name="cp440"/>
      <w:r w:rsidR="00AE6FF8">
        <w:t xml:space="preserve">As a matter of policy, DoD reviews the Federal Acquisition Regulation to determine if adequate language already exists.  The language in DFARS </w:t>
      </w:r>
      <w:r w:rsidR="00235CB5">
        <w:t>sub</w:t>
      </w:r>
      <w:r w:rsidR="00AE6FF8">
        <w:t>part 2</w:t>
      </w:r>
      <w:r w:rsidR="00235CB5">
        <w:t>09.5</w:t>
      </w:r>
      <w:r w:rsidR="00213964">
        <w:t xml:space="preserve"> and in the provision</w:t>
      </w:r>
      <w:r w:rsidR="00AE6FF8">
        <w:t xml:space="preserve"> </w:t>
      </w:r>
      <w:r w:rsidR="00EC7C12">
        <w:t>is required by statute</w:t>
      </w:r>
      <w:r w:rsidR="00CE7016">
        <w:t>.</w:t>
      </w:r>
    </w:p>
    <w:p w:rsidR="005E0A0F" w:rsidRDefault="00AC5BD4" w:rsidP="00AC5BD4">
      <w:pPr>
        <w:pStyle w:val="NormalWeb"/>
        <w:tabs>
          <w:tab w:val="left" w:pos="360"/>
          <w:tab w:val="left" w:pos="720"/>
          <w:tab w:val="left" w:pos="1080"/>
          <w:tab w:val="left" w:pos="1440"/>
        </w:tabs>
        <w:spacing w:line="288" w:lineRule="atLeast"/>
      </w:pPr>
      <w:r>
        <w:tab/>
      </w:r>
      <w:r w:rsidR="005E0A0F">
        <w:t>5.</w:t>
      </w:r>
      <w:r w:rsidR="009F484F">
        <w:t xml:space="preserve">  </w:t>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6" w:name="cp441"/>
      <w:bookmarkEnd w:id="5"/>
      <w:r>
        <w:lastRenderedPageBreak/>
        <w:tab/>
      </w:r>
      <w:r>
        <w:tab/>
      </w:r>
      <w:bookmarkEnd w:id="6"/>
      <w:r w:rsidR="00AE6FF8" w:rsidRPr="00AE6FF8">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6.</w:t>
      </w:r>
      <w:r w:rsidR="009F484F">
        <w:t xml:space="preserve">  </w:t>
      </w:r>
      <w:r w:rsidR="005E0A0F">
        <w:rPr>
          <w:u w:val="single"/>
        </w:rPr>
        <w:t>Less Frequent Collection</w:t>
      </w:r>
    </w:p>
    <w:p w:rsidR="00EC7C12" w:rsidRPr="006E2E75" w:rsidRDefault="00AC5BD4" w:rsidP="00EC7C12">
      <w:bookmarkStart w:id="7" w:name="cp444"/>
      <w:r>
        <w:tab/>
      </w:r>
      <w:r w:rsidR="00EC7C12" w:rsidRPr="006E2E75">
        <w:t>Less frequent collection of the information would not permit DoD to comply with the statutory requirements to identify and resolve organizational conflicts of interest.</w:t>
      </w:r>
    </w:p>
    <w:p w:rsidR="005E0A0F" w:rsidRDefault="00AC5BD4" w:rsidP="00AC5BD4">
      <w:pPr>
        <w:pStyle w:val="NormalWeb"/>
        <w:tabs>
          <w:tab w:val="left" w:pos="360"/>
          <w:tab w:val="left" w:pos="720"/>
          <w:tab w:val="left" w:pos="1080"/>
          <w:tab w:val="left" w:pos="1440"/>
        </w:tabs>
        <w:spacing w:line="288" w:lineRule="atLeast"/>
      </w:pPr>
      <w:r>
        <w:tab/>
      </w:r>
      <w:r w:rsidR="005E0A0F">
        <w:t>7.</w:t>
      </w:r>
      <w:r w:rsidR="009F484F">
        <w:t xml:space="preserve">  </w:t>
      </w:r>
      <w:r w:rsidR="005E0A0F">
        <w:rPr>
          <w:u w:val="single"/>
        </w:rPr>
        <w:t>Paperwork Reduction Act Guidelines</w:t>
      </w:r>
    </w:p>
    <w:p w:rsidR="000133D0" w:rsidRDefault="00AC5BD4" w:rsidP="00AC5BD4">
      <w:pPr>
        <w:pStyle w:val="NormalWeb"/>
        <w:tabs>
          <w:tab w:val="left" w:pos="360"/>
          <w:tab w:val="left" w:pos="720"/>
          <w:tab w:val="left" w:pos="1080"/>
          <w:tab w:val="left" w:pos="1440"/>
        </w:tabs>
        <w:spacing w:line="288" w:lineRule="atLeast"/>
      </w:pPr>
      <w:bookmarkStart w:id="8" w:name="cp446"/>
      <w:bookmarkEnd w:id="7"/>
      <w:r>
        <w:tab/>
      </w:r>
      <w:r>
        <w:tab/>
      </w:r>
      <w:r w:rsidR="000133D0" w:rsidRPr="000133D0">
        <w:t>There are no special circumstances for collection.  Collection of this information is consistent with the guidelines at 5 CFR 1320.5(d)(2).</w:t>
      </w:r>
    </w:p>
    <w:p w:rsidR="005E0A0F" w:rsidRDefault="00AC5BD4" w:rsidP="00AC5BD4">
      <w:pPr>
        <w:pStyle w:val="NormalWeb"/>
        <w:tabs>
          <w:tab w:val="left" w:pos="360"/>
          <w:tab w:val="left" w:pos="720"/>
          <w:tab w:val="left" w:pos="1080"/>
          <w:tab w:val="left" w:pos="1440"/>
        </w:tabs>
        <w:spacing w:line="288" w:lineRule="atLeast"/>
      </w:pPr>
      <w:r>
        <w:tab/>
      </w:r>
      <w:r w:rsidR="005E0A0F">
        <w:t>8.</w:t>
      </w:r>
      <w:r w:rsidR="009F484F">
        <w:t xml:space="preserve">  </w:t>
      </w:r>
      <w:r w:rsidR="005E0A0F">
        <w:rPr>
          <w:u w:val="single"/>
        </w:rPr>
        <w:t>Consultation and Public Comments</w:t>
      </w:r>
    </w:p>
    <w:p w:rsidR="000133D0" w:rsidRDefault="00AC5BD4" w:rsidP="000133D0">
      <w:pPr>
        <w:pStyle w:val="NormalWeb"/>
        <w:tabs>
          <w:tab w:val="left" w:pos="360"/>
          <w:tab w:val="left" w:pos="720"/>
          <w:tab w:val="left" w:pos="1080"/>
          <w:tab w:val="left" w:pos="1440"/>
        </w:tabs>
        <w:spacing w:line="288" w:lineRule="atLeast"/>
      </w:pPr>
      <w:bookmarkStart w:id="9" w:name="cp447"/>
      <w:bookmarkEnd w:id="8"/>
      <w:r>
        <w:tab/>
      </w:r>
      <w:r>
        <w:tab/>
      </w:r>
      <w:bookmarkStart w:id="10" w:name="cp449"/>
      <w:bookmarkEnd w:id="9"/>
      <w:r w:rsidR="000133D0">
        <w:t xml:space="preserve">a.  </w:t>
      </w:r>
      <w:r w:rsidR="00EC7C12">
        <w:t>The Program Acquisition and Contingency Contracting Directorate was consulted as to the current number of major defense acquisition programs and pre-major defense acquisition programs.</w:t>
      </w:r>
    </w:p>
    <w:p w:rsidR="00D73DCD" w:rsidRDefault="00D73DCD" w:rsidP="000133D0">
      <w:pPr>
        <w:pStyle w:val="NormalWeb"/>
        <w:tabs>
          <w:tab w:val="left" w:pos="360"/>
          <w:tab w:val="left" w:pos="720"/>
          <w:tab w:val="left" w:pos="1080"/>
          <w:tab w:val="left" w:pos="1440"/>
        </w:tabs>
        <w:spacing w:line="288" w:lineRule="atLeast"/>
      </w:pPr>
      <w:r>
        <w:tab/>
      </w:r>
      <w:r>
        <w:tab/>
        <w:t xml:space="preserve">b.  </w:t>
      </w:r>
      <w:r w:rsidRPr="00D73DCD">
        <w:t xml:space="preserve">This information collection is consistent with the guidelines in 5 CFR 1320.6.  Public comments were solicited in the </w:t>
      </w:r>
      <w:r w:rsidRPr="00D73DCD">
        <w:rPr>
          <w:i/>
        </w:rPr>
        <w:t>Federal Register</w:t>
      </w:r>
      <w:r w:rsidRPr="00D73DCD">
        <w:t xml:space="preserve"> on </w:t>
      </w:r>
      <w:r>
        <w:t>September 19, 2016 (</w:t>
      </w:r>
      <w:hyperlink r:id="rId9" w:history="1">
        <w:r w:rsidRPr="007E3A29">
          <w:rPr>
            <w:rStyle w:val="Hyperlink"/>
          </w:rPr>
          <w:t>81 FR</w:t>
        </w:r>
        <w:r w:rsidRPr="007E3A29">
          <w:rPr>
            <w:rStyle w:val="Hyperlink"/>
          </w:rPr>
          <w:t xml:space="preserve"> </w:t>
        </w:r>
        <w:r w:rsidRPr="007E3A29">
          <w:rPr>
            <w:rStyle w:val="Hyperlink"/>
          </w:rPr>
          <w:t>64143</w:t>
        </w:r>
      </w:hyperlink>
      <w:r>
        <w:t>).</w:t>
      </w:r>
      <w:r w:rsidRPr="00D73DCD">
        <w:t xml:space="preserve"> </w:t>
      </w:r>
      <w:r>
        <w:t xml:space="preserve"> No</w:t>
      </w:r>
      <w:r w:rsidRPr="00D73DCD">
        <w:t xml:space="preserve"> comments were received.</w:t>
      </w:r>
    </w:p>
    <w:p w:rsidR="00A34217" w:rsidRPr="00A34217" w:rsidRDefault="00A34217" w:rsidP="00A34217">
      <w:pPr>
        <w:pStyle w:val="NormalWeb"/>
        <w:tabs>
          <w:tab w:val="left" w:pos="360"/>
          <w:tab w:val="left" w:pos="720"/>
          <w:tab w:val="left" w:pos="1080"/>
          <w:tab w:val="left" w:pos="1440"/>
        </w:tabs>
        <w:spacing w:line="288" w:lineRule="atLeast"/>
      </w:pPr>
      <w:r>
        <w:tab/>
      </w:r>
      <w:r>
        <w:tab/>
        <w:t xml:space="preserve">c.  </w:t>
      </w:r>
      <w:r w:rsidRPr="00A34217">
        <w:t xml:space="preserve">A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EE1F82">
        <w:t>March 24</w:t>
      </w:r>
      <w:r w:rsidR="00D73DCD">
        <w:t>, 2017 (</w:t>
      </w:r>
      <w:hyperlink r:id="rId10" w:history="1">
        <w:r w:rsidR="00EE1F82" w:rsidRPr="00EE1F82">
          <w:rPr>
            <w:rStyle w:val="Hyperlink"/>
          </w:rPr>
          <w:t>82</w:t>
        </w:r>
        <w:r w:rsidR="00D73DCD" w:rsidRPr="00EE1F82">
          <w:rPr>
            <w:rStyle w:val="Hyperlink"/>
          </w:rPr>
          <w:t xml:space="preserve"> F</w:t>
        </w:r>
        <w:bookmarkStart w:id="11" w:name="_GoBack"/>
        <w:bookmarkEnd w:id="11"/>
        <w:r w:rsidR="00D73DCD" w:rsidRPr="00EE1F82">
          <w:rPr>
            <w:rStyle w:val="Hyperlink"/>
          </w:rPr>
          <w:t>R</w:t>
        </w:r>
        <w:r w:rsidR="00D73DCD" w:rsidRPr="00EE1F82">
          <w:rPr>
            <w:rStyle w:val="Hyperlink"/>
          </w:rPr>
          <w:t xml:space="preserve"> </w:t>
        </w:r>
        <w:r w:rsidR="00EE1F82" w:rsidRPr="00EE1F82">
          <w:rPr>
            <w:rStyle w:val="Hyperlink"/>
          </w:rPr>
          <w:t>15048</w:t>
        </w:r>
      </w:hyperlink>
      <w:r w:rsidR="00D73DCD">
        <w:t>)</w:t>
      </w:r>
      <w:r w:rsidR="00EC7C12">
        <w:t>.</w:t>
      </w:r>
    </w:p>
    <w:p w:rsidR="005E0A0F" w:rsidRDefault="00AC5BD4" w:rsidP="00FB3212">
      <w:pPr>
        <w:pStyle w:val="NormalWeb"/>
        <w:tabs>
          <w:tab w:val="left" w:pos="360"/>
          <w:tab w:val="left" w:pos="720"/>
          <w:tab w:val="left" w:pos="1080"/>
          <w:tab w:val="left" w:pos="1440"/>
        </w:tabs>
        <w:spacing w:line="288" w:lineRule="atLeast"/>
      </w:pPr>
      <w:r>
        <w:tab/>
      </w:r>
      <w:r w:rsidR="005E0A0F">
        <w:t>9.</w:t>
      </w:r>
      <w:r w:rsidR="009F484F">
        <w:t xml:space="preserve"> </w:t>
      </w:r>
      <w:r w:rsidR="005E0A0F">
        <w:t xml:space="preserve">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12" w:name="cp450"/>
      <w:bookmarkEnd w:id="10"/>
      <w:r>
        <w:tab/>
      </w:r>
      <w:r>
        <w:tab/>
      </w:r>
      <w:bookmarkEnd w:id="12"/>
      <w:r w:rsidR="009F484F" w:rsidRPr="009F484F">
        <w:t>DoD will not provide a payment or gift to respondents to this information collection requirement.</w:t>
      </w:r>
    </w:p>
    <w:p w:rsidR="005E0A0F" w:rsidRDefault="00AC5BD4" w:rsidP="00AC5BD4">
      <w:pPr>
        <w:pStyle w:val="NormalWeb"/>
        <w:tabs>
          <w:tab w:val="left" w:pos="360"/>
          <w:tab w:val="left" w:pos="720"/>
          <w:tab w:val="left" w:pos="1080"/>
          <w:tab w:val="left" w:pos="1440"/>
        </w:tabs>
        <w:spacing w:line="288" w:lineRule="atLeast"/>
      </w:pPr>
      <w:r>
        <w:tab/>
      </w:r>
      <w:r w:rsidR="005E0A0F">
        <w:t>10.</w:t>
      </w:r>
      <w:r w:rsidR="009F484F">
        <w:t xml:space="preserve"> </w:t>
      </w:r>
      <w:r w:rsidR="005E0A0F">
        <w:t xml:space="preserve"> </w:t>
      </w:r>
      <w:r w:rsidR="005E0A0F">
        <w:rPr>
          <w:u w:val="single"/>
        </w:rPr>
        <w:t>Confidentiality</w:t>
      </w:r>
    </w:p>
    <w:p w:rsidR="009F484F" w:rsidRDefault="00FB3212" w:rsidP="00FB3212">
      <w:pPr>
        <w:pStyle w:val="NormalWeb"/>
        <w:tabs>
          <w:tab w:val="left" w:pos="360"/>
          <w:tab w:val="left" w:pos="720"/>
          <w:tab w:val="left" w:pos="1080"/>
          <w:tab w:val="left" w:pos="1440"/>
        </w:tabs>
        <w:spacing w:line="288" w:lineRule="atLeast"/>
      </w:pPr>
      <w:r>
        <w:tab/>
      </w:r>
      <w:r>
        <w:tab/>
      </w:r>
      <w:r w:rsidR="009F484F" w:rsidRPr="009F484F">
        <w:t>This information is disclosed only to the extent consistent with statutory requirements, current regulations, and prudent business practices.</w:t>
      </w:r>
      <w:r w:rsidR="009F484F">
        <w:t xml:space="preserve">  The collection of information does not include any personally identifiable information; therefore, no Privacy Impact Assessment or Privacy Act System of Records Notice is required.</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9F484F">
        <w:t xml:space="preserve"> </w:t>
      </w:r>
      <w:r w:rsidR="005E0A0F">
        <w:t xml:space="preserve"> </w:t>
      </w:r>
      <w:r w:rsidR="005E0A0F">
        <w:rPr>
          <w:u w:val="single"/>
        </w:rPr>
        <w:t>Sensitive Questions</w:t>
      </w:r>
    </w:p>
    <w:p w:rsidR="009F484F" w:rsidRDefault="00AC5BD4" w:rsidP="00AC5BD4">
      <w:pPr>
        <w:pStyle w:val="NormalWeb"/>
        <w:tabs>
          <w:tab w:val="left" w:pos="360"/>
          <w:tab w:val="left" w:pos="720"/>
          <w:tab w:val="left" w:pos="1080"/>
          <w:tab w:val="left" w:pos="1440"/>
        </w:tabs>
        <w:spacing w:line="288" w:lineRule="atLeast"/>
      </w:pPr>
      <w:bookmarkStart w:id="13" w:name="cp456"/>
      <w:r>
        <w:tab/>
      </w:r>
      <w:r>
        <w:tab/>
      </w:r>
      <w:r w:rsidR="009F484F">
        <w:t>No sensitive questions are involved in the information collection.</w:t>
      </w:r>
    </w:p>
    <w:p w:rsidR="005E0A0F" w:rsidRDefault="00AC5BD4" w:rsidP="00AC5BD4">
      <w:pPr>
        <w:pStyle w:val="NormalWeb"/>
        <w:tabs>
          <w:tab w:val="left" w:pos="360"/>
          <w:tab w:val="left" w:pos="720"/>
          <w:tab w:val="left" w:pos="1080"/>
          <w:tab w:val="left" w:pos="1440"/>
        </w:tabs>
        <w:spacing w:line="288" w:lineRule="atLeast"/>
        <w:rPr>
          <w:u w:val="single"/>
        </w:rPr>
      </w:pPr>
      <w:r>
        <w:tab/>
      </w:r>
      <w:r w:rsidR="005E0A0F">
        <w:t>12.</w:t>
      </w:r>
      <w:r w:rsidR="009F484F">
        <w:t xml:space="preserve"> </w:t>
      </w:r>
      <w:r w:rsidR="005E0A0F">
        <w:t xml:space="preserve"> </w:t>
      </w:r>
      <w:r w:rsidR="005E0A0F">
        <w:rPr>
          <w:u w:val="single"/>
        </w:rPr>
        <w:t>Respondent Burden and its Labor Costs</w:t>
      </w:r>
    </w:p>
    <w:p w:rsidR="00963313" w:rsidRDefault="00963313" w:rsidP="00AC5BD4">
      <w:pPr>
        <w:pStyle w:val="NormalWeb"/>
        <w:tabs>
          <w:tab w:val="left" w:pos="360"/>
          <w:tab w:val="left" w:pos="720"/>
          <w:tab w:val="left" w:pos="1080"/>
          <w:tab w:val="left" w:pos="1440"/>
        </w:tabs>
        <w:spacing w:line="288" w:lineRule="atLeast"/>
      </w:pPr>
      <w:r>
        <w:lastRenderedPageBreak/>
        <w:tab/>
      </w:r>
      <w:r>
        <w:tab/>
        <w:t xml:space="preserve">The estimated </w:t>
      </w:r>
      <w:r w:rsidR="00C16DCB">
        <w:t xml:space="preserve">respondent </w:t>
      </w:r>
      <w:r>
        <w:t>burdens</w:t>
      </w:r>
      <w:r w:rsidR="00B04BCE">
        <w:t xml:space="preserve"> </w:t>
      </w:r>
      <w:r w:rsidR="00C16DCB">
        <w:t xml:space="preserve">and labor costs </w:t>
      </w:r>
      <w:r w:rsidR="00B04BCE">
        <w:t xml:space="preserve">are </w:t>
      </w:r>
      <w:r>
        <w:t xml:space="preserve">shown in the </w:t>
      </w:r>
      <w:r w:rsidR="00607475">
        <w:t xml:space="preserve">following </w:t>
      </w:r>
      <w:r>
        <w:t xml:space="preserve">table </w:t>
      </w:r>
      <w:r w:rsidR="00B04BCE">
        <w:t>and a</w:t>
      </w:r>
      <w:r w:rsidR="00F11ABC">
        <w:t xml:space="preserve"> discussion of t</w:t>
      </w:r>
      <w:r w:rsidR="00607475">
        <w:t xml:space="preserve">he burdens is </w:t>
      </w:r>
      <w:r w:rsidR="00034F54">
        <w:t>provided</w:t>
      </w:r>
      <w:r w:rsidR="004230D6">
        <w:t xml:space="preserve"> below the table</w:t>
      </w:r>
      <w:r w:rsidR="00607475">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C16DCB" w:rsidTr="006C7D56">
        <w:trPr>
          <w:trHeight w:val="386"/>
        </w:trPr>
        <w:tc>
          <w:tcPr>
            <w:tcW w:w="9270" w:type="dxa"/>
            <w:gridSpan w:val="2"/>
            <w:shd w:val="clear" w:color="auto" w:fill="auto"/>
            <w:vAlign w:val="center"/>
          </w:tcPr>
          <w:p w:rsidR="00C16DCB" w:rsidRDefault="00C16DCB" w:rsidP="00C16DCB">
            <w:pPr>
              <w:pStyle w:val="NormalWeb"/>
              <w:spacing w:line="288" w:lineRule="atLeast"/>
              <w:jc w:val="center"/>
            </w:pPr>
            <w:r>
              <w:t>Estimation of Respondent Burden: 252.209-7008</w:t>
            </w:r>
          </w:p>
        </w:tc>
      </w:tr>
      <w:tr w:rsidR="00C16DCB" w:rsidTr="006C7D56">
        <w:trPr>
          <w:trHeight w:val="386"/>
        </w:trPr>
        <w:tc>
          <w:tcPr>
            <w:tcW w:w="7020" w:type="dxa"/>
            <w:shd w:val="clear" w:color="auto" w:fill="auto"/>
            <w:vAlign w:val="center"/>
          </w:tcPr>
          <w:p w:rsidR="00C16DCB" w:rsidRPr="0012026A" w:rsidRDefault="00C16DCB" w:rsidP="006C7D56">
            <w:pPr>
              <w:tabs>
                <w:tab w:val="left" w:pos="360"/>
              </w:tabs>
              <w:rPr>
                <w:rFonts w:cs="Courier New"/>
                <w:color w:val="000000"/>
              </w:rPr>
            </w:pPr>
            <w:bookmarkStart w:id="14" w:name="cp458"/>
            <w:r w:rsidRPr="0012026A">
              <w:rPr>
                <w:rFonts w:cs="Courier New"/>
                <w:color w:val="000000"/>
              </w:rPr>
              <w:t xml:space="preserve">Number of respondents </w:t>
            </w:r>
          </w:p>
        </w:tc>
        <w:tc>
          <w:tcPr>
            <w:tcW w:w="2250" w:type="dxa"/>
            <w:shd w:val="clear" w:color="auto" w:fill="auto"/>
            <w:vAlign w:val="center"/>
          </w:tcPr>
          <w:p w:rsidR="00C16DCB" w:rsidRDefault="00C16DCB" w:rsidP="006C7D56">
            <w:pPr>
              <w:pStyle w:val="NormalWeb"/>
              <w:spacing w:before="0" w:beforeAutospacing="0" w:after="0" w:afterAutospacing="0"/>
              <w:jc w:val="right"/>
            </w:pPr>
            <w:r>
              <w:t>22</w:t>
            </w:r>
          </w:p>
        </w:tc>
      </w:tr>
      <w:tr w:rsidR="00C16DCB" w:rsidTr="006C7D56">
        <w:trPr>
          <w:trHeight w:val="422"/>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Responses per respondent </w:t>
            </w:r>
            <w:r w:rsidR="00327414">
              <w:rPr>
                <w:rFonts w:cs="Courier New"/>
                <w:color w:val="000000"/>
              </w:rPr>
              <w:t>(approximately)</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3</w:t>
            </w:r>
          </w:p>
        </w:tc>
      </w:tr>
      <w:tr w:rsidR="00C16DCB" w:rsidTr="006C7D56">
        <w:trPr>
          <w:trHeight w:val="431"/>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67</w:t>
            </w:r>
          </w:p>
        </w:tc>
      </w:tr>
      <w:tr w:rsidR="00C16DCB" w:rsidTr="006C7D56">
        <w:trPr>
          <w:trHeight w:val="440"/>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40</w:t>
            </w:r>
          </w:p>
        </w:tc>
      </w:tr>
      <w:tr w:rsidR="00C16DCB" w:rsidTr="006C7D56">
        <w:trPr>
          <w:trHeight w:val="449"/>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2,680</w:t>
            </w:r>
          </w:p>
        </w:tc>
      </w:tr>
      <w:tr w:rsidR="00C16DCB" w:rsidTr="006C7D56">
        <w:trPr>
          <w:trHeight w:val="431"/>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C16DCB" w:rsidRDefault="00C16DCB" w:rsidP="00C16DCB">
            <w:pPr>
              <w:pStyle w:val="NormalWeb"/>
              <w:spacing w:before="0" w:beforeAutospacing="0" w:after="0" w:afterAutospacing="0"/>
              <w:contextualSpacing/>
              <w:jc w:val="right"/>
            </w:pPr>
            <w:r>
              <w:t>$76</w:t>
            </w:r>
          </w:p>
        </w:tc>
      </w:tr>
      <w:tr w:rsidR="00C16DCB" w:rsidTr="006C7D56">
        <w:trPr>
          <w:trHeight w:val="440"/>
        </w:trPr>
        <w:tc>
          <w:tcPr>
            <w:tcW w:w="7020" w:type="dxa"/>
            <w:shd w:val="clear" w:color="auto" w:fill="auto"/>
            <w:vAlign w:val="center"/>
          </w:tcPr>
          <w:p w:rsidR="00C16DCB" w:rsidRPr="0012026A" w:rsidRDefault="00C16DCB" w:rsidP="006C7D56">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RDefault="00C16DCB" w:rsidP="00C16DCB">
            <w:pPr>
              <w:pStyle w:val="NormalWeb"/>
              <w:spacing w:before="0" w:beforeAutospacing="0" w:after="0" w:afterAutospacing="0"/>
              <w:contextualSpacing/>
              <w:jc w:val="right"/>
            </w:pPr>
            <w:r>
              <w:t>$203,680</w:t>
            </w:r>
          </w:p>
        </w:tc>
      </w:tr>
      <w:bookmarkEnd w:id="13"/>
      <w:bookmarkEnd w:id="14"/>
    </w:tbl>
    <w:p w:rsidR="00CB5C8D" w:rsidRDefault="00CB5C8D" w:rsidP="00DA7EE4">
      <w:pPr>
        <w:pStyle w:val="NormalWeb"/>
        <w:tabs>
          <w:tab w:val="left" w:pos="360"/>
          <w:tab w:val="left" w:pos="720"/>
          <w:tab w:val="left" w:pos="1080"/>
          <w:tab w:val="left" w:pos="1440"/>
        </w:tabs>
        <w:spacing w:before="0" w:beforeAutospacing="0" w:after="0" w:afterAutospacing="0"/>
        <w:jc w:val="right"/>
        <w:rPr>
          <w:sz w:val="22"/>
          <w:szCs w:val="22"/>
        </w:rPr>
      </w:pPr>
    </w:p>
    <w:p w:rsidR="00531ACF" w:rsidRPr="00410FE8" w:rsidRDefault="00531ACF" w:rsidP="00531ACF">
      <w:pPr>
        <w:pStyle w:val="NormalWeb"/>
        <w:tabs>
          <w:tab w:val="left" w:pos="360"/>
          <w:tab w:val="left" w:pos="720"/>
          <w:tab w:val="left" w:pos="1080"/>
          <w:tab w:val="left" w:pos="1440"/>
        </w:tabs>
        <w:spacing w:before="0" w:beforeAutospacing="0" w:after="0" w:afterAutospacing="0"/>
        <w:rPr>
          <w:sz w:val="22"/>
          <w:szCs w:val="22"/>
        </w:rPr>
      </w:pPr>
      <w:r w:rsidRPr="00CB5C8D">
        <w:rPr>
          <w:i/>
          <w:sz w:val="22"/>
          <w:szCs w:val="22"/>
        </w:rPr>
        <w:t>Note</w:t>
      </w:r>
      <w:r w:rsidRPr="00410FE8">
        <w:rPr>
          <w:sz w:val="22"/>
          <w:szCs w:val="22"/>
        </w:rPr>
        <w:t xml:space="preserve">:  The </w:t>
      </w:r>
      <w:r w:rsidR="00C53F37">
        <w:rPr>
          <w:sz w:val="22"/>
          <w:szCs w:val="22"/>
        </w:rPr>
        <w:t>hourly wage</w:t>
      </w:r>
      <w:r w:rsidRPr="00410FE8">
        <w:rPr>
          <w:sz w:val="22"/>
          <w:szCs w:val="22"/>
        </w:rPr>
        <w:t xml:space="preserve"> was developed by using the 2016 Office of Personnel Management GS</w:t>
      </w:r>
      <w:r w:rsidR="004230D6" w:rsidRPr="00410FE8">
        <w:rPr>
          <w:sz w:val="22"/>
          <w:szCs w:val="22"/>
        </w:rPr>
        <w:t>-</w:t>
      </w:r>
      <w:r w:rsidRPr="00410FE8">
        <w:rPr>
          <w:sz w:val="22"/>
          <w:szCs w:val="22"/>
        </w:rPr>
        <w:t>1</w:t>
      </w:r>
      <w:r w:rsidR="0006066B">
        <w:rPr>
          <w:sz w:val="22"/>
          <w:szCs w:val="22"/>
        </w:rPr>
        <w:t>5</w:t>
      </w:r>
      <w:r w:rsidRPr="00410FE8">
        <w:rPr>
          <w:sz w:val="22"/>
          <w:szCs w:val="22"/>
        </w:rPr>
        <w:t>, step 5</w:t>
      </w:r>
      <w:r w:rsidR="004230D6" w:rsidRPr="00410FE8">
        <w:rPr>
          <w:sz w:val="22"/>
          <w:szCs w:val="22"/>
        </w:rPr>
        <w:t>,</w:t>
      </w:r>
      <w:r w:rsidRPr="00410FE8">
        <w:rPr>
          <w:sz w:val="22"/>
          <w:szCs w:val="22"/>
        </w:rPr>
        <w:t xml:space="preserve"> rate of $</w:t>
      </w:r>
      <w:r w:rsidR="0006066B">
        <w:rPr>
          <w:sz w:val="22"/>
          <w:szCs w:val="22"/>
        </w:rPr>
        <w:t>55</w:t>
      </w:r>
      <w:r w:rsidRPr="00410FE8">
        <w:rPr>
          <w:sz w:val="22"/>
          <w:szCs w:val="22"/>
        </w:rPr>
        <w:t>.7</w:t>
      </w:r>
      <w:r w:rsidR="0006066B">
        <w:rPr>
          <w:sz w:val="22"/>
          <w:szCs w:val="22"/>
        </w:rPr>
        <w:t>4</w:t>
      </w:r>
      <w:r w:rsidRPr="00410FE8">
        <w:rPr>
          <w:sz w:val="22"/>
          <w:szCs w:val="22"/>
        </w:rPr>
        <w:t xml:space="preserve"> x 1.3625 O/H rate = $</w:t>
      </w:r>
      <w:r w:rsidR="0006066B">
        <w:rPr>
          <w:sz w:val="22"/>
          <w:szCs w:val="22"/>
        </w:rPr>
        <w:t>7</w:t>
      </w:r>
      <w:r w:rsidRPr="00410FE8">
        <w:rPr>
          <w:sz w:val="22"/>
          <w:szCs w:val="22"/>
        </w:rPr>
        <w:t>5.945</w:t>
      </w:r>
      <w:r w:rsidR="0006066B">
        <w:rPr>
          <w:sz w:val="22"/>
          <w:szCs w:val="22"/>
        </w:rPr>
        <w:t>7</w:t>
      </w:r>
      <w:r w:rsidRPr="00410FE8">
        <w:rPr>
          <w:sz w:val="22"/>
          <w:szCs w:val="22"/>
        </w:rPr>
        <w:t xml:space="preserve"> rounded to $</w:t>
      </w:r>
      <w:r w:rsidR="0006066B">
        <w:rPr>
          <w:sz w:val="22"/>
          <w:szCs w:val="22"/>
        </w:rPr>
        <w:t>7</w:t>
      </w:r>
      <w:r w:rsidRPr="00410FE8">
        <w:rPr>
          <w:sz w:val="22"/>
          <w:szCs w:val="22"/>
        </w:rPr>
        <w:t>6.</w:t>
      </w:r>
    </w:p>
    <w:p w:rsidR="004230D6" w:rsidRPr="00531ACF" w:rsidRDefault="004230D6" w:rsidP="00531ACF">
      <w:pPr>
        <w:pStyle w:val="NormalWeb"/>
        <w:tabs>
          <w:tab w:val="left" w:pos="360"/>
          <w:tab w:val="left" w:pos="720"/>
          <w:tab w:val="left" w:pos="1080"/>
          <w:tab w:val="left" w:pos="1440"/>
        </w:tabs>
        <w:spacing w:before="0" w:beforeAutospacing="0" w:after="0" w:afterAutospacing="0"/>
      </w:pPr>
    </w:p>
    <w:p w:rsidR="00C16DCB" w:rsidRDefault="00C16DCB" w:rsidP="00C16DCB">
      <w:r>
        <w:rPr>
          <w:sz w:val="20"/>
          <w:szCs w:val="20"/>
        </w:rPr>
        <w:tab/>
      </w:r>
      <w:r w:rsidRPr="006E2E75">
        <w:t>Although definitive information</w:t>
      </w:r>
      <w:r>
        <w:t xml:space="preserve"> </w:t>
      </w:r>
      <w:r w:rsidRPr="006E2E75">
        <w:t>is not available</w:t>
      </w:r>
      <w:r w:rsidRPr="00C16DCB">
        <w:t xml:space="preserve"> on how often a mitigation plan is required to comply with DFARS clause 252.209-7008</w:t>
      </w:r>
      <w:r w:rsidRPr="006E2E75">
        <w:t>, DoD relied on the judgment and expertise of subject matter experts within DoD</w:t>
      </w:r>
      <w:r>
        <w:t xml:space="preserve">.  </w:t>
      </w:r>
      <w:r w:rsidRPr="006E2E75">
        <w:t xml:space="preserve">The annual total burden hours are estimated </w:t>
      </w:r>
      <w:r>
        <w:t>on the following basis</w:t>
      </w:r>
      <w:r w:rsidRPr="006E2E75">
        <w:t>:</w:t>
      </w:r>
    </w:p>
    <w:p w:rsidR="00C16DCB" w:rsidRPr="006E2E75" w:rsidRDefault="00C16DCB" w:rsidP="00C16DCB"/>
    <w:p w:rsidR="00C16DCB" w:rsidRDefault="00C16DCB" w:rsidP="00C16DCB">
      <w:r>
        <w:tab/>
        <w:t>T</w:t>
      </w:r>
      <w:r w:rsidRPr="006E2E75">
        <w:t xml:space="preserve">here are </w:t>
      </w:r>
      <w:r>
        <w:t xml:space="preserve">currently </w:t>
      </w:r>
      <w:r w:rsidRPr="006E2E75">
        <w:t>1</w:t>
      </w:r>
      <w:r>
        <w:t>12</w:t>
      </w:r>
      <w:r w:rsidRPr="006E2E75">
        <w:t xml:space="preserve"> MDAP and pre-MDAP programs</w:t>
      </w:r>
      <w:r>
        <w:t xml:space="preserve">.  DoD estimates that </w:t>
      </w:r>
      <w:r w:rsidRPr="006E2E75">
        <w:t xml:space="preserve">there is approximately one Systems Engineering and Technical Assistance (SETA) contract per </w:t>
      </w:r>
      <w:r>
        <w:t xml:space="preserve">year per </w:t>
      </w:r>
      <w:r w:rsidRPr="006E2E75">
        <w:t xml:space="preserve">MDAP and pre-MDAP. </w:t>
      </w:r>
      <w:r>
        <w:t xml:space="preserve"> </w:t>
      </w:r>
      <w:r w:rsidRPr="006E2E75">
        <w:t xml:space="preserve">DoD further estimates that there are four offers per solicitation for a SETA contract and that approximately 15 percent of the offerors may submit a mitigation plan with their offer.  </w:t>
      </w:r>
      <w:r>
        <w:t>S</w:t>
      </w:r>
      <w:r w:rsidRPr="006E2E75">
        <w:t xml:space="preserve">ince enactment of the statute, many companies have divested themselves of divisions or subsidiaries that could cause a hindrance to participation by the company in subsequent phases of the MDAP, either as a prime contractor or a major subcontractor.  That would equal about </w:t>
      </w:r>
      <w:r>
        <w:t>67</w:t>
      </w:r>
      <w:r w:rsidRPr="006E2E75">
        <w:t xml:space="preserve"> mitigation plans per year (1</w:t>
      </w:r>
      <w:r>
        <w:t>12</w:t>
      </w:r>
      <w:r w:rsidRPr="006E2E75">
        <w:t xml:space="preserve"> x 4 x .15).  If an offeror submitting a mitigation plan submits approximately 3 per year, then there are 2</w:t>
      </w:r>
      <w:r>
        <w:t>2</w:t>
      </w:r>
      <w:r w:rsidRPr="006E2E75">
        <w:t xml:space="preserve"> respondents that submit mitigation plans in a given year (</w:t>
      </w:r>
      <w:r>
        <w:t>67</w:t>
      </w:r>
      <w:r w:rsidRPr="006E2E75">
        <w:t>/3).  DoD estimates that it takes approximately 40 hours for the preparation and submission of the mitigation plan.</w:t>
      </w:r>
    </w:p>
    <w:p w:rsidR="00B948B1" w:rsidRPr="006E2E75" w:rsidRDefault="00B948B1" w:rsidP="00C16DCB"/>
    <w:p w:rsidR="005E0A0F" w:rsidRDefault="00746F33" w:rsidP="00746F33">
      <w:pPr>
        <w:pStyle w:val="NormalWeb"/>
        <w:tabs>
          <w:tab w:val="left" w:pos="360"/>
          <w:tab w:val="left" w:pos="720"/>
          <w:tab w:val="left" w:pos="1080"/>
          <w:tab w:val="left" w:pos="1440"/>
        </w:tabs>
        <w:spacing w:before="0" w:beforeAutospacing="0" w:after="0" w:afterAutospacing="0"/>
      </w:pPr>
      <w:bookmarkStart w:id="15" w:name="cp462"/>
      <w:r>
        <w:tab/>
      </w:r>
      <w:r w:rsidR="005E0A0F">
        <w:t>13.</w:t>
      </w:r>
      <w:r w:rsidR="009F484F">
        <w:t xml:space="preserve">  </w:t>
      </w:r>
      <w:r w:rsidR="005E0A0F">
        <w:rPr>
          <w:u w:val="single"/>
        </w:rPr>
        <w:t>Respondent Costs Other Than Burden Hour Costs</w:t>
      </w:r>
    </w:p>
    <w:p w:rsidR="00EB0C6C" w:rsidRDefault="00603335" w:rsidP="00FB3212">
      <w:pPr>
        <w:pStyle w:val="NormalWeb"/>
        <w:tabs>
          <w:tab w:val="left" w:pos="360"/>
          <w:tab w:val="left" w:pos="720"/>
          <w:tab w:val="left" w:pos="1080"/>
          <w:tab w:val="left" w:pos="1440"/>
        </w:tabs>
        <w:spacing w:line="288" w:lineRule="atLeast"/>
      </w:pPr>
      <w:bookmarkStart w:id="16" w:name="cp466"/>
      <w:bookmarkEnd w:id="15"/>
      <w:r>
        <w:tab/>
        <w:t>DoD does not estimate any annual cost burden apart from the hourly burden in Item 12 above.</w:t>
      </w:r>
    </w:p>
    <w:p w:rsidR="00D141EB" w:rsidRDefault="006E7819" w:rsidP="00FB3212">
      <w:pPr>
        <w:pStyle w:val="NormalWeb"/>
        <w:tabs>
          <w:tab w:val="left" w:pos="360"/>
          <w:tab w:val="left" w:pos="720"/>
          <w:tab w:val="left" w:pos="1080"/>
          <w:tab w:val="left" w:pos="1440"/>
        </w:tabs>
        <w:spacing w:line="288" w:lineRule="atLeast"/>
        <w:rPr>
          <w:u w:val="single"/>
        </w:rPr>
      </w:pPr>
      <w:r>
        <w:tab/>
      </w:r>
      <w:r w:rsidR="005E0A0F">
        <w:t>14.</w:t>
      </w:r>
      <w:r w:rsidR="00D141EB">
        <w:tab/>
      </w:r>
      <w:r w:rsidR="005E0A0F">
        <w:rPr>
          <w:u w:val="single"/>
        </w:rPr>
        <w:t>Cost to the Federal Government</w:t>
      </w:r>
      <w:bookmarkEnd w:id="16"/>
    </w:p>
    <w:p w:rsidR="002D56DC" w:rsidRDefault="00DE1F6F" w:rsidP="002D56DC">
      <w:pPr>
        <w:tabs>
          <w:tab w:val="left" w:pos="560"/>
          <w:tab w:val="left" w:pos="1120"/>
          <w:tab w:val="left" w:pos="1680"/>
          <w:tab w:val="left" w:pos="2240"/>
        </w:tabs>
        <w:spacing w:before="240"/>
      </w:pPr>
      <w:r>
        <w:tab/>
      </w:r>
      <w:r>
        <w:tab/>
      </w:r>
      <w:r w:rsidR="002D56DC" w:rsidRPr="006E2E75">
        <w:t>The time required for the Government review of the mitigation plans is calculated as follows:</w:t>
      </w:r>
    </w:p>
    <w:p w:rsidR="00C53F37" w:rsidRPr="006E2E75" w:rsidRDefault="00C53F37" w:rsidP="002D56DC">
      <w:pPr>
        <w:tabs>
          <w:tab w:val="left" w:pos="560"/>
          <w:tab w:val="left" w:pos="1120"/>
          <w:tab w:val="left" w:pos="1680"/>
          <w:tab w:val="left" w:pos="2240"/>
        </w:tabs>
        <w:spacing w:before="24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C16DCB" w:rsidTr="006C7D56">
        <w:trPr>
          <w:trHeight w:val="386"/>
        </w:trPr>
        <w:tc>
          <w:tcPr>
            <w:tcW w:w="9270" w:type="dxa"/>
            <w:gridSpan w:val="2"/>
            <w:shd w:val="clear" w:color="auto" w:fill="auto"/>
            <w:vAlign w:val="center"/>
          </w:tcPr>
          <w:p w:rsidR="00C16DCB" w:rsidRDefault="00C16DCB" w:rsidP="00C53F37">
            <w:pPr>
              <w:pStyle w:val="NormalWeb"/>
              <w:spacing w:line="288" w:lineRule="atLeast"/>
              <w:jc w:val="center"/>
            </w:pPr>
            <w:r>
              <w:lastRenderedPageBreak/>
              <w:t xml:space="preserve">Estimation of </w:t>
            </w:r>
            <w:r w:rsidR="00C53F37">
              <w:t>Costs to the Federal  Government</w:t>
            </w:r>
            <w:r>
              <w:t xml:space="preserve">: </w:t>
            </w:r>
            <w:r w:rsidR="00C53F37">
              <w:t>252.209-7008</w:t>
            </w:r>
          </w:p>
        </w:tc>
      </w:tr>
      <w:tr w:rsidR="00C16DCB" w:rsidTr="006C7D56">
        <w:trPr>
          <w:trHeight w:val="431"/>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67</w:t>
            </w:r>
          </w:p>
        </w:tc>
      </w:tr>
      <w:tr w:rsidR="00C16DCB" w:rsidTr="006C7D56">
        <w:trPr>
          <w:trHeight w:val="440"/>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8</w:t>
            </w:r>
          </w:p>
        </w:tc>
      </w:tr>
      <w:tr w:rsidR="00C16DCB" w:rsidTr="006C7D56">
        <w:trPr>
          <w:trHeight w:val="449"/>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536</w:t>
            </w:r>
          </w:p>
        </w:tc>
      </w:tr>
      <w:tr w:rsidR="00C16DCB" w:rsidTr="006C7D56">
        <w:trPr>
          <w:trHeight w:val="431"/>
        </w:trPr>
        <w:tc>
          <w:tcPr>
            <w:tcW w:w="7020" w:type="dxa"/>
            <w:shd w:val="clear" w:color="auto" w:fill="auto"/>
            <w:vAlign w:val="center"/>
          </w:tcPr>
          <w:p w:rsidR="00C16DCB" w:rsidRPr="0012026A" w:rsidRDefault="00C16DCB" w:rsidP="006C7D56">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C16DCB" w:rsidRDefault="00C16DCB" w:rsidP="006C7D56">
            <w:pPr>
              <w:pStyle w:val="NormalWeb"/>
              <w:spacing w:before="0" w:beforeAutospacing="0" w:after="0" w:afterAutospacing="0"/>
              <w:contextualSpacing/>
              <w:jc w:val="right"/>
            </w:pPr>
            <w:r>
              <w:t>$46</w:t>
            </w:r>
          </w:p>
        </w:tc>
      </w:tr>
      <w:tr w:rsidR="00C16DCB" w:rsidTr="006C7D56">
        <w:trPr>
          <w:trHeight w:val="440"/>
        </w:trPr>
        <w:tc>
          <w:tcPr>
            <w:tcW w:w="7020" w:type="dxa"/>
            <w:shd w:val="clear" w:color="auto" w:fill="auto"/>
            <w:vAlign w:val="center"/>
          </w:tcPr>
          <w:p w:rsidR="00C16DCB" w:rsidRPr="0012026A" w:rsidRDefault="00C16DCB" w:rsidP="006C7D56">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RDefault="00C16DCB" w:rsidP="00C16DCB">
            <w:pPr>
              <w:pStyle w:val="NormalWeb"/>
              <w:spacing w:before="0" w:beforeAutospacing="0" w:after="0" w:afterAutospacing="0"/>
              <w:contextualSpacing/>
              <w:jc w:val="right"/>
            </w:pPr>
            <w:r>
              <w:t>$24,656</w:t>
            </w:r>
          </w:p>
        </w:tc>
      </w:tr>
    </w:tbl>
    <w:p w:rsidR="00FA1773" w:rsidRPr="00FA1773" w:rsidRDefault="00FA1773" w:rsidP="00FA1773">
      <w:pPr>
        <w:pStyle w:val="NormalWeb"/>
        <w:spacing w:line="288" w:lineRule="atLeast"/>
      </w:pPr>
      <w:bookmarkStart w:id="17" w:name="cp468"/>
      <w:r w:rsidRPr="00CB5C8D">
        <w:rPr>
          <w:i/>
        </w:rPr>
        <w:t>Note</w:t>
      </w:r>
      <w:r w:rsidRPr="00FA1773">
        <w:t xml:space="preserve">:  The </w:t>
      </w:r>
      <w:r w:rsidR="00C53F37">
        <w:t>hourly wage was</w:t>
      </w:r>
      <w:r w:rsidRPr="00FA1773">
        <w:t xml:space="preserve"> developed by using the 2016 Office of Personnel Management GS-12, step 5, rate of $33.72 x 1.3625 O/H rate = $45.9435 rounded to $46.</w:t>
      </w:r>
    </w:p>
    <w:p w:rsidR="005E0A0F" w:rsidRDefault="00D141EB" w:rsidP="00AC5BD4">
      <w:pPr>
        <w:pStyle w:val="NormalWeb"/>
        <w:tabs>
          <w:tab w:val="left" w:pos="360"/>
          <w:tab w:val="left" w:pos="720"/>
          <w:tab w:val="left" w:pos="1080"/>
          <w:tab w:val="left" w:pos="1440"/>
        </w:tabs>
        <w:spacing w:line="288" w:lineRule="atLeast"/>
      </w:pPr>
      <w:r>
        <w:tab/>
      </w:r>
      <w:r w:rsidR="005E0A0F">
        <w:t>15.</w:t>
      </w:r>
      <w:r w:rsidR="009F484F">
        <w:t xml:space="preserve">  </w:t>
      </w:r>
      <w:r w:rsidR="005E0A0F">
        <w:rPr>
          <w:u w:val="single"/>
        </w:rPr>
        <w:t>Reasons for Change in Burden</w:t>
      </w:r>
    </w:p>
    <w:bookmarkEnd w:id="17"/>
    <w:p w:rsidR="000D1E06" w:rsidRDefault="00D141EB" w:rsidP="00936232">
      <w:pPr>
        <w:pStyle w:val="NormalWeb"/>
        <w:tabs>
          <w:tab w:val="left" w:pos="360"/>
          <w:tab w:val="left" w:pos="720"/>
          <w:tab w:val="left" w:pos="1080"/>
          <w:tab w:val="left" w:pos="1440"/>
        </w:tabs>
        <w:spacing w:before="0" w:beforeAutospacing="0" w:after="0" w:afterAutospacing="0"/>
      </w:pPr>
      <w:r>
        <w:tab/>
      </w:r>
      <w:r>
        <w:tab/>
      </w:r>
      <w:r w:rsidR="000D1E06">
        <w:t>The estimates are revised</w:t>
      </w:r>
      <w:r w:rsidR="00233403">
        <w:t xml:space="preserve">, based on a reduced number of MDAPS and pre-MDAPS. </w:t>
      </w:r>
      <w:r w:rsidR="000D1E06">
        <w:t xml:space="preserve"> </w:t>
      </w:r>
    </w:p>
    <w:p w:rsidR="002F75D0" w:rsidRDefault="002F75D0" w:rsidP="002F75D0">
      <w:pPr>
        <w:pStyle w:val="NormalWeb"/>
        <w:tabs>
          <w:tab w:val="left" w:pos="360"/>
          <w:tab w:val="left" w:pos="720"/>
          <w:tab w:val="left" w:pos="1080"/>
          <w:tab w:val="left" w:pos="1440"/>
        </w:tabs>
        <w:spacing w:before="0" w:beforeAutospacing="0" w:after="0" w:afterAutospacing="0" w:line="288" w:lineRule="atLeast"/>
      </w:pPr>
    </w:p>
    <w:tbl>
      <w:tblPr>
        <w:tblStyle w:val="TableGrid"/>
        <w:tblW w:w="0" w:type="auto"/>
        <w:tblInd w:w="108" w:type="dxa"/>
        <w:tblLook w:val="04A0" w:firstRow="1" w:lastRow="0" w:firstColumn="1" w:lastColumn="0" w:noHBand="0" w:noVBand="1"/>
      </w:tblPr>
      <w:tblGrid>
        <w:gridCol w:w="3240"/>
        <w:gridCol w:w="2010"/>
        <w:gridCol w:w="2010"/>
        <w:gridCol w:w="2010"/>
      </w:tblGrid>
      <w:tr w:rsidR="00C53F37" w:rsidTr="00C53F37">
        <w:trPr>
          <w:trHeight w:val="432"/>
        </w:trPr>
        <w:tc>
          <w:tcPr>
            <w:tcW w:w="3240" w:type="dxa"/>
            <w:vAlign w:val="center"/>
          </w:tcPr>
          <w:p w:rsidR="00C53F37" w:rsidRDefault="00C53F37" w:rsidP="00C53F37">
            <w:pPr>
              <w:pStyle w:val="NormalWeb"/>
              <w:tabs>
                <w:tab w:val="left" w:pos="360"/>
                <w:tab w:val="left" w:pos="720"/>
                <w:tab w:val="left" w:pos="1080"/>
                <w:tab w:val="left" w:pos="1440"/>
              </w:tabs>
              <w:spacing w:before="0" w:beforeAutospacing="0" w:after="0" w:afterAutospacing="0" w:line="288" w:lineRule="atLeast"/>
            </w:pPr>
            <w:r>
              <w:t>Change in Burden</w:t>
            </w:r>
          </w:p>
        </w:tc>
        <w:tc>
          <w:tcPr>
            <w:tcW w:w="2010" w:type="dxa"/>
            <w:vAlign w:val="center"/>
          </w:tcPr>
          <w:p w:rsidR="00C53F37" w:rsidRDefault="00C53F37" w:rsidP="00C53F37">
            <w:pPr>
              <w:pStyle w:val="NormalWeb"/>
              <w:tabs>
                <w:tab w:val="left" w:pos="360"/>
                <w:tab w:val="left" w:pos="720"/>
                <w:tab w:val="left" w:pos="1080"/>
                <w:tab w:val="left" w:pos="1440"/>
              </w:tabs>
              <w:spacing w:before="0" w:beforeAutospacing="0" w:after="0" w:afterAutospacing="0" w:line="288" w:lineRule="atLeast"/>
              <w:jc w:val="right"/>
            </w:pPr>
            <w:r>
              <w:t>2013</w:t>
            </w:r>
          </w:p>
        </w:tc>
        <w:tc>
          <w:tcPr>
            <w:tcW w:w="2010" w:type="dxa"/>
            <w:vAlign w:val="center"/>
          </w:tcPr>
          <w:p w:rsidR="00C53F37" w:rsidRDefault="00C53F37" w:rsidP="00C53F37">
            <w:pPr>
              <w:pStyle w:val="NormalWeb"/>
              <w:tabs>
                <w:tab w:val="left" w:pos="360"/>
                <w:tab w:val="left" w:pos="720"/>
                <w:tab w:val="left" w:pos="1080"/>
                <w:tab w:val="left" w:pos="1440"/>
              </w:tabs>
              <w:spacing w:before="0" w:beforeAutospacing="0" w:after="0" w:afterAutospacing="0" w:line="288" w:lineRule="atLeast"/>
              <w:jc w:val="right"/>
            </w:pPr>
            <w:r>
              <w:t>2016</w:t>
            </w:r>
          </w:p>
        </w:tc>
        <w:tc>
          <w:tcPr>
            <w:tcW w:w="2010" w:type="dxa"/>
            <w:vAlign w:val="center"/>
          </w:tcPr>
          <w:p w:rsidR="00C53F37" w:rsidRDefault="00C53F37" w:rsidP="00C53F37">
            <w:pPr>
              <w:pStyle w:val="NormalWeb"/>
              <w:tabs>
                <w:tab w:val="left" w:pos="360"/>
                <w:tab w:val="left" w:pos="720"/>
                <w:tab w:val="left" w:pos="1080"/>
                <w:tab w:val="left" w:pos="1440"/>
              </w:tabs>
              <w:spacing w:before="0" w:beforeAutospacing="0" w:after="0" w:afterAutospacing="0" w:line="288" w:lineRule="atLeast"/>
              <w:jc w:val="right"/>
            </w:pPr>
            <w:r>
              <w:t>Difference</w:t>
            </w:r>
          </w:p>
        </w:tc>
      </w:tr>
      <w:tr w:rsidR="00C53F37" w:rsidTr="00C53F37">
        <w:trPr>
          <w:trHeight w:val="432"/>
        </w:trPr>
        <w:tc>
          <w:tcPr>
            <w:tcW w:w="3240" w:type="dxa"/>
            <w:vAlign w:val="center"/>
          </w:tcPr>
          <w:p w:rsidR="00C53F37" w:rsidRPr="00EF0CA3" w:rsidRDefault="00C53F37" w:rsidP="00C53F37">
            <w:pPr>
              <w:pStyle w:val="NormalWeb"/>
              <w:tabs>
                <w:tab w:val="left" w:pos="360"/>
                <w:tab w:val="left" w:pos="720"/>
                <w:tab w:val="left" w:pos="1080"/>
                <w:tab w:val="left" w:pos="1440"/>
              </w:tabs>
              <w:spacing w:line="288" w:lineRule="atLeast"/>
            </w:pPr>
            <w:r w:rsidRPr="00EF0CA3">
              <w:t>Number of respondents</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rsidRPr="00EF0CA3">
              <w:t>25</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22</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- 3</w:t>
            </w:r>
          </w:p>
        </w:tc>
      </w:tr>
      <w:tr w:rsidR="00C53F37" w:rsidTr="00C53F37">
        <w:trPr>
          <w:trHeight w:val="432"/>
        </w:trPr>
        <w:tc>
          <w:tcPr>
            <w:tcW w:w="3240" w:type="dxa"/>
            <w:vAlign w:val="center"/>
          </w:tcPr>
          <w:p w:rsidR="00C53F37" w:rsidRPr="00EF0CA3" w:rsidRDefault="00C53F37" w:rsidP="00C53F37">
            <w:pPr>
              <w:pStyle w:val="NormalWeb"/>
              <w:tabs>
                <w:tab w:val="left" w:pos="360"/>
                <w:tab w:val="left" w:pos="720"/>
                <w:tab w:val="left" w:pos="1080"/>
                <w:tab w:val="left" w:pos="1440"/>
              </w:tabs>
              <w:spacing w:line="288" w:lineRule="atLeast"/>
            </w:pPr>
            <w:r w:rsidRPr="00EF0CA3">
              <w:t>Responses</w:t>
            </w:r>
            <w:r>
              <w:t>/</w:t>
            </w:r>
            <w:r w:rsidRPr="00EF0CA3">
              <w:t>respondent</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3</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3</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0</w:t>
            </w:r>
          </w:p>
        </w:tc>
      </w:tr>
      <w:tr w:rsidR="00C53F37" w:rsidTr="00C53F37">
        <w:trPr>
          <w:trHeight w:val="432"/>
        </w:trPr>
        <w:tc>
          <w:tcPr>
            <w:tcW w:w="3240" w:type="dxa"/>
            <w:vAlign w:val="center"/>
          </w:tcPr>
          <w:p w:rsidR="00C53F37" w:rsidRPr="00EF0CA3" w:rsidRDefault="00C53F37" w:rsidP="00C53F37">
            <w:pPr>
              <w:pStyle w:val="NormalWeb"/>
              <w:tabs>
                <w:tab w:val="left" w:pos="360"/>
                <w:tab w:val="left" w:pos="720"/>
                <w:tab w:val="left" w:pos="1080"/>
                <w:tab w:val="left" w:pos="1440"/>
              </w:tabs>
              <w:spacing w:line="288" w:lineRule="atLeast"/>
            </w:pPr>
            <w:r w:rsidRPr="00EF0CA3">
              <w:t>Total annual responses</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75</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67</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- 8</w:t>
            </w:r>
          </w:p>
        </w:tc>
      </w:tr>
      <w:tr w:rsidR="00C53F37" w:rsidTr="00C53F37">
        <w:trPr>
          <w:trHeight w:val="432"/>
        </w:trPr>
        <w:tc>
          <w:tcPr>
            <w:tcW w:w="3240" w:type="dxa"/>
            <w:vAlign w:val="center"/>
          </w:tcPr>
          <w:p w:rsidR="00C53F37" w:rsidRPr="00EF0CA3" w:rsidRDefault="00C53F37" w:rsidP="00C53F37">
            <w:pPr>
              <w:pStyle w:val="NormalWeb"/>
              <w:tabs>
                <w:tab w:val="left" w:pos="360"/>
                <w:tab w:val="left" w:pos="720"/>
                <w:tab w:val="left" w:pos="1080"/>
                <w:tab w:val="left" w:pos="1440"/>
              </w:tabs>
              <w:spacing w:line="288" w:lineRule="atLeast"/>
            </w:pPr>
            <w:r w:rsidRPr="00EF0CA3">
              <w:t>Hours per response</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40</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40</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0</w:t>
            </w:r>
          </w:p>
        </w:tc>
      </w:tr>
      <w:tr w:rsidR="00C53F37" w:rsidTr="00C53F37">
        <w:trPr>
          <w:trHeight w:val="432"/>
        </w:trPr>
        <w:tc>
          <w:tcPr>
            <w:tcW w:w="3240" w:type="dxa"/>
            <w:vAlign w:val="center"/>
          </w:tcPr>
          <w:p w:rsidR="00C53F37" w:rsidRPr="00EF0CA3" w:rsidRDefault="00C53F37" w:rsidP="00C53F37">
            <w:pPr>
              <w:pStyle w:val="NormalWeb"/>
              <w:tabs>
                <w:tab w:val="left" w:pos="360"/>
                <w:tab w:val="left" w:pos="720"/>
                <w:tab w:val="left" w:pos="1080"/>
                <w:tab w:val="left" w:pos="1440"/>
              </w:tabs>
              <w:spacing w:line="288" w:lineRule="atLeast"/>
            </w:pPr>
            <w:r w:rsidRPr="00EF0CA3">
              <w:t>Total hours</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3,000</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rsidRPr="00EF0CA3">
              <w:t>2,</w:t>
            </w:r>
            <w:r>
              <w:t>680</w:t>
            </w:r>
          </w:p>
        </w:tc>
        <w:tc>
          <w:tcPr>
            <w:tcW w:w="2010" w:type="dxa"/>
            <w:vAlign w:val="center"/>
          </w:tcPr>
          <w:p w:rsidR="00C53F37" w:rsidRPr="00EF0CA3" w:rsidRDefault="00C53F37" w:rsidP="00C53F37">
            <w:pPr>
              <w:pStyle w:val="NormalWeb"/>
              <w:tabs>
                <w:tab w:val="left" w:pos="360"/>
                <w:tab w:val="left" w:pos="720"/>
                <w:tab w:val="left" w:pos="1080"/>
                <w:tab w:val="left" w:pos="1440"/>
              </w:tabs>
              <w:spacing w:line="288" w:lineRule="atLeast"/>
              <w:jc w:val="right"/>
            </w:pPr>
            <w:r>
              <w:t>- 320</w:t>
            </w:r>
          </w:p>
        </w:tc>
      </w:tr>
    </w:tbl>
    <w:p w:rsidR="00C53F37" w:rsidRDefault="00C53F37" w:rsidP="002F75D0">
      <w:pPr>
        <w:pStyle w:val="NormalWeb"/>
        <w:tabs>
          <w:tab w:val="left" w:pos="360"/>
          <w:tab w:val="left" w:pos="720"/>
          <w:tab w:val="left" w:pos="1080"/>
          <w:tab w:val="left" w:pos="1440"/>
        </w:tabs>
        <w:spacing w:before="0" w:beforeAutospacing="0" w:after="0" w:afterAutospacing="0" w:line="288" w:lineRule="atLeast"/>
      </w:pPr>
    </w:p>
    <w:p w:rsidR="00233403" w:rsidRPr="00D141EB" w:rsidRDefault="00D141EB" w:rsidP="00C53F37">
      <w:pPr>
        <w:pStyle w:val="NormalWeb"/>
        <w:tabs>
          <w:tab w:val="left" w:pos="360"/>
          <w:tab w:val="left" w:pos="720"/>
          <w:tab w:val="left" w:pos="1080"/>
          <w:tab w:val="left" w:pos="1440"/>
        </w:tabs>
        <w:spacing w:before="0" w:beforeAutospacing="0" w:line="288" w:lineRule="atLeast"/>
        <w:rPr>
          <w:u w:val="single"/>
        </w:rPr>
      </w:pPr>
      <w:r>
        <w:tab/>
      </w:r>
      <w:r w:rsidR="00233403">
        <w:t xml:space="preserve">16.  </w:t>
      </w:r>
      <w:r w:rsidR="00233403">
        <w:rPr>
          <w:u w:val="single"/>
        </w:rPr>
        <w:t>Publication of Results</w:t>
      </w:r>
    </w:p>
    <w:p w:rsidR="00936232" w:rsidRPr="00936232" w:rsidRDefault="00D141EB" w:rsidP="00936232">
      <w:pPr>
        <w:pStyle w:val="NormalWeb"/>
        <w:tabs>
          <w:tab w:val="left" w:pos="360"/>
          <w:tab w:val="left" w:pos="720"/>
          <w:tab w:val="left" w:pos="1080"/>
          <w:tab w:val="left" w:pos="1440"/>
        </w:tabs>
        <w:spacing w:line="288" w:lineRule="atLeast"/>
      </w:pPr>
      <w:r>
        <w:tab/>
      </w:r>
      <w:r w:rsidR="00C53F37">
        <w:tab/>
      </w:r>
      <w:r w:rsidR="00936232" w:rsidRPr="00936232">
        <w:t>Results of this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9F484F">
        <w:t xml:space="preserve">17. </w:t>
      </w:r>
      <w:r w:rsidR="005E0A0F">
        <w:t xml:space="preserve"> </w:t>
      </w:r>
      <w:r w:rsidR="005E0A0F">
        <w:rPr>
          <w:u w:val="single"/>
        </w:rPr>
        <w:t>Non-Display of OMB Expiration Date</w:t>
      </w:r>
    </w:p>
    <w:p w:rsidR="00936232" w:rsidRPr="00936232" w:rsidRDefault="00D141EB" w:rsidP="00936232">
      <w:pPr>
        <w:pStyle w:val="NormalWeb"/>
        <w:tabs>
          <w:tab w:val="left" w:pos="360"/>
          <w:tab w:val="left" w:pos="720"/>
          <w:tab w:val="left" w:pos="1080"/>
          <w:tab w:val="left" w:pos="1440"/>
        </w:tabs>
        <w:spacing w:line="288" w:lineRule="atLeast"/>
      </w:pPr>
      <w:bookmarkStart w:id="18" w:name="cp473"/>
      <w:r>
        <w:tab/>
      </w:r>
      <w:r>
        <w:tab/>
      </w:r>
      <w:r w:rsidR="00936232">
        <w:t>DoD does not</w:t>
      </w:r>
      <w:r w:rsidR="00936232" w:rsidRPr="00936232">
        <w:t xml:space="preserve"> seek approval to not display the expiration dates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9F484F">
        <w:t xml:space="preserve">18. </w:t>
      </w:r>
      <w:r w:rsidR="005E0A0F">
        <w:t xml:space="preserve"> </w:t>
      </w:r>
      <w:r w:rsidR="005E0A0F">
        <w:rPr>
          <w:u w:val="single"/>
        </w:rPr>
        <w:t>Exceptions to "Certification for Paperwork Reduction Submissions"</w:t>
      </w:r>
    </w:p>
    <w:p w:rsidR="00936232" w:rsidRPr="00936232" w:rsidRDefault="00D141EB" w:rsidP="00936232">
      <w:pPr>
        <w:pStyle w:val="NormalWeb"/>
        <w:tabs>
          <w:tab w:val="left" w:pos="360"/>
          <w:tab w:val="left" w:pos="720"/>
          <w:tab w:val="left" w:pos="1080"/>
          <w:tab w:val="left" w:pos="1440"/>
        </w:tabs>
        <w:spacing w:line="288" w:lineRule="atLeast"/>
      </w:pPr>
      <w:bookmarkStart w:id="19" w:name="cp474"/>
      <w:bookmarkEnd w:id="18"/>
      <w:r>
        <w:tab/>
      </w:r>
      <w:r>
        <w:tab/>
      </w:r>
      <w:bookmarkEnd w:id="19"/>
      <w:r w:rsidR="00936232" w:rsidRPr="00936232">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C53F37">
      <w:footerReference w:type="default" r:id="rId11"/>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95" w:rsidRDefault="00355395" w:rsidP="00D74D55">
      <w:r>
        <w:separator/>
      </w:r>
    </w:p>
  </w:endnote>
  <w:endnote w:type="continuationSeparator" w:id="0">
    <w:p w:rsidR="00355395" w:rsidRDefault="00355395"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EE1F82">
      <w:rPr>
        <w:noProof/>
      </w:rPr>
      <w:t>3</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95" w:rsidRDefault="00355395" w:rsidP="00D74D55">
      <w:r>
        <w:separator/>
      </w:r>
    </w:p>
  </w:footnote>
  <w:footnote w:type="continuationSeparator" w:id="0">
    <w:p w:rsidR="00355395" w:rsidRDefault="00355395"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33D0"/>
    <w:rsid w:val="00034F54"/>
    <w:rsid w:val="00045364"/>
    <w:rsid w:val="0005249A"/>
    <w:rsid w:val="0006066B"/>
    <w:rsid w:val="000611B8"/>
    <w:rsid w:val="000759FE"/>
    <w:rsid w:val="000913D1"/>
    <w:rsid w:val="000A2459"/>
    <w:rsid w:val="000A2A03"/>
    <w:rsid w:val="000D1E06"/>
    <w:rsid w:val="00124DB2"/>
    <w:rsid w:val="00127C69"/>
    <w:rsid w:val="00161E28"/>
    <w:rsid w:val="00163725"/>
    <w:rsid w:val="00191C5D"/>
    <w:rsid w:val="001A261D"/>
    <w:rsid w:val="001C68B5"/>
    <w:rsid w:val="001F0C62"/>
    <w:rsid w:val="00213964"/>
    <w:rsid w:val="002230B5"/>
    <w:rsid w:val="00233403"/>
    <w:rsid w:val="00235CB5"/>
    <w:rsid w:val="00241DFF"/>
    <w:rsid w:val="002429FD"/>
    <w:rsid w:val="002A3929"/>
    <w:rsid w:val="002D56DC"/>
    <w:rsid w:val="002F5D12"/>
    <w:rsid w:val="002F75D0"/>
    <w:rsid w:val="0030008B"/>
    <w:rsid w:val="003002A0"/>
    <w:rsid w:val="00305997"/>
    <w:rsid w:val="00307B14"/>
    <w:rsid w:val="0032295F"/>
    <w:rsid w:val="00327414"/>
    <w:rsid w:val="00355395"/>
    <w:rsid w:val="003C26F7"/>
    <w:rsid w:val="003F3CD1"/>
    <w:rsid w:val="0040365A"/>
    <w:rsid w:val="00410FE8"/>
    <w:rsid w:val="004230D6"/>
    <w:rsid w:val="004461BE"/>
    <w:rsid w:val="00453810"/>
    <w:rsid w:val="004710AD"/>
    <w:rsid w:val="004720BE"/>
    <w:rsid w:val="004818C0"/>
    <w:rsid w:val="004B27AF"/>
    <w:rsid w:val="004B6441"/>
    <w:rsid w:val="004C7516"/>
    <w:rsid w:val="00531ACF"/>
    <w:rsid w:val="00533827"/>
    <w:rsid w:val="005A7A15"/>
    <w:rsid w:val="005B1D0C"/>
    <w:rsid w:val="005C4463"/>
    <w:rsid w:val="005D1B31"/>
    <w:rsid w:val="005D222D"/>
    <w:rsid w:val="005E0A0F"/>
    <w:rsid w:val="005E6898"/>
    <w:rsid w:val="00603335"/>
    <w:rsid w:val="0060388A"/>
    <w:rsid w:val="00607475"/>
    <w:rsid w:val="00635430"/>
    <w:rsid w:val="00687B44"/>
    <w:rsid w:val="006A75C7"/>
    <w:rsid w:val="006B2B17"/>
    <w:rsid w:val="006E7819"/>
    <w:rsid w:val="00720074"/>
    <w:rsid w:val="007425C7"/>
    <w:rsid w:val="00746F33"/>
    <w:rsid w:val="007E3A29"/>
    <w:rsid w:val="007E450E"/>
    <w:rsid w:val="008133E9"/>
    <w:rsid w:val="0085155C"/>
    <w:rsid w:val="00881EFF"/>
    <w:rsid w:val="008972BD"/>
    <w:rsid w:val="008A30CE"/>
    <w:rsid w:val="008E19D3"/>
    <w:rsid w:val="008F6DB7"/>
    <w:rsid w:val="00911989"/>
    <w:rsid w:val="00917D8E"/>
    <w:rsid w:val="00936232"/>
    <w:rsid w:val="00963313"/>
    <w:rsid w:val="0097366B"/>
    <w:rsid w:val="009B3436"/>
    <w:rsid w:val="009B6F1D"/>
    <w:rsid w:val="009F484F"/>
    <w:rsid w:val="00A34217"/>
    <w:rsid w:val="00A5318F"/>
    <w:rsid w:val="00A6761C"/>
    <w:rsid w:val="00A7063B"/>
    <w:rsid w:val="00A93CBF"/>
    <w:rsid w:val="00AB53AE"/>
    <w:rsid w:val="00AC15A6"/>
    <w:rsid w:val="00AC3144"/>
    <w:rsid w:val="00AC4386"/>
    <w:rsid w:val="00AC5BD4"/>
    <w:rsid w:val="00AE01A6"/>
    <w:rsid w:val="00AE6FF8"/>
    <w:rsid w:val="00AF66E0"/>
    <w:rsid w:val="00B04066"/>
    <w:rsid w:val="00B04BCE"/>
    <w:rsid w:val="00B5481B"/>
    <w:rsid w:val="00B75E8A"/>
    <w:rsid w:val="00B83E95"/>
    <w:rsid w:val="00B948B1"/>
    <w:rsid w:val="00B96A61"/>
    <w:rsid w:val="00BF6680"/>
    <w:rsid w:val="00C00C1A"/>
    <w:rsid w:val="00C16DCB"/>
    <w:rsid w:val="00C223F1"/>
    <w:rsid w:val="00C34D08"/>
    <w:rsid w:val="00C53F37"/>
    <w:rsid w:val="00C66D8C"/>
    <w:rsid w:val="00C735EB"/>
    <w:rsid w:val="00CB5C8D"/>
    <w:rsid w:val="00CD69C3"/>
    <w:rsid w:val="00CE42D2"/>
    <w:rsid w:val="00CE7016"/>
    <w:rsid w:val="00CF35C0"/>
    <w:rsid w:val="00D141EB"/>
    <w:rsid w:val="00D23A4D"/>
    <w:rsid w:val="00D37A50"/>
    <w:rsid w:val="00D43883"/>
    <w:rsid w:val="00D46148"/>
    <w:rsid w:val="00D73DCD"/>
    <w:rsid w:val="00D7485D"/>
    <w:rsid w:val="00D74D55"/>
    <w:rsid w:val="00DA7EE4"/>
    <w:rsid w:val="00DE1F6F"/>
    <w:rsid w:val="00DF78EC"/>
    <w:rsid w:val="00E53C2C"/>
    <w:rsid w:val="00E90B41"/>
    <w:rsid w:val="00EB0C6C"/>
    <w:rsid w:val="00EC7C12"/>
    <w:rsid w:val="00EE1F82"/>
    <w:rsid w:val="00EF0CA3"/>
    <w:rsid w:val="00F11ABC"/>
    <w:rsid w:val="00F1447C"/>
    <w:rsid w:val="00F32885"/>
    <w:rsid w:val="00F357EB"/>
    <w:rsid w:val="00F363AA"/>
    <w:rsid w:val="00F508E6"/>
    <w:rsid w:val="00F92085"/>
    <w:rsid w:val="00F92ACC"/>
    <w:rsid w:val="00FA1773"/>
    <w:rsid w:val="00FB3212"/>
    <w:rsid w:val="00FB7651"/>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FollowedHyperlink">
    <w:name w:val="FollowedHyperlink"/>
    <w:basedOn w:val="DefaultParagraphFont"/>
    <w:uiPriority w:val="99"/>
    <w:semiHidden/>
    <w:unhideWhenUsed/>
    <w:rsid w:val="00EE1F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FollowedHyperlink">
    <w:name w:val="FollowedHyperlink"/>
    <w:basedOn w:val="DefaultParagraphFont"/>
    <w:uiPriority w:val="99"/>
    <w:semiHidden/>
    <w:unhideWhenUsed/>
    <w:rsid w:val="00EE1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7/03/24/2017-05873/submission-for-omb-review-comment-request" TargetMode="External"/><Relationship Id="rId4" Type="http://schemas.microsoft.com/office/2007/relationships/stylesWithEffects" Target="stylesWithEffects.xml"/><Relationship Id="rId9" Type="http://schemas.openxmlformats.org/officeDocument/2006/relationships/hyperlink" Target="https://www.federalregister.gov/documents/2016/09/19/2016-22492/information-collection-requirement-defense-federal-acquisition-regulation-supplement-d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7967-4547-4CFF-BC72-4E0B1A1E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2</cp:revision>
  <cp:lastPrinted>2017-03-28T13:14:00Z</cp:lastPrinted>
  <dcterms:created xsi:type="dcterms:W3CDTF">2017-03-28T13:14:00Z</dcterms:created>
  <dcterms:modified xsi:type="dcterms:W3CDTF">2017-03-28T13:14:00Z</dcterms:modified>
</cp:coreProperties>
</file>