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DEF94" w14:textId="750AC9BC" w:rsidR="00A5264F" w:rsidRPr="0059364E" w:rsidRDefault="00DE08C8" w:rsidP="00DE08C8">
      <w:pPr>
        <w:tabs>
          <w:tab w:val="center" w:pos="4680"/>
        </w:tabs>
        <w:jc w:val="center"/>
        <w:rPr>
          <w:b/>
          <w:sz w:val="24"/>
        </w:rPr>
      </w:pPr>
      <w:r w:rsidRPr="0059364E">
        <w:rPr>
          <w:b/>
          <w:sz w:val="24"/>
        </w:rPr>
        <w:t>201</w:t>
      </w:r>
      <w:r w:rsidR="0007362B">
        <w:rPr>
          <w:b/>
          <w:sz w:val="24"/>
        </w:rPr>
        <w:t>7</w:t>
      </w:r>
      <w:r w:rsidRPr="0059364E">
        <w:rPr>
          <w:b/>
          <w:sz w:val="24"/>
        </w:rPr>
        <w:t xml:space="preserve"> </w:t>
      </w:r>
      <w:r w:rsidR="00BF5EB7" w:rsidRPr="0059364E">
        <w:rPr>
          <w:b/>
          <w:sz w:val="24"/>
        </w:rPr>
        <w:t>National Survey of Children's Health</w:t>
      </w:r>
      <w:r w:rsidRPr="0059364E">
        <w:rPr>
          <w:b/>
          <w:sz w:val="24"/>
        </w:rPr>
        <w:t xml:space="preserve">: </w:t>
      </w:r>
    </w:p>
    <w:p w14:paraId="091DEF95" w14:textId="77777777" w:rsidR="00073EE0" w:rsidRPr="0059364E" w:rsidRDefault="00073EE0" w:rsidP="00DE08C8">
      <w:pPr>
        <w:tabs>
          <w:tab w:val="center" w:pos="4680"/>
        </w:tabs>
        <w:jc w:val="center"/>
        <w:rPr>
          <w:b/>
          <w:sz w:val="24"/>
        </w:rPr>
      </w:pPr>
      <w:r w:rsidRPr="0059364E">
        <w:rPr>
          <w:b/>
          <w:sz w:val="24"/>
        </w:rPr>
        <w:t>Request for OMB Review</w:t>
      </w:r>
    </w:p>
    <w:p w14:paraId="091DEF97" w14:textId="77777777" w:rsidR="00073EE0" w:rsidRPr="0059364E" w:rsidRDefault="00073EE0" w:rsidP="0059364E">
      <w:pPr>
        <w:tabs>
          <w:tab w:val="center" w:pos="4680"/>
        </w:tabs>
        <w:jc w:val="center"/>
        <w:rPr>
          <w:b/>
          <w:sz w:val="24"/>
        </w:rPr>
      </w:pPr>
      <w:r w:rsidRPr="0059364E">
        <w:rPr>
          <w:b/>
          <w:sz w:val="24"/>
        </w:rPr>
        <w:t>Supporting Statement A</w:t>
      </w:r>
    </w:p>
    <w:p w14:paraId="091DEF9C" w14:textId="0B7D41C8" w:rsidR="00BA1A0C" w:rsidRPr="0059364E" w:rsidRDefault="00BA1A0C" w:rsidP="0059364E">
      <w:pPr>
        <w:tabs>
          <w:tab w:val="center" w:pos="4680"/>
        </w:tabs>
        <w:jc w:val="center"/>
        <w:rPr>
          <w:b/>
          <w:sz w:val="24"/>
        </w:rPr>
      </w:pPr>
      <w:r w:rsidRPr="0059364E">
        <w:rPr>
          <w:b/>
          <w:sz w:val="24"/>
        </w:rPr>
        <w:t xml:space="preserve">OMB Control No. </w:t>
      </w:r>
      <w:r w:rsidR="00DE08C8" w:rsidRPr="0059364E">
        <w:rPr>
          <w:b/>
          <w:sz w:val="24"/>
        </w:rPr>
        <w:t>0607-</w:t>
      </w:r>
      <w:r w:rsidR="0007362B">
        <w:rPr>
          <w:b/>
          <w:sz w:val="24"/>
        </w:rPr>
        <w:t>0990</w:t>
      </w:r>
    </w:p>
    <w:p w14:paraId="091DEF9E" w14:textId="77777777" w:rsidR="009B3794" w:rsidRPr="00BA1A0C" w:rsidRDefault="009B3794" w:rsidP="00CE5AA9">
      <w:pPr>
        <w:tabs>
          <w:tab w:val="center" w:pos="4680"/>
        </w:tabs>
        <w:spacing w:before="120"/>
        <w:jc w:val="center"/>
        <w:rPr>
          <w:b/>
          <w:bCs/>
          <w:sz w:val="32"/>
          <w:szCs w:val="32"/>
        </w:rPr>
      </w:pPr>
    </w:p>
    <w:p w14:paraId="091DEF9F" w14:textId="77777777" w:rsidR="009B3794" w:rsidRDefault="00DE3A45" w:rsidP="00CE5AA9">
      <w:pPr>
        <w:spacing w:before="120"/>
        <w:rPr>
          <w:b/>
          <w:sz w:val="24"/>
        </w:rPr>
      </w:pPr>
      <w:r>
        <w:rPr>
          <w:b/>
          <w:sz w:val="24"/>
        </w:rPr>
        <w:t>Terms of Clearance</w:t>
      </w:r>
      <w:r w:rsidR="00BA1A0C" w:rsidRPr="00BA1A0C">
        <w:rPr>
          <w:b/>
          <w:sz w:val="24"/>
        </w:rPr>
        <w:t>:</w:t>
      </w:r>
      <w:r w:rsidR="00BA1A0C">
        <w:rPr>
          <w:sz w:val="24"/>
        </w:rPr>
        <w:t xml:space="preserve">  </w:t>
      </w:r>
      <w:r w:rsidRPr="00CE5AA9">
        <w:rPr>
          <w:b/>
          <w:sz w:val="24"/>
        </w:rPr>
        <w:t>None</w:t>
      </w:r>
      <w:r w:rsidR="00BA1A0C" w:rsidRPr="00CE5AA9">
        <w:rPr>
          <w:b/>
          <w:sz w:val="24"/>
        </w:rPr>
        <w:t xml:space="preserve"> </w:t>
      </w:r>
    </w:p>
    <w:p w14:paraId="091DEFA0" w14:textId="77777777" w:rsidR="009B3794" w:rsidRPr="00306436" w:rsidRDefault="009B3794" w:rsidP="00306436">
      <w:pPr>
        <w:pStyle w:val="ListParagraph"/>
        <w:numPr>
          <w:ilvl w:val="0"/>
          <w:numId w:val="6"/>
        </w:numPr>
        <w:spacing w:before="120"/>
        <w:ind w:left="360"/>
        <w:rPr>
          <w:b/>
          <w:bCs/>
          <w:sz w:val="24"/>
        </w:rPr>
      </w:pPr>
      <w:r w:rsidRPr="00306436">
        <w:rPr>
          <w:b/>
          <w:bCs/>
          <w:sz w:val="24"/>
        </w:rPr>
        <w:t>Justification</w:t>
      </w:r>
    </w:p>
    <w:p w14:paraId="091DEFA1" w14:textId="77777777" w:rsidR="00286CD0" w:rsidRPr="004F0887" w:rsidRDefault="009B3794" w:rsidP="00726ABF">
      <w:pPr>
        <w:numPr>
          <w:ilvl w:val="0"/>
          <w:numId w:val="1"/>
        </w:numPr>
        <w:tabs>
          <w:tab w:val="clear" w:pos="1080"/>
          <w:tab w:val="num" w:pos="360"/>
        </w:tabs>
        <w:spacing w:before="240"/>
        <w:ind w:left="360"/>
        <w:rPr>
          <w:b/>
          <w:sz w:val="24"/>
        </w:rPr>
      </w:pPr>
      <w:r w:rsidRPr="004F0887">
        <w:rPr>
          <w:b/>
          <w:sz w:val="24"/>
        </w:rPr>
        <w:t>Circumstances Making the Collection of Information Necessary</w:t>
      </w:r>
    </w:p>
    <w:p w14:paraId="651061A4" w14:textId="36195F8B" w:rsidR="008D6C07" w:rsidRDefault="0051063C" w:rsidP="00F51B2D">
      <w:pPr>
        <w:spacing w:before="240"/>
        <w:rPr>
          <w:sz w:val="24"/>
        </w:rPr>
      </w:pPr>
      <w:r w:rsidRPr="0051063C">
        <w:rPr>
          <w:sz w:val="24"/>
        </w:rPr>
        <w:t xml:space="preserve">Sponsored by the U.S. Department of </w:t>
      </w:r>
      <w:r w:rsidR="00E17C65">
        <w:rPr>
          <w:sz w:val="24"/>
        </w:rPr>
        <w:t>Health and Human Services’ (HHS</w:t>
      </w:r>
      <w:r w:rsidRPr="0051063C">
        <w:rPr>
          <w:sz w:val="24"/>
        </w:rPr>
        <w:t xml:space="preserve">) Health Resources </w:t>
      </w:r>
      <w:r w:rsidR="00FC0E4B">
        <w:rPr>
          <w:sz w:val="24"/>
        </w:rPr>
        <w:t xml:space="preserve">and </w:t>
      </w:r>
      <w:r w:rsidRPr="0051063C">
        <w:rPr>
          <w:sz w:val="24"/>
        </w:rPr>
        <w:t>Services Administration’s Maternal and Child Health Bureau (HRSA MCHB), the National Survey of Children’s Health (NSCH) is designed to produce data on the physical a</w:t>
      </w:r>
      <w:r w:rsidR="00B30330">
        <w:rPr>
          <w:sz w:val="24"/>
        </w:rPr>
        <w:t xml:space="preserve">nd emotional health of </w:t>
      </w:r>
      <w:r w:rsidRPr="0051063C">
        <w:rPr>
          <w:sz w:val="24"/>
        </w:rPr>
        <w:t>children under 18 years of age</w:t>
      </w:r>
      <w:r w:rsidR="00B30330">
        <w:rPr>
          <w:sz w:val="24"/>
        </w:rPr>
        <w:t xml:space="preserve"> in the United States</w:t>
      </w:r>
      <w:r w:rsidRPr="0051063C">
        <w:rPr>
          <w:sz w:val="24"/>
        </w:rPr>
        <w:t xml:space="preserve">. The NSCH collects information on factors related to the well-being of children, including access to </w:t>
      </w:r>
      <w:r w:rsidR="00FC0E4B">
        <w:rPr>
          <w:sz w:val="24"/>
        </w:rPr>
        <w:t xml:space="preserve">and quality of </w:t>
      </w:r>
      <w:r w:rsidRPr="0051063C">
        <w:rPr>
          <w:sz w:val="24"/>
        </w:rPr>
        <w:t xml:space="preserve">health care, family interactions, parental health, school and after-school experiences, and neighborhood characteristics. </w:t>
      </w:r>
    </w:p>
    <w:p w14:paraId="091DEFA6" w14:textId="6A49B2B9" w:rsidR="00045B26" w:rsidRPr="004D492E" w:rsidRDefault="00286CD0" w:rsidP="00017A9B">
      <w:pPr>
        <w:spacing w:before="240"/>
        <w:rPr>
          <w:sz w:val="24"/>
        </w:rPr>
      </w:pPr>
      <w:r w:rsidRPr="004D492E">
        <w:rPr>
          <w:sz w:val="24"/>
        </w:rPr>
        <w:t>The</w:t>
      </w:r>
      <w:r w:rsidR="002E5178">
        <w:rPr>
          <w:sz w:val="24"/>
        </w:rPr>
        <w:t xml:space="preserve"> </w:t>
      </w:r>
      <w:r w:rsidR="002E5178" w:rsidRPr="0051063C">
        <w:rPr>
          <w:sz w:val="24"/>
        </w:rPr>
        <w:t xml:space="preserve">Health Resources </w:t>
      </w:r>
      <w:r w:rsidR="00FC0E4B">
        <w:rPr>
          <w:sz w:val="24"/>
        </w:rPr>
        <w:t xml:space="preserve">and </w:t>
      </w:r>
      <w:r w:rsidR="002E5178" w:rsidRPr="0051063C">
        <w:rPr>
          <w:sz w:val="24"/>
        </w:rPr>
        <w:t>Services Ad</w:t>
      </w:r>
      <w:bookmarkStart w:id="0" w:name="_GoBack"/>
      <w:bookmarkEnd w:id="0"/>
      <w:r w:rsidR="002E5178" w:rsidRPr="0051063C">
        <w:rPr>
          <w:sz w:val="24"/>
        </w:rPr>
        <w:t>ministration’s</w:t>
      </w:r>
      <w:r w:rsidRPr="004D492E">
        <w:rPr>
          <w:sz w:val="24"/>
        </w:rPr>
        <w:t xml:space="preserve"> Maternal and Child Health Bureau (</w:t>
      </w:r>
      <w:r w:rsidR="002E5178">
        <w:rPr>
          <w:sz w:val="24"/>
        </w:rPr>
        <w:t xml:space="preserve">HRSA </w:t>
      </w:r>
      <w:r w:rsidRPr="004D492E">
        <w:rPr>
          <w:sz w:val="24"/>
        </w:rPr>
        <w:t>MCHB) redesign</w:t>
      </w:r>
      <w:r w:rsidR="0007362B">
        <w:rPr>
          <w:sz w:val="24"/>
        </w:rPr>
        <w:t>ed</w:t>
      </w:r>
      <w:r w:rsidRPr="004D492E">
        <w:rPr>
          <w:sz w:val="24"/>
        </w:rPr>
        <w:t xml:space="preserve"> the NSCH</w:t>
      </w:r>
      <w:r w:rsidR="006A6D61">
        <w:rPr>
          <w:sz w:val="24"/>
        </w:rPr>
        <w:t xml:space="preserve"> (</w:t>
      </w:r>
      <w:r w:rsidR="006A6D61" w:rsidRPr="006A6D61">
        <w:rPr>
          <w:sz w:val="24"/>
        </w:rPr>
        <w:t>Blumberg</w:t>
      </w:r>
      <w:r w:rsidR="006A6D61">
        <w:rPr>
          <w:sz w:val="24"/>
        </w:rPr>
        <w:t>,</w:t>
      </w:r>
      <w:r w:rsidR="006A6D61" w:rsidRPr="006A6D61">
        <w:rPr>
          <w:sz w:val="24"/>
        </w:rPr>
        <w:t xml:space="preserve"> Foster</w:t>
      </w:r>
      <w:r w:rsidR="006A6D61">
        <w:rPr>
          <w:sz w:val="24"/>
        </w:rPr>
        <w:t>,</w:t>
      </w:r>
      <w:r w:rsidR="006A6D61" w:rsidRPr="006A6D61">
        <w:rPr>
          <w:sz w:val="24"/>
        </w:rPr>
        <w:t xml:space="preserve"> Frasier, et al.</w:t>
      </w:r>
      <w:r w:rsidR="006A6D61">
        <w:rPr>
          <w:sz w:val="24"/>
        </w:rPr>
        <w:t>, 2012)</w:t>
      </w:r>
      <w:r w:rsidR="006A6D61" w:rsidRPr="006A6D61">
        <w:rPr>
          <w:rStyle w:val="FootnoteReference"/>
          <w:sz w:val="24"/>
          <w:vertAlign w:val="superscript"/>
        </w:rPr>
        <w:footnoteReference w:id="2"/>
      </w:r>
      <w:r w:rsidRPr="004D492E">
        <w:rPr>
          <w:sz w:val="24"/>
        </w:rPr>
        <w:t xml:space="preserve"> and </w:t>
      </w:r>
      <w:r w:rsidR="00A35B1E">
        <w:rPr>
          <w:sz w:val="24"/>
        </w:rPr>
        <w:t xml:space="preserve">its companion survey, the </w:t>
      </w:r>
      <w:r w:rsidRPr="004D492E">
        <w:rPr>
          <w:sz w:val="24"/>
        </w:rPr>
        <w:t>National Survey of Children with Special Health Care Needs (</w:t>
      </w:r>
      <w:r w:rsidR="00DE44A8">
        <w:rPr>
          <w:sz w:val="24"/>
        </w:rPr>
        <w:t>(</w:t>
      </w:r>
      <w:r w:rsidRPr="004D492E">
        <w:rPr>
          <w:sz w:val="24"/>
        </w:rPr>
        <w:t>NS-CSHCN</w:t>
      </w:r>
      <w:r w:rsidR="00DE44A8">
        <w:rPr>
          <w:sz w:val="24"/>
        </w:rPr>
        <w:t>)</w:t>
      </w:r>
      <w:r w:rsidR="002E5178">
        <w:rPr>
          <w:sz w:val="24"/>
        </w:rPr>
        <w:t xml:space="preserve"> </w:t>
      </w:r>
      <w:r w:rsidR="00DE44A8">
        <w:rPr>
          <w:sz w:val="24"/>
        </w:rPr>
        <w:t>Bramlett, Blumberg,</w:t>
      </w:r>
      <w:r w:rsidR="00344C2C">
        <w:rPr>
          <w:sz w:val="24"/>
        </w:rPr>
        <w:t xml:space="preserve"> </w:t>
      </w:r>
      <w:r w:rsidR="00DE44A8">
        <w:rPr>
          <w:sz w:val="24"/>
        </w:rPr>
        <w:t>Ormson, et al.</w:t>
      </w:r>
      <w:r w:rsidR="00344C2C">
        <w:rPr>
          <w:sz w:val="24"/>
        </w:rPr>
        <w:t>,</w:t>
      </w:r>
      <w:r w:rsidR="00DE44A8">
        <w:rPr>
          <w:sz w:val="24"/>
        </w:rPr>
        <w:t xml:space="preserve"> 2014</w:t>
      </w:r>
      <w:r w:rsidRPr="004D492E">
        <w:rPr>
          <w:sz w:val="24"/>
        </w:rPr>
        <w:t>)</w:t>
      </w:r>
      <w:r w:rsidR="00DE44A8" w:rsidRPr="00DE44A8">
        <w:rPr>
          <w:rStyle w:val="FootnoteReference"/>
          <w:sz w:val="24"/>
          <w:vertAlign w:val="superscript"/>
        </w:rPr>
        <w:footnoteReference w:id="3"/>
      </w:r>
      <w:r w:rsidRPr="00DE44A8">
        <w:rPr>
          <w:sz w:val="24"/>
          <w:vertAlign w:val="superscript"/>
        </w:rPr>
        <w:t xml:space="preserve"> </w:t>
      </w:r>
      <w:r w:rsidRPr="004D492E">
        <w:rPr>
          <w:sz w:val="24"/>
        </w:rPr>
        <w:t>into a single combined survey</w:t>
      </w:r>
      <w:r w:rsidR="004D492E">
        <w:rPr>
          <w:sz w:val="24"/>
        </w:rPr>
        <w:t xml:space="preserve"> </w:t>
      </w:r>
      <w:r w:rsidR="0007362B">
        <w:rPr>
          <w:sz w:val="24"/>
        </w:rPr>
        <w:t>for the first time in 2016.</w:t>
      </w:r>
      <w:r w:rsidR="004D492E">
        <w:rPr>
          <w:sz w:val="24"/>
        </w:rPr>
        <w:t xml:space="preserve"> </w:t>
      </w:r>
      <w:r w:rsidR="00E62916">
        <w:rPr>
          <w:sz w:val="24"/>
        </w:rPr>
        <w:t>This new</w:t>
      </w:r>
      <w:r w:rsidR="00B322BE">
        <w:rPr>
          <w:sz w:val="24"/>
        </w:rPr>
        <w:t>ly consolidated</w:t>
      </w:r>
      <w:r w:rsidR="00E62916">
        <w:rPr>
          <w:sz w:val="24"/>
        </w:rPr>
        <w:t xml:space="preserve"> survey, which</w:t>
      </w:r>
      <w:r w:rsidR="00C5438A">
        <w:rPr>
          <w:sz w:val="24"/>
        </w:rPr>
        <w:t xml:space="preserve"> </w:t>
      </w:r>
      <w:r w:rsidR="00E62916">
        <w:rPr>
          <w:sz w:val="24"/>
        </w:rPr>
        <w:t>incorporate</w:t>
      </w:r>
      <w:r w:rsidR="00C5438A">
        <w:rPr>
          <w:sz w:val="24"/>
        </w:rPr>
        <w:t>s</w:t>
      </w:r>
      <w:r w:rsidR="00E62916">
        <w:rPr>
          <w:sz w:val="24"/>
        </w:rPr>
        <w:t xml:space="preserve"> questions from both </w:t>
      </w:r>
      <w:r w:rsidR="00A35B1E">
        <w:rPr>
          <w:sz w:val="24"/>
        </w:rPr>
        <w:t>of these surveys</w:t>
      </w:r>
      <w:r w:rsidR="00E62916">
        <w:rPr>
          <w:sz w:val="24"/>
        </w:rPr>
        <w:t xml:space="preserve">, </w:t>
      </w:r>
      <w:r w:rsidR="00C5438A">
        <w:rPr>
          <w:sz w:val="24"/>
        </w:rPr>
        <w:t>utilized an Address-</w:t>
      </w:r>
      <w:r w:rsidR="00C5438A" w:rsidRPr="004D492E">
        <w:rPr>
          <w:sz w:val="24"/>
        </w:rPr>
        <w:t>Based Sampling (ABS) frame</w:t>
      </w:r>
      <w:r w:rsidR="00C5438A">
        <w:rPr>
          <w:sz w:val="24"/>
        </w:rPr>
        <w:t xml:space="preserve"> and </w:t>
      </w:r>
      <w:r w:rsidR="00812817">
        <w:rPr>
          <w:sz w:val="24"/>
        </w:rPr>
        <w:t>retain</w:t>
      </w:r>
      <w:r w:rsidR="00C5438A">
        <w:rPr>
          <w:sz w:val="24"/>
        </w:rPr>
        <w:t>ed</w:t>
      </w:r>
      <w:r w:rsidR="00812817">
        <w:rPr>
          <w:sz w:val="24"/>
        </w:rPr>
        <w:t xml:space="preserve"> the name </w:t>
      </w:r>
      <w:r w:rsidR="00E62916">
        <w:rPr>
          <w:sz w:val="24"/>
        </w:rPr>
        <w:t>National Survey of Children’</w:t>
      </w:r>
      <w:r w:rsidR="0051063C">
        <w:rPr>
          <w:sz w:val="24"/>
        </w:rPr>
        <w:t>s Health.</w:t>
      </w:r>
      <w:r w:rsidR="00E62916">
        <w:rPr>
          <w:sz w:val="24"/>
        </w:rPr>
        <w:t xml:space="preserve">  </w:t>
      </w:r>
    </w:p>
    <w:p w14:paraId="091DEFA7" w14:textId="77777777" w:rsidR="00045B26" w:rsidRPr="004D492E" w:rsidRDefault="00045B26" w:rsidP="004D492E">
      <w:pPr>
        <w:rPr>
          <w:sz w:val="24"/>
        </w:rPr>
      </w:pPr>
    </w:p>
    <w:p w14:paraId="11636200" w14:textId="3B3CD129" w:rsidR="00150968" w:rsidRDefault="00F75A58" w:rsidP="0077283F">
      <w:pPr>
        <w:rPr>
          <w:sz w:val="24"/>
        </w:rPr>
      </w:pPr>
      <w:r>
        <w:rPr>
          <w:sz w:val="24"/>
        </w:rPr>
        <w:t>I</w:t>
      </w:r>
      <w:r w:rsidRPr="004D492E">
        <w:rPr>
          <w:sz w:val="24"/>
        </w:rPr>
        <w:t>n recent years</w:t>
      </w:r>
      <w:r w:rsidR="00755987">
        <w:rPr>
          <w:sz w:val="24"/>
        </w:rPr>
        <w:t>,</w:t>
      </w:r>
      <w:r w:rsidRPr="004D492E">
        <w:rPr>
          <w:sz w:val="24"/>
        </w:rPr>
        <w:t xml:space="preserve"> </w:t>
      </w:r>
      <w:r w:rsidR="00755987">
        <w:rPr>
          <w:sz w:val="24"/>
        </w:rPr>
        <w:t xml:space="preserve">the </w:t>
      </w:r>
      <w:r w:rsidRPr="004D492E">
        <w:rPr>
          <w:sz w:val="24"/>
        </w:rPr>
        <w:t xml:space="preserve">declining willingness of the public to participate in surveys and changes in household telephone use has resulted in </w:t>
      </w:r>
      <w:r>
        <w:rPr>
          <w:sz w:val="24"/>
        </w:rPr>
        <w:t xml:space="preserve">lower </w:t>
      </w:r>
      <w:r w:rsidRPr="004D492E">
        <w:rPr>
          <w:sz w:val="24"/>
        </w:rPr>
        <w:t xml:space="preserve">response rates </w:t>
      </w:r>
      <w:r>
        <w:rPr>
          <w:sz w:val="24"/>
        </w:rPr>
        <w:t xml:space="preserve">for </w:t>
      </w:r>
      <w:r w:rsidR="00BC23BB">
        <w:rPr>
          <w:sz w:val="24"/>
        </w:rPr>
        <w:t>Computer-Assisted Telephone Interviewing (</w:t>
      </w:r>
      <w:r>
        <w:rPr>
          <w:sz w:val="24"/>
        </w:rPr>
        <w:t>CATI</w:t>
      </w:r>
      <w:r w:rsidR="00BC23BB">
        <w:rPr>
          <w:sz w:val="24"/>
        </w:rPr>
        <w:t>)</w:t>
      </w:r>
      <w:r>
        <w:rPr>
          <w:sz w:val="24"/>
        </w:rPr>
        <w:t xml:space="preserve"> </w:t>
      </w:r>
      <w:r w:rsidRPr="004D492E">
        <w:rPr>
          <w:sz w:val="24"/>
        </w:rPr>
        <w:t>surveys</w:t>
      </w:r>
      <w:r>
        <w:rPr>
          <w:sz w:val="24"/>
        </w:rPr>
        <w:t>, the prior mode for NSCH and NS-CSHCN data collection</w:t>
      </w:r>
      <w:r w:rsidRPr="004D492E">
        <w:rPr>
          <w:sz w:val="24"/>
        </w:rPr>
        <w:t xml:space="preserve">. Of particular concern is the increasing prevalence of households that have substituted wireless service </w:t>
      </w:r>
      <w:r>
        <w:rPr>
          <w:sz w:val="24"/>
        </w:rPr>
        <w:t>for their landline telephone (Blumberg &amp; Luke, 2015)</w:t>
      </w:r>
      <w:r w:rsidRPr="00DE44A8">
        <w:rPr>
          <w:rStyle w:val="FootnoteReference"/>
          <w:sz w:val="24"/>
          <w:vertAlign w:val="superscript"/>
        </w:rPr>
        <w:footnoteReference w:id="4"/>
      </w:r>
      <w:r w:rsidRPr="004D492E">
        <w:rPr>
          <w:sz w:val="24"/>
        </w:rPr>
        <w:t xml:space="preserve">. </w:t>
      </w:r>
      <w:r w:rsidR="0056188F">
        <w:rPr>
          <w:sz w:val="24"/>
        </w:rPr>
        <w:t>Th</w:t>
      </w:r>
      <w:r w:rsidR="003E0819">
        <w:rPr>
          <w:sz w:val="24"/>
        </w:rPr>
        <w:t>e</w:t>
      </w:r>
      <w:r w:rsidR="0056188F">
        <w:rPr>
          <w:sz w:val="24"/>
        </w:rPr>
        <w:t xml:space="preserve"> </w:t>
      </w:r>
      <w:r w:rsidR="00045B26" w:rsidRPr="004D492E">
        <w:rPr>
          <w:sz w:val="24"/>
        </w:rPr>
        <w:t xml:space="preserve">decline in response rates and </w:t>
      </w:r>
      <w:r w:rsidR="00755987">
        <w:rPr>
          <w:sz w:val="24"/>
        </w:rPr>
        <w:t>difficulties in providing a representative sample at reasonable costs continue</w:t>
      </w:r>
      <w:r w:rsidR="003E0819">
        <w:rPr>
          <w:sz w:val="24"/>
        </w:rPr>
        <w:t xml:space="preserve"> to be</w:t>
      </w:r>
      <w:r w:rsidR="00755987">
        <w:rPr>
          <w:sz w:val="24"/>
        </w:rPr>
        <w:t xml:space="preserve"> </w:t>
      </w:r>
      <w:r w:rsidR="00C94141">
        <w:rPr>
          <w:sz w:val="24"/>
        </w:rPr>
        <w:t>significant</w:t>
      </w:r>
      <w:r w:rsidR="003E0819">
        <w:rPr>
          <w:sz w:val="24"/>
        </w:rPr>
        <w:t xml:space="preserve"> parts of </w:t>
      </w:r>
      <w:r w:rsidR="00A21A00">
        <w:rPr>
          <w:sz w:val="24"/>
        </w:rPr>
        <w:t>our</w:t>
      </w:r>
      <w:r w:rsidR="00C94141">
        <w:rPr>
          <w:sz w:val="24"/>
        </w:rPr>
        <w:t xml:space="preserve"> planning </w:t>
      </w:r>
      <w:r w:rsidR="00A21A00">
        <w:rPr>
          <w:sz w:val="24"/>
        </w:rPr>
        <w:t xml:space="preserve">considerations </w:t>
      </w:r>
      <w:r w:rsidR="00C94141">
        <w:rPr>
          <w:sz w:val="24"/>
        </w:rPr>
        <w:t xml:space="preserve">as the 2016 NSCH procedures are revised for 2017. The 2017 NSCH will continue to follow the redesign recommendations that led to the design in 2016, and </w:t>
      </w:r>
      <w:r w:rsidR="00CA24B9">
        <w:rPr>
          <w:sz w:val="24"/>
        </w:rPr>
        <w:t>utilize a two-phase multi</w:t>
      </w:r>
      <w:r w:rsidR="00045B26" w:rsidRPr="004D492E">
        <w:rPr>
          <w:sz w:val="24"/>
        </w:rPr>
        <w:t>mode</w:t>
      </w:r>
      <w:r w:rsidR="00BC23BB">
        <w:rPr>
          <w:sz w:val="24"/>
        </w:rPr>
        <w:t xml:space="preserve"> (Web or paper)</w:t>
      </w:r>
      <w:r w:rsidR="00045B26" w:rsidRPr="004D492E">
        <w:rPr>
          <w:sz w:val="24"/>
        </w:rPr>
        <w:t xml:space="preserve"> data collection design for</w:t>
      </w:r>
      <w:r w:rsidR="004D492E">
        <w:rPr>
          <w:sz w:val="24"/>
        </w:rPr>
        <w:t xml:space="preserve"> a</w:t>
      </w:r>
      <w:r w:rsidR="00045B26" w:rsidRPr="004D492E">
        <w:rPr>
          <w:sz w:val="24"/>
        </w:rPr>
        <w:t xml:space="preserve"> combined </w:t>
      </w:r>
      <w:r w:rsidR="0056188F">
        <w:rPr>
          <w:sz w:val="24"/>
        </w:rPr>
        <w:lastRenderedPageBreak/>
        <w:t xml:space="preserve">NSCH/NS-CSHCN </w:t>
      </w:r>
      <w:r w:rsidR="00045B26" w:rsidRPr="004D492E">
        <w:rPr>
          <w:sz w:val="24"/>
        </w:rPr>
        <w:t>survey. The NSCH consist</w:t>
      </w:r>
      <w:r w:rsidR="00C94141">
        <w:rPr>
          <w:sz w:val="24"/>
        </w:rPr>
        <w:t>s</w:t>
      </w:r>
      <w:r w:rsidR="00045B26" w:rsidRPr="004D492E">
        <w:rPr>
          <w:sz w:val="24"/>
        </w:rPr>
        <w:t xml:space="preserve"> of two questionnaires: </w:t>
      </w:r>
      <w:r w:rsidR="00306436">
        <w:rPr>
          <w:sz w:val="24"/>
        </w:rPr>
        <w:t>(</w:t>
      </w:r>
      <w:r w:rsidR="00045B26" w:rsidRPr="004D492E">
        <w:rPr>
          <w:sz w:val="24"/>
        </w:rPr>
        <w:t xml:space="preserve">1) an initial household screener to assess the presence of children in the home and facilitate the selection of a target child </w:t>
      </w:r>
      <w:r w:rsidR="0015297A">
        <w:rPr>
          <w:sz w:val="24"/>
        </w:rPr>
        <w:t>within</w:t>
      </w:r>
      <w:r w:rsidR="00045B26" w:rsidRPr="004D492E">
        <w:rPr>
          <w:sz w:val="24"/>
        </w:rPr>
        <w:t xml:space="preserve"> the household (with oversampling of children with special health care needs), and </w:t>
      </w:r>
      <w:r w:rsidR="00306436">
        <w:rPr>
          <w:sz w:val="24"/>
        </w:rPr>
        <w:t>(</w:t>
      </w:r>
      <w:r w:rsidR="00045B26" w:rsidRPr="004D492E">
        <w:rPr>
          <w:sz w:val="24"/>
        </w:rPr>
        <w:t xml:space="preserve">2) a substantive topical questionnaire that combines selected content from the </w:t>
      </w:r>
      <w:r w:rsidR="0056188F">
        <w:rPr>
          <w:sz w:val="24"/>
        </w:rPr>
        <w:t xml:space="preserve">former </w:t>
      </w:r>
      <w:r w:rsidR="00045B26" w:rsidRPr="004D492E">
        <w:rPr>
          <w:sz w:val="24"/>
        </w:rPr>
        <w:t xml:space="preserve">NSCH and NS-CSHCN questionnaires along with </w:t>
      </w:r>
      <w:r w:rsidR="00C94141">
        <w:rPr>
          <w:sz w:val="24"/>
        </w:rPr>
        <w:t xml:space="preserve">updated </w:t>
      </w:r>
      <w:r w:rsidR="00045B26" w:rsidRPr="004D492E">
        <w:rPr>
          <w:sz w:val="24"/>
        </w:rPr>
        <w:t>content.</w:t>
      </w:r>
    </w:p>
    <w:p w14:paraId="079C2EB0" w14:textId="1A245314" w:rsidR="00150968" w:rsidRDefault="00150968" w:rsidP="0077283F">
      <w:pPr>
        <w:rPr>
          <w:sz w:val="24"/>
        </w:rPr>
      </w:pPr>
    </w:p>
    <w:p w14:paraId="475C7CE3" w14:textId="388E6351" w:rsidR="00954A98" w:rsidRDefault="00000CF7" w:rsidP="0077283F">
      <w:pPr>
        <w:rPr>
          <w:sz w:val="24"/>
        </w:rPr>
      </w:pPr>
      <w:r>
        <w:rPr>
          <w:sz w:val="24"/>
        </w:rPr>
        <w:t xml:space="preserve">In 2015, the NSCH was pretested </w:t>
      </w:r>
      <w:r w:rsidRPr="006434B6">
        <w:rPr>
          <w:sz w:val="24"/>
        </w:rPr>
        <w:t>(administered from June – December 2015</w:t>
      </w:r>
      <w:r>
        <w:rPr>
          <w:sz w:val="24"/>
        </w:rPr>
        <w:t>, OMB 0607-0984</w:t>
      </w:r>
      <w:r w:rsidRPr="006434B6">
        <w:rPr>
          <w:sz w:val="24"/>
        </w:rPr>
        <w:t xml:space="preserve">) </w:t>
      </w:r>
      <w:r>
        <w:rPr>
          <w:sz w:val="24"/>
        </w:rPr>
        <w:t xml:space="preserve">using separate procedures for an internet based web mode and mailed paper instrument collection modes. </w:t>
      </w:r>
      <w:r w:rsidRPr="006434B6">
        <w:rPr>
          <w:sz w:val="24"/>
        </w:rPr>
        <w:t xml:space="preserve">In the </w:t>
      </w:r>
      <w:r w:rsidR="009D005B">
        <w:rPr>
          <w:sz w:val="24"/>
        </w:rPr>
        <w:t xml:space="preserve">2015 NSCH </w:t>
      </w:r>
      <w:r w:rsidRPr="006434B6">
        <w:rPr>
          <w:sz w:val="24"/>
        </w:rPr>
        <w:t>pretest, we observed a</w:t>
      </w:r>
      <w:r>
        <w:rPr>
          <w:sz w:val="24"/>
        </w:rPr>
        <w:t xml:space="preserve"> </w:t>
      </w:r>
      <w:r w:rsidRPr="006434B6">
        <w:rPr>
          <w:sz w:val="24"/>
        </w:rPr>
        <w:t xml:space="preserve">web response rate of over </w:t>
      </w:r>
      <w:r>
        <w:rPr>
          <w:sz w:val="24"/>
        </w:rPr>
        <w:t>54</w:t>
      </w:r>
      <w:r w:rsidRPr="006434B6">
        <w:rPr>
          <w:sz w:val="24"/>
        </w:rPr>
        <w:t>%</w:t>
      </w:r>
      <w:r>
        <w:rPr>
          <w:sz w:val="24"/>
        </w:rPr>
        <w:t xml:space="preserve"> (19% of the web push group eventually responded by paper)</w:t>
      </w:r>
      <w:r w:rsidRPr="006434B6">
        <w:rPr>
          <w:sz w:val="24"/>
        </w:rPr>
        <w:t>.</w:t>
      </w:r>
      <w:r>
        <w:rPr>
          <w:sz w:val="24"/>
        </w:rPr>
        <w:t xml:space="preserve"> Howe</w:t>
      </w:r>
      <w:r w:rsidR="00B547C4">
        <w:rPr>
          <w:sz w:val="24"/>
        </w:rPr>
        <w:t xml:space="preserve">ver, the sample composition for the pretest </w:t>
      </w:r>
      <w:r w:rsidR="009D005B">
        <w:rPr>
          <w:sz w:val="24"/>
        </w:rPr>
        <w:t xml:space="preserve">included </w:t>
      </w:r>
      <w:r w:rsidR="00D73618">
        <w:rPr>
          <w:sz w:val="24"/>
        </w:rPr>
        <w:t xml:space="preserve">more </w:t>
      </w:r>
      <w:r w:rsidR="009D005B">
        <w:rPr>
          <w:sz w:val="24"/>
        </w:rPr>
        <w:t>ad</w:t>
      </w:r>
      <w:r w:rsidR="00D73618">
        <w:rPr>
          <w:sz w:val="24"/>
        </w:rPr>
        <w:t>dresses with a higher income and a</w:t>
      </w:r>
      <w:r w:rsidR="009D005B">
        <w:rPr>
          <w:sz w:val="24"/>
        </w:rPr>
        <w:t xml:space="preserve"> higher </w:t>
      </w:r>
      <w:r w:rsidR="00D73618">
        <w:rPr>
          <w:sz w:val="24"/>
        </w:rPr>
        <w:t xml:space="preserve">education </w:t>
      </w:r>
      <w:r w:rsidR="009D005B">
        <w:rPr>
          <w:sz w:val="24"/>
        </w:rPr>
        <w:t xml:space="preserve">level </w:t>
      </w:r>
      <w:r w:rsidR="00D73618">
        <w:rPr>
          <w:sz w:val="24"/>
        </w:rPr>
        <w:t>than</w:t>
      </w:r>
      <w:r w:rsidR="009D005B">
        <w:rPr>
          <w:sz w:val="24"/>
        </w:rPr>
        <w:t xml:space="preserve"> the general U.S. population</w:t>
      </w:r>
      <w:r w:rsidR="006C4DBF">
        <w:rPr>
          <w:sz w:val="24"/>
        </w:rPr>
        <w:t>.</w:t>
      </w:r>
      <w:r w:rsidR="00BC23BB" w:rsidRPr="00342FB3">
        <w:rPr>
          <w:sz w:val="24"/>
        </w:rPr>
        <w:t xml:space="preserve"> </w:t>
      </w:r>
      <w:r w:rsidR="00BA18F4">
        <w:rPr>
          <w:sz w:val="24"/>
        </w:rPr>
        <w:t>The source of the sample and the sampling methodology were updated for the 2016 NSCH cycle.  The 2016 NSCH was shifted to the Census Bureau’s Master Address File (MAF), combined with auxiliary information to sample households with children more efficiently. A byproduct of the more accurate sample composition in 2016 was a realized response rate that was lower than the 2015 pretest. The s</w:t>
      </w:r>
      <w:r w:rsidR="00D73618">
        <w:rPr>
          <w:sz w:val="24"/>
        </w:rPr>
        <w:t xml:space="preserve">ample composition </w:t>
      </w:r>
      <w:r w:rsidR="00BA18F4">
        <w:rPr>
          <w:sz w:val="24"/>
        </w:rPr>
        <w:t>and response characteristics fr</w:t>
      </w:r>
      <w:r w:rsidR="00954A98">
        <w:rPr>
          <w:sz w:val="24"/>
        </w:rPr>
        <w:t>om the 2016 NSCH cycle continue</w:t>
      </w:r>
      <w:r w:rsidR="00BA18F4">
        <w:rPr>
          <w:sz w:val="24"/>
        </w:rPr>
        <w:t xml:space="preserve"> to be </w:t>
      </w:r>
      <w:r w:rsidR="00D73618">
        <w:rPr>
          <w:sz w:val="24"/>
        </w:rPr>
        <w:t>researched</w:t>
      </w:r>
      <w:r w:rsidR="00954A98">
        <w:rPr>
          <w:sz w:val="24"/>
        </w:rPr>
        <w:t xml:space="preserve"> in order to</w:t>
      </w:r>
      <w:r w:rsidR="00D73618">
        <w:rPr>
          <w:sz w:val="24"/>
        </w:rPr>
        <w:t xml:space="preserve"> improve the 201</w:t>
      </w:r>
      <w:r w:rsidR="00954A98">
        <w:rPr>
          <w:sz w:val="24"/>
        </w:rPr>
        <w:t>7</w:t>
      </w:r>
      <w:r w:rsidR="00D73618">
        <w:rPr>
          <w:sz w:val="24"/>
        </w:rPr>
        <w:t xml:space="preserve"> NSCH cycle. </w:t>
      </w:r>
    </w:p>
    <w:p w14:paraId="0D37539A" w14:textId="77777777" w:rsidR="00954A98" w:rsidRDefault="00954A98" w:rsidP="0077283F">
      <w:pPr>
        <w:rPr>
          <w:sz w:val="24"/>
        </w:rPr>
      </w:pPr>
    </w:p>
    <w:p w14:paraId="632764FF" w14:textId="2A580151" w:rsidR="00590A58" w:rsidRDefault="0071477C" w:rsidP="0077283F">
      <w:pPr>
        <w:rPr>
          <w:sz w:val="24"/>
        </w:rPr>
      </w:pPr>
      <w:r>
        <w:rPr>
          <w:sz w:val="24"/>
        </w:rPr>
        <w:t>O</w:t>
      </w:r>
      <w:r w:rsidR="002C5FD5">
        <w:rPr>
          <w:sz w:val="24"/>
        </w:rPr>
        <w:t xml:space="preserve">bserved response rates </w:t>
      </w:r>
      <w:r>
        <w:rPr>
          <w:sz w:val="24"/>
        </w:rPr>
        <w:t xml:space="preserve">were </w:t>
      </w:r>
      <w:r w:rsidR="002C5FD5" w:rsidRPr="002C5FD5">
        <w:rPr>
          <w:sz w:val="24"/>
        </w:rPr>
        <w:t xml:space="preserve">lower than the </w:t>
      </w:r>
      <w:r>
        <w:rPr>
          <w:sz w:val="24"/>
        </w:rPr>
        <w:t>pretest as were</w:t>
      </w:r>
      <w:r w:rsidR="002C5FD5">
        <w:rPr>
          <w:sz w:val="24"/>
        </w:rPr>
        <w:t xml:space="preserve"> our conservative </w:t>
      </w:r>
      <w:r w:rsidR="00B01F8A">
        <w:rPr>
          <w:sz w:val="24"/>
        </w:rPr>
        <w:t xml:space="preserve">adjustments to the expectations from the pretest. </w:t>
      </w:r>
      <w:r w:rsidR="002C5FD5" w:rsidRPr="002C5FD5">
        <w:rPr>
          <w:sz w:val="24"/>
        </w:rPr>
        <w:t xml:space="preserve">While </w:t>
      </w:r>
      <w:r w:rsidR="00577B21">
        <w:rPr>
          <w:sz w:val="24"/>
        </w:rPr>
        <w:t xml:space="preserve">weighting is still being developed and </w:t>
      </w:r>
      <w:r w:rsidR="002C5FD5" w:rsidRPr="002C5FD5">
        <w:rPr>
          <w:sz w:val="24"/>
        </w:rPr>
        <w:t xml:space="preserve">sample composition is being evaluated, </w:t>
      </w:r>
      <w:r w:rsidR="00577B21">
        <w:rPr>
          <w:sz w:val="24"/>
        </w:rPr>
        <w:t>the 2016 NSCH has enabled us</w:t>
      </w:r>
      <w:r w:rsidR="002C5FD5" w:rsidRPr="002C5FD5">
        <w:rPr>
          <w:sz w:val="24"/>
        </w:rPr>
        <w:t xml:space="preserve"> to </w:t>
      </w:r>
      <w:r w:rsidR="00577B21">
        <w:rPr>
          <w:sz w:val="24"/>
        </w:rPr>
        <w:t>develop refinements in</w:t>
      </w:r>
      <w:r w:rsidR="002C5FD5" w:rsidRPr="002C5FD5">
        <w:rPr>
          <w:sz w:val="24"/>
        </w:rPr>
        <w:t xml:space="preserve"> the production use of flags identifying the </w:t>
      </w:r>
      <w:r w:rsidR="00577B21">
        <w:rPr>
          <w:sz w:val="24"/>
        </w:rPr>
        <w:t>presence of children in the household</w:t>
      </w:r>
      <w:r w:rsidR="00C33224">
        <w:rPr>
          <w:sz w:val="24"/>
        </w:rPr>
        <w:t>,</w:t>
      </w:r>
      <w:r w:rsidR="00577B21">
        <w:rPr>
          <w:sz w:val="24"/>
        </w:rPr>
        <w:t xml:space="preserve"> as well as flags indicating the </w:t>
      </w:r>
      <w:r w:rsidR="002C5FD5" w:rsidRPr="002C5FD5">
        <w:rPr>
          <w:sz w:val="24"/>
        </w:rPr>
        <w:t xml:space="preserve">likelihood of responding by </w:t>
      </w:r>
      <w:r w:rsidR="001708B6">
        <w:rPr>
          <w:sz w:val="24"/>
        </w:rPr>
        <w:t>Internet</w:t>
      </w:r>
      <w:r w:rsidR="00577B21">
        <w:rPr>
          <w:sz w:val="24"/>
        </w:rPr>
        <w:t xml:space="preserve">. The </w:t>
      </w:r>
      <w:r w:rsidR="001708B6">
        <w:rPr>
          <w:sz w:val="24"/>
        </w:rPr>
        <w:t>Internet</w:t>
      </w:r>
      <w:r w:rsidR="00577B21">
        <w:rPr>
          <w:sz w:val="24"/>
        </w:rPr>
        <w:t xml:space="preserve"> likelihood flag is being revised </w:t>
      </w:r>
      <w:r w:rsidR="00914CAE">
        <w:rPr>
          <w:sz w:val="24"/>
        </w:rPr>
        <w:t xml:space="preserve">for 2017 </w:t>
      </w:r>
      <w:r w:rsidR="00577B21">
        <w:rPr>
          <w:sz w:val="24"/>
        </w:rPr>
        <w:t xml:space="preserve">to increase its </w:t>
      </w:r>
      <w:r w:rsidR="002C5FD5" w:rsidRPr="002C5FD5">
        <w:rPr>
          <w:sz w:val="24"/>
        </w:rPr>
        <w:t xml:space="preserve">ability to </w:t>
      </w:r>
      <w:r w:rsidR="00914CAE">
        <w:rPr>
          <w:sz w:val="24"/>
        </w:rPr>
        <w:t>identify</w:t>
      </w:r>
      <w:r w:rsidR="002C5FD5" w:rsidRPr="002C5FD5">
        <w:rPr>
          <w:sz w:val="24"/>
        </w:rPr>
        <w:t xml:space="preserve"> </w:t>
      </w:r>
      <w:r w:rsidR="00577B21">
        <w:rPr>
          <w:sz w:val="24"/>
        </w:rPr>
        <w:t xml:space="preserve">households most likely to </w:t>
      </w:r>
      <w:r w:rsidR="003A4F85">
        <w:rPr>
          <w:sz w:val="24"/>
        </w:rPr>
        <w:t>respond by a particular mode of data collection.</w:t>
      </w:r>
      <w:r w:rsidR="002C5FD5" w:rsidRPr="002C5FD5">
        <w:rPr>
          <w:sz w:val="24"/>
        </w:rPr>
        <w:t xml:space="preserve"> The indicator that we developed for differentiating households likely to respond by </w:t>
      </w:r>
      <w:r w:rsidR="001708B6">
        <w:rPr>
          <w:sz w:val="24"/>
        </w:rPr>
        <w:t>Internet</w:t>
      </w:r>
      <w:r w:rsidR="002C5FD5" w:rsidRPr="002C5FD5">
        <w:rPr>
          <w:sz w:val="24"/>
        </w:rPr>
        <w:t xml:space="preserve"> versus paper was more successful at indicating the likelihood of overall survey response than the preference for </w:t>
      </w:r>
      <w:r w:rsidR="001708B6">
        <w:rPr>
          <w:sz w:val="24"/>
        </w:rPr>
        <w:t>Internet</w:t>
      </w:r>
      <w:r w:rsidR="002C5FD5" w:rsidRPr="002C5FD5">
        <w:rPr>
          <w:sz w:val="24"/>
        </w:rPr>
        <w:t xml:space="preserve"> over paper (medium/high </w:t>
      </w:r>
      <w:r w:rsidR="001708B6">
        <w:rPr>
          <w:sz w:val="24"/>
        </w:rPr>
        <w:t>Internet</w:t>
      </w:r>
      <w:r w:rsidR="002C5FD5" w:rsidRPr="002C5FD5">
        <w:rPr>
          <w:sz w:val="24"/>
        </w:rPr>
        <w:t xml:space="preserve"> group were more likely to respond in general than the low </w:t>
      </w:r>
      <w:r w:rsidR="001708B6">
        <w:rPr>
          <w:sz w:val="24"/>
        </w:rPr>
        <w:t>Internet</w:t>
      </w:r>
      <w:r w:rsidR="002C5FD5" w:rsidRPr="002C5FD5">
        <w:rPr>
          <w:sz w:val="24"/>
        </w:rPr>
        <w:t xml:space="preserve"> group). Since there continues to be</w:t>
      </w:r>
      <w:r w:rsidR="002C5FD5">
        <w:rPr>
          <w:sz w:val="24"/>
        </w:rPr>
        <w:t xml:space="preserve"> </w:t>
      </w:r>
      <w:r w:rsidR="002C5FD5" w:rsidRPr="002C5FD5">
        <w:rPr>
          <w:sz w:val="24"/>
        </w:rPr>
        <w:t xml:space="preserve">a significant potential for cost savings for web data collection over paper data collection, we are working to refine and retest an </w:t>
      </w:r>
      <w:r w:rsidR="001708B6">
        <w:rPr>
          <w:sz w:val="24"/>
        </w:rPr>
        <w:t>Internet</w:t>
      </w:r>
      <w:r w:rsidR="002C5FD5" w:rsidRPr="002C5FD5">
        <w:rPr>
          <w:sz w:val="24"/>
        </w:rPr>
        <w:t xml:space="preserve"> response indicator for the 2017 NSCH based on the results from the 2016 data collection. </w:t>
      </w:r>
    </w:p>
    <w:p w14:paraId="3B314EF1" w14:textId="4475DA5D" w:rsidR="00B56B9C" w:rsidRDefault="00457E37" w:rsidP="00B56B9C">
      <w:pPr>
        <w:spacing w:before="240"/>
        <w:rPr>
          <w:bCs/>
          <w:sz w:val="24"/>
        </w:rPr>
      </w:pPr>
      <w:r w:rsidRPr="00220557">
        <w:rPr>
          <w:color w:val="000000"/>
          <w:sz w:val="24"/>
        </w:rPr>
        <w:t>The U.S. Census Bureau is required by law to protect your information</w:t>
      </w:r>
      <w:r w:rsidR="00366B8F">
        <w:rPr>
          <w:color w:val="000000"/>
          <w:sz w:val="24"/>
        </w:rPr>
        <w:t>.</w:t>
      </w:r>
      <w:r w:rsidRPr="00220557">
        <w:rPr>
          <w:color w:val="000000"/>
          <w:sz w:val="24"/>
        </w:rPr>
        <w:t xml:space="preserve"> </w:t>
      </w:r>
      <w:r w:rsidR="00366B8F">
        <w:rPr>
          <w:color w:val="000000"/>
          <w:sz w:val="24"/>
        </w:rPr>
        <w:t xml:space="preserve">The Census Bureau </w:t>
      </w:r>
      <w:r w:rsidRPr="00220557">
        <w:rPr>
          <w:color w:val="000000"/>
          <w:sz w:val="24"/>
        </w:rPr>
        <w:t xml:space="preserve">is not permitted to publicly release your responses in a way that could identify you or your household. </w:t>
      </w:r>
      <w:r w:rsidR="00B40B27" w:rsidRPr="001E1D43">
        <w:rPr>
          <w:bCs/>
          <w:sz w:val="24"/>
        </w:rPr>
        <w:t xml:space="preserve">The U.S. Census Bureau is conducting the </w:t>
      </w:r>
      <w:r w:rsidR="00FC0E4B">
        <w:rPr>
          <w:bCs/>
          <w:sz w:val="24"/>
        </w:rPr>
        <w:t>NSCH</w:t>
      </w:r>
      <w:r w:rsidR="00B40B27" w:rsidRPr="001E1D43">
        <w:rPr>
          <w:bCs/>
          <w:sz w:val="24"/>
        </w:rPr>
        <w:t xml:space="preserve"> on the behalf of the HHS under Title 13, United States Code, Section 8(b), which allows the Census Bureau to conduct surveys on behalf of other agencies</w:t>
      </w:r>
      <w:r w:rsidR="00B53D75" w:rsidRPr="001E1D43">
        <w:rPr>
          <w:bCs/>
          <w:sz w:val="24"/>
        </w:rPr>
        <w:t xml:space="preserve">. </w:t>
      </w:r>
      <w:r w:rsidR="004E6B07">
        <w:rPr>
          <w:bCs/>
          <w:sz w:val="24"/>
        </w:rPr>
        <w:t xml:space="preserve">Section </w:t>
      </w:r>
      <w:r w:rsidR="008B3AF3">
        <w:rPr>
          <w:bCs/>
          <w:sz w:val="24"/>
        </w:rPr>
        <w:t>5</w:t>
      </w:r>
      <w:r w:rsidR="004E6B07">
        <w:rPr>
          <w:bCs/>
          <w:sz w:val="24"/>
        </w:rPr>
        <w:t>01(a)(2)</w:t>
      </w:r>
      <w:r w:rsidR="008B3AF3">
        <w:rPr>
          <w:bCs/>
          <w:sz w:val="24"/>
        </w:rPr>
        <w:t xml:space="preserve"> of the Social Security Act (42 USC</w:t>
      </w:r>
      <w:r w:rsidR="008B3AF3" w:rsidRPr="008B3AF3">
        <w:t xml:space="preserve"> </w:t>
      </w:r>
      <w:r w:rsidR="004D0330">
        <w:rPr>
          <w:bCs/>
          <w:sz w:val="24"/>
        </w:rPr>
        <w:t>§701)</w:t>
      </w:r>
      <w:r w:rsidR="005C68BA">
        <w:rPr>
          <w:bCs/>
          <w:sz w:val="24"/>
        </w:rPr>
        <w:t xml:space="preserve"> </w:t>
      </w:r>
      <w:r w:rsidR="00C73D99">
        <w:rPr>
          <w:bCs/>
          <w:sz w:val="24"/>
        </w:rPr>
        <w:t>allows HHS</w:t>
      </w:r>
      <w:r w:rsidR="00C73D99" w:rsidRPr="008055B6">
        <w:rPr>
          <w:bCs/>
          <w:sz w:val="24"/>
        </w:rPr>
        <w:t xml:space="preserve"> </w:t>
      </w:r>
      <w:r w:rsidR="00B40B27" w:rsidRPr="001E1D43">
        <w:rPr>
          <w:bCs/>
          <w:sz w:val="24"/>
        </w:rPr>
        <w:t>to collect information for the purpose of understanding the health and well-being of children in the United States.</w:t>
      </w:r>
      <w:r w:rsidR="006A08F8">
        <w:rPr>
          <w:bCs/>
          <w:sz w:val="24"/>
        </w:rPr>
        <w:t xml:space="preserve"> </w:t>
      </w:r>
      <w:r w:rsidR="00B56B9C" w:rsidRPr="00B56B9C">
        <w:rPr>
          <w:bCs/>
          <w:sz w:val="24"/>
        </w:rPr>
        <w:t>Federal law protects your privacy and keeps your answers confidential (Title 13, United States Code, Section 9). Per the Federal Cybersecurity Enhancement Act of 2015, your data are protected from cybersecurity risks through screening of the systems that transmit your data.</w:t>
      </w:r>
    </w:p>
    <w:p w14:paraId="4526AB13" w14:textId="6F890AF5" w:rsidR="006A08F8" w:rsidRDefault="00BA1F79" w:rsidP="00F51B2D">
      <w:pPr>
        <w:spacing w:before="240"/>
        <w:rPr>
          <w:bCs/>
          <w:sz w:val="24"/>
        </w:rPr>
      </w:pPr>
      <w:r>
        <w:rPr>
          <w:bCs/>
          <w:sz w:val="24"/>
        </w:rPr>
        <w:t>There are also three</w:t>
      </w:r>
      <w:r w:rsidR="00742017">
        <w:rPr>
          <w:bCs/>
          <w:sz w:val="24"/>
        </w:rPr>
        <w:t xml:space="preserve"> separate partner agreements with the</w:t>
      </w:r>
      <w:r w:rsidR="00D73618" w:rsidRPr="00D73618">
        <w:rPr>
          <w:bCs/>
          <w:sz w:val="24"/>
        </w:rPr>
        <w:t xml:space="preserve"> </w:t>
      </w:r>
      <w:r w:rsidR="00D73618">
        <w:rPr>
          <w:bCs/>
          <w:sz w:val="24"/>
        </w:rPr>
        <w:t xml:space="preserve">Centers for Disease Control and Prevention’s National Center on Birth Defects and Developmental Disabilities </w:t>
      </w:r>
      <w:r w:rsidR="00D73618">
        <w:rPr>
          <w:bCs/>
          <w:sz w:val="24"/>
        </w:rPr>
        <w:lastRenderedPageBreak/>
        <w:t>(CDC/NCBDDD),</w:t>
      </w:r>
      <w:r w:rsidR="00D73618" w:rsidRPr="0024749D">
        <w:t xml:space="preserve"> </w:t>
      </w:r>
      <w:r w:rsidR="00D73618" w:rsidRPr="0024749D">
        <w:rPr>
          <w:bCs/>
          <w:sz w:val="24"/>
        </w:rPr>
        <w:t>Environ</w:t>
      </w:r>
      <w:r w:rsidR="00D73618">
        <w:rPr>
          <w:bCs/>
          <w:sz w:val="24"/>
        </w:rPr>
        <w:t>mental Protection Agency (EPA)</w:t>
      </w:r>
      <w:r w:rsidR="0024749D">
        <w:rPr>
          <w:bCs/>
          <w:sz w:val="24"/>
        </w:rPr>
        <w:t>,</w:t>
      </w:r>
      <w:r w:rsidR="00742017">
        <w:rPr>
          <w:bCs/>
          <w:sz w:val="24"/>
        </w:rPr>
        <w:t xml:space="preserve"> and the United States Department of Agriculture (USDA)</w:t>
      </w:r>
      <w:r w:rsidR="00B23BF1">
        <w:rPr>
          <w:bCs/>
          <w:sz w:val="24"/>
        </w:rPr>
        <w:t xml:space="preserve"> in support of particular content on the topical questionnaires. </w:t>
      </w:r>
      <w:r>
        <w:rPr>
          <w:bCs/>
          <w:sz w:val="24"/>
        </w:rPr>
        <w:t>The CDC/NCBDDD supports content</w:t>
      </w:r>
      <w:r w:rsidRPr="00BA1F79">
        <w:t xml:space="preserve"> </w:t>
      </w:r>
      <w:r w:rsidRPr="00BA1F79">
        <w:rPr>
          <w:bCs/>
          <w:sz w:val="24"/>
        </w:rPr>
        <w:t>on the receipt of training or interventions around the behavioral treatment of attention-deficit disorder and attention-deficit/hyperactivity disorder</w:t>
      </w:r>
      <w:r w:rsidRPr="006A08F8">
        <w:rPr>
          <w:bCs/>
          <w:sz w:val="24"/>
        </w:rPr>
        <w:t xml:space="preserve"> </w:t>
      </w:r>
      <w:r>
        <w:rPr>
          <w:bCs/>
          <w:sz w:val="24"/>
        </w:rPr>
        <w:t>under the</w:t>
      </w:r>
      <w:r w:rsidRPr="00BA1F79">
        <w:t xml:space="preserve"> </w:t>
      </w:r>
      <w:r w:rsidRPr="00BA1F79">
        <w:rPr>
          <w:bCs/>
          <w:sz w:val="24"/>
        </w:rPr>
        <w:t>Public Health Service Act, Section 301, 42 U.S.C. § 241</w:t>
      </w:r>
      <w:r>
        <w:rPr>
          <w:bCs/>
          <w:sz w:val="24"/>
        </w:rPr>
        <w:t>.</w:t>
      </w:r>
      <w:r w:rsidR="0024749D">
        <w:rPr>
          <w:bCs/>
          <w:sz w:val="24"/>
        </w:rPr>
        <w:t xml:space="preserve"> </w:t>
      </w:r>
      <w:r w:rsidR="00D73618">
        <w:rPr>
          <w:bCs/>
          <w:sz w:val="24"/>
        </w:rPr>
        <w:t xml:space="preserve">The EPA supports </w:t>
      </w:r>
      <w:r w:rsidR="00D73618" w:rsidRPr="00B23BF1">
        <w:rPr>
          <w:bCs/>
          <w:sz w:val="24"/>
        </w:rPr>
        <w:t xml:space="preserve">content on the household exposure to pesticides and mold in children’s households </w:t>
      </w:r>
      <w:r w:rsidR="00D73618">
        <w:rPr>
          <w:bCs/>
          <w:sz w:val="24"/>
        </w:rPr>
        <w:t>under the</w:t>
      </w:r>
      <w:r w:rsidR="00D73618" w:rsidRPr="00BA1F79">
        <w:t xml:space="preserve"> </w:t>
      </w:r>
      <w:r w:rsidR="00D73618" w:rsidRPr="00BA1F79">
        <w:rPr>
          <w:bCs/>
          <w:sz w:val="24"/>
        </w:rPr>
        <w:t>FIFRA: Section 20(a); Toxic Substances Control Act: Section 10; 15 U.S.C. § 2609</w:t>
      </w:r>
      <w:r w:rsidR="00D73618">
        <w:rPr>
          <w:bCs/>
          <w:sz w:val="24"/>
        </w:rPr>
        <w:t xml:space="preserve">. </w:t>
      </w:r>
      <w:r w:rsidR="00D54B38">
        <w:rPr>
          <w:bCs/>
          <w:sz w:val="24"/>
        </w:rPr>
        <w:t>Finally,</w:t>
      </w:r>
      <w:r>
        <w:rPr>
          <w:bCs/>
          <w:sz w:val="24"/>
        </w:rPr>
        <w:t xml:space="preserve"> the USDA supports content on </w:t>
      </w:r>
      <w:r w:rsidR="003F594A">
        <w:rPr>
          <w:bCs/>
          <w:sz w:val="24"/>
        </w:rPr>
        <w:t>food sufficiency under t</w:t>
      </w:r>
      <w:r w:rsidR="003F594A" w:rsidRPr="003F594A">
        <w:rPr>
          <w:bCs/>
          <w:sz w:val="24"/>
        </w:rPr>
        <w:t>he Healthy, Hunger-Free Kids Act of 2010, Pub. L. 111-</w:t>
      </w:r>
      <w:r w:rsidR="004A579C">
        <w:rPr>
          <w:bCs/>
          <w:sz w:val="24"/>
        </w:rPr>
        <w:t xml:space="preserve">296.  In particular, 42 U.S.C. </w:t>
      </w:r>
      <w:r w:rsidR="003F594A" w:rsidRPr="003F594A">
        <w:rPr>
          <w:bCs/>
          <w:sz w:val="24"/>
        </w:rPr>
        <w:t>1769d(a) authorizes USDA to conduct research on the causes and consequences of childhood hunger included in 1769d(a)(4)(B), the geographic dispersion of childhood hunger and food insecurity.</w:t>
      </w:r>
      <w:r w:rsidR="00B56B9C" w:rsidDel="00B56B9C">
        <w:rPr>
          <w:bCs/>
          <w:sz w:val="24"/>
        </w:rPr>
        <w:t xml:space="preserve"> </w:t>
      </w:r>
    </w:p>
    <w:p w14:paraId="091DEFB3" w14:textId="416B13C5" w:rsidR="009B3794" w:rsidRPr="00515B7F" w:rsidRDefault="009B3794" w:rsidP="00515B7F">
      <w:pPr>
        <w:pStyle w:val="ListParagraph"/>
        <w:numPr>
          <w:ilvl w:val="0"/>
          <w:numId w:val="1"/>
        </w:numPr>
        <w:tabs>
          <w:tab w:val="clear" w:pos="1080"/>
          <w:tab w:val="num" w:pos="360"/>
        </w:tabs>
        <w:spacing w:before="240"/>
        <w:ind w:hanging="1080"/>
        <w:rPr>
          <w:b/>
          <w:sz w:val="24"/>
        </w:rPr>
      </w:pPr>
      <w:r w:rsidRPr="00515B7F">
        <w:rPr>
          <w:b/>
          <w:sz w:val="24"/>
        </w:rPr>
        <w:t>Purpose and Use of Information Collection</w:t>
      </w:r>
    </w:p>
    <w:p w14:paraId="091DEFB4" w14:textId="29D48D07" w:rsidR="00F51B2D" w:rsidRDefault="00A11CBE" w:rsidP="00F51B2D">
      <w:pPr>
        <w:spacing w:before="240"/>
        <w:rPr>
          <w:sz w:val="24"/>
        </w:rPr>
      </w:pPr>
      <w:r>
        <w:rPr>
          <w:sz w:val="24"/>
        </w:rPr>
        <w:t>Data from the NSCH are used to measure progress on national performance and</w:t>
      </w:r>
      <w:r w:rsidR="009A1CB6">
        <w:rPr>
          <w:sz w:val="24"/>
        </w:rPr>
        <w:t xml:space="preserve"> outcome measures under </w:t>
      </w:r>
      <w:r w:rsidR="009A1CB6" w:rsidRPr="003C767D">
        <w:rPr>
          <w:sz w:val="24"/>
        </w:rPr>
        <w:t>Title V M</w:t>
      </w:r>
      <w:r w:rsidR="00306436">
        <w:rPr>
          <w:sz w:val="24"/>
        </w:rPr>
        <w:t xml:space="preserve">aternal and </w:t>
      </w:r>
      <w:r w:rsidR="009A1CB6" w:rsidRPr="003C767D">
        <w:rPr>
          <w:sz w:val="24"/>
        </w:rPr>
        <w:t>C</w:t>
      </w:r>
      <w:r w:rsidR="00306436">
        <w:rPr>
          <w:sz w:val="24"/>
        </w:rPr>
        <w:t xml:space="preserve">hild </w:t>
      </w:r>
      <w:r w:rsidR="009A1CB6" w:rsidRPr="003C767D">
        <w:rPr>
          <w:sz w:val="24"/>
        </w:rPr>
        <w:t>H</w:t>
      </w:r>
      <w:r w:rsidR="00306436">
        <w:rPr>
          <w:sz w:val="24"/>
        </w:rPr>
        <w:t>ealth</w:t>
      </w:r>
      <w:r w:rsidR="009A1CB6" w:rsidRPr="003C767D">
        <w:rPr>
          <w:sz w:val="24"/>
        </w:rPr>
        <w:t xml:space="preserve"> Services Block Grant</w:t>
      </w:r>
      <w:r w:rsidR="009A1CB6">
        <w:rPr>
          <w:sz w:val="24"/>
        </w:rPr>
        <w:t xml:space="preserve">. It is therefore critical that </w:t>
      </w:r>
      <w:r w:rsidR="00C06081">
        <w:rPr>
          <w:sz w:val="24"/>
        </w:rPr>
        <w:t xml:space="preserve">the </w:t>
      </w:r>
      <w:r w:rsidR="00213AD3">
        <w:rPr>
          <w:sz w:val="24"/>
        </w:rPr>
        <w:t>U.S.</w:t>
      </w:r>
      <w:r w:rsidR="00C06081">
        <w:rPr>
          <w:sz w:val="24"/>
        </w:rPr>
        <w:t xml:space="preserve"> </w:t>
      </w:r>
      <w:r w:rsidR="00B06D26">
        <w:rPr>
          <w:sz w:val="24"/>
        </w:rPr>
        <w:t>Census</w:t>
      </w:r>
      <w:r w:rsidR="00C06081">
        <w:rPr>
          <w:sz w:val="24"/>
        </w:rPr>
        <w:t xml:space="preserve"> Bureau</w:t>
      </w:r>
      <w:r w:rsidR="009A1CB6">
        <w:rPr>
          <w:sz w:val="24"/>
        </w:rPr>
        <w:t xml:space="preserve"> </w:t>
      </w:r>
      <w:r w:rsidR="00F44A87">
        <w:rPr>
          <w:sz w:val="24"/>
        </w:rPr>
        <w:t xml:space="preserve">conducts </w:t>
      </w:r>
      <w:r w:rsidR="00600BAC">
        <w:rPr>
          <w:sz w:val="24"/>
        </w:rPr>
        <w:t xml:space="preserve">this survey to </w:t>
      </w:r>
      <w:r w:rsidR="00600BAC" w:rsidRPr="0051063C">
        <w:rPr>
          <w:sz w:val="24"/>
        </w:rPr>
        <w:t xml:space="preserve">collect information on factors related to the well-being of children, including access to </w:t>
      </w:r>
      <w:r w:rsidR="00F44A87">
        <w:rPr>
          <w:sz w:val="24"/>
        </w:rPr>
        <w:t xml:space="preserve">and quality of </w:t>
      </w:r>
      <w:r w:rsidR="00600BAC" w:rsidRPr="0051063C">
        <w:rPr>
          <w:sz w:val="24"/>
        </w:rPr>
        <w:t xml:space="preserve">health care, family interactions, parental health, school and after-school experiences, and neighborhood characteristics. </w:t>
      </w:r>
    </w:p>
    <w:p w14:paraId="091DEFB5" w14:textId="77777777" w:rsidR="003077C1" w:rsidRDefault="003077C1" w:rsidP="00F51B2D">
      <w:pPr>
        <w:spacing w:before="240"/>
        <w:rPr>
          <w:sz w:val="24"/>
        </w:rPr>
      </w:pPr>
      <w:r>
        <w:rPr>
          <w:sz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14:paraId="091DEFB6" w14:textId="77777777" w:rsidR="00A5146C" w:rsidRPr="004F0887" w:rsidRDefault="009B3794" w:rsidP="00726ABF">
      <w:pPr>
        <w:numPr>
          <w:ilvl w:val="0"/>
          <w:numId w:val="1"/>
        </w:numPr>
        <w:tabs>
          <w:tab w:val="clear" w:pos="1080"/>
          <w:tab w:val="num" w:pos="360"/>
        </w:tabs>
        <w:spacing w:before="240"/>
        <w:ind w:left="360"/>
        <w:rPr>
          <w:sz w:val="24"/>
        </w:rPr>
      </w:pPr>
      <w:r w:rsidRPr="004F0887">
        <w:rPr>
          <w:b/>
          <w:sz w:val="24"/>
        </w:rPr>
        <w:t>Use of Improved Information Technology and Burden Reduction</w:t>
      </w:r>
    </w:p>
    <w:p w14:paraId="091DEFB7" w14:textId="4A87D9E1" w:rsidR="00A5146C" w:rsidRDefault="00892B9F" w:rsidP="00C13221">
      <w:pPr>
        <w:pStyle w:val="P1-StandPara"/>
        <w:spacing w:before="240" w:line="240" w:lineRule="auto"/>
        <w:ind w:firstLine="0"/>
        <w:jc w:val="left"/>
        <w:rPr>
          <w:sz w:val="24"/>
        </w:rPr>
      </w:pPr>
      <w:r>
        <w:rPr>
          <w:sz w:val="24"/>
        </w:rPr>
        <w:t>The 201</w:t>
      </w:r>
      <w:r w:rsidR="00F555B6">
        <w:rPr>
          <w:sz w:val="24"/>
        </w:rPr>
        <w:t>7</w:t>
      </w:r>
      <w:r>
        <w:rPr>
          <w:sz w:val="24"/>
        </w:rPr>
        <w:t xml:space="preserve"> NSCH </w:t>
      </w:r>
      <w:r w:rsidRPr="00A5146C">
        <w:rPr>
          <w:sz w:val="24"/>
        </w:rPr>
        <w:t xml:space="preserve">will be conducted for </w:t>
      </w:r>
      <w:r>
        <w:rPr>
          <w:sz w:val="24"/>
        </w:rPr>
        <w:t>HRSA MCHB</w:t>
      </w:r>
      <w:r w:rsidRPr="00A5146C">
        <w:rPr>
          <w:sz w:val="24"/>
        </w:rPr>
        <w:t xml:space="preserve"> by the </w:t>
      </w:r>
      <w:r>
        <w:rPr>
          <w:sz w:val="24"/>
        </w:rPr>
        <w:t>Census Bureau in Web Push + Mail</w:t>
      </w:r>
      <w:r w:rsidR="003F594A">
        <w:rPr>
          <w:sz w:val="24"/>
        </w:rPr>
        <w:t xml:space="preserve"> or</w:t>
      </w:r>
      <w:r w:rsidR="00CA24B9">
        <w:rPr>
          <w:sz w:val="24"/>
        </w:rPr>
        <w:t xml:space="preserve"> mixed-</w:t>
      </w:r>
      <w:r>
        <w:rPr>
          <w:sz w:val="24"/>
        </w:rPr>
        <w:t xml:space="preserve">mode format. </w:t>
      </w:r>
      <w:r w:rsidR="00C82050">
        <w:rPr>
          <w:sz w:val="24"/>
        </w:rPr>
        <w:t xml:space="preserve">For a majority of households (70%), </w:t>
      </w:r>
      <w:r w:rsidR="00BA6FF8">
        <w:rPr>
          <w:sz w:val="24"/>
        </w:rPr>
        <w:t>the initial opportunities to respond electronically</w:t>
      </w:r>
      <w:r w:rsidR="00C82050">
        <w:rPr>
          <w:sz w:val="24"/>
        </w:rPr>
        <w:t xml:space="preserve"> </w:t>
      </w:r>
      <w:r w:rsidR="00773AD5">
        <w:rPr>
          <w:sz w:val="24"/>
        </w:rPr>
        <w:t xml:space="preserve">via the Centurion Web instrument </w:t>
      </w:r>
      <w:r w:rsidR="00C82050">
        <w:rPr>
          <w:sz w:val="24"/>
        </w:rPr>
        <w:t xml:space="preserve">will be followed by a </w:t>
      </w:r>
      <w:r w:rsidR="00BA6FF8">
        <w:rPr>
          <w:sz w:val="24"/>
        </w:rPr>
        <w:t xml:space="preserve">data collection </w:t>
      </w:r>
      <w:r w:rsidR="00C82050">
        <w:rPr>
          <w:sz w:val="24"/>
        </w:rPr>
        <w:t xml:space="preserve">strategy that </w:t>
      </w:r>
      <w:r w:rsidR="00BA6FF8">
        <w:rPr>
          <w:sz w:val="24"/>
        </w:rPr>
        <w:t>will augment online data collection with a p</w:t>
      </w:r>
      <w:r w:rsidR="00812817">
        <w:rPr>
          <w:sz w:val="24"/>
        </w:rPr>
        <w:t>aper data collection mode.</w:t>
      </w:r>
      <w:r w:rsidR="003F594A" w:rsidRPr="003F594A">
        <w:t xml:space="preserve"> </w:t>
      </w:r>
      <w:r w:rsidR="003F594A" w:rsidRPr="003F594A">
        <w:rPr>
          <w:sz w:val="24"/>
        </w:rPr>
        <w:t>A small</w:t>
      </w:r>
      <w:r w:rsidR="002B54C4">
        <w:rPr>
          <w:sz w:val="24"/>
        </w:rPr>
        <w:t>er</w:t>
      </w:r>
      <w:r w:rsidR="003F594A" w:rsidRPr="003F594A">
        <w:rPr>
          <w:sz w:val="24"/>
        </w:rPr>
        <w:t xml:space="preserve"> percentage of households (30%</w:t>
      </w:r>
      <w:r w:rsidR="00773AD5" w:rsidRPr="003F594A">
        <w:rPr>
          <w:sz w:val="24"/>
        </w:rPr>
        <w:t>)</w:t>
      </w:r>
      <w:r w:rsidR="00CA24B9">
        <w:rPr>
          <w:sz w:val="24"/>
        </w:rPr>
        <w:t xml:space="preserve"> will be placed in the mixed-</w:t>
      </w:r>
      <w:r w:rsidR="003F594A" w:rsidRPr="003F594A">
        <w:rPr>
          <w:sz w:val="24"/>
        </w:rPr>
        <w:t xml:space="preserve">mode group and will receive both a </w:t>
      </w:r>
      <w:r w:rsidR="00773AD5">
        <w:rPr>
          <w:sz w:val="24"/>
        </w:rPr>
        <w:t xml:space="preserve">Centurion </w:t>
      </w:r>
      <w:r w:rsidR="003F594A" w:rsidRPr="003F594A">
        <w:rPr>
          <w:sz w:val="24"/>
        </w:rPr>
        <w:t>Web instrument invite as well as a paper data collection mode with the initial mailing.</w:t>
      </w:r>
      <w:r w:rsidR="00812817">
        <w:rPr>
          <w:sz w:val="24"/>
        </w:rPr>
        <w:t xml:space="preserve"> </w:t>
      </w:r>
      <w:r w:rsidR="00773AD5" w:rsidRPr="00773AD5">
        <w:rPr>
          <w:sz w:val="24"/>
        </w:rPr>
        <w:t>The Centurion Web instrument</w:t>
      </w:r>
      <w:r w:rsidR="00773AD5">
        <w:rPr>
          <w:sz w:val="24"/>
        </w:rPr>
        <w:t xml:space="preserve"> allows online reporting, improving</w:t>
      </w:r>
      <w:r w:rsidR="00773AD5" w:rsidRPr="00773AD5">
        <w:rPr>
          <w:sz w:val="24"/>
        </w:rPr>
        <w:t xml:space="preserve"> the efficiency and accuracy of the data collection process by providing respondents the opportunity to complete both the screener and topical survey instruments at one time, and minimize burden and material costs.</w:t>
      </w:r>
      <w:r w:rsidR="00773AD5">
        <w:rPr>
          <w:sz w:val="24"/>
        </w:rPr>
        <w:t xml:space="preserve"> </w:t>
      </w:r>
      <w:r w:rsidR="00812817">
        <w:rPr>
          <w:sz w:val="24"/>
        </w:rPr>
        <w:t>The paper data collection</w:t>
      </w:r>
      <w:r w:rsidR="00BA6FF8">
        <w:rPr>
          <w:sz w:val="24"/>
        </w:rPr>
        <w:t xml:space="preserve"> will rely on </w:t>
      </w:r>
      <w:r w:rsidR="00516D71">
        <w:rPr>
          <w:sz w:val="24"/>
        </w:rPr>
        <w:t xml:space="preserve">three </w:t>
      </w:r>
      <w:r w:rsidR="00BA6FF8">
        <w:rPr>
          <w:sz w:val="24"/>
        </w:rPr>
        <w:t xml:space="preserve">complementary survey systems to efficiently administer this </w:t>
      </w:r>
      <w:r w:rsidR="00812817">
        <w:rPr>
          <w:sz w:val="24"/>
        </w:rPr>
        <w:t>mode</w:t>
      </w:r>
      <w:r w:rsidR="00BA6FF8">
        <w:rPr>
          <w:sz w:val="24"/>
        </w:rPr>
        <w:t xml:space="preserve"> of data collection: </w:t>
      </w:r>
      <w:r w:rsidR="00A5146C" w:rsidRPr="00A5146C">
        <w:rPr>
          <w:sz w:val="24"/>
        </w:rPr>
        <w:t>(1) Amgraf One Form Plus, (2) Docuprint</w:t>
      </w:r>
      <w:r w:rsidR="00516D71">
        <w:rPr>
          <w:sz w:val="24"/>
        </w:rPr>
        <w:t>, and (3) integrated Computer-</w:t>
      </w:r>
      <w:r w:rsidR="00A5146C" w:rsidRPr="00A5146C">
        <w:rPr>
          <w:sz w:val="24"/>
        </w:rPr>
        <w:t>Assisted Data Entry (iCADE).</w:t>
      </w:r>
    </w:p>
    <w:p w14:paraId="091DEFB8" w14:textId="77777777" w:rsidR="00A55BCB" w:rsidRPr="00A5146C" w:rsidRDefault="00A55BCB" w:rsidP="00C13221">
      <w:pPr>
        <w:pStyle w:val="P1-StandPara"/>
        <w:spacing w:line="240" w:lineRule="auto"/>
        <w:ind w:firstLine="0"/>
        <w:jc w:val="left"/>
        <w:rPr>
          <w:sz w:val="24"/>
        </w:rPr>
      </w:pPr>
    </w:p>
    <w:p w14:paraId="77FCC904" w14:textId="506E1A1E" w:rsidR="00595FF2" w:rsidRPr="00A772C9" w:rsidRDefault="00595FF2" w:rsidP="00595FF2">
      <w:pPr>
        <w:pStyle w:val="N2-2ndBullet"/>
        <w:numPr>
          <w:ilvl w:val="0"/>
          <w:numId w:val="4"/>
        </w:numPr>
        <w:spacing w:after="0" w:line="240" w:lineRule="auto"/>
        <w:jc w:val="left"/>
        <w:rPr>
          <w:sz w:val="24"/>
        </w:rPr>
      </w:pPr>
      <w:r>
        <w:rPr>
          <w:b/>
          <w:sz w:val="24"/>
        </w:rPr>
        <w:t>O</w:t>
      </w:r>
      <w:r w:rsidRPr="00CE44A5">
        <w:rPr>
          <w:b/>
          <w:sz w:val="24"/>
        </w:rPr>
        <w:t xml:space="preserve">nline Reporting. </w:t>
      </w:r>
      <w:r w:rsidRPr="00CE44A5">
        <w:rPr>
          <w:sz w:val="24"/>
        </w:rPr>
        <w:t>Th</w:t>
      </w:r>
      <w:r>
        <w:rPr>
          <w:sz w:val="24"/>
        </w:rPr>
        <w:t xml:space="preserve">e </w:t>
      </w:r>
      <w:r w:rsidR="00787A42">
        <w:rPr>
          <w:sz w:val="24"/>
        </w:rPr>
        <w:t>201</w:t>
      </w:r>
      <w:r w:rsidR="00CF3A20">
        <w:rPr>
          <w:sz w:val="24"/>
        </w:rPr>
        <w:t>7</w:t>
      </w:r>
      <w:r w:rsidR="00787A42">
        <w:rPr>
          <w:sz w:val="24"/>
        </w:rPr>
        <w:t xml:space="preserve"> </w:t>
      </w:r>
      <w:r>
        <w:rPr>
          <w:sz w:val="24"/>
        </w:rPr>
        <w:t xml:space="preserve">NSCH </w:t>
      </w:r>
      <w:r w:rsidRPr="00CE44A5">
        <w:rPr>
          <w:sz w:val="24"/>
        </w:rPr>
        <w:t xml:space="preserve">will </w:t>
      </w:r>
      <w:r w:rsidR="00787A42">
        <w:rPr>
          <w:sz w:val="24"/>
        </w:rPr>
        <w:t xml:space="preserve">utilize </w:t>
      </w:r>
      <w:r w:rsidR="00E17C65">
        <w:rPr>
          <w:sz w:val="24"/>
        </w:rPr>
        <w:t>a Web-based survey</w:t>
      </w:r>
      <w:r w:rsidR="00787A42">
        <w:rPr>
          <w:sz w:val="24"/>
        </w:rPr>
        <w:t xml:space="preserve"> with follow-up paper data collection as </w:t>
      </w:r>
      <w:r w:rsidR="00E17C65">
        <w:rPr>
          <w:sz w:val="24"/>
        </w:rPr>
        <w:t xml:space="preserve">one of the primary collection modes. </w:t>
      </w:r>
      <w:r w:rsidR="00787A42">
        <w:rPr>
          <w:sz w:val="24"/>
        </w:rPr>
        <w:t xml:space="preserve">The </w:t>
      </w:r>
      <w:r w:rsidR="00E17C65">
        <w:rPr>
          <w:sz w:val="24"/>
        </w:rPr>
        <w:t>Web-based survey</w:t>
      </w:r>
      <w:r w:rsidRPr="00CE44A5">
        <w:rPr>
          <w:sz w:val="24"/>
        </w:rPr>
        <w:t xml:space="preserve"> collection mode allows for features that reduce respondent burden</w:t>
      </w:r>
      <w:r>
        <w:rPr>
          <w:sz w:val="24"/>
        </w:rPr>
        <w:t xml:space="preserve"> as well as</w:t>
      </w:r>
      <w:r w:rsidRPr="00CE44A5">
        <w:rPr>
          <w:sz w:val="24"/>
        </w:rPr>
        <w:t xml:space="preserve"> report results more</w:t>
      </w:r>
      <w:r>
        <w:rPr>
          <w:sz w:val="24"/>
        </w:rPr>
        <w:t xml:space="preserve"> </w:t>
      </w:r>
      <w:r w:rsidRPr="00CE44A5">
        <w:rPr>
          <w:sz w:val="24"/>
        </w:rPr>
        <w:t>quickly and at considerably less cost.  In general, respondents find it less taxing to provide sensitive information about their children in self-administered surveys; however, because of the significant number of filter questions, paper</w:t>
      </w:r>
      <w:r>
        <w:rPr>
          <w:sz w:val="24"/>
        </w:rPr>
        <w:t>-</w:t>
      </w:r>
      <w:r w:rsidRPr="00CE44A5">
        <w:rPr>
          <w:sz w:val="24"/>
        </w:rPr>
        <w:t>and</w:t>
      </w:r>
      <w:r>
        <w:rPr>
          <w:sz w:val="24"/>
        </w:rPr>
        <w:t>-</w:t>
      </w:r>
      <w:r w:rsidRPr="00CE44A5">
        <w:rPr>
          <w:sz w:val="24"/>
        </w:rPr>
        <w:t>pencil versions of the sur</w:t>
      </w:r>
      <w:r w:rsidR="00E17C65">
        <w:rPr>
          <w:sz w:val="24"/>
        </w:rPr>
        <w:t xml:space="preserve">vey appear quite lengthy. </w:t>
      </w:r>
      <w:r>
        <w:rPr>
          <w:sz w:val="24"/>
        </w:rPr>
        <w:t>The W</w:t>
      </w:r>
      <w:r w:rsidRPr="00CE44A5">
        <w:rPr>
          <w:sz w:val="24"/>
        </w:rPr>
        <w:t>eb-based survey allows for the programming of skip patterns similar to the original telephone interview ver</w:t>
      </w:r>
      <w:r>
        <w:rPr>
          <w:sz w:val="24"/>
        </w:rPr>
        <w:t>sion of the survey.  Thus, the W</w:t>
      </w:r>
      <w:r w:rsidRPr="00CE44A5">
        <w:rPr>
          <w:sz w:val="24"/>
        </w:rPr>
        <w:t xml:space="preserve">eb-based format allows for the comfort of self-administration with the ease of seeing and subsequently answering only questions relevant to a particular respondent.  </w:t>
      </w:r>
    </w:p>
    <w:p w14:paraId="2BD24ECF" w14:textId="77777777" w:rsidR="00595FF2" w:rsidRPr="00595FF2" w:rsidRDefault="00595FF2" w:rsidP="00595FF2">
      <w:pPr>
        <w:pStyle w:val="P1-StandPara"/>
        <w:spacing w:line="240" w:lineRule="auto"/>
        <w:ind w:left="825" w:firstLine="0"/>
        <w:jc w:val="left"/>
        <w:rPr>
          <w:sz w:val="24"/>
        </w:rPr>
      </w:pPr>
    </w:p>
    <w:p w14:paraId="091DEFBC" w14:textId="257FEC80" w:rsidR="0006040C" w:rsidRDefault="00A5146C" w:rsidP="00892B9F">
      <w:pPr>
        <w:pStyle w:val="P1-StandPara"/>
        <w:numPr>
          <w:ilvl w:val="0"/>
          <w:numId w:val="4"/>
        </w:numPr>
        <w:spacing w:line="240" w:lineRule="auto"/>
        <w:jc w:val="left"/>
        <w:rPr>
          <w:sz w:val="24"/>
        </w:rPr>
      </w:pPr>
      <w:r w:rsidRPr="00A5146C">
        <w:rPr>
          <w:b/>
          <w:sz w:val="24"/>
        </w:rPr>
        <w:t>Forms Design.</w:t>
      </w:r>
      <w:r w:rsidRPr="00A5146C">
        <w:rPr>
          <w:sz w:val="24"/>
        </w:rPr>
        <w:t xml:space="preserve"> </w:t>
      </w:r>
      <w:r w:rsidR="00892B9F" w:rsidRPr="00C51518">
        <w:rPr>
          <w:sz w:val="24"/>
        </w:rPr>
        <w:t>Questionnaires will be created using Amgraf One Form Plus.   Completed hardcopy forms can be processed by iCADE to capture responses through optical mark recognition (OMR)</w:t>
      </w:r>
      <w:r w:rsidR="005C021A">
        <w:rPr>
          <w:sz w:val="24"/>
        </w:rPr>
        <w:t>, optical character recognition (OCR),</w:t>
      </w:r>
      <w:r w:rsidR="00892B9F" w:rsidRPr="00C51518">
        <w:rPr>
          <w:sz w:val="24"/>
        </w:rPr>
        <w:t xml:space="preserve"> and keying from image (KFI). Questionnaires will be printed, trimmed, and stitched through an in-house print on-demand process using a Docuprint system which allows personalization and the ability to tailor items to each specific respondent.</w:t>
      </w:r>
      <w:r w:rsidR="00892B9F">
        <w:rPr>
          <w:sz w:val="24"/>
        </w:rPr>
        <w:t xml:space="preserve"> </w:t>
      </w:r>
      <w:r w:rsidR="00892B9F" w:rsidRPr="00C51518">
        <w:rPr>
          <w:sz w:val="24"/>
        </w:rPr>
        <w:t>The data from the questionnaires will be captured by the iCADE technology/software, which automatically extracts all check box entries (OMR)</w:t>
      </w:r>
      <w:r w:rsidR="005C021A">
        <w:rPr>
          <w:sz w:val="24"/>
        </w:rPr>
        <w:t xml:space="preserve"> and preselected numeric answer fields (OCR), then</w:t>
      </w:r>
      <w:r w:rsidR="00892B9F" w:rsidRPr="00C51518">
        <w:rPr>
          <w:sz w:val="24"/>
        </w:rPr>
        <w:t xml:space="preserve"> captures, and displays an image of all other entries to an operator for KFI.</w:t>
      </w:r>
    </w:p>
    <w:p w14:paraId="489F126E" w14:textId="77777777" w:rsidR="00892B9F" w:rsidRPr="00A5146C" w:rsidRDefault="00892B9F" w:rsidP="00892B9F">
      <w:pPr>
        <w:pStyle w:val="P1-StandPara"/>
        <w:spacing w:line="240" w:lineRule="auto"/>
        <w:ind w:firstLine="0"/>
        <w:jc w:val="left"/>
        <w:rPr>
          <w:sz w:val="24"/>
        </w:rPr>
      </w:pPr>
    </w:p>
    <w:p w14:paraId="091DEFBD" w14:textId="3DCCA652" w:rsidR="00A5146C" w:rsidRDefault="00A5146C" w:rsidP="00726ABF">
      <w:pPr>
        <w:pStyle w:val="P1-StandPara"/>
        <w:numPr>
          <w:ilvl w:val="0"/>
          <w:numId w:val="4"/>
        </w:numPr>
        <w:spacing w:line="240" w:lineRule="auto"/>
        <w:jc w:val="left"/>
        <w:rPr>
          <w:sz w:val="24"/>
        </w:rPr>
      </w:pPr>
      <w:r w:rsidRPr="00A5146C">
        <w:rPr>
          <w:b/>
          <w:sz w:val="24"/>
        </w:rPr>
        <w:t>Image Preprocessing.</w:t>
      </w:r>
      <w:r w:rsidRPr="00A5146C">
        <w:rPr>
          <w:sz w:val="24"/>
        </w:rPr>
        <w:t xml:space="preserve"> </w:t>
      </w:r>
      <w:r w:rsidR="00892B9F" w:rsidRPr="003B6A86">
        <w:rPr>
          <w:sz w:val="24"/>
        </w:rPr>
        <w:t>The iCADE software performs a registration process for each individual questionnaire page to match to the appropriate page template.  This also allows for corrections due to any skewing during scanning.</w:t>
      </w:r>
    </w:p>
    <w:p w14:paraId="091DEFBE" w14:textId="77777777" w:rsidR="0006040C" w:rsidRPr="00A5146C" w:rsidRDefault="0006040C" w:rsidP="00C13221">
      <w:pPr>
        <w:pStyle w:val="P1-StandPara"/>
        <w:spacing w:line="240" w:lineRule="auto"/>
        <w:ind w:left="825" w:firstLine="0"/>
        <w:jc w:val="left"/>
        <w:rPr>
          <w:sz w:val="24"/>
        </w:rPr>
      </w:pPr>
    </w:p>
    <w:p w14:paraId="091DEFBF" w14:textId="32A063A5" w:rsidR="00A5146C" w:rsidRDefault="00A5146C" w:rsidP="00726ABF">
      <w:pPr>
        <w:pStyle w:val="P1-StandPara"/>
        <w:numPr>
          <w:ilvl w:val="0"/>
          <w:numId w:val="4"/>
        </w:numPr>
        <w:spacing w:line="240" w:lineRule="auto"/>
        <w:jc w:val="left"/>
        <w:rPr>
          <w:sz w:val="24"/>
        </w:rPr>
      </w:pPr>
      <w:r w:rsidRPr="00A5146C">
        <w:rPr>
          <w:b/>
          <w:sz w:val="24"/>
        </w:rPr>
        <w:t>Data Capture.</w:t>
      </w:r>
      <w:r w:rsidRPr="00A5146C">
        <w:rPr>
          <w:sz w:val="24"/>
        </w:rPr>
        <w:t xml:space="preserve"> iCADE reads the form image files, checks </w:t>
      </w:r>
      <w:r w:rsidR="005913ED">
        <w:rPr>
          <w:sz w:val="24"/>
        </w:rPr>
        <w:t xml:space="preserve">for </w:t>
      </w:r>
      <w:r w:rsidRPr="00A5146C">
        <w:rPr>
          <w:sz w:val="24"/>
        </w:rPr>
        <w:t>the presence of data, processes all check box fields through OMR</w:t>
      </w:r>
      <w:r w:rsidR="00501850">
        <w:rPr>
          <w:sz w:val="24"/>
        </w:rPr>
        <w:t>, processes all preselected numeric answer fields through OCR, then</w:t>
      </w:r>
      <w:r w:rsidRPr="00A5146C">
        <w:rPr>
          <w:sz w:val="24"/>
        </w:rPr>
        <w:t xml:space="preserve"> presents an image of</w:t>
      </w:r>
      <w:r w:rsidR="00501850">
        <w:rPr>
          <w:sz w:val="24"/>
        </w:rPr>
        <w:t xml:space="preserve"> all other</w:t>
      </w:r>
      <w:r w:rsidRPr="00A5146C">
        <w:rPr>
          <w:sz w:val="24"/>
        </w:rPr>
        <w:t xml:space="preserve"> handwritten fields to an operator for KFI. </w:t>
      </w:r>
    </w:p>
    <w:p w14:paraId="091DEFC0" w14:textId="77777777" w:rsidR="0006040C" w:rsidRPr="00A5146C" w:rsidRDefault="0006040C" w:rsidP="00C13221">
      <w:pPr>
        <w:pStyle w:val="P1-StandPara"/>
        <w:spacing w:line="240" w:lineRule="auto"/>
        <w:ind w:firstLine="0"/>
        <w:jc w:val="left"/>
        <w:rPr>
          <w:sz w:val="24"/>
        </w:rPr>
      </w:pPr>
    </w:p>
    <w:p w14:paraId="091DEFC1" w14:textId="2608C4C8" w:rsidR="00A5146C" w:rsidRDefault="00A5146C" w:rsidP="00726ABF">
      <w:pPr>
        <w:pStyle w:val="P1-StandPara"/>
        <w:numPr>
          <w:ilvl w:val="0"/>
          <w:numId w:val="4"/>
        </w:numPr>
        <w:spacing w:line="240" w:lineRule="auto"/>
        <w:jc w:val="left"/>
        <w:rPr>
          <w:sz w:val="24"/>
        </w:rPr>
      </w:pPr>
      <w:r w:rsidRPr="00A5146C">
        <w:rPr>
          <w:b/>
          <w:sz w:val="24"/>
        </w:rPr>
        <w:t>Verification.</w:t>
      </w:r>
      <w:r w:rsidRPr="00A5146C">
        <w:rPr>
          <w:sz w:val="24"/>
        </w:rPr>
        <w:t xml:space="preserve"> Extracted KFI data are subject to 100% field validation according to project specifications. If a data value violates validation rules, the data</w:t>
      </w:r>
      <w:r w:rsidR="0024749D">
        <w:rPr>
          <w:sz w:val="24"/>
        </w:rPr>
        <w:t xml:space="preserve"> </w:t>
      </w:r>
      <w:r w:rsidR="00D73618">
        <w:rPr>
          <w:sz w:val="24"/>
        </w:rPr>
        <w:t xml:space="preserve">point </w:t>
      </w:r>
      <w:r w:rsidRPr="00A5146C">
        <w:rPr>
          <w:sz w:val="24"/>
        </w:rPr>
        <w:t xml:space="preserve">is flagged for review by verifiers who interactively review the images and the corresponding extracted data, and resolve validation errors. </w:t>
      </w:r>
    </w:p>
    <w:p w14:paraId="091DEFC2" w14:textId="77777777" w:rsidR="00516D71" w:rsidRPr="00A5146C" w:rsidRDefault="00516D71" w:rsidP="00516D71">
      <w:pPr>
        <w:pStyle w:val="P1-StandPara"/>
        <w:spacing w:line="240" w:lineRule="auto"/>
        <w:ind w:firstLine="0"/>
        <w:jc w:val="left"/>
        <w:rPr>
          <w:sz w:val="24"/>
        </w:rPr>
      </w:pPr>
    </w:p>
    <w:p w14:paraId="091DEFC3" w14:textId="77777777" w:rsidR="00A5146C" w:rsidRDefault="00A5146C" w:rsidP="00726ABF">
      <w:pPr>
        <w:pStyle w:val="N2-2ndBullet"/>
        <w:numPr>
          <w:ilvl w:val="0"/>
          <w:numId w:val="4"/>
        </w:numPr>
        <w:tabs>
          <w:tab w:val="clear" w:pos="1728"/>
        </w:tabs>
        <w:spacing w:after="0" w:line="240" w:lineRule="auto"/>
        <w:jc w:val="left"/>
        <w:rPr>
          <w:sz w:val="24"/>
        </w:rPr>
      </w:pPr>
      <w:r w:rsidRPr="00A5146C">
        <w:rPr>
          <w:b/>
          <w:sz w:val="24"/>
        </w:rPr>
        <w:t>Archiving.</w:t>
      </w:r>
      <w:r w:rsidRPr="00A5146C">
        <w:rPr>
          <w:sz w:val="24"/>
        </w:rPr>
        <w:t xml:space="preserve"> Images will be scanned and archived to magnetic storage located on a secured server in case they are needed later. This eliminates the need to save paper copies of the completed questionnaires. </w:t>
      </w:r>
    </w:p>
    <w:p w14:paraId="091DEFC4" w14:textId="77777777" w:rsidR="00A90F7E" w:rsidRDefault="00A90F7E" w:rsidP="00C13221">
      <w:pPr>
        <w:pStyle w:val="N2-2ndBullet"/>
        <w:numPr>
          <w:ilvl w:val="0"/>
          <w:numId w:val="0"/>
        </w:numPr>
        <w:tabs>
          <w:tab w:val="clear" w:pos="1728"/>
        </w:tabs>
        <w:spacing w:after="0" w:line="240" w:lineRule="auto"/>
        <w:ind w:left="825"/>
        <w:jc w:val="left"/>
        <w:rPr>
          <w:sz w:val="24"/>
        </w:rPr>
      </w:pPr>
    </w:p>
    <w:p w14:paraId="091DEFC6" w14:textId="77777777" w:rsidR="00DF21E0" w:rsidRPr="004F0887" w:rsidRDefault="009B3794" w:rsidP="00726ABF">
      <w:pPr>
        <w:numPr>
          <w:ilvl w:val="0"/>
          <w:numId w:val="1"/>
        </w:numPr>
        <w:tabs>
          <w:tab w:val="clear" w:pos="1080"/>
          <w:tab w:val="num" w:pos="360"/>
        </w:tabs>
        <w:spacing w:before="240"/>
        <w:ind w:left="360"/>
        <w:rPr>
          <w:b/>
          <w:sz w:val="24"/>
        </w:rPr>
      </w:pPr>
      <w:r w:rsidRPr="004F0887">
        <w:rPr>
          <w:b/>
          <w:sz w:val="24"/>
        </w:rPr>
        <w:t>Efforts to  Identify Duplication and Use of Similar Information</w:t>
      </w:r>
    </w:p>
    <w:p w14:paraId="091DEFC7" w14:textId="5C0428BD" w:rsidR="00770656" w:rsidRDefault="00E20105" w:rsidP="00C13221">
      <w:pPr>
        <w:spacing w:before="240"/>
        <w:rPr>
          <w:sz w:val="24"/>
        </w:rPr>
      </w:pPr>
      <w:r>
        <w:rPr>
          <w:sz w:val="24"/>
        </w:rPr>
        <w:t xml:space="preserve">The </w:t>
      </w:r>
      <w:r w:rsidR="00FE0224">
        <w:rPr>
          <w:sz w:val="24"/>
        </w:rPr>
        <w:t xml:space="preserve">NSCH </w:t>
      </w:r>
      <w:r>
        <w:rPr>
          <w:sz w:val="24"/>
        </w:rPr>
        <w:t xml:space="preserve">has been conducted since 2003 under the auspices of the </w:t>
      </w:r>
      <w:r w:rsidR="00014935">
        <w:rPr>
          <w:sz w:val="24"/>
        </w:rPr>
        <w:t xml:space="preserve">Centers for Disease Control and Prevention’s </w:t>
      </w:r>
      <w:r>
        <w:rPr>
          <w:sz w:val="24"/>
        </w:rPr>
        <w:t>National Center for Health Statistics</w:t>
      </w:r>
      <w:r w:rsidR="00FE0224">
        <w:rPr>
          <w:sz w:val="24"/>
        </w:rPr>
        <w:t xml:space="preserve"> on behalf of the</w:t>
      </w:r>
      <w:r w:rsidR="00014935">
        <w:rPr>
          <w:sz w:val="24"/>
        </w:rPr>
        <w:t xml:space="preserve"> HRSA MCHB</w:t>
      </w:r>
      <w:r>
        <w:rPr>
          <w:sz w:val="24"/>
        </w:rPr>
        <w:t>. In companion with the</w:t>
      </w:r>
      <w:r w:rsidR="00014935" w:rsidRPr="00014935">
        <w:rPr>
          <w:sz w:val="24"/>
        </w:rPr>
        <w:t xml:space="preserve"> </w:t>
      </w:r>
      <w:r w:rsidR="00014935">
        <w:rPr>
          <w:sz w:val="24"/>
        </w:rPr>
        <w:t>NS-CSHCN</w:t>
      </w:r>
      <w:r>
        <w:rPr>
          <w:sz w:val="24"/>
        </w:rPr>
        <w:t xml:space="preserve">, the NSCH is considered the </w:t>
      </w:r>
      <w:r w:rsidR="00FE0224">
        <w:rPr>
          <w:sz w:val="24"/>
        </w:rPr>
        <w:t xml:space="preserve">most robust </w:t>
      </w:r>
      <w:r>
        <w:rPr>
          <w:sz w:val="24"/>
        </w:rPr>
        <w:t xml:space="preserve">data source </w:t>
      </w:r>
      <w:r w:rsidR="00FE0224">
        <w:rPr>
          <w:sz w:val="24"/>
        </w:rPr>
        <w:t>available</w:t>
      </w:r>
      <w:r w:rsidR="00FF1EA8">
        <w:rPr>
          <w:sz w:val="24"/>
        </w:rPr>
        <w:t xml:space="preserve"> at national and state levels</w:t>
      </w:r>
      <w:r w:rsidR="00FE0224">
        <w:rPr>
          <w:sz w:val="24"/>
        </w:rPr>
        <w:t xml:space="preserve"> </w:t>
      </w:r>
      <w:r>
        <w:rPr>
          <w:sz w:val="24"/>
        </w:rPr>
        <w:t>on children’s health and well-being</w:t>
      </w:r>
      <w:r w:rsidR="00FF1EA8">
        <w:rPr>
          <w:sz w:val="24"/>
        </w:rPr>
        <w:t xml:space="preserve">. These data are </w:t>
      </w:r>
      <w:r w:rsidR="00FE0224">
        <w:rPr>
          <w:sz w:val="24"/>
        </w:rPr>
        <w:t xml:space="preserve">cited broadly in </w:t>
      </w:r>
      <w:r w:rsidR="00A118AA">
        <w:rPr>
          <w:sz w:val="24"/>
        </w:rPr>
        <w:t xml:space="preserve">research </w:t>
      </w:r>
      <w:r w:rsidR="00FE0224">
        <w:rPr>
          <w:sz w:val="24"/>
        </w:rPr>
        <w:t>literature (</w:t>
      </w:r>
      <w:hyperlink r:id="rId11" w:history="1">
        <w:r w:rsidR="00FF1EA8" w:rsidRPr="006C3424">
          <w:rPr>
            <w:rStyle w:val="Hyperlink"/>
            <w:sz w:val="24"/>
          </w:rPr>
          <w:t>http://www.cdc.gov/nchs/slaits/slaits_products.htm</w:t>
        </w:r>
      </w:hyperlink>
      <w:r w:rsidR="00FE0224">
        <w:rPr>
          <w:sz w:val="24"/>
        </w:rPr>
        <w:t>)</w:t>
      </w:r>
      <w:r w:rsidR="00A118AA">
        <w:rPr>
          <w:sz w:val="24"/>
        </w:rPr>
        <w:t>.</w:t>
      </w:r>
      <w:r w:rsidR="00770656">
        <w:rPr>
          <w:sz w:val="24"/>
        </w:rPr>
        <w:t xml:space="preserve">   </w:t>
      </w:r>
      <w:r w:rsidR="00FF1EA8">
        <w:rPr>
          <w:sz w:val="24"/>
        </w:rPr>
        <w:t xml:space="preserve">    </w:t>
      </w:r>
      <w:r>
        <w:rPr>
          <w:sz w:val="24"/>
        </w:rPr>
        <w:t xml:space="preserve"> </w:t>
      </w:r>
      <w:r w:rsidR="00FE0224">
        <w:rPr>
          <w:sz w:val="24"/>
        </w:rPr>
        <w:t xml:space="preserve"> </w:t>
      </w:r>
    </w:p>
    <w:p w14:paraId="7FE6D2D7" w14:textId="3BA7D676" w:rsidR="005734E4" w:rsidRDefault="00014935" w:rsidP="005734E4">
      <w:pPr>
        <w:spacing w:before="240"/>
        <w:rPr>
          <w:sz w:val="24"/>
        </w:rPr>
      </w:pPr>
      <w:r>
        <w:rPr>
          <w:sz w:val="24"/>
        </w:rPr>
        <w:t>Previously</w:t>
      </w:r>
      <w:r w:rsidR="0024749D">
        <w:rPr>
          <w:sz w:val="24"/>
        </w:rPr>
        <w:t>,</w:t>
      </w:r>
      <w:r w:rsidR="005734E4">
        <w:rPr>
          <w:sz w:val="24"/>
        </w:rPr>
        <w:t xml:space="preserve"> </w:t>
      </w:r>
      <w:r>
        <w:rPr>
          <w:sz w:val="24"/>
        </w:rPr>
        <w:t xml:space="preserve">there was significant </w:t>
      </w:r>
      <w:r w:rsidR="00D069EB">
        <w:rPr>
          <w:sz w:val="24"/>
        </w:rPr>
        <w:t>duplication</w:t>
      </w:r>
      <w:r w:rsidR="005734E4">
        <w:rPr>
          <w:sz w:val="24"/>
        </w:rPr>
        <w:t xml:space="preserve"> between the NSCH and the NS-CSHCN.  A key ob</w:t>
      </w:r>
      <w:r w:rsidR="00D069EB">
        <w:rPr>
          <w:sz w:val="24"/>
        </w:rPr>
        <w:t>jective in developing this 2016 NSCH instrument wa</w:t>
      </w:r>
      <w:r w:rsidR="005734E4">
        <w:rPr>
          <w:sz w:val="24"/>
        </w:rPr>
        <w:t>s to consolidate the “old” NSCH and the NS-CSHCN into one survey, reducing redundancy in the collection of data and the burden on households that accompanied the administ</w:t>
      </w:r>
      <w:r w:rsidR="00614ED1">
        <w:rPr>
          <w:sz w:val="24"/>
        </w:rPr>
        <w:t>ration of two separate surveys.</w:t>
      </w:r>
      <w:r w:rsidR="005734E4">
        <w:rPr>
          <w:sz w:val="24"/>
        </w:rPr>
        <w:t xml:space="preserve"> The 2015 </w:t>
      </w:r>
      <w:r w:rsidR="009A4E88">
        <w:rPr>
          <w:sz w:val="24"/>
        </w:rPr>
        <w:t xml:space="preserve">NSCH </w:t>
      </w:r>
      <w:r w:rsidR="005734E4">
        <w:rPr>
          <w:sz w:val="24"/>
        </w:rPr>
        <w:t xml:space="preserve">pretest </w:t>
      </w:r>
      <w:r w:rsidR="009A4E88">
        <w:rPr>
          <w:sz w:val="24"/>
        </w:rPr>
        <w:t xml:space="preserve">and 2016 NSCH iterations </w:t>
      </w:r>
      <w:r w:rsidR="005734E4">
        <w:rPr>
          <w:sz w:val="24"/>
        </w:rPr>
        <w:t xml:space="preserve">demonstrated the feasibility of conducting the new condensed NSCH using web and mail as new modes of administration.  </w:t>
      </w:r>
    </w:p>
    <w:p w14:paraId="091DEFC9" w14:textId="685C4394" w:rsidR="00892D61" w:rsidRPr="00E027E1" w:rsidRDefault="00892D61" w:rsidP="00E027E1">
      <w:pPr>
        <w:spacing w:before="240"/>
        <w:rPr>
          <w:sz w:val="24"/>
        </w:rPr>
      </w:pPr>
      <w:r w:rsidRPr="00E027E1">
        <w:rPr>
          <w:sz w:val="24"/>
        </w:rPr>
        <w:t xml:space="preserve">In the process of redesigning </w:t>
      </w:r>
      <w:r w:rsidR="00B667D0">
        <w:rPr>
          <w:sz w:val="24"/>
        </w:rPr>
        <w:t>and eliminating</w:t>
      </w:r>
      <w:r w:rsidR="007A7CF0">
        <w:rPr>
          <w:sz w:val="24"/>
        </w:rPr>
        <w:t xml:space="preserve"> redundancies in questionnaire items</w:t>
      </w:r>
      <w:r w:rsidRPr="00E027E1">
        <w:rPr>
          <w:sz w:val="24"/>
        </w:rPr>
        <w:t xml:space="preserve">, the </w:t>
      </w:r>
      <w:r w:rsidR="001247D7">
        <w:rPr>
          <w:sz w:val="24"/>
        </w:rPr>
        <w:t xml:space="preserve">2017 </w:t>
      </w:r>
      <w:r w:rsidRPr="00E027E1">
        <w:rPr>
          <w:sz w:val="24"/>
        </w:rPr>
        <w:t xml:space="preserve">NSCH will </w:t>
      </w:r>
      <w:r w:rsidR="00F44A87">
        <w:rPr>
          <w:sz w:val="24"/>
        </w:rPr>
        <w:t xml:space="preserve">also </w:t>
      </w:r>
      <w:r w:rsidR="00862EB4">
        <w:rPr>
          <w:sz w:val="24"/>
        </w:rPr>
        <w:t>include</w:t>
      </w:r>
      <w:r w:rsidRPr="00E027E1">
        <w:rPr>
          <w:sz w:val="24"/>
        </w:rPr>
        <w:t xml:space="preserve"> new content </w:t>
      </w:r>
      <w:r w:rsidR="00D069EB">
        <w:rPr>
          <w:sz w:val="24"/>
        </w:rPr>
        <w:t>(see Ap</w:t>
      </w:r>
      <w:r w:rsidR="00601857">
        <w:rPr>
          <w:sz w:val="24"/>
        </w:rPr>
        <w:t>pendix D, List of new</w:t>
      </w:r>
      <w:r w:rsidR="00E10324">
        <w:rPr>
          <w:sz w:val="24"/>
        </w:rPr>
        <w:t>, modified, and removed</w:t>
      </w:r>
      <w:r w:rsidR="00601857">
        <w:rPr>
          <w:sz w:val="24"/>
        </w:rPr>
        <w:t xml:space="preserve"> survey items) </w:t>
      </w:r>
      <w:r w:rsidRPr="00E027E1">
        <w:rPr>
          <w:sz w:val="24"/>
        </w:rPr>
        <w:t>on the following topics</w:t>
      </w:r>
      <w:r w:rsidR="00862EB4">
        <w:rPr>
          <w:sz w:val="24"/>
        </w:rPr>
        <w:t xml:space="preserve">, to </w:t>
      </w:r>
      <w:r w:rsidR="007A7CF0">
        <w:rPr>
          <w:sz w:val="24"/>
        </w:rPr>
        <w:t>support programs and policies related to children’s health and children with special health care needs</w:t>
      </w:r>
      <w:r w:rsidRPr="00E027E1">
        <w:rPr>
          <w:sz w:val="24"/>
        </w:rPr>
        <w:t xml:space="preserve">:  </w:t>
      </w:r>
    </w:p>
    <w:p w14:paraId="5E86D0EF" w14:textId="0236CB12" w:rsidR="00CE01E8" w:rsidRDefault="00E10324" w:rsidP="007A7CF0">
      <w:pPr>
        <w:pStyle w:val="ListParagraph"/>
        <w:numPr>
          <w:ilvl w:val="0"/>
          <w:numId w:val="7"/>
        </w:numPr>
        <w:spacing w:before="240"/>
        <w:rPr>
          <w:sz w:val="24"/>
        </w:rPr>
      </w:pPr>
      <w:r>
        <w:rPr>
          <w:sz w:val="24"/>
        </w:rPr>
        <w:t xml:space="preserve">Two items from the Environmental Protection Agency (EPA) </w:t>
      </w:r>
      <w:r w:rsidR="005913ED">
        <w:rPr>
          <w:sz w:val="24"/>
        </w:rPr>
        <w:t>on</w:t>
      </w:r>
      <w:r>
        <w:rPr>
          <w:sz w:val="24"/>
        </w:rPr>
        <w:t xml:space="preserve"> household exposures to </w:t>
      </w:r>
      <w:r w:rsidR="00714752">
        <w:rPr>
          <w:sz w:val="24"/>
        </w:rPr>
        <w:t>pesticides</w:t>
      </w:r>
      <w:r>
        <w:rPr>
          <w:sz w:val="24"/>
        </w:rPr>
        <w:t xml:space="preserve"> and mold</w:t>
      </w:r>
    </w:p>
    <w:p w14:paraId="41B02894" w14:textId="2B77698A" w:rsidR="009458EB" w:rsidRDefault="001247D7" w:rsidP="007A7CF0">
      <w:pPr>
        <w:pStyle w:val="ListParagraph"/>
        <w:numPr>
          <w:ilvl w:val="0"/>
          <w:numId w:val="7"/>
        </w:numPr>
        <w:spacing w:before="240"/>
        <w:rPr>
          <w:sz w:val="24"/>
        </w:rPr>
      </w:pPr>
      <w:r>
        <w:rPr>
          <w:sz w:val="24"/>
        </w:rPr>
        <w:t>Two questions on military and deployment status of each parent or caregiver</w:t>
      </w:r>
    </w:p>
    <w:p w14:paraId="2F816B89" w14:textId="5B22F95D" w:rsidR="001247D7" w:rsidRPr="007A7CF0" w:rsidRDefault="001247D7" w:rsidP="007A7CF0">
      <w:pPr>
        <w:pStyle w:val="ListParagraph"/>
        <w:numPr>
          <w:ilvl w:val="0"/>
          <w:numId w:val="7"/>
        </w:numPr>
        <w:spacing w:before="240"/>
        <w:rPr>
          <w:sz w:val="24"/>
        </w:rPr>
      </w:pPr>
      <w:r>
        <w:rPr>
          <w:sz w:val="24"/>
        </w:rPr>
        <w:t>One question (for children aged 0-5) on identifying colors by name</w:t>
      </w:r>
    </w:p>
    <w:p w14:paraId="091DEFCF" w14:textId="77777777" w:rsidR="009B3794" w:rsidRPr="004F0887" w:rsidRDefault="009B3794" w:rsidP="00726ABF">
      <w:pPr>
        <w:numPr>
          <w:ilvl w:val="0"/>
          <w:numId w:val="1"/>
        </w:numPr>
        <w:tabs>
          <w:tab w:val="clear" w:pos="1080"/>
          <w:tab w:val="num" w:pos="360"/>
        </w:tabs>
        <w:spacing w:before="240"/>
        <w:ind w:left="360"/>
        <w:rPr>
          <w:color w:val="000000"/>
          <w:sz w:val="24"/>
        </w:rPr>
      </w:pPr>
      <w:r w:rsidRPr="004F0887">
        <w:rPr>
          <w:b/>
          <w:sz w:val="24"/>
        </w:rPr>
        <w:t>Impact on Small Businesses or Other Small Entities</w:t>
      </w:r>
    </w:p>
    <w:p w14:paraId="091DEFD0" w14:textId="77777777" w:rsidR="00295D80" w:rsidRPr="00A772C9" w:rsidRDefault="00295D80" w:rsidP="00295D80">
      <w:pPr>
        <w:spacing w:before="240"/>
        <w:rPr>
          <w:sz w:val="24"/>
        </w:rPr>
      </w:pPr>
      <w:r>
        <w:rPr>
          <w:sz w:val="24"/>
        </w:rPr>
        <w:t>Not applicable.</w:t>
      </w:r>
    </w:p>
    <w:p w14:paraId="091DEFD1" w14:textId="77777777" w:rsidR="00C13221" w:rsidRPr="004F0887" w:rsidRDefault="009B3794" w:rsidP="00726ABF">
      <w:pPr>
        <w:numPr>
          <w:ilvl w:val="0"/>
          <w:numId w:val="1"/>
        </w:numPr>
        <w:tabs>
          <w:tab w:val="clear" w:pos="1080"/>
          <w:tab w:val="num" w:pos="360"/>
        </w:tabs>
        <w:spacing w:before="240"/>
        <w:ind w:left="360"/>
        <w:rPr>
          <w:b/>
          <w:sz w:val="24"/>
        </w:rPr>
      </w:pPr>
      <w:r w:rsidRPr="004F0887">
        <w:rPr>
          <w:b/>
          <w:sz w:val="24"/>
        </w:rPr>
        <w:t>Consequences of Collecting the Information Less Frequent</w:t>
      </w:r>
      <w:r w:rsidR="001325B2" w:rsidRPr="004F0887">
        <w:rPr>
          <w:b/>
          <w:sz w:val="24"/>
        </w:rPr>
        <w:t>ly</w:t>
      </w:r>
    </w:p>
    <w:p w14:paraId="08D2DDA7" w14:textId="0E778071" w:rsidR="00F1694F" w:rsidRDefault="00295D80" w:rsidP="00A772C9">
      <w:pPr>
        <w:widowControl/>
        <w:spacing w:before="240" w:after="120"/>
        <w:rPr>
          <w:sz w:val="24"/>
        </w:rPr>
      </w:pPr>
      <w:r>
        <w:rPr>
          <w:sz w:val="24"/>
        </w:rPr>
        <w:t xml:space="preserve">The </w:t>
      </w:r>
      <w:r w:rsidR="00F1694F">
        <w:rPr>
          <w:sz w:val="24"/>
        </w:rPr>
        <w:t>201</w:t>
      </w:r>
      <w:r w:rsidR="009A4E88">
        <w:rPr>
          <w:sz w:val="24"/>
        </w:rPr>
        <w:t>7</w:t>
      </w:r>
      <w:r w:rsidR="00F1694F">
        <w:rPr>
          <w:sz w:val="24"/>
        </w:rPr>
        <w:t xml:space="preserve"> </w:t>
      </w:r>
      <w:r>
        <w:rPr>
          <w:sz w:val="24"/>
        </w:rPr>
        <w:t xml:space="preserve">NSCH </w:t>
      </w:r>
      <w:r w:rsidR="00210418">
        <w:rPr>
          <w:sz w:val="24"/>
        </w:rPr>
        <w:t>is</w:t>
      </w:r>
      <w:r w:rsidR="00F1694F">
        <w:rPr>
          <w:sz w:val="24"/>
        </w:rPr>
        <w:t xml:space="preserve"> </w:t>
      </w:r>
      <w:r w:rsidR="009A4E88">
        <w:rPr>
          <w:sz w:val="24"/>
        </w:rPr>
        <w:t>the second year</w:t>
      </w:r>
      <w:r w:rsidR="00F1694F">
        <w:rPr>
          <w:sz w:val="24"/>
        </w:rPr>
        <w:t xml:space="preserve"> production </w:t>
      </w:r>
      <w:r w:rsidR="00F44A87">
        <w:rPr>
          <w:sz w:val="24"/>
        </w:rPr>
        <w:t xml:space="preserve">survey </w:t>
      </w:r>
      <w:r w:rsidR="00F1694F">
        <w:rPr>
          <w:sz w:val="24"/>
        </w:rPr>
        <w:t>in what is expected to become an annual or biennial data collection system to</w:t>
      </w:r>
      <w:r w:rsidR="00F1694F" w:rsidRPr="0051063C">
        <w:rPr>
          <w:sz w:val="24"/>
        </w:rPr>
        <w:t xml:space="preserve"> produce data on the physical</w:t>
      </w:r>
      <w:r w:rsidR="00D069EB">
        <w:rPr>
          <w:sz w:val="24"/>
        </w:rPr>
        <w:t xml:space="preserve"> and emotional health of</w:t>
      </w:r>
      <w:r w:rsidR="00F1694F" w:rsidRPr="0051063C">
        <w:rPr>
          <w:sz w:val="24"/>
        </w:rPr>
        <w:t xml:space="preserve"> children under 18 years of age</w:t>
      </w:r>
      <w:r w:rsidR="00014935">
        <w:rPr>
          <w:sz w:val="24"/>
        </w:rPr>
        <w:t xml:space="preserve"> living in the U</w:t>
      </w:r>
      <w:r w:rsidR="00D348B8">
        <w:rPr>
          <w:sz w:val="24"/>
        </w:rPr>
        <w:t xml:space="preserve">nited </w:t>
      </w:r>
      <w:r w:rsidR="00014935">
        <w:rPr>
          <w:sz w:val="24"/>
        </w:rPr>
        <w:t>S</w:t>
      </w:r>
      <w:r w:rsidR="00D348B8">
        <w:rPr>
          <w:sz w:val="24"/>
        </w:rPr>
        <w:t>tates</w:t>
      </w:r>
      <w:r w:rsidR="00F1694F" w:rsidRPr="0051063C">
        <w:rPr>
          <w:sz w:val="24"/>
        </w:rPr>
        <w:t>. The NSCH collects information on factors related to the well-being of children, including access to</w:t>
      </w:r>
      <w:r w:rsidR="00F44A87">
        <w:rPr>
          <w:sz w:val="24"/>
        </w:rPr>
        <w:t xml:space="preserve"> and quality of</w:t>
      </w:r>
      <w:r w:rsidR="00F1694F" w:rsidRPr="0051063C">
        <w:rPr>
          <w:sz w:val="24"/>
        </w:rPr>
        <w:t xml:space="preserve"> health care, family interactions, parental health, school and after-school experiences, and neighborhood characteristics.</w:t>
      </w:r>
      <w:r w:rsidR="00601857">
        <w:rPr>
          <w:sz w:val="24"/>
        </w:rPr>
        <w:t xml:space="preserve"> </w:t>
      </w:r>
      <w:r w:rsidR="00601857" w:rsidRPr="00601857">
        <w:rPr>
          <w:sz w:val="24"/>
        </w:rPr>
        <w:t>NSCH data are used to measure progress on national performance and ou</w:t>
      </w:r>
      <w:r w:rsidR="00E17C65">
        <w:rPr>
          <w:sz w:val="24"/>
        </w:rPr>
        <w:t>tcome measures under the Title V</w:t>
      </w:r>
      <w:r w:rsidR="00601857" w:rsidRPr="00601857">
        <w:rPr>
          <w:sz w:val="24"/>
        </w:rPr>
        <w:t xml:space="preserve"> Maternal and Child Health Services Block Grant Program in HHS.</w:t>
      </w:r>
      <w:r w:rsidR="00110108">
        <w:rPr>
          <w:sz w:val="24"/>
        </w:rPr>
        <w:t xml:space="preserve"> Without </w:t>
      </w:r>
      <w:r w:rsidR="005D467C">
        <w:rPr>
          <w:sz w:val="24"/>
        </w:rPr>
        <w:t>the annual collection of this data, the HRSA MCHB would not be able to produce these timely national performance and outcome measures.</w:t>
      </w:r>
    </w:p>
    <w:p w14:paraId="091DEFD3" w14:textId="77777777" w:rsidR="00416E98" w:rsidRPr="004F0887" w:rsidRDefault="00416E98" w:rsidP="00726ABF">
      <w:pPr>
        <w:numPr>
          <w:ilvl w:val="0"/>
          <w:numId w:val="1"/>
        </w:numPr>
        <w:tabs>
          <w:tab w:val="clear" w:pos="1080"/>
          <w:tab w:val="num" w:pos="360"/>
        </w:tabs>
        <w:spacing w:before="240"/>
        <w:ind w:left="360"/>
        <w:rPr>
          <w:b/>
          <w:sz w:val="24"/>
        </w:rPr>
      </w:pPr>
      <w:r w:rsidRPr="004F0887">
        <w:rPr>
          <w:b/>
          <w:sz w:val="24"/>
        </w:rPr>
        <w:t>Special Circumstances Relating to the Guidelines of 5 CFR 1320.5</w:t>
      </w:r>
    </w:p>
    <w:p w14:paraId="091DEFD4" w14:textId="77777777" w:rsidR="00C04B5D" w:rsidRDefault="00C04B5D" w:rsidP="00C04B5D">
      <w:pPr>
        <w:rPr>
          <w:sz w:val="24"/>
        </w:rPr>
      </w:pPr>
    </w:p>
    <w:p w14:paraId="091DEFD5" w14:textId="77777777" w:rsidR="00C04B5D" w:rsidRDefault="00416E98" w:rsidP="00C04B5D">
      <w:pPr>
        <w:rPr>
          <w:sz w:val="24"/>
        </w:rPr>
      </w:pPr>
      <w:r>
        <w:rPr>
          <w:sz w:val="24"/>
        </w:rPr>
        <w:t>This data collection</w:t>
      </w:r>
      <w:r w:rsidRPr="00416E98">
        <w:rPr>
          <w:sz w:val="24"/>
        </w:rPr>
        <w:t xml:space="preserve"> will be consistent with the general information collection guidelines of </w:t>
      </w:r>
    </w:p>
    <w:p w14:paraId="091DEFD6" w14:textId="77777777" w:rsidR="00277DBC" w:rsidRPr="00480B55" w:rsidRDefault="00C04B5D" w:rsidP="00480B55">
      <w:pPr>
        <w:rPr>
          <w:sz w:val="24"/>
        </w:rPr>
      </w:pPr>
      <w:r>
        <w:rPr>
          <w:sz w:val="24"/>
        </w:rPr>
        <w:t xml:space="preserve">5 </w:t>
      </w:r>
      <w:r w:rsidR="00416E98" w:rsidRPr="00416E98">
        <w:rPr>
          <w:sz w:val="24"/>
        </w:rPr>
        <w:t>CFR 1320.5.  No special circumstances apply.</w:t>
      </w:r>
    </w:p>
    <w:p w14:paraId="091DEFD7" w14:textId="77777777" w:rsidR="009B3794" w:rsidRPr="004F0887" w:rsidRDefault="009B3794" w:rsidP="00726ABF">
      <w:pPr>
        <w:numPr>
          <w:ilvl w:val="0"/>
          <w:numId w:val="1"/>
        </w:numPr>
        <w:tabs>
          <w:tab w:val="clear" w:pos="1080"/>
          <w:tab w:val="num" w:pos="360"/>
        </w:tabs>
        <w:spacing w:before="240"/>
        <w:ind w:left="360"/>
        <w:rPr>
          <w:b/>
          <w:sz w:val="24"/>
        </w:rPr>
      </w:pPr>
      <w:r w:rsidRPr="004F0887">
        <w:rPr>
          <w:b/>
          <w:iCs/>
          <w:sz w:val="24"/>
        </w:rPr>
        <w:t>Comments in Response to the Federal Register</w:t>
      </w:r>
      <w:r w:rsidRPr="004F0887">
        <w:rPr>
          <w:b/>
          <w:sz w:val="24"/>
        </w:rPr>
        <w:t xml:space="preserve"> Notice/Outside Consultation</w:t>
      </w:r>
    </w:p>
    <w:p w14:paraId="091DEFD8" w14:textId="77777777" w:rsidR="00A35B1E" w:rsidRDefault="00A35B1E" w:rsidP="00480B55">
      <w:pPr>
        <w:widowControl/>
        <w:autoSpaceDE/>
        <w:autoSpaceDN/>
        <w:adjustRightInd/>
        <w:rPr>
          <w:sz w:val="24"/>
        </w:rPr>
      </w:pPr>
    </w:p>
    <w:p w14:paraId="091DEFD9" w14:textId="30A4848E" w:rsidR="00997F55" w:rsidRDefault="00F923CA" w:rsidP="00480B55">
      <w:pPr>
        <w:widowControl/>
        <w:autoSpaceDE/>
        <w:autoSpaceDN/>
        <w:adjustRightInd/>
        <w:rPr>
          <w:b/>
          <w:sz w:val="24"/>
          <w:u w:val="single"/>
        </w:rPr>
      </w:pPr>
      <w:r>
        <w:rPr>
          <w:sz w:val="24"/>
        </w:rPr>
        <w:t>The</w:t>
      </w:r>
      <w:r w:rsidR="00C534E6" w:rsidRPr="00C534E6">
        <w:rPr>
          <w:sz w:val="24"/>
        </w:rPr>
        <w:t xml:space="preserve"> 60-day Federal Register Notice was published in the </w:t>
      </w:r>
      <w:r w:rsidR="00C534E6" w:rsidRPr="00C534E6">
        <w:rPr>
          <w:i/>
          <w:iCs/>
          <w:sz w:val="24"/>
        </w:rPr>
        <w:t xml:space="preserve">Federal Register </w:t>
      </w:r>
      <w:r>
        <w:rPr>
          <w:sz w:val="24"/>
        </w:rPr>
        <w:t xml:space="preserve">on </w:t>
      </w:r>
      <w:r w:rsidR="00DA738A">
        <w:rPr>
          <w:sz w:val="24"/>
        </w:rPr>
        <w:t>December 28</w:t>
      </w:r>
      <w:r>
        <w:rPr>
          <w:sz w:val="24"/>
        </w:rPr>
        <w:t>, 201</w:t>
      </w:r>
      <w:r w:rsidR="00DA738A">
        <w:rPr>
          <w:sz w:val="24"/>
        </w:rPr>
        <w:t>6</w:t>
      </w:r>
      <w:r w:rsidR="00C534E6" w:rsidRPr="00C534E6">
        <w:rPr>
          <w:sz w:val="24"/>
        </w:rPr>
        <w:t xml:space="preserve"> </w:t>
      </w:r>
      <w:r>
        <w:rPr>
          <w:sz w:val="24"/>
        </w:rPr>
        <w:t>(8</w:t>
      </w:r>
      <w:r w:rsidR="00510E23">
        <w:rPr>
          <w:sz w:val="24"/>
        </w:rPr>
        <w:t>1</w:t>
      </w:r>
      <w:r>
        <w:rPr>
          <w:sz w:val="24"/>
        </w:rPr>
        <w:t xml:space="preserve"> FR, N</w:t>
      </w:r>
      <w:r w:rsidR="00C534E6" w:rsidRPr="00C534E6">
        <w:rPr>
          <w:sz w:val="24"/>
        </w:rPr>
        <w:t xml:space="preserve">o. </w:t>
      </w:r>
      <w:r w:rsidR="00D07B81">
        <w:rPr>
          <w:sz w:val="24"/>
        </w:rPr>
        <w:t>2</w:t>
      </w:r>
      <w:r w:rsidR="00510E23">
        <w:rPr>
          <w:sz w:val="24"/>
        </w:rPr>
        <w:t>4</w:t>
      </w:r>
      <w:r w:rsidR="00D07B81">
        <w:rPr>
          <w:sz w:val="24"/>
        </w:rPr>
        <w:t>9</w:t>
      </w:r>
      <w:r w:rsidR="00997F55">
        <w:rPr>
          <w:sz w:val="24"/>
        </w:rPr>
        <w:t xml:space="preserve">; p. </w:t>
      </w:r>
      <w:r w:rsidR="00923461">
        <w:rPr>
          <w:sz w:val="24"/>
        </w:rPr>
        <w:t>95562</w:t>
      </w:r>
      <w:r w:rsidR="00D07B81">
        <w:rPr>
          <w:sz w:val="24"/>
        </w:rPr>
        <w:t>-</w:t>
      </w:r>
      <w:r w:rsidR="00923461">
        <w:rPr>
          <w:sz w:val="24"/>
        </w:rPr>
        <w:t>95565</w:t>
      </w:r>
      <w:r w:rsidR="00B2596B">
        <w:rPr>
          <w:sz w:val="24"/>
        </w:rPr>
        <w:t>)</w:t>
      </w:r>
      <w:r w:rsidR="00C534E6" w:rsidRPr="00C534E6">
        <w:rPr>
          <w:sz w:val="24"/>
        </w:rPr>
        <w:t>. No substantive comments were received.</w:t>
      </w:r>
    </w:p>
    <w:p w14:paraId="091DEFDA" w14:textId="77777777" w:rsidR="002826DE" w:rsidRDefault="002826DE" w:rsidP="002826DE">
      <w:pPr>
        <w:widowControl/>
        <w:autoSpaceDE/>
        <w:autoSpaceDN/>
        <w:adjustRightInd/>
        <w:rPr>
          <w:b/>
          <w:sz w:val="24"/>
          <w:u w:val="single"/>
        </w:rPr>
      </w:pPr>
    </w:p>
    <w:p w14:paraId="091DEFDB" w14:textId="77777777" w:rsidR="009B3794" w:rsidRPr="004F0887" w:rsidRDefault="009B3794" w:rsidP="00480B55">
      <w:pPr>
        <w:numPr>
          <w:ilvl w:val="0"/>
          <w:numId w:val="1"/>
        </w:numPr>
        <w:tabs>
          <w:tab w:val="clear" w:pos="1080"/>
          <w:tab w:val="num" w:pos="360"/>
        </w:tabs>
        <w:ind w:left="360"/>
        <w:rPr>
          <w:b/>
          <w:sz w:val="24"/>
        </w:rPr>
      </w:pPr>
      <w:r w:rsidRPr="004F0887">
        <w:rPr>
          <w:b/>
          <w:sz w:val="24"/>
        </w:rPr>
        <w:t>Explanation of any Payment/Gift to Respondents</w:t>
      </w:r>
    </w:p>
    <w:p w14:paraId="091DEFDC" w14:textId="77777777" w:rsidR="00FB6A85" w:rsidRDefault="00FB6A85" w:rsidP="00FB6A85"/>
    <w:p w14:paraId="229831B4" w14:textId="2B488509" w:rsidR="0051063C" w:rsidRDefault="00014935" w:rsidP="003F0975">
      <w:pPr>
        <w:rPr>
          <w:sz w:val="24"/>
        </w:rPr>
      </w:pPr>
      <w:r>
        <w:rPr>
          <w:sz w:val="24"/>
        </w:rPr>
        <w:t>Incentive experiments for t</w:t>
      </w:r>
      <w:r w:rsidR="00C767B5">
        <w:rPr>
          <w:sz w:val="24"/>
        </w:rPr>
        <w:t xml:space="preserve">he </w:t>
      </w:r>
      <w:r w:rsidR="00923461">
        <w:rPr>
          <w:sz w:val="24"/>
        </w:rPr>
        <w:t>2016 NSCH</w:t>
      </w:r>
      <w:r w:rsidR="00C767B5">
        <w:rPr>
          <w:sz w:val="24"/>
        </w:rPr>
        <w:t xml:space="preserve"> included both $</w:t>
      </w:r>
      <w:r w:rsidR="001428A3">
        <w:rPr>
          <w:sz w:val="24"/>
        </w:rPr>
        <w:t xml:space="preserve">2 </w:t>
      </w:r>
      <w:r w:rsidR="00C767B5">
        <w:rPr>
          <w:sz w:val="24"/>
        </w:rPr>
        <w:t>and $</w:t>
      </w:r>
      <w:r w:rsidR="001428A3">
        <w:rPr>
          <w:sz w:val="24"/>
        </w:rPr>
        <w:t xml:space="preserve">5 </w:t>
      </w:r>
      <w:r w:rsidR="00C767B5">
        <w:rPr>
          <w:sz w:val="24"/>
        </w:rPr>
        <w:t>treatment groups</w:t>
      </w:r>
      <w:r w:rsidR="005E5171" w:rsidRPr="005E5171">
        <w:rPr>
          <w:sz w:val="24"/>
        </w:rPr>
        <w:t xml:space="preserve"> </w:t>
      </w:r>
      <w:r w:rsidR="001428A3">
        <w:rPr>
          <w:sz w:val="24"/>
        </w:rPr>
        <w:t>along with a control group that did not receive a cash</w:t>
      </w:r>
      <w:r w:rsidR="006C2526">
        <w:rPr>
          <w:sz w:val="24"/>
        </w:rPr>
        <w:t xml:space="preserve"> incentive</w:t>
      </w:r>
      <w:r w:rsidR="005E5171" w:rsidRPr="0051063C">
        <w:rPr>
          <w:sz w:val="24"/>
        </w:rPr>
        <w:t>.</w:t>
      </w:r>
      <w:r w:rsidR="00C767B5">
        <w:rPr>
          <w:sz w:val="24"/>
        </w:rPr>
        <w:t xml:space="preserve"> </w:t>
      </w:r>
      <w:r w:rsidR="001428A3" w:rsidRPr="00DA26DF">
        <w:rPr>
          <w:sz w:val="24"/>
        </w:rPr>
        <w:t xml:space="preserve">The evaluation of results from the 2016 NSCH showed that there was a statistically significant difference in the response rates </w:t>
      </w:r>
      <w:r w:rsidR="00D069EB">
        <w:rPr>
          <w:sz w:val="24"/>
        </w:rPr>
        <w:t>among</w:t>
      </w:r>
      <w:r w:rsidR="001428A3" w:rsidRPr="00DA26DF">
        <w:rPr>
          <w:sz w:val="24"/>
        </w:rPr>
        <w:t xml:space="preserve"> respondents </w:t>
      </w:r>
      <w:r w:rsidR="00D069EB">
        <w:rPr>
          <w:sz w:val="24"/>
        </w:rPr>
        <w:t xml:space="preserve">who </w:t>
      </w:r>
      <w:r w:rsidR="001428A3" w:rsidRPr="00DA26DF">
        <w:rPr>
          <w:sz w:val="24"/>
        </w:rPr>
        <w:t>were provided an incentive</w:t>
      </w:r>
      <w:r w:rsidR="000C780E">
        <w:rPr>
          <w:sz w:val="24"/>
        </w:rPr>
        <w:t xml:space="preserve"> </w:t>
      </w:r>
      <w:r w:rsidR="001428A3" w:rsidRPr="00DA26DF">
        <w:rPr>
          <w:sz w:val="24"/>
        </w:rPr>
        <w:t>compared to those who did not receive an incentive.</w:t>
      </w:r>
      <w:r w:rsidR="001428A3">
        <w:rPr>
          <w:sz w:val="24"/>
        </w:rPr>
        <w:t xml:space="preserve"> </w:t>
      </w:r>
      <w:r w:rsidR="00D069EB">
        <w:rPr>
          <w:sz w:val="24"/>
        </w:rPr>
        <w:t>In addition, t</w:t>
      </w:r>
      <w:r w:rsidR="001428A3">
        <w:rPr>
          <w:sz w:val="24"/>
        </w:rPr>
        <w:t xml:space="preserve">here was a slightly larger increase in response </w:t>
      </w:r>
      <w:r w:rsidR="00D069EB">
        <w:rPr>
          <w:sz w:val="24"/>
        </w:rPr>
        <w:t>rates among</w:t>
      </w:r>
      <w:r w:rsidR="001428A3">
        <w:rPr>
          <w:sz w:val="24"/>
        </w:rPr>
        <w:t xml:space="preserve"> households mailed a $5 incentive compared to those mailed a $2 incentive w</w:t>
      </w:r>
      <w:r w:rsidR="00092F39">
        <w:rPr>
          <w:sz w:val="24"/>
        </w:rPr>
        <w:t>ith their initial survey invite</w:t>
      </w:r>
      <w:r w:rsidR="00D069EB">
        <w:rPr>
          <w:sz w:val="24"/>
        </w:rPr>
        <w:t>.</w:t>
      </w:r>
      <w:r w:rsidR="00092F39">
        <w:rPr>
          <w:sz w:val="24"/>
        </w:rPr>
        <w:t xml:space="preserve"> Response rates were 33.7% for respondents with no incentives, compared with 36.5% for those with a $2 incentive and 38.4% for those with a $5 incentive.</w:t>
      </w:r>
      <w:r w:rsidR="00D069EB">
        <w:rPr>
          <w:sz w:val="24"/>
        </w:rPr>
        <w:t xml:space="preserve"> </w:t>
      </w:r>
      <w:r w:rsidR="00A765F7">
        <w:rPr>
          <w:sz w:val="24"/>
        </w:rPr>
        <w:t>T</w:t>
      </w:r>
      <w:r w:rsidR="001428A3">
        <w:rPr>
          <w:sz w:val="24"/>
        </w:rPr>
        <w:t>he cost of incentives is balanced against the reduction in follow-up effort and the cost required to collect the data. Due to budget limitations, a $5 incentive is not being considered for the 2017 NSCH.</w:t>
      </w:r>
    </w:p>
    <w:p w14:paraId="72187C51" w14:textId="77777777" w:rsidR="0051063C" w:rsidRDefault="0051063C" w:rsidP="003F0975">
      <w:pPr>
        <w:rPr>
          <w:sz w:val="24"/>
        </w:rPr>
      </w:pPr>
    </w:p>
    <w:p w14:paraId="09A4F139" w14:textId="0CA84BF6" w:rsidR="0051063C" w:rsidRDefault="006D305B" w:rsidP="003F0975">
      <w:pPr>
        <w:rPr>
          <w:sz w:val="24"/>
        </w:rPr>
      </w:pPr>
      <w:r w:rsidRPr="0051063C">
        <w:rPr>
          <w:sz w:val="24"/>
        </w:rPr>
        <w:t xml:space="preserve">In the </w:t>
      </w:r>
      <w:r w:rsidR="000B4FF4" w:rsidRPr="0051063C">
        <w:rPr>
          <w:sz w:val="24"/>
        </w:rPr>
        <w:t>201</w:t>
      </w:r>
      <w:r w:rsidR="000B4FF4">
        <w:rPr>
          <w:sz w:val="24"/>
        </w:rPr>
        <w:t>7</w:t>
      </w:r>
      <w:r w:rsidR="000B4FF4" w:rsidRPr="0051063C">
        <w:rPr>
          <w:sz w:val="24"/>
        </w:rPr>
        <w:t xml:space="preserve"> </w:t>
      </w:r>
      <w:r w:rsidRPr="0051063C">
        <w:rPr>
          <w:sz w:val="24"/>
        </w:rPr>
        <w:t>NSCH, sampled addresses will receive a $2 cash incentive or they will be part of the control group that does not receive a cash incentive.</w:t>
      </w:r>
      <w:r w:rsidR="003D419E">
        <w:rPr>
          <w:sz w:val="24"/>
        </w:rPr>
        <w:t xml:space="preserve"> </w:t>
      </w:r>
      <w:r w:rsidR="005E5171">
        <w:rPr>
          <w:sz w:val="24"/>
        </w:rPr>
        <w:t xml:space="preserve">Survey methods research strongly support the use of unconditional incentives to </w:t>
      </w:r>
      <w:r w:rsidR="006D0B7D">
        <w:rPr>
          <w:sz w:val="24"/>
        </w:rPr>
        <w:t xml:space="preserve">reduce nonresponse bias </w:t>
      </w:r>
      <w:r w:rsidR="005E5171">
        <w:rPr>
          <w:sz w:val="24"/>
        </w:rPr>
        <w:t>in self-administered survey data collection</w:t>
      </w:r>
      <w:r w:rsidR="001E7090" w:rsidRPr="001E7090">
        <w:rPr>
          <w:rStyle w:val="FootnoteReference"/>
          <w:sz w:val="24"/>
          <w:vertAlign w:val="superscript"/>
        </w:rPr>
        <w:footnoteReference w:id="5"/>
      </w:r>
      <w:r w:rsidR="005E5171">
        <w:rPr>
          <w:sz w:val="24"/>
        </w:rPr>
        <w:t xml:space="preserve">. </w:t>
      </w:r>
      <w:r w:rsidR="0051063C" w:rsidRPr="0051063C">
        <w:rPr>
          <w:sz w:val="24"/>
        </w:rPr>
        <w:t xml:space="preserve">The </w:t>
      </w:r>
      <w:r w:rsidR="000B4FF4">
        <w:rPr>
          <w:sz w:val="24"/>
        </w:rPr>
        <w:t xml:space="preserve">2017 </w:t>
      </w:r>
      <w:r w:rsidR="0051063C" w:rsidRPr="0051063C">
        <w:rPr>
          <w:sz w:val="24"/>
        </w:rPr>
        <w:t>NSCH project plan</w:t>
      </w:r>
      <w:r w:rsidR="00C767B5">
        <w:rPr>
          <w:sz w:val="24"/>
        </w:rPr>
        <w:t xml:space="preserve"> </w:t>
      </w:r>
      <w:r w:rsidR="00830139">
        <w:rPr>
          <w:sz w:val="24"/>
        </w:rPr>
        <w:t xml:space="preserve">allows us </w:t>
      </w:r>
      <w:r w:rsidR="000B4FF4">
        <w:rPr>
          <w:sz w:val="24"/>
        </w:rPr>
        <w:t>to continue to monitor the effectiveness of the $2 incentive in the initial mailing.</w:t>
      </w:r>
      <w:r w:rsidR="00317115">
        <w:rPr>
          <w:sz w:val="24"/>
        </w:rPr>
        <w:t xml:space="preserve"> </w:t>
      </w:r>
      <w:r w:rsidR="00DE6763">
        <w:rPr>
          <w:sz w:val="24"/>
        </w:rPr>
        <w:t xml:space="preserve">The sample will be divided so that the control group makes up a small percentage (10% or less). </w:t>
      </w:r>
      <w:r>
        <w:rPr>
          <w:sz w:val="24"/>
        </w:rPr>
        <w:t xml:space="preserve">The sample distribution is presented in table </w:t>
      </w:r>
      <w:r w:rsidR="005A1725">
        <w:rPr>
          <w:sz w:val="24"/>
        </w:rPr>
        <w:t>9A</w:t>
      </w:r>
      <w:r w:rsidR="00B667D0">
        <w:rPr>
          <w:sz w:val="24"/>
        </w:rPr>
        <w:t xml:space="preserve"> (the additional experiments listed in the table will be discussed in Part B)</w:t>
      </w:r>
      <w:r>
        <w:rPr>
          <w:sz w:val="24"/>
        </w:rPr>
        <w:t xml:space="preserve">. </w:t>
      </w:r>
    </w:p>
    <w:p w14:paraId="67F0E85A" w14:textId="519F434D" w:rsidR="00B14108" w:rsidRDefault="00B14108">
      <w:pPr>
        <w:widowControl/>
        <w:autoSpaceDE/>
        <w:autoSpaceDN/>
        <w:adjustRightInd/>
        <w:rPr>
          <w:b/>
          <w:sz w:val="24"/>
        </w:rPr>
      </w:pPr>
    </w:p>
    <w:p w14:paraId="091DEFDF" w14:textId="657AD12F" w:rsidR="00F31E3B" w:rsidRPr="00E17C65" w:rsidRDefault="00341388" w:rsidP="003F0975">
      <w:pPr>
        <w:rPr>
          <w:b/>
          <w:sz w:val="24"/>
        </w:rPr>
      </w:pPr>
      <w:r w:rsidRPr="00E17C65">
        <w:rPr>
          <w:b/>
          <w:sz w:val="24"/>
        </w:rPr>
        <w:t xml:space="preserve">Table </w:t>
      </w:r>
      <w:r w:rsidR="005A1725" w:rsidRPr="00E17C65">
        <w:rPr>
          <w:b/>
          <w:sz w:val="24"/>
        </w:rPr>
        <w:t>9A</w:t>
      </w:r>
      <w:r w:rsidRPr="00E17C65">
        <w:rPr>
          <w:b/>
          <w:sz w:val="24"/>
        </w:rPr>
        <w:t xml:space="preserve">. Treatment Group by </w:t>
      </w:r>
      <w:r w:rsidR="00ED1CA9" w:rsidRPr="00E17C65">
        <w:rPr>
          <w:b/>
          <w:sz w:val="24"/>
        </w:rPr>
        <w:t>Enrollment I</w:t>
      </w:r>
      <w:r w:rsidRPr="00E17C65">
        <w:rPr>
          <w:b/>
          <w:sz w:val="24"/>
        </w:rPr>
        <w:t>ncentive Amount</w:t>
      </w:r>
      <w:r w:rsidR="00ED1CA9" w:rsidRPr="00E17C65">
        <w:rPr>
          <w:b/>
          <w:sz w:val="24"/>
        </w:rPr>
        <w:t xml:space="preserve"> and </w:t>
      </w:r>
      <w:r w:rsidR="001708B6">
        <w:rPr>
          <w:b/>
          <w:sz w:val="24"/>
        </w:rPr>
        <w:t>Internet</w:t>
      </w:r>
      <w:r w:rsidR="00ED1CA9" w:rsidRPr="00E17C65">
        <w:rPr>
          <w:b/>
          <w:sz w:val="24"/>
        </w:rPr>
        <w:t xml:space="preserve"> Likelihood</w:t>
      </w:r>
    </w:p>
    <w:tbl>
      <w:tblPr>
        <w:tblStyle w:val="TableGrid1"/>
        <w:tblW w:w="8829" w:type="dxa"/>
        <w:jc w:val="center"/>
        <w:tblLayout w:type="fixed"/>
        <w:tblLook w:val="04A0" w:firstRow="1" w:lastRow="0" w:firstColumn="1" w:lastColumn="0" w:noHBand="0" w:noVBand="1"/>
      </w:tblPr>
      <w:tblGrid>
        <w:gridCol w:w="1278"/>
        <w:gridCol w:w="1080"/>
        <w:gridCol w:w="1787"/>
        <w:gridCol w:w="1530"/>
        <w:gridCol w:w="1710"/>
        <w:gridCol w:w="1444"/>
      </w:tblGrid>
      <w:tr w:rsidR="00B14108" w:rsidRPr="00E17C65" w14:paraId="6531C344" w14:textId="77777777" w:rsidTr="00DA26DF">
        <w:trPr>
          <w:jc w:val="center"/>
        </w:trPr>
        <w:tc>
          <w:tcPr>
            <w:tcW w:w="1278" w:type="dxa"/>
            <w:shd w:val="clear" w:color="auto" w:fill="D9D9D9" w:themeFill="background1" w:themeFillShade="D9"/>
            <w:vAlign w:val="center"/>
          </w:tcPr>
          <w:p w14:paraId="0E485A7A" w14:textId="77777777" w:rsidR="00B14108" w:rsidRPr="00E17C65" w:rsidRDefault="00B14108" w:rsidP="00B14108">
            <w:pPr>
              <w:jc w:val="center"/>
              <w:rPr>
                <w:sz w:val="24"/>
              </w:rPr>
            </w:pPr>
            <w:r w:rsidRPr="00E17C65">
              <w:rPr>
                <w:sz w:val="24"/>
              </w:rPr>
              <w:t>Incentive</w:t>
            </w:r>
          </w:p>
          <w:p w14:paraId="08C3A3FC" w14:textId="77777777" w:rsidR="00B14108" w:rsidRPr="00E17C65" w:rsidRDefault="00B14108" w:rsidP="00B14108">
            <w:pPr>
              <w:jc w:val="center"/>
              <w:rPr>
                <w:sz w:val="24"/>
              </w:rPr>
            </w:pPr>
            <w:r w:rsidRPr="00E17C65">
              <w:rPr>
                <w:sz w:val="24"/>
              </w:rPr>
              <w:t>Treatment</w:t>
            </w:r>
          </w:p>
          <w:p w14:paraId="5476ADB9" w14:textId="77777777" w:rsidR="00B14108" w:rsidRPr="00E17C65" w:rsidRDefault="00B14108" w:rsidP="00B14108">
            <w:pPr>
              <w:jc w:val="center"/>
              <w:rPr>
                <w:sz w:val="24"/>
              </w:rPr>
            </w:pPr>
            <w:r w:rsidRPr="00E17C65">
              <w:rPr>
                <w:sz w:val="24"/>
              </w:rPr>
              <w:t>Group</w:t>
            </w:r>
          </w:p>
        </w:tc>
        <w:tc>
          <w:tcPr>
            <w:tcW w:w="1080" w:type="dxa"/>
            <w:shd w:val="clear" w:color="auto" w:fill="D9D9D9" w:themeFill="background1" w:themeFillShade="D9"/>
            <w:vAlign w:val="center"/>
          </w:tcPr>
          <w:p w14:paraId="67F36E5E" w14:textId="77777777" w:rsidR="00B14108" w:rsidRPr="00E17C65" w:rsidRDefault="00B14108" w:rsidP="00B14108">
            <w:pPr>
              <w:jc w:val="center"/>
              <w:rPr>
                <w:sz w:val="24"/>
              </w:rPr>
            </w:pPr>
            <w:r w:rsidRPr="00E17C65">
              <w:rPr>
                <w:sz w:val="24"/>
              </w:rPr>
              <w:t>Initial Cases</w:t>
            </w:r>
          </w:p>
        </w:tc>
        <w:tc>
          <w:tcPr>
            <w:tcW w:w="1787" w:type="dxa"/>
            <w:shd w:val="clear" w:color="auto" w:fill="D9D9D9" w:themeFill="background1" w:themeFillShade="D9"/>
            <w:vAlign w:val="center"/>
          </w:tcPr>
          <w:p w14:paraId="00DDF607" w14:textId="77777777" w:rsidR="00B14108" w:rsidRPr="00E17C65" w:rsidRDefault="00B14108" w:rsidP="00B14108">
            <w:pPr>
              <w:jc w:val="center"/>
              <w:rPr>
                <w:sz w:val="24"/>
              </w:rPr>
            </w:pPr>
            <w:r w:rsidRPr="00E17C65">
              <w:rPr>
                <w:sz w:val="24"/>
              </w:rPr>
              <w:t>Mailing Treatment</w:t>
            </w:r>
          </w:p>
        </w:tc>
        <w:tc>
          <w:tcPr>
            <w:tcW w:w="1530" w:type="dxa"/>
            <w:shd w:val="clear" w:color="auto" w:fill="D9D9D9" w:themeFill="background1" w:themeFillShade="D9"/>
            <w:vAlign w:val="center"/>
          </w:tcPr>
          <w:p w14:paraId="5E3410E8" w14:textId="77777777" w:rsidR="00B14108" w:rsidRPr="00E17C65" w:rsidRDefault="00B14108" w:rsidP="00B14108">
            <w:pPr>
              <w:jc w:val="center"/>
              <w:rPr>
                <w:sz w:val="24"/>
              </w:rPr>
            </w:pPr>
            <w:r w:rsidRPr="00E17C65">
              <w:rPr>
                <w:sz w:val="24"/>
              </w:rPr>
              <w:t>Maximum</w:t>
            </w:r>
          </w:p>
          <w:p w14:paraId="0E796E20" w14:textId="77777777" w:rsidR="00B14108" w:rsidRPr="00E17C65" w:rsidRDefault="00B14108" w:rsidP="00B14108">
            <w:pPr>
              <w:jc w:val="center"/>
              <w:rPr>
                <w:sz w:val="24"/>
              </w:rPr>
            </w:pPr>
            <w:r w:rsidRPr="00E17C65">
              <w:rPr>
                <w:sz w:val="24"/>
              </w:rPr>
              <w:t>Cases for</w:t>
            </w:r>
          </w:p>
          <w:p w14:paraId="63827865" w14:textId="77777777" w:rsidR="00B14108" w:rsidRPr="00E17C65" w:rsidRDefault="00B14108" w:rsidP="00B14108">
            <w:pPr>
              <w:jc w:val="center"/>
              <w:rPr>
                <w:sz w:val="24"/>
              </w:rPr>
            </w:pPr>
            <w:r w:rsidRPr="00E17C65">
              <w:rPr>
                <w:sz w:val="24"/>
              </w:rPr>
              <w:t>Mailing</w:t>
            </w:r>
          </w:p>
          <w:p w14:paraId="1F51B26E" w14:textId="77777777" w:rsidR="00B14108" w:rsidRPr="00E17C65" w:rsidRDefault="00B14108" w:rsidP="00B14108">
            <w:pPr>
              <w:jc w:val="center"/>
              <w:rPr>
                <w:sz w:val="24"/>
              </w:rPr>
            </w:pPr>
            <w:r w:rsidRPr="00E17C65">
              <w:rPr>
                <w:sz w:val="24"/>
              </w:rPr>
              <w:t>Comparison</w:t>
            </w:r>
          </w:p>
        </w:tc>
        <w:tc>
          <w:tcPr>
            <w:tcW w:w="1710" w:type="dxa"/>
            <w:shd w:val="clear" w:color="auto" w:fill="D9D9D9" w:themeFill="background1" w:themeFillShade="D9"/>
            <w:vAlign w:val="center"/>
          </w:tcPr>
          <w:p w14:paraId="1C36E37B" w14:textId="70437FFF" w:rsidR="00B14108" w:rsidRPr="00E17C65" w:rsidRDefault="001F7321" w:rsidP="00B14108">
            <w:pPr>
              <w:jc w:val="center"/>
              <w:rPr>
                <w:sz w:val="24"/>
              </w:rPr>
            </w:pPr>
            <w:r>
              <w:rPr>
                <w:sz w:val="24"/>
              </w:rPr>
              <w:t>High Paper-</w:t>
            </w:r>
            <w:r w:rsidR="00B14108" w:rsidRPr="00E17C65">
              <w:rPr>
                <w:sz w:val="24"/>
              </w:rPr>
              <w:t xml:space="preserve"> </w:t>
            </w:r>
          </w:p>
          <w:p w14:paraId="00C19E09" w14:textId="77777777" w:rsidR="00B14108" w:rsidRPr="00E17C65" w:rsidRDefault="00B14108" w:rsidP="00B14108">
            <w:pPr>
              <w:jc w:val="center"/>
              <w:rPr>
                <w:sz w:val="24"/>
              </w:rPr>
            </w:pPr>
            <w:r w:rsidRPr="00E17C65">
              <w:rPr>
                <w:sz w:val="24"/>
              </w:rPr>
              <w:t>Treatment</w:t>
            </w:r>
          </w:p>
        </w:tc>
        <w:tc>
          <w:tcPr>
            <w:tcW w:w="1444" w:type="dxa"/>
            <w:shd w:val="clear" w:color="auto" w:fill="D9D9D9" w:themeFill="background1" w:themeFillShade="D9"/>
            <w:vAlign w:val="center"/>
          </w:tcPr>
          <w:p w14:paraId="1ED8632A" w14:textId="657B7F9A" w:rsidR="00B14108" w:rsidRPr="00E17C65" w:rsidRDefault="001F7321" w:rsidP="00B14108">
            <w:pPr>
              <w:jc w:val="center"/>
              <w:rPr>
                <w:sz w:val="24"/>
              </w:rPr>
            </w:pPr>
            <w:r>
              <w:rPr>
                <w:sz w:val="24"/>
              </w:rPr>
              <w:t>Low Paper-</w:t>
            </w:r>
          </w:p>
          <w:p w14:paraId="6E60F5F5" w14:textId="77777777" w:rsidR="00B14108" w:rsidRPr="00E17C65" w:rsidRDefault="00B14108" w:rsidP="00B14108">
            <w:pPr>
              <w:jc w:val="center"/>
              <w:rPr>
                <w:sz w:val="24"/>
              </w:rPr>
            </w:pPr>
            <w:r w:rsidRPr="00E17C65">
              <w:rPr>
                <w:sz w:val="24"/>
              </w:rPr>
              <w:t>Treatment</w:t>
            </w:r>
          </w:p>
        </w:tc>
      </w:tr>
      <w:tr w:rsidR="00B14108" w:rsidRPr="00E17C65" w14:paraId="21003C0B" w14:textId="77777777" w:rsidTr="00DA26DF">
        <w:trPr>
          <w:trHeight w:val="432"/>
          <w:jc w:val="center"/>
        </w:trPr>
        <w:tc>
          <w:tcPr>
            <w:tcW w:w="1278" w:type="dxa"/>
            <w:vMerge w:val="restart"/>
            <w:shd w:val="clear" w:color="auto" w:fill="D9D9D9" w:themeFill="background1" w:themeFillShade="D9"/>
            <w:vAlign w:val="center"/>
          </w:tcPr>
          <w:p w14:paraId="411CE729" w14:textId="77777777" w:rsidR="00B14108" w:rsidRPr="00E17C65" w:rsidRDefault="00B14108" w:rsidP="00B14108">
            <w:pPr>
              <w:jc w:val="center"/>
              <w:rPr>
                <w:sz w:val="24"/>
              </w:rPr>
            </w:pPr>
            <w:r w:rsidRPr="00E17C65">
              <w:rPr>
                <w:sz w:val="24"/>
              </w:rPr>
              <w:t>Control</w:t>
            </w:r>
          </w:p>
        </w:tc>
        <w:tc>
          <w:tcPr>
            <w:tcW w:w="1080" w:type="dxa"/>
            <w:vMerge w:val="restart"/>
            <w:vAlign w:val="center"/>
          </w:tcPr>
          <w:p w14:paraId="0CDCF979" w14:textId="5E02180B" w:rsidR="00B14108" w:rsidRPr="00E17C65" w:rsidRDefault="00D4672D" w:rsidP="00B14108">
            <w:pPr>
              <w:jc w:val="center"/>
              <w:rPr>
                <w:sz w:val="24"/>
              </w:rPr>
            </w:pPr>
            <w:r w:rsidRPr="00E17C65">
              <w:rPr>
                <w:sz w:val="24"/>
              </w:rPr>
              <w:t>15,60</w:t>
            </w:r>
            <w:r w:rsidR="001D5E58" w:rsidRPr="00E17C65">
              <w:rPr>
                <w:sz w:val="24"/>
              </w:rPr>
              <w:t>4</w:t>
            </w:r>
          </w:p>
        </w:tc>
        <w:tc>
          <w:tcPr>
            <w:tcW w:w="1787" w:type="dxa"/>
            <w:vAlign w:val="center"/>
          </w:tcPr>
          <w:p w14:paraId="145B47D0" w14:textId="0C012050" w:rsidR="00B14108" w:rsidRPr="00E17C65" w:rsidRDefault="006F0F74" w:rsidP="00B14108">
            <w:pPr>
              <w:jc w:val="center"/>
              <w:rPr>
                <w:sz w:val="24"/>
              </w:rPr>
            </w:pPr>
            <w:r w:rsidRPr="00E17C65">
              <w:rPr>
                <w:sz w:val="24"/>
              </w:rPr>
              <w:t>Info</w:t>
            </w:r>
            <w:r w:rsidR="005249CC" w:rsidRPr="00E17C65">
              <w:rPr>
                <w:sz w:val="24"/>
              </w:rPr>
              <w:t>-graphic</w:t>
            </w:r>
          </w:p>
        </w:tc>
        <w:tc>
          <w:tcPr>
            <w:tcW w:w="1530" w:type="dxa"/>
            <w:vAlign w:val="center"/>
          </w:tcPr>
          <w:p w14:paraId="0CDEBA87" w14:textId="4018AC08" w:rsidR="00B14108" w:rsidRPr="00E17C65" w:rsidRDefault="005249CC" w:rsidP="00B14108">
            <w:pPr>
              <w:jc w:val="center"/>
              <w:rPr>
                <w:sz w:val="24"/>
              </w:rPr>
            </w:pPr>
            <w:r w:rsidRPr="00E17C65">
              <w:rPr>
                <w:sz w:val="24"/>
              </w:rPr>
              <w:t>7,80</w:t>
            </w:r>
            <w:r w:rsidR="001D5E58" w:rsidRPr="00E17C65">
              <w:rPr>
                <w:sz w:val="24"/>
              </w:rPr>
              <w:t>3</w:t>
            </w:r>
          </w:p>
        </w:tc>
        <w:tc>
          <w:tcPr>
            <w:tcW w:w="1710" w:type="dxa"/>
            <w:vAlign w:val="center"/>
          </w:tcPr>
          <w:p w14:paraId="57A676DA" w14:textId="42D9B2D4" w:rsidR="00B14108" w:rsidRPr="00E17C65" w:rsidDel="00BB6361" w:rsidRDefault="00331230" w:rsidP="00B14108">
            <w:pPr>
              <w:jc w:val="center"/>
              <w:rPr>
                <w:sz w:val="24"/>
              </w:rPr>
            </w:pPr>
            <w:r w:rsidRPr="00E17C65">
              <w:rPr>
                <w:sz w:val="24"/>
              </w:rPr>
              <w:t>2,34</w:t>
            </w:r>
            <w:r w:rsidR="009D710C" w:rsidRPr="00E17C65">
              <w:rPr>
                <w:sz w:val="24"/>
              </w:rPr>
              <w:t>1</w:t>
            </w:r>
          </w:p>
        </w:tc>
        <w:tc>
          <w:tcPr>
            <w:tcW w:w="1444" w:type="dxa"/>
            <w:vAlign w:val="center"/>
          </w:tcPr>
          <w:p w14:paraId="282A70AC" w14:textId="50951872" w:rsidR="00B14108" w:rsidRPr="00E17C65" w:rsidRDefault="00331230" w:rsidP="00B14108">
            <w:pPr>
              <w:jc w:val="center"/>
              <w:rPr>
                <w:sz w:val="24"/>
              </w:rPr>
            </w:pPr>
            <w:r w:rsidRPr="00E17C65">
              <w:rPr>
                <w:sz w:val="24"/>
              </w:rPr>
              <w:t>5,46</w:t>
            </w:r>
            <w:r w:rsidR="009D710C" w:rsidRPr="00E17C65">
              <w:rPr>
                <w:sz w:val="24"/>
              </w:rPr>
              <w:t>2</w:t>
            </w:r>
          </w:p>
        </w:tc>
      </w:tr>
      <w:tr w:rsidR="00B14108" w:rsidRPr="00E17C65" w14:paraId="7E913FF0" w14:textId="77777777" w:rsidTr="00DA26DF">
        <w:trPr>
          <w:trHeight w:val="432"/>
          <w:jc w:val="center"/>
        </w:trPr>
        <w:tc>
          <w:tcPr>
            <w:tcW w:w="1278" w:type="dxa"/>
            <w:vMerge/>
            <w:shd w:val="clear" w:color="auto" w:fill="D9D9D9" w:themeFill="background1" w:themeFillShade="D9"/>
            <w:vAlign w:val="center"/>
          </w:tcPr>
          <w:p w14:paraId="210C37C2" w14:textId="77777777" w:rsidR="00B14108" w:rsidRPr="00E17C65" w:rsidDel="00444F7B" w:rsidRDefault="00B14108" w:rsidP="00B14108">
            <w:pPr>
              <w:jc w:val="center"/>
              <w:rPr>
                <w:sz w:val="24"/>
              </w:rPr>
            </w:pPr>
          </w:p>
        </w:tc>
        <w:tc>
          <w:tcPr>
            <w:tcW w:w="1080" w:type="dxa"/>
            <w:vMerge/>
            <w:vAlign w:val="center"/>
          </w:tcPr>
          <w:p w14:paraId="6CC3C512" w14:textId="77777777" w:rsidR="00B14108" w:rsidRPr="00E17C65" w:rsidRDefault="00B14108" w:rsidP="00B14108">
            <w:pPr>
              <w:jc w:val="center"/>
              <w:rPr>
                <w:sz w:val="24"/>
              </w:rPr>
            </w:pPr>
          </w:p>
        </w:tc>
        <w:tc>
          <w:tcPr>
            <w:tcW w:w="1787" w:type="dxa"/>
            <w:vAlign w:val="center"/>
          </w:tcPr>
          <w:p w14:paraId="2D6C3B33" w14:textId="4C4D4ACC" w:rsidR="00B14108" w:rsidRPr="00E17C65" w:rsidDel="00444F7B" w:rsidRDefault="006F0F74" w:rsidP="00B14108">
            <w:pPr>
              <w:jc w:val="center"/>
              <w:rPr>
                <w:sz w:val="24"/>
              </w:rPr>
            </w:pPr>
            <w:r w:rsidRPr="00E17C65">
              <w:rPr>
                <w:sz w:val="24"/>
              </w:rPr>
              <w:t xml:space="preserve">No </w:t>
            </w:r>
            <w:r w:rsidR="005249CC" w:rsidRPr="00E17C65">
              <w:rPr>
                <w:sz w:val="24"/>
              </w:rPr>
              <w:t>Info-graphic</w:t>
            </w:r>
          </w:p>
        </w:tc>
        <w:tc>
          <w:tcPr>
            <w:tcW w:w="1530" w:type="dxa"/>
            <w:vAlign w:val="center"/>
          </w:tcPr>
          <w:p w14:paraId="2C27F084" w14:textId="5F7A2192" w:rsidR="00B14108" w:rsidRPr="00E17C65" w:rsidRDefault="005249CC" w:rsidP="00B14108">
            <w:pPr>
              <w:jc w:val="center"/>
              <w:rPr>
                <w:sz w:val="24"/>
              </w:rPr>
            </w:pPr>
            <w:r w:rsidRPr="00E17C65">
              <w:rPr>
                <w:sz w:val="24"/>
              </w:rPr>
              <w:t>7,80</w:t>
            </w:r>
            <w:r w:rsidR="001D5E58" w:rsidRPr="00E17C65">
              <w:rPr>
                <w:sz w:val="24"/>
              </w:rPr>
              <w:t>3</w:t>
            </w:r>
          </w:p>
        </w:tc>
        <w:tc>
          <w:tcPr>
            <w:tcW w:w="1710" w:type="dxa"/>
            <w:vAlign w:val="center"/>
          </w:tcPr>
          <w:p w14:paraId="1342BB64" w14:textId="55C8CB6F" w:rsidR="00B14108" w:rsidRPr="00E17C65" w:rsidRDefault="00331230" w:rsidP="00B14108">
            <w:pPr>
              <w:jc w:val="center"/>
              <w:rPr>
                <w:sz w:val="24"/>
              </w:rPr>
            </w:pPr>
            <w:r w:rsidRPr="00E17C65">
              <w:rPr>
                <w:sz w:val="24"/>
              </w:rPr>
              <w:t>2,34</w:t>
            </w:r>
            <w:r w:rsidR="009D710C" w:rsidRPr="00E17C65">
              <w:rPr>
                <w:sz w:val="24"/>
              </w:rPr>
              <w:t>1</w:t>
            </w:r>
          </w:p>
        </w:tc>
        <w:tc>
          <w:tcPr>
            <w:tcW w:w="1444" w:type="dxa"/>
            <w:vAlign w:val="center"/>
          </w:tcPr>
          <w:p w14:paraId="021BB117" w14:textId="4C2E54E9" w:rsidR="00B14108" w:rsidRPr="00E17C65" w:rsidRDefault="00331230" w:rsidP="00B14108">
            <w:pPr>
              <w:jc w:val="center"/>
              <w:rPr>
                <w:sz w:val="24"/>
              </w:rPr>
            </w:pPr>
            <w:r w:rsidRPr="00E17C65">
              <w:rPr>
                <w:sz w:val="24"/>
              </w:rPr>
              <w:t>5,46</w:t>
            </w:r>
            <w:r w:rsidR="009D710C" w:rsidRPr="00E17C65">
              <w:rPr>
                <w:sz w:val="24"/>
              </w:rPr>
              <w:t>2</w:t>
            </w:r>
          </w:p>
        </w:tc>
      </w:tr>
      <w:tr w:rsidR="005249CC" w:rsidRPr="00E17C65" w14:paraId="59D9CC3E" w14:textId="77777777" w:rsidTr="00DA26DF">
        <w:trPr>
          <w:trHeight w:val="432"/>
          <w:jc w:val="center"/>
        </w:trPr>
        <w:tc>
          <w:tcPr>
            <w:tcW w:w="1278" w:type="dxa"/>
            <w:vMerge w:val="restart"/>
            <w:shd w:val="clear" w:color="auto" w:fill="D9D9D9" w:themeFill="background1" w:themeFillShade="D9"/>
            <w:vAlign w:val="center"/>
          </w:tcPr>
          <w:p w14:paraId="254ECE1B" w14:textId="3FF7CA7F" w:rsidR="005249CC" w:rsidRPr="00E17C65" w:rsidRDefault="005249CC" w:rsidP="005249CC">
            <w:pPr>
              <w:jc w:val="center"/>
              <w:rPr>
                <w:sz w:val="24"/>
              </w:rPr>
            </w:pPr>
            <w:r w:rsidRPr="00E17C65">
              <w:rPr>
                <w:sz w:val="24"/>
              </w:rPr>
              <w:t>$2</w:t>
            </w:r>
          </w:p>
        </w:tc>
        <w:tc>
          <w:tcPr>
            <w:tcW w:w="1080" w:type="dxa"/>
            <w:vMerge w:val="restart"/>
            <w:vAlign w:val="center"/>
          </w:tcPr>
          <w:p w14:paraId="5B459548" w14:textId="5B463EB3" w:rsidR="005249CC" w:rsidRPr="00E17C65" w:rsidRDefault="005249CC" w:rsidP="005249CC">
            <w:pPr>
              <w:jc w:val="center"/>
              <w:rPr>
                <w:sz w:val="24"/>
              </w:rPr>
            </w:pPr>
            <w:r w:rsidRPr="00E17C65">
              <w:rPr>
                <w:sz w:val="24"/>
              </w:rPr>
              <w:t>140,4</w:t>
            </w:r>
            <w:r w:rsidR="001D5E58" w:rsidRPr="00E17C65">
              <w:rPr>
                <w:sz w:val="24"/>
              </w:rPr>
              <w:t>5</w:t>
            </w:r>
            <w:r w:rsidRPr="00E17C65">
              <w:rPr>
                <w:sz w:val="24"/>
              </w:rPr>
              <w:t>0</w:t>
            </w:r>
          </w:p>
        </w:tc>
        <w:tc>
          <w:tcPr>
            <w:tcW w:w="1787" w:type="dxa"/>
            <w:vAlign w:val="center"/>
          </w:tcPr>
          <w:p w14:paraId="177CE332" w14:textId="127DE9CA" w:rsidR="005249CC" w:rsidRPr="00E17C65" w:rsidRDefault="005249CC" w:rsidP="005249CC">
            <w:pPr>
              <w:jc w:val="center"/>
              <w:rPr>
                <w:sz w:val="24"/>
              </w:rPr>
            </w:pPr>
            <w:r w:rsidRPr="00E17C65">
              <w:rPr>
                <w:sz w:val="24"/>
              </w:rPr>
              <w:t>Info-graphic</w:t>
            </w:r>
          </w:p>
        </w:tc>
        <w:tc>
          <w:tcPr>
            <w:tcW w:w="1530" w:type="dxa"/>
            <w:vAlign w:val="center"/>
          </w:tcPr>
          <w:p w14:paraId="2D24A831" w14:textId="7204F4ED" w:rsidR="005249CC" w:rsidRPr="00E17C65" w:rsidRDefault="005249CC" w:rsidP="005249CC">
            <w:pPr>
              <w:jc w:val="center"/>
              <w:rPr>
                <w:sz w:val="24"/>
              </w:rPr>
            </w:pPr>
            <w:r w:rsidRPr="00E17C65">
              <w:rPr>
                <w:sz w:val="24"/>
              </w:rPr>
              <w:t>70,2</w:t>
            </w:r>
            <w:r w:rsidR="001D5E58" w:rsidRPr="00E17C65">
              <w:rPr>
                <w:sz w:val="24"/>
              </w:rPr>
              <w:t>24</w:t>
            </w:r>
          </w:p>
        </w:tc>
        <w:tc>
          <w:tcPr>
            <w:tcW w:w="1710" w:type="dxa"/>
            <w:vAlign w:val="center"/>
          </w:tcPr>
          <w:p w14:paraId="72552E06" w14:textId="7D641979" w:rsidR="005249CC" w:rsidRPr="00E17C65" w:rsidDel="00BB6361" w:rsidRDefault="00331230" w:rsidP="005249CC">
            <w:pPr>
              <w:jc w:val="center"/>
              <w:rPr>
                <w:sz w:val="24"/>
              </w:rPr>
            </w:pPr>
            <w:r w:rsidRPr="00E17C65">
              <w:rPr>
                <w:sz w:val="24"/>
              </w:rPr>
              <w:t>21,06</w:t>
            </w:r>
            <w:r w:rsidR="009D710C" w:rsidRPr="00E17C65">
              <w:rPr>
                <w:sz w:val="24"/>
              </w:rPr>
              <w:t>7</w:t>
            </w:r>
          </w:p>
        </w:tc>
        <w:tc>
          <w:tcPr>
            <w:tcW w:w="1444" w:type="dxa"/>
            <w:vAlign w:val="center"/>
          </w:tcPr>
          <w:p w14:paraId="48D38E4C" w14:textId="74885E1A" w:rsidR="005249CC" w:rsidRPr="00E17C65" w:rsidDel="00BB6361" w:rsidRDefault="00331230" w:rsidP="005249CC">
            <w:pPr>
              <w:jc w:val="center"/>
              <w:rPr>
                <w:sz w:val="24"/>
              </w:rPr>
            </w:pPr>
            <w:r w:rsidRPr="00E17C65">
              <w:rPr>
                <w:sz w:val="24"/>
              </w:rPr>
              <w:t>49,1</w:t>
            </w:r>
            <w:r w:rsidR="009D710C" w:rsidRPr="00E17C65">
              <w:rPr>
                <w:sz w:val="24"/>
              </w:rPr>
              <w:t>57</w:t>
            </w:r>
          </w:p>
        </w:tc>
      </w:tr>
      <w:tr w:rsidR="005249CC" w:rsidRPr="00E17C65" w14:paraId="497C4E3E" w14:textId="77777777" w:rsidTr="00DA26DF">
        <w:trPr>
          <w:trHeight w:val="432"/>
          <w:jc w:val="center"/>
        </w:trPr>
        <w:tc>
          <w:tcPr>
            <w:tcW w:w="1278" w:type="dxa"/>
            <w:vMerge/>
            <w:shd w:val="clear" w:color="auto" w:fill="D9D9D9" w:themeFill="background1" w:themeFillShade="D9"/>
            <w:vAlign w:val="center"/>
          </w:tcPr>
          <w:p w14:paraId="137D5D4A" w14:textId="77777777" w:rsidR="005249CC" w:rsidRPr="00E17C65" w:rsidDel="00444F7B" w:rsidRDefault="005249CC" w:rsidP="005249CC">
            <w:pPr>
              <w:jc w:val="center"/>
              <w:rPr>
                <w:sz w:val="24"/>
              </w:rPr>
            </w:pPr>
          </w:p>
        </w:tc>
        <w:tc>
          <w:tcPr>
            <w:tcW w:w="1080" w:type="dxa"/>
            <w:vMerge/>
            <w:vAlign w:val="center"/>
          </w:tcPr>
          <w:p w14:paraId="4B708F89" w14:textId="77777777" w:rsidR="005249CC" w:rsidRPr="00E17C65" w:rsidRDefault="005249CC" w:rsidP="005249CC">
            <w:pPr>
              <w:jc w:val="center"/>
              <w:rPr>
                <w:sz w:val="24"/>
              </w:rPr>
            </w:pPr>
          </w:p>
        </w:tc>
        <w:tc>
          <w:tcPr>
            <w:tcW w:w="1787" w:type="dxa"/>
            <w:vAlign w:val="center"/>
          </w:tcPr>
          <w:p w14:paraId="383F68B1" w14:textId="3639E873" w:rsidR="005249CC" w:rsidRPr="00E17C65" w:rsidDel="00444F7B" w:rsidRDefault="005249CC" w:rsidP="005249CC">
            <w:pPr>
              <w:jc w:val="center"/>
              <w:rPr>
                <w:sz w:val="24"/>
              </w:rPr>
            </w:pPr>
            <w:r w:rsidRPr="00E17C65">
              <w:rPr>
                <w:sz w:val="24"/>
              </w:rPr>
              <w:t>No Info-graphic</w:t>
            </w:r>
          </w:p>
        </w:tc>
        <w:tc>
          <w:tcPr>
            <w:tcW w:w="1530" w:type="dxa"/>
            <w:vAlign w:val="center"/>
          </w:tcPr>
          <w:p w14:paraId="73A013AE" w14:textId="58A3A2A5" w:rsidR="005249CC" w:rsidRPr="00E17C65" w:rsidRDefault="005249CC" w:rsidP="005249CC">
            <w:pPr>
              <w:jc w:val="center"/>
              <w:rPr>
                <w:sz w:val="24"/>
              </w:rPr>
            </w:pPr>
            <w:r w:rsidRPr="00E17C65">
              <w:rPr>
                <w:sz w:val="24"/>
              </w:rPr>
              <w:t>70,2</w:t>
            </w:r>
            <w:r w:rsidR="001D5E58" w:rsidRPr="00E17C65">
              <w:rPr>
                <w:sz w:val="24"/>
              </w:rPr>
              <w:t>24</w:t>
            </w:r>
          </w:p>
        </w:tc>
        <w:tc>
          <w:tcPr>
            <w:tcW w:w="1710" w:type="dxa"/>
            <w:vAlign w:val="center"/>
          </w:tcPr>
          <w:p w14:paraId="5F20020E" w14:textId="151A686D" w:rsidR="005249CC" w:rsidRPr="00E17C65" w:rsidRDefault="00331230" w:rsidP="005249CC">
            <w:pPr>
              <w:jc w:val="center"/>
              <w:rPr>
                <w:sz w:val="24"/>
              </w:rPr>
            </w:pPr>
            <w:r w:rsidRPr="00E17C65">
              <w:rPr>
                <w:sz w:val="24"/>
              </w:rPr>
              <w:t>21,06</w:t>
            </w:r>
            <w:r w:rsidR="009D710C" w:rsidRPr="00E17C65">
              <w:rPr>
                <w:sz w:val="24"/>
              </w:rPr>
              <w:t>7</w:t>
            </w:r>
          </w:p>
        </w:tc>
        <w:tc>
          <w:tcPr>
            <w:tcW w:w="1444" w:type="dxa"/>
            <w:vAlign w:val="center"/>
          </w:tcPr>
          <w:p w14:paraId="69FBB910" w14:textId="5CD23476" w:rsidR="005249CC" w:rsidRPr="00E17C65" w:rsidRDefault="00331230" w:rsidP="005249CC">
            <w:pPr>
              <w:jc w:val="center"/>
              <w:rPr>
                <w:sz w:val="24"/>
              </w:rPr>
            </w:pPr>
            <w:r w:rsidRPr="00E17C65">
              <w:rPr>
                <w:sz w:val="24"/>
              </w:rPr>
              <w:t>49,1</w:t>
            </w:r>
            <w:r w:rsidR="009D710C" w:rsidRPr="00E17C65">
              <w:rPr>
                <w:sz w:val="24"/>
              </w:rPr>
              <w:t>57</w:t>
            </w:r>
          </w:p>
        </w:tc>
      </w:tr>
    </w:tbl>
    <w:p w14:paraId="579DDE4A" w14:textId="1937B241" w:rsidR="00092F39" w:rsidRDefault="00092F39" w:rsidP="00635346">
      <w:pPr>
        <w:widowControl/>
        <w:spacing w:before="120"/>
        <w:ind w:left="270"/>
        <w:rPr>
          <w:sz w:val="22"/>
        </w:rPr>
      </w:pPr>
      <w:r>
        <w:rPr>
          <w:sz w:val="22"/>
        </w:rPr>
        <w:t>Table 9A</w:t>
      </w:r>
      <w:r w:rsidRPr="00BE1812">
        <w:rPr>
          <w:sz w:val="22"/>
        </w:rPr>
        <w:t xml:space="preserve"> NOTE: </w:t>
      </w:r>
      <w:r>
        <w:rPr>
          <w:sz w:val="22"/>
        </w:rPr>
        <w:t>The Info-graphic, high paper, and low paper treatment groups are described in more detail in Supporting Statement B.</w:t>
      </w:r>
    </w:p>
    <w:p w14:paraId="08BE231C" w14:textId="77777777" w:rsidR="00092F39" w:rsidRPr="00635346" w:rsidRDefault="00092F39" w:rsidP="00635346">
      <w:pPr>
        <w:widowControl/>
        <w:spacing w:before="120"/>
        <w:ind w:left="270"/>
        <w:rPr>
          <w:sz w:val="22"/>
        </w:rPr>
      </w:pPr>
    </w:p>
    <w:p w14:paraId="091DEFF9" w14:textId="4CF46A46" w:rsidR="006F423D" w:rsidRPr="00E17C65" w:rsidRDefault="00D341DC" w:rsidP="004D74D1">
      <w:pPr>
        <w:pStyle w:val="a"/>
        <w:widowControl/>
        <w:tabs>
          <w:tab w:val="left" w:pos="0"/>
        </w:tabs>
        <w:spacing w:before="120" w:after="120"/>
        <w:ind w:left="0" w:firstLine="0"/>
      </w:pPr>
      <w:r w:rsidRPr="00E17C65">
        <w:t xml:space="preserve">Incentives are commonly used in other HHS-sponsored surveys including the National Health Interview Survey, the National Survey of Family Growth, the National Health and Nutrition Examination Survey, the National Survey on Drug Use and Health, and the Health Center Patient Survey. </w:t>
      </w:r>
      <w:r w:rsidR="003F0975" w:rsidRPr="00E17C65">
        <w:t>Recent experimentation within a ge</w:t>
      </w:r>
      <w:r w:rsidR="00CA24B9" w:rsidRPr="00E17C65">
        <w:t>neral population mixed-</w:t>
      </w:r>
      <w:r w:rsidR="00C04B5D" w:rsidRPr="00E17C65">
        <w:t>mode (Web and Mail) survey</w:t>
      </w:r>
      <w:r w:rsidR="003F0975" w:rsidRPr="00E17C65">
        <w:t xml:space="preserve"> </w:t>
      </w:r>
      <w:r w:rsidR="004D74D1" w:rsidRPr="00E17C65">
        <w:t xml:space="preserve">found </w:t>
      </w:r>
      <w:r w:rsidR="003F0975" w:rsidRPr="00E17C65">
        <w:t xml:space="preserve">that the use of a prepaid incentive </w:t>
      </w:r>
      <w:r w:rsidR="00CF3111" w:rsidRPr="00E17C65">
        <w:t>more than</w:t>
      </w:r>
      <w:r w:rsidR="003F0975" w:rsidRPr="00E17C65">
        <w:t xml:space="preserve"> doubled the response rate within that population from 25% (no incentive) to 56% (with incentive) (Messer </w:t>
      </w:r>
      <w:r w:rsidR="007F7A85" w:rsidRPr="00E17C65">
        <w:t>&amp;</w:t>
      </w:r>
      <w:r w:rsidR="003F0975" w:rsidRPr="00E17C65">
        <w:t xml:space="preserve"> Dillman</w:t>
      </w:r>
      <w:r w:rsidR="00974997" w:rsidRPr="00E17C65">
        <w:t>,</w:t>
      </w:r>
      <w:r w:rsidR="003F0975" w:rsidRPr="00E17C65">
        <w:t xml:space="preserve"> 2011)</w:t>
      </w:r>
      <w:r w:rsidR="00A95ECB" w:rsidRPr="00E17C65">
        <w:rPr>
          <w:rStyle w:val="FootnoteReference"/>
          <w:vertAlign w:val="superscript"/>
        </w:rPr>
        <w:footnoteReference w:id="6"/>
      </w:r>
      <w:r w:rsidR="003F0975" w:rsidRPr="00E17C65">
        <w:t>.</w:t>
      </w:r>
      <w:r w:rsidRPr="00E17C65">
        <w:t xml:space="preserve"> </w:t>
      </w:r>
    </w:p>
    <w:p w14:paraId="091DEFFA" w14:textId="77777777" w:rsidR="009B3794" w:rsidRPr="004F0887" w:rsidRDefault="009B3794" w:rsidP="00726ABF">
      <w:pPr>
        <w:numPr>
          <w:ilvl w:val="0"/>
          <w:numId w:val="1"/>
        </w:numPr>
        <w:tabs>
          <w:tab w:val="clear" w:pos="1080"/>
          <w:tab w:val="num" w:pos="360"/>
        </w:tabs>
        <w:spacing w:before="240"/>
        <w:ind w:left="360"/>
        <w:rPr>
          <w:b/>
          <w:sz w:val="24"/>
        </w:rPr>
      </w:pPr>
      <w:r w:rsidRPr="004F0887">
        <w:rPr>
          <w:b/>
          <w:sz w:val="24"/>
        </w:rPr>
        <w:t>Assurance of Confidentiality Provided to Respondents</w:t>
      </w:r>
    </w:p>
    <w:p w14:paraId="2C209F30" w14:textId="18CA6EC5" w:rsidR="003F747B" w:rsidRDefault="003F747B" w:rsidP="0095647D">
      <w:pPr>
        <w:spacing w:before="240" w:after="120"/>
        <w:rPr>
          <w:sz w:val="24"/>
        </w:rPr>
      </w:pPr>
      <w:r>
        <w:rPr>
          <w:sz w:val="24"/>
        </w:rPr>
        <w:t>The following confidentiality statement will be presented to respondents within the Centurion Web instrument and paper questionnaires:</w:t>
      </w:r>
    </w:p>
    <w:p w14:paraId="7359B755" w14:textId="058DCE64" w:rsidR="00605C4B" w:rsidRDefault="00605C4B" w:rsidP="0095647D">
      <w:pPr>
        <w:spacing w:before="240" w:after="120"/>
        <w:rPr>
          <w:sz w:val="24"/>
        </w:rPr>
      </w:pPr>
      <w:r w:rsidRPr="00605C4B">
        <w:rPr>
          <w:sz w:val="24"/>
        </w:rPr>
        <w:t>The U.S. Census Bureau is required by law to protect your in</w:t>
      </w:r>
      <w:r w:rsidR="00D13A10">
        <w:rPr>
          <w:sz w:val="24"/>
        </w:rPr>
        <w:t xml:space="preserve">formation. The Census Bureau is </w:t>
      </w:r>
      <w:r w:rsidRPr="00605C4B">
        <w:rPr>
          <w:sz w:val="24"/>
        </w:rPr>
        <w:t xml:space="preserve">not permitted to publicly release your responses in a way that could identify </w:t>
      </w:r>
      <w:r w:rsidR="00D01B0A">
        <w:rPr>
          <w:sz w:val="24"/>
        </w:rPr>
        <w:t>you or your</w:t>
      </w:r>
      <w:r>
        <w:rPr>
          <w:sz w:val="24"/>
        </w:rPr>
        <w:t xml:space="preserve"> household</w:t>
      </w:r>
      <w:r w:rsidRPr="00605C4B">
        <w:rPr>
          <w:sz w:val="24"/>
        </w:rPr>
        <w:t>. We are conducting this survey under the authority of Title 13, United States Code, Section</w:t>
      </w:r>
      <w:r>
        <w:rPr>
          <w:sz w:val="24"/>
        </w:rPr>
        <w:t xml:space="preserve"> 8(b)</w:t>
      </w:r>
      <w:r w:rsidR="00D13A10" w:rsidRPr="003C5041">
        <w:rPr>
          <w:sz w:val="24"/>
        </w:rPr>
        <w:t>.</w:t>
      </w:r>
      <w:r w:rsidRPr="00605C4B">
        <w:rPr>
          <w:sz w:val="24"/>
        </w:rPr>
        <w:t xml:space="preserve"> Federal law protects your privacy and keeps your answers </w:t>
      </w:r>
      <w:r w:rsidR="00D13A10">
        <w:rPr>
          <w:sz w:val="24"/>
        </w:rPr>
        <w:t xml:space="preserve">confidential under </w:t>
      </w:r>
      <w:r w:rsidR="00D13A10" w:rsidRPr="003C5041">
        <w:rPr>
          <w:sz w:val="24"/>
        </w:rPr>
        <w:t>13 U.S.C. Section 9</w:t>
      </w:r>
      <w:r w:rsidRPr="00605C4B">
        <w:rPr>
          <w:sz w:val="24"/>
        </w:rPr>
        <w:t xml:space="preserve">. Per the Federal Cybersecurity Enhancement Act of 2015, your data are protected from cybersecurity risks through screening of the systems that transmit your data. </w:t>
      </w:r>
    </w:p>
    <w:p w14:paraId="091DEFFE" w14:textId="77777777" w:rsidR="009B3794" w:rsidRPr="004F0887" w:rsidRDefault="009B3794" w:rsidP="00726ABF">
      <w:pPr>
        <w:numPr>
          <w:ilvl w:val="0"/>
          <w:numId w:val="1"/>
        </w:numPr>
        <w:tabs>
          <w:tab w:val="clear" w:pos="1080"/>
          <w:tab w:val="num" w:pos="360"/>
        </w:tabs>
        <w:spacing w:before="240"/>
        <w:ind w:left="360"/>
        <w:rPr>
          <w:b/>
          <w:sz w:val="24"/>
        </w:rPr>
      </w:pPr>
      <w:r w:rsidRPr="004F0887">
        <w:rPr>
          <w:b/>
          <w:sz w:val="24"/>
        </w:rPr>
        <w:t>Justification for Sensitive Questions</w:t>
      </w:r>
    </w:p>
    <w:p w14:paraId="091DEFFF" w14:textId="28C3F7E1" w:rsidR="00471F74" w:rsidRDefault="00A43802" w:rsidP="0033644C">
      <w:pPr>
        <w:widowControl/>
        <w:tabs>
          <w:tab w:val="num" w:pos="360"/>
        </w:tabs>
        <w:spacing w:before="240"/>
        <w:rPr>
          <w:sz w:val="24"/>
        </w:rPr>
      </w:pPr>
      <w:r w:rsidRPr="00A43802">
        <w:rPr>
          <w:sz w:val="24"/>
        </w:rPr>
        <w:t>Sensitive questions are genera</w:t>
      </w:r>
      <w:r w:rsidR="00FB5CCB">
        <w:rPr>
          <w:sz w:val="24"/>
        </w:rPr>
        <w:t>lly not included on the NSCH</w:t>
      </w:r>
      <w:r w:rsidR="00320663">
        <w:rPr>
          <w:sz w:val="24"/>
        </w:rPr>
        <w:t>. However, it is possible that respondents may find some questions related to their children’s health or disease status to be sensitive in nature. Respondent</w:t>
      </w:r>
      <w:r w:rsidR="00D74FB4">
        <w:rPr>
          <w:sz w:val="24"/>
        </w:rPr>
        <w:t xml:space="preserve">s are made aware of the </w:t>
      </w:r>
      <w:r w:rsidR="00ED7BB0">
        <w:rPr>
          <w:sz w:val="24"/>
        </w:rPr>
        <w:t>voluntary nature of this survey in the cover letter that accompanies the</w:t>
      </w:r>
      <w:r w:rsidR="008B4BE8">
        <w:rPr>
          <w:sz w:val="24"/>
        </w:rPr>
        <w:t xml:space="preserve"> invitation to complete the</w:t>
      </w:r>
      <w:r w:rsidR="00ED7BB0">
        <w:rPr>
          <w:sz w:val="24"/>
        </w:rPr>
        <w:t xml:space="preserve"> questionnaire</w:t>
      </w:r>
      <w:r w:rsidR="00553AAA">
        <w:rPr>
          <w:sz w:val="24"/>
        </w:rPr>
        <w:t xml:space="preserve"> and on the material </w:t>
      </w:r>
      <w:r w:rsidR="00CD42B5">
        <w:rPr>
          <w:sz w:val="24"/>
        </w:rPr>
        <w:t>distributed with the paper questionnaire.</w:t>
      </w:r>
      <w:r w:rsidR="00320663">
        <w:rPr>
          <w:sz w:val="24"/>
        </w:rPr>
        <w:t xml:space="preserve"> </w:t>
      </w:r>
      <w:r w:rsidR="00CD42B5">
        <w:rPr>
          <w:sz w:val="24"/>
        </w:rPr>
        <w:t>I</w:t>
      </w:r>
      <w:r w:rsidR="00320663">
        <w:rPr>
          <w:sz w:val="24"/>
        </w:rPr>
        <w:t>ndividuals are free to refrain from answering any question that they do not feel comfortable responding to</w:t>
      </w:r>
      <w:r w:rsidR="00FB5CCB">
        <w:rPr>
          <w:sz w:val="24"/>
        </w:rPr>
        <w:t xml:space="preserve">. </w:t>
      </w:r>
      <w:r w:rsidR="0033644C">
        <w:rPr>
          <w:sz w:val="24"/>
        </w:rPr>
        <w:t>T</w:t>
      </w:r>
      <w:r w:rsidRPr="00A43802">
        <w:rPr>
          <w:sz w:val="24"/>
        </w:rPr>
        <w:t xml:space="preserve">he </w:t>
      </w:r>
      <w:r w:rsidR="00D74FB4">
        <w:rPr>
          <w:sz w:val="24"/>
        </w:rPr>
        <w:t>U.S. Department of He</w:t>
      </w:r>
      <w:r w:rsidR="00ED7BB0">
        <w:rPr>
          <w:sz w:val="24"/>
        </w:rPr>
        <w:t>alth and Human Services</w:t>
      </w:r>
      <w:r w:rsidR="009B3794" w:rsidRPr="00A43802">
        <w:rPr>
          <w:sz w:val="24"/>
        </w:rPr>
        <w:t xml:space="preserve"> requires that race </w:t>
      </w:r>
      <w:r w:rsidR="0033644C" w:rsidRPr="0033644C">
        <w:rPr>
          <w:sz w:val="24"/>
        </w:rPr>
        <w:t>and</w:t>
      </w:r>
      <w:r w:rsidR="005B7225">
        <w:rPr>
          <w:sz w:val="24"/>
        </w:rPr>
        <w:t xml:space="preserve"> ethnicity be asked</w:t>
      </w:r>
      <w:r w:rsidR="009B3794" w:rsidRPr="00A43802">
        <w:rPr>
          <w:sz w:val="24"/>
        </w:rPr>
        <w:t xml:space="preserve"> </w:t>
      </w:r>
      <w:r w:rsidR="00472847" w:rsidRPr="00A43802">
        <w:rPr>
          <w:sz w:val="24"/>
        </w:rPr>
        <w:t xml:space="preserve">on </w:t>
      </w:r>
      <w:r w:rsidR="009B3794" w:rsidRPr="00A43802">
        <w:rPr>
          <w:sz w:val="24"/>
        </w:rPr>
        <w:t>all H</w:t>
      </w:r>
      <w:r w:rsidR="0033644C">
        <w:rPr>
          <w:sz w:val="24"/>
        </w:rPr>
        <w:t>HS data collection instruments and questions on both race and His</w:t>
      </w:r>
      <w:r w:rsidR="000F72F1">
        <w:rPr>
          <w:sz w:val="24"/>
        </w:rPr>
        <w:t>panic origin appear on the NSCH</w:t>
      </w:r>
      <w:r w:rsidR="0033644C">
        <w:rPr>
          <w:sz w:val="24"/>
        </w:rPr>
        <w:t>. There is, however, no requirement that respondents answer these questions.</w:t>
      </w:r>
    </w:p>
    <w:p w14:paraId="091DF000" w14:textId="7B44F9ED" w:rsidR="009B3794" w:rsidRPr="004F0887" w:rsidRDefault="00286D3B" w:rsidP="00726ABF">
      <w:pPr>
        <w:numPr>
          <w:ilvl w:val="0"/>
          <w:numId w:val="1"/>
        </w:numPr>
        <w:tabs>
          <w:tab w:val="clear" w:pos="1080"/>
          <w:tab w:val="num" w:pos="360"/>
        </w:tabs>
        <w:spacing w:before="240"/>
        <w:ind w:left="360"/>
        <w:rPr>
          <w:sz w:val="24"/>
        </w:rPr>
      </w:pPr>
      <w:r>
        <w:rPr>
          <w:b/>
          <w:sz w:val="24"/>
        </w:rPr>
        <w:t>Estimates of Annualized Hour and Cost Burden</w:t>
      </w:r>
    </w:p>
    <w:p w14:paraId="091DF001" w14:textId="77777777" w:rsidR="00663BCE" w:rsidRDefault="00663BCE">
      <w:pPr>
        <w:widowControl/>
        <w:autoSpaceDE/>
        <w:autoSpaceDN/>
        <w:adjustRightInd/>
        <w:rPr>
          <w:i/>
          <w:color w:val="002060"/>
          <w:sz w:val="24"/>
        </w:rPr>
      </w:pPr>
    </w:p>
    <w:p w14:paraId="18B6BBD8" w14:textId="113FF10C" w:rsidR="007A6608" w:rsidRDefault="00FF3DD3" w:rsidP="007A6608">
      <w:pPr>
        <w:rPr>
          <w:sz w:val="24"/>
        </w:rPr>
      </w:pPr>
      <w:r w:rsidRPr="00663BCE">
        <w:rPr>
          <w:sz w:val="24"/>
        </w:rPr>
        <w:t xml:space="preserve">Estimates of annualized hour burden and annualized cost to respondents are </w:t>
      </w:r>
      <w:r>
        <w:rPr>
          <w:sz w:val="24"/>
        </w:rPr>
        <w:t xml:space="preserve">listed </w:t>
      </w:r>
      <w:r w:rsidRPr="00663BCE">
        <w:rPr>
          <w:sz w:val="24"/>
        </w:rPr>
        <w:t xml:space="preserve">in Tables </w:t>
      </w:r>
      <w:r>
        <w:rPr>
          <w:sz w:val="24"/>
        </w:rPr>
        <w:t>12A</w:t>
      </w:r>
      <w:r w:rsidRPr="00663BCE">
        <w:rPr>
          <w:sz w:val="24"/>
        </w:rPr>
        <w:t xml:space="preserve"> and </w:t>
      </w:r>
      <w:r>
        <w:rPr>
          <w:sz w:val="24"/>
        </w:rPr>
        <w:t>12B, respectively.</w:t>
      </w:r>
      <w:r w:rsidRPr="00663BCE">
        <w:rPr>
          <w:sz w:val="24"/>
        </w:rPr>
        <w:t xml:space="preserve"> </w:t>
      </w:r>
      <w:r w:rsidR="007A6608" w:rsidRPr="00663BCE">
        <w:rPr>
          <w:sz w:val="24"/>
        </w:rPr>
        <w:t xml:space="preserve">The total number of estimated respondents is </w:t>
      </w:r>
      <w:r w:rsidR="00055E15">
        <w:rPr>
          <w:sz w:val="24"/>
        </w:rPr>
        <w:t>81,805</w:t>
      </w:r>
      <w:r w:rsidR="007A6608">
        <w:rPr>
          <w:sz w:val="24"/>
        </w:rPr>
        <w:t xml:space="preserve"> annually</w:t>
      </w:r>
      <w:r w:rsidR="007A6608" w:rsidRPr="00663BCE">
        <w:rPr>
          <w:sz w:val="24"/>
        </w:rPr>
        <w:t xml:space="preserve">. The total number of annual burden hours is </w:t>
      </w:r>
      <w:r w:rsidR="002212DB">
        <w:rPr>
          <w:sz w:val="24"/>
        </w:rPr>
        <w:t>16,573</w:t>
      </w:r>
      <w:r w:rsidR="007A6608" w:rsidRPr="00663BCE">
        <w:rPr>
          <w:sz w:val="24"/>
        </w:rPr>
        <w:t>.</w:t>
      </w:r>
      <w:r w:rsidR="007A6608">
        <w:rPr>
          <w:sz w:val="24"/>
        </w:rPr>
        <w:t xml:space="preserve"> </w:t>
      </w:r>
      <w:r w:rsidRPr="00663BCE">
        <w:rPr>
          <w:sz w:val="24"/>
        </w:rPr>
        <w:t xml:space="preserve">The estimated total annual respondent cost is </w:t>
      </w:r>
      <w:r w:rsidR="008428CE" w:rsidRPr="008428CE">
        <w:rPr>
          <w:sz w:val="24"/>
        </w:rPr>
        <w:t>$</w:t>
      </w:r>
      <w:r w:rsidR="007C75A8">
        <w:rPr>
          <w:sz w:val="24"/>
        </w:rPr>
        <w:t>430,898.00</w:t>
      </w:r>
      <w:r w:rsidRPr="00DE6DD8">
        <w:rPr>
          <w:sz w:val="24"/>
        </w:rPr>
        <w:t>.</w:t>
      </w:r>
      <w:r>
        <w:rPr>
          <w:sz w:val="24"/>
        </w:rPr>
        <w:t xml:space="preserve"> </w:t>
      </w:r>
      <w:r w:rsidR="007A6608">
        <w:rPr>
          <w:sz w:val="24"/>
        </w:rPr>
        <w:t>Please note that the</w:t>
      </w:r>
      <w:r w:rsidR="00553AAA">
        <w:rPr>
          <w:sz w:val="24"/>
        </w:rPr>
        <w:t xml:space="preserve"> estim</w:t>
      </w:r>
      <w:r w:rsidR="00CA76F2">
        <w:rPr>
          <w:sz w:val="24"/>
        </w:rPr>
        <w:t xml:space="preserve">ated number of respondents and </w:t>
      </w:r>
      <w:r w:rsidR="00553AAA">
        <w:rPr>
          <w:sz w:val="24"/>
        </w:rPr>
        <w:t xml:space="preserve">the </w:t>
      </w:r>
      <w:r w:rsidR="00CA76F2">
        <w:rPr>
          <w:sz w:val="24"/>
        </w:rPr>
        <w:t>estimated</w:t>
      </w:r>
      <w:r w:rsidR="00553AAA">
        <w:rPr>
          <w:sz w:val="24"/>
        </w:rPr>
        <w:t xml:space="preserve"> tota</w:t>
      </w:r>
      <w:r w:rsidR="00CA76F2">
        <w:rPr>
          <w:sz w:val="24"/>
        </w:rPr>
        <w:t>l</w:t>
      </w:r>
      <w:r w:rsidR="00553AAA">
        <w:rPr>
          <w:sz w:val="24"/>
        </w:rPr>
        <w:t xml:space="preserve"> annual burden hours are lower</w:t>
      </w:r>
      <w:r w:rsidR="007A6608">
        <w:rPr>
          <w:sz w:val="24"/>
        </w:rPr>
        <w:t xml:space="preserve"> here </w:t>
      </w:r>
      <w:r w:rsidR="00553AAA">
        <w:rPr>
          <w:sz w:val="24"/>
        </w:rPr>
        <w:t>than</w:t>
      </w:r>
      <w:r w:rsidR="007A6608">
        <w:rPr>
          <w:sz w:val="24"/>
        </w:rPr>
        <w:t xml:space="preserve"> those in the Federal Register Prenotice. The figures here are the correct figures</w:t>
      </w:r>
      <w:r w:rsidR="00CA76F2">
        <w:rPr>
          <w:sz w:val="24"/>
        </w:rPr>
        <w:t xml:space="preserve"> and are </w:t>
      </w:r>
      <w:r w:rsidR="007A6608">
        <w:rPr>
          <w:sz w:val="24"/>
        </w:rPr>
        <w:t>the result of improved estimates of (1) the response rates for the screener and topical modules and (2) the average time to complete the survey instruments</w:t>
      </w:r>
      <w:r w:rsidR="00F85EE1" w:rsidRPr="00F85EE1">
        <w:rPr>
          <w:rStyle w:val="FootnoteReference"/>
          <w:sz w:val="24"/>
          <w:vertAlign w:val="superscript"/>
        </w:rPr>
        <w:footnoteReference w:id="7"/>
      </w:r>
      <w:r w:rsidR="007A6608">
        <w:rPr>
          <w:sz w:val="24"/>
        </w:rPr>
        <w:t xml:space="preserve">. </w:t>
      </w:r>
    </w:p>
    <w:p w14:paraId="091DF00A" w14:textId="21A78E95" w:rsidR="002372C1" w:rsidRPr="006A0A3F" w:rsidRDefault="002372C1" w:rsidP="006A0A3F">
      <w:pPr>
        <w:rPr>
          <w:sz w:val="24"/>
        </w:rPr>
      </w:pPr>
    </w:p>
    <w:p w14:paraId="771EDE15" w14:textId="77777777" w:rsidR="00092F39" w:rsidRDefault="00092F39">
      <w:pPr>
        <w:widowControl/>
        <w:autoSpaceDE/>
        <w:autoSpaceDN/>
        <w:adjustRightInd/>
        <w:rPr>
          <w:b/>
          <w:sz w:val="24"/>
        </w:rPr>
      </w:pPr>
      <w:r>
        <w:rPr>
          <w:b/>
          <w:sz w:val="24"/>
        </w:rPr>
        <w:br w:type="page"/>
      </w:r>
    </w:p>
    <w:p w14:paraId="1B86C9AB" w14:textId="6E9F7A2C" w:rsidR="007A6608" w:rsidRPr="007C230C" w:rsidRDefault="001214D3" w:rsidP="00CA24B9">
      <w:pPr>
        <w:widowControl/>
        <w:autoSpaceDE/>
        <w:autoSpaceDN/>
        <w:adjustRightInd/>
        <w:rPr>
          <w:b/>
          <w:sz w:val="24"/>
        </w:rPr>
      </w:pPr>
      <w:r>
        <w:rPr>
          <w:b/>
          <w:sz w:val="24"/>
        </w:rPr>
        <w:t>12</w:t>
      </w:r>
      <w:r w:rsidR="00286D3B">
        <w:rPr>
          <w:b/>
          <w:sz w:val="24"/>
        </w:rPr>
        <w:t>A</w:t>
      </w:r>
      <w:r w:rsidR="008D09D0">
        <w:rPr>
          <w:b/>
          <w:sz w:val="24"/>
        </w:rPr>
        <w:t xml:space="preserve">. </w:t>
      </w:r>
      <w:r w:rsidR="009B3794" w:rsidRPr="000761DE">
        <w:rPr>
          <w:b/>
          <w:sz w:val="24"/>
        </w:rPr>
        <w:t>Estimated Annualized Burden Hours</w:t>
      </w: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549"/>
        <w:gridCol w:w="1485"/>
        <w:gridCol w:w="1662"/>
        <w:gridCol w:w="1623"/>
        <w:gridCol w:w="990"/>
      </w:tblGrid>
      <w:tr w:rsidR="007A6608" w:rsidRPr="00465A8E" w14:paraId="674588F8" w14:textId="77777777" w:rsidTr="007C230C">
        <w:trPr>
          <w:trHeight w:val="983"/>
        </w:trPr>
        <w:tc>
          <w:tcPr>
            <w:tcW w:w="1532" w:type="dxa"/>
            <w:shd w:val="clear" w:color="auto" w:fill="A6A6A6" w:themeFill="background1" w:themeFillShade="A6"/>
            <w:vAlign w:val="bottom"/>
          </w:tcPr>
          <w:p w14:paraId="6ED1D919" w14:textId="77777777" w:rsidR="007A6608" w:rsidRPr="00465A8E" w:rsidRDefault="007A6608" w:rsidP="00F8361F">
            <w:pPr>
              <w:widowControl/>
              <w:tabs>
                <w:tab w:val="num" w:pos="1080"/>
              </w:tabs>
              <w:jc w:val="center"/>
              <w:rPr>
                <w:b/>
                <w:bCs/>
                <w:sz w:val="22"/>
                <w:szCs w:val="22"/>
              </w:rPr>
            </w:pPr>
            <w:r w:rsidRPr="00465A8E">
              <w:rPr>
                <w:b/>
                <w:bCs/>
                <w:sz w:val="22"/>
                <w:szCs w:val="22"/>
              </w:rPr>
              <w:t>Type of</w:t>
            </w:r>
            <w:r>
              <w:rPr>
                <w:b/>
                <w:bCs/>
                <w:sz w:val="22"/>
                <w:szCs w:val="22"/>
              </w:rPr>
              <w:t xml:space="preserve"> </w:t>
            </w:r>
            <w:r w:rsidRPr="00465A8E">
              <w:rPr>
                <w:b/>
                <w:bCs/>
                <w:sz w:val="22"/>
                <w:szCs w:val="22"/>
              </w:rPr>
              <w:t>Respondent</w:t>
            </w:r>
          </w:p>
        </w:tc>
        <w:tc>
          <w:tcPr>
            <w:tcW w:w="1549" w:type="dxa"/>
            <w:shd w:val="clear" w:color="auto" w:fill="A6A6A6" w:themeFill="background1" w:themeFillShade="A6"/>
            <w:vAlign w:val="bottom"/>
          </w:tcPr>
          <w:p w14:paraId="03828C6C" w14:textId="77777777" w:rsidR="007A6608" w:rsidRPr="00465A8E" w:rsidRDefault="007A6608" w:rsidP="00F8361F">
            <w:pPr>
              <w:widowControl/>
              <w:tabs>
                <w:tab w:val="num" w:pos="1080"/>
              </w:tabs>
              <w:jc w:val="center"/>
              <w:rPr>
                <w:b/>
                <w:bCs/>
                <w:sz w:val="22"/>
                <w:szCs w:val="22"/>
              </w:rPr>
            </w:pPr>
            <w:r>
              <w:rPr>
                <w:b/>
                <w:bCs/>
                <w:sz w:val="22"/>
                <w:szCs w:val="22"/>
              </w:rPr>
              <w:t xml:space="preserve">Questionnaire </w:t>
            </w:r>
            <w:r w:rsidRPr="00465A8E">
              <w:rPr>
                <w:b/>
                <w:bCs/>
                <w:sz w:val="22"/>
                <w:szCs w:val="22"/>
              </w:rPr>
              <w:t>Name</w:t>
            </w:r>
          </w:p>
        </w:tc>
        <w:tc>
          <w:tcPr>
            <w:tcW w:w="1485" w:type="dxa"/>
            <w:shd w:val="clear" w:color="auto" w:fill="A6A6A6" w:themeFill="background1" w:themeFillShade="A6"/>
            <w:vAlign w:val="bottom"/>
          </w:tcPr>
          <w:p w14:paraId="4251B3EC" w14:textId="77777777" w:rsidR="007A6608" w:rsidRPr="00465A8E" w:rsidRDefault="007A6608" w:rsidP="00F8361F">
            <w:pPr>
              <w:widowControl/>
              <w:tabs>
                <w:tab w:val="num" w:pos="1080"/>
              </w:tabs>
              <w:rPr>
                <w:b/>
                <w:bCs/>
                <w:sz w:val="22"/>
                <w:szCs w:val="22"/>
              </w:rPr>
            </w:pPr>
            <w:r>
              <w:rPr>
                <w:b/>
                <w:bCs/>
                <w:sz w:val="22"/>
                <w:szCs w:val="22"/>
              </w:rPr>
              <w:t>Expected Number</w:t>
            </w:r>
            <w:r w:rsidRPr="00465A8E">
              <w:rPr>
                <w:b/>
                <w:bCs/>
                <w:sz w:val="22"/>
                <w:szCs w:val="22"/>
              </w:rPr>
              <w:t xml:space="preserve"> of</w:t>
            </w:r>
            <w:r>
              <w:rPr>
                <w:b/>
                <w:bCs/>
                <w:sz w:val="22"/>
                <w:szCs w:val="22"/>
              </w:rPr>
              <w:t xml:space="preserve"> </w:t>
            </w:r>
            <w:r w:rsidRPr="00465A8E">
              <w:rPr>
                <w:b/>
                <w:bCs/>
                <w:sz w:val="22"/>
                <w:szCs w:val="22"/>
              </w:rPr>
              <w:t>Respondents</w:t>
            </w:r>
            <w:r w:rsidRPr="00DA372A">
              <w:rPr>
                <w:rStyle w:val="FootnoteReference"/>
                <w:rFonts w:ascii="Times New Roman Bold" w:hAnsi="Times New Roman Bold"/>
                <w:b/>
                <w:bCs/>
                <w:sz w:val="22"/>
                <w:szCs w:val="22"/>
                <w:vertAlign w:val="superscript"/>
              </w:rPr>
              <w:footnoteReference w:id="8"/>
            </w:r>
          </w:p>
        </w:tc>
        <w:tc>
          <w:tcPr>
            <w:tcW w:w="1662" w:type="dxa"/>
            <w:shd w:val="clear" w:color="auto" w:fill="A6A6A6" w:themeFill="background1" w:themeFillShade="A6"/>
            <w:vAlign w:val="bottom"/>
          </w:tcPr>
          <w:p w14:paraId="53703069" w14:textId="77777777" w:rsidR="007A6608" w:rsidRPr="00465A8E" w:rsidRDefault="007A6608" w:rsidP="00F8361F">
            <w:pPr>
              <w:widowControl/>
              <w:tabs>
                <w:tab w:val="num" w:pos="1080"/>
              </w:tabs>
              <w:jc w:val="center"/>
              <w:rPr>
                <w:b/>
                <w:bCs/>
                <w:sz w:val="22"/>
                <w:szCs w:val="22"/>
              </w:rPr>
            </w:pPr>
            <w:r w:rsidRPr="00465A8E">
              <w:rPr>
                <w:b/>
                <w:bCs/>
                <w:sz w:val="22"/>
                <w:szCs w:val="22"/>
              </w:rPr>
              <w:t>N</w:t>
            </w:r>
            <w:r>
              <w:rPr>
                <w:b/>
                <w:bCs/>
                <w:sz w:val="22"/>
                <w:szCs w:val="22"/>
              </w:rPr>
              <w:t xml:space="preserve">umber of </w:t>
            </w:r>
            <w:r w:rsidRPr="00465A8E">
              <w:rPr>
                <w:b/>
                <w:bCs/>
                <w:sz w:val="22"/>
                <w:szCs w:val="22"/>
              </w:rPr>
              <w:t>Responses</w:t>
            </w:r>
            <w:r>
              <w:rPr>
                <w:b/>
                <w:bCs/>
                <w:sz w:val="22"/>
                <w:szCs w:val="22"/>
              </w:rPr>
              <w:t xml:space="preserve"> </w:t>
            </w:r>
            <w:r w:rsidRPr="00465A8E">
              <w:rPr>
                <w:b/>
                <w:bCs/>
                <w:sz w:val="22"/>
                <w:szCs w:val="22"/>
              </w:rPr>
              <w:t>per</w:t>
            </w:r>
            <w:r>
              <w:rPr>
                <w:b/>
                <w:bCs/>
                <w:sz w:val="22"/>
                <w:szCs w:val="22"/>
              </w:rPr>
              <w:t xml:space="preserve"> </w:t>
            </w:r>
            <w:r w:rsidRPr="00465A8E">
              <w:rPr>
                <w:b/>
                <w:bCs/>
                <w:sz w:val="22"/>
                <w:szCs w:val="22"/>
              </w:rPr>
              <w:t>Respondent</w:t>
            </w:r>
          </w:p>
        </w:tc>
        <w:tc>
          <w:tcPr>
            <w:tcW w:w="1623" w:type="dxa"/>
            <w:shd w:val="clear" w:color="auto" w:fill="A6A6A6" w:themeFill="background1" w:themeFillShade="A6"/>
            <w:vAlign w:val="bottom"/>
          </w:tcPr>
          <w:p w14:paraId="11FE1785" w14:textId="77777777" w:rsidR="007A6608" w:rsidRDefault="007A6608" w:rsidP="00F8361F">
            <w:pPr>
              <w:widowControl/>
              <w:tabs>
                <w:tab w:val="num" w:pos="1080"/>
              </w:tabs>
              <w:jc w:val="center"/>
              <w:rPr>
                <w:b/>
                <w:bCs/>
                <w:sz w:val="22"/>
                <w:szCs w:val="22"/>
              </w:rPr>
            </w:pPr>
            <w:r w:rsidRPr="00465A8E">
              <w:rPr>
                <w:b/>
                <w:bCs/>
                <w:sz w:val="22"/>
                <w:szCs w:val="22"/>
              </w:rPr>
              <w:t>Average</w:t>
            </w:r>
            <w:r>
              <w:rPr>
                <w:b/>
                <w:bCs/>
                <w:sz w:val="22"/>
                <w:szCs w:val="22"/>
              </w:rPr>
              <w:t xml:space="preserve"> </w:t>
            </w:r>
            <w:r w:rsidRPr="00465A8E">
              <w:rPr>
                <w:b/>
                <w:bCs/>
                <w:sz w:val="22"/>
                <w:szCs w:val="22"/>
              </w:rPr>
              <w:t>Burden per</w:t>
            </w:r>
            <w:r>
              <w:rPr>
                <w:b/>
                <w:bCs/>
                <w:sz w:val="22"/>
                <w:szCs w:val="22"/>
              </w:rPr>
              <w:t xml:space="preserve"> </w:t>
            </w:r>
            <w:r w:rsidRPr="00465A8E">
              <w:rPr>
                <w:b/>
                <w:bCs/>
                <w:sz w:val="22"/>
                <w:szCs w:val="22"/>
              </w:rPr>
              <w:t>Response</w:t>
            </w:r>
          </w:p>
          <w:p w14:paraId="5BD907F5" w14:textId="77777777" w:rsidR="007A6608" w:rsidRPr="00465A8E" w:rsidRDefault="007A6608" w:rsidP="00F8361F">
            <w:pPr>
              <w:widowControl/>
              <w:tabs>
                <w:tab w:val="num" w:pos="1080"/>
              </w:tabs>
              <w:jc w:val="center"/>
              <w:rPr>
                <w:b/>
                <w:bCs/>
                <w:sz w:val="22"/>
                <w:szCs w:val="22"/>
              </w:rPr>
            </w:pPr>
            <w:r w:rsidRPr="00465A8E">
              <w:rPr>
                <w:b/>
                <w:bCs/>
                <w:sz w:val="22"/>
                <w:szCs w:val="22"/>
              </w:rPr>
              <w:t>(in hours)</w:t>
            </w:r>
          </w:p>
        </w:tc>
        <w:tc>
          <w:tcPr>
            <w:tcW w:w="990" w:type="dxa"/>
            <w:shd w:val="clear" w:color="auto" w:fill="A6A6A6" w:themeFill="background1" w:themeFillShade="A6"/>
            <w:vAlign w:val="bottom"/>
          </w:tcPr>
          <w:p w14:paraId="30131626" w14:textId="77777777" w:rsidR="007A6608" w:rsidRPr="00465A8E" w:rsidRDefault="007A6608" w:rsidP="00F8361F">
            <w:pPr>
              <w:widowControl/>
              <w:tabs>
                <w:tab w:val="num" w:pos="1080"/>
              </w:tabs>
              <w:jc w:val="center"/>
              <w:rPr>
                <w:b/>
                <w:bCs/>
                <w:sz w:val="22"/>
                <w:szCs w:val="22"/>
              </w:rPr>
            </w:pPr>
            <w:r w:rsidRPr="00465A8E">
              <w:rPr>
                <w:b/>
                <w:bCs/>
                <w:sz w:val="22"/>
                <w:szCs w:val="22"/>
              </w:rPr>
              <w:t>Total Burden Hours</w:t>
            </w:r>
          </w:p>
        </w:tc>
      </w:tr>
      <w:tr w:rsidR="007A6608" w:rsidRPr="00465A8E" w14:paraId="4CADB768" w14:textId="77777777" w:rsidTr="007C230C">
        <w:trPr>
          <w:trHeight w:val="63"/>
        </w:trPr>
        <w:tc>
          <w:tcPr>
            <w:tcW w:w="8841" w:type="dxa"/>
            <w:gridSpan w:val="6"/>
            <w:shd w:val="clear" w:color="auto" w:fill="000000" w:themeFill="text1"/>
            <w:vAlign w:val="center"/>
          </w:tcPr>
          <w:p w14:paraId="71A471C6" w14:textId="179A1A80" w:rsidR="007A6608" w:rsidRPr="00465A8E" w:rsidRDefault="007A6608" w:rsidP="00DF0402">
            <w:pPr>
              <w:widowControl/>
              <w:tabs>
                <w:tab w:val="num" w:pos="1080"/>
              </w:tabs>
              <w:spacing w:before="120"/>
              <w:rPr>
                <w:b/>
                <w:sz w:val="22"/>
                <w:szCs w:val="22"/>
              </w:rPr>
            </w:pPr>
            <w:r>
              <w:rPr>
                <w:b/>
                <w:sz w:val="22"/>
                <w:szCs w:val="22"/>
              </w:rPr>
              <w:t>NSCH Pr</w:t>
            </w:r>
            <w:r w:rsidR="00DF0402">
              <w:rPr>
                <w:b/>
                <w:sz w:val="22"/>
                <w:szCs w:val="22"/>
              </w:rPr>
              <w:t>oduction</w:t>
            </w:r>
          </w:p>
        </w:tc>
      </w:tr>
      <w:tr w:rsidR="007A6608" w:rsidRPr="00465A8E" w14:paraId="04EC31D7" w14:textId="77777777" w:rsidTr="007C230C">
        <w:trPr>
          <w:trHeight w:val="576"/>
        </w:trPr>
        <w:tc>
          <w:tcPr>
            <w:tcW w:w="1532" w:type="dxa"/>
            <w:vAlign w:val="center"/>
          </w:tcPr>
          <w:p w14:paraId="3F620200" w14:textId="77777777" w:rsidR="007A6608" w:rsidRPr="00465A8E" w:rsidRDefault="007A6608" w:rsidP="00F8361F">
            <w:pPr>
              <w:widowControl/>
              <w:tabs>
                <w:tab w:val="num" w:pos="1080"/>
              </w:tabs>
              <w:spacing w:before="120"/>
              <w:jc w:val="center"/>
              <w:rPr>
                <w:b/>
                <w:bCs/>
                <w:sz w:val="22"/>
                <w:szCs w:val="22"/>
              </w:rPr>
            </w:pPr>
            <w:r>
              <w:rPr>
                <w:b/>
                <w:bCs/>
                <w:sz w:val="22"/>
                <w:szCs w:val="22"/>
              </w:rPr>
              <w:t>Adult Parent or Caregiver</w:t>
            </w:r>
          </w:p>
        </w:tc>
        <w:tc>
          <w:tcPr>
            <w:tcW w:w="1549" w:type="dxa"/>
            <w:vAlign w:val="center"/>
          </w:tcPr>
          <w:p w14:paraId="2DF37F16" w14:textId="77777777" w:rsidR="007A6608" w:rsidRPr="00465A8E" w:rsidRDefault="007A6608" w:rsidP="00F8361F">
            <w:pPr>
              <w:widowControl/>
              <w:tabs>
                <w:tab w:val="num" w:pos="1080"/>
              </w:tabs>
              <w:spacing w:before="120"/>
              <w:jc w:val="center"/>
              <w:rPr>
                <w:b/>
                <w:bCs/>
                <w:sz w:val="22"/>
                <w:szCs w:val="22"/>
              </w:rPr>
            </w:pPr>
            <w:r w:rsidRPr="00465A8E">
              <w:rPr>
                <w:b/>
                <w:bCs/>
                <w:sz w:val="22"/>
                <w:szCs w:val="22"/>
              </w:rPr>
              <w:t>Screener</w:t>
            </w:r>
          </w:p>
        </w:tc>
        <w:tc>
          <w:tcPr>
            <w:tcW w:w="1485" w:type="dxa"/>
            <w:vAlign w:val="center"/>
          </w:tcPr>
          <w:p w14:paraId="715F3499" w14:textId="2CBED0F4" w:rsidR="007A6608" w:rsidRPr="00697F5A" w:rsidRDefault="001E286A" w:rsidP="00F8361F">
            <w:pPr>
              <w:jc w:val="center"/>
              <w:rPr>
                <w:sz w:val="22"/>
                <w:szCs w:val="22"/>
              </w:rPr>
            </w:pPr>
            <w:r>
              <w:rPr>
                <w:sz w:val="22"/>
                <w:szCs w:val="22"/>
              </w:rPr>
              <w:t>58,345</w:t>
            </w:r>
          </w:p>
        </w:tc>
        <w:tc>
          <w:tcPr>
            <w:tcW w:w="1662" w:type="dxa"/>
            <w:vAlign w:val="center"/>
          </w:tcPr>
          <w:p w14:paraId="6C71C7F7" w14:textId="77777777" w:rsidR="007A6608" w:rsidRPr="00697F5A" w:rsidRDefault="007A6608" w:rsidP="00F8361F">
            <w:pPr>
              <w:widowControl/>
              <w:tabs>
                <w:tab w:val="num" w:pos="1080"/>
              </w:tabs>
              <w:spacing w:before="120"/>
              <w:jc w:val="center"/>
              <w:rPr>
                <w:sz w:val="22"/>
                <w:szCs w:val="22"/>
              </w:rPr>
            </w:pPr>
            <w:r w:rsidRPr="00697F5A">
              <w:rPr>
                <w:sz w:val="22"/>
                <w:szCs w:val="22"/>
              </w:rPr>
              <w:t>1</w:t>
            </w:r>
          </w:p>
        </w:tc>
        <w:tc>
          <w:tcPr>
            <w:tcW w:w="1623" w:type="dxa"/>
            <w:vAlign w:val="center"/>
          </w:tcPr>
          <w:p w14:paraId="64114EA2" w14:textId="0FB7D4F3" w:rsidR="007A6608" w:rsidRPr="00697F5A" w:rsidRDefault="001214D3" w:rsidP="00F8361F">
            <w:pPr>
              <w:widowControl/>
              <w:tabs>
                <w:tab w:val="num" w:pos="1080"/>
              </w:tabs>
              <w:spacing w:before="120"/>
              <w:jc w:val="center"/>
              <w:rPr>
                <w:sz w:val="22"/>
                <w:szCs w:val="22"/>
              </w:rPr>
            </w:pPr>
            <w:r>
              <w:rPr>
                <w:sz w:val="22"/>
                <w:szCs w:val="22"/>
              </w:rPr>
              <w:t>.083</w:t>
            </w:r>
          </w:p>
        </w:tc>
        <w:tc>
          <w:tcPr>
            <w:tcW w:w="990" w:type="dxa"/>
            <w:vAlign w:val="center"/>
          </w:tcPr>
          <w:p w14:paraId="07027918" w14:textId="72409E11" w:rsidR="007A6608" w:rsidRPr="00697F5A" w:rsidRDefault="00F00818" w:rsidP="00F8361F">
            <w:pPr>
              <w:jc w:val="center"/>
              <w:rPr>
                <w:color w:val="000000"/>
                <w:sz w:val="22"/>
                <w:szCs w:val="22"/>
              </w:rPr>
            </w:pPr>
            <w:r>
              <w:rPr>
                <w:color w:val="000000"/>
                <w:sz w:val="22"/>
                <w:szCs w:val="22"/>
              </w:rPr>
              <w:t>4,843</w:t>
            </w:r>
          </w:p>
        </w:tc>
      </w:tr>
      <w:tr w:rsidR="007A6608" w:rsidRPr="00465A8E" w14:paraId="1A753584" w14:textId="77777777" w:rsidTr="007C230C">
        <w:trPr>
          <w:trHeight w:val="576"/>
        </w:trPr>
        <w:tc>
          <w:tcPr>
            <w:tcW w:w="1532" w:type="dxa"/>
            <w:vAlign w:val="center"/>
          </w:tcPr>
          <w:p w14:paraId="7440A758" w14:textId="77777777" w:rsidR="007A6608" w:rsidRDefault="007A6608" w:rsidP="00F8361F">
            <w:pPr>
              <w:jc w:val="center"/>
            </w:pPr>
            <w:r w:rsidRPr="00D6314B">
              <w:rPr>
                <w:b/>
                <w:bCs/>
                <w:sz w:val="22"/>
                <w:szCs w:val="22"/>
              </w:rPr>
              <w:t>Adult Parent or Caregiver</w:t>
            </w:r>
          </w:p>
        </w:tc>
        <w:tc>
          <w:tcPr>
            <w:tcW w:w="1549" w:type="dxa"/>
            <w:vAlign w:val="center"/>
          </w:tcPr>
          <w:p w14:paraId="6F60DB8B" w14:textId="77777777" w:rsidR="007A6608" w:rsidRPr="00465A8E" w:rsidRDefault="007A6608" w:rsidP="00F8361F">
            <w:pPr>
              <w:widowControl/>
              <w:tabs>
                <w:tab w:val="num" w:pos="1080"/>
              </w:tabs>
              <w:spacing w:before="120"/>
              <w:jc w:val="center"/>
              <w:rPr>
                <w:b/>
                <w:bCs/>
                <w:sz w:val="22"/>
                <w:szCs w:val="22"/>
              </w:rPr>
            </w:pPr>
            <w:r w:rsidRPr="00465A8E">
              <w:rPr>
                <w:b/>
                <w:bCs/>
                <w:sz w:val="22"/>
                <w:szCs w:val="22"/>
              </w:rPr>
              <w:t xml:space="preserve">0-5 </w:t>
            </w:r>
            <w:r>
              <w:rPr>
                <w:b/>
                <w:bCs/>
                <w:sz w:val="22"/>
                <w:szCs w:val="22"/>
              </w:rPr>
              <w:t xml:space="preserve">Topical </w:t>
            </w:r>
            <w:r w:rsidRPr="00465A8E">
              <w:rPr>
                <w:b/>
                <w:bCs/>
                <w:sz w:val="22"/>
                <w:szCs w:val="22"/>
              </w:rPr>
              <w:t>Instrument</w:t>
            </w:r>
          </w:p>
        </w:tc>
        <w:tc>
          <w:tcPr>
            <w:tcW w:w="1485" w:type="dxa"/>
            <w:vAlign w:val="center"/>
          </w:tcPr>
          <w:p w14:paraId="71D35802" w14:textId="0AB42512" w:rsidR="007A6608" w:rsidRPr="00697F5A" w:rsidRDefault="00F00818" w:rsidP="00F8361F">
            <w:pPr>
              <w:jc w:val="center"/>
              <w:rPr>
                <w:sz w:val="22"/>
                <w:szCs w:val="22"/>
              </w:rPr>
            </w:pPr>
            <w:r>
              <w:rPr>
                <w:sz w:val="22"/>
                <w:szCs w:val="22"/>
              </w:rPr>
              <w:t>7,820</w:t>
            </w:r>
          </w:p>
        </w:tc>
        <w:tc>
          <w:tcPr>
            <w:tcW w:w="1662" w:type="dxa"/>
            <w:vAlign w:val="center"/>
          </w:tcPr>
          <w:p w14:paraId="53E42FF3" w14:textId="77777777" w:rsidR="007A6608" w:rsidRPr="00697F5A" w:rsidRDefault="007A6608" w:rsidP="00F8361F">
            <w:pPr>
              <w:widowControl/>
              <w:tabs>
                <w:tab w:val="num" w:pos="1080"/>
              </w:tabs>
              <w:spacing w:before="120"/>
              <w:jc w:val="center"/>
              <w:rPr>
                <w:sz w:val="22"/>
                <w:szCs w:val="22"/>
              </w:rPr>
            </w:pPr>
            <w:r w:rsidRPr="00697F5A">
              <w:rPr>
                <w:sz w:val="22"/>
                <w:szCs w:val="22"/>
              </w:rPr>
              <w:t>1</w:t>
            </w:r>
          </w:p>
        </w:tc>
        <w:tc>
          <w:tcPr>
            <w:tcW w:w="1623" w:type="dxa"/>
            <w:vAlign w:val="center"/>
          </w:tcPr>
          <w:p w14:paraId="7410546B" w14:textId="03E81DF8" w:rsidR="007A6608" w:rsidRPr="00697F5A" w:rsidRDefault="001214D3" w:rsidP="00F8361F">
            <w:pPr>
              <w:widowControl/>
              <w:tabs>
                <w:tab w:val="num" w:pos="1080"/>
              </w:tabs>
              <w:spacing w:before="120"/>
              <w:jc w:val="center"/>
              <w:rPr>
                <w:sz w:val="22"/>
                <w:szCs w:val="22"/>
              </w:rPr>
            </w:pPr>
            <w:r>
              <w:rPr>
                <w:sz w:val="22"/>
                <w:szCs w:val="22"/>
              </w:rPr>
              <w:t>.5</w:t>
            </w:r>
          </w:p>
        </w:tc>
        <w:tc>
          <w:tcPr>
            <w:tcW w:w="990" w:type="dxa"/>
            <w:vAlign w:val="center"/>
          </w:tcPr>
          <w:p w14:paraId="3183703A" w14:textId="27CCEB6A" w:rsidR="007A6608" w:rsidRPr="00697F5A" w:rsidRDefault="00F00818" w:rsidP="00F8361F">
            <w:pPr>
              <w:jc w:val="center"/>
              <w:rPr>
                <w:color w:val="000000"/>
                <w:sz w:val="22"/>
                <w:szCs w:val="22"/>
              </w:rPr>
            </w:pPr>
            <w:r>
              <w:rPr>
                <w:color w:val="000000"/>
                <w:sz w:val="22"/>
                <w:szCs w:val="22"/>
              </w:rPr>
              <w:t>3,910</w:t>
            </w:r>
          </w:p>
        </w:tc>
      </w:tr>
      <w:tr w:rsidR="007A6608" w:rsidRPr="00465A8E" w14:paraId="4A19B0F2" w14:textId="77777777" w:rsidTr="007C230C">
        <w:trPr>
          <w:trHeight w:val="576"/>
        </w:trPr>
        <w:tc>
          <w:tcPr>
            <w:tcW w:w="1532" w:type="dxa"/>
            <w:vAlign w:val="center"/>
          </w:tcPr>
          <w:p w14:paraId="1D92D7A1" w14:textId="77777777" w:rsidR="007A6608" w:rsidRDefault="007A6608" w:rsidP="00F8361F">
            <w:pPr>
              <w:jc w:val="center"/>
            </w:pPr>
            <w:r w:rsidRPr="00D6314B">
              <w:rPr>
                <w:b/>
                <w:bCs/>
                <w:sz w:val="22"/>
                <w:szCs w:val="22"/>
              </w:rPr>
              <w:t>Adult Parent or Caregiver</w:t>
            </w:r>
          </w:p>
        </w:tc>
        <w:tc>
          <w:tcPr>
            <w:tcW w:w="1549" w:type="dxa"/>
            <w:vAlign w:val="center"/>
          </w:tcPr>
          <w:p w14:paraId="25670AB0" w14:textId="77777777" w:rsidR="007A6608" w:rsidRPr="00465A8E" w:rsidRDefault="007A6608" w:rsidP="00F8361F">
            <w:pPr>
              <w:widowControl/>
              <w:tabs>
                <w:tab w:val="num" w:pos="1080"/>
              </w:tabs>
              <w:spacing w:before="120"/>
              <w:jc w:val="center"/>
              <w:rPr>
                <w:b/>
                <w:bCs/>
                <w:sz w:val="22"/>
                <w:szCs w:val="22"/>
              </w:rPr>
            </w:pPr>
            <w:r w:rsidRPr="00465A8E">
              <w:rPr>
                <w:b/>
                <w:bCs/>
                <w:sz w:val="22"/>
                <w:szCs w:val="22"/>
              </w:rPr>
              <w:t xml:space="preserve">6-11 </w:t>
            </w:r>
            <w:r>
              <w:rPr>
                <w:b/>
                <w:bCs/>
                <w:sz w:val="22"/>
                <w:szCs w:val="22"/>
              </w:rPr>
              <w:t>Topical</w:t>
            </w:r>
            <w:r w:rsidRPr="00465A8E">
              <w:rPr>
                <w:b/>
                <w:bCs/>
                <w:sz w:val="22"/>
                <w:szCs w:val="22"/>
              </w:rPr>
              <w:t xml:space="preserve"> Instrument</w:t>
            </w:r>
          </w:p>
        </w:tc>
        <w:tc>
          <w:tcPr>
            <w:tcW w:w="1485" w:type="dxa"/>
            <w:vAlign w:val="center"/>
          </w:tcPr>
          <w:p w14:paraId="7D11DB8C" w14:textId="7160415C" w:rsidR="007A6608" w:rsidRPr="00697F5A" w:rsidRDefault="00F00818" w:rsidP="00F8361F">
            <w:pPr>
              <w:jc w:val="center"/>
              <w:rPr>
                <w:sz w:val="22"/>
                <w:szCs w:val="22"/>
              </w:rPr>
            </w:pPr>
            <w:r>
              <w:rPr>
                <w:sz w:val="22"/>
                <w:szCs w:val="22"/>
              </w:rPr>
              <w:t>7,820</w:t>
            </w:r>
          </w:p>
        </w:tc>
        <w:tc>
          <w:tcPr>
            <w:tcW w:w="1662" w:type="dxa"/>
            <w:vAlign w:val="center"/>
          </w:tcPr>
          <w:p w14:paraId="3120935B" w14:textId="77777777" w:rsidR="007A6608" w:rsidRPr="00697F5A" w:rsidRDefault="007A6608" w:rsidP="00F8361F">
            <w:pPr>
              <w:widowControl/>
              <w:tabs>
                <w:tab w:val="num" w:pos="1080"/>
              </w:tabs>
              <w:spacing w:before="120"/>
              <w:jc w:val="center"/>
              <w:rPr>
                <w:sz w:val="22"/>
                <w:szCs w:val="22"/>
              </w:rPr>
            </w:pPr>
            <w:r w:rsidRPr="00697F5A">
              <w:rPr>
                <w:sz w:val="22"/>
                <w:szCs w:val="22"/>
              </w:rPr>
              <w:t>1</w:t>
            </w:r>
          </w:p>
        </w:tc>
        <w:tc>
          <w:tcPr>
            <w:tcW w:w="1623" w:type="dxa"/>
            <w:vAlign w:val="center"/>
          </w:tcPr>
          <w:p w14:paraId="49C1C986" w14:textId="5D983F9C" w:rsidR="007A6608" w:rsidRPr="00697F5A" w:rsidRDefault="001214D3" w:rsidP="00F8361F">
            <w:pPr>
              <w:widowControl/>
              <w:tabs>
                <w:tab w:val="num" w:pos="1080"/>
              </w:tabs>
              <w:spacing w:before="120"/>
              <w:jc w:val="center"/>
              <w:rPr>
                <w:sz w:val="22"/>
                <w:szCs w:val="22"/>
              </w:rPr>
            </w:pPr>
            <w:r>
              <w:rPr>
                <w:sz w:val="22"/>
                <w:szCs w:val="22"/>
              </w:rPr>
              <w:t>.5</w:t>
            </w:r>
          </w:p>
        </w:tc>
        <w:tc>
          <w:tcPr>
            <w:tcW w:w="990" w:type="dxa"/>
            <w:vAlign w:val="center"/>
          </w:tcPr>
          <w:p w14:paraId="2A5CEDC0" w14:textId="101654B8" w:rsidR="007A6608" w:rsidRPr="00697F5A" w:rsidRDefault="00F00818" w:rsidP="00F8361F">
            <w:pPr>
              <w:jc w:val="center"/>
              <w:rPr>
                <w:color w:val="000000"/>
                <w:sz w:val="22"/>
                <w:szCs w:val="22"/>
              </w:rPr>
            </w:pPr>
            <w:r>
              <w:rPr>
                <w:color w:val="000000"/>
                <w:sz w:val="22"/>
                <w:szCs w:val="22"/>
              </w:rPr>
              <w:t>3,910</w:t>
            </w:r>
          </w:p>
        </w:tc>
      </w:tr>
      <w:tr w:rsidR="007A6608" w:rsidRPr="00465A8E" w14:paraId="704404A2" w14:textId="77777777" w:rsidTr="007C230C">
        <w:trPr>
          <w:trHeight w:val="576"/>
        </w:trPr>
        <w:tc>
          <w:tcPr>
            <w:tcW w:w="1532" w:type="dxa"/>
            <w:vAlign w:val="center"/>
          </w:tcPr>
          <w:p w14:paraId="56A617B8" w14:textId="77777777" w:rsidR="007A6608" w:rsidRDefault="007A6608" w:rsidP="00F8361F">
            <w:pPr>
              <w:jc w:val="center"/>
            </w:pPr>
            <w:r w:rsidRPr="00D6314B">
              <w:rPr>
                <w:b/>
                <w:bCs/>
                <w:sz w:val="22"/>
                <w:szCs w:val="22"/>
              </w:rPr>
              <w:t>Adult Parent or Caregiver</w:t>
            </w:r>
          </w:p>
        </w:tc>
        <w:tc>
          <w:tcPr>
            <w:tcW w:w="1549" w:type="dxa"/>
            <w:vAlign w:val="center"/>
          </w:tcPr>
          <w:p w14:paraId="3CE8C596" w14:textId="77777777" w:rsidR="007A6608" w:rsidRPr="00465A8E" w:rsidRDefault="007A6608" w:rsidP="00F8361F">
            <w:pPr>
              <w:widowControl/>
              <w:tabs>
                <w:tab w:val="num" w:pos="1080"/>
              </w:tabs>
              <w:spacing w:before="120"/>
              <w:jc w:val="center"/>
              <w:rPr>
                <w:b/>
                <w:bCs/>
                <w:sz w:val="22"/>
                <w:szCs w:val="22"/>
              </w:rPr>
            </w:pPr>
            <w:r w:rsidRPr="00465A8E">
              <w:rPr>
                <w:b/>
                <w:bCs/>
                <w:sz w:val="22"/>
                <w:szCs w:val="22"/>
              </w:rPr>
              <w:t xml:space="preserve">12-17 </w:t>
            </w:r>
            <w:r>
              <w:rPr>
                <w:b/>
                <w:bCs/>
                <w:sz w:val="22"/>
                <w:szCs w:val="22"/>
              </w:rPr>
              <w:t>Topical</w:t>
            </w:r>
            <w:r w:rsidRPr="00465A8E">
              <w:rPr>
                <w:b/>
                <w:bCs/>
                <w:sz w:val="22"/>
                <w:szCs w:val="22"/>
              </w:rPr>
              <w:t xml:space="preserve"> Instrument</w:t>
            </w:r>
          </w:p>
        </w:tc>
        <w:tc>
          <w:tcPr>
            <w:tcW w:w="1485" w:type="dxa"/>
            <w:vAlign w:val="center"/>
          </w:tcPr>
          <w:p w14:paraId="48F0D9DE" w14:textId="345F2B37" w:rsidR="007A6608" w:rsidRPr="00697F5A" w:rsidRDefault="00F00818" w:rsidP="00F8361F">
            <w:pPr>
              <w:jc w:val="center"/>
              <w:rPr>
                <w:sz w:val="22"/>
                <w:szCs w:val="22"/>
              </w:rPr>
            </w:pPr>
            <w:r>
              <w:rPr>
                <w:sz w:val="22"/>
                <w:szCs w:val="22"/>
              </w:rPr>
              <w:t>7,820</w:t>
            </w:r>
          </w:p>
        </w:tc>
        <w:tc>
          <w:tcPr>
            <w:tcW w:w="1662" w:type="dxa"/>
            <w:vAlign w:val="center"/>
          </w:tcPr>
          <w:p w14:paraId="5AE2F356" w14:textId="77777777" w:rsidR="007A6608" w:rsidRPr="00697F5A" w:rsidRDefault="007A6608" w:rsidP="00F8361F">
            <w:pPr>
              <w:widowControl/>
              <w:tabs>
                <w:tab w:val="num" w:pos="1080"/>
              </w:tabs>
              <w:spacing w:before="120"/>
              <w:jc w:val="center"/>
              <w:rPr>
                <w:sz w:val="22"/>
                <w:szCs w:val="22"/>
              </w:rPr>
            </w:pPr>
            <w:r w:rsidRPr="00697F5A">
              <w:rPr>
                <w:sz w:val="22"/>
                <w:szCs w:val="22"/>
              </w:rPr>
              <w:t>1</w:t>
            </w:r>
          </w:p>
        </w:tc>
        <w:tc>
          <w:tcPr>
            <w:tcW w:w="1623" w:type="dxa"/>
            <w:vAlign w:val="center"/>
          </w:tcPr>
          <w:p w14:paraId="4F9E1457" w14:textId="339FDA97" w:rsidR="007A6608" w:rsidRPr="00697F5A" w:rsidRDefault="001214D3" w:rsidP="00F8361F">
            <w:pPr>
              <w:widowControl/>
              <w:tabs>
                <w:tab w:val="num" w:pos="1080"/>
              </w:tabs>
              <w:spacing w:before="120"/>
              <w:jc w:val="center"/>
              <w:rPr>
                <w:sz w:val="22"/>
                <w:szCs w:val="22"/>
              </w:rPr>
            </w:pPr>
            <w:r>
              <w:rPr>
                <w:sz w:val="22"/>
                <w:szCs w:val="22"/>
              </w:rPr>
              <w:t>.5</w:t>
            </w:r>
          </w:p>
        </w:tc>
        <w:tc>
          <w:tcPr>
            <w:tcW w:w="990" w:type="dxa"/>
            <w:vAlign w:val="center"/>
          </w:tcPr>
          <w:p w14:paraId="7E7F2F3C" w14:textId="1ABD1252" w:rsidR="007A6608" w:rsidRPr="00697F5A" w:rsidRDefault="00F00818" w:rsidP="00F8361F">
            <w:pPr>
              <w:jc w:val="center"/>
              <w:rPr>
                <w:color w:val="000000"/>
                <w:sz w:val="22"/>
                <w:szCs w:val="22"/>
              </w:rPr>
            </w:pPr>
            <w:r>
              <w:rPr>
                <w:color w:val="000000"/>
                <w:sz w:val="22"/>
                <w:szCs w:val="22"/>
              </w:rPr>
              <w:t>3,910</w:t>
            </w:r>
          </w:p>
        </w:tc>
      </w:tr>
      <w:tr w:rsidR="007A6608" w:rsidRPr="00465A8E" w14:paraId="516A6C54" w14:textId="77777777" w:rsidTr="007C230C">
        <w:trPr>
          <w:trHeight w:val="576"/>
        </w:trPr>
        <w:tc>
          <w:tcPr>
            <w:tcW w:w="1532" w:type="dxa"/>
            <w:vAlign w:val="center"/>
          </w:tcPr>
          <w:p w14:paraId="7C72B428" w14:textId="77777777" w:rsidR="007A6608" w:rsidRPr="00465A8E" w:rsidRDefault="007A6608" w:rsidP="00F8361F">
            <w:pPr>
              <w:widowControl/>
              <w:tabs>
                <w:tab w:val="num" w:pos="1080"/>
              </w:tabs>
              <w:spacing w:before="120"/>
              <w:jc w:val="center"/>
              <w:rPr>
                <w:b/>
                <w:bCs/>
                <w:sz w:val="22"/>
                <w:szCs w:val="22"/>
              </w:rPr>
            </w:pPr>
            <w:r w:rsidRPr="00465A8E">
              <w:rPr>
                <w:b/>
                <w:bCs/>
                <w:sz w:val="22"/>
                <w:szCs w:val="22"/>
              </w:rPr>
              <w:t>Total</w:t>
            </w:r>
          </w:p>
        </w:tc>
        <w:tc>
          <w:tcPr>
            <w:tcW w:w="1549" w:type="dxa"/>
            <w:vAlign w:val="center"/>
          </w:tcPr>
          <w:p w14:paraId="577665BB" w14:textId="77777777" w:rsidR="007A6608" w:rsidRPr="00465A8E" w:rsidRDefault="007A6608" w:rsidP="00F8361F">
            <w:pPr>
              <w:widowControl/>
              <w:tabs>
                <w:tab w:val="num" w:pos="1080"/>
              </w:tabs>
              <w:spacing w:before="120"/>
              <w:jc w:val="center"/>
              <w:rPr>
                <w:sz w:val="22"/>
                <w:szCs w:val="22"/>
              </w:rPr>
            </w:pPr>
          </w:p>
        </w:tc>
        <w:tc>
          <w:tcPr>
            <w:tcW w:w="1485" w:type="dxa"/>
            <w:vAlign w:val="center"/>
          </w:tcPr>
          <w:p w14:paraId="742992DE" w14:textId="7E05AA82" w:rsidR="007A6608" w:rsidRPr="00465A8E" w:rsidRDefault="002212DB" w:rsidP="00F8361F">
            <w:pPr>
              <w:widowControl/>
              <w:tabs>
                <w:tab w:val="num" w:pos="1080"/>
              </w:tabs>
              <w:spacing w:before="120"/>
              <w:jc w:val="center"/>
              <w:rPr>
                <w:b/>
                <w:sz w:val="22"/>
                <w:szCs w:val="22"/>
              </w:rPr>
            </w:pPr>
            <w:r>
              <w:rPr>
                <w:b/>
                <w:sz w:val="22"/>
                <w:szCs w:val="22"/>
              </w:rPr>
              <w:t>81,805</w:t>
            </w:r>
          </w:p>
        </w:tc>
        <w:tc>
          <w:tcPr>
            <w:tcW w:w="1662" w:type="dxa"/>
            <w:vAlign w:val="center"/>
          </w:tcPr>
          <w:p w14:paraId="79F449FA" w14:textId="77777777" w:rsidR="007A6608" w:rsidRPr="00465A8E" w:rsidRDefault="007A6608" w:rsidP="00F8361F">
            <w:pPr>
              <w:widowControl/>
              <w:tabs>
                <w:tab w:val="num" w:pos="1080"/>
              </w:tabs>
              <w:spacing w:before="120"/>
              <w:jc w:val="center"/>
              <w:rPr>
                <w:sz w:val="22"/>
                <w:szCs w:val="22"/>
              </w:rPr>
            </w:pPr>
          </w:p>
        </w:tc>
        <w:tc>
          <w:tcPr>
            <w:tcW w:w="1623" w:type="dxa"/>
            <w:vAlign w:val="center"/>
          </w:tcPr>
          <w:p w14:paraId="2BC6FB6D" w14:textId="77777777" w:rsidR="007A6608" w:rsidRPr="00465A8E" w:rsidRDefault="007A6608" w:rsidP="00F8361F">
            <w:pPr>
              <w:widowControl/>
              <w:tabs>
                <w:tab w:val="num" w:pos="1080"/>
              </w:tabs>
              <w:spacing w:before="120"/>
              <w:jc w:val="center"/>
              <w:rPr>
                <w:sz w:val="22"/>
                <w:szCs w:val="22"/>
              </w:rPr>
            </w:pPr>
          </w:p>
        </w:tc>
        <w:tc>
          <w:tcPr>
            <w:tcW w:w="990" w:type="dxa"/>
            <w:vAlign w:val="center"/>
          </w:tcPr>
          <w:p w14:paraId="0BA844F7" w14:textId="3A47DBC7" w:rsidR="007A6608" w:rsidRPr="00465A8E" w:rsidRDefault="002212DB" w:rsidP="00F8361F">
            <w:pPr>
              <w:widowControl/>
              <w:tabs>
                <w:tab w:val="num" w:pos="1080"/>
              </w:tabs>
              <w:spacing w:before="120"/>
              <w:jc w:val="center"/>
              <w:rPr>
                <w:sz w:val="22"/>
                <w:szCs w:val="22"/>
              </w:rPr>
            </w:pPr>
            <w:r>
              <w:rPr>
                <w:b/>
                <w:bCs/>
                <w:sz w:val="22"/>
                <w:szCs w:val="22"/>
              </w:rPr>
              <w:t>16,573</w:t>
            </w:r>
          </w:p>
        </w:tc>
      </w:tr>
    </w:tbl>
    <w:p w14:paraId="091DF039" w14:textId="72F6A1E9" w:rsidR="00DA372A" w:rsidRDefault="00DA372A" w:rsidP="00BE1812">
      <w:pPr>
        <w:widowControl/>
        <w:spacing w:before="120"/>
        <w:ind w:left="270"/>
        <w:rPr>
          <w:sz w:val="22"/>
        </w:rPr>
      </w:pPr>
      <w:r w:rsidRPr="00BE1812">
        <w:rPr>
          <w:sz w:val="22"/>
        </w:rPr>
        <w:t>Table 12</w:t>
      </w:r>
      <w:r w:rsidR="00773019">
        <w:rPr>
          <w:sz w:val="22"/>
        </w:rPr>
        <w:t>A</w:t>
      </w:r>
      <w:r w:rsidRPr="00BE1812">
        <w:rPr>
          <w:sz w:val="22"/>
        </w:rPr>
        <w:t xml:space="preserve"> NOTE: Details may not sum to totals due to rounding of partial hours.</w:t>
      </w:r>
    </w:p>
    <w:p w14:paraId="036FB2C1" w14:textId="7F963063" w:rsidR="00471F74" w:rsidRDefault="00471F74">
      <w:pPr>
        <w:widowControl/>
        <w:autoSpaceDE/>
        <w:autoSpaceDN/>
        <w:adjustRightInd/>
        <w:rPr>
          <w:sz w:val="22"/>
        </w:rPr>
      </w:pPr>
    </w:p>
    <w:p w14:paraId="249BC9B6" w14:textId="2EBEEA03" w:rsidR="00286D3B" w:rsidRDefault="00286D3B" w:rsidP="00286D3B">
      <w:pPr>
        <w:widowControl/>
        <w:spacing w:before="120"/>
        <w:rPr>
          <w:b/>
          <w:sz w:val="22"/>
        </w:rPr>
      </w:pPr>
      <w:r w:rsidRPr="00286D3B">
        <w:rPr>
          <w:b/>
          <w:sz w:val="22"/>
        </w:rPr>
        <w:t>12B. Estimated Annualized Burden Costs</w:t>
      </w:r>
    </w:p>
    <w:p w14:paraId="63231E62" w14:textId="77777777" w:rsidR="00B147AF" w:rsidRDefault="00B147AF" w:rsidP="00286D3B">
      <w:pPr>
        <w:widowControl/>
        <w:spacing w:before="120"/>
        <w:rPr>
          <w:b/>
          <w:sz w:val="22"/>
        </w:rPr>
      </w:pPr>
    </w:p>
    <w:tbl>
      <w:tblPr>
        <w:tblW w:w="88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1890"/>
        <w:gridCol w:w="1800"/>
        <w:gridCol w:w="1980"/>
      </w:tblGrid>
      <w:tr w:rsidR="00B147AF" w:rsidRPr="00D27F91" w14:paraId="62E847F6" w14:textId="77777777" w:rsidTr="00632D30">
        <w:trPr>
          <w:trHeight w:val="602"/>
        </w:trPr>
        <w:tc>
          <w:tcPr>
            <w:tcW w:w="3150" w:type="dxa"/>
            <w:shd w:val="clear" w:color="auto" w:fill="A6A6A6" w:themeFill="background1" w:themeFillShade="A6"/>
            <w:vAlign w:val="bottom"/>
          </w:tcPr>
          <w:p w14:paraId="1BD4EF55" w14:textId="77777777" w:rsidR="00B147AF" w:rsidRPr="00D27F91" w:rsidRDefault="00B147AF" w:rsidP="00632D30">
            <w:pPr>
              <w:jc w:val="center"/>
              <w:rPr>
                <w:b/>
                <w:bCs/>
                <w:sz w:val="22"/>
              </w:rPr>
            </w:pPr>
            <w:r w:rsidRPr="00D27F91">
              <w:rPr>
                <w:b/>
                <w:bCs/>
                <w:sz w:val="22"/>
              </w:rPr>
              <w:t>Type of</w:t>
            </w:r>
          </w:p>
          <w:p w14:paraId="52EE4155" w14:textId="77777777" w:rsidR="00B147AF" w:rsidRPr="00D27F91" w:rsidRDefault="00B147AF" w:rsidP="00632D30">
            <w:pPr>
              <w:jc w:val="center"/>
              <w:rPr>
                <w:sz w:val="22"/>
              </w:rPr>
            </w:pPr>
            <w:r w:rsidRPr="00D27F91">
              <w:rPr>
                <w:b/>
                <w:bCs/>
                <w:sz w:val="22"/>
              </w:rPr>
              <w:t>Respondent</w:t>
            </w:r>
          </w:p>
        </w:tc>
        <w:tc>
          <w:tcPr>
            <w:tcW w:w="1890" w:type="dxa"/>
            <w:shd w:val="clear" w:color="auto" w:fill="A6A6A6" w:themeFill="background1" w:themeFillShade="A6"/>
            <w:vAlign w:val="bottom"/>
          </w:tcPr>
          <w:p w14:paraId="194D2F3A" w14:textId="77777777" w:rsidR="00B147AF" w:rsidRPr="00D27F91" w:rsidRDefault="00B147AF" w:rsidP="00632D30">
            <w:pPr>
              <w:jc w:val="center"/>
              <w:rPr>
                <w:b/>
                <w:bCs/>
                <w:sz w:val="22"/>
              </w:rPr>
            </w:pPr>
            <w:r w:rsidRPr="00D27F91">
              <w:rPr>
                <w:b/>
                <w:bCs/>
                <w:sz w:val="22"/>
              </w:rPr>
              <w:t>Total Burden</w:t>
            </w:r>
          </w:p>
          <w:p w14:paraId="41197347" w14:textId="77777777" w:rsidR="00B147AF" w:rsidRPr="00D27F91" w:rsidRDefault="00B147AF" w:rsidP="00632D30">
            <w:pPr>
              <w:jc w:val="center"/>
              <w:rPr>
                <w:sz w:val="22"/>
              </w:rPr>
            </w:pPr>
            <w:r w:rsidRPr="00D27F91">
              <w:rPr>
                <w:b/>
                <w:bCs/>
                <w:sz w:val="22"/>
              </w:rPr>
              <w:t>Hours</w:t>
            </w:r>
          </w:p>
        </w:tc>
        <w:tc>
          <w:tcPr>
            <w:tcW w:w="1800" w:type="dxa"/>
            <w:shd w:val="clear" w:color="auto" w:fill="A6A6A6" w:themeFill="background1" w:themeFillShade="A6"/>
            <w:vAlign w:val="bottom"/>
          </w:tcPr>
          <w:p w14:paraId="08682EE8" w14:textId="77777777" w:rsidR="00B147AF" w:rsidRPr="00D27F91" w:rsidRDefault="00B147AF" w:rsidP="00632D30">
            <w:pPr>
              <w:jc w:val="center"/>
              <w:rPr>
                <w:b/>
                <w:bCs/>
                <w:sz w:val="22"/>
              </w:rPr>
            </w:pPr>
            <w:r w:rsidRPr="00D27F91">
              <w:rPr>
                <w:b/>
                <w:bCs/>
                <w:sz w:val="22"/>
              </w:rPr>
              <w:t>Hourly</w:t>
            </w:r>
          </w:p>
          <w:p w14:paraId="1FDC3208" w14:textId="77777777" w:rsidR="00B147AF" w:rsidRPr="00D27F91" w:rsidRDefault="00B147AF" w:rsidP="00632D30">
            <w:pPr>
              <w:jc w:val="center"/>
              <w:rPr>
                <w:sz w:val="22"/>
              </w:rPr>
            </w:pPr>
            <w:r w:rsidRPr="00D27F91">
              <w:rPr>
                <w:b/>
                <w:bCs/>
                <w:sz w:val="22"/>
              </w:rPr>
              <w:t>Wage Rate</w:t>
            </w:r>
          </w:p>
        </w:tc>
        <w:tc>
          <w:tcPr>
            <w:tcW w:w="1980" w:type="dxa"/>
            <w:shd w:val="clear" w:color="auto" w:fill="A6A6A6" w:themeFill="background1" w:themeFillShade="A6"/>
            <w:vAlign w:val="bottom"/>
          </w:tcPr>
          <w:p w14:paraId="5D7815C6" w14:textId="77777777" w:rsidR="00B147AF" w:rsidRPr="00D27F91" w:rsidRDefault="00B147AF" w:rsidP="00632D30">
            <w:pPr>
              <w:jc w:val="center"/>
              <w:rPr>
                <w:sz w:val="22"/>
              </w:rPr>
            </w:pPr>
            <w:r w:rsidRPr="00D27F91">
              <w:rPr>
                <w:b/>
                <w:bCs/>
                <w:sz w:val="22"/>
              </w:rPr>
              <w:t>Total Respondent Costs</w:t>
            </w:r>
          </w:p>
        </w:tc>
      </w:tr>
      <w:tr w:rsidR="00B147AF" w:rsidRPr="00D27F91" w14:paraId="7C8EAC1C" w14:textId="77777777" w:rsidTr="00632D30">
        <w:trPr>
          <w:trHeight w:val="440"/>
        </w:trPr>
        <w:tc>
          <w:tcPr>
            <w:tcW w:w="8820" w:type="dxa"/>
            <w:gridSpan w:val="4"/>
            <w:shd w:val="clear" w:color="auto" w:fill="000000" w:themeFill="text1"/>
            <w:vAlign w:val="center"/>
          </w:tcPr>
          <w:p w14:paraId="041D8BF3" w14:textId="2D95A0FD" w:rsidR="00B147AF" w:rsidRPr="00D27F91" w:rsidRDefault="00B147AF" w:rsidP="00632D30">
            <w:pPr>
              <w:spacing w:before="100" w:beforeAutospacing="1" w:after="100" w:afterAutospacing="1"/>
            </w:pPr>
            <w:r w:rsidRPr="00D27F91">
              <w:rPr>
                <w:b/>
                <w:sz w:val="22"/>
              </w:rPr>
              <w:t>NSCH Pr</w:t>
            </w:r>
            <w:r w:rsidRPr="00B147AF">
              <w:rPr>
                <w:b/>
                <w:sz w:val="22"/>
              </w:rPr>
              <w:t>oduction</w:t>
            </w:r>
          </w:p>
        </w:tc>
      </w:tr>
      <w:tr w:rsidR="002212DB" w:rsidRPr="00D27F91" w14:paraId="71E47371" w14:textId="77777777" w:rsidTr="00632D30">
        <w:trPr>
          <w:trHeight w:val="440"/>
        </w:trPr>
        <w:tc>
          <w:tcPr>
            <w:tcW w:w="3150" w:type="dxa"/>
          </w:tcPr>
          <w:p w14:paraId="086DAF47" w14:textId="77777777" w:rsidR="002212DB" w:rsidRPr="00D27F91" w:rsidRDefault="002212DB" w:rsidP="002212DB">
            <w:pPr>
              <w:tabs>
                <w:tab w:val="num" w:pos="1080"/>
              </w:tabs>
              <w:spacing w:before="100" w:beforeAutospacing="1" w:after="100" w:afterAutospacing="1"/>
              <w:rPr>
                <w:b/>
                <w:bCs/>
                <w:sz w:val="22"/>
              </w:rPr>
            </w:pPr>
            <w:r w:rsidRPr="00D27F91">
              <w:rPr>
                <w:b/>
                <w:bCs/>
                <w:sz w:val="22"/>
              </w:rPr>
              <w:t>Adult Parent or Caregiver (Screener)</w:t>
            </w:r>
          </w:p>
        </w:tc>
        <w:tc>
          <w:tcPr>
            <w:tcW w:w="1890" w:type="dxa"/>
            <w:vAlign w:val="center"/>
          </w:tcPr>
          <w:p w14:paraId="72E9E911" w14:textId="5B7B8CFC" w:rsidR="002212DB" w:rsidRPr="00D27F91" w:rsidRDefault="002212DB" w:rsidP="00CA24B9">
            <w:pPr>
              <w:spacing w:before="100" w:beforeAutospacing="1" w:after="100" w:afterAutospacing="1"/>
              <w:jc w:val="right"/>
              <w:rPr>
                <w:color w:val="000000"/>
                <w:sz w:val="22"/>
              </w:rPr>
            </w:pPr>
            <w:r>
              <w:rPr>
                <w:color w:val="000000"/>
                <w:sz w:val="22"/>
                <w:szCs w:val="22"/>
              </w:rPr>
              <w:t>4,843</w:t>
            </w:r>
          </w:p>
        </w:tc>
        <w:tc>
          <w:tcPr>
            <w:tcW w:w="1800" w:type="dxa"/>
            <w:vAlign w:val="center"/>
          </w:tcPr>
          <w:p w14:paraId="129F2CD0" w14:textId="5ECE8EE0" w:rsidR="002212DB" w:rsidRPr="00D27F91" w:rsidRDefault="002212DB" w:rsidP="002212DB">
            <w:pPr>
              <w:spacing w:before="100" w:beforeAutospacing="1" w:after="100" w:afterAutospacing="1"/>
              <w:jc w:val="right"/>
              <w:rPr>
                <w:sz w:val="22"/>
              </w:rPr>
            </w:pPr>
            <w:r>
              <w:rPr>
                <w:color w:val="000000"/>
                <w:sz w:val="22"/>
              </w:rPr>
              <w:t>$2</w:t>
            </w:r>
            <w:r w:rsidR="007C75A8">
              <w:rPr>
                <w:color w:val="000000"/>
                <w:sz w:val="22"/>
              </w:rPr>
              <w:t>6</w:t>
            </w:r>
            <w:r>
              <w:rPr>
                <w:color w:val="000000"/>
                <w:sz w:val="22"/>
              </w:rPr>
              <w:t>.</w:t>
            </w:r>
            <w:r w:rsidR="007C75A8">
              <w:rPr>
                <w:color w:val="000000"/>
                <w:sz w:val="22"/>
              </w:rPr>
              <w:t>00</w:t>
            </w:r>
            <w:r>
              <w:rPr>
                <w:color w:val="000000"/>
                <w:sz w:val="22"/>
              </w:rPr>
              <w:t xml:space="preserve"> </w:t>
            </w:r>
          </w:p>
        </w:tc>
        <w:tc>
          <w:tcPr>
            <w:tcW w:w="1980" w:type="dxa"/>
            <w:vAlign w:val="center"/>
          </w:tcPr>
          <w:p w14:paraId="7F86CFF2" w14:textId="7F69E3EE" w:rsidR="002212DB" w:rsidRPr="00D27F91" w:rsidRDefault="002212DB">
            <w:pPr>
              <w:spacing w:before="100" w:beforeAutospacing="1" w:after="100" w:afterAutospacing="1"/>
              <w:jc w:val="right"/>
              <w:rPr>
                <w:color w:val="000000"/>
                <w:sz w:val="22"/>
              </w:rPr>
            </w:pPr>
            <w:r>
              <w:rPr>
                <w:color w:val="000000"/>
                <w:sz w:val="22"/>
              </w:rPr>
              <w:t>$</w:t>
            </w:r>
            <w:r w:rsidR="007C75A8">
              <w:rPr>
                <w:color w:val="000000"/>
                <w:sz w:val="22"/>
              </w:rPr>
              <w:t>125,918.00</w:t>
            </w:r>
            <w:r>
              <w:rPr>
                <w:color w:val="000000"/>
                <w:sz w:val="22"/>
              </w:rPr>
              <w:t xml:space="preserve"> </w:t>
            </w:r>
          </w:p>
        </w:tc>
      </w:tr>
      <w:tr w:rsidR="002212DB" w:rsidRPr="00D27F91" w14:paraId="3EF59FCA" w14:textId="77777777" w:rsidTr="00632D30">
        <w:trPr>
          <w:trHeight w:val="440"/>
        </w:trPr>
        <w:tc>
          <w:tcPr>
            <w:tcW w:w="3150" w:type="dxa"/>
          </w:tcPr>
          <w:p w14:paraId="642DB20E" w14:textId="77777777" w:rsidR="002212DB" w:rsidRPr="00D27F91" w:rsidRDefault="002212DB" w:rsidP="002212DB">
            <w:pPr>
              <w:tabs>
                <w:tab w:val="num" w:pos="1080"/>
              </w:tabs>
              <w:rPr>
                <w:b/>
                <w:bCs/>
                <w:sz w:val="22"/>
              </w:rPr>
            </w:pPr>
            <w:r w:rsidRPr="00D27F91">
              <w:rPr>
                <w:b/>
                <w:bCs/>
                <w:sz w:val="22"/>
              </w:rPr>
              <w:t xml:space="preserve">Adult Parent or Caregiver </w:t>
            </w:r>
          </w:p>
          <w:p w14:paraId="4814B49A" w14:textId="77777777" w:rsidR="002212DB" w:rsidRPr="00D27F91" w:rsidRDefault="002212DB" w:rsidP="002212DB">
            <w:pPr>
              <w:tabs>
                <w:tab w:val="num" w:pos="1080"/>
              </w:tabs>
              <w:rPr>
                <w:b/>
                <w:bCs/>
                <w:sz w:val="22"/>
              </w:rPr>
            </w:pPr>
            <w:r w:rsidRPr="00D27F91">
              <w:rPr>
                <w:b/>
                <w:bCs/>
                <w:sz w:val="22"/>
              </w:rPr>
              <w:t>(0-5 Topical Instrument)</w:t>
            </w:r>
          </w:p>
        </w:tc>
        <w:tc>
          <w:tcPr>
            <w:tcW w:w="1890" w:type="dxa"/>
            <w:vAlign w:val="center"/>
          </w:tcPr>
          <w:p w14:paraId="5D6158E7" w14:textId="76A66A4D" w:rsidR="002212DB" w:rsidRPr="00D27F91" w:rsidRDefault="002212DB" w:rsidP="00CA24B9">
            <w:pPr>
              <w:jc w:val="right"/>
              <w:rPr>
                <w:color w:val="000000"/>
                <w:sz w:val="22"/>
              </w:rPr>
            </w:pPr>
            <w:r>
              <w:rPr>
                <w:color w:val="000000"/>
                <w:sz w:val="22"/>
                <w:szCs w:val="22"/>
              </w:rPr>
              <w:t>3,910</w:t>
            </w:r>
          </w:p>
        </w:tc>
        <w:tc>
          <w:tcPr>
            <w:tcW w:w="1800" w:type="dxa"/>
            <w:vAlign w:val="center"/>
          </w:tcPr>
          <w:p w14:paraId="7A9C7167" w14:textId="5AF1EDAA" w:rsidR="002212DB" w:rsidRPr="00D27F91" w:rsidRDefault="007C75A8" w:rsidP="002212DB">
            <w:pPr>
              <w:jc w:val="right"/>
              <w:rPr>
                <w:sz w:val="22"/>
              </w:rPr>
            </w:pPr>
            <w:r>
              <w:rPr>
                <w:color w:val="000000"/>
                <w:sz w:val="22"/>
              </w:rPr>
              <w:t>$26.00</w:t>
            </w:r>
          </w:p>
        </w:tc>
        <w:tc>
          <w:tcPr>
            <w:tcW w:w="1980" w:type="dxa"/>
            <w:vAlign w:val="center"/>
          </w:tcPr>
          <w:p w14:paraId="5EB7744D" w14:textId="2519A63D" w:rsidR="002212DB" w:rsidRPr="00D27F91" w:rsidRDefault="002212DB">
            <w:pPr>
              <w:jc w:val="right"/>
              <w:rPr>
                <w:color w:val="000000"/>
                <w:sz w:val="22"/>
              </w:rPr>
            </w:pPr>
            <w:r>
              <w:rPr>
                <w:color w:val="000000"/>
                <w:sz w:val="22"/>
              </w:rPr>
              <w:t>$</w:t>
            </w:r>
            <w:r w:rsidR="007C75A8">
              <w:rPr>
                <w:color w:val="000000"/>
                <w:sz w:val="22"/>
              </w:rPr>
              <w:t>101,660.00</w:t>
            </w:r>
            <w:r>
              <w:rPr>
                <w:color w:val="000000"/>
                <w:sz w:val="22"/>
              </w:rPr>
              <w:t xml:space="preserve"> </w:t>
            </w:r>
          </w:p>
        </w:tc>
      </w:tr>
      <w:tr w:rsidR="002212DB" w:rsidRPr="00D27F91" w14:paraId="7C72CD42" w14:textId="77777777" w:rsidTr="00632D30">
        <w:trPr>
          <w:trHeight w:val="440"/>
        </w:trPr>
        <w:tc>
          <w:tcPr>
            <w:tcW w:w="3150" w:type="dxa"/>
          </w:tcPr>
          <w:p w14:paraId="6FFFDED9" w14:textId="77777777" w:rsidR="002212DB" w:rsidRPr="00D27F91" w:rsidRDefault="002212DB" w:rsidP="002212DB">
            <w:pPr>
              <w:tabs>
                <w:tab w:val="num" w:pos="1080"/>
              </w:tabs>
              <w:rPr>
                <w:b/>
                <w:bCs/>
                <w:sz w:val="22"/>
              </w:rPr>
            </w:pPr>
            <w:r w:rsidRPr="00D27F91">
              <w:rPr>
                <w:b/>
                <w:bCs/>
                <w:sz w:val="22"/>
              </w:rPr>
              <w:t xml:space="preserve">Adult Parent or Caregiver </w:t>
            </w:r>
          </w:p>
          <w:p w14:paraId="46151C33" w14:textId="77777777" w:rsidR="002212DB" w:rsidRPr="00D27F91" w:rsidRDefault="002212DB" w:rsidP="002212DB">
            <w:pPr>
              <w:tabs>
                <w:tab w:val="num" w:pos="1080"/>
              </w:tabs>
              <w:rPr>
                <w:b/>
                <w:bCs/>
                <w:sz w:val="22"/>
              </w:rPr>
            </w:pPr>
            <w:r w:rsidRPr="00D27F91">
              <w:rPr>
                <w:b/>
                <w:bCs/>
                <w:sz w:val="22"/>
              </w:rPr>
              <w:t>(6-11 Topical Instrument)</w:t>
            </w:r>
          </w:p>
        </w:tc>
        <w:tc>
          <w:tcPr>
            <w:tcW w:w="1890" w:type="dxa"/>
            <w:vAlign w:val="center"/>
          </w:tcPr>
          <w:p w14:paraId="32E7A3A0" w14:textId="0743EEDE" w:rsidR="002212DB" w:rsidRPr="00D27F91" w:rsidRDefault="002212DB" w:rsidP="00CA24B9">
            <w:pPr>
              <w:spacing w:before="100" w:beforeAutospacing="1" w:after="100" w:afterAutospacing="1"/>
              <w:jc w:val="right"/>
              <w:rPr>
                <w:color w:val="000000"/>
                <w:sz w:val="22"/>
              </w:rPr>
            </w:pPr>
            <w:r>
              <w:rPr>
                <w:color w:val="000000"/>
                <w:sz w:val="22"/>
                <w:szCs w:val="22"/>
              </w:rPr>
              <w:t>3,910</w:t>
            </w:r>
          </w:p>
        </w:tc>
        <w:tc>
          <w:tcPr>
            <w:tcW w:w="1800" w:type="dxa"/>
            <w:vAlign w:val="center"/>
          </w:tcPr>
          <w:p w14:paraId="7B7CF575" w14:textId="0861AEE4" w:rsidR="002212DB" w:rsidRPr="00D27F91" w:rsidRDefault="007C75A8" w:rsidP="002212DB">
            <w:pPr>
              <w:jc w:val="right"/>
              <w:rPr>
                <w:sz w:val="22"/>
              </w:rPr>
            </w:pPr>
            <w:r>
              <w:rPr>
                <w:color w:val="000000"/>
                <w:sz w:val="22"/>
              </w:rPr>
              <w:t>$26.00</w:t>
            </w:r>
          </w:p>
        </w:tc>
        <w:tc>
          <w:tcPr>
            <w:tcW w:w="1980" w:type="dxa"/>
            <w:vAlign w:val="center"/>
          </w:tcPr>
          <w:p w14:paraId="03E17C86" w14:textId="303EC7B0" w:rsidR="002212DB" w:rsidRPr="00D27F91" w:rsidRDefault="007C75A8" w:rsidP="002212DB">
            <w:pPr>
              <w:spacing w:before="100" w:beforeAutospacing="1" w:after="100" w:afterAutospacing="1"/>
              <w:jc w:val="right"/>
              <w:rPr>
                <w:color w:val="000000"/>
                <w:sz w:val="22"/>
              </w:rPr>
            </w:pPr>
            <w:r>
              <w:rPr>
                <w:color w:val="000000"/>
                <w:sz w:val="22"/>
              </w:rPr>
              <w:t>$101,660.00</w:t>
            </w:r>
            <w:r w:rsidR="002212DB">
              <w:rPr>
                <w:color w:val="000000"/>
                <w:sz w:val="22"/>
              </w:rPr>
              <w:t xml:space="preserve"> </w:t>
            </w:r>
          </w:p>
        </w:tc>
      </w:tr>
      <w:tr w:rsidR="002212DB" w:rsidRPr="00D27F91" w14:paraId="09FEE0AF" w14:textId="77777777" w:rsidTr="00632D30">
        <w:trPr>
          <w:trHeight w:val="440"/>
        </w:trPr>
        <w:tc>
          <w:tcPr>
            <w:tcW w:w="3150" w:type="dxa"/>
          </w:tcPr>
          <w:p w14:paraId="5B39601A" w14:textId="77777777" w:rsidR="002212DB" w:rsidRPr="00D27F91" w:rsidRDefault="002212DB" w:rsidP="002212DB">
            <w:pPr>
              <w:rPr>
                <w:b/>
                <w:bCs/>
                <w:sz w:val="22"/>
              </w:rPr>
            </w:pPr>
            <w:r w:rsidRPr="00D27F91">
              <w:rPr>
                <w:b/>
                <w:bCs/>
                <w:sz w:val="22"/>
              </w:rPr>
              <w:t xml:space="preserve">Adult Parent or Caregiver </w:t>
            </w:r>
          </w:p>
          <w:p w14:paraId="43289A7D" w14:textId="77777777" w:rsidR="002212DB" w:rsidRPr="00D27F91" w:rsidRDefault="002212DB" w:rsidP="002212DB">
            <w:pPr>
              <w:rPr>
                <w:sz w:val="22"/>
              </w:rPr>
            </w:pPr>
            <w:r w:rsidRPr="00D27F91">
              <w:rPr>
                <w:b/>
                <w:bCs/>
                <w:sz w:val="22"/>
              </w:rPr>
              <w:t>(12-17 Topical Instrument)</w:t>
            </w:r>
          </w:p>
        </w:tc>
        <w:tc>
          <w:tcPr>
            <w:tcW w:w="1890" w:type="dxa"/>
            <w:vAlign w:val="center"/>
          </w:tcPr>
          <w:p w14:paraId="07BB8D79" w14:textId="1AA21563" w:rsidR="002212DB" w:rsidRPr="00D27F91" w:rsidRDefault="002212DB" w:rsidP="00CA24B9">
            <w:pPr>
              <w:spacing w:before="100" w:beforeAutospacing="1" w:after="100" w:afterAutospacing="1"/>
              <w:jc w:val="right"/>
              <w:rPr>
                <w:color w:val="000000"/>
                <w:sz w:val="22"/>
              </w:rPr>
            </w:pPr>
            <w:r>
              <w:rPr>
                <w:color w:val="000000"/>
                <w:sz w:val="22"/>
                <w:szCs w:val="22"/>
              </w:rPr>
              <w:t>3,910</w:t>
            </w:r>
          </w:p>
        </w:tc>
        <w:tc>
          <w:tcPr>
            <w:tcW w:w="1800" w:type="dxa"/>
            <w:vAlign w:val="center"/>
          </w:tcPr>
          <w:p w14:paraId="412F0930" w14:textId="3D9E5D42" w:rsidR="002212DB" w:rsidRPr="00D27F91" w:rsidRDefault="007C75A8" w:rsidP="002212DB">
            <w:pPr>
              <w:jc w:val="right"/>
              <w:rPr>
                <w:sz w:val="22"/>
              </w:rPr>
            </w:pPr>
            <w:r>
              <w:rPr>
                <w:color w:val="000000"/>
                <w:sz w:val="22"/>
              </w:rPr>
              <w:t>$26.00</w:t>
            </w:r>
          </w:p>
        </w:tc>
        <w:tc>
          <w:tcPr>
            <w:tcW w:w="1980" w:type="dxa"/>
            <w:vAlign w:val="center"/>
          </w:tcPr>
          <w:p w14:paraId="4480530D" w14:textId="0CEE47A8" w:rsidR="002212DB" w:rsidRPr="00D27F91" w:rsidRDefault="007C75A8" w:rsidP="002212DB">
            <w:pPr>
              <w:spacing w:before="100" w:beforeAutospacing="1" w:after="100" w:afterAutospacing="1"/>
              <w:jc w:val="right"/>
              <w:rPr>
                <w:color w:val="000000"/>
                <w:sz w:val="22"/>
              </w:rPr>
            </w:pPr>
            <w:r>
              <w:rPr>
                <w:color w:val="000000"/>
                <w:sz w:val="22"/>
              </w:rPr>
              <w:t>$101,660.00</w:t>
            </w:r>
            <w:r w:rsidR="002212DB">
              <w:rPr>
                <w:color w:val="000000"/>
                <w:sz w:val="22"/>
              </w:rPr>
              <w:t xml:space="preserve"> </w:t>
            </w:r>
          </w:p>
        </w:tc>
      </w:tr>
      <w:tr w:rsidR="002212DB" w:rsidRPr="00D27F91" w14:paraId="307754F8" w14:textId="77777777" w:rsidTr="00632D30">
        <w:trPr>
          <w:trHeight w:val="287"/>
        </w:trPr>
        <w:tc>
          <w:tcPr>
            <w:tcW w:w="3150" w:type="dxa"/>
          </w:tcPr>
          <w:p w14:paraId="11FE4D94" w14:textId="77777777" w:rsidR="002212DB" w:rsidRPr="00D27F91" w:rsidRDefault="002212DB" w:rsidP="002212DB">
            <w:pPr>
              <w:tabs>
                <w:tab w:val="num" w:pos="1080"/>
              </w:tabs>
              <w:spacing w:before="100" w:beforeAutospacing="1" w:after="100" w:afterAutospacing="1"/>
              <w:rPr>
                <w:b/>
                <w:bCs/>
                <w:sz w:val="22"/>
              </w:rPr>
            </w:pPr>
            <w:r w:rsidRPr="00D27F91">
              <w:rPr>
                <w:b/>
                <w:bCs/>
                <w:sz w:val="22"/>
              </w:rPr>
              <w:t>Total</w:t>
            </w:r>
          </w:p>
        </w:tc>
        <w:tc>
          <w:tcPr>
            <w:tcW w:w="1890" w:type="dxa"/>
            <w:vAlign w:val="center"/>
          </w:tcPr>
          <w:p w14:paraId="63F2DC7D" w14:textId="2C53F6A9" w:rsidR="002212DB" w:rsidRPr="00D27F91" w:rsidRDefault="002212DB" w:rsidP="00CA24B9">
            <w:pPr>
              <w:spacing w:before="100" w:beforeAutospacing="1" w:after="100" w:afterAutospacing="1"/>
              <w:jc w:val="right"/>
              <w:rPr>
                <w:b/>
                <w:sz w:val="22"/>
              </w:rPr>
            </w:pPr>
            <w:r>
              <w:rPr>
                <w:b/>
                <w:bCs/>
                <w:sz w:val="22"/>
                <w:szCs w:val="22"/>
              </w:rPr>
              <w:t>16,573</w:t>
            </w:r>
          </w:p>
        </w:tc>
        <w:tc>
          <w:tcPr>
            <w:tcW w:w="1800" w:type="dxa"/>
            <w:vAlign w:val="center"/>
          </w:tcPr>
          <w:p w14:paraId="77018A50" w14:textId="24ED1112" w:rsidR="002212DB" w:rsidRPr="00D27F91" w:rsidRDefault="002212DB" w:rsidP="002212DB">
            <w:pPr>
              <w:spacing w:before="100" w:beforeAutospacing="1" w:after="100" w:afterAutospacing="1"/>
              <w:jc w:val="right"/>
              <w:rPr>
                <w:b/>
                <w:sz w:val="22"/>
              </w:rPr>
            </w:pPr>
            <w:r>
              <w:rPr>
                <w:b/>
                <w:bCs/>
                <w:color w:val="000000"/>
                <w:sz w:val="22"/>
              </w:rPr>
              <w:t> </w:t>
            </w:r>
          </w:p>
        </w:tc>
        <w:tc>
          <w:tcPr>
            <w:tcW w:w="1980" w:type="dxa"/>
            <w:vAlign w:val="center"/>
          </w:tcPr>
          <w:p w14:paraId="11241647" w14:textId="0F999C20" w:rsidR="002212DB" w:rsidRPr="00D27F91" w:rsidRDefault="002212DB">
            <w:pPr>
              <w:spacing w:before="100" w:beforeAutospacing="1" w:after="100" w:afterAutospacing="1"/>
              <w:jc w:val="right"/>
              <w:rPr>
                <w:b/>
                <w:color w:val="000000"/>
                <w:sz w:val="22"/>
              </w:rPr>
            </w:pPr>
            <w:r>
              <w:rPr>
                <w:b/>
                <w:bCs/>
                <w:color w:val="000000"/>
                <w:sz w:val="22"/>
              </w:rPr>
              <w:t>$</w:t>
            </w:r>
            <w:r w:rsidR="007C75A8">
              <w:rPr>
                <w:b/>
                <w:bCs/>
                <w:color w:val="000000"/>
                <w:sz w:val="22"/>
              </w:rPr>
              <w:t>430,898.00</w:t>
            </w:r>
            <w:r>
              <w:rPr>
                <w:b/>
                <w:bCs/>
                <w:color w:val="000000"/>
                <w:sz w:val="22"/>
              </w:rPr>
              <w:t xml:space="preserve"> </w:t>
            </w:r>
          </w:p>
        </w:tc>
      </w:tr>
    </w:tbl>
    <w:p w14:paraId="091DF063" w14:textId="77777777" w:rsidR="009B3794" w:rsidRPr="004F0887" w:rsidRDefault="009B3794" w:rsidP="00726ABF">
      <w:pPr>
        <w:numPr>
          <w:ilvl w:val="0"/>
          <w:numId w:val="1"/>
        </w:numPr>
        <w:tabs>
          <w:tab w:val="clear" w:pos="1080"/>
          <w:tab w:val="num" w:pos="360"/>
        </w:tabs>
        <w:spacing w:before="240"/>
        <w:ind w:left="360"/>
        <w:rPr>
          <w:b/>
          <w:sz w:val="24"/>
        </w:rPr>
      </w:pPr>
      <w:r w:rsidRPr="004F0887">
        <w:rPr>
          <w:b/>
          <w:sz w:val="24"/>
        </w:rPr>
        <w:t xml:space="preserve">Estimates of </w:t>
      </w:r>
      <w:r w:rsidR="00DC7841" w:rsidRPr="004F0887">
        <w:rPr>
          <w:b/>
          <w:sz w:val="24"/>
        </w:rPr>
        <w:t>O</w:t>
      </w:r>
      <w:r w:rsidRPr="004F0887">
        <w:rPr>
          <w:b/>
          <w:sz w:val="24"/>
        </w:rPr>
        <w:t xml:space="preserve">ther Total Annual Cost Burden to Respondents </w:t>
      </w:r>
    </w:p>
    <w:p w14:paraId="091DF064" w14:textId="77777777" w:rsidR="00E57405" w:rsidRPr="00465323" w:rsidRDefault="00E57405" w:rsidP="001214D3">
      <w:pPr>
        <w:pStyle w:val="BodyTextIndent"/>
        <w:spacing w:before="120"/>
        <w:ind w:left="0"/>
        <w:rPr>
          <w:rFonts w:ascii="Times New Roman" w:hAnsi="Times New Roman"/>
        </w:rPr>
      </w:pPr>
      <w:r>
        <w:rPr>
          <w:rFonts w:ascii="Times New Roman" w:hAnsi="Times New Roman"/>
        </w:rPr>
        <w:t xml:space="preserve">There are no direct costs to respondents other than their time to participate in the study. </w:t>
      </w:r>
    </w:p>
    <w:p w14:paraId="091DF065" w14:textId="77777777" w:rsidR="009B3794" w:rsidRPr="004F0887" w:rsidRDefault="009B3794" w:rsidP="00726ABF">
      <w:pPr>
        <w:numPr>
          <w:ilvl w:val="0"/>
          <w:numId w:val="1"/>
        </w:numPr>
        <w:tabs>
          <w:tab w:val="clear" w:pos="1080"/>
          <w:tab w:val="num" w:pos="360"/>
        </w:tabs>
        <w:spacing w:before="240"/>
        <w:ind w:left="360"/>
        <w:rPr>
          <w:b/>
          <w:sz w:val="24"/>
        </w:rPr>
      </w:pPr>
      <w:r w:rsidRPr="004F0887">
        <w:rPr>
          <w:b/>
          <w:sz w:val="24"/>
        </w:rPr>
        <w:t xml:space="preserve">Annualized Cost to </w:t>
      </w:r>
      <w:r w:rsidR="00FB5CCB" w:rsidRPr="004F0887">
        <w:rPr>
          <w:b/>
          <w:sz w:val="24"/>
        </w:rPr>
        <w:t xml:space="preserve">the </w:t>
      </w:r>
      <w:r w:rsidRPr="004F0887">
        <w:rPr>
          <w:b/>
          <w:sz w:val="24"/>
        </w:rPr>
        <w:t>Federal Government</w:t>
      </w:r>
    </w:p>
    <w:p w14:paraId="091DF066" w14:textId="127AD3A7" w:rsidR="00827FD3" w:rsidRPr="0083214E" w:rsidRDefault="001214D3" w:rsidP="0083214E">
      <w:pPr>
        <w:spacing w:before="120" w:after="120"/>
        <w:rPr>
          <w:sz w:val="24"/>
        </w:rPr>
      </w:pPr>
      <w:r>
        <w:rPr>
          <w:sz w:val="24"/>
        </w:rPr>
        <w:t xml:space="preserve">Costs for this survey are estimated at </w:t>
      </w:r>
      <w:r w:rsidR="00AD67A8">
        <w:rPr>
          <w:sz w:val="24"/>
        </w:rPr>
        <w:t>$</w:t>
      </w:r>
      <w:r w:rsidR="00387EE1">
        <w:rPr>
          <w:sz w:val="24"/>
        </w:rPr>
        <w:t>4,925,000</w:t>
      </w:r>
      <w:r w:rsidR="0079754F">
        <w:rPr>
          <w:sz w:val="24"/>
        </w:rPr>
        <w:t>.</w:t>
      </w:r>
      <w:r w:rsidR="00827FD3">
        <w:rPr>
          <w:sz w:val="24"/>
        </w:rPr>
        <w:t xml:space="preserve"> This includes all direct and indirect costs of the design, data collection, analysis, and reporting phases of the </w:t>
      </w:r>
      <w:r w:rsidR="00DF0402">
        <w:rPr>
          <w:sz w:val="24"/>
        </w:rPr>
        <w:t>survey</w:t>
      </w:r>
      <w:r w:rsidR="00827FD3">
        <w:rPr>
          <w:sz w:val="24"/>
        </w:rPr>
        <w:t xml:space="preserve">, as well as delivery of the data sets to </w:t>
      </w:r>
      <w:r w:rsidR="008D6E6D">
        <w:rPr>
          <w:sz w:val="24"/>
        </w:rPr>
        <w:t xml:space="preserve">HRSA </w:t>
      </w:r>
      <w:r w:rsidR="00827FD3">
        <w:rPr>
          <w:sz w:val="24"/>
        </w:rPr>
        <w:t>MCHB.</w:t>
      </w:r>
    </w:p>
    <w:p w14:paraId="091DF067" w14:textId="77777777" w:rsidR="009B3794" w:rsidRPr="004F0887" w:rsidRDefault="009B3794" w:rsidP="00726ABF">
      <w:pPr>
        <w:numPr>
          <w:ilvl w:val="0"/>
          <w:numId w:val="1"/>
        </w:numPr>
        <w:tabs>
          <w:tab w:val="clear" w:pos="1080"/>
          <w:tab w:val="num" w:pos="360"/>
        </w:tabs>
        <w:spacing w:before="240"/>
        <w:ind w:left="360"/>
        <w:rPr>
          <w:b/>
          <w:sz w:val="24"/>
        </w:rPr>
      </w:pPr>
      <w:r w:rsidRPr="004F0887">
        <w:rPr>
          <w:b/>
          <w:sz w:val="24"/>
        </w:rPr>
        <w:t>Explanation for Program Changes or Adjustments</w:t>
      </w:r>
    </w:p>
    <w:p w14:paraId="091DF068" w14:textId="65E1E204" w:rsidR="00827FD3" w:rsidRDefault="00E57405" w:rsidP="00A772C9">
      <w:pPr>
        <w:pStyle w:val="BodyTextIndent"/>
        <w:spacing w:before="120"/>
        <w:ind w:left="0"/>
        <w:rPr>
          <w:rFonts w:ascii="Times New Roman" w:hAnsi="Times New Roman"/>
        </w:rPr>
      </w:pPr>
      <w:r>
        <w:rPr>
          <w:rFonts w:ascii="Times New Roman" w:hAnsi="Times New Roman"/>
        </w:rPr>
        <w:t xml:space="preserve">This is a </w:t>
      </w:r>
      <w:r w:rsidR="00387EE1">
        <w:rPr>
          <w:rFonts w:ascii="Times New Roman" w:hAnsi="Times New Roman"/>
        </w:rPr>
        <w:t>revision to a prior</w:t>
      </w:r>
      <w:r>
        <w:rPr>
          <w:rFonts w:ascii="Times New Roman" w:hAnsi="Times New Roman"/>
        </w:rPr>
        <w:t xml:space="preserve"> information collection.</w:t>
      </w:r>
      <w:r w:rsidR="00D35A64">
        <w:rPr>
          <w:rFonts w:ascii="Times New Roman" w:hAnsi="Times New Roman"/>
        </w:rPr>
        <w:t xml:space="preserve"> The main difference between the 2016 NSCH and the 2017 NSCH is th</w:t>
      </w:r>
      <w:r w:rsidR="004C57C9">
        <w:rPr>
          <w:rFonts w:ascii="Times New Roman" w:hAnsi="Times New Roman"/>
        </w:rPr>
        <w:t>e decrease in sample size due to a reduction in the allotted budget for this survey collection. There are minimal changes to the content of the questionnaires, so the individual household burden hours remain the same, but total burden hours for the survey administration are reduced because of the decreased number of household addresses in the sample.</w:t>
      </w:r>
    </w:p>
    <w:p w14:paraId="091DF069" w14:textId="77777777" w:rsidR="009322F6" w:rsidRPr="004F0887" w:rsidRDefault="009B3794" w:rsidP="00726ABF">
      <w:pPr>
        <w:numPr>
          <w:ilvl w:val="0"/>
          <w:numId w:val="1"/>
        </w:numPr>
        <w:tabs>
          <w:tab w:val="clear" w:pos="1080"/>
          <w:tab w:val="num" w:pos="360"/>
        </w:tabs>
        <w:spacing w:before="240"/>
        <w:ind w:left="360"/>
        <w:rPr>
          <w:b/>
          <w:sz w:val="24"/>
        </w:rPr>
      </w:pPr>
      <w:r w:rsidRPr="004F0887">
        <w:rPr>
          <w:b/>
          <w:sz w:val="24"/>
        </w:rPr>
        <w:t>Plans for Tabulation</w:t>
      </w:r>
      <w:r w:rsidR="002118B4" w:rsidRPr="004F0887">
        <w:rPr>
          <w:b/>
          <w:sz w:val="24"/>
        </w:rPr>
        <w:t xml:space="preserve">, </w:t>
      </w:r>
      <w:r w:rsidRPr="004F0887">
        <w:rPr>
          <w:b/>
          <w:sz w:val="24"/>
        </w:rPr>
        <w:t>Publication</w:t>
      </w:r>
      <w:r w:rsidR="002118B4" w:rsidRPr="004F0887">
        <w:rPr>
          <w:b/>
          <w:sz w:val="24"/>
        </w:rPr>
        <w:t>,</w:t>
      </w:r>
      <w:r w:rsidRPr="004F0887">
        <w:rPr>
          <w:b/>
          <w:sz w:val="24"/>
        </w:rPr>
        <w:t xml:space="preserve"> and Project Time Schedule</w:t>
      </w:r>
    </w:p>
    <w:p w14:paraId="0C42EF4F" w14:textId="36C71C64" w:rsidR="00086D6D" w:rsidRDefault="00086D6D" w:rsidP="00AC5655">
      <w:pPr>
        <w:spacing w:before="240"/>
        <w:rPr>
          <w:sz w:val="24"/>
        </w:rPr>
      </w:pPr>
      <w:r>
        <w:rPr>
          <w:sz w:val="24"/>
        </w:rPr>
        <w:t>The following is a project time schedule for the 2017 NSCH:</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7470"/>
      </w:tblGrid>
      <w:tr w:rsidR="00086D6D" w:rsidRPr="00E96B0E" w14:paraId="061E697F" w14:textId="77777777" w:rsidTr="006D7596">
        <w:trPr>
          <w:trHeight w:val="548"/>
        </w:trPr>
        <w:tc>
          <w:tcPr>
            <w:tcW w:w="9378" w:type="dxa"/>
            <w:gridSpan w:val="2"/>
            <w:shd w:val="clear" w:color="auto" w:fill="BFBFBF" w:themeFill="background1" w:themeFillShade="BF"/>
            <w:vAlign w:val="center"/>
          </w:tcPr>
          <w:p w14:paraId="0A1FEEF2" w14:textId="767FC4A0" w:rsidR="00086D6D" w:rsidRPr="00B66EBB" w:rsidRDefault="008619BE" w:rsidP="00086D6D">
            <w:pPr>
              <w:tabs>
                <w:tab w:val="left" w:pos="360"/>
              </w:tabs>
              <w:jc w:val="center"/>
              <w:rPr>
                <w:b/>
              </w:rPr>
            </w:pPr>
            <w:r>
              <w:rPr>
                <w:b/>
              </w:rPr>
              <w:t>2017 NSCH Project Time Schedule and Deliverables</w:t>
            </w:r>
          </w:p>
        </w:tc>
      </w:tr>
      <w:tr w:rsidR="00086D6D" w:rsidRPr="00E96B0E" w14:paraId="68273402" w14:textId="77777777" w:rsidTr="006D7596">
        <w:tc>
          <w:tcPr>
            <w:tcW w:w="1908" w:type="dxa"/>
            <w:shd w:val="clear" w:color="auto" w:fill="auto"/>
          </w:tcPr>
          <w:p w14:paraId="57C1EDB9" w14:textId="346C0660" w:rsidR="00086D6D" w:rsidRPr="00E96B0E" w:rsidRDefault="008619BE" w:rsidP="0019309E">
            <w:pPr>
              <w:tabs>
                <w:tab w:val="left" w:pos="360"/>
              </w:tabs>
              <w:jc w:val="center"/>
            </w:pPr>
            <w:r>
              <w:t>07/</w:t>
            </w:r>
            <w:r w:rsidR="0019309E">
              <w:t>19/17</w:t>
            </w:r>
          </w:p>
        </w:tc>
        <w:tc>
          <w:tcPr>
            <w:tcW w:w="7470" w:type="dxa"/>
            <w:shd w:val="clear" w:color="auto" w:fill="auto"/>
          </w:tcPr>
          <w:p w14:paraId="45C9C213" w14:textId="24A28E01" w:rsidR="00086D6D" w:rsidRPr="00E96B0E" w:rsidRDefault="0019309E" w:rsidP="00086D6D">
            <w:pPr>
              <w:tabs>
                <w:tab w:val="left" w:pos="360"/>
              </w:tabs>
            </w:pPr>
            <w:r>
              <w:t>Initial mailout of all treatment gro</w:t>
            </w:r>
            <w:r w:rsidR="009A5EF1">
              <w:t>up survey invites (High &amp; Low Paper</w:t>
            </w:r>
            <w:r>
              <w:t>)</w:t>
            </w:r>
          </w:p>
        </w:tc>
      </w:tr>
      <w:tr w:rsidR="00086D6D" w:rsidRPr="00E96B0E" w14:paraId="0269EEFC" w14:textId="77777777" w:rsidTr="006D7596">
        <w:tc>
          <w:tcPr>
            <w:tcW w:w="1908" w:type="dxa"/>
            <w:shd w:val="clear" w:color="auto" w:fill="auto"/>
          </w:tcPr>
          <w:p w14:paraId="43031A27" w14:textId="58DDA410" w:rsidR="00086D6D" w:rsidRPr="00E96B0E" w:rsidRDefault="0019309E" w:rsidP="00086D6D">
            <w:pPr>
              <w:jc w:val="center"/>
            </w:pPr>
            <w:r>
              <w:t>07/24/17</w:t>
            </w:r>
          </w:p>
        </w:tc>
        <w:tc>
          <w:tcPr>
            <w:tcW w:w="7470" w:type="dxa"/>
            <w:shd w:val="clear" w:color="auto" w:fill="auto"/>
          </w:tcPr>
          <w:p w14:paraId="690F1372" w14:textId="7C6E1B72" w:rsidR="00086D6D" w:rsidRPr="00E96B0E" w:rsidRDefault="0019309E" w:rsidP="00086D6D">
            <w:pPr>
              <w:tabs>
                <w:tab w:val="left" w:pos="360"/>
              </w:tabs>
            </w:pPr>
            <w:r>
              <w:t>Pressure-sealed postcard reminder (containing Web login information)</w:t>
            </w:r>
          </w:p>
        </w:tc>
      </w:tr>
      <w:tr w:rsidR="00086D6D" w:rsidRPr="00E96B0E" w14:paraId="7593ACC8" w14:textId="77777777" w:rsidTr="006D7596">
        <w:tc>
          <w:tcPr>
            <w:tcW w:w="1908" w:type="dxa"/>
            <w:shd w:val="clear" w:color="auto" w:fill="auto"/>
          </w:tcPr>
          <w:p w14:paraId="3501E29C" w14:textId="722571EE" w:rsidR="00086D6D" w:rsidRPr="00E96B0E" w:rsidRDefault="009A5EF1" w:rsidP="00086D6D">
            <w:pPr>
              <w:jc w:val="center"/>
            </w:pPr>
            <w:r>
              <w:t>0</w:t>
            </w:r>
            <w:r w:rsidR="0019309E">
              <w:t>8/23/17</w:t>
            </w:r>
          </w:p>
        </w:tc>
        <w:tc>
          <w:tcPr>
            <w:tcW w:w="7470" w:type="dxa"/>
            <w:shd w:val="clear" w:color="auto" w:fill="auto"/>
          </w:tcPr>
          <w:p w14:paraId="245F42D5" w14:textId="032CFCE2" w:rsidR="00086D6D" w:rsidRPr="00E96B0E" w:rsidRDefault="009A5EF1" w:rsidP="00086D6D">
            <w:pPr>
              <w:tabs>
                <w:tab w:val="left" w:pos="360"/>
              </w:tabs>
            </w:pPr>
            <w:r>
              <w:t>Low paper first follow-up mailing (Web invite only)</w:t>
            </w:r>
          </w:p>
        </w:tc>
      </w:tr>
      <w:tr w:rsidR="00086D6D" w:rsidRPr="00E96B0E" w14:paraId="1F46A5D1" w14:textId="77777777" w:rsidTr="006D7596">
        <w:tc>
          <w:tcPr>
            <w:tcW w:w="1908" w:type="dxa"/>
            <w:shd w:val="clear" w:color="auto" w:fill="auto"/>
          </w:tcPr>
          <w:p w14:paraId="3D5878D5" w14:textId="576BA2BF" w:rsidR="00086D6D" w:rsidRPr="00E96B0E" w:rsidRDefault="00086D6D" w:rsidP="00086D6D">
            <w:pPr>
              <w:jc w:val="center"/>
            </w:pPr>
            <w:r>
              <w:t>0</w:t>
            </w:r>
            <w:r w:rsidR="009A5EF1">
              <w:t>8/30/17</w:t>
            </w:r>
          </w:p>
        </w:tc>
        <w:tc>
          <w:tcPr>
            <w:tcW w:w="7470" w:type="dxa"/>
            <w:shd w:val="clear" w:color="auto" w:fill="auto"/>
          </w:tcPr>
          <w:p w14:paraId="062046BE" w14:textId="62008FBF" w:rsidR="00086D6D" w:rsidRPr="00E96B0E" w:rsidRDefault="009A5EF1" w:rsidP="00086D6D">
            <w:pPr>
              <w:tabs>
                <w:tab w:val="left" w:pos="360"/>
              </w:tabs>
            </w:pPr>
            <w:r>
              <w:t>High paper first follow-up mailing (Web invite &amp; paper questionnaire)</w:t>
            </w:r>
          </w:p>
        </w:tc>
      </w:tr>
      <w:tr w:rsidR="00D711B7" w:rsidRPr="00E96B0E" w14:paraId="62807460" w14:textId="77777777" w:rsidTr="006D7596">
        <w:tc>
          <w:tcPr>
            <w:tcW w:w="1908" w:type="dxa"/>
            <w:shd w:val="clear" w:color="auto" w:fill="auto"/>
          </w:tcPr>
          <w:p w14:paraId="7453FEA4" w14:textId="28EDBAD5" w:rsidR="00D711B7" w:rsidRPr="00E96B0E" w:rsidRDefault="00D711B7" w:rsidP="00D711B7">
            <w:pPr>
              <w:jc w:val="center"/>
            </w:pPr>
            <w:r>
              <w:t>09/20/17</w:t>
            </w:r>
          </w:p>
        </w:tc>
        <w:tc>
          <w:tcPr>
            <w:tcW w:w="7470" w:type="dxa"/>
            <w:shd w:val="clear" w:color="auto" w:fill="auto"/>
          </w:tcPr>
          <w:p w14:paraId="0A00F9EB" w14:textId="7A2959BF" w:rsidR="00D711B7" w:rsidRPr="00E96B0E" w:rsidRDefault="00D711B7" w:rsidP="00D711B7">
            <w:pPr>
              <w:tabs>
                <w:tab w:val="left" w:pos="360"/>
              </w:tabs>
            </w:pPr>
            <w:r>
              <w:t>Low paper second follow-up mailing (Web invite &amp; paper questionnaire)</w:t>
            </w:r>
          </w:p>
        </w:tc>
      </w:tr>
      <w:tr w:rsidR="00D711B7" w:rsidRPr="00E96B0E" w14:paraId="7ED01327" w14:textId="77777777" w:rsidTr="006D7596">
        <w:tc>
          <w:tcPr>
            <w:tcW w:w="1908" w:type="dxa"/>
            <w:shd w:val="clear" w:color="auto" w:fill="auto"/>
          </w:tcPr>
          <w:p w14:paraId="74FD7611" w14:textId="3414D35B" w:rsidR="00D711B7" w:rsidRPr="00E96B0E" w:rsidRDefault="001607D3" w:rsidP="001607D3">
            <w:pPr>
              <w:jc w:val="center"/>
            </w:pPr>
            <w:r>
              <w:t>10/04</w:t>
            </w:r>
            <w:r w:rsidR="00D711B7">
              <w:t>/17</w:t>
            </w:r>
          </w:p>
        </w:tc>
        <w:tc>
          <w:tcPr>
            <w:tcW w:w="7470" w:type="dxa"/>
            <w:shd w:val="clear" w:color="auto" w:fill="auto"/>
          </w:tcPr>
          <w:p w14:paraId="097C40D6" w14:textId="3A602DB6" w:rsidR="00D711B7" w:rsidRPr="00E96B0E" w:rsidRDefault="00D711B7" w:rsidP="00D711B7">
            <w:pPr>
              <w:tabs>
                <w:tab w:val="left" w:pos="360"/>
              </w:tabs>
            </w:pPr>
            <w:r>
              <w:t>High pape</w:t>
            </w:r>
            <w:r w:rsidR="001607D3">
              <w:t>r second</w:t>
            </w:r>
            <w:r>
              <w:t xml:space="preserve"> follow-up mailing (Web invite &amp; paper questionnaire)</w:t>
            </w:r>
          </w:p>
        </w:tc>
      </w:tr>
      <w:tr w:rsidR="00D711B7" w:rsidRPr="00E96B0E" w14:paraId="66228672" w14:textId="77777777" w:rsidTr="006D7596">
        <w:tc>
          <w:tcPr>
            <w:tcW w:w="1908" w:type="dxa"/>
            <w:shd w:val="clear" w:color="auto" w:fill="auto"/>
          </w:tcPr>
          <w:p w14:paraId="0F7BAEF7" w14:textId="05C0CE97" w:rsidR="00D711B7" w:rsidRDefault="001607D3" w:rsidP="00D711B7">
            <w:pPr>
              <w:jc w:val="center"/>
            </w:pPr>
            <w:r>
              <w:t>10/25/17</w:t>
            </w:r>
          </w:p>
        </w:tc>
        <w:tc>
          <w:tcPr>
            <w:tcW w:w="7470" w:type="dxa"/>
            <w:shd w:val="clear" w:color="auto" w:fill="auto"/>
          </w:tcPr>
          <w:p w14:paraId="2E1E940D" w14:textId="4D2DE7F8" w:rsidR="00D711B7" w:rsidRDefault="001607D3" w:rsidP="00D711B7">
            <w:pPr>
              <w:tabs>
                <w:tab w:val="left" w:pos="360"/>
              </w:tabs>
            </w:pPr>
            <w:r>
              <w:t>Low paper third follow-up mailing (Web invite &amp; paper questionnaire)</w:t>
            </w:r>
          </w:p>
        </w:tc>
      </w:tr>
      <w:tr w:rsidR="001607D3" w:rsidRPr="00E96B0E" w14:paraId="717841F2" w14:textId="77777777" w:rsidTr="006D7596">
        <w:tc>
          <w:tcPr>
            <w:tcW w:w="1908" w:type="dxa"/>
            <w:shd w:val="clear" w:color="auto" w:fill="auto"/>
          </w:tcPr>
          <w:p w14:paraId="558CA771" w14:textId="119E5DEC" w:rsidR="001607D3" w:rsidRDefault="00EF4EAD" w:rsidP="00EF4EAD">
            <w:pPr>
              <w:jc w:val="center"/>
            </w:pPr>
            <w:r>
              <w:t>11/08</w:t>
            </w:r>
            <w:r w:rsidR="001607D3">
              <w:t>/1</w:t>
            </w:r>
            <w:r>
              <w:t>7</w:t>
            </w:r>
          </w:p>
        </w:tc>
        <w:tc>
          <w:tcPr>
            <w:tcW w:w="7470" w:type="dxa"/>
            <w:shd w:val="clear" w:color="auto" w:fill="auto"/>
          </w:tcPr>
          <w:p w14:paraId="45E4B172" w14:textId="5A7F8120" w:rsidR="001607D3" w:rsidRDefault="00EF4EAD" w:rsidP="001607D3">
            <w:pPr>
              <w:tabs>
                <w:tab w:val="left" w:pos="360"/>
              </w:tabs>
            </w:pPr>
            <w:r>
              <w:t>High paper thir</w:t>
            </w:r>
            <w:r w:rsidR="001607D3">
              <w:t>d follow-up mailing (Web invite &amp; paper questionnaire)</w:t>
            </w:r>
          </w:p>
        </w:tc>
      </w:tr>
      <w:tr w:rsidR="001607D3" w:rsidRPr="00E96B0E" w14:paraId="300DF67A" w14:textId="77777777" w:rsidTr="006D7596">
        <w:tc>
          <w:tcPr>
            <w:tcW w:w="1908" w:type="dxa"/>
            <w:shd w:val="clear" w:color="auto" w:fill="auto"/>
          </w:tcPr>
          <w:p w14:paraId="2D86D175" w14:textId="4744FA05" w:rsidR="001607D3" w:rsidRDefault="00EF4EAD" w:rsidP="001607D3">
            <w:pPr>
              <w:jc w:val="center"/>
            </w:pPr>
            <w:r>
              <w:t>09/01/17 – 01/04/18</w:t>
            </w:r>
          </w:p>
        </w:tc>
        <w:tc>
          <w:tcPr>
            <w:tcW w:w="7470" w:type="dxa"/>
            <w:shd w:val="clear" w:color="auto" w:fill="auto"/>
          </w:tcPr>
          <w:p w14:paraId="38A86A97" w14:textId="607D68CE" w:rsidR="001607D3" w:rsidRDefault="00EF4EAD" w:rsidP="001607D3">
            <w:pPr>
              <w:tabs>
                <w:tab w:val="left" w:pos="360"/>
              </w:tabs>
            </w:pPr>
            <w:r>
              <w:t>Paper topical questionnaire mailings</w:t>
            </w:r>
            <w:r w:rsidR="006D7596">
              <w:t xml:space="preserve"> (only applicable to households who responded by mail with an eligible paper screener)</w:t>
            </w:r>
          </w:p>
        </w:tc>
      </w:tr>
      <w:tr w:rsidR="001607D3" w:rsidRPr="00E96B0E" w14:paraId="19B5EC90" w14:textId="77777777" w:rsidTr="006D7596">
        <w:tc>
          <w:tcPr>
            <w:tcW w:w="1908" w:type="dxa"/>
            <w:shd w:val="clear" w:color="auto" w:fill="auto"/>
          </w:tcPr>
          <w:p w14:paraId="22B57512" w14:textId="79D96327" w:rsidR="001607D3" w:rsidRDefault="00EF4EAD" w:rsidP="001607D3">
            <w:pPr>
              <w:jc w:val="center"/>
            </w:pPr>
            <w:r>
              <w:t>01/26/18</w:t>
            </w:r>
          </w:p>
        </w:tc>
        <w:tc>
          <w:tcPr>
            <w:tcW w:w="7470" w:type="dxa"/>
            <w:shd w:val="clear" w:color="auto" w:fill="auto"/>
          </w:tcPr>
          <w:p w14:paraId="75856663" w14:textId="5127228F" w:rsidR="001607D3" w:rsidRDefault="00EF4EAD" w:rsidP="001607D3">
            <w:pPr>
              <w:tabs>
                <w:tab w:val="left" w:pos="360"/>
              </w:tabs>
            </w:pPr>
            <w:r>
              <w:t>Survey closeout</w:t>
            </w:r>
            <w:r w:rsidR="0053346D">
              <w:t xml:space="preserve"> – data collection ends</w:t>
            </w:r>
          </w:p>
        </w:tc>
      </w:tr>
      <w:tr w:rsidR="006D7596" w:rsidRPr="00E96B0E" w14:paraId="123A34CE" w14:textId="77777777" w:rsidTr="006D7596">
        <w:tc>
          <w:tcPr>
            <w:tcW w:w="1908" w:type="dxa"/>
            <w:shd w:val="clear" w:color="auto" w:fill="auto"/>
          </w:tcPr>
          <w:p w14:paraId="6BE0FF8F" w14:textId="77777777" w:rsidR="006D7596" w:rsidRDefault="006D7596" w:rsidP="001607D3">
            <w:pPr>
              <w:jc w:val="center"/>
            </w:pPr>
            <w:r>
              <w:t xml:space="preserve">Late Spring – </w:t>
            </w:r>
          </w:p>
          <w:p w14:paraId="25CFD8C6" w14:textId="0EDA6853" w:rsidR="006D7596" w:rsidRDefault="006D7596" w:rsidP="001607D3">
            <w:pPr>
              <w:jc w:val="center"/>
            </w:pPr>
            <w:r>
              <w:t>Early Summer 2018</w:t>
            </w:r>
          </w:p>
        </w:tc>
        <w:tc>
          <w:tcPr>
            <w:tcW w:w="7470" w:type="dxa"/>
            <w:shd w:val="clear" w:color="auto" w:fill="auto"/>
          </w:tcPr>
          <w:p w14:paraId="31BBF1DB" w14:textId="59B3631F" w:rsidR="006D7596" w:rsidRDefault="006D7596" w:rsidP="001607D3">
            <w:pPr>
              <w:tabs>
                <w:tab w:val="left" w:pos="360"/>
              </w:tabs>
            </w:pPr>
            <w:r>
              <w:t>Delivery of fully documented public use data sets (topical and screener level files)</w:t>
            </w:r>
            <w:r w:rsidR="0053346D">
              <w:t xml:space="preserve"> and any other preliminary data files requested by HRSA MCHB</w:t>
            </w:r>
          </w:p>
        </w:tc>
      </w:tr>
      <w:tr w:rsidR="006D7596" w:rsidRPr="00E96B0E" w14:paraId="5322FBDC" w14:textId="77777777" w:rsidTr="006D7596">
        <w:tc>
          <w:tcPr>
            <w:tcW w:w="1908" w:type="dxa"/>
            <w:shd w:val="clear" w:color="auto" w:fill="auto"/>
          </w:tcPr>
          <w:p w14:paraId="5E0878EF" w14:textId="6AB492F7" w:rsidR="006D7596" w:rsidRDefault="006D7596" w:rsidP="001607D3">
            <w:pPr>
              <w:jc w:val="center"/>
            </w:pPr>
            <w:r>
              <w:t>Summer – Fall 2018</w:t>
            </w:r>
          </w:p>
        </w:tc>
        <w:tc>
          <w:tcPr>
            <w:tcW w:w="7470" w:type="dxa"/>
            <w:shd w:val="clear" w:color="auto" w:fill="auto"/>
          </w:tcPr>
          <w:p w14:paraId="06144836" w14:textId="0EA79C06" w:rsidR="006D7596" w:rsidRDefault="006D7596" w:rsidP="001607D3">
            <w:pPr>
              <w:tabs>
                <w:tab w:val="left" w:pos="360"/>
              </w:tabs>
            </w:pPr>
            <w:r>
              <w:t xml:space="preserve">Delivery of </w:t>
            </w:r>
            <w:r w:rsidR="0053346D">
              <w:t>codebook, user’s manual, and methodology report</w:t>
            </w:r>
          </w:p>
        </w:tc>
      </w:tr>
    </w:tbl>
    <w:p w14:paraId="091DF06A" w14:textId="63C5BE4D" w:rsidR="009322F6" w:rsidRPr="009322F6" w:rsidRDefault="003269D3" w:rsidP="00AC5655">
      <w:pPr>
        <w:spacing w:before="240"/>
        <w:rPr>
          <w:sz w:val="24"/>
        </w:rPr>
      </w:pPr>
      <w:r>
        <w:rPr>
          <w:sz w:val="24"/>
        </w:rPr>
        <w:t xml:space="preserve">The NSCH will </w:t>
      </w:r>
      <w:r w:rsidR="00E344B8">
        <w:rPr>
          <w:sz w:val="24"/>
        </w:rPr>
        <w:t xml:space="preserve">generate </w:t>
      </w:r>
      <w:r>
        <w:rPr>
          <w:sz w:val="24"/>
        </w:rPr>
        <w:t xml:space="preserve">datasets, statistics, and reports. </w:t>
      </w:r>
      <w:r w:rsidR="009322F6" w:rsidRPr="009322F6">
        <w:rPr>
          <w:sz w:val="24"/>
        </w:rPr>
        <w:t xml:space="preserve">Below </w:t>
      </w:r>
      <w:r>
        <w:rPr>
          <w:sz w:val="24"/>
        </w:rPr>
        <w:t>are the planned deliverables that</w:t>
      </w:r>
      <w:r w:rsidR="007C1F4A">
        <w:rPr>
          <w:sz w:val="24"/>
        </w:rPr>
        <w:t xml:space="preserve"> </w:t>
      </w:r>
      <w:r w:rsidR="0083214E">
        <w:rPr>
          <w:sz w:val="24"/>
        </w:rPr>
        <w:t xml:space="preserve">the </w:t>
      </w:r>
      <w:r w:rsidR="007C1F4A">
        <w:rPr>
          <w:sz w:val="24"/>
        </w:rPr>
        <w:t xml:space="preserve">Census </w:t>
      </w:r>
      <w:r w:rsidR="0083214E">
        <w:rPr>
          <w:sz w:val="24"/>
        </w:rPr>
        <w:t xml:space="preserve">Bureau </w:t>
      </w:r>
      <w:r w:rsidR="007C1F4A">
        <w:rPr>
          <w:sz w:val="24"/>
        </w:rPr>
        <w:t xml:space="preserve">will provide </w:t>
      </w:r>
      <w:r w:rsidR="008D6E6D">
        <w:rPr>
          <w:sz w:val="24"/>
        </w:rPr>
        <w:t xml:space="preserve">HRSA </w:t>
      </w:r>
      <w:r w:rsidR="007C1F4A">
        <w:rPr>
          <w:sz w:val="24"/>
        </w:rPr>
        <w:t>M</w:t>
      </w:r>
      <w:r>
        <w:rPr>
          <w:sz w:val="24"/>
        </w:rPr>
        <w:t>CHB:</w:t>
      </w:r>
      <w:r w:rsidR="009322F6" w:rsidRPr="009322F6">
        <w:rPr>
          <w:sz w:val="24"/>
        </w:rPr>
        <w:t xml:space="preserve"> </w:t>
      </w:r>
    </w:p>
    <w:p w14:paraId="091DF06B" w14:textId="77777777" w:rsidR="009322F6" w:rsidRPr="009322F6" w:rsidRDefault="003269D3" w:rsidP="009322F6">
      <w:pPr>
        <w:spacing w:before="240"/>
        <w:rPr>
          <w:i/>
          <w:sz w:val="24"/>
        </w:rPr>
      </w:pPr>
      <w:r>
        <w:rPr>
          <w:i/>
          <w:sz w:val="24"/>
        </w:rPr>
        <w:t xml:space="preserve">Datasets, Statistics, and </w:t>
      </w:r>
      <w:r w:rsidR="009322F6" w:rsidRPr="009322F6">
        <w:rPr>
          <w:i/>
          <w:sz w:val="24"/>
        </w:rPr>
        <w:t xml:space="preserve">Reports. </w:t>
      </w:r>
    </w:p>
    <w:p w14:paraId="091DF06C" w14:textId="0CF32283" w:rsidR="009B3794" w:rsidRPr="0083214E" w:rsidRDefault="003269D3" w:rsidP="00726ABF">
      <w:pPr>
        <w:pStyle w:val="ListParagraph"/>
        <w:numPr>
          <w:ilvl w:val="0"/>
          <w:numId w:val="5"/>
        </w:numPr>
        <w:spacing w:before="240"/>
        <w:rPr>
          <w:sz w:val="24"/>
        </w:rPr>
      </w:pPr>
      <w:r w:rsidRPr="0083214E">
        <w:rPr>
          <w:sz w:val="24"/>
        </w:rPr>
        <w:t>A fully documented public use data set</w:t>
      </w:r>
      <w:r w:rsidR="009171D8" w:rsidRPr="0083214E">
        <w:rPr>
          <w:sz w:val="24"/>
        </w:rPr>
        <w:t xml:space="preserve"> including t</w:t>
      </w:r>
      <w:r w:rsidR="002657DB">
        <w:rPr>
          <w:sz w:val="24"/>
        </w:rPr>
        <w:t>wo</w:t>
      </w:r>
      <w:r w:rsidR="009171D8" w:rsidRPr="0083214E">
        <w:rPr>
          <w:sz w:val="24"/>
        </w:rPr>
        <w:t xml:space="preserve"> different files:</w:t>
      </w:r>
    </w:p>
    <w:p w14:paraId="091DF06D" w14:textId="0C4F5994" w:rsidR="009171D8" w:rsidRPr="0083214E" w:rsidRDefault="001F7321" w:rsidP="00726ABF">
      <w:pPr>
        <w:pStyle w:val="ListParagraph"/>
        <w:numPr>
          <w:ilvl w:val="1"/>
          <w:numId w:val="5"/>
        </w:numPr>
        <w:spacing w:before="240"/>
        <w:rPr>
          <w:sz w:val="24"/>
        </w:rPr>
      </w:pPr>
      <w:r>
        <w:rPr>
          <w:sz w:val="24"/>
        </w:rPr>
        <w:t>Topical</w:t>
      </w:r>
      <w:r w:rsidR="009171D8" w:rsidRPr="0083214E">
        <w:rPr>
          <w:sz w:val="24"/>
        </w:rPr>
        <w:t xml:space="preserve"> level file – This file will contain all of the data collected on the </w:t>
      </w:r>
      <w:r w:rsidR="00361349">
        <w:rPr>
          <w:sz w:val="24"/>
        </w:rPr>
        <w:t>topical instruments</w:t>
      </w:r>
      <w:r w:rsidR="00361349" w:rsidRPr="0083214E">
        <w:rPr>
          <w:sz w:val="24"/>
        </w:rPr>
        <w:t xml:space="preserve"> </w:t>
      </w:r>
      <w:r w:rsidR="009171D8" w:rsidRPr="0083214E">
        <w:rPr>
          <w:sz w:val="24"/>
        </w:rPr>
        <w:t xml:space="preserve">and any other variables (derived, flag, admin, etc.) requested by </w:t>
      </w:r>
      <w:r w:rsidR="008D6E6D">
        <w:rPr>
          <w:sz w:val="24"/>
        </w:rPr>
        <w:t xml:space="preserve">HRSA </w:t>
      </w:r>
      <w:r w:rsidR="009171D8" w:rsidRPr="0083214E">
        <w:rPr>
          <w:sz w:val="24"/>
        </w:rPr>
        <w:t>MCHB.</w:t>
      </w:r>
    </w:p>
    <w:p w14:paraId="091DF06E" w14:textId="5D087D9F" w:rsidR="009171D8" w:rsidRPr="0083214E" w:rsidRDefault="002657DB" w:rsidP="00726ABF">
      <w:pPr>
        <w:pStyle w:val="ListParagraph"/>
        <w:numPr>
          <w:ilvl w:val="1"/>
          <w:numId w:val="5"/>
        </w:numPr>
        <w:spacing w:before="240"/>
        <w:rPr>
          <w:sz w:val="24"/>
        </w:rPr>
      </w:pPr>
      <w:r>
        <w:rPr>
          <w:sz w:val="24"/>
        </w:rPr>
        <w:t>Screener</w:t>
      </w:r>
      <w:r w:rsidR="009171D8" w:rsidRPr="0083214E">
        <w:rPr>
          <w:sz w:val="24"/>
        </w:rPr>
        <w:t xml:space="preserve"> level file – This file will contain all of the child data collected on the </w:t>
      </w:r>
      <w:r w:rsidR="00361349">
        <w:rPr>
          <w:sz w:val="24"/>
        </w:rPr>
        <w:t>screener</w:t>
      </w:r>
      <w:r w:rsidR="00361349" w:rsidRPr="0083214E">
        <w:rPr>
          <w:sz w:val="24"/>
        </w:rPr>
        <w:t xml:space="preserve"> </w:t>
      </w:r>
      <w:r w:rsidR="00361349">
        <w:rPr>
          <w:sz w:val="24"/>
        </w:rPr>
        <w:t>instruments</w:t>
      </w:r>
      <w:r w:rsidR="00361349" w:rsidRPr="0083214E">
        <w:rPr>
          <w:sz w:val="24"/>
        </w:rPr>
        <w:t xml:space="preserve"> </w:t>
      </w:r>
      <w:r w:rsidR="009171D8" w:rsidRPr="0083214E">
        <w:rPr>
          <w:sz w:val="24"/>
        </w:rPr>
        <w:t>along with any other variables</w:t>
      </w:r>
      <w:r w:rsidR="00AC5655" w:rsidRPr="0083214E">
        <w:rPr>
          <w:sz w:val="24"/>
        </w:rPr>
        <w:t xml:space="preserve"> (derived, flag, admin, etc.) requested by </w:t>
      </w:r>
      <w:r w:rsidR="008D6E6D">
        <w:rPr>
          <w:sz w:val="24"/>
        </w:rPr>
        <w:t xml:space="preserve">HRSA </w:t>
      </w:r>
      <w:r w:rsidR="00AC5655" w:rsidRPr="0083214E">
        <w:rPr>
          <w:sz w:val="24"/>
        </w:rPr>
        <w:t>MCHB.</w:t>
      </w:r>
    </w:p>
    <w:p w14:paraId="091DF070" w14:textId="77777777" w:rsidR="003269D3" w:rsidRPr="0083214E" w:rsidRDefault="009171D8" w:rsidP="00726ABF">
      <w:pPr>
        <w:pStyle w:val="ListParagraph"/>
        <w:numPr>
          <w:ilvl w:val="0"/>
          <w:numId w:val="5"/>
        </w:numPr>
        <w:spacing w:before="240"/>
        <w:rPr>
          <w:sz w:val="24"/>
        </w:rPr>
      </w:pPr>
      <w:r w:rsidRPr="0083214E">
        <w:rPr>
          <w:sz w:val="24"/>
        </w:rPr>
        <w:t>A codebook with weighted and unweighted frequencies of all variables</w:t>
      </w:r>
      <w:r w:rsidR="00C22682" w:rsidRPr="0083214E">
        <w:rPr>
          <w:sz w:val="24"/>
        </w:rPr>
        <w:t xml:space="preserve"> for each of the different files mentioned above</w:t>
      </w:r>
    </w:p>
    <w:p w14:paraId="091DF071" w14:textId="77777777" w:rsidR="00AC5655" w:rsidRPr="0083214E" w:rsidRDefault="009171D8" w:rsidP="0083214E">
      <w:pPr>
        <w:pStyle w:val="ListParagraph"/>
        <w:numPr>
          <w:ilvl w:val="0"/>
          <w:numId w:val="5"/>
        </w:numPr>
        <w:spacing w:before="240"/>
        <w:rPr>
          <w:sz w:val="24"/>
        </w:rPr>
      </w:pPr>
      <w:r w:rsidRPr="0083214E">
        <w:rPr>
          <w:sz w:val="24"/>
        </w:rPr>
        <w:t xml:space="preserve">A </w:t>
      </w:r>
      <w:r w:rsidR="00D53084" w:rsidRPr="0083214E">
        <w:rPr>
          <w:sz w:val="24"/>
        </w:rPr>
        <w:t>user’s manual</w:t>
      </w:r>
      <w:r w:rsidR="00C22682" w:rsidRPr="0083214E">
        <w:rPr>
          <w:sz w:val="24"/>
        </w:rPr>
        <w:t xml:space="preserve"> and </w:t>
      </w:r>
      <w:r w:rsidRPr="0083214E">
        <w:rPr>
          <w:sz w:val="24"/>
        </w:rPr>
        <w:t xml:space="preserve">methodology report </w:t>
      </w:r>
      <w:r w:rsidR="00D564F2" w:rsidRPr="0083214E">
        <w:rPr>
          <w:sz w:val="24"/>
        </w:rPr>
        <w:t>created by the Demographic Statistical Methods Division (DSMD) staff</w:t>
      </w:r>
    </w:p>
    <w:p w14:paraId="091DF072" w14:textId="77777777" w:rsidR="009B3794" w:rsidRPr="004F0887" w:rsidRDefault="009B3794" w:rsidP="00726ABF">
      <w:pPr>
        <w:numPr>
          <w:ilvl w:val="0"/>
          <w:numId w:val="1"/>
        </w:numPr>
        <w:tabs>
          <w:tab w:val="clear" w:pos="1080"/>
          <w:tab w:val="num" w:pos="360"/>
        </w:tabs>
        <w:spacing w:before="240"/>
        <w:ind w:left="360"/>
        <w:rPr>
          <w:b/>
          <w:sz w:val="24"/>
        </w:rPr>
      </w:pPr>
      <w:r w:rsidRPr="004F0887">
        <w:rPr>
          <w:b/>
          <w:sz w:val="24"/>
        </w:rPr>
        <w:t>Reason(s) Display of OMB Expiration Date is Inappropriate</w:t>
      </w:r>
    </w:p>
    <w:p w14:paraId="091DF073" w14:textId="77777777" w:rsidR="00D564F2" w:rsidRPr="0083214E" w:rsidRDefault="00E57405" w:rsidP="00402E7E">
      <w:pPr>
        <w:pStyle w:val="BodyTextIndent"/>
        <w:spacing w:before="120"/>
        <w:ind w:left="0"/>
        <w:rPr>
          <w:rFonts w:ascii="Times New Roman" w:hAnsi="Times New Roman"/>
        </w:rPr>
      </w:pPr>
      <w:r>
        <w:rPr>
          <w:rFonts w:ascii="Times New Roman" w:hAnsi="Times New Roman"/>
        </w:rPr>
        <w:t xml:space="preserve">Not applicable. </w:t>
      </w:r>
      <w:r w:rsidR="00402E7E">
        <w:t>No exception requested</w:t>
      </w:r>
      <w:r w:rsidR="00FD61EC" w:rsidRPr="003B2586">
        <w:t>.</w:t>
      </w:r>
    </w:p>
    <w:p w14:paraId="091DF074" w14:textId="77777777" w:rsidR="009B3794" w:rsidRPr="004F0887" w:rsidRDefault="009B3794" w:rsidP="00726ABF">
      <w:pPr>
        <w:numPr>
          <w:ilvl w:val="0"/>
          <w:numId w:val="1"/>
        </w:numPr>
        <w:tabs>
          <w:tab w:val="clear" w:pos="1080"/>
          <w:tab w:val="num" w:pos="360"/>
        </w:tabs>
        <w:spacing w:before="240"/>
        <w:ind w:left="360"/>
        <w:rPr>
          <w:b/>
          <w:sz w:val="24"/>
        </w:rPr>
      </w:pPr>
      <w:r w:rsidRPr="004F0887">
        <w:rPr>
          <w:b/>
          <w:sz w:val="24"/>
        </w:rPr>
        <w:t>Exceptions to Certification for Paperwork Reduction Act Submissions</w:t>
      </w:r>
    </w:p>
    <w:p w14:paraId="091DF075" w14:textId="77777777" w:rsidR="009B3794" w:rsidRDefault="00E57405" w:rsidP="00402E7E">
      <w:pPr>
        <w:pStyle w:val="BodyTextIndent"/>
        <w:spacing w:before="120"/>
        <w:ind w:left="0"/>
      </w:pPr>
      <w:r>
        <w:rPr>
          <w:rFonts w:ascii="Times New Roman" w:hAnsi="Times New Roman"/>
        </w:rPr>
        <w:t xml:space="preserve">Not applicable. </w:t>
      </w:r>
      <w:r w:rsidR="00FD61EC">
        <w:rPr>
          <w:rFonts w:ascii="Times New Roman" w:hAnsi="Times New Roman"/>
        </w:rPr>
        <w:t xml:space="preserve"> No exception requested. </w:t>
      </w:r>
    </w:p>
    <w:sectPr w:rsidR="009B3794" w:rsidSect="001D4856">
      <w:footerReference w:type="default" r:id="rId12"/>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9CAB1" w14:textId="77777777" w:rsidR="006D7596" w:rsidRDefault="006D7596">
      <w:r>
        <w:separator/>
      </w:r>
    </w:p>
  </w:endnote>
  <w:endnote w:type="continuationSeparator" w:id="0">
    <w:p w14:paraId="7ED29907" w14:textId="77777777" w:rsidR="006D7596" w:rsidRDefault="006D7596">
      <w:r>
        <w:continuationSeparator/>
      </w:r>
    </w:p>
  </w:endnote>
  <w:endnote w:type="continuationNotice" w:id="1">
    <w:p w14:paraId="36EE35A7" w14:textId="77777777" w:rsidR="006D7596" w:rsidRDefault="006D75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DC601" w14:textId="4F700F5B" w:rsidR="006D7596" w:rsidRDefault="006D7596" w:rsidP="002B3C20">
    <w:pPr>
      <w:framePr w:w="9361" w:wrap="notBeside" w:vAnchor="text" w:hAnchor="page" w:x="1426" w:y="82"/>
      <w:jc w:val="center"/>
      <w:rPr>
        <w:sz w:val="24"/>
      </w:rPr>
    </w:pPr>
    <w:r>
      <w:rPr>
        <w:sz w:val="24"/>
      </w:rPr>
      <w:fldChar w:fldCharType="begin"/>
    </w:r>
    <w:r>
      <w:rPr>
        <w:sz w:val="24"/>
      </w:rPr>
      <w:instrText xml:space="preserve">PAGE </w:instrText>
    </w:r>
    <w:r>
      <w:rPr>
        <w:sz w:val="24"/>
      </w:rPr>
      <w:fldChar w:fldCharType="separate"/>
    </w:r>
    <w:r w:rsidR="00B30330">
      <w:rPr>
        <w:noProof/>
        <w:sz w:val="24"/>
      </w:rPr>
      <w:t>1</w:t>
    </w:r>
    <w:r>
      <w:rPr>
        <w:sz w:val="24"/>
      </w:rPr>
      <w:fldChar w:fldCharType="end"/>
    </w:r>
  </w:p>
  <w:p w14:paraId="091DF07C" w14:textId="77777777" w:rsidR="006D7596" w:rsidRDefault="006D7596">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B61010" w14:textId="77777777" w:rsidR="006D7596" w:rsidRDefault="006D7596">
      <w:r>
        <w:separator/>
      </w:r>
    </w:p>
  </w:footnote>
  <w:footnote w:type="continuationSeparator" w:id="0">
    <w:p w14:paraId="35FCFDA2" w14:textId="77777777" w:rsidR="006D7596" w:rsidRDefault="006D7596">
      <w:r>
        <w:continuationSeparator/>
      </w:r>
    </w:p>
  </w:footnote>
  <w:footnote w:type="continuationNotice" w:id="1">
    <w:p w14:paraId="6585375A" w14:textId="77777777" w:rsidR="006D7596" w:rsidRDefault="006D7596"/>
  </w:footnote>
  <w:footnote w:id="2">
    <w:p w14:paraId="077B94C9" w14:textId="4E7C81C6" w:rsidR="006D7596" w:rsidRDefault="006D7596">
      <w:pPr>
        <w:pStyle w:val="FootnoteText"/>
      </w:pPr>
      <w:r w:rsidRPr="002F0FD4">
        <w:rPr>
          <w:rStyle w:val="FootnoteReference"/>
          <w:vertAlign w:val="superscript"/>
        </w:rPr>
        <w:footnoteRef/>
      </w:r>
      <w:r w:rsidRPr="002F0FD4">
        <w:rPr>
          <w:vertAlign w:val="superscript"/>
        </w:rPr>
        <w:t xml:space="preserve"> </w:t>
      </w:r>
      <w:r w:rsidRPr="006A6D61">
        <w:t>Blumberg</w:t>
      </w:r>
      <w:r>
        <w:t>,</w:t>
      </w:r>
      <w:r w:rsidRPr="006A6D61">
        <w:t xml:space="preserve"> S</w:t>
      </w:r>
      <w:r>
        <w:t>.</w:t>
      </w:r>
      <w:r w:rsidRPr="006A6D61">
        <w:t>J</w:t>
      </w:r>
      <w:r>
        <w:t xml:space="preserve">.; </w:t>
      </w:r>
      <w:r w:rsidRPr="006A6D61">
        <w:t>Foster</w:t>
      </w:r>
      <w:r>
        <w:t>,</w:t>
      </w:r>
      <w:r w:rsidRPr="006A6D61">
        <w:t xml:space="preserve"> E</w:t>
      </w:r>
      <w:r>
        <w:t>.</w:t>
      </w:r>
      <w:r w:rsidRPr="006A6D61">
        <w:t>B</w:t>
      </w:r>
      <w:r>
        <w:t>.;</w:t>
      </w:r>
      <w:r w:rsidRPr="006A6D61">
        <w:t xml:space="preserve"> Frasier</w:t>
      </w:r>
      <w:r>
        <w:t>,</w:t>
      </w:r>
      <w:r w:rsidRPr="006A6D61">
        <w:t xml:space="preserve"> A</w:t>
      </w:r>
      <w:r>
        <w:t>.</w:t>
      </w:r>
      <w:r w:rsidRPr="006A6D61">
        <w:t>M</w:t>
      </w:r>
      <w:r>
        <w:t xml:space="preserve">. </w:t>
      </w:r>
      <w:r w:rsidRPr="006A6D61">
        <w:t xml:space="preserve">et al. </w:t>
      </w:r>
      <w:r>
        <w:t xml:space="preserve">(2012). </w:t>
      </w:r>
      <w:r w:rsidRPr="006A6D61">
        <w:t xml:space="preserve">Design and operation of the National Survey of Children’s Health, 2007. National Center for Health Statistics. </w:t>
      </w:r>
      <w:r w:rsidRPr="002F0FD4">
        <w:rPr>
          <w:i/>
        </w:rPr>
        <w:t>Vital Health Stat 1</w:t>
      </w:r>
      <w:r w:rsidRPr="006A6D61">
        <w:t>(55)</w:t>
      </w:r>
      <w:r>
        <w:t>, 1-159</w:t>
      </w:r>
      <w:r w:rsidRPr="006A6D61">
        <w:t>.</w:t>
      </w:r>
      <w:r>
        <w:t xml:space="preserve"> </w:t>
      </w:r>
      <w:hyperlink r:id="rId1" w:history="1">
        <w:r w:rsidRPr="00F22722">
          <w:rPr>
            <w:rStyle w:val="Hyperlink"/>
          </w:rPr>
          <w:t>http://www.cdc.gov/nchs/data/series/sr_01/sr01_055.pdf</w:t>
        </w:r>
      </w:hyperlink>
    </w:p>
  </w:footnote>
  <w:footnote w:id="3">
    <w:p w14:paraId="5FA3279E" w14:textId="63B09DF9" w:rsidR="006D7596" w:rsidRDefault="006D7596">
      <w:pPr>
        <w:pStyle w:val="FootnoteText"/>
      </w:pPr>
      <w:r w:rsidRPr="002F0FD4">
        <w:rPr>
          <w:rStyle w:val="FootnoteReference"/>
          <w:vertAlign w:val="superscript"/>
        </w:rPr>
        <w:footnoteRef/>
      </w:r>
      <w:r>
        <w:t xml:space="preserve"> </w:t>
      </w:r>
      <w:r w:rsidRPr="00DE44A8">
        <w:t>Bramlett</w:t>
      </w:r>
      <w:r>
        <w:t xml:space="preserve">, </w:t>
      </w:r>
      <w:r w:rsidRPr="00DE44A8">
        <w:t>M</w:t>
      </w:r>
      <w:r>
        <w:t>.</w:t>
      </w:r>
      <w:r w:rsidRPr="00DE44A8">
        <w:t>D</w:t>
      </w:r>
      <w:r>
        <w:t xml:space="preserve">.; </w:t>
      </w:r>
      <w:r w:rsidRPr="00DE44A8">
        <w:t>Blumberg</w:t>
      </w:r>
      <w:r>
        <w:t>,</w:t>
      </w:r>
      <w:r w:rsidRPr="00DE44A8">
        <w:t xml:space="preserve"> S</w:t>
      </w:r>
      <w:r>
        <w:t>.</w:t>
      </w:r>
      <w:r w:rsidRPr="00DE44A8">
        <w:t>J</w:t>
      </w:r>
      <w:r>
        <w:t>.;</w:t>
      </w:r>
      <w:r w:rsidRPr="00DE44A8">
        <w:t xml:space="preserve"> Ormson</w:t>
      </w:r>
      <w:r>
        <w:t>,</w:t>
      </w:r>
      <w:r w:rsidRPr="00DE44A8">
        <w:t xml:space="preserve"> A</w:t>
      </w:r>
      <w:r>
        <w:t>.</w:t>
      </w:r>
      <w:r w:rsidRPr="00DE44A8">
        <w:t>E</w:t>
      </w:r>
      <w:r>
        <w:t>.</w:t>
      </w:r>
      <w:r w:rsidRPr="00DE44A8">
        <w:t xml:space="preserve"> et al. </w:t>
      </w:r>
      <w:r>
        <w:t xml:space="preserve">(2014). </w:t>
      </w:r>
      <w:r w:rsidRPr="00DE44A8">
        <w:t xml:space="preserve">Design and operation of the National Survey of Children with Special Health Care Needs, 2009–2010. National Center for Health Statistics. </w:t>
      </w:r>
      <w:r w:rsidRPr="002F0FD4">
        <w:rPr>
          <w:i/>
        </w:rPr>
        <w:t>Vital Health Stat 1</w:t>
      </w:r>
      <w:r w:rsidRPr="00DE44A8">
        <w:t>(57)</w:t>
      </w:r>
      <w:r>
        <w:t>, 1-282</w:t>
      </w:r>
      <w:r w:rsidRPr="00DE44A8">
        <w:t>.</w:t>
      </w:r>
      <w:r>
        <w:t xml:space="preserve">  </w:t>
      </w:r>
      <w:hyperlink r:id="rId2" w:history="1">
        <w:r w:rsidRPr="00F22722">
          <w:rPr>
            <w:rStyle w:val="Hyperlink"/>
          </w:rPr>
          <w:t>http://www.cdc.gov/nchs/data/series/sr_01/sr01_057.pdf</w:t>
        </w:r>
      </w:hyperlink>
    </w:p>
  </w:footnote>
  <w:footnote w:id="4">
    <w:p w14:paraId="23C9E7A6" w14:textId="77777777" w:rsidR="006D7596" w:rsidRDefault="006D7596" w:rsidP="00F75A58">
      <w:pPr>
        <w:pStyle w:val="FootnoteText"/>
      </w:pPr>
      <w:r w:rsidRPr="002F0FD4">
        <w:rPr>
          <w:rStyle w:val="FootnoteReference"/>
          <w:vertAlign w:val="superscript"/>
        </w:rPr>
        <w:footnoteRef/>
      </w:r>
      <w:r>
        <w:t xml:space="preserve"> Blumberg, S.J. &amp; Luke, J.V. (2015). Wireless substitution: Early release of estimates from the National Health Interview Survey, January–June 2015. National Center for Health Statistics. Available from: </w:t>
      </w:r>
      <w:hyperlink r:id="rId3" w:history="1">
        <w:r w:rsidRPr="00F22722">
          <w:rPr>
            <w:rStyle w:val="Hyperlink"/>
          </w:rPr>
          <w:t>http://www.cdc.gov/nchs/nhis.htm</w:t>
        </w:r>
      </w:hyperlink>
      <w:r>
        <w:t xml:space="preserve">.  </w:t>
      </w:r>
    </w:p>
  </w:footnote>
  <w:footnote w:id="5">
    <w:p w14:paraId="0F88124C" w14:textId="36D7BCF3" w:rsidR="006D7596" w:rsidRDefault="006D7596" w:rsidP="00A95ECB">
      <w:pPr>
        <w:spacing w:line="240" w:lineRule="exact"/>
      </w:pPr>
      <w:r w:rsidRPr="001E7090">
        <w:rPr>
          <w:rStyle w:val="FootnoteReference"/>
          <w:vertAlign w:val="superscript"/>
        </w:rPr>
        <w:footnoteRef/>
      </w:r>
      <w:r w:rsidRPr="004E378A">
        <w:t>A</w:t>
      </w:r>
      <w:r>
        <w:t>lexander</w:t>
      </w:r>
      <w:r w:rsidRPr="004E378A">
        <w:t>, G</w:t>
      </w:r>
      <w:r>
        <w:t>.</w:t>
      </w:r>
      <w:r w:rsidRPr="004E378A">
        <w:t>L</w:t>
      </w:r>
      <w:r>
        <w:t>.</w:t>
      </w:r>
      <w:r w:rsidRPr="004E378A">
        <w:t xml:space="preserve"> et al. </w:t>
      </w:r>
      <w:r>
        <w:t xml:space="preserve">(2008). </w:t>
      </w:r>
      <w:r w:rsidRPr="004E378A">
        <w:t xml:space="preserve">Effect of Incentives and Mailing Features on Online Health Program Enrollment. </w:t>
      </w:r>
      <w:r w:rsidRPr="002F0FD4">
        <w:rPr>
          <w:i/>
        </w:rPr>
        <w:t>American Journal of Preventive Medicine, 34</w:t>
      </w:r>
      <w:r>
        <w:t>(</w:t>
      </w:r>
      <w:r w:rsidRPr="004E378A">
        <w:t>5</w:t>
      </w:r>
      <w:r>
        <w:t>)</w:t>
      </w:r>
      <w:r w:rsidRPr="004E378A">
        <w:t>, 382-388</w:t>
      </w:r>
      <w:r>
        <w:t>.</w:t>
      </w:r>
    </w:p>
  </w:footnote>
  <w:footnote w:id="6">
    <w:p w14:paraId="161FA48D" w14:textId="3A682B75" w:rsidR="006D7596" w:rsidRPr="00A95ECB" w:rsidRDefault="006D7596" w:rsidP="007D3959">
      <w:pPr>
        <w:pStyle w:val="FootnoteText"/>
      </w:pPr>
      <w:r w:rsidRPr="00A95ECB">
        <w:rPr>
          <w:rStyle w:val="FootnoteReference"/>
          <w:vertAlign w:val="superscript"/>
        </w:rPr>
        <w:footnoteRef/>
      </w:r>
      <w:r w:rsidRPr="00A95ECB">
        <w:rPr>
          <w:vertAlign w:val="superscript"/>
        </w:rPr>
        <w:t xml:space="preserve"> </w:t>
      </w:r>
      <w:r>
        <w:t xml:space="preserve">Messer, B.L. &amp; Dillman, D.A. (2011). Surveying the general public over the internet using address-based sampling and mail contact procedures. </w:t>
      </w:r>
      <w:r w:rsidRPr="002F0FD4">
        <w:rPr>
          <w:i/>
        </w:rPr>
        <w:t>Public Opinion Quarterly, 75</w:t>
      </w:r>
      <w:r>
        <w:t>(3):429 -57.</w:t>
      </w:r>
    </w:p>
  </w:footnote>
  <w:footnote w:id="7">
    <w:p w14:paraId="183F1173" w14:textId="5E0D0AAC" w:rsidR="006D7596" w:rsidRDefault="006D7596">
      <w:pPr>
        <w:pStyle w:val="FootnoteText"/>
      </w:pPr>
      <w:r>
        <w:rPr>
          <w:vertAlign w:val="superscript"/>
        </w:rPr>
        <w:t>6</w:t>
      </w:r>
      <w:r w:rsidRPr="007320F0">
        <w:t xml:space="preserve"> For the </w:t>
      </w:r>
      <w:r>
        <w:t xml:space="preserve">2017 </w:t>
      </w:r>
      <w:r w:rsidRPr="007320F0">
        <w:t xml:space="preserve">NSCH, </w:t>
      </w:r>
      <w:r>
        <w:t>58,345</w:t>
      </w:r>
      <w:r w:rsidRPr="007320F0">
        <w:t xml:space="preserve"> respondents are expected to complete the screener and </w:t>
      </w:r>
      <w:r>
        <w:t>23,460</w:t>
      </w:r>
      <w:r w:rsidRPr="007320F0">
        <w:t xml:space="preserve"> respondents are expected to complete one of the three age-based topical questionnaires. The frequency of response is the same across data collection activities – each instrument requires one response per respondent. The average burden per response was determined by timing instruments administration with 9 or fewer respondents. Estimates of the total annual respondent cost for the collection of information use the appropriate wage rate categories. For indi</w:t>
      </w:r>
      <w:r>
        <w:t>viduals, the wage rate is $26.00</w:t>
      </w:r>
      <w:r w:rsidRPr="007320F0">
        <w:t xml:space="preserve"> per hour. This is based on the average hourly earnings for employees as reported by the Bureau of Labor Statistics (</w:t>
      </w:r>
      <w:hyperlink r:id="rId4" w:history="1">
        <w:r w:rsidRPr="007320F0">
          <w:rPr>
            <w:rStyle w:val="Hyperlink"/>
          </w:rPr>
          <w:t>http://www.bls.gov/news.release/realer.t01.htm</w:t>
        </w:r>
      </w:hyperlink>
      <w:r w:rsidRPr="007320F0">
        <w:t xml:space="preserve">). </w:t>
      </w:r>
    </w:p>
  </w:footnote>
  <w:footnote w:id="8">
    <w:p w14:paraId="08A420B1" w14:textId="02114EAD" w:rsidR="006D7596" w:rsidRDefault="006D7596" w:rsidP="007A6608">
      <w:pPr>
        <w:pStyle w:val="FootnoteText"/>
      </w:pPr>
      <w:r w:rsidRPr="00503D21">
        <w:rPr>
          <w:rStyle w:val="FootnoteReference"/>
          <w:vertAlign w:val="superscript"/>
        </w:rPr>
        <w:footnoteRef/>
      </w:r>
      <w:r w:rsidRPr="00503D21">
        <w:rPr>
          <w:vertAlign w:val="superscript"/>
        </w:rPr>
        <w:t xml:space="preserve"> </w:t>
      </w:r>
      <w:r>
        <w:t xml:space="preserve">The expected number of respondents is an estimate of the expected number of completed screener and topical questionnaires, discussed in section </w:t>
      </w:r>
      <w:r w:rsidRPr="00DC7841">
        <w:t>B.1.</w:t>
      </w:r>
      <w:r>
        <w:t>3. This is different from the number of respondents that were mailed a screener or topical questionnaire.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0592E"/>
    <w:multiLevelType w:val="hybridMultilevel"/>
    <w:tmpl w:val="E86AA6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15:restartNumberingAfterBreak="0">
    <w:nsid w:val="444C5B73"/>
    <w:multiLevelType w:val="hybridMultilevel"/>
    <w:tmpl w:val="C2B41F8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 w15:restartNumberingAfterBreak="0">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3106E67"/>
    <w:multiLevelType w:val="hybridMultilevel"/>
    <w:tmpl w:val="7DD0F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920408"/>
    <w:multiLevelType w:val="hybridMultilevel"/>
    <w:tmpl w:val="C8DE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DB1E6F"/>
    <w:multiLevelType w:val="hybridMultilevel"/>
    <w:tmpl w:val="A4FCE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6"/>
  </w:num>
  <w:num w:numId="6">
    <w:abstractNumId w:val="4"/>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CAB"/>
    <w:rsid w:val="00000CF7"/>
    <w:rsid w:val="0000277F"/>
    <w:rsid w:val="00014935"/>
    <w:rsid w:val="00015505"/>
    <w:rsid w:val="0001701B"/>
    <w:rsid w:val="00017A9B"/>
    <w:rsid w:val="00032A5B"/>
    <w:rsid w:val="00035CBC"/>
    <w:rsid w:val="00036479"/>
    <w:rsid w:val="00036C5E"/>
    <w:rsid w:val="000378DB"/>
    <w:rsid w:val="00044AC9"/>
    <w:rsid w:val="00045B26"/>
    <w:rsid w:val="0005045E"/>
    <w:rsid w:val="00055E15"/>
    <w:rsid w:val="0005620B"/>
    <w:rsid w:val="0006040C"/>
    <w:rsid w:val="000608F5"/>
    <w:rsid w:val="00063E1F"/>
    <w:rsid w:val="00070EC9"/>
    <w:rsid w:val="0007362B"/>
    <w:rsid w:val="00073EE0"/>
    <w:rsid w:val="000761DE"/>
    <w:rsid w:val="00084ACE"/>
    <w:rsid w:val="00086D6D"/>
    <w:rsid w:val="0009086D"/>
    <w:rsid w:val="00092F39"/>
    <w:rsid w:val="00095AA3"/>
    <w:rsid w:val="000A1C5A"/>
    <w:rsid w:val="000A2E6A"/>
    <w:rsid w:val="000A4F21"/>
    <w:rsid w:val="000A6823"/>
    <w:rsid w:val="000B4FF4"/>
    <w:rsid w:val="000B7A5E"/>
    <w:rsid w:val="000C2026"/>
    <w:rsid w:val="000C65F2"/>
    <w:rsid w:val="000C780E"/>
    <w:rsid w:val="000C7904"/>
    <w:rsid w:val="000D0C09"/>
    <w:rsid w:val="000D37CC"/>
    <w:rsid w:val="000E31DE"/>
    <w:rsid w:val="000E3F27"/>
    <w:rsid w:val="000E41FF"/>
    <w:rsid w:val="000E500F"/>
    <w:rsid w:val="000F72F1"/>
    <w:rsid w:val="00102985"/>
    <w:rsid w:val="001044D5"/>
    <w:rsid w:val="001053CE"/>
    <w:rsid w:val="00105C85"/>
    <w:rsid w:val="00110108"/>
    <w:rsid w:val="001171D5"/>
    <w:rsid w:val="001214D3"/>
    <w:rsid w:val="001247D7"/>
    <w:rsid w:val="00124C02"/>
    <w:rsid w:val="0013215E"/>
    <w:rsid w:val="001325B2"/>
    <w:rsid w:val="00132870"/>
    <w:rsid w:val="001353C9"/>
    <w:rsid w:val="0014128C"/>
    <w:rsid w:val="001428A3"/>
    <w:rsid w:val="001474DC"/>
    <w:rsid w:val="00150968"/>
    <w:rsid w:val="001526A6"/>
    <w:rsid w:val="0015297A"/>
    <w:rsid w:val="001607D3"/>
    <w:rsid w:val="00165B6B"/>
    <w:rsid w:val="001708B6"/>
    <w:rsid w:val="00175788"/>
    <w:rsid w:val="0019309E"/>
    <w:rsid w:val="00193FDB"/>
    <w:rsid w:val="001A1799"/>
    <w:rsid w:val="001A3749"/>
    <w:rsid w:val="001B736E"/>
    <w:rsid w:val="001C4F42"/>
    <w:rsid w:val="001C7349"/>
    <w:rsid w:val="001D41FC"/>
    <w:rsid w:val="001D4856"/>
    <w:rsid w:val="001D4DB6"/>
    <w:rsid w:val="001D5E58"/>
    <w:rsid w:val="001D7E3D"/>
    <w:rsid w:val="001E1D43"/>
    <w:rsid w:val="001E286A"/>
    <w:rsid w:val="001E7090"/>
    <w:rsid w:val="001E75EF"/>
    <w:rsid w:val="001F4A91"/>
    <w:rsid w:val="001F7321"/>
    <w:rsid w:val="00201A5B"/>
    <w:rsid w:val="00210418"/>
    <w:rsid w:val="00211286"/>
    <w:rsid w:val="002118B4"/>
    <w:rsid w:val="00213AD3"/>
    <w:rsid w:val="002158C8"/>
    <w:rsid w:val="002212DB"/>
    <w:rsid w:val="002229F7"/>
    <w:rsid w:val="00223FFA"/>
    <w:rsid w:val="002268C8"/>
    <w:rsid w:val="00226A1C"/>
    <w:rsid w:val="00226C8C"/>
    <w:rsid w:val="002279F9"/>
    <w:rsid w:val="00233288"/>
    <w:rsid w:val="00235C95"/>
    <w:rsid w:val="00236ED2"/>
    <w:rsid w:val="002372C1"/>
    <w:rsid w:val="00242F15"/>
    <w:rsid w:val="00243850"/>
    <w:rsid w:val="0024749D"/>
    <w:rsid w:val="0025671B"/>
    <w:rsid w:val="002575ED"/>
    <w:rsid w:val="00257E28"/>
    <w:rsid w:val="002640E7"/>
    <w:rsid w:val="002657DB"/>
    <w:rsid w:val="0027782F"/>
    <w:rsid w:val="00277DBC"/>
    <w:rsid w:val="002826DE"/>
    <w:rsid w:val="00285372"/>
    <w:rsid w:val="00286CD0"/>
    <w:rsid w:val="00286D3B"/>
    <w:rsid w:val="002941ED"/>
    <w:rsid w:val="0029483C"/>
    <w:rsid w:val="00295D80"/>
    <w:rsid w:val="002961A5"/>
    <w:rsid w:val="002A6A5C"/>
    <w:rsid w:val="002B2511"/>
    <w:rsid w:val="002B3C20"/>
    <w:rsid w:val="002B3FFB"/>
    <w:rsid w:val="002B54C4"/>
    <w:rsid w:val="002C5FD5"/>
    <w:rsid w:val="002C6649"/>
    <w:rsid w:val="002D2431"/>
    <w:rsid w:val="002D53FB"/>
    <w:rsid w:val="002D6467"/>
    <w:rsid w:val="002E06A7"/>
    <w:rsid w:val="002E5178"/>
    <w:rsid w:val="002F0FD4"/>
    <w:rsid w:val="002F4ECC"/>
    <w:rsid w:val="00306436"/>
    <w:rsid w:val="003077C1"/>
    <w:rsid w:val="0031034A"/>
    <w:rsid w:val="003123DE"/>
    <w:rsid w:val="00317115"/>
    <w:rsid w:val="00320663"/>
    <w:rsid w:val="00320C68"/>
    <w:rsid w:val="00321EBF"/>
    <w:rsid w:val="00322313"/>
    <w:rsid w:val="003269D3"/>
    <w:rsid w:val="00330BA1"/>
    <w:rsid w:val="00331230"/>
    <w:rsid w:val="0033644C"/>
    <w:rsid w:val="00341388"/>
    <w:rsid w:val="00342FB3"/>
    <w:rsid w:val="00344C2C"/>
    <w:rsid w:val="0035365B"/>
    <w:rsid w:val="00361349"/>
    <w:rsid w:val="00366B8F"/>
    <w:rsid w:val="00370E0B"/>
    <w:rsid w:val="00375869"/>
    <w:rsid w:val="003844EC"/>
    <w:rsid w:val="00387EE1"/>
    <w:rsid w:val="00391E16"/>
    <w:rsid w:val="0039241B"/>
    <w:rsid w:val="003966BE"/>
    <w:rsid w:val="0039686E"/>
    <w:rsid w:val="003A364F"/>
    <w:rsid w:val="003A43FB"/>
    <w:rsid w:val="003A4E01"/>
    <w:rsid w:val="003A4F85"/>
    <w:rsid w:val="003C49E6"/>
    <w:rsid w:val="003C4DA6"/>
    <w:rsid w:val="003C5041"/>
    <w:rsid w:val="003D0941"/>
    <w:rsid w:val="003D23B1"/>
    <w:rsid w:val="003D419E"/>
    <w:rsid w:val="003E0819"/>
    <w:rsid w:val="003F0078"/>
    <w:rsid w:val="003F0975"/>
    <w:rsid w:val="003F594A"/>
    <w:rsid w:val="003F6A74"/>
    <w:rsid w:val="003F747B"/>
    <w:rsid w:val="00402E7E"/>
    <w:rsid w:val="00406B59"/>
    <w:rsid w:val="00416E98"/>
    <w:rsid w:val="004400F3"/>
    <w:rsid w:val="00440217"/>
    <w:rsid w:val="00444010"/>
    <w:rsid w:val="004561C9"/>
    <w:rsid w:val="004577FF"/>
    <w:rsid w:val="00457E37"/>
    <w:rsid w:val="00465323"/>
    <w:rsid w:val="00465A8E"/>
    <w:rsid w:val="00471F74"/>
    <w:rsid w:val="00472847"/>
    <w:rsid w:val="004746CA"/>
    <w:rsid w:val="00480B55"/>
    <w:rsid w:val="004855A0"/>
    <w:rsid w:val="00490720"/>
    <w:rsid w:val="004A579C"/>
    <w:rsid w:val="004A6531"/>
    <w:rsid w:val="004B64B3"/>
    <w:rsid w:val="004C54CA"/>
    <w:rsid w:val="004C57C9"/>
    <w:rsid w:val="004D0330"/>
    <w:rsid w:val="004D492E"/>
    <w:rsid w:val="004D4E86"/>
    <w:rsid w:val="004D7233"/>
    <w:rsid w:val="004D74D1"/>
    <w:rsid w:val="004E1708"/>
    <w:rsid w:val="004E378A"/>
    <w:rsid w:val="004E687D"/>
    <w:rsid w:val="004E6B07"/>
    <w:rsid w:val="004F0887"/>
    <w:rsid w:val="004F1A18"/>
    <w:rsid w:val="004F29B2"/>
    <w:rsid w:val="00501850"/>
    <w:rsid w:val="00503BAB"/>
    <w:rsid w:val="00503D21"/>
    <w:rsid w:val="0051063C"/>
    <w:rsid w:val="00510E23"/>
    <w:rsid w:val="00515B7F"/>
    <w:rsid w:val="0051618C"/>
    <w:rsid w:val="00516D71"/>
    <w:rsid w:val="005249CC"/>
    <w:rsid w:val="0053346D"/>
    <w:rsid w:val="00544208"/>
    <w:rsid w:val="00553AAA"/>
    <w:rsid w:val="005566B8"/>
    <w:rsid w:val="0056188F"/>
    <w:rsid w:val="00572135"/>
    <w:rsid w:val="0057320F"/>
    <w:rsid w:val="005734E4"/>
    <w:rsid w:val="00574E19"/>
    <w:rsid w:val="00575E10"/>
    <w:rsid w:val="00577B21"/>
    <w:rsid w:val="00590A58"/>
    <w:rsid w:val="005913ED"/>
    <w:rsid w:val="0059364E"/>
    <w:rsid w:val="00595FF2"/>
    <w:rsid w:val="005A0957"/>
    <w:rsid w:val="005A1725"/>
    <w:rsid w:val="005A50A8"/>
    <w:rsid w:val="005B7225"/>
    <w:rsid w:val="005B79F4"/>
    <w:rsid w:val="005C021A"/>
    <w:rsid w:val="005C1932"/>
    <w:rsid w:val="005C2430"/>
    <w:rsid w:val="005C3A0B"/>
    <w:rsid w:val="005C68BA"/>
    <w:rsid w:val="005D467C"/>
    <w:rsid w:val="005D6110"/>
    <w:rsid w:val="005E1765"/>
    <w:rsid w:val="005E5171"/>
    <w:rsid w:val="005E653B"/>
    <w:rsid w:val="00600BAC"/>
    <w:rsid w:val="00601857"/>
    <w:rsid w:val="00605C4B"/>
    <w:rsid w:val="00614ED1"/>
    <w:rsid w:val="00620D32"/>
    <w:rsid w:val="00624019"/>
    <w:rsid w:val="00626435"/>
    <w:rsid w:val="00632D30"/>
    <w:rsid w:val="00635346"/>
    <w:rsid w:val="006434B6"/>
    <w:rsid w:val="006447AD"/>
    <w:rsid w:val="00661F5F"/>
    <w:rsid w:val="00663BCE"/>
    <w:rsid w:val="00673EDF"/>
    <w:rsid w:val="00680D76"/>
    <w:rsid w:val="00681728"/>
    <w:rsid w:val="00697F5A"/>
    <w:rsid w:val="006A0227"/>
    <w:rsid w:val="006A08F8"/>
    <w:rsid w:val="006A0A3F"/>
    <w:rsid w:val="006A6585"/>
    <w:rsid w:val="006A6D61"/>
    <w:rsid w:val="006B56B2"/>
    <w:rsid w:val="006B7361"/>
    <w:rsid w:val="006C2526"/>
    <w:rsid w:val="006C4DBF"/>
    <w:rsid w:val="006D0B7D"/>
    <w:rsid w:val="006D1999"/>
    <w:rsid w:val="006D305B"/>
    <w:rsid w:val="006D7596"/>
    <w:rsid w:val="006E0A53"/>
    <w:rsid w:val="006E666A"/>
    <w:rsid w:val="006E7846"/>
    <w:rsid w:val="006F0F74"/>
    <w:rsid w:val="006F17B7"/>
    <w:rsid w:val="006F423D"/>
    <w:rsid w:val="006F6F13"/>
    <w:rsid w:val="00702AFE"/>
    <w:rsid w:val="00704A6B"/>
    <w:rsid w:val="00714752"/>
    <w:rsid w:val="0071477C"/>
    <w:rsid w:val="00714E8E"/>
    <w:rsid w:val="0072160C"/>
    <w:rsid w:val="00726ABF"/>
    <w:rsid w:val="00731314"/>
    <w:rsid w:val="007320F0"/>
    <w:rsid w:val="00742017"/>
    <w:rsid w:val="00754DBD"/>
    <w:rsid w:val="00755987"/>
    <w:rsid w:val="00756DA3"/>
    <w:rsid w:val="00766F5D"/>
    <w:rsid w:val="00770656"/>
    <w:rsid w:val="0077283F"/>
    <w:rsid w:val="00773019"/>
    <w:rsid w:val="00773AD5"/>
    <w:rsid w:val="00787A42"/>
    <w:rsid w:val="0079754F"/>
    <w:rsid w:val="007A50B4"/>
    <w:rsid w:val="007A534C"/>
    <w:rsid w:val="007A58FB"/>
    <w:rsid w:val="007A6608"/>
    <w:rsid w:val="007A7CF0"/>
    <w:rsid w:val="007B16A2"/>
    <w:rsid w:val="007B43C0"/>
    <w:rsid w:val="007C1084"/>
    <w:rsid w:val="007C1F4A"/>
    <w:rsid w:val="007C230C"/>
    <w:rsid w:val="007C75A8"/>
    <w:rsid w:val="007D3959"/>
    <w:rsid w:val="007E043D"/>
    <w:rsid w:val="007E774F"/>
    <w:rsid w:val="007F047A"/>
    <w:rsid w:val="007F5CEB"/>
    <w:rsid w:val="007F7A85"/>
    <w:rsid w:val="0080299C"/>
    <w:rsid w:val="00812817"/>
    <w:rsid w:val="00826BE7"/>
    <w:rsid w:val="00827FD3"/>
    <w:rsid w:val="00830139"/>
    <w:rsid w:val="0083214E"/>
    <w:rsid w:val="0084274B"/>
    <w:rsid w:val="008428CE"/>
    <w:rsid w:val="008474EE"/>
    <w:rsid w:val="008537C2"/>
    <w:rsid w:val="008563D3"/>
    <w:rsid w:val="008577C0"/>
    <w:rsid w:val="008619BE"/>
    <w:rsid w:val="00862EB4"/>
    <w:rsid w:val="008634E6"/>
    <w:rsid w:val="0087042A"/>
    <w:rsid w:val="00870DA3"/>
    <w:rsid w:val="00892B9F"/>
    <w:rsid w:val="00892D61"/>
    <w:rsid w:val="0089338E"/>
    <w:rsid w:val="00897D27"/>
    <w:rsid w:val="008B0D27"/>
    <w:rsid w:val="008B20D0"/>
    <w:rsid w:val="008B28AF"/>
    <w:rsid w:val="008B383B"/>
    <w:rsid w:val="008B3AF3"/>
    <w:rsid w:val="008B4052"/>
    <w:rsid w:val="008B4BE8"/>
    <w:rsid w:val="008C1D4E"/>
    <w:rsid w:val="008D09D0"/>
    <w:rsid w:val="008D2D67"/>
    <w:rsid w:val="008D6C07"/>
    <w:rsid w:val="008D6E6D"/>
    <w:rsid w:val="008F5B89"/>
    <w:rsid w:val="008F7D34"/>
    <w:rsid w:val="0091186A"/>
    <w:rsid w:val="00914CAE"/>
    <w:rsid w:val="009171D8"/>
    <w:rsid w:val="00920872"/>
    <w:rsid w:val="00923461"/>
    <w:rsid w:val="009322F6"/>
    <w:rsid w:val="0093694E"/>
    <w:rsid w:val="0094041B"/>
    <w:rsid w:val="00943024"/>
    <w:rsid w:val="00944E2E"/>
    <w:rsid w:val="009458EB"/>
    <w:rsid w:val="00946488"/>
    <w:rsid w:val="00953A89"/>
    <w:rsid w:val="00954A98"/>
    <w:rsid w:val="0095647D"/>
    <w:rsid w:val="00956B30"/>
    <w:rsid w:val="00965C61"/>
    <w:rsid w:val="0096748F"/>
    <w:rsid w:val="00974997"/>
    <w:rsid w:val="009831F0"/>
    <w:rsid w:val="00985244"/>
    <w:rsid w:val="00996D5A"/>
    <w:rsid w:val="0099793A"/>
    <w:rsid w:val="00997F55"/>
    <w:rsid w:val="009A1CB6"/>
    <w:rsid w:val="009A3F24"/>
    <w:rsid w:val="009A4E88"/>
    <w:rsid w:val="009A5EF1"/>
    <w:rsid w:val="009B3794"/>
    <w:rsid w:val="009B3C5F"/>
    <w:rsid w:val="009B7E4D"/>
    <w:rsid w:val="009D005B"/>
    <w:rsid w:val="009D710C"/>
    <w:rsid w:val="009E25D0"/>
    <w:rsid w:val="009F0C1E"/>
    <w:rsid w:val="009F24A6"/>
    <w:rsid w:val="009F3339"/>
    <w:rsid w:val="00A060BF"/>
    <w:rsid w:val="00A118AA"/>
    <w:rsid w:val="00A11CBE"/>
    <w:rsid w:val="00A14339"/>
    <w:rsid w:val="00A14695"/>
    <w:rsid w:val="00A15890"/>
    <w:rsid w:val="00A21A00"/>
    <w:rsid w:val="00A35B1E"/>
    <w:rsid w:val="00A36730"/>
    <w:rsid w:val="00A43802"/>
    <w:rsid w:val="00A44189"/>
    <w:rsid w:val="00A44B43"/>
    <w:rsid w:val="00A47DA1"/>
    <w:rsid w:val="00A50CB0"/>
    <w:rsid w:val="00A5146C"/>
    <w:rsid w:val="00A5264F"/>
    <w:rsid w:val="00A52C82"/>
    <w:rsid w:val="00A55BCB"/>
    <w:rsid w:val="00A62417"/>
    <w:rsid w:val="00A631AA"/>
    <w:rsid w:val="00A765F7"/>
    <w:rsid w:val="00A767A1"/>
    <w:rsid w:val="00A772C9"/>
    <w:rsid w:val="00A90F7E"/>
    <w:rsid w:val="00A92CAB"/>
    <w:rsid w:val="00A95ECB"/>
    <w:rsid w:val="00AA3392"/>
    <w:rsid w:val="00AB23BB"/>
    <w:rsid w:val="00AC5655"/>
    <w:rsid w:val="00AD141C"/>
    <w:rsid w:val="00AD67A8"/>
    <w:rsid w:val="00AE2ADB"/>
    <w:rsid w:val="00AE7154"/>
    <w:rsid w:val="00AF0576"/>
    <w:rsid w:val="00AF6F27"/>
    <w:rsid w:val="00B01F8A"/>
    <w:rsid w:val="00B02183"/>
    <w:rsid w:val="00B06D26"/>
    <w:rsid w:val="00B07FCB"/>
    <w:rsid w:val="00B14108"/>
    <w:rsid w:val="00B147AF"/>
    <w:rsid w:val="00B17E33"/>
    <w:rsid w:val="00B23BF1"/>
    <w:rsid w:val="00B24AB8"/>
    <w:rsid w:val="00B2596B"/>
    <w:rsid w:val="00B27ABA"/>
    <w:rsid w:val="00B30330"/>
    <w:rsid w:val="00B30F78"/>
    <w:rsid w:val="00B322BE"/>
    <w:rsid w:val="00B40B27"/>
    <w:rsid w:val="00B44826"/>
    <w:rsid w:val="00B472FB"/>
    <w:rsid w:val="00B50105"/>
    <w:rsid w:val="00B53D75"/>
    <w:rsid w:val="00B547C4"/>
    <w:rsid w:val="00B56B9C"/>
    <w:rsid w:val="00B655C6"/>
    <w:rsid w:val="00B667D0"/>
    <w:rsid w:val="00B72BC1"/>
    <w:rsid w:val="00B72EF9"/>
    <w:rsid w:val="00B7519A"/>
    <w:rsid w:val="00B82BCD"/>
    <w:rsid w:val="00B84091"/>
    <w:rsid w:val="00B87F16"/>
    <w:rsid w:val="00B91B1C"/>
    <w:rsid w:val="00B920CB"/>
    <w:rsid w:val="00BA15BE"/>
    <w:rsid w:val="00BA18F4"/>
    <w:rsid w:val="00BA1A0C"/>
    <w:rsid w:val="00BA1F79"/>
    <w:rsid w:val="00BA5D00"/>
    <w:rsid w:val="00BA6FF8"/>
    <w:rsid w:val="00BB5875"/>
    <w:rsid w:val="00BC23BB"/>
    <w:rsid w:val="00BC34FE"/>
    <w:rsid w:val="00BC3B9B"/>
    <w:rsid w:val="00BE1812"/>
    <w:rsid w:val="00BE23B2"/>
    <w:rsid w:val="00BE3BB6"/>
    <w:rsid w:val="00BF3DB9"/>
    <w:rsid w:val="00BF5EB7"/>
    <w:rsid w:val="00C04B5D"/>
    <w:rsid w:val="00C06081"/>
    <w:rsid w:val="00C13221"/>
    <w:rsid w:val="00C13ADC"/>
    <w:rsid w:val="00C20983"/>
    <w:rsid w:val="00C22682"/>
    <w:rsid w:val="00C23B25"/>
    <w:rsid w:val="00C323A7"/>
    <w:rsid w:val="00C33224"/>
    <w:rsid w:val="00C376EC"/>
    <w:rsid w:val="00C411C7"/>
    <w:rsid w:val="00C534E6"/>
    <w:rsid w:val="00C5375B"/>
    <w:rsid w:val="00C5438A"/>
    <w:rsid w:val="00C6574C"/>
    <w:rsid w:val="00C67D9E"/>
    <w:rsid w:val="00C710D4"/>
    <w:rsid w:val="00C724CC"/>
    <w:rsid w:val="00C7280A"/>
    <w:rsid w:val="00C73D99"/>
    <w:rsid w:val="00C74B86"/>
    <w:rsid w:val="00C767B5"/>
    <w:rsid w:val="00C77293"/>
    <w:rsid w:val="00C82050"/>
    <w:rsid w:val="00C85CD4"/>
    <w:rsid w:val="00C94141"/>
    <w:rsid w:val="00C95E9D"/>
    <w:rsid w:val="00CA24B9"/>
    <w:rsid w:val="00CA3DA6"/>
    <w:rsid w:val="00CA63A4"/>
    <w:rsid w:val="00CA76F2"/>
    <w:rsid w:val="00CB6380"/>
    <w:rsid w:val="00CB74C4"/>
    <w:rsid w:val="00CB7A38"/>
    <w:rsid w:val="00CC3EC7"/>
    <w:rsid w:val="00CC6B47"/>
    <w:rsid w:val="00CD2E36"/>
    <w:rsid w:val="00CD36E7"/>
    <w:rsid w:val="00CD42B5"/>
    <w:rsid w:val="00CD546F"/>
    <w:rsid w:val="00CE01E8"/>
    <w:rsid w:val="00CE44A5"/>
    <w:rsid w:val="00CE51C3"/>
    <w:rsid w:val="00CE5AA9"/>
    <w:rsid w:val="00CF3111"/>
    <w:rsid w:val="00CF3A20"/>
    <w:rsid w:val="00D01B0A"/>
    <w:rsid w:val="00D04D54"/>
    <w:rsid w:val="00D069EB"/>
    <w:rsid w:val="00D07B81"/>
    <w:rsid w:val="00D13A10"/>
    <w:rsid w:val="00D237D8"/>
    <w:rsid w:val="00D303D4"/>
    <w:rsid w:val="00D31AB7"/>
    <w:rsid w:val="00D32821"/>
    <w:rsid w:val="00D341DC"/>
    <w:rsid w:val="00D348B8"/>
    <w:rsid w:val="00D35A64"/>
    <w:rsid w:val="00D426D5"/>
    <w:rsid w:val="00D44985"/>
    <w:rsid w:val="00D46313"/>
    <w:rsid w:val="00D4672D"/>
    <w:rsid w:val="00D52863"/>
    <w:rsid w:val="00D52B74"/>
    <w:rsid w:val="00D53084"/>
    <w:rsid w:val="00D54B38"/>
    <w:rsid w:val="00D564F2"/>
    <w:rsid w:val="00D636D6"/>
    <w:rsid w:val="00D711B7"/>
    <w:rsid w:val="00D73618"/>
    <w:rsid w:val="00D74B86"/>
    <w:rsid w:val="00D74FB4"/>
    <w:rsid w:val="00D840E0"/>
    <w:rsid w:val="00D865E5"/>
    <w:rsid w:val="00D92E1D"/>
    <w:rsid w:val="00D930A6"/>
    <w:rsid w:val="00D94706"/>
    <w:rsid w:val="00DA26DF"/>
    <w:rsid w:val="00DA372A"/>
    <w:rsid w:val="00DA6384"/>
    <w:rsid w:val="00DA738A"/>
    <w:rsid w:val="00DB0724"/>
    <w:rsid w:val="00DB0CA8"/>
    <w:rsid w:val="00DB7B3E"/>
    <w:rsid w:val="00DC6D0C"/>
    <w:rsid w:val="00DC7841"/>
    <w:rsid w:val="00DD1696"/>
    <w:rsid w:val="00DE08C8"/>
    <w:rsid w:val="00DE2E2A"/>
    <w:rsid w:val="00DE3A45"/>
    <w:rsid w:val="00DE44A8"/>
    <w:rsid w:val="00DE6763"/>
    <w:rsid w:val="00DE6DD8"/>
    <w:rsid w:val="00DE7490"/>
    <w:rsid w:val="00DF0402"/>
    <w:rsid w:val="00DF1A2E"/>
    <w:rsid w:val="00DF21E0"/>
    <w:rsid w:val="00E027E1"/>
    <w:rsid w:val="00E10324"/>
    <w:rsid w:val="00E12416"/>
    <w:rsid w:val="00E1500B"/>
    <w:rsid w:val="00E17745"/>
    <w:rsid w:val="00E17C65"/>
    <w:rsid w:val="00E17EA1"/>
    <w:rsid w:val="00E20105"/>
    <w:rsid w:val="00E203FA"/>
    <w:rsid w:val="00E344B8"/>
    <w:rsid w:val="00E34A1F"/>
    <w:rsid w:val="00E35BCE"/>
    <w:rsid w:val="00E35F90"/>
    <w:rsid w:val="00E3684A"/>
    <w:rsid w:val="00E375F5"/>
    <w:rsid w:val="00E4048C"/>
    <w:rsid w:val="00E416AD"/>
    <w:rsid w:val="00E42CD1"/>
    <w:rsid w:val="00E46837"/>
    <w:rsid w:val="00E56730"/>
    <w:rsid w:val="00E57405"/>
    <w:rsid w:val="00E62916"/>
    <w:rsid w:val="00E76D62"/>
    <w:rsid w:val="00E82230"/>
    <w:rsid w:val="00E962DB"/>
    <w:rsid w:val="00EA0EAE"/>
    <w:rsid w:val="00EA4DE7"/>
    <w:rsid w:val="00EB5D72"/>
    <w:rsid w:val="00EC532E"/>
    <w:rsid w:val="00ED18EA"/>
    <w:rsid w:val="00ED1A3E"/>
    <w:rsid w:val="00ED1CA9"/>
    <w:rsid w:val="00ED2307"/>
    <w:rsid w:val="00ED7BB0"/>
    <w:rsid w:val="00EE331F"/>
    <w:rsid w:val="00EE529C"/>
    <w:rsid w:val="00EF4EAD"/>
    <w:rsid w:val="00EF6B51"/>
    <w:rsid w:val="00EF6FA0"/>
    <w:rsid w:val="00F00818"/>
    <w:rsid w:val="00F0485C"/>
    <w:rsid w:val="00F1694F"/>
    <w:rsid w:val="00F16D33"/>
    <w:rsid w:val="00F246AD"/>
    <w:rsid w:val="00F24D37"/>
    <w:rsid w:val="00F31E3B"/>
    <w:rsid w:val="00F4221E"/>
    <w:rsid w:val="00F44A87"/>
    <w:rsid w:val="00F51B2D"/>
    <w:rsid w:val="00F542EC"/>
    <w:rsid w:val="00F555B6"/>
    <w:rsid w:val="00F714CC"/>
    <w:rsid w:val="00F72F0D"/>
    <w:rsid w:val="00F75A58"/>
    <w:rsid w:val="00F76BBF"/>
    <w:rsid w:val="00F8361F"/>
    <w:rsid w:val="00F85EE1"/>
    <w:rsid w:val="00F923CA"/>
    <w:rsid w:val="00F939C9"/>
    <w:rsid w:val="00FB5CCB"/>
    <w:rsid w:val="00FB6A85"/>
    <w:rsid w:val="00FC0E4B"/>
    <w:rsid w:val="00FD61EC"/>
    <w:rsid w:val="00FD7755"/>
    <w:rsid w:val="00FE0224"/>
    <w:rsid w:val="00FE1A60"/>
    <w:rsid w:val="00FF1EA8"/>
    <w:rsid w:val="00FF3BC1"/>
    <w:rsid w:val="00FF3DD3"/>
    <w:rsid w:val="00FF6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41"/>
    <o:shapelayout v:ext="edit">
      <o:idmap v:ext="edit" data="1"/>
    </o:shapelayout>
  </w:shapeDefaults>
  <w:decimalSymbol w:val="."/>
  <w:listSeparator w:val=","/>
  <w14:docId w14:val="091DE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uiPriority w:val="5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CommentReference">
    <w:name w:val="annotation reference"/>
    <w:basedOn w:val="DefaultParagraphFont"/>
    <w:uiPriority w:val="99"/>
    <w:rsid w:val="00E57405"/>
    <w:rPr>
      <w:sz w:val="16"/>
      <w:szCs w:val="16"/>
    </w:rPr>
  </w:style>
  <w:style w:type="paragraph" w:styleId="CommentText">
    <w:name w:val="annotation text"/>
    <w:basedOn w:val="Normal"/>
    <w:link w:val="CommentTextChar"/>
    <w:uiPriority w:val="99"/>
    <w:rsid w:val="00E57405"/>
    <w:rPr>
      <w:szCs w:val="20"/>
    </w:rPr>
  </w:style>
  <w:style w:type="character" w:customStyle="1" w:styleId="CommentTextChar">
    <w:name w:val="Comment Text Char"/>
    <w:basedOn w:val="DefaultParagraphFont"/>
    <w:link w:val="CommentText"/>
    <w:uiPriority w:val="99"/>
    <w:rsid w:val="00E57405"/>
  </w:style>
  <w:style w:type="paragraph" w:styleId="CommentSubject">
    <w:name w:val="annotation subject"/>
    <w:basedOn w:val="CommentText"/>
    <w:next w:val="CommentText"/>
    <w:link w:val="CommentSubjectChar"/>
    <w:rsid w:val="00E57405"/>
    <w:rPr>
      <w:b/>
      <w:bCs/>
    </w:rPr>
  </w:style>
  <w:style w:type="character" w:customStyle="1" w:styleId="CommentSubjectChar">
    <w:name w:val="Comment Subject Char"/>
    <w:basedOn w:val="CommentTextChar"/>
    <w:link w:val="CommentSubject"/>
    <w:rsid w:val="00E57405"/>
    <w:rPr>
      <w:b/>
      <w:bCs/>
    </w:rPr>
  </w:style>
  <w:style w:type="paragraph" w:customStyle="1" w:styleId="a">
    <w:name w:val="_"/>
    <w:basedOn w:val="Normal"/>
    <w:rsid w:val="00FB6A85"/>
    <w:pPr>
      <w:ind w:left="720" w:hanging="720"/>
    </w:pPr>
    <w:rPr>
      <w:sz w:val="24"/>
    </w:rPr>
  </w:style>
  <w:style w:type="character" w:styleId="PageNumber">
    <w:name w:val="page number"/>
    <w:basedOn w:val="DefaultParagraphFont"/>
    <w:rsid w:val="000D0C09"/>
  </w:style>
  <w:style w:type="paragraph" w:styleId="Footer">
    <w:name w:val="footer"/>
    <w:basedOn w:val="Normal"/>
    <w:link w:val="FooterChar"/>
    <w:rsid w:val="000D0C09"/>
    <w:pPr>
      <w:tabs>
        <w:tab w:val="center" w:pos="4320"/>
        <w:tab w:val="right" w:pos="8640"/>
      </w:tabs>
    </w:pPr>
    <w:rPr>
      <w:szCs w:val="20"/>
    </w:rPr>
  </w:style>
  <w:style w:type="character" w:customStyle="1" w:styleId="FooterChar">
    <w:name w:val="Footer Char"/>
    <w:basedOn w:val="DefaultParagraphFont"/>
    <w:link w:val="Footer"/>
    <w:rsid w:val="000D0C09"/>
  </w:style>
  <w:style w:type="table" w:styleId="Table3Deffects3">
    <w:name w:val="Table 3D effects 3"/>
    <w:basedOn w:val="TableNormal"/>
    <w:rsid w:val="009322F6"/>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semiHidden/>
    <w:unhideWhenUsed/>
    <w:rsid w:val="00DE7490"/>
    <w:rPr>
      <w:szCs w:val="20"/>
    </w:rPr>
  </w:style>
  <w:style w:type="character" w:customStyle="1" w:styleId="FootnoteTextChar">
    <w:name w:val="Footnote Text Char"/>
    <w:basedOn w:val="DefaultParagraphFont"/>
    <w:link w:val="FootnoteText"/>
    <w:semiHidden/>
    <w:rsid w:val="00DE7490"/>
  </w:style>
  <w:style w:type="table" w:styleId="LightList">
    <w:name w:val="Light List"/>
    <w:basedOn w:val="TableNormal"/>
    <w:uiPriority w:val="61"/>
    <w:rsid w:val="0039241B"/>
    <w:rPr>
      <w:rFonts w:asciiTheme="minorHAnsi" w:eastAsiaTheme="minorHAnsi"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Revision">
    <w:name w:val="Revision"/>
    <w:hidden/>
    <w:uiPriority w:val="99"/>
    <w:semiHidden/>
    <w:rsid w:val="00223FFA"/>
    <w:rPr>
      <w:szCs w:val="24"/>
    </w:rPr>
  </w:style>
  <w:style w:type="paragraph" w:customStyle="1" w:styleId="P1-StandPara">
    <w:name w:val="P1-Stand Para"/>
    <w:uiPriority w:val="99"/>
    <w:rsid w:val="00A5146C"/>
    <w:pPr>
      <w:spacing w:line="360" w:lineRule="atLeast"/>
      <w:ind w:firstLine="1152"/>
      <w:jc w:val="both"/>
    </w:pPr>
    <w:rPr>
      <w:sz w:val="22"/>
    </w:rPr>
  </w:style>
  <w:style w:type="paragraph" w:customStyle="1" w:styleId="N2-2ndBullet">
    <w:name w:val="N2-2nd Bullet"/>
    <w:basedOn w:val="Normal"/>
    <w:uiPriority w:val="99"/>
    <w:rsid w:val="00A5146C"/>
    <w:pPr>
      <w:widowControl/>
      <w:numPr>
        <w:numId w:val="3"/>
      </w:numPr>
      <w:tabs>
        <w:tab w:val="left" w:pos="1728"/>
      </w:tabs>
      <w:autoSpaceDE/>
      <w:autoSpaceDN/>
      <w:adjustRightInd/>
      <w:spacing w:after="240" w:line="240" w:lineRule="atLeast"/>
      <w:jc w:val="both"/>
    </w:pPr>
    <w:rPr>
      <w:sz w:val="22"/>
      <w:szCs w:val="20"/>
    </w:rPr>
  </w:style>
  <w:style w:type="character" w:styleId="FollowedHyperlink">
    <w:name w:val="FollowedHyperlink"/>
    <w:basedOn w:val="DefaultParagraphFont"/>
    <w:semiHidden/>
    <w:unhideWhenUsed/>
    <w:rsid w:val="007E774F"/>
    <w:rPr>
      <w:color w:val="800080" w:themeColor="followedHyperlink"/>
      <w:u w:val="single"/>
    </w:rPr>
  </w:style>
  <w:style w:type="paragraph" w:customStyle="1" w:styleId="xmsonormal">
    <w:name w:val="x_msonormal"/>
    <w:basedOn w:val="Normal"/>
    <w:rsid w:val="00892D61"/>
    <w:pPr>
      <w:widowControl/>
      <w:autoSpaceDE/>
      <w:autoSpaceDN/>
      <w:adjustRightInd/>
      <w:spacing w:before="100" w:beforeAutospacing="1" w:after="100" w:afterAutospacing="1"/>
    </w:pPr>
    <w:rPr>
      <w:sz w:val="24"/>
    </w:rPr>
  </w:style>
  <w:style w:type="paragraph" w:customStyle="1" w:styleId="xmsolistparagraph">
    <w:name w:val="x_msolistparagraph"/>
    <w:basedOn w:val="Normal"/>
    <w:rsid w:val="00892D61"/>
    <w:pPr>
      <w:widowControl/>
      <w:autoSpaceDE/>
      <w:autoSpaceDN/>
      <w:adjustRightInd/>
      <w:spacing w:before="100" w:beforeAutospacing="1" w:after="100" w:afterAutospacing="1"/>
    </w:pPr>
    <w:rPr>
      <w:sz w:val="24"/>
    </w:rPr>
  </w:style>
  <w:style w:type="table" w:customStyle="1" w:styleId="TableGrid1">
    <w:name w:val="Table Grid1"/>
    <w:basedOn w:val="TableNormal"/>
    <w:next w:val="TableGrid"/>
    <w:uiPriority w:val="59"/>
    <w:rsid w:val="00B14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E378A"/>
    <w:pPr>
      <w:tabs>
        <w:tab w:val="center" w:pos="4680"/>
        <w:tab w:val="right" w:pos="9360"/>
      </w:tabs>
    </w:pPr>
  </w:style>
  <w:style w:type="character" w:customStyle="1" w:styleId="HeaderChar">
    <w:name w:val="Header Char"/>
    <w:basedOn w:val="DefaultParagraphFont"/>
    <w:link w:val="Header"/>
    <w:rsid w:val="004E378A"/>
    <w:rPr>
      <w:szCs w:val="24"/>
    </w:rPr>
  </w:style>
  <w:style w:type="paragraph" w:styleId="EndnoteText">
    <w:name w:val="endnote text"/>
    <w:basedOn w:val="Normal"/>
    <w:link w:val="EndnoteTextChar"/>
    <w:semiHidden/>
    <w:unhideWhenUsed/>
    <w:rsid w:val="00A50CB0"/>
    <w:rPr>
      <w:szCs w:val="20"/>
    </w:rPr>
  </w:style>
  <w:style w:type="character" w:customStyle="1" w:styleId="EndnoteTextChar">
    <w:name w:val="Endnote Text Char"/>
    <w:basedOn w:val="DefaultParagraphFont"/>
    <w:link w:val="EndnoteText"/>
    <w:semiHidden/>
    <w:rsid w:val="00A50CB0"/>
  </w:style>
  <w:style w:type="character" w:styleId="EndnoteReference">
    <w:name w:val="endnote reference"/>
    <w:basedOn w:val="DefaultParagraphFont"/>
    <w:semiHidden/>
    <w:unhideWhenUsed/>
    <w:rsid w:val="00A50CB0"/>
    <w:rPr>
      <w:vertAlign w:val="superscript"/>
    </w:rPr>
  </w:style>
  <w:style w:type="paragraph" w:styleId="BodyTextIndent2">
    <w:name w:val="Body Text Indent 2"/>
    <w:basedOn w:val="Normal"/>
    <w:link w:val="BodyTextIndent2Char"/>
    <w:semiHidden/>
    <w:unhideWhenUsed/>
    <w:rsid w:val="002B3FFB"/>
    <w:pPr>
      <w:spacing w:after="120" w:line="480" w:lineRule="auto"/>
      <w:ind w:left="360"/>
    </w:pPr>
  </w:style>
  <w:style w:type="character" w:customStyle="1" w:styleId="BodyTextIndent2Char">
    <w:name w:val="Body Text Indent 2 Char"/>
    <w:basedOn w:val="DefaultParagraphFont"/>
    <w:link w:val="BodyTextIndent2"/>
    <w:semiHidden/>
    <w:rsid w:val="002B3FFB"/>
    <w:rPr>
      <w:szCs w:val="24"/>
    </w:rPr>
  </w:style>
  <w:style w:type="paragraph" w:styleId="NormalWeb">
    <w:name w:val="Normal (Web)"/>
    <w:basedOn w:val="Normal"/>
    <w:uiPriority w:val="99"/>
    <w:semiHidden/>
    <w:unhideWhenUsed/>
    <w:rsid w:val="002B3FFB"/>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2856">
      <w:bodyDiv w:val="1"/>
      <w:marLeft w:val="0"/>
      <w:marRight w:val="0"/>
      <w:marTop w:val="0"/>
      <w:marBottom w:val="0"/>
      <w:divBdr>
        <w:top w:val="none" w:sz="0" w:space="0" w:color="auto"/>
        <w:left w:val="none" w:sz="0" w:space="0" w:color="auto"/>
        <w:bottom w:val="none" w:sz="0" w:space="0" w:color="auto"/>
        <w:right w:val="none" w:sz="0" w:space="0" w:color="auto"/>
      </w:divBdr>
    </w:div>
    <w:div w:id="121312878">
      <w:bodyDiv w:val="1"/>
      <w:marLeft w:val="0"/>
      <w:marRight w:val="0"/>
      <w:marTop w:val="0"/>
      <w:marBottom w:val="0"/>
      <w:divBdr>
        <w:top w:val="none" w:sz="0" w:space="0" w:color="auto"/>
        <w:left w:val="none" w:sz="0" w:space="0" w:color="auto"/>
        <w:bottom w:val="none" w:sz="0" w:space="0" w:color="auto"/>
        <w:right w:val="none" w:sz="0" w:space="0" w:color="auto"/>
      </w:divBdr>
    </w:div>
    <w:div w:id="353845879">
      <w:bodyDiv w:val="1"/>
      <w:marLeft w:val="0"/>
      <w:marRight w:val="0"/>
      <w:marTop w:val="0"/>
      <w:marBottom w:val="0"/>
      <w:divBdr>
        <w:top w:val="none" w:sz="0" w:space="0" w:color="auto"/>
        <w:left w:val="none" w:sz="0" w:space="0" w:color="auto"/>
        <w:bottom w:val="none" w:sz="0" w:space="0" w:color="auto"/>
        <w:right w:val="none" w:sz="0" w:space="0" w:color="auto"/>
      </w:divBdr>
    </w:div>
    <w:div w:id="393502529">
      <w:bodyDiv w:val="1"/>
      <w:marLeft w:val="0"/>
      <w:marRight w:val="0"/>
      <w:marTop w:val="0"/>
      <w:marBottom w:val="0"/>
      <w:divBdr>
        <w:top w:val="none" w:sz="0" w:space="0" w:color="auto"/>
        <w:left w:val="none" w:sz="0" w:space="0" w:color="auto"/>
        <w:bottom w:val="none" w:sz="0" w:space="0" w:color="auto"/>
        <w:right w:val="none" w:sz="0" w:space="0" w:color="auto"/>
      </w:divBdr>
    </w:div>
    <w:div w:id="404910818">
      <w:bodyDiv w:val="1"/>
      <w:marLeft w:val="0"/>
      <w:marRight w:val="0"/>
      <w:marTop w:val="0"/>
      <w:marBottom w:val="0"/>
      <w:divBdr>
        <w:top w:val="none" w:sz="0" w:space="0" w:color="auto"/>
        <w:left w:val="none" w:sz="0" w:space="0" w:color="auto"/>
        <w:bottom w:val="none" w:sz="0" w:space="0" w:color="auto"/>
        <w:right w:val="none" w:sz="0" w:space="0" w:color="auto"/>
      </w:divBdr>
    </w:div>
    <w:div w:id="663971867">
      <w:bodyDiv w:val="1"/>
      <w:marLeft w:val="0"/>
      <w:marRight w:val="0"/>
      <w:marTop w:val="0"/>
      <w:marBottom w:val="0"/>
      <w:divBdr>
        <w:top w:val="none" w:sz="0" w:space="0" w:color="auto"/>
        <w:left w:val="none" w:sz="0" w:space="0" w:color="auto"/>
        <w:bottom w:val="none" w:sz="0" w:space="0" w:color="auto"/>
        <w:right w:val="none" w:sz="0" w:space="0" w:color="auto"/>
      </w:divBdr>
    </w:div>
    <w:div w:id="788553531">
      <w:bodyDiv w:val="1"/>
      <w:marLeft w:val="0"/>
      <w:marRight w:val="0"/>
      <w:marTop w:val="0"/>
      <w:marBottom w:val="0"/>
      <w:divBdr>
        <w:top w:val="none" w:sz="0" w:space="0" w:color="auto"/>
        <w:left w:val="none" w:sz="0" w:space="0" w:color="auto"/>
        <w:bottom w:val="none" w:sz="0" w:space="0" w:color="auto"/>
        <w:right w:val="none" w:sz="0" w:space="0" w:color="auto"/>
      </w:divBdr>
    </w:div>
    <w:div w:id="870917813">
      <w:bodyDiv w:val="1"/>
      <w:marLeft w:val="0"/>
      <w:marRight w:val="0"/>
      <w:marTop w:val="0"/>
      <w:marBottom w:val="0"/>
      <w:divBdr>
        <w:top w:val="none" w:sz="0" w:space="0" w:color="auto"/>
        <w:left w:val="none" w:sz="0" w:space="0" w:color="auto"/>
        <w:bottom w:val="none" w:sz="0" w:space="0" w:color="auto"/>
        <w:right w:val="none" w:sz="0" w:space="0" w:color="auto"/>
      </w:divBdr>
    </w:div>
    <w:div w:id="893199569">
      <w:bodyDiv w:val="1"/>
      <w:marLeft w:val="0"/>
      <w:marRight w:val="0"/>
      <w:marTop w:val="0"/>
      <w:marBottom w:val="0"/>
      <w:divBdr>
        <w:top w:val="none" w:sz="0" w:space="0" w:color="auto"/>
        <w:left w:val="none" w:sz="0" w:space="0" w:color="auto"/>
        <w:bottom w:val="none" w:sz="0" w:space="0" w:color="auto"/>
        <w:right w:val="none" w:sz="0" w:space="0" w:color="auto"/>
      </w:divBdr>
    </w:div>
    <w:div w:id="935749973">
      <w:bodyDiv w:val="1"/>
      <w:marLeft w:val="0"/>
      <w:marRight w:val="0"/>
      <w:marTop w:val="0"/>
      <w:marBottom w:val="0"/>
      <w:divBdr>
        <w:top w:val="none" w:sz="0" w:space="0" w:color="auto"/>
        <w:left w:val="none" w:sz="0" w:space="0" w:color="auto"/>
        <w:bottom w:val="none" w:sz="0" w:space="0" w:color="auto"/>
        <w:right w:val="none" w:sz="0" w:space="0" w:color="auto"/>
      </w:divBdr>
    </w:div>
    <w:div w:id="1066565470">
      <w:bodyDiv w:val="1"/>
      <w:marLeft w:val="0"/>
      <w:marRight w:val="0"/>
      <w:marTop w:val="0"/>
      <w:marBottom w:val="0"/>
      <w:divBdr>
        <w:top w:val="none" w:sz="0" w:space="0" w:color="auto"/>
        <w:left w:val="none" w:sz="0" w:space="0" w:color="auto"/>
        <w:bottom w:val="none" w:sz="0" w:space="0" w:color="auto"/>
        <w:right w:val="none" w:sz="0" w:space="0" w:color="auto"/>
      </w:divBdr>
    </w:div>
    <w:div w:id="1224292342">
      <w:bodyDiv w:val="1"/>
      <w:marLeft w:val="0"/>
      <w:marRight w:val="0"/>
      <w:marTop w:val="0"/>
      <w:marBottom w:val="0"/>
      <w:divBdr>
        <w:top w:val="none" w:sz="0" w:space="0" w:color="auto"/>
        <w:left w:val="none" w:sz="0" w:space="0" w:color="auto"/>
        <w:bottom w:val="none" w:sz="0" w:space="0" w:color="auto"/>
        <w:right w:val="none" w:sz="0" w:space="0" w:color="auto"/>
      </w:divBdr>
    </w:div>
    <w:div w:id="1244216605">
      <w:bodyDiv w:val="1"/>
      <w:marLeft w:val="0"/>
      <w:marRight w:val="0"/>
      <w:marTop w:val="0"/>
      <w:marBottom w:val="0"/>
      <w:divBdr>
        <w:top w:val="none" w:sz="0" w:space="0" w:color="auto"/>
        <w:left w:val="none" w:sz="0" w:space="0" w:color="auto"/>
        <w:bottom w:val="none" w:sz="0" w:space="0" w:color="auto"/>
        <w:right w:val="none" w:sz="0" w:space="0" w:color="auto"/>
      </w:divBdr>
      <w:divsChild>
        <w:div w:id="1366053766">
          <w:marLeft w:val="0"/>
          <w:marRight w:val="120"/>
          <w:marTop w:val="0"/>
          <w:marBottom w:val="0"/>
          <w:divBdr>
            <w:top w:val="none" w:sz="0" w:space="0" w:color="auto"/>
            <w:left w:val="none" w:sz="0" w:space="0" w:color="auto"/>
            <w:bottom w:val="none" w:sz="0" w:space="0" w:color="auto"/>
            <w:right w:val="none" w:sz="0" w:space="0" w:color="auto"/>
          </w:divBdr>
          <w:divsChild>
            <w:div w:id="1461803406">
              <w:marLeft w:val="0"/>
              <w:marRight w:val="0"/>
              <w:marTop w:val="0"/>
              <w:marBottom w:val="0"/>
              <w:divBdr>
                <w:top w:val="none" w:sz="0" w:space="0" w:color="auto"/>
                <w:left w:val="none" w:sz="0" w:space="0" w:color="auto"/>
                <w:bottom w:val="none" w:sz="0" w:space="0" w:color="auto"/>
                <w:right w:val="none" w:sz="0" w:space="0" w:color="auto"/>
              </w:divBdr>
              <w:divsChild>
                <w:div w:id="1918201956">
                  <w:marLeft w:val="0"/>
                  <w:marRight w:val="0"/>
                  <w:marTop w:val="0"/>
                  <w:marBottom w:val="0"/>
                  <w:divBdr>
                    <w:top w:val="none" w:sz="0" w:space="0" w:color="auto"/>
                    <w:left w:val="none" w:sz="0" w:space="0" w:color="auto"/>
                    <w:bottom w:val="none" w:sz="0" w:space="0" w:color="auto"/>
                    <w:right w:val="none" w:sz="0" w:space="0" w:color="auto"/>
                  </w:divBdr>
                  <w:divsChild>
                    <w:div w:id="2089306117">
                      <w:marLeft w:val="0"/>
                      <w:marRight w:val="0"/>
                      <w:marTop w:val="0"/>
                      <w:marBottom w:val="0"/>
                      <w:divBdr>
                        <w:top w:val="none" w:sz="0" w:space="0" w:color="auto"/>
                        <w:left w:val="none" w:sz="0" w:space="0" w:color="auto"/>
                        <w:bottom w:val="none" w:sz="0" w:space="0" w:color="auto"/>
                        <w:right w:val="none" w:sz="0" w:space="0" w:color="auto"/>
                      </w:divBdr>
                      <w:divsChild>
                        <w:div w:id="973365651">
                          <w:marLeft w:val="0"/>
                          <w:marRight w:val="0"/>
                          <w:marTop w:val="0"/>
                          <w:marBottom w:val="0"/>
                          <w:divBdr>
                            <w:top w:val="none" w:sz="0" w:space="0" w:color="auto"/>
                            <w:left w:val="none" w:sz="0" w:space="0" w:color="auto"/>
                            <w:bottom w:val="none" w:sz="0" w:space="0" w:color="auto"/>
                            <w:right w:val="none" w:sz="0" w:space="0" w:color="auto"/>
                          </w:divBdr>
                          <w:divsChild>
                            <w:div w:id="1789659995">
                              <w:marLeft w:val="0"/>
                              <w:marRight w:val="0"/>
                              <w:marTop w:val="0"/>
                              <w:marBottom w:val="0"/>
                              <w:divBdr>
                                <w:top w:val="none" w:sz="0" w:space="0" w:color="auto"/>
                                <w:left w:val="none" w:sz="0" w:space="0" w:color="auto"/>
                                <w:bottom w:val="none" w:sz="0" w:space="0" w:color="auto"/>
                                <w:right w:val="none" w:sz="0" w:space="0" w:color="auto"/>
                              </w:divBdr>
                              <w:divsChild>
                                <w:div w:id="588268134">
                                  <w:marLeft w:val="0"/>
                                  <w:marRight w:val="0"/>
                                  <w:marTop w:val="0"/>
                                  <w:marBottom w:val="0"/>
                                  <w:divBdr>
                                    <w:top w:val="none" w:sz="0" w:space="0" w:color="auto"/>
                                    <w:left w:val="none" w:sz="0" w:space="0" w:color="auto"/>
                                    <w:bottom w:val="none" w:sz="0" w:space="0" w:color="auto"/>
                                    <w:right w:val="none" w:sz="0" w:space="0" w:color="auto"/>
                                  </w:divBdr>
                                  <w:divsChild>
                                    <w:div w:id="1201283812">
                                      <w:marLeft w:val="0"/>
                                      <w:marRight w:val="0"/>
                                      <w:marTop w:val="0"/>
                                      <w:marBottom w:val="0"/>
                                      <w:divBdr>
                                        <w:top w:val="none" w:sz="0" w:space="0" w:color="auto"/>
                                        <w:left w:val="none" w:sz="0" w:space="0" w:color="auto"/>
                                        <w:bottom w:val="none" w:sz="0" w:space="0" w:color="auto"/>
                                        <w:right w:val="none" w:sz="0" w:space="0" w:color="auto"/>
                                      </w:divBdr>
                                      <w:divsChild>
                                        <w:div w:id="812409634">
                                          <w:marLeft w:val="0"/>
                                          <w:marRight w:val="0"/>
                                          <w:marTop w:val="0"/>
                                          <w:marBottom w:val="0"/>
                                          <w:divBdr>
                                            <w:top w:val="none" w:sz="0" w:space="0" w:color="auto"/>
                                            <w:left w:val="none" w:sz="0" w:space="0" w:color="auto"/>
                                            <w:bottom w:val="none" w:sz="0" w:space="0" w:color="auto"/>
                                            <w:right w:val="none" w:sz="0" w:space="0" w:color="auto"/>
                                          </w:divBdr>
                                          <w:divsChild>
                                            <w:div w:id="555822781">
                                              <w:marLeft w:val="0"/>
                                              <w:marRight w:val="0"/>
                                              <w:marTop w:val="0"/>
                                              <w:marBottom w:val="0"/>
                                              <w:divBdr>
                                                <w:top w:val="none" w:sz="0" w:space="0" w:color="auto"/>
                                                <w:left w:val="none" w:sz="0" w:space="0" w:color="auto"/>
                                                <w:bottom w:val="none" w:sz="0" w:space="0" w:color="auto"/>
                                                <w:right w:val="none" w:sz="0" w:space="0" w:color="auto"/>
                                              </w:divBdr>
                                              <w:divsChild>
                                                <w:div w:id="1372268371">
                                                  <w:marLeft w:val="0"/>
                                                  <w:marRight w:val="0"/>
                                                  <w:marTop w:val="0"/>
                                                  <w:marBottom w:val="0"/>
                                                  <w:divBdr>
                                                    <w:top w:val="none" w:sz="0" w:space="0" w:color="auto"/>
                                                    <w:left w:val="none" w:sz="0" w:space="0" w:color="auto"/>
                                                    <w:bottom w:val="none" w:sz="0" w:space="0" w:color="auto"/>
                                                    <w:right w:val="none" w:sz="0" w:space="0" w:color="auto"/>
                                                  </w:divBdr>
                                                  <w:divsChild>
                                                    <w:div w:id="1055813138">
                                                      <w:marLeft w:val="0"/>
                                                      <w:marRight w:val="0"/>
                                                      <w:marTop w:val="0"/>
                                                      <w:marBottom w:val="0"/>
                                                      <w:divBdr>
                                                        <w:top w:val="none" w:sz="0" w:space="0" w:color="auto"/>
                                                        <w:left w:val="none" w:sz="0" w:space="0" w:color="auto"/>
                                                        <w:bottom w:val="none" w:sz="0" w:space="0" w:color="auto"/>
                                                        <w:right w:val="none" w:sz="0" w:space="0" w:color="auto"/>
                                                      </w:divBdr>
                                                      <w:divsChild>
                                                        <w:div w:id="430053379">
                                                          <w:marLeft w:val="480"/>
                                                          <w:marRight w:val="0"/>
                                                          <w:marTop w:val="0"/>
                                                          <w:marBottom w:val="0"/>
                                                          <w:divBdr>
                                                            <w:top w:val="none" w:sz="0" w:space="0" w:color="auto"/>
                                                            <w:left w:val="none" w:sz="0" w:space="0" w:color="auto"/>
                                                            <w:bottom w:val="none" w:sz="0" w:space="0" w:color="auto"/>
                                                            <w:right w:val="none" w:sz="0" w:space="0" w:color="auto"/>
                                                          </w:divBdr>
                                                          <w:divsChild>
                                                            <w:div w:id="372772956">
                                                              <w:marLeft w:val="0"/>
                                                              <w:marRight w:val="0"/>
                                                              <w:marTop w:val="0"/>
                                                              <w:marBottom w:val="0"/>
                                                              <w:divBdr>
                                                                <w:top w:val="none" w:sz="0" w:space="0" w:color="auto"/>
                                                                <w:left w:val="none" w:sz="0" w:space="0" w:color="auto"/>
                                                                <w:bottom w:val="none" w:sz="0" w:space="0" w:color="auto"/>
                                                                <w:right w:val="none" w:sz="0" w:space="0" w:color="auto"/>
                                                              </w:divBdr>
                                                              <w:divsChild>
                                                                <w:div w:id="840852694">
                                                                  <w:marLeft w:val="0"/>
                                                                  <w:marRight w:val="0"/>
                                                                  <w:marTop w:val="0"/>
                                                                  <w:marBottom w:val="0"/>
                                                                  <w:divBdr>
                                                                    <w:top w:val="none" w:sz="0" w:space="0" w:color="auto"/>
                                                                    <w:left w:val="none" w:sz="0" w:space="0" w:color="auto"/>
                                                                    <w:bottom w:val="none" w:sz="0" w:space="0" w:color="auto"/>
                                                                    <w:right w:val="none" w:sz="0" w:space="0" w:color="auto"/>
                                                                  </w:divBdr>
                                                                  <w:divsChild>
                                                                    <w:div w:id="606813967">
                                                                      <w:marLeft w:val="0"/>
                                                                      <w:marRight w:val="0"/>
                                                                      <w:marTop w:val="240"/>
                                                                      <w:marBottom w:val="0"/>
                                                                      <w:divBdr>
                                                                        <w:top w:val="none" w:sz="0" w:space="0" w:color="auto"/>
                                                                        <w:left w:val="none" w:sz="0" w:space="0" w:color="auto"/>
                                                                        <w:bottom w:val="none" w:sz="0" w:space="0" w:color="auto"/>
                                                                        <w:right w:val="none" w:sz="0" w:space="0" w:color="auto"/>
                                                                      </w:divBdr>
                                                                      <w:divsChild>
                                                                        <w:div w:id="261841274">
                                                                          <w:marLeft w:val="0"/>
                                                                          <w:marRight w:val="0"/>
                                                                          <w:marTop w:val="0"/>
                                                                          <w:marBottom w:val="0"/>
                                                                          <w:divBdr>
                                                                            <w:top w:val="none" w:sz="0" w:space="0" w:color="auto"/>
                                                                            <w:left w:val="none" w:sz="0" w:space="0" w:color="auto"/>
                                                                            <w:bottom w:val="none" w:sz="0" w:space="0" w:color="auto"/>
                                                                            <w:right w:val="none" w:sz="0" w:space="0" w:color="auto"/>
                                                                          </w:divBdr>
                                                                          <w:divsChild>
                                                                            <w:div w:id="1339388036">
                                                                              <w:marLeft w:val="0"/>
                                                                              <w:marRight w:val="0"/>
                                                                              <w:marTop w:val="0"/>
                                                                              <w:marBottom w:val="0"/>
                                                                              <w:divBdr>
                                                                                <w:top w:val="none" w:sz="0" w:space="0" w:color="auto"/>
                                                                                <w:left w:val="none" w:sz="0" w:space="0" w:color="auto"/>
                                                                                <w:bottom w:val="none" w:sz="0" w:space="0" w:color="auto"/>
                                                                                <w:right w:val="none" w:sz="0" w:space="0" w:color="auto"/>
                                                                              </w:divBdr>
                                                                              <w:divsChild>
                                                                                <w:div w:id="457183555">
                                                                                  <w:marLeft w:val="0"/>
                                                                                  <w:marRight w:val="0"/>
                                                                                  <w:marTop w:val="0"/>
                                                                                  <w:marBottom w:val="0"/>
                                                                                  <w:divBdr>
                                                                                    <w:top w:val="none" w:sz="0" w:space="0" w:color="auto"/>
                                                                                    <w:left w:val="none" w:sz="0" w:space="0" w:color="auto"/>
                                                                                    <w:bottom w:val="none" w:sz="0" w:space="0" w:color="auto"/>
                                                                                    <w:right w:val="none" w:sz="0" w:space="0" w:color="auto"/>
                                                                                  </w:divBdr>
                                                                                  <w:divsChild>
                                                                                    <w:div w:id="1494488743">
                                                                                      <w:marLeft w:val="0"/>
                                                                                      <w:marRight w:val="0"/>
                                                                                      <w:marTop w:val="0"/>
                                                                                      <w:marBottom w:val="0"/>
                                                                                      <w:divBdr>
                                                                                        <w:top w:val="none" w:sz="0" w:space="0" w:color="auto"/>
                                                                                        <w:left w:val="none" w:sz="0" w:space="0" w:color="auto"/>
                                                                                        <w:bottom w:val="single" w:sz="6" w:space="23" w:color="auto"/>
                                                                                        <w:right w:val="none" w:sz="0" w:space="0" w:color="auto"/>
                                                                                      </w:divBdr>
                                                                                      <w:divsChild>
                                                                                        <w:div w:id="2070491081">
                                                                                          <w:marLeft w:val="0"/>
                                                                                          <w:marRight w:val="0"/>
                                                                                          <w:marTop w:val="0"/>
                                                                                          <w:marBottom w:val="0"/>
                                                                                          <w:divBdr>
                                                                                            <w:top w:val="none" w:sz="0" w:space="0" w:color="auto"/>
                                                                                            <w:left w:val="none" w:sz="0" w:space="0" w:color="auto"/>
                                                                                            <w:bottom w:val="none" w:sz="0" w:space="0" w:color="auto"/>
                                                                                            <w:right w:val="none" w:sz="0" w:space="0" w:color="auto"/>
                                                                                          </w:divBdr>
                                                                                          <w:divsChild>
                                                                                            <w:div w:id="1016465058">
                                                                                              <w:marLeft w:val="0"/>
                                                                                              <w:marRight w:val="0"/>
                                                                                              <w:marTop w:val="0"/>
                                                                                              <w:marBottom w:val="0"/>
                                                                                              <w:divBdr>
                                                                                                <w:top w:val="none" w:sz="0" w:space="0" w:color="auto"/>
                                                                                                <w:left w:val="none" w:sz="0" w:space="0" w:color="auto"/>
                                                                                                <w:bottom w:val="none" w:sz="0" w:space="0" w:color="auto"/>
                                                                                                <w:right w:val="none" w:sz="0" w:space="0" w:color="auto"/>
                                                                                              </w:divBdr>
                                                                                              <w:divsChild>
                                                                                                <w:div w:id="302005988">
                                                                                                  <w:marLeft w:val="0"/>
                                                                                                  <w:marRight w:val="0"/>
                                                                                                  <w:marTop w:val="0"/>
                                                                                                  <w:marBottom w:val="0"/>
                                                                                                  <w:divBdr>
                                                                                                    <w:top w:val="none" w:sz="0" w:space="0" w:color="auto"/>
                                                                                                    <w:left w:val="none" w:sz="0" w:space="0" w:color="auto"/>
                                                                                                    <w:bottom w:val="none" w:sz="0" w:space="0" w:color="auto"/>
                                                                                                    <w:right w:val="none" w:sz="0" w:space="0" w:color="auto"/>
                                                                                                  </w:divBdr>
                                                                                                  <w:divsChild>
                                                                                                    <w:div w:id="21293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970940">
      <w:bodyDiv w:val="1"/>
      <w:marLeft w:val="0"/>
      <w:marRight w:val="0"/>
      <w:marTop w:val="0"/>
      <w:marBottom w:val="0"/>
      <w:divBdr>
        <w:top w:val="none" w:sz="0" w:space="0" w:color="auto"/>
        <w:left w:val="none" w:sz="0" w:space="0" w:color="auto"/>
        <w:bottom w:val="none" w:sz="0" w:space="0" w:color="auto"/>
        <w:right w:val="none" w:sz="0" w:space="0" w:color="auto"/>
      </w:divBdr>
    </w:div>
    <w:div w:id="1287278445">
      <w:bodyDiv w:val="1"/>
      <w:marLeft w:val="0"/>
      <w:marRight w:val="0"/>
      <w:marTop w:val="0"/>
      <w:marBottom w:val="0"/>
      <w:divBdr>
        <w:top w:val="none" w:sz="0" w:space="0" w:color="auto"/>
        <w:left w:val="none" w:sz="0" w:space="0" w:color="auto"/>
        <w:bottom w:val="none" w:sz="0" w:space="0" w:color="auto"/>
        <w:right w:val="none" w:sz="0" w:space="0" w:color="auto"/>
      </w:divBdr>
    </w:div>
    <w:div w:id="1296986576">
      <w:bodyDiv w:val="1"/>
      <w:marLeft w:val="0"/>
      <w:marRight w:val="0"/>
      <w:marTop w:val="0"/>
      <w:marBottom w:val="0"/>
      <w:divBdr>
        <w:top w:val="none" w:sz="0" w:space="0" w:color="auto"/>
        <w:left w:val="none" w:sz="0" w:space="0" w:color="auto"/>
        <w:bottom w:val="none" w:sz="0" w:space="0" w:color="auto"/>
        <w:right w:val="none" w:sz="0" w:space="0" w:color="auto"/>
      </w:divBdr>
    </w:div>
    <w:div w:id="1396003165">
      <w:bodyDiv w:val="1"/>
      <w:marLeft w:val="0"/>
      <w:marRight w:val="0"/>
      <w:marTop w:val="0"/>
      <w:marBottom w:val="0"/>
      <w:divBdr>
        <w:top w:val="none" w:sz="0" w:space="0" w:color="auto"/>
        <w:left w:val="none" w:sz="0" w:space="0" w:color="auto"/>
        <w:bottom w:val="none" w:sz="0" w:space="0" w:color="auto"/>
        <w:right w:val="none" w:sz="0" w:space="0" w:color="auto"/>
      </w:divBdr>
    </w:div>
    <w:div w:id="1503929643">
      <w:bodyDiv w:val="1"/>
      <w:marLeft w:val="0"/>
      <w:marRight w:val="0"/>
      <w:marTop w:val="0"/>
      <w:marBottom w:val="0"/>
      <w:divBdr>
        <w:top w:val="none" w:sz="0" w:space="0" w:color="auto"/>
        <w:left w:val="none" w:sz="0" w:space="0" w:color="auto"/>
        <w:bottom w:val="none" w:sz="0" w:space="0" w:color="auto"/>
        <w:right w:val="none" w:sz="0" w:space="0" w:color="auto"/>
      </w:divBdr>
    </w:div>
    <w:div w:id="1577739805">
      <w:bodyDiv w:val="1"/>
      <w:marLeft w:val="0"/>
      <w:marRight w:val="0"/>
      <w:marTop w:val="0"/>
      <w:marBottom w:val="0"/>
      <w:divBdr>
        <w:top w:val="none" w:sz="0" w:space="0" w:color="auto"/>
        <w:left w:val="none" w:sz="0" w:space="0" w:color="auto"/>
        <w:bottom w:val="none" w:sz="0" w:space="0" w:color="auto"/>
        <w:right w:val="none" w:sz="0" w:space="0" w:color="auto"/>
      </w:divBdr>
    </w:div>
    <w:div w:id="1642224358">
      <w:bodyDiv w:val="1"/>
      <w:marLeft w:val="0"/>
      <w:marRight w:val="0"/>
      <w:marTop w:val="0"/>
      <w:marBottom w:val="0"/>
      <w:divBdr>
        <w:top w:val="none" w:sz="0" w:space="0" w:color="auto"/>
        <w:left w:val="none" w:sz="0" w:space="0" w:color="auto"/>
        <w:bottom w:val="none" w:sz="0" w:space="0" w:color="auto"/>
        <w:right w:val="none" w:sz="0" w:space="0" w:color="auto"/>
      </w:divBdr>
    </w:div>
    <w:div w:id="1908296350">
      <w:bodyDiv w:val="1"/>
      <w:marLeft w:val="0"/>
      <w:marRight w:val="0"/>
      <w:marTop w:val="0"/>
      <w:marBottom w:val="0"/>
      <w:divBdr>
        <w:top w:val="none" w:sz="0" w:space="0" w:color="auto"/>
        <w:left w:val="none" w:sz="0" w:space="0" w:color="auto"/>
        <w:bottom w:val="none" w:sz="0" w:space="0" w:color="auto"/>
        <w:right w:val="none" w:sz="0" w:space="0" w:color="auto"/>
      </w:divBdr>
    </w:div>
    <w:div w:id="209204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nchs/slaits/slaits_products.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dc.gov/nchs/nhis.htm" TargetMode="External"/><Relationship Id="rId2" Type="http://schemas.openxmlformats.org/officeDocument/2006/relationships/hyperlink" Target="http://www.cdc.gov/nchs/data/series/sr_01/sr01_057.pdf" TargetMode="External"/><Relationship Id="rId1" Type="http://schemas.openxmlformats.org/officeDocument/2006/relationships/hyperlink" Target="http://www.cdc.gov/nchs/data/series/sr_01/sr01_055.pdf" TargetMode="External"/><Relationship Id="rId4" Type="http://schemas.openxmlformats.org/officeDocument/2006/relationships/hyperlink" Target="http://www.bls.gov/news.release/realer.t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E92E35FF6E54CB12E422F8E95B093" ma:contentTypeVersion="0" ma:contentTypeDescription="Create a new document." ma:contentTypeScope="" ma:versionID="cb67c31659168c44ded859d1d624900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5FE33-4129-43B8-B2B0-D07C7E983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341690-3997-4353-9C10-0BD66643F705}">
  <ds:schemaRefs>
    <ds:schemaRef ds:uri="http://schemas.microsoft.com/office/infopath/2007/PartnerControls"/>
    <ds:schemaRef ds:uri="http://purl.org/dc/dcmitype/"/>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4B3525EF-8AE7-46DD-A8E2-795E2C635834}">
  <ds:schemaRefs>
    <ds:schemaRef ds:uri="http://schemas.microsoft.com/sharepoint/v3/contenttype/forms"/>
  </ds:schemaRefs>
</ds:datastoreItem>
</file>

<file path=customXml/itemProps4.xml><?xml version="1.0" encoding="utf-8"?>
<ds:datastoreItem xmlns:ds="http://schemas.openxmlformats.org/officeDocument/2006/customXml" ds:itemID="{A827226F-045A-4D9C-84A9-890BF178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47F5ECF4</Template>
  <TotalTime>0</TotalTime>
  <Pages>10</Pages>
  <Words>3528</Words>
  <Characters>20112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23593</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2016-02-01T21:51:00Z</dcterms:created>
  <dcterms:modified xsi:type="dcterms:W3CDTF">2017-04-04T12:35:00Z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0x010100323E92E35FF6E54CB12E422F8E95B093</vt:lpwstr>
  </property>
</Properties>
</file>