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0683D" w14:textId="551408BF" w:rsidR="005B3AE9" w:rsidRPr="003639B8" w:rsidRDefault="005B3AE9" w:rsidP="005B3AE9">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jc w:val="right"/>
        <w:rPr>
          <w:b/>
          <w:szCs w:val="22"/>
        </w:rPr>
      </w:pPr>
      <w:bookmarkStart w:id="0" w:name="_GoBack"/>
      <w:bookmarkEnd w:id="0"/>
      <w:r w:rsidRPr="003639B8">
        <w:rPr>
          <w:b/>
          <w:szCs w:val="22"/>
        </w:rPr>
        <w:t xml:space="preserve">DA </w:t>
      </w:r>
      <w:r w:rsidR="00B26CED">
        <w:rPr>
          <w:b/>
          <w:szCs w:val="22"/>
        </w:rPr>
        <w:t>1</w:t>
      </w:r>
      <w:r w:rsidR="00930032">
        <w:rPr>
          <w:b/>
          <w:szCs w:val="22"/>
        </w:rPr>
        <w:t>7</w:t>
      </w:r>
      <w:r w:rsidR="00B26CED">
        <w:rPr>
          <w:b/>
          <w:szCs w:val="22"/>
        </w:rPr>
        <w:t>-</w:t>
      </w:r>
      <w:r w:rsidR="0095759E">
        <w:rPr>
          <w:b/>
          <w:szCs w:val="22"/>
        </w:rPr>
        <w:t>154</w:t>
      </w:r>
    </w:p>
    <w:p w14:paraId="1F5BBD4F" w14:textId="2A7798F2" w:rsidR="005B3AE9" w:rsidRPr="00867CCB" w:rsidRDefault="005B3AE9" w:rsidP="005B3AE9">
      <w:pPr>
        <w:jc w:val="right"/>
        <w:rPr>
          <w:b/>
          <w:szCs w:val="22"/>
        </w:rPr>
      </w:pPr>
      <w:r w:rsidRPr="00867CCB">
        <w:rPr>
          <w:b/>
          <w:szCs w:val="22"/>
        </w:rPr>
        <w:t xml:space="preserve">Released: </w:t>
      </w:r>
      <w:r w:rsidR="00C716D5">
        <w:rPr>
          <w:b/>
          <w:szCs w:val="22"/>
        </w:rPr>
        <w:t>February</w:t>
      </w:r>
      <w:r w:rsidR="006F56BC" w:rsidRPr="00867CCB">
        <w:rPr>
          <w:b/>
          <w:szCs w:val="22"/>
        </w:rPr>
        <w:t xml:space="preserve"> </w:t>
      </w:r>
      <w:r w:rsidR="00C716D5">
        <w:rPr>
          <w:b/>
          <w:szCs w:val="22"/>
        </w:rPr>
        <w:t>9</w:t>
      </w:r>
      <w:r w:rsidRPr="00867CCB">
        <w:rPr>
          <w:b/>
          <w:szCs w:val="22"/>
        </w:rPr>
        <w:t>, 201</w:t>
      </w:r>
      <w:r w:rsidR="008C65B7">
        <w:rPr>
          <w:b/>
          <w:szCs w:val="22"/>
        </w:rPr>
        <w:t>7</w:t>
      </w:r>
    </w:p>
    <w:p w14:paraId="1D7A4EAD" w14:textId="77777777" w:rsidR="004E0543" w:rsidRDefault="004E0543" w:rsidP="004E0543">
      <w:pPr>
        <w:rPr>
          <w:b/>
          <w:szCs w:val="22"/>
        </w:rPr>
      </w:pPr>
    </w:p>
    <w:p w14:paraId="7829078E" w14:textId="3BC64457" w:rsidR="00867CCB" w:rsidRPr="00FB3E7A" w:rsidRDefault="00930032" w:rsidP="0015307C">
      <w:pPr>
        <w:widowControl/>
        <w:jc w:val="center"/>
        <w:rPr>
          <w:b/>
        </w:rPr>
      </w:pPr>
      <w:r>
        <w:rPr>
          <w:b/>
        </w:rPr>
        <w:t xml:space="preserve">INCENTIVE AUCTION TASK FORCE AND </w:t>
      </w:r>
      <w:r w:rsidR="00867CCB">
        <w:rPr>
          <w:b/>
        </w:rPr>
        <w:t xml:space="preserve">MEDIA </w:t>
      </w:r>
      <w:r w:rsidR="00867CCB" w:rsidRPr="00867CCB">
        <w:rPr>
          <w:b/>
        </w:rPr>
        <w:t>BUREAU FINALIZE</w:t>
      </w:r>
      <w:r w:rsidR="00867CCB">
        <w:rPr>
          <w:b/>
        </w:rPr>
        <w:t xml:space="preserve"> </w:t>
      </w:r>
      <w:r w:rsidR="00867CCB" w:rsidRPr="00867CCB">
        <w:rPr>
          <w:b/>
        </w:rPr>
        <w:t>CATALOG OF REIMBURSEMENT EXPENSES</w:t>
      </w:r>
    </w:p>
    <w:p w14:paraId="5913C214" w14:textId="77777777" w:rsidR="005B3AE9" w:rsidRPr="00FB3E7A" w:rsidRDefault="00867CCB" w:rsidP="00D7122F">
      <w:pPr>
        <w:jc w:val="center"/>
        <w:rPr>
          <w:b/>
        </w:rPr>
      </w:pPr>
      <w:r>
        <w:rPr>
          <w:b/>
        </w:rPr>
        <w:t xml:space="preserve"> </w:t>
      </w:r>
    </w:p>
    <w:p w14:paraId="66095DE4" w14:textId="77777777" w:rsidR="004763F0" w:rsidRDefault="004763F0" w:rsidP="004763F0">
      <w:pPr>
        <w:rPr>
          <w:b/>
        </w:rPr>
      </w:pPr>
      <w:r>
        <w:rPr>
          <w:b/>
        </w:rPr>
        <w:tab/>
      </w:r>
      <w:r>
        <w:rPr>
          <w:b/>
        </w:rPr>
        <w:tab/>
      </w:r>
      <w:r>
        <w:rPr>
          <w:b/>
        </w:rPr>
        <w:tab/>
      </w:r>
      <w:r>
        <w:rPr>
          <w:b/>
        </w:rPr>
        <w:tab/>
      </w:r>
      <w:r>
        <w:rPr>
          <w:b/>
        </w:rPr>
        <w:tab/>
        <w:t>MB Docket No. 16-306</w:t>
      </w:r>
    </w:p>
    <w:p w14:paraId="1063F1DC" w14:textId="77777777" w:rsidR="005B3AE9" w:rsidRPr="00D7122F" w:rsidRDefault="004763F0" w:rsidP="00D7122F">
      <w:pPr>
        <w:jc w:val="center"/>
        <w:rPr>
          <w:b/>
        </w:rPr>
      </w:pPr>
      <w:r>
        <w:rPr>
          <w:b/>
        </w:rPr>
        <w:t>GN Docket No.</w:t>
      </w:r>
      <w:r w:rsidR="005B3AE9" w:rsidRPr="00FB3E7A">
        <w:rPr>
          <w:b/>
        </w:rPr>
        <w:t xml:space="preserve"> 12-268</w:t>
      </w:r>
    </w:p>
    <w:p w14:paraId="65424C54" w14:textId="7BE33458" w:rsidR="005B3AE9" w:rsidRDefault="005B3AE9" w:rsidP="005B3AE9"/>
    <w:p w14:paraId="5283833E" w14:textId="483C9470" w:rsidR="007D3DC7" w:rsidRPr="00FB3E7A" w:rsidRDefault="007D3DC7" w:rsidP="007D3DC7">
      <w:pPr>
        <w:pStyle w:val="ListParagraph"/>
        <w:numPr>
          <w:ilvl w:val="0"/>
          <w:numId w:val="21"/>
        </w:numPr>
        <w:spacing w:after="120"/>
      </w:pPr>
      <w:r w:rsidRPr="007D3DC7">
        <w:rPr>
          <w:b/>
        </w:rPr>
        <w:t>INTRODUCTION</w:t>
      </w:r>
    </w:p>
    <w:p w14:paraId="1AB0A614" w14:textId="786EFD93" w:rsidR="00B84C5B" w:rsidRPr="00FC76D2" w:rsidRDefault="00282EBB" w:rsidP="00C15103">
      <w:pPr>
        <w:pStyle w:val="ParaNum"/>
        <w:rPr>
          <w:rFonts w:eastAsia="Calibri"/>
          <w:szCs w:val="22"/>
        </w:rPr>
      </w:pPr>
      <w:r w:rsidRPr="00282EBB">
        <w:t xml:space="preserve">The Commission delegated authority to the Media Bureau </w:t>
      </w:r>
      <w:r>
        <w:t xml:space="preserve">(Bureau) </w:t>
      </w:r>
      <w:r w:rsidRPr="00282EBB">
        <w:t>to</w:t>
      </w:r>
      <w:r w:rsidR="00E37F13" w:rsidRPr="00FB3E7A">
        <w:t xml:space="preserve">, </w:t>
      </w:r>
      <w:r w:rsidR="00962B34" w:rsidRPr="00962B34">
        <w:t>among other things</w:t>
      </w:r>
      <w:r w:rsidR="00E37F13" w:rsidRPr="00FB3E7A">
        <w:t>,</w:t>
      </w:r>
      <w:r w:rsidRPr="00282EBB">
        <w:t xml:space="preserve"> develop a catalog of eligible reimbursement expenses </w:t>
      </w:r>
      <w:r>
        <w:t xml:space="preserve">(Catalog) </w:t>
      </w:r>
      <w:r w:rsidRPr="00282EBB">
        <w:t xml:space="preserve">to facilitate the process of reimbursing eligible broadcasters and </w:t>
      </w:r>
      <w:r>
        <w:t>Multic</w:t>
      </w:r>
      <w:r w:rsidRPr="00FB3E7A">
        <w:t>hannel</w:t>
      </w:r>
      <w:r w:rsidR="00394FCC">
        <w:t xml:space="preserve"> </w:t>
      </w:r>
      <w:r w:rsidRPr="00FB3E7A">
        <w:t>Video</w:t>
      </w:r>
      <w:r w:rsidR="00394FCC">
        <w:t xml:space="preserve"> Programming </w:t>
      </w:r>
      <w:r w:rsidRPr="00FB3E7A">
        <w:t>Distributors (MVPDs) from the $1.75 billion TV Broadcaster Relocation Fund (Fund)</w:t>
      </w:r>
      <w:r w:rsidR="005B3AE9" w:rsidRPr="00FB3E7A">
        <w:t>.</w:t>
      </w:r>
      <w:r w:rsidRPr="008876DB">
        <w:rPr>
          <w:sz w:val="20"/>
          <w:vertAlign w:val="superscript"/>
        </w:rPr>
        <w:footnoteReference w:id="2"/>
      </w:r>
      <w:r>
        <w:t xml:space="preserve">  </w:t>
      </w:r>
      <w:r w:rsidRPr="00282EBB">
        <w:t xml:space="preserve">The </w:t>
      </w:r>
      <w:r>
        <w:t>C</w:t>
      </w:r>
      <w:r w:rsidRPr="00282EBB">
        <w:t>atalog is a no</w:t>
      </w:r>
      <w:r w:rsidR="002D1369">
        <w:t>n-</w:t>
      </w:r>
      <w:r w:rsidR="000A0DD5">
        <w:rPr>
          <w:rFonts w:eastAsia="Calibri"/>
          <w:szCs w:val="22"/>
        </w:rPr>
        <w:t>exhaustive</w:t>
      </w:r>
      <w:r w:rsidRPr="00282EBB">
        <w:t xml:space="preserve"> list</w:t>
      </w:r>
      <w:r>
        <w:t>,</w:t>
      </w:r>
      <w:r w:rsidRPr="00282EBB">
        <w:t xml:space="preserve"> </w:t>
      </w:r>
      <w:r>
        <w:t xml:space="preserve">organized </w:t>
      </w:r>
      <w:r w:rsidRPr="00282EBB">
        <w:t>by category</w:t>
      </w:r>
      <w:r>
        <w:t>,</w:t>
      </w:r>
      <w:r w:rsidRPr="00282EBB">
        <w:t xml:space="preserve"> of the equipment and services broadcasters and MVPDs are most likely to incur </w:t>
      </w:r>
      <w:r w:rsidR="00467757">
        <w:t>as a result of</w:t>
      </w:r>
      <w:r w:rsidRPr="00282EBB">
        <w:t xml:space="preserve"> the </w:t>
      </w:r>
      <w:r w:rsidR="00804E9D">
        <w:t xml:space="preserve">39-month </w:t>
      </w:r>
      <w:r w:rsidR="00E37F13" w:rsidRPr="00E37F13">
        <w:t>post-</w:t>
      </w:r>
      <w:r w:rsidR="00E37F13">
        <w:t>i</w:t>
      </w:r>
      <w:r w:rsidR="00E37F13" w:rsidRPr="00E37F13">
        <w:t xml:space="preserve">ncentive </w:t>
      </w:r>
      <w:r w:rsidR="00E37F13">
        <w:t>a</w:t>
      </w:r>
      <w:r w:rsidR="00E37F13" w:rsidRPr="00E37F13">
        <w:t>uction</w:t>
      </w:r>
      <w:r w:rsidRPr="00282EBB">
        <w:t xml:space="preserve"> </w:t>
      </w:r>
      <w:r w:rsidR="00467757">
        <w:t xml:space="preserve">broadcast </w:t>
      </w:r>
      <w:r w:rsidRPr="00282EBB">
        <w:t xml:space="preserve">transition. </w:t>
      </w:r>
      <w:r>
        <w:t xml:space="preserve"> </w:t>
      </w:r>
      <w:r w:rsidRPr="00282EBB">
        <w:t xml:space="preserve">The </w:t>
      </w:r>
      <w:r>
        <w:t>Bureau</w:t>
      </w:r>
      <w:r w:rsidRPr="00282EBB">
        <w:t xml:space="preserve"> </w:t>
      </w:r>
      <w:r w:rsidR="00622544">
        <w:t xml:space="preserve">sought and </w:t>
      </w:r>
      <w:r w:rsidRPr="00282EBB">
        <w:t xml:space="preserve">received comment on the </w:t>
      </w:r>
      <w:r>
        <w:t>C</w:t>
      </w:r>
      <w:r w:rsidRPr="00282EBB">
        <w:t xml:space="preserve">atalog in </w:t>
      </w:r>
      <w:r w:rsidR="00BD6E2C">
        <w:t xml:space="preserve">September </w:t>
      </w:r>
      <w:r>
        <w:t>2013,</w:t>
      </w:r>
      <w:r w:rsidRPr="008876DB">
        <w:rPr>
          <w:sz w:val="20"/>
          <w:vertAlign w:val="superscript"/>
        </w:rPr>
        <w:footnoteReference w:id="3"/>
      </w:r>
      <w:r w:rsidRPr="00282EBB">
        <w:t xml:space="preserve"> </w:t>
      </w:r>
      <w:r w:rsidR="00BD6E2C">
        <w:t>March 2014,</w:t>
      </w:r>
      <w:r w:rsidRPr="008876DB">
        <w:rPr>
          <w:sz w:val="20"/>
          <w:vertAlign w:val="superscript"/>
        </w:rPr>
        <w:footnoteReference w:id="4"/>
      </w:r>
      <w:r w:rsidR="00622544">
        <w:t xml:space="preserve"> and, most recently, </w:t>
      </w:r>
      <w:r w:rsidR="00D737A3">
        <w:t>October 2016</w:t>
      </w:r>
      <w:r w:rsidR="00BD6E2C">
        <w:t xml:space="preserve"> </w:t>
      </w:r>
      <w:r w:rsidR="00622544">
        <w:t xml:space="preserve">after </w:t>
      </w:r>
      <w:r w:rsidR="002D1369">
        <w:t xml:space="preserve">proposing to </w:t>
      </w:r>
      <w:r w:rsidR="00622544">
        <w:t>updat</w:t>
      </w:r>
      <w:r w:rsidR="002D1369">
        <w:t>e</w:t>
      </w:r>
      <w:r w:rsidR="00622544">
        <w:t xml:space="preserve"> the Catalog’s</w:t>
      </w:r>
      <w:r w:rsidRPr="00282EBB">
        <w:t xml:space="preserve"> </w:t>
      </w:r>
      <w:r w:rsidR="00C475B9">
        <w:t>expense categories and baseline costs</w:t>
      </w:r>
      <w:r w:rsidRPr="00282EBB">
        <w:t>.</w:t>
      </w:r>
      <w:r w:rsidR="00BD6E2C">
        <w:rPr>
          <w:rStyle w:val="FootnoteReference"/>
        </w:rPr>
        <w:footnoteReference w:id="5"/>
      </w:r>
      <w:r w:rsidR="00BD6E2C">
        <w:t xml:space="preserve">  </w:t>
      </w:r>
      <w:r w:rsidR="00E37F13" w:rsidRPr="00E37F13">
        <w:t xml:space="preserve">After </w:t>
      </w:r>
      <w:r w:rsidR="00930032">
        <w:t>considering</w:t>
      </w:r>
      <w:r w:rsidR="00E37F13" w:rsidRPr="00E37F13">
        <w:t xml:space="preserve"> the comments received</w:t>
      </w:r>
      <w:r w:rsidR="00930032">
        <w:t xml:space="preserve"> in response to the </w:t>
      </w:r>
      <w:r w:rsidR="00930032">
        <w:rPr>
          <w:i/>
        </w:rPr>
        <w:t xml:space="preserve">Catalog Update </w:t>
      </w:r>
      <w:r w:rsidR="00196F07" w:rsidRPr="00196F07">
        <w:rPr>
          <w:i/>
        </w:rPr>
        <w:t>Public Notice</w:t>
      </w:r>
      <w:r w:rsidR="00E37F13" w:rsidRPr="00E37F13">
        <w:t xml:space="preserve">, we </w:t>
      </w:r>
      <w:r w:rsidR="00930032">
        <w:t xml:space="preserve">have </w:t>
      </w:r>
      <w:r w:rsidR="00E37F13" w:rsidRPr="00E37F13">
        <w:t xml:space="preserve">now </w:t>
      </w:r>
      <w:r w:rsidR="00930032">
        <w:t>revised</w:t>
      </w:r>
      <w:r w:rsidR="00E37F13" w:rsidRPr="00E37F13">
        <w:t xml:space="preserve"> the </w:t>
      </w:r>
      <w:r w:rsidR="00E37F13">
        <w:t>C</w:t>
      </w:r>
      <w:r w:rsidR="00E37F13" w:rsidRPr="00E37F13">
        <w:t xml:space="preserve">atalog as </w:t>
      </w:r>
      <w:r w:rsidR="00930032">
        <w:t xml:space="preserve">set forth in </w:t>
      </w:r>
      <w:r w:rsidR="00E37F13">
        <w:t xml:space="preserve">the </w:t>
      </w:r>
      <w:r w:rsidR="00E37F13">
        <w:lastRenderedPageBreak/>
        <w:t>Appendix to this Public Notice,</w:t>
      </w:r>
      <w:r w:rsidR="005E5315">
        <w:rPr>
          <w:rStyle w:val="FootnoteReference"/>
        </w:rPr>
        <w:footnoteReference w:id="6"/>
      </w:r>
      <w:r w:rsidR="00E37F13" w:rsidRPr="00E37F13">
        <w:t xml:space="preserve"> for use </w:t>
      </w:r>
      <w:r w:rsidR="00E37F13">
        <w:t xml:space="preserve">by eligible broadcasters and MVPDs </w:t>
      </w:r>
      <w:r w:rsidR="00394FCC">
        <w:t xml:space="preserve">during </w:t>
      </w:r>
      <w:r w:rsidR="00E37F13" w:rsidRPr="00E37F13">
        <w:t>the post-</w:t>
      </w:r>
      <w:r w:rsidR="00E37F13">
        <w:t>i</w:t>
      </w:r>
      <w:r w:rsidR="00E37F13" w:rsidRPr="00E37F13">
        <w:t>ncentive</w:t>
      </w:r>
      <w:r w:rsidR="00962B34">
        <w:t xml:space="preserve"> </w:t>
      </w:r>
      <w:r w:rsidR="00E37F13">
        <w:t>a</w:t>
      </w:r>
      <w:r w:rsidR="00E37F13" w:rsidRPr="00E37F13">
        <w:t>uction reimbursement period</w:t>
      </w:r>
      <w:r w:rsidR="00E37F13">
        <w:t>,</w:t>
      </w:r>
      <w:r w:rsidR="00622544">
        <w:rPr>
          <w:rStyle w:val="FootnoteReference"/>
          <w:rFonts w:eastAsia="Calibri"/>
          <w:szCs w:val="22"/>
        </w:rPr>
        <w:footnoteReference w:id="7"/>
      </w:r>
      <w:r w:rsidR="00E37F13" w:rsidRPr="00E37F13">
        <w:t xml:space="preserve"> and address </w:t>
      </w:r>
      <w:r w:rsidR="00930032">
        <w:t xml:space="preserve">herein </w:t>
      </w:r>
      <w:r w:rsidR="006431A5">
        <w:t>some</w:t>
      </w:r>
      <w:r w:rsidR="00E37F13" w:rsidRPr="00E37F13">
        <w:t xml:space="preserve"> speci</w:t>
      </w:r>
      <w:r w:rsidR="00E37F13">
        <w:t>fic issues raised by commenters</w:t>
      </w:r>
      <w:r w:rsidR="00E37F13" w:rsidRPr="00E37F13">
        <w:t xml:space="preserve">.  </w:t>
      </w:r>
      <w:r w:rsidR="00930032">
        <w:t xml:space="preserve">For the reasons set forth herein, we adopt the updated Catalog.  </w:t>
      </w:r>
      <w:r w:rsidR="00930032">
        <w:rPr>
          <w:rFonts w:eastAsia="Calibri"/>
          <w:szCs w:val="22"/>
        </w:rPr>
        <w:t xml:space="preserve">The </w:t>
      </w:r>
      <w:r w:rsidR="00F61E8A">
        <w:rPr>
          <w:rFonts w:eastAsia="Calibri"/>
          <w:szCs w:val="22"/>
        </w:rPr>
        <w:t>updated</w:t>
      </w:r>
      <w:r w:rsidR="00930032">
        <w:rPr>
          <w:rFonts w:eastAsia="Calibri"/>
          <w:szCs w:val="22"/>
        </w:rPr>
        <w:t xml:space="preserve"> Catalog will be made</w:t>
      </w:r>
      <w:r w:rsidR="00930032" w:rsidRPr="00D06BF6">
        <w:rPr>
          <w:rFonts w:eastAsia="Calibri"/>
          <w:szCs w:val="22"/>
        </w:rPr>
        <w:t xml:space="preserve"> available for reference</w:t>
      </w:r>
      <w:r w:rsidR="00B84C5B">
        <w:rPr>
          <w:rFonts w:eastAsia="Calibri"/>
          <w:szCs w:val="22"/>
        </w:rPr>
        <w:t xml:space="preserve"> on the Commission’s website</w:t>
      </w:r>
      <w:r w:rsidR="00930032">
        <w:rPr>
          <w:rFonts w:eastAsia="Calibri"/>
          <w:szCs w:val="22"/>
        </w:rPr>
        <w:t>,</w:t>
      </w:r>
      <w:r w:rsidR="00930032" w:rsidRPr="00D06BF6">
        <w:rPr>
          <w:rFonts w:eastAsia="Calibri"/>
          <w:szCs w:val="22"/>
        </w:rPr>
        <w:t xml:space="preserve"> </w:t>
      </w:r>
      <w:r w:rsidR="00930032">
        <w:rPr>
          <w:rFonts w:eastAsia="Calibri"/>
          <w:szCs w:val="22"/>
        </w:rPr>
        <w:t>and the updated</w:t>
      </w:r>
      <w:r w:rsidR="00930032" w:rsidRPr="00D06BF6">
        <w:rPr>
          <w:rFonts w:eastAsia="Calibri"/>
          <w:szCs w:val="22"/>
        </w:rPr>
        <w:t xml:space="preserve"> line items and price ranges will be viewable to users of the </w:t>
      </w:r>
      <w:r w:rsidR="00B76A72">
        <w:rPr>
          <w:rFonts w:eastAsia="Calibri"/>
          <w:szCs w:val="22"/>
        </w:rPr>
        <w:t>online</w:t>
      </w:r>
      <w:r w:rsidR="00930032" w:rsidRPr="00D06BF6">
        <w:rPr>
          <w:rFonts w:eastAsia="Calibri"/>
          <w:szCs w:val="22"/>
        </w:rPr>
        <w:t xml:space="preserve"> Reimbursement Form.</w:t>
      </w:r>
      <w:r w:rsidR="00930032">
        <w:rPr>
          <w:rStyle w:val="FootnoteReference"/>
          <w:rFonts w:eastAsia="Calibri"/>
          <w:szCs w:val="22"/>
        </w:rPr>
        <w:footnoteReference w:id="8"/>
      </w:r>
      <w:r w:rsidR="00930032" w:rsidRPr="001468C7">
        <w:rPr>
          <w:rFonts w:eastAsia="Calibri"/>
          <w:szCs w:val="22"/>
        </w:rPr>
        <w:t xml:space="preserve">  </w:t>
      </w:r>
      <w:r w:rsidR="00E37F13" w:rsidRPr="00E37F13">
        <w:t>We also adopt the</w:t>
      </w:r>
      <w:r w:rsidR="00EE2A59" w:rsidRPr="00EE2A59">
        <w:t xml:space="preserve"> </w:t>
      </w:r>
      <w:r w:rsidR="00EE2A59" w:rsidRPr="00E37F13">
        <w:t>methodology</w:t>
      </w:r>
      <w:r w:rsidR="00E37F13" w:rsidRPr="00E37F13">
        <w:t xml:space="preserve"> proposed for </w:t>
      </w:r>
      <w:r w:rsidR="00E37F13">
        <w:t>annually adjusting</w:t>
      </w:r>
      <w:r w:rsidR="006431A5">
        <w:t xml:space="preserve"> </w:t>
      </w:r>
      <w:r w:rsidR="006431A5" w:rsidRPr="00E37F13">
        <w:t xml:space="preserve">the </w:t>
      </w:r>
      <w:r w:rsidR="006431A5">
        <w:t xml:space="preserve">Catalog’s prices </w:t>
      </w:r>
      <w:r w:rsidR="00E37F13" w:rsidRPr="00E37F13">
        <w:t xml:space="preserve">in </w:t>
      </w:r>
      <w:r w:rsidR="00E37F13">
        <w:t>accordance with</w:t>
      </w:r>
      <w:r w:rsidR="00E37F13" w:rsidRPr="00E37F13">
        <w:t xml:space="preserve"> </w:t>
      </w:r>
      <w:r w:rsidR="00E37F13">
        <w:t xml:space="preserve">the </w:t>
      </w:r>
      <w:r w:rsidR="00A95AD3" w:rsidRPr="00FB3E7A">
        <w:t>Bureau of Labor Statistics</w:t>
      </w:r>
      <w:r w:rsidR="00A95AD3">
        <w:t>’</w:t>
      </w:r>
      <w:r w:rsidR="00A95AD3" w:rsidRPr="00FB3E7A">
        <w:t xml:space="preserve"> (</w:t>
      </w:r>
      <w:r w:rsidR="00A95AD3" w:rsidRPr="00A31628">
        <w:t>BLS)</w:t>
      </w:r>
      <w:r w:rsidR="00A95AD3">
        <w:t xml:space="preserve"> </w:t>
      </w:r>
      <w:r w:rsidR="00E37F13">
        <w:t>Producer Price Index</w:t>
      </w:r>
      <w:r w:rsidR="00E37F13" w:rsidRPr="00FB3E7A">
        <w:t xml:space="preserve"> (PPI</w:t>
      </w:r>
      <w:r w:rsidR="00A95AD3">
        <w:t>)</w:t>
      </w:r>
      <w:r w:rsidR="00E37F13" w:rsidRPr="00FB3E7A">
        <w:t>.</w:t>
      </w:r>
      <w:r w:rsidR="00E37F13" w:rsidRPr="00FB3E7A">
        <w:rPr>
          <w:rStyle w:val="FootnoteReference"/>
          <w:szCs w:val="22"/>
        </w:rPr>
        <w:footnoteReference w:id="9"/>
      </w:r>
    </w:p>
    <w:p w14:paraId="024C13DD" w14:textId="7108D275" w:rsidR="00B84C5B" w:rsidRDefault="00B84C5B" w:rsidP="007D3DC7">
      <w:pPr>
        <w:pStyle w:val="ListParagraph"/>
        <w:numPr>
          <w:ilvl w:val="0"/>
          <w:numId w:val="21"/>
        </w:numPr>
        <w:spacing w:after="120"/>
      </w:pPr>
      <w:r w:rsidRPr="00B84C5B">
        <w:rPr>
          <w:b/>
        </w:rPr>
        <w:t>DISCUSSION</w:t>
      </w:r>
    </w:p>
    <w:p w14:paraId="22F52C20" w14:textId="663FD4E5" w:rsidR="00867CCB" w:rsidRPr="00FC76D2" w:rsidRDefault="004E0543" w:rsidP="00FC76D2">
      <w:pPr>
        <w:pStyle w:val="ParaNum"/>
      </w:pPr>
      <w:r>
        <w:rPr>
          <w:rFonts w:eastAsia="Calibri"/>
        </w:rPr>
        <w:t xml:space="preserve">We received eight initial comments and one reply comment in response to the </w:t>
      </w:r>
      <w:r w:rsidRPr="00905DB6">
        <w:rPr>
          <w:rFonts w:eastAsia="Calibri"/>
          <w:i/>
        </w:rPr>
        <w:t xml:space="preserve">Catalog Update </w:t>
      </w:r>
      <w:r w:rsidR="00196F07" w:rsidRPr="00196F07">
        <w:rPr>
          <w:rFonts w:eastAsia="Calibri"/>
          <w:i/>
        </w:rPr>
        <w:t>Public Notice</w:t>
      </w:r>
      <w:r>
        <w:rPr>
          <w:rFonts w:eastAsia="Calibri"/>
        </w:rPr>
        <w:t>.</w:t>
      </w:r>
      <w:r>
        <w:t xml:space="preserve">  </w:t>
      </w:r>
      <w:r>
        <w:rPr>
          <w:rFonts w:eastAsia="Calibri"/>
        </w:rPr>
        <w:t>Comments were generally positive,</w:t>
      </w:r>
      <w:r>
        <w:rPr>
          <w:rStyle w:val="FootnoteReference"/>
          <w:rFonts w:eastAsia="Calibri"/>
          <w:szCs w:val="22"/>
        </w:rPr>
        <w:footnoteReference w:id="10"/>
      </w:r>
      <w:r>
        <w:rPr>
          <w:rFonts w:eastAsia="Calibri"/>
        </w:rPr>
        <w:t xml:space="preserve"> and </w:t>
      </w:r>
      <w:r w:rsidR="00394FCC">
        <w:rPr>
          <w:rFonts w:eastAsia="Calibri"/>
        </w:rPr>
        <w:t>most suggestions</w:t>
      </w:r>
      <w:r>
        <w:rPr>
          <w:rFonts w:eastAsia="Calibri"/>
        </w:rPr>
        <w:t xml:space="preserve"> fell into one of three broad categories: (1) requests to add expense categories to the Catalog; (2) requests to modify existing expense categories in the Catalog; and (3) requests to adopt or clarify particular reimbursement policies and/or processes.</w:t>
      </w:r>
      <w:r w:rsidRPr="006119E4">
        <w:rPr>
          <w:rStyle w:val="FootnoteReference"/>
          <w:szCs w:val="22"/>
        </w:rPr>
        <w:footnoteReference w:id="11"/>
      </w:r>
      <w:r w:rsidR="007D3DC7" w:rsidRPr="007D3DC7">
        <w:rPr>
          <w:rFonts w:eastAsia="Calibri"/>
        </w:rPr>
        <w:t xml:space="preserve"> </w:t>
      </w:r>
      <w:r w:rsidR="007D3DC7">
        <w:rPr>
          <w:rFonts w:eastAsia="Calibri"/>
        </w:rPr>
        <w:t xml:space="preserve"> </w:t>
      </w:r>
      <w:r w:rsidR="007D3DC7" w:rsidRPr="007D3DC7">
        <w:rPr>
          <w:rFonts w:eastAsia="Calibri"/>
        </w:rPr>
        <w:t>We discuss each category in turn below.  In subsection (4) we discuss the methodology for updating baseline costs.</w:t>
      </w:r>
    </w:p>
    <w:p w14:paraId="6298DB7A" w14:textId="2456B24F" w:rsidR="00DE4D53" w:rsidRPr="00FC76D2" w:rsidRDefault="00B735A0" w:rsidP="00FC76D2">
      <w:pPr>
        <w:pStyle w:val="ParaNum"/>
        <w:rPr>
          <w:rFonts w:eastAsia="Calibri"/>
        </w:rPr>
      </w:pPr>
      <w:r w:rsidRPr="00B735A0">
        <w:rPr>
          <w:rFonts w:eastAsia="Calibri"/>
        </w:rPr>
        <w:t>(1)</w:t>
      </w:r>
      <w:r w:rsidR="009633A4">
        <w:rPr>
          <w:rFonts w:eastAsia="Calibri"/>
        </w:rPr>
        <w:tab/>
      </w:r>
      <w:r>
        <w:rPr>
          <w:rFonts w:eastAsia="Calibri"/>
          <w:i/>
        </w:rPr>
        <w:t>Requests to Add</w:t>
      </w:r>
      <w:r w:rsidR="004F1A6C" w:rsidRPr="00362237">
        <w:rPr>
          <w:rFonts w:eastAsia="Calibri"/>
          <w:i/>
        </w:rPr>
        <w:t xml:space="preserve"> Expense Categories</w:t>
      </w:r>
      <w:r w:rsidR="004F1A6C">
        <w:rPr>
          <w:rFonts w:eastAsia="Calibri"/>
        </w:rPr>
        <w:t>.</w:t>
      </w:r>
      <w:r w:rsidR="004F1A6C">
        <w:rPr>
          <w:rFonts w:eastAsia="Calibri"/>
          <w:b/>
        </w:rPr>
        <w:t xml:space="preserve"> </w:t>
      </w:r>
      <w:r w:rsidR="004F1A6C">
        <w:rPr>
          <w:rFonts w:eastAsia="Calibri"/>
        </w:rPr>
        <w:t xml:space="preserve">Certain commenters suggested that we </w:t>
      </w:r>
      <w:r w:rsidR="007546CF">
        <w:rPr>
          <w:rFonts w:eastAsia="Calibri"/>
        </w:rPr>
        <w:t>add</w:t>
      </w:r>
      <w:r w:rsidR="007546CF" w:rsidRPr="007546CF">
        <w:rPr>
          <w:rFonts w:eastAsia="Calibri"/>
        </w:rPr>
        <w:t xml:space="preserve"> </w:t>
      </w:r>
      <w:r w:rsidR="007546CF">
        <w:rPr>
          <w:rFonts w:eastAsia="Calibri"/>
        </w:rPr>
        <w:t xml:space="preserve">to the Catalog </w:t>
      </w:r>
      <w:r w:rsidR="0067758A">
        <w:rPr>
          <w:rFonts w:eastAsia="Calibri"/>
        </w:rPr>
        <w:t xml:space="preserve">specific </w:t>
      </w:r>
      <w:r w:rsidR="00926DE5">
        <w:rPr>
          <w:rFonts w:eastAsia="Calibri"/>
        </w:rPr>
        <w:t xml:space="preserve">additional </w:t>
      </w:r>
      <w:r w:rsidR="004F1A6C">
        <w:rPr>
          <w:rFonts w:eastAsia="Calibri"/>
        </w:rPr>
        <w:t xml:space="preserve">expense categories </w:t>
      </w:r>
      <w:r w:rsidR="009C7CEF">
        <w:rPr>
          <w:rFonts w:eastAsia="Calibri"/>
        </w:rPr>
        <w:t xml:space="preserve">for </w:t>
      </w:r>
      <w:r w:rsidR="0067758A">
        <w:rPr>
          <w:rFonts w:eastAsia="Calibri"/>
        </w:rPr>
        <w:t xml:space="preserve">reimbursable </w:t>
      </w:r>
      <w:r w:rsidR="009C7CEF">
        <w:rPr>
          <w:rFonts w:eastAsia="Calibri"/>
        </w:rPr>
        <w:t>services and equipment</w:t>
      </w:r>
      <w:r w:rsidR="004F1A6C">
        <w:rPr>
          <w:rFonts w:eastAsia="Calibri"/>
        </w:rPr>
        <w:t>.</w:t>
      </w:r>
      <w:r w:rsidR="004F1A6C">
        <w:rPr>
          <w:rStyle w:val="FootnoteReference"/>
          <w:rFonts w:eastAsia="Calibri"/>
          <w:szCs w:val="22"/>
        </w:rPr>
        <w:footnoteReference w:id="12"/>
      </w:r>
      <w:r w:rsidR="004F1A6C" w:rsidRPr="008341EC">
        <w:rPr>
          <w:rFonts w:eastAsia="Calibri"/>
        </w:rPr>
        <w:t xml:space="preserve">  </w:t>
      </w:r>
      <w:r w:rsidR="004F1A6C" w:rsidRPr="004F1A6C">
        <w:rPr>
          <w:rFonts w:eastAsia="Calibri"/>
        </w:rPr>
        <w:t>For example</w:t>
      </w:r>
      <w:r w:rsidR="002D1DA9">
        <w:rPr>
          <w:rFonts w:eastAsia="Calibri"/>
        </w:rPr>
        <w:t>,</w:t>
      </w:r>
      <w:r w:rsidR="004F1A6C" w:rsidRPr="004F1A6C">
        <w:rPr>
          <w:rFonts w:eastAsia="Calibri"/>
        </w:rPr>
        <w:t xml:space="preserve"> Rohde &amp; Schwarz suggested </w:t>
      </w:r>
      <w:r w:rsidR="00F92D86">
        <w:rPr>
          <w:rFonts w:eastAsia="Calibri"/>
        </w:rPr>
        <w:t>the addition of</w:t>
      </w:r>
      <w:r w:rsidR="004F1A6C" w:rsidRPr="004F1A6C">
        <w:rPr>
          <w:rFonts w:eastAsia="Calibri"/>
        </w:rPr>
        <w:t xml:space="preserve"> site surveys, </w:t>
      </w:r>
      <w:r w:rsidR="00E333C2">
        <w:rPr>
          <w:rFonts w:eastAsia="Calibri"/>
        </w:rPr>
        <w:t xml:space="preserve">a </w:t>
      </w:r>
      <w:r w:rsidR="004F1A6C" w:rsidRPr="004F1A6C">
        <w:rPr>
          <w:rFonts w:eastAsia="Calibri"/>
        </w:rPr>
        <w:t>system dummy load</w:t>
      </w:r>
      <w:r w:rsidR="00926DE5">
        <w:rPr>
          <w:rFonts w:eastAsia="Calibri"/>
        </w:rPr>
        <w:t>,</w:t>
      </w:r>
      <w:r w:rsidR="00D374F1">
        <w:rPr>
          <w:rFonts w:eastAsia="Calibri"/>
        </w:rPr>
        <w:t xml:space="preserve"> </w:t>
      </w:r>
      <w:r w:rsidR="004F1A6C" w:rsidRPr="004F1A6C">
        <w:rPr>
          <w:rFonts w:eastAsia="Calibri"/>
        </w:rPr>
        <w:t xml:space="preserve">and </w:t>
      </w:r>
      <w:r w:rsidR="00E333C2">
        <w:rPr>
          <w:rFonts w:eastAsia="Calibri"/>
        </w:rPr>
        <w:t xml:space="preserve">a </w:t>
      </w:r>
      <w:r w:rsidR="004F1A6C" w:rsidRPr="004F1A6C">
        <w:rPr>
          <w:rFonts w:eastAsia="Calibri"/>
        </w:rPr>
        <w:t>switch, i</w:t>
      </w:r>
      <w:r w:rsidR="00F92D86">
        <w:rPr>
          <w:rFonts w:eastAsia="Calibri"/>
        </w:rPr>
        <w:t xml:space="preserve">f </w:t>
      </w:r>
      <w:r w:rsidR="00926DE5">
        <w:rPr>
          <w:rFonts w:eastAsia="Calibri"/>
        </w:rPr>
        <w:t>needed</w:t>
      </w:r>
      <w:r w:rsidR="00F92D86">
        <w:rPr>
          <w:rFonts w:eastAsia="Calibri"/>
        </w:rPr>
        <w:t xml:space="preserve">, </w:t>
      </w:r>
      <w:r w:rsidR="00D90D39">
        <w:rPr>
          <w:rFonts w:eastAsia="Calibri"/>
        </w:rPr>
        <w:t xml:space="preserve">to the expense categories </w:t>
      </w:r>
      <w:r w:rsidR="003903CD">
        <w:rPr>
          <w:rFonts w:eastAsia="Calibri"/>
        </w:rPr>
        <w:t>for</w:t>
      </w:r>
      <w:r w:rsidR="004F1A6C" w:rsidRPr="004F1A6C">
        <w:rPr>
          <w:rFonts w:eastAsia="Calibri"/>
        </w:rPr>
        <w:t xml:space="preserve"> new transmitter</w:t>
      </w:r>
      <w:r w:rsidR="00F92D86">
        <w:rPr>
          <w:rFonts w:eastAsia="Calibri"/>
        </w:rPr>
        <w:t xml:space="preserve"> installations</w:t>
      </w:r>
      <w:r w:rsidR="004F1A6C">
        <w:rPr>
          <w:rFonts w:eastAsia="Calibri"/>
        </w:rPr>
        <w:t>.</w:t>
      </w:r>
      <w:r w:rsidR="004F1A6C">
        <w:rPr>
          <w:rStyle w:val="FootnoteReference"/>
          <w:rFonts w:eastAsia="Calibri"/>
          <w:szCs w:val="22"/>
        </w:rPr>
        <w:footnoteReference w:id="13"/>
      </w:r>
      <w:r w:rsidR="002F4366">
        <w:rPr>
          <w:rFonts w:eastAsia="Calibri"/>
        </w:rPr>
        <w:t xml:space="preserve">  </w:t>
      </w:r>
      <w:r w:rsidR="00AD182A">
        <w:rPr>
          <w:rFonts w:eastAsia="Calibri"/>
        </w:rPr>
        <w:t xml:space="preserve">PTV </w:t>
      </w:r>
      <w:r w:rsidR="001F1815">
        <w:rPr>
          <w:rFonts w:eastAsia="Calibri"/>
        </w:rPr>
        <w:t>requested</w:t>
      </w:r>
      <w:r w:rsidR="00AD182A">
        <w:rPr>
          <w:rFonts w:eastAsia="Calibri"/>
        </w:rPr>
        <w:t xml:space="preserve"> </w:t>
      </w:r>
      <w:r w:rsidR="00DE4D53">
        <w:rPr>
          <w:rFonts w:eastAsia="Calibri"/>
        </w:rPr>
        <w:t xml:space="preserve">additional line items for </w:t>
      </w:r>
      <w:r w:rsidR="009A0B82">
        <w:rPr>
          <w:rFonts w:eastAsia="Calibri"/>
        </w:rPr>
        <w:t xml:space="preserve">new </w:t>
      </w:r>
      <w:r w:rsidR="00AD182A" w:rsidRPr="00AD182A">
        <w:rPr>
          <w:rFonts w:eastAsia="Calibri"/>
        </w:rPr>
        <w:t xml:space="preserve">backup generators, increased post-transition operating costs, tower elevators for tall towers, and the cost </w:t>
      </w:r>
      <w:r w:rsidR="009A0B82">
        <w:rPr>
          <w:rFonts w:eastAsia="Calibri"/>
        </w:rPr>
        <w:t>of</w:t>
      </w:r>
      <w:r w:rsidR="00AD182A" w:rsidRPr="00AD182A">
        <w:rPr>
          <w:rFonts w:eastAsia="Calibri"/>
        </w:rPr>
        <w:t xml:space="preserve"> acquiring land</w:t>
      </w:r>
      <w:r w:rsidR="009A0B82">
        <w:rPr>
          <w:rFonts w:eastAsia="Calibri"/>
        </w:rPr>
        <w:t xml:space="preserve"> for a tower</w:t>
      </w:r>
      <w:r w:rsidR="00AD182A" w:rsidRPr="00D90D39">
        <w:rPr>
          <w:rFonts w:eastAsia="Calibri"/>
        </w:rPr>
        <w:t>.</w:t>
      </w:r>
      <w:r w:rsidR="00AD182A" w:rsidRPr="00D90D39">
        <w:rPr>
          <w:rStyle w:val="FootnoteReference"/>
          <w:rFonts w:eastAsia="Calibri"/>
          <w:szCs w:val="22"/>
        </w:rPr>
        <w:footnoteReference w:id="14"/>
      </w:r>
      <w:r w:rsidR="002F4366" w:rsidRPr="00D90D39">
        <w:rPr>
          <w:rFonts w:eastAsia="Calibri"/>
        </w:rPr>
        <w:t xml:space="preserve">  </w:t>
      </w:r>
      <w:r w:rsidR="001F1815" w:rsidRPr="001F1815">
        <w:rPr>
          <w:rFonts w:eastAsia="Calibri"/>
        </w:rPr>
        <w:t xml:space="preserve">We do not believe it is necessary to add these specific items to the </w:t>
      </w:r>
      <w:r w:rsidR="00A95AD3">
        <w:rPr>
          <w:rFonts w:eastAsia="Calibri"/>
        </w:rPr>
        <w:t>C</w:t>
      </w:r>
      <w:r w:rsidR="001F1815" w:rsidRPr="001F1815">
        <w:rPr>
          <w:rFonts w:eastAsia="Calibri"/>
        </w:rPr>
        <w:t xml:space="preserve">atalog because, to the extent </w:t>
      </w:r>
      <w:r w:rsidR="00394FCC">
        <w:rPr>
          <w:rFonts w:eastAsia="Calibri"/>
        </w:rPr>
        <w:t xml:space="preserve">that </w:t>
      </w:r>
      <w:r w:rsidR="001F1815" w:rsidRPr="001F1815">
        <w:rPr>
          <w:rFonts w:eastAsia="Calibri"/>
        </w:rPr>
        <w:t xml:space="preserve">stations </w:t>
      </w:r>
      <w:r w:rsidR="00DE4D53">
        <w:rPr>
          <w:rFonts w:eastAsia="Calibri"/>
        </w:rPr>
        <w:t xml:space="preserve">reasonably </w:t>
      </w:r>
      <w:r w:rsidR="001F1815" w:rsidRPr="001F1815">
        <w:rPr>
          <w:rFonts w:eastAsia="Calibri"/>
        </w:rPr>
        <w:t xml:space="preserve">incur </w:t>
      </w:r>
      <w:r w:rsidR="00DE4D53">
        <w:rPr>
          <w:rFonts w:eastAsia="Calibri"/>
        </w:rPr>
        <w:t>such</w:t>
      </w:r>
      <w:r w:rsidR="001F1815" w:rsidRPr="001F1815">
        <w:rPr>
          <w:rFonts w:eastAsia="Calibri"/>
        </w:rPr>
        <w:t xml:space="preserve"> expenses, they can be claimed within the appropriate cost categories or on th</w:t>
      </w:r>
      <w:r w:rsidR="007D3DC7">
        <w:rPr>
          <w:rFonts w:eastAsia="Calibri"/>
        </w:rPr>
        <w:t>e catch-all “O</w:t>
      </w:r>
      <w:r w:rsidR="001F1815" w:rsidRPr="001F1815">
        <w:rPr>
          <w:rFonts w:eastAsia="Calibri"/>
        </w:rPr>
        <w:t xml:space="preserve">ther” line </w:t>
      </w:r>
      <w:r w:rsidR="00F75386">
        <w:rPr>
          <w:rFonts w:eastAsia="Calibri"/>
        </w:rPr>
        <w:t xml:space="preserve">in the Reimbursement Form </w:t>
      </w:r>
      <w:r w:rsidR="001F1815">
        <w:rPr>
          <w:rFonts w:eastAsia="Calibri"/>
        </w:rPr>
        <w:t xml:space="preserve">that is </w:t>
      </w:r>
      <w:r w:rsidR="001F1815" w:rsidRPr="001F1815">
        <w:rPr>
          <w:rFonts w:eastAsia="Calibri"/>
        </w:rPr>
        <w:t>available for expense</w:t>
      </w:r>
      <w:r w:rsidR="00F75386">
        <w:rPr>
          <w:rFonts w:eastAsia="Calibri"/>
        </w:rPr>
        <w:t>s</w:t>
      </w:r>
      <w:r w:rsidR="001F1815" w:rsidRPr="001F1815">
        <w:rPr>
          <w:rFonts w:eastAsia="Calibri"/>
        </w:rPr>
        <w:t xml:space="preserve"> not listed within </w:t>
      </w:r>
      <w:r w:rsidR="00394FCC">
        <w:rPr>
          <w:rFonts w:eastAsia="Calibri"/>
        </w:rPr>
        <w:t>a particular</w:t>
      </w:r>
      <w:r w:rsidR="001F1815" w:rsidRPr="001F1815">
        <w:rPr>
          <w:rFonts w:eastAsia="Calibri"/>
        </w:rPr>
        <w:t xml:space="preserve"> category.</w:t>
      </w:r>
      <w:r w:rsidR="00A95AD3">
        <w:rPr>
          <w:rStyle w:val="FootnoteReference"/>
          <w:rFonts w:eastAsia="Calibri"/>
          <w:szCs w:val="22"/>
        </w:rPr>
        <w:footnoteReference w:id="15"/>
      </w:r>
      <w:r w:rsidR="001F1815" w:rsidRPr="001F1815">
        <w:rPr>
          <w:rFonts w:eastAsia="Calibri"/>
        </w:rPr>
        <w:t xml:space="preserve"> </w:t>
      </w:r>
      <w:r w:rsidR="001F1815">
        <w:rPr>
          <w:rFonts w:eastAsia="Calibri"/>
        </w:rPr>
        <w:t xml:space="preserve"> </w:t>
      </w:r>
      <w:r w:rsidR="006F61C2" w:rsidRPr="006F61C2">
        <w:rPr>
          <w:rFonts w:eastAsia="Calibri"/>
        </w:rPr>
        <w:t>As previously</w:t>
      </w:r>
      <w:r w:rsidR="00D06BF6">
        <w:rPr>
          <w:rFonts w:eastAsia="Calibri"/>
        </w:rPr>
        <w:t xml:space="preserve"> noted</w:t>
      </w:r>
      <w:r w:rsidR="006F61C2" w:rsidRPr="006F61C2">
        <w:rPr>
          <w:rFonts w:eastAsia="Calibri"/>
        </w:rPr>
        <w:t xml:space="preserve">, the Catalog is not intended </w:t>
      </w:r>
      <w:r w:rsidR="00E333C2">
        <w:rPr>
          <w:rFonts w:eastAsia="Calibri"/>
        </w:rPr>
        <w:t>to be all-inclusive of every possible expense category</w:t>
      </w:r>
      <w:r w:rsidR="00D76B66">
        <w:rPr>
          <w:rFonts w:eastAsia="Calibri"/>
        </w:rPr>
        <w:t>.  Rat</w:t>
      </w:r>
      <w:r w:rsidR="00E333C2">
        <w:rPr>
          <w:rFonts w:eastAsia="Calibri"/>
        </w:rPr>
        <w:t>her,</w:t>
      </w:r>
      <w:r w:rsidR="00A95AD3">
        <w:rPr>
          <w:rFonts w:eastAsia="Calibri"/>
        </w:rPr>
        <w:t xml:space="preserve"> </w:t>
      </w:r>
      <w:r w:rsidR="00D76B66">
        <w:rPr>
          <w:rFonts w:eastAsia="Calibri"/>
        </w:rPr>
        <w:t xml:space="preserve">it is intended </w:t>
      </w:r>
      <w:r w:rsidR="00A95AD3">
        <w:rPr>
          <w:rFonts w:eastAsia="Calibri"/>
        </w:rPr>
        <w:t>to serve as</w:t>
      </w:r>
      <w:r w:rsidR="00C475B9">
        <w:rPr>
          <w:rFonts w:eastAsia="Calibri"/>
        </w:rPr>
        <w:t xml:space="preserve"> </w:t>
      </w:r>
      <w:r w:rsidR="006F61C2" w:rsidRPr="006F61C2">
        <w:rPr>
          <w:rFonts w:eastAsia="Calibri"/>
        </w:rPr>
        <w:t xml:space="preserve">a </w:t>
      </w:r>
      <w:r w:rsidR="00E333C2">
        <w:rPr>
          <w:rFonts w:eastAsia="Calibri"/>
        </w:rPr>
        <w:t xml:space="preserve">reference </w:t>
      </w:r>
      <w:r w:rsidR="006F61C2" w:rsidRPr="006F61C2">
        <w:rPr>
          <w:rFonts w:eastAsia="Calibri"/>
        </w:rPr>
        <w:t xml:space="preserve">guide </w:t>
      </w:r>
      <w:r w:rsidR="00D76B66">
        <w:rPr>
          <w:rFonts w:eastAsia="Calibri"/>
        </w:rPr>
        <w:t>that will</w:t>
      </w:r>
      <w:r w:rsidR="0075221C">
        <w:rPr>
          <w:rFonts w:eastAsia="Calibri"/>
        </w:rPr>
        <w:t xml:space="preserve"> </w:t>
      </w:r>
      <w:r w:rsidR="006F61C2" w:rsidRPr="006F61C2">
        <w:rPr>
          <w:rFonts w:eastAsia="Calibri"/>
        </w:rPr>
        <w:t xml:space="preserve">add structure to the process of claiming reimbursement </w:t>
      </w:r>
      <w:r w:rsidR="00D76B66">
        <w:rPr>
          <w:rFonts w:eastAsia="Calibri"/>
        </w:rPr>
        <w:t xml:space="preserve">by identifying the types of </w:t>
      </w:r>
      <w:r w:rsidR="006F61C2" w:rsidRPr="006F61C2">
        <w:rPr>
          <w:rFonts w:eastAsia="Calibri"/>
        </w:rPr>
        <w:t xml:space="preserve">equipment and services </w:t>
      </w:r>
      <w:r w:rsidR="00D76B66">
        <w:rPr>
          <w:rFonts w:eastAsia="Calibri"/>
        </w:rPr>
        <w:t>that are most commonly required</w:t>
      </w:r>
      <w:r w:rsidR="00D76B66" w:rsidRPr="006F61C2">
        <w:rPr>
          <w:rFonts w:eastAsia="Calibri"/>
        </w:rPr>
        <w:t xml:space="preserve"> </w:t>
      </w:r>
      <w:r w:rsidR="006F61C2" w:rsidRPr="006F61C2">
        <w:rPr>
          <w:rFonts w:eastAsia="Calibri"/>
        </w:rPr>
        <w:t>to co</w:t>
      </w:r>
      <w:r w:rsidR="00D76B66">
        <w:rPr>
          <w:rFonts w:eastAsia="Calibri"/>
        </w:rPr>
        <w:t xml:space="preserve">nstruct new broadcast facilities, as well as their price ranges, based on </w:t>
      </w:r>
      <w:proofErr w:type="spellStart"/>
      <w:r w:rsidR="00D76B66">
        <w:rPr>
          <w:rFonts w:eastAsia="Calibri"/>
        </w:rPr>
        <w:t>Widelity’s</w:t>
      </w:r>
      <w:proofErr w:type="spellEnd"/>
      <w:r w:rsidR="00D76B66">
        <w:rPr>
          <w:rFonts w:eastAsia="Calibri"/>
        </w:rPr>
        <w:t xml:space="preserve"> recently updated research with industry stakeholders</w:t>
      </w:r>
      <w:r w:rsidR="006F61C2" w:rsidRPr="006F61C2">
        <w:rPr>
          <w:rFonts w:eastAsia="Calibri"/>
        </w:rPr>
        <w:t>.</w:t>
      </w:r>
      <w:r w:rsidR="00DE4D53">
        <w:rPr>
          <w:rStyle w:val="FootnoteReference"/>
        </w:rPr>
        <w:footnoteReference w:id="16"/>
      </w:r>
      <w:r w:rsidR="00AD3F01">
        <w:rPr>
          <w:rFonts w:eastAsia="Calibri"/>
        </w:rPr>
        <w:t xml:space="preserve">  </w:t>
      </w:r>
      <w:r w:rsidR="00CB4282">
        <w:rPr>
          <w:rFonts w:eastAsia="Calibri"/>
        </w:rPr>
        <w:t>Accordingly</w:t>
      </w:r>
      <w:r w:rsidR="00AD3F01">
        <w:rPr>
          <w:rFonts w:eastAsia="Calibri"/>
        </w:rPr>
        <w:t>, t</w:t>
      </w:r>
      <w:r w:rsidR="006F61C2">
        <w:rPr>
          <w:rFonts w:eastAsia="Calibri"/>
        </w:rPr>
        <w:t xml:space="preserve">o the extent that </w:t>
      </w:r>
      <w:r w:rsidR="008024CA">
        <w:rPr>
          <w:rFonts w:eastAsia="Calibri"/>
        </w:rPr>
        <w:t>certain</w:t>
      </w:r>
      <w:r w:rsidR="00CB4282">
        <w:rPr>
          <w:rFonts w:eastAsia="Calibri"/>
        </w:rPr>
        <w:t xml:space="preserve"> pieces of</w:t>
      </w:r>
      <w:r w:rsidR="006F61C2">
        <w:rPr>
          <w:rFonts w:eastAsia="Calibri"/>
        </w:rPr>
        <w:t xml:space="preserve"> equipment, such as </w:t>
      </w:r>
      <w:r w:rsidR="00D77564">
        <w:rPr>
          <w:rFonts w:eastAsia="Calibri"/>
        </w:rPr>
        <w:t xml:space="preserve">a </w:t>
      </w:r>
      <w:r w:rsidR="006F61C2" w:rsidRPr="004F1A6C">
        <w:rPr>
          <w:rFonts w:eastAsia="Calibri"/>
        </w:rPr>
        <w:t>system dummy load</w:t>
      </w:r>
      <w:r w:rsidR="006F61C2">
        <w:rPr>
          <w:rFonts w:eastAsia="Calibri"/>
        </w:rPr>
        <w:t xml:space="preserve"> </w:t>
      </w:r>
      <w:r w:rsidR="006F61C2" w:rsidRPr="004F1A6C">
        <w:rPr>
          <w:rFonts w:eastAsia="Calibri"/>
        </w:rPr>
        <w:t>and switch,</w:t>
      </w:r>
      <w:r w:rsidR="006F61C2">
        <w:rPr>
          <w:rFonts w:eastAsia="Calibri"/>
        </w:rPr>
        <w:t xml:space="preserve"> are not explicitly listed in the Catalog, </w:t>
      </w:r>
      <w:r w:rsidR="00AD3F01">
        <w:rPr>
          <w:rFonts w:eastAsia="Calibri"/>
        </w:rPr>
        <w:t xml:space="preserve">we note that </w:t>
      </w:r>
      <w:r w:rsidR="006F61C2">
        <w:rPr>
          <w:rFonts w:eastAsia="Calibri"/>
        </w:rPr>
        <w:t xml:space="preserve">the Reimbursement Form provides flexibility </w:t>
      </w:r>
      <w:r w:rsidR="00E333C2">
        <w:rPr>
          <w:rFonts w:eastAsia="Calibri"/>
        </w:rPr>
        <w:t xml:space="preserve">for users </w:t>
      </w:r>
      <w:r w:rsidR="006F61C2">
        <w:rPr>
          <w:rFonts w:eastAsia="Calibri"/>
        </w:rPr>
        <w:t xml:space="preserve">to claim reimbursement for such expenses.  </w:t>
      </w:r>
    </w:p>
    <w:p w14:paraId="424312CC" w14:textId="2D034543" w:rsidR="00E10609" w:rsidRPr="00FC76D2" w:rsidRDefault="00E333C2" w:rsidP="00FC76D2">
      <w:pPr>
        <w:pStyle w:val="ParaNum"/>
        <w:rPr>
          <w:rFonts w:eastAsia="Calibri"/>
        </w:rPr>
      </w:pPr>
      <w:r>
        <w:rPr>
          <w:rFonts w:eastAsia="Calibri"/>
        </w:rPr>
        <w:t xml:space="preserve">We </w:t>
      </w:r>
      <w:r w:rsidR="00CB4282">
        <w:rPr>
          <w:rFonts w:eastAsia="Calibri"/>
        </w:rPr>
        <w:t>likewise</w:t>
      </w:r>
      <w:r>
        <w:rPr>
          <w:rFonts w:eastAsia="Calibri"/>
        </w:rPr>
        <w:t xml:space="preserve"> decline</w:t>
      </w:r>
      <w:r w:rsidR="002F4366" w:rsidRPr="00D90D39">
        <w:rPr>
          <w:rFonts w:eastAsia="Calibri"/>
        </w:rPr>
        <w:t xml:space="preserve"> </w:t>
      </w:r>
      <w:r w:rsidR="00DD07EF" w:rsidRPr="00D90D39">
        <w:rPr>
          <w:rFonts w:eastAsia="Calibri"/>
        </w:rPr>
        <w:t xml:space="preserve">PTV’s request </w:t>
      </w:r>
      <w:r w:rsidR="00557360" w:rsidRPr="00D90D39">
        <w:rPr>
          <w:rFonts w:eastAsia="Calibri"/>
        </w:rPr>
        <w:t xml:space="preserve">to include a line item </w:t>
      </w:r>
      <w:r>
        <w:rPr>
          <w:rFonts w:eastAsia="Calibri"/>
        </w:rPr>
        <w:t xml:space="preserve">cost category </w:t>
      </w:r>
      <w:r w:rsidR="00557360" w:rsidRPr="00D90D39">
        <w:rPr>
          <w:rFonts w:eastAsia="Calibri"/>
        </w:rPr>
        <w:t>for</w:t>
      </w:r>
      <w:r w:rsidR="00DD07EF" w:rsidRPr="00D90D39">
        <w:rPr>
          <w:rFonts w:eastAsia="Calibri"/>
        </w:rPr>
        <w:t xml:space="preserve"> </w:t>
      </w:r>
      <w:r w:rsidR="00E162DE">
        <w:rPr>
          <w:rFonts w:eastAsia="Calibri"/>
        </w:rPr>
        <w:t xml:space="preserve">increased post-auction </w:t>
      </w:r>
      <w:r w:rsidR="00DD07EF" w:rsidRPr="00D90D39">
        <w:rPr>
          <w:rFonts w:eastAsia="Calibri"/>
        </w:rPr>
        <w:t>operating cost</w:t>
      </w:r>
      <w:r w:rsidR="00E162DE">
        <w:rPr>
          <w:rFonts w:eastAsia="Calibri"/>
        </w:rPr>
        <w:t>s</w:t>
      </w:r>
      <w:r w:rsidR="009B1944">
        <w:rPr>
          <w:rFonts w:eastAsia="Calibri"/>
        </w:rPr>
        <w:t xml:space="preserve">.  </w:t>
      </w:r>
      <w:r>
        <w:rPr>
          <w:rFonts w:eastAsia="Calibri"/>
        </w:rPr>
        <w:t>W</w:t>
      </w:r>
      <w:r w:rsidR="009B1944">
        <w:rPr>
          <w:rFonts w:eastAsia="Calibri"/>
        </w:rPr>
        <w:t xml:space="preserve">e </w:t>
      </w:r>
      <w:r w:rsidR="00EA3147">
        <w:rPr>
          <w:rFonts w:eastAsia="Calibri"/>
        </w:rPr>
        <w:t>do</w:t>
      </w:r>
      <w:r w:rsidR="009B1944">
        <w:rPr>
          <w:rFonts w:eastAsia="Calibri"/>
        </w:rPr>
        <w:t xml:space="preserve"> not expect </w:t>
      </w:r>
      <w:r w:rsidR="00832E39">
        <w:rPr>
          <w:rFonts w:eastAsia="Calibri"/>
        </w:rPr>
        <w:t xml:space="preserve">stations’ </w:t>
      </w:r>
      <w:r w:rsidR="009B1944" w:rsidRPr="00D90D39">
        <w:rPr>
          <w:rFonts w:eastAsia="Calibri"/>
        </w:rPr>
        <w:t>operating cost</w:t>
      </w:r>
      <w:r w:rsidR="009B1944">
        <w:rPr>
          <w:rFonts w:eastAsia="Calibri"/>
        </w:rPr>
        <w:t>s</w:t>
      </w:r>
      <w:r w:rsidR="00920229">
        <w:rPr>
          <w:rFonts w:eastAsia="Calibri"/>
        </w:rPr>
        <w:t xml:space="preserve"> </w:t>
      </w:r>
      <w:r w:rsidR="00134E02">
        <w:rPr>
          <w:rFonts w:eastAsia="Calibri"/>
        </w:rPr>
        <w:t>to increase post-auction and thus</w:t>
      </w:r>
      <w:r w:rsidR="00EA3147" w:rsidRPr="00EA3147">
        <w:rPr>
          <w:rFonts w:eastAsia="Calibri"/>
        </w:rPr>
        <w:t xml:space="preserve"> </w:t>
      </w:r>
      <w:r w:rsidR="00DD07EF" w:rsidRPr="00D90D39">
        <w:rPr>
          <w:rFonts w:eastAsia="Calibri"/>
        </w:rPr>
        <w:t xml:space="preserve">do not </w:t>
      </w:r>
      <w:r w:rsidR="00E162DE">
        <w:rPr>
          <w:rFonts w:eastAsia="Calibri"/>
        </w:rPr>
        <w:t xml:space="preserve">agree that this </w:t>
      </w:r>
      <w:r w:rsidR="00034325">
        <w:rPr>
          <w:rFonts w:eastAsia="Calibri"/>
        </w:rPr>
        <w:t>will be a commonly incurred expense</w:t>
      </w:r>
      <w:r w:rsidR="00B2407E">
        <w:rPr>
          <w:rFonts w:eastAsia="Calibri"/>
        </w:rPr>
        <w:t xml:space="preserve"> for reasons specifically related to the auction</w:t>
      </w:r>
      <w:r w:rsidR="00DE4D53">
        <w:rPr>
          <w:rFonts w:eastAsia="Calibri"/>
        </w:rPr>
        <w:t>.</w:t>
      </w:r>
      <w:r w:rsidR="00DD07EF" w:rsidRPr="00D90D39">
        <w:rPr>
          <w:rStyle w:val="FootnoteReference"/>
          <w:rFonts w:eastAsia="Calibri"/>
          <w:szCs w:val="22"/>
        </w:rPr>
        <w:footnoteReference w:id="17"/>
      </w:r>
      <w:r w:rsidR="00034325">
        <w:rPr>
          <w:rFonts w:eastAsia="Calibri"/>
        </w:rPr>
        <w:t xml:space="preserve"> </w:t>
      </w:r>
      <w:r w:rsidR="00DE4D53">
        <w:rPr>
          <w:rFonts w:eastAsia="Calibri"/>
        </w:rPr>
        <w:t xml:space="preserve"> </w:t>
      </w:r>
      <w:r>
        <w:rPr>
          <w:rFonts w:eastAsia="Calibri"/>
        </w:rPr>
        <w:t>Moreover</w:t>
      </w:r>
      <w:r w:rsidR="00EA3147" w:rsidRPr="00EA3147">
        <w:rPr>
          <w:rFonts w:eastAsia="Calibri"/>
        </w:rPr>
        <w:t xml:space="preserve">, post-auction operating costs would not be </w:t>
      </w:r>
      <w:r w:rsidR="00EA3147" w:rsidRPr="00EA3147">
        <w:rPr>
          <w:rFonts w:eastAsia="Calibri"/>
          <w:bCs/>
        </w:rPr>
        <w:t>incurred “in order for the licensee to relocate its television service from one channel to the other,”</w:t>
      </w:r>
      <w:r w:rsidR="00B2407E">
        <w:rPr>
          <w:rFonts w:eastAsia="Calibri"/>
          <w:bCs/>
        </w:rPr>
        <w:t xml:space="preserve"> as required by the statute creating the Fund,</w:t>
      </w:r>
      <w:r w:rsidR="00EA3147" w:rsidRPr="008876DB">
        <w:rPr>
          <w:rFonts w:eastAsia="Calibri"/>
          <w:bCs/>
          <w:sz w:val="20"/>
          <w:vertAlign w:val="superscript"/>
        </w:rPr>
        <w:footnoteReference w:id="18"/>
      </w:r>
      <w:r w:rsidR="00924A31">
        <w:rPr>
          <w:rFonts w:eastAsia="Calibri"/>
          <w:bCs/>
        </w:rPr>
        <w:t> but rather</w:t>
      </w:r>
      <w:r w:rsidR="00EA3147" w:rsidRPr="00EA3147">
        <w:rPr>
          <w:rFonts w:eastAsia="Calibri"/>
          <w:bCs/>
        </w:rPr>
        <w:t xml:space="preserve"> only </w:t>
      </w:r>
      <w:r w:rsidR="00EA3147" w:rsidRPr="00EA3147">
        <w:rPr>
          <w:rFonts w:eastAsia="Calibri"/>
          <w:bCs/>
          <w:i/>
        </w:rPr>
        <w:t>after</w:t>
      </w:r>
      <w:r w:rsidR="00EA3147" w:rsidRPr="00EA3147">
        <w:rPr>
          <w:rFonts w:eastAsia="Calibri"/>
          <w:bCs/>
        </w:rPr>
        <w:t xml:space="preserve"> a station ha</w:t>
      </w:r>
      <w:r w:rsidR="00EA3147">
        <w:rPr>
          <w:rFonts w:eastAsia="Calibri"/>
          <w:bCs/>
        </w:rPr>
        <w:t>d</w:t>
      </w:r>
      <w:r w:rsidR="00EA3147" w:rsidRPr="00EA3147">
        <w:rPr>
          <w:rFonts w:eastAsia="Calibri"/>
          <w:bCs/>
        </w:rPr>
        <w:t xml:space="preserve"> already relocated to a new channel.  We find that this </w:t>
      </w:r>
      <w:r w:rsidR="00D84BE7">
        <w:rPr>
          <w:rFonts w:eastAsia="Calibri"/>
          <w:bCs/>
        </w:rPr>
        <w:t>interpretation</w:t>
      </w:r>
      <w:r w:rsidR="00EA3147" w:rsidRPr="00EA3147">
        <w:rPr>
          <w:rFonts w:eastAsia="Calibri"/>
          <w:bCs/>
        </w:rPr>
        <w:t xml:space="preserve"> is </w:t>
      </w:r>
      <w:r w:rsidR="00924A31">
        <w:rPr>
          <w:rFonts w:eastAsia="Calibri"/>
        </w:rPr>
        <w:t xml:space="preserve">consistent with </w:t>
      </w:r>
      <w:r w:rsidR="00920229">
        <w:rPr>
          <w:rFonts w:eastAsia="Calibri"/>
        </w:rPr>
        <w:t>the Commission</w:t>
      </w:r>
      <w:r w:rsidR="00D84BE7">
        <w:rPr>
          <w:rFonts w:eastAsia="Calibri"/>
        </w:rPr>
        <w:t>’s</w:t>
      </w:r>
      <w:r w:rsidR="00920229">
        <w:rPr>
          <w:rFonts w:eastAsia="Calibri"/>
        </w:rPr>
        <w:t xml:space="preserve"> </w:t>
      </w:r>
      <w:r w:rsidR="00D84BE7">
        <w:rPr>
          <w:rFonts w:eastAsia="Calibri"/>
        </w:rPr>
        <w:t>decision</w:t>
      </w:r>
      <w:r w:rsidR="00EA3147" w:rsidRPr="00EA3147">
        <w:rPr>
          <w:rFonts w:eastAsia="Calibri"/>
        </w:rPr>
        <w:t xml:space="preserve"> that only the “non-recurring costs to </w:t>
      </w:r>
      <w:r w:rsidR="00EA3147" w:rsidRPr="00EA3147">
        <w:rPr>
          <w:rFonts w:eastAsia="Calibri"/>
          <w:i/>
        </w:rPr>
        <w:t>set up</w:t>
      </w:r>
      <w:r w:rsidR="00EA3147" w:rsidRPr="00EA3147">
        <w:rPr>
          <w:rFonts w:eastAsia="Calibri"/>
        </w:rPr>
        <w:t xml:space="preserve"> delivery” of a signal that the MVPD is required to carry would be eligible for reimbursement</w:t>
      </w:r>
      <w:r w:rsidR="00D84BE7">
        <w:rPr>
          <w:rFonts w:eastAsia="Calibri"/>
        </w:rPr>
        <w:t xml:space="preserve"> to MVPDs</w:t>
      </w:r>
      <w:r w:rsidR="00EA3147" w:rsidRPr="00EA3147">
        <w:rPr>
          <w:rFonts w:eastAsia="Calibri"/>
        </w:rPr>
        <w:t>.</w:t>
      </w:r>
      <w:r w:rsidR="00EA3147" w:rsidRPr="008876DB">
        <w:rPr>
          <w:rFonts w:eastAsia="Calibri"/>
          <w:sz w:val="20"/>
          <w:vertAlign w:val="superscript"/>
        </w:rPr>
        <w:footnoteReference w:id="19"/>
      </w:r>
      <w:r w:rsidR="00920229">
        <w:rPr>
          <w:rFonts w:eastAsia="Calibri"/>
        </w:rPr>
        <w:t xml:space="preserve"> </w:t>
      </w:r>
      <w:r w:rsidR="00EA3147" w:rsidRPr="00EA3147">
        <w:rPr>
          <w:rFonts w:eastAsia="Calibri"/>
        </w:rPr>
        <w:t xml:space="preserve"> </w:t>
      </w:r>
      <w:r w:rsidR="005F1E31" w:rsidRPr="00D90D39">
        <w:rPr>
          <w:rFonts w:eastAsia="Calibri"/>
        </w:rPr>
        <w:t>PTV</w:t>
      </w:r>
      <w:r w:rsidR="00D84BE7">
        <w:rPr>
          <w:rFonts w:eastAsia="Calibri"/>
        </w:rPr>
        <w:t xml:space="preserve"> also</w:t>
      </w:r>
      <w:r w:rsidR="005F1E31" w:rsidRPr="00D90D39">
        <w:rPr>
          <w:rFonts w:eastAsia="Calibri"/>
        </w:rPr>
        <w:t xml:space="preserve"> request</w:t>
      </w:r>
      <w:r w:rsidR="00D77564">
        <w:rPr>
          <w:rFonts w:eastAsia="Calibri"/>
        </w:rPr>
        <w:t>ed</w:t>
      </w:r>
      <w:r w:rsidR="005F1E31" w:rsidRPr="00D90D39">
        <w:rPr>
          <w:rFonts w:eastAsia="Calibri"/>
        </w:rPr>
        <w:t xml:space="preserve"> </w:t>
      </w:r>
      <w:r w:rsidR="00D84BE7">
        <w:rPr>
          <w:rFonts w:eastAsia="Calibri"/>
        </w:rPr>
        <w:t>that we</w:t>
      </w:r>
      <w:r w:rsidR="005F1E31">
        <w:rPr>
          <w:rFonts w:eastAsia="Calibri"/>
        </w:rPr>
        <w:t xml:space="preserve"> include a line ite</w:t>
      </w:r>
      <w:r w:rsidR="005F1E31" w:rsidRPr="005F1E31">
        <w:rPr>
          <w:rFonts w:eastAsia="Calibri"/>
        </w:rPr>
        <w:t>m</w:t>
      </w:r>
      <w:r w:rsidR="005F1E31">
        <w:rPr>
          <w:rFonts w:eastAsia="Calibri"/>
        </w:rPr>
        <w:t xml:space="preserve"> for </w:t>
      </w:r>
      <w:r w:rsidR="00750A13">
        <w:rPr>
          <w:rFonts w:eastAsia="Calibri"/>
        </w:rPr>
        <w:t>various professional services.</w:t>
      </w:r>
      <w:r w:rsidR="00750A13">
        <w:rPr>
          <w:rStyle w:val="FootnoteReference"/>
          <w:rFonts w:eastAsia="Calibri"/>
          <w:szCs w:val="22"/>
        </w:rPr>
        <w:footnoteReference w:id="20"/>
      </w:r>
      <w:r w:rsidR="00750A13">
        <w:rPr>
          <w:rFonts w:eastAsia="Calibri"/>
        </w:rPr>
        <w:t xml:space="preserve">  </w:t>
      </w:r>
      <w:r w:rsidR="00CB4282">
        <w:rPr>
          <w:rFonts w:eastAsia="Calibri"/>
        </w:rPr>
        <w:t xml:space="preserve">As </w:t>
      </w:r>
      <w:r w:rsidR="00395F4C">
        <w:rPr>
          <w:rFonts w:eastAsia="Calibri"/>
        </w:rPr>
        <w:t>noted</w:t>
      </w:r>
      <w:r w:rsidR="006A56B0">
        <w:rPr>
          <w:rFonts w:eastAsia="Calibri"/>
        </w:rPr>
        <w:t xml:space="preserve"> above</w:t>
      </w:r>
      <w:r w:rsidR="009D210D">
        <w:rPr>
          <w:rFonts w:eastAsia="Calibri"/>
        </w:rPr>
        <w:t xml:space="preserve">, because </w:t>
      </w:r>
      <w:r w:rsidR="00CB4282">
        <w:rPr>
          <w:rFonts w:eastAsia="Calibri"/>
        </w:rPr>
        <w:t xml:space="preserve">the Catalog is not intended to cover every potential expense that </w:t>
      </w:r>
      <w:r w:rsidR="009D210D">
        <w:rPr>
          <w:rFonts w:eastAsia="Calibri"/>
        </w:rPr>
        <w:t>reimbursement-</w:t>
      </w:r>
      <w:r w:rsidR="00CB4282">
        <w:rPr>
          <w:rFonts w:eastAsia="Calibri"/>
        </w:rPr>
        <w:t>eligible entities may incur</w:t>
      </w:r>
      <w:r w:rsidR="009D210D">
        <w:rPr>
          <w:rFonts w:eastAsia="Calibri"/>
        </w:rPr>
        <w:t xml:space="preserve"> to complete their post-auction transition</w:t>
      </w:r>
      <w:r w:rsidR="00CB4282">
        <w:rPr>
          <w:rFonts w:eastAsia="Calibri"/>
        </w:rPr>
        <w:t xml:space="preserve"> and because the </w:t>
      </w:r>
      <w:r w:rsidR="009D210D">
        <w:rPr>
          <w:rFonts w:eastAsia="Calibri"/>
        </w:rPr>
        <w:t xml:space="preserve">Reimbursement </w:t>
      </w:r>
      <w:r w:rsidR="00CB4282">
        <w:rPr>
          <w:rFonts w:eastAsia="Calibri"/>
        </w:rPr>
        <w:t>Form provides users with the flexibility to submit reimbursement claims</w:t>
      </w:r>
      <w:r w:rsidR="00CB4282" w:rsidRPr="00CB4282">
        <w:rPr>
          <w:rFonts w:eastAsia="Calibri"/>
        </w:rPr>
        <w:t xml:space="preserve"> </w:t>
      </w:r>
      <w:r w:rsidR="00CB4282">
        <w:rPr>
          <w:rFonts w:eastAsia="Calibri"/>
        </w:rPr>
        <w:t>for professional services that are</w:t>
      </w:r>
      <w:r w:rsidR="00CB4282" w:rsidRPr="00D90D39">
        <w:rPr>
          <w:rFonts w:eastAsia="Calibri"/>
        </w:rPr>
        <w:t xml:space="preserve"> not </w:t>
      </w:r>
      <w:r w:rsidR="00CB4282">
        <w:rPr>
          <w:rFonts w:eastAsia="Calibri"/>
        </w:rPr>
        <w:t>identified</w:t>
      </w:r>
      <w:r w:rsidR="00CB4282" w:rsidRPr="00D90D39">
        <w:rPr>
          <w:rFonts w:eastAsia="Calibri"/>
        </w:rPr>
        <w:t xml:space="preserve"> in the Catalog</w:t>
      </w:r>
      <w:r w:rsidR="009D210D">
        <w:rPr>
          <w:rFonts w:eastAsia="Calibri"/>
        </w:rPr>
        <w:t>,</w:t>
      </w:r>
      <w:r w:rsidR="00CB4282">
        <w:rPr>
          <w:rStyle w:val="FootnoteReference"/>
          <w:rFonts w:eastAsia="Calibri"/>
          <w:szCs w:val="22"/>
        </w:rPr>
        <w:footnoteReference w:id="21"/>
      </w:r>
      <w:r w:rsidR="00CB4282">
        <w:rPr>
          <w:rFonts w:eastAsia="Calibri"/>
        </w:rPr>
        <w:t xml:space="preserve"> we do not find that adding the various professional services line items requested by PTV is warranted.</w:t>
      </w:r>
      <w:r w:rsidR="00CB4282">
        <w:rPr>
          <w:rStyle w:val="FootnoteReference"/>
          <w:rFonts w:eastAsia="Calibri"/>
          <w:szCs w:val="22"/>
        </w:rPr>
        <w:footnoteReference w:id="22"/>
      </w:r>
      <w:r w:rsidR="00CD21AF">
        <w:rPr>
          <w:rFonts w:eastAsia="Calibri"/>
        </w:rPr>
        <w:t xml:space="preserve">  </w:t>
      </w:r>
      <w:r w:rsidR="00A273BA">
        <w:rPr>
          <w:rFonts w:eastAsia="Calibri"/>
        </w:rPr>
        <w:t xml:space="preserve">  </w:t>
      </w:r>
    </w:p>
    <w:p w14:paraId="2234E4F1" w14:textId="4657C3FC" w:rsidR="004F1A6C" w:rsidRDefault="00A273BA" w:rsidP="00074C20">
      <w:pPr>
        <w:pStyle w:val="ParaNum"/>
        <w:rPr>
          <w:rFonts w:eastAsia="Calibri"/>
        </w:rPr>
      </w:pPr>
      <w:r w:rsidRPr="000E0D55">
        <w:rPr>
          <w:rFonts w:eastAsia="Calibri"/>
        </w:rPr>
        <w:t>NAB requested adding line items to the Catalog for expenses related to voluntary te</w:t>
      </w:r>
      <w:r w:rsidR="00DB1758">
        <w:rPr>
          <w:rFonts w:eastAsia="Calibri"/>
        </w:rPr>
        <w:t>mporary channel sharing</w:t>
      </w:r>
      <w:r w:rsidRPr="000E0D55">
        <w:rPr>
          <w:rFonts w:eastAsia="Calibri"/>
        </w:rPr>
        <w:t>.</w:t>
      </w:r>
      <w:r w:rsidRPr="000E0D55">
        <w:rPr>
          <w:rStyle w:val="FootnoteReference"/>
          <w:rFonts w:eastAsia="Calibri"/>
          <w:szCs w:val="22"/>
        </w:rPr>
        <w:footnoteReference w:id="23"/>
      </w:r>
      <w:r w:rsidR="00A435DF" w:rsidRPr="000E0D55">
        <w:rPr>
          <w:rFonts w:eastAsia="Calibri"/>
        </w:rPr>
        <w:t xml:space="preserve">  </w:t>
      </w:r>
      <w:r w:rsidR="00250D6A">
        <w:rPr>
          <w:rFonts w:eastAsia="Calibri"/>
        </w:rPr>
        <w:t>As previously addressed, r</w:t>
      </w:r>
      <w:r w:rsidR="00A41DC4">
        <w:rPr>
          <w:rFonts w:eastAsia="Calibri"/>
        </w:rPr>
        <w:t>easonably incurred c</w:t>
      </w:r>
      <w:r w:rsidR="001A0435" w:rsidRPr="000E0D55">
        <w:rPr>
          <w:rFonts w:eastAsia="Calibri"/>
        </w:rPr>
        <w:t>osts</w:t>
      </w:r>
      <w:r w:rsidR="00A435DF" w:rsidRPr="000E0D55">
        <w:rPr>
          <w:rFonts w:eastAsia="Calibri"/>
        </w:rPr>
        <w:t xml:space="preserve"> </w:t>
      </w:r>
      <w:r w:rsidR="006676E5" w:rsidRPr="000E0D55">
        <w:rPr>
          <w:rFonts w:eastAsia="Calibri"/>
        </w:rPr>
        <w:t xml:space="preserve">associated </w:t>
      </w:r>
      <w:r w:rsidR="006676E5">
        <w:rPr>
          <w:rFonts w:eastAsia="Calibri"/>
        </w:rPr>
        <w:t>with obtaining</w:t>
      </w:r>
      <w:r w:rsidR="00066A43">
        <w:rPr>
          <w:rFonts w:eastAsia="Calibri"/>
        </w:rPr>
        <w:t xml:space="preserve"> any</w:t>
      </w:r>
      <w:r w:rsidR="00FC368C">
        <w:rPr>
          <w:rFonts w:eastAsia="Calibri"/>
        </w:rPr>
        <w:t xml:space="preserve"> </w:t>
      </w:r>
      <w:r w:rsidR="006676E5">
        <w:rPr>
          <w:rFonts w:eastAsia="Calibri"/>
        </w:rPr>
        <w:t xml:space="preserve">interim facilities </w:t>
      </w:r>
      <w:r w:rsidR="00E95D21">
        <w:rPr>
          <w:rFonts w:eastAsia="Calibri"/>
        </w:rPr>
        <w:t>necessary</w:t>
      </w:r>
      <w:r w:rsidR="00FC368C">
        <w:rPr>
          <w:rFonts w:eastAsia="Calibri"/>
        </w:rPr>
        <w:t xml:space="preserve"> to successfully transition </w:t>
      </w:r>
      <w:r w:rsidR="00F9152E">
        <w:rPr>
          <w:rFonts w:eastAsia="Calibri"/>
        </w:rPr>
        <w:t>w</w:t>
      </w:r>
      <w:r w:rsidR="00A435DF" w:rsidRPr="000E0D55">
        <w:rPr>
          <w:rFonts w:eastAsia="Calibri"/>
        </w:rPr>
        <w:t>ould</w:t>
      </w:r>
      <w:r w:rsidR="001A0435" w:rsidRPr="000E0D55">
        <w:rPr>
          <w:rFonts w:eastAsia="Calibri"/>
        </w:rPr>
        <w:t xml:space="preserve"> </w:t>
      </w:r>
      <w:r w:rsidR="00A435DF" w:rsidRPr="000E0D55">
        <w:rPr>
          <w:rFonts w:eastAsia="Calibri"/>
        </w:rPr>
        <w:t xml:space="preserve">be </w:t>
      </w:r>
      <w:r w:rsidR="001A0435" w:rsidRPr="000E0D55">
        <w:rPr>
          <w:rFonts w:eastAsia="Calibri"/>
        </w:rPr>
        <w:t>eligible for reimbursement</w:t>
      </w:r>
      <w:r w:rsidR="00A435DF" w:rsidRPr="000E0D55">
        <w:rPr>
          <w:rFonts w:eastAsia="Calibri"/>
        </w:rPr>
        <w:t>.</w:t>
      </w:r>
      <w:r w:rsidR="000256F5" w:rsidRPr="008876DB">
        <w:rPr>
          <w:rFonts w:eastAsia="Calibri"/>
          <w:sz w:val="20"/>
          <w:vertAlign w:val="superscript"/>
        </w:rPr>
        <w:footnoteReference w:id="24"/>
      </w:r>
      <w:r w:rsidR="000256F5" w:rsidRPr="008131C3">
        <w:rPr>
          <w:rFonts w:eastAsia="Calibri"/>
        </w:rPr>
        <w:t xml:space="preserve">  </w:t>
      </w:r>
      <w:r w:rsidR="00AA61FB">
        <w:rPr>
          <w:rFonts w:eastAsia="Calibri"/>
        </w:rPr>
        <w:t xml:space="preserve">NAB </w:t>
      </w:r>
      <w:r w:rsidR="009633A4">
        <w:rPr>
          <w:rFonts w:eastAsia="Calibri"/>
        </w:rPr>
        <w:t xml:space="preserve">also </w:t>
      </w:r>
      <w:r w:rsidR="00AA61FB">
        <w:rPr>
          <w:rFonts w:eastAsia="Calibri"/>
        </w:rPr>
        <w:t>requested clarification as to whether</w:t>
      </w:r>
      <w:r w:rsidR="00AA61FB" w:rsidRPr="003627F3">
        <w:rPr>
          <w:rFonts w:eastAsia="Calibri"/>
        </w:rPr>
        <w:t xml:space="preserve"> tempora</w:t>
      </w:r>
      <w:r w:rsidR="00AA61FB">
        <w:rPr>
          <w:rFonts w:eastAsia="Calibri"/>
        </w:rPr>
        <w:t xml:space="preserve">ry alternative delivery systems, such as </w:t>
      </w:r>
      <w:r w:rsidR="00AA61FB" w:rsidRPr="003627F3">
        <w:rPr>
          <w:rFonts w:eastAsia="Calibri"/>
        </w:rPr>
        <w:t>fiber feed or a microwa</w:t>
      </w:r>
      <w:r w:rsidR="00AA61FB">
        <w:rPr>
          <w:rFonts w:eastAsia="Calibri"/>
        </w:rPr>
        <w:t>ve link,</w:t>
      </w:r>
      <w:r w:rsidR="00AA61FB" w:rsidRPr="003627F3">
        <w:rPr>
          <w:rFonts w:eastAsia="Calibri"/>
        </w:rPr>
        <w:t xml:space="preserve"> </w:t>
      </w:r>
      <w:r w:rsidR="00AA61FB">
        <w:rPr>
          <w:rFonts w:eastAsia="Calibri"/>
        </w:rPr>
        <w:t xml:space="preserve">would be eligible for </w:t>
      </w:r>
      <w:r w:rsidR="00AA61FB" w:rsidRPr="003627F3">
        <w:rPr>
          <w:rFonts w:eastAsia="Calibri"/>
        </w:rPr>
        <w:t>reimbursement</w:t>
      </w:r>
      <w:r w:rsidR="00AA61FB">
        <w:rPr>
          <w:rFonts w:eastAsia="Calibri"/>
        </w:rPr>
        <w:t xml:space="preserve"> if</w:t>
      </w:r>
      <w:r w:rsidR="00802E79">
        <w:rPr>
          <w:rFonts w:eastAsia="Calibri"/>
        </w:rPr>
        <w:t xml:space="preserve"> a</w:t>
      </w:r>
      <w:r w:rsidR="00AA61FB">
        <w:rPr>
          <w:rFonts w:eastAsia="Calibri"/>
        </w:rPr>
        <w:t xml:space="preserve"> </w:t>
      </w:r>
      <w:r w:rsidR="00F80098">
        <w:rPr>
          <w:rFonts w:eastAsia="Calibri"/>
        </w:rPr>
        <w:t xml:space="preserve">station experiences a </w:t>
      </w:r>
      <w:r w:rsidR="00AA61FB">
        <w:rPr>
          <w:rFonts w:eastAsia="Calibri"/>
        </w:rPr>
        <w:t xml:space="preserve">temporary </w:t>
      </w:r>
      <w:r w:rsidR="00802E79" w:rsidRPr="003627F3">
        <w:rPr>
          <w:rFonts w:eastAsia="Calibri"/>
        </w:rPr>
        <w:t>increase</w:t>
      </w:r>
      <w:r w:rsidR="00802E79">
        <w:rPr>
          <w:rFonts w:eastAsia="Calibri"/>
        </w:rPr>
        <w:t xml:space="preserve"> in interference</w:t>
      </w:r>
      <w:r w:rsidR="00802E79" w:rsidRPr="00AA61FB">
        <w:rPr>
          <w:rFonts w:eastAsia="Calibri"/>
        </w:rPr>
        <w:t xml:space="preserve"> </w:t>
      </w:r>
      <w:r w:rsidR="00802E79">
        <w:rPr>
          <w:rFonts w:eastAsia="Calibri"/>
        </w:rPr>
        <w:t xml:space="preserve">of up to </w:t>
      </w:r>
      <w:r w:rsidR="00AA61FB">
        <w:rPr>
          <w:rFonts w:eastAsia="Calibri"/>
        </w:rPr>
        <w:t>two-percent</w:t>
      </w:r>
      <w:r w:rsidR="00AA61FB" w:rsidRPr="003627F3">
        <w:rPr>
          <w:rFonts w:eastAsia="Calibri"/>
        </w:rPr>
        <w:t xml:space="preserve"> </w:t>
      </w:r>
      <w:r w:rsidR="00802E79">
        <w:rPr>
          <w:rFonts w:eastAsia="Calibri"/>
        </w:rPr>
        <w:t>during the transition</w:t>
      </w:r>
      <w:r w:rsidR="00AA61FB" w:rsidRPr="003627F3">
        <w:rPr>
          <w:rFonts w:eastAsia="Calibri"/>
        </w:rPr>
        <w:t xml:space="preserve">, </w:t>
      </w:r>
      <w:r w:rsidR="00C31F89">
        <w:rPr>
          <w:rFonts w:eastAsia="Calibri"/>
        </w:rPr>
        <w:t xml:space="preserve">and </w:t>
      </w:r>
      <w:r w:rsidR="00426BC8">
        <w:rPr>
          <w:rFonts w:eastAsia="Calibri"/>
        </w:rPr>
        <w:t>such interference</w:t>
      </w:r>
      <w:r w:rsidR="001C7AF3">
        <w:rPr>
          <w:rFonts w:eastAsia="Calibri"/>
        </w:rPr>
        <w:t xml:space="preserve"> </w:t>
      </w:r>
      <w:r w:rsidR="00802E79">
        <w:rPr>
          <w:rFonts w:eastAsia="Calibri"/>
        </w:rPr>
        <w:t>prevents</w:t>
      </w:r>
      <w:r w:rsidR="00AA61FB">
        <w:rPr>
          <w:rFonts w:eastAsia="Calibri"/>
        </w:rPr>
        <w:t xml:space="preserve"> </w:t>
      </w:r>
      <w:r w:rsidR="00C31F89">
        <w:rPr>
          <w:rFonts w:eastAsia="Calibri"/>
        </w:rPr>
        <w:t>the delivery of a good</w:t>
      </w:r>
      <w:r w:rsidR="001C7AF3">
        <w:rPr>
          <w:rFonts w:eastAsia="Calibri"/>
        </w:rPr>
        <w:t xml:space="preserve"> </w:t>
      </w:r>
      <w:r w:rsidR="00AA61FB" w:rsidRPr="003627F3">
        <w:rPr>
          <w:rFonts w:eastAsia="Calibri"/>
        </w:rPr>
        <w:t>quality signal</w:t>
      </w:r>
      <w:r w:rsidR="00AA61FB">
        <w:rPr>
          <w:rFonts w:eastAsia="Calibri"/>
        </w:rPr>
        <w:t xml:space="preserve"> to MVPDs.</w:t>
      </w:r>
      <w:r w:rsidR="00AA61FB">
        <w:rPr>
          <w:rStyle w:val="FootnoteReference"/>
          <w:rFonts w:eastAsia="Calibri"/>
          <w:szCs w:val="22"/>
        </w:rPr>
        <w:footnoteReference w:id="25"/>
      </w:r>
      <w:r w:rsidR="00AA61FB" w:rsidRPr="003627F3">
        <w:rPr>
          <w:rFonts w:eastAsia="Calibri"/>
        </w:rPr>
        <w:t xml:space="preserve"> </w:t>
      </w:r>
      <w:r w:rsidR="00AA61FB">
        <w:rPr>
          <w:rFonts w:eastAsia="Calibri"/>
        </w:rPr>
        <w:t xml:space="preserve"> </w:t>
      </w:r>
      <w:r w:rsidR="00426BC8">
        <w:rPr>
          <w:rFonts w:eastAsia="Calibri"/>
        </w:rPr>
        <w:t>E</w:t>
      </w:r>
      <w:r w:rsidR="001C7AF3">
        <w:rPr>
          <w:rFonts w:eastAsia="Calibri"/>
        </w:rPr>
        <w:t xml:space="preserve">xpenses incurred </w:t>
      </w:r>
      <w:r w:rsidR="002623AA">
        <w:rPr>
          <w:rFonts w:eastAsia="Calibri"/>
        </w:rPr>
        <w:t xml:space="preserve">by </w:t>
      </w:r>
      <w:r w:rsidR="00802E79">
        <w:rPr>
          <w:rFonts w:eastAsia="Calibri"/>
        </w:rPr>
        <w:t>reimbursement-eligible stations</w:t>
      </w:r>
      <w:r w:rsidR="002623AA">
        <w:rPr>
          <w:rFonts w:eastAsia="Calibri"/>
        </w:rPr>
        <w:t xml:space="preserve"> </w:t>
      </w:r>
      <w:r w:rsidR="009633A4">
        <w:rPr>
          <w:rFonts w:eastAsia="Calibri"/>
        </w:rPr>
        <w:t>to purchase</w:t>
      </w:r>
      <w:r w:rsidR="001C7AF3">
        <w:rPr>
          <w:rFonts w:eastAsia="Calibri"/>
        </w:rPr>
        <w:t xml:space="preserve"> alternative delivery systems would be </w:t>
      </w:r>
      <w:r w:rsidR="001C7AF3" w:rsidRPr="008131C3">
        <w:rPr>
          <w:rFonts w:eastAsia="Calibri"/>
        </w:rPr>
        <w:t xml:space="preserve">eligible </w:t>
      </w:r>
      <w:r w:rsidR="001C7AF3">
        <w:rPr>
          <w:rFonts w:eastAsia="Calibri"/>
        </w:rPr>
        <w:t xml:space="preserve">for reimbursement to the extent </w:t>
      </w:r>
      <w:r w:rsidR="00802E79">
        <w:rPr>
          <w:rFonts w:eastAsia="Calibri"/>
        </w:rPr>
        <w:t>such expenses</w:t>
      </w:r>
      <w:r w:rsidR="001C7AF3">
        <w:rPr>
          <w:rFonts w:eastAsia="Calibri"/>
        </w:rPr>
        <w:t xml:space="preserve"> were reasonably incurred. </w:t>
      </w:r>
      <w:r w:rsidR="007872BE">
        <w:rPr>
          <w:rFonts w:eastAsia="Calibri"/>
        </w:rPr>
        <w:t xml:space="preserve"> </w:t>
      </w:r>
      <w:r w:rsidR="000F6D6D">
        <w:rPr>
          <w:rFonts w:eastAsia="Calibri"/>
        </w:rPr>
        <w:t xml:space="preserve">However, </w:t>
      </w:r>
      <w:r w:rsidR="00820A48">
        <w:rPr>
          <w:rFonts w:eastAsia="Calibri"/>
        </w:rPr>
        <w:t xml:space="preserve">the Commission’s recommendation in the </w:t>
      </w:r>
      <w:r w:rsidR="00820A48" w:rsidRPr="000F6D6D">
        <w:rPr>
          <w:rFonts w:eastAsia="Calibri"/>
          <w:i/>
        </w:rPr>
        <w:t>Incentive Auction R&amp;O</w:t>
      </w:r>
      <w:r w:rsidR="00820A48">
        <w:rPr>
          <w:rFonts w:eastAsia="Calibri"/>
          <w:i/>
        </w:rPr>
        <w:t xml:space="preserve"> </w:t>
      </w:r>
      <w:r w:rsidR="00820A48">
        <w:rPr>
          <w:rFonts w:eastAsia="Calibri"/>
        </w:rPr>
        <w:t xml:space="preserve">that </w:t>
      </w:r>
      <w:r w:rsidR="00820A48" w:rsidRPr="000F6D6D">
        <w:rPr>
          <w:rFonts w:eastAsia="Calibri"/>
        </w:rPr>
        <w:t xml:space="preserve">entities seeking reimbursement </w:t>
      </w:r>
      <w:r w:rsidR="00B2555C">
        <w:rPr>
          <w:rFonts w:eastAsia="Calibri"/>
        </w:rPr>
        <w:t>“</w:t>
      </w:r>
      <w:r w:rsidR="00820A48" w:rsidRPr="000F6D6D">
        <w:rPr>
          <w:rFonts w:eastAsia="Calibri"/>
        </w:rPr>
        <w:t>should reuse their</w:t>
      </w:r>
      <w:r w:rsidR="00820A48">
        <w:rPr>
          <w:rFonts w:eastAsia="Calibri"/>
        </w:rPr>
        <w:t xml:space="preserve"> </w:t>
      </w:r>
      <w:r w:rsidR="00820A48" w:rsidRPr="000F6D6D">
        <w:rPr>
          <w:rFonts w:eastAsia="Calibri"/>
        </w:rPr>
        <w:t xml:space="preserve">own equipment, to the extent possible, rather than </w:t>
      </w:r>
      <w:proofErr w:type="gramStart"/>
      <w:r w:rsidR="00D77564" w:rsidRPr="000F6D6D">
        <w:rPr>
          <w:rFonts w:eastAsia="Calibri"/>
        </w:rPr>
        <w:t>obtain</w:t>
      </w:r>
      <w:r w:rsidR="00D77564">
        <w:rPr>
          <w:rFonts w:eastAsia="Calibri"/>
        </w:rPr>
        <w:t>[</w:t>
      </w:r>
      <w:proofErr w:type="gramEnd"/>
      <w:r w:rsidR="00D77564">
        <w:rPr>
          <w:rFonts w:eastAsia="Calibri"/>
        </w:rPr>
        <w:t>]</w:t>
      </w:r>
      <w:r w:rsidR="00D77564" w:rsidRPr="000F6D6D">
        <w:rPr>
          <w:rFonts w:eastAsia="Calibri"/>
        </w:rPr>
        <w:t xml:space="preserve"> </w:t>
      </w:r>
      <w:r w:rsidR="00820A48" w:rsidRPr="000F6D6D">
        <w:rPr>
          <w:rFonts w:eastAsia="Calibri"/>
        </w:rPr>
        <w:t>new equipment paid for by the</w:t>
      </w:r>
      <w:r w:rsidR="00820A48">
        <w:rPr>
          <w:rFonts w:eastAsia="Calibri"/>
        </w:rPr>
        <w:t xml:space="preserve"> </w:t>
      </w:r>
      <w:r w:rsidR="008D771E">
        <w:rPr>
          <w:rFonts w:eastAsia="Calibri"/>
        </w:rPr>
        <w:t>[]</w:t>
      </w:r>
      <w:r w:rsidR="00820A48" w:rsidRPr="000F6D6D">
        <w:rPr>
          <w:rFonts w:eastAsia="Calibri"/>
        </w:rPr>
        <w:t xml:space="preserve"> Fund</w:t>
      </w:r>
      <w:r w:rsidR="008D771E">
        <w:rPr>
          <w:rFonts w:eastAsia="Calibri"/>
        </w:rPr>
        <w:t>,” is</w:t>
      </w:r>
      <w:r w:rsidR="00820A48" w:rsidRPr="000F6D6D">
        <w:rPr>
          <w:rFonts w:eastAsia="Calibri"/>
        </w:rPr>
        <w:t xml:space="preserve"> particularly germane</w:t>
      </w:r>
      <w:r w:rsidR="00820A48">
        <w:rPr>
          <w:rFonts w:eastAsia="Calibri"/>
        </w:rPr>
        <w:t xml:space="preserve"> </w:t>
      </w:r>
      <w:r w:rsidR="00B2555C">
        <w:rPr>
          <w:rFonts w:eastAsia="Calibri"/>
        </w:rPr>
        <w:t xml:space="preserve">in the context of </w:t>
      </w:r>
      <w:r w:rsidR="000F6D6D">
        <w:rPr>
          <w:rFonts w:eastAsia="Calibri"/>
        </w:rPr>
        <w:t>temporary equipment</w:t>
      </w:r>
      <w:r w:rsidR="008D771E">
        <w:rPr>
          <w:rFonts w:eastAsia="Calibri"/>
        </w:rPr>
        <w:t>.</w:t>
      </w:r>
      <w:r w:rsidR="008D771E">
        <w:rPr>
          <w:rStyle w:val="FootnoteReference"/>
          <w:rFonts w:eastAsia="Calibri"/>
          <w:szCs w:val="22"/>
        </w:rPr>
        <w:footnoteReference w:id="26"/>
      </w:r>
      <w:r w:rsidR="000F6D6D" w:rsidRPr="000F6D6D">
        <w:rPr>
          <w:rFonts w:eastAsia="Calibri"/>
        </w:rPr>
        <w:t xml:space="preserve"> </w:t>
      </w:r>
      <w:r w:rsidR="00B2555C">
        <w:rPr>
          <w:rFonts w:eastAsia="Calibri"/>
        </w:rPr>
        <w:t xml:space="preserve"> </w:t>
      </w:r>
      <w:r w:rsidR="00FB78C8">
        <w:rPr>
          <w:rFonts w:eastAsia="Calibri"/>
        </w:rPr>
        <w:t xml:space="preserve">Accordingly, </w:t>
      </w:r>
      <w:r w:rsidR="00D6580E">
        <w:rPr>
          <w:rFonts w:eastAsia="Calibri"/>
        </w:rPr>
        <w:t xml:space="preserve">entities </w:t>
      </w:r>
      <w:r w:rsidR="00B2555C">
        <w:rPr>
          <w:rFonts w:eastAsia="Calibri"/>
        </w:rPr>
        <w:t>should attempt t</w:t>
      </w:r>
      <w:r w:rsidR="00D6580E">
        <w:rPr>
          <w:rFonts w:eastAsia="Calibri"/>
        </w:rPr>
        <w:t xml:space="preserve">o repurpose </w:t>
      </w:r>
      <w:r w:rsidR="008B5B61" w:rsidRPr="008B5B61">
        <w:rPr>
          <w:rFonts w:eastAsia="Calibri"/>
        </w:rPr>
        <w:t xml:space="preserve">any existing equipment </w:t>
      </w:r>
      <w:r w:rsidR="008B5B61">
        <w:rPr>
          <w:rFonts w:eastAsia="Calibri"/>
        </w:rPr>
        <w:t>for use on a</w:t>
      </w:r>
      <w:r w:rsidR="008B5B61" w:rsidRPr="008B5B61">
        <w:rPr>
          <w:rFonts w:eastAsia="Calibri"/>
        </w:rPr>
        <w:t xml:space="preserve"> temporary or interim </w:t>
      </w:r>
      <w:r w:rsidR="008B5B61">
        <w:rPr>
          <w:rFonts w:eastAsia="Calibri"/>
        </w:rPr>
        <w:t>basis</w:t>
      </w:r>
      <w:r w:rsidR="008B5B61" w:rsidRPr="008B5B61">
        <w:rPr>
          <w:rFonts w:eastAsia="Calibri"/>
        </w:rPr>
        <w:t xml:space="preserve"> during the transition</w:t>
      </w:r>
      <w:r w:rsidR="008B5B61">
        <w:rPr>
          <w:rFonts w:eastAsia="Calibri"/>
        </w:rPr>
        <w:t>,</w:t>
      </w:r>
      <w:r w:rsidR="008B5B61" w:rsidRPr="008B5B61">
        <w:rPr>
          <w:rFonts w:eastAsia="Calibri"/>
        </w:rPr>
        <w:t xml:space="preserve"> </w:t>
      </w:r>
      <w:r w:rsidR="00D6580E">
        <w:rPr>
          <w:rFonts w:eastAsia="Calibri"/>
        </w:rPr>
        <w:t>prior to seeking reimbursement for new equipment</w:t>
      </w:r>
      <w:r w:rsidR="008B5B61">
        <w:rPr>
          <w:rFonts w:eastAsia="Calibri"/>
        </w:rPr>
        <w:t xml:space="preserve"> from the Fund</w:t>
      </w:r>
      <w:r w:rsidR="00D6580E">
        <w:rPr>
          <w:rFonts w:eastAsia="Calibri"/>
        </w:rPr>
        <w:t>.</w:t>
      </w:r>
      <w:r w:rsidR="00E21347">
        <w:rPr>
          <w:rStyle w:val="FootnoteReference"/>
          <w:rFonts w:eastAsia="Calibri"/>
          <w:szCs w:val="22"/>
        </w:rPr>
        <w:footnoteReference w:id="27"/>
      </w:r>
    </w:p>
    <w:p w14:paraId="5391CA21" w14:textId="28419A11" w:rsidR="00E80679" w:rsidRPr="00EA0F4C" w:rsidRDefault="001438A2" w:rsidP="00EA0F4C">
      <w:pPr>
        <w:pStyle w:val="ParaNum"/>
        <w:rPr>
          <w:rFonts w:eastAsia="Calibri"/>
        </w:rPr>
      </w:pPr>
      <w:r w:rsidRPr="00B5526F">
        <w:rPr>
          <w:rFonts w:eastAsia="Calibri"/>
        </w:rPr>
        <w:t xml:space="preserve">Finally, we </w:t>
      </w:r>
      <w:r>
        <w:rPr>
          <w:rFonts w:eastAsia="Calibri"/>
        </w:rPr>
        <w:t>decline</w:t>
      </w:r>
      <w:r w:rsidRPr="00B5526F">
        <w:rPr>
          <w:rFonts w:eastAsia="Calibri"/>
        </w:rPr>
        <w:t xml:space="preserve"> to </w:t>
      </w:r>
      <w:r>
        <w:rPr>
          <w:rFonts w:eastAsia="Calibri"/>
        </w:rPr>
        <w:t xml:space="preserve">modify </w:t>
      </w:r>
      <w:r w:rsidRPr="00B5526F">
        <w:rPr>
          <w:rFonts w:eastAsia="Calibri"/>
        </w:rPr>
        <w:t xml:space="preserve">the </w:t>
      </w:r>
      <w:r>
        <w:rPr>
          <w:rFonts w:eastAsia="Calibri"/>
        </w:rPr>
        <w:t>C</w:t>
      </w:r>
      <w:r w:rsidRPr="00B5526F">
        <w:rPr>
          <w:rFonts w:eastAsia="Calibri"/>
        </w:rPr>
        <w:t xml:space="preserve">atalog to </w:t>
      </w:r>
      <w:r w:rsidR="00F80098">
        <w:rPr>
          <w:rFonts w:eastAsia="Calibri"/>
        </w:rPr>
        <w:t>include</w:t>
      </w:r>
      <w:r w:rsidRPr="00B5526F">
        <w:rPr>
          <w:rFonts w:eastAsia="Calibri"/>
        </w:rPr>
        <w:t xml:space="preserve"> reimbursement for salaries of stations’ internal </w:t>
      </w:r>
      <w:r>
        <w:rPr>
          <w:rFonts w:eastAsia="Calibri"/>
        </w:rPr>
        <w:t xml:space="preserve">salaried and hourly </w:t>
      </w:r>
      <w:r w:rsidRPr="00B5526F">
        <w:rPr>
          <w:rFonts w:eastAsia="Calibri"/>
        </w:rPr>
        <w:t xml:space="preserve">employees </w:t>
      </w:r>
      <w:r w:rsidR="003A061A">
        <w:rPr>
          <w:rFonts w:eastAsia="Calibri"/>
        </w:rPr>
        <w:t xml:space="preserve">whose </w:t>
      </w:r>
      <w:r w:rsidRPr="00B5526F">
        <w:rPr>
          <w:rFonts w:eastAsia="Calibri"/>
        </w:rPr>
        <w:t xml:space="preserve">work may involve </w:t>
      </w:r>
      <w:r>
        <w:rPr>
          <w:rFonts w:eastAsia="Calibri"/>
        </w:rPr>
        <w:t xml:space="preserve">tasks related to a </w:t>
      </w:r>
      <w:r w:rsidRPr="00B5526F">
        <w:rPr>
          <w:rFonts w:eastAsia="Calibri"/>
        </w:rPr>
        <w:t>station’s channel reassignment during the transition period.</w:t>
      </w:r>
      <w:r>
        <w:rPr>
          <w:rStyle w:val="FootnoteReference"/>
          <w:rFonts w:eastAsia="Calibri"/>
          <w:szCs w:val="22"/>
        </w:rPr>
        <w:footnoteReference w:id="28"/>
      </w:r>
      <w:r w:rsidRPr="00802B62">
        <w:t xml:space="preserve"> </w:t>
      </w:r>
      <w:r>
        <w:t xml:space="preserve"> </w:t>
      </w:r>
      <w:r w:rsidR="00F80098" w:rsidRPr="00F80098">
        <w:t>As explained previously, the Catalog is intended to reflect categories of expenses that stations will “most commonly incur.”</w:t>
      </w:r>
      <w:r w:rsidR="00F80098" w:rsidRPr="008876DB">
        <w:rPr>
          <w:sz w:val="20"/>
          <w:vertAlign w:val="superscript"/>
        </w:rPr>
        <w:footnoteReference w:id="29"/>
      </w:r>
      <w:r w:rsidR="00F80098">
        <w:t xml:space="preserve">  </w:t>
      </w:r>
      <w:r w:rsidR="00623C44">
        <w:t xml:space="preserve">The </w:t>
      </w:r>
      <w:proofErr w:type="spellStart"/>
      <w:r w:rsidR="00623C44">
        <w:t>Widelity</w:t>
      </w:r>
      <w:proofErr w:type="spellEnd"/>
      <w:r w:rsidR="00623C44">
        <w:t xml:space="preserve"> Report did not include s</w:t>
      </w:r>
      <w:r>
        <w:t xml:space="preserve">alaries of </w:t>
      </w:r>
      <w:r w:rsidR="00623C44">
        <w:t xml:space="preserve">station </w:t>
      </w:r>
      <w:r>
        <w:t xml:space="preserve">employees as a </w:t>
      </w:r>
      <w:r w:rsidR="00623C44">
        <w:t xml:space="preserve">commonly incurred </w:t>
      </w:r>
      <w:r>
        <w:t>cost</w:t>
      </w:r>
      <w:r w:rsidR="00623C44">
        <w:rPr>
          <w:rFonts w:eastAsia="Calibri"/>
        </w:rPr>
        <w:t xml:space="preserve">, but instead </w:t>
      </w:r>
      <w:r w:rsidR="00000782">
        <w:rPr>
          <w:rFonts w:eastAsia="Calibri"/>
        </w:rPr>
        <w:t>included a category</w:t>
      </w:r>
      <w:r w:rsidR="009C7F5F">
        <w:rPr>
          <w:rFonts w:eastAsia="Calibri"/>
        </w:rPr>
        <w:t xml:space="preserve"> </w:t>
      </w:r>
      <w:r w:rsidR="007E64C7">
        <w:rPr>
          <w:rFonts w:eastAsia="Calibri"/>
        </w:rPr>
        <w:t>in</w:t>
      </w:r>
      <w:r w:rsidR="009C7F5F">
        <w:rPr>
          <w:rFonts w:eastAsia="Calibri"/>
        </w:rPr>
        <w:t xml:space="preserve"> the Catalog</w:t>
      </w:r>
      <w:r w:rsidR="00000782">
        <w:rPr>
          <w:rFonts w:eastAsia="Calibri"/>
        </w:rPr>
        <w:t xml:space="preserve"> entitled “Outside Professional Costs.”</w:t>
      </w:r>
      <w:r w:rsidR="00000782">
        <w:rPr>
          <w:rStyle w:val="FootnoteReference"/>
          <w:rFonts w:eastAsia="Calibri"/>
          <w:szCs w:val="22"/>
        </w:rPr>
        <w:footnoteReference w:id="30"/>
      </w:r>
      <w:r>
        <w:rPr>
          <w:rFonts w:eastAsia="Calibri"/>
        </w:rPr>
        <w:t xml:space="preserve">  </w:t>
      </w:r>
      <w:r w:rsidR="00E80679" w:rsidRPr="00E80679">
        <w:rPr>
          <w:rFonts w:eastAsia="Calibri"/>
          <w:bCs/>
        </w:rPr>
        <w:t xml:space="preserve">Nonetheless, as </w:t>
      </w:r>
      <w:r w:rsidR="00EA0F4C">
        <w:rPr>
          <w:rFonts w:eastAsia="Calibri"/>
          <w:bCs/>
        </w:rPr>
        <w:t xml:space="preserve">explained previously, whether an </w:t>
      </w:r>
      <w:r w:rsidR="00E80679" w:rsidRPr="00E80679">
        <w:rPr>
          <w:rFonts w:eastAsia="Calibri"/>
          <w:bCs/>
        </w:rPr>
        <w:t>expense is “</w:t>
      </w:r>
      <w:r w:rsidR="00E80679" w:rsidRPr="00E80679">
        <w:rPr>
          <w:rFonts w:eastAsia="Calibri"/>
        </w:rPr>
        <w:t xml:space="preserve">reasonably </w:t>
      </w:r>
      <w:r w:rsidR="00E80679" w:rsidRPr="00E80679">
        <w:rPr>
          <w:rFonts w:eastAsia="Calibri"/>
          <w:bCs/>
        </w:rPr>
        <w:t>incurred . . . in order for the licensee to relocate its television service from one channel to the other” will be assessed on a case-by-case basis regardless of whether the expense appears in the Catalog.</w:t>
      </w:r>
      <w:r w:rsidR="00E80679" w:rsidRPr="008876DB">
        <w:rPr>
          <w:rFonts w:eastAsia="Calibri"/>
          <w:bCs/>
          <w:sz w:val="20"/>
          <w:vertAlign w:val="superscript"/>
        </w:rPr>
        <w:footnoteReference w:id="31"/>
      </w:r>
      <w:r w:rsidR="00E80679" w:rsidRPr="00E80679">
        <w:rPr>
          <w:rFonts w:eastAsia="Calibri"/>
          <w:bCs/>
        </w:rPr>
        <w:t xml:space="preserve">  A station seeking reimbursement for an internal salary will have to demonstrate how such salary qualifies for reimbursement under the statutory standard</w:t>
      </w:r>
      <w:r w:rsidR="00E80679">
        <w:rPr>
          <w:rFonts w:eastAsia="Calibri"/>
          <w:bCs/>
        </w:rPr>
        <w:t xml:space="preserve">.  </w:t>
      </w:r>
    </w:p>
    <w:p w14:paraId="7BC6E652" w14:textId="753F5D1F" w:rsidR="008A5B0C" w:rsidRDefault="001E5FAF" w:rsidP="00074C20">
      <w:pPr>
        <w:pStyle w:val="ParaNum"/>
        <w:rPr>
          <w:rFonts w:eastAsia="Calibri"/>
        </w:rPr>
      </w:pPr>
      <w:r>
        <w:rPr>
          <w:rFonts w:eastAsia="Calibri"/>
        </w:rPr>
        <w:t>(2)</w:t>
      </w:r>
      <w:r>
        <w:rPr>
          <w:rFonts w:eastAsia="Calibri"/>
        </w:rPr>
        <w:tab/>
      </w:r>
      <w:r w:rsidR="003903CD" w:rsidRPr="009C7F5F">
        <w:rPr>
          <w:rFonts w:eastAsia="Calibri"/>
          <w:i/>
        </w:rPr>
        <w:t xml:space="preserve">Requests </w:t>
      </w:r>
      <w:r>
        <w:rPr>
          <w:rFonts w:eastAsia="Calibri"/>
          <w:i/>
        </w:rPr>
        <w:t>to</w:t>
      </w:r>
      <w:r w:rsidR="003903CD" w:rsidRPr="003903CD">
        <w:rPr>
          <w:rFonts w:eastAsia="Calibri"/>
          <w:i/>
        </w:rPr>
        <w:t xml:space="preserve"> Modif</w:t>
      </w:r>
      <w:r>
        <w:rPr>
          <w:rFonts w:eastAsia="Calibri"/>
          <w:i/>
        </w:rPr>
        <w:t>y</w:t>
      </w:r>
      <w:r w:rsidR="003903CD" w:rsidRPr="003903CD">
        <w:rPr>
          <w:rFonts w:eastAsia="Calibri"/>
          <w:i/>
        </w:rPr>
        <w:t xml:space="preserve"> Existing Expense Categories</w:t>
      </w:r>
      <w:r w:rsidR="003903CD" w:rsidRPr="003903CD">
        <w:rPr>
          <w:rFonts w:eastAsia="Calibri"/>
        </w:rPr>
        <w:t>.</w:t>
      </w:r>
      <w:r w:rsidR="003903CD">
        <w:rPr>
          <w:rFonts w:eastAsia="Calibri"/>
        </w:rPr>
        <w:t xml:space="preserve">  </w:t>
      </w:r>
      <w:r w:rsidR="006B3345">
        <w:rPr>
          <w:rFonts w:eastAsia="Calibri"/>
        </w:rPr>
        <w:t xml:space="preserve">One commenter recommended </w:t>
      </w:r>
      <w:r w:rsidR="00074C20">
        <w:rPr>
          <w:rFonts w:eastAsia="Calibri"/>
        </w:rPr>
        <w:t xml:space="preserve">adding </w:t>
      </w:r>
      <w:r w:rsidR="00422F0A">
        <w:rPr>
          <w:rFonts w:eastAsia="Calibri"/>
        </w:rPr>
        <w:t xml:space="preserve">lower </w:t>
      </w:r>
      <w:r w:rsidR="006B3345">
        <w:rPr>
          <w:rFonts w:eastAsia="Calibri"/>
        </w:rPr>
        <w:t>power range</w:t>
      </w:r>
      <w:r w:rsidR="00422F0A">
        <w:rPr>
          <w:rFonts w:eastAsia="Calibri"/>
        </w:rPr>
        <w:t>s</w:t>
      </w:r>
      <w:r w:rsidR="006B3345">
        <w:rPr>
          <w:rFonts w:eastAsia="Calibri"/>
        </w:rPr>
        <w:t xml:space="preserve"> for l</w:t>
      </w:r>
      <w:r w:rsidR="006B3345" w:rsidRPr="00B619BC">
        <w:rPr>
          <w:rFonts w:eastAsia="Calibri"/>
        </w:rPr>
        <w:t>iquid cooled transmitter</w:t>
      </w:r>
      <w:r w:rsidR="006B3345">
        <w:rPr>
          <w:rFonts w:eastAsia="Calibri"/>
        </w:rPr>
        <w:t>s.</w:t>
      </w:r>
      <w:r w:rsidR="006B3345">
        <w:rPr>
          <w:rStyle w:val="FootnoteReference"/>
          <w:rFonts w:eastAsia="Calibri"/>
          <w:szCs w:val="22"/>
        </w:rPr>
        <w:footnoteReference w:id="32"/>
      </w:r>
      <w:r w:rsidR="006B3345" w:rsidRPr="008341EC">
        <w:rPr>
          <w:rFonts w:eastAsia="Calibri"/>
        </w:rPr>
        <w:t xml:space="preserve"> </w:t>
      </w:r>
      <w:r w:rsidR="006B3345">
        <w:rPr>
          <w:rFonts w:eastAsia="Calibri"/>
        </w:rPr>
        <w:t xml:space="preserve"> </w:t>
      </w:r>
      <w:r w:rsidR="00B7668E">
        <w:rPr>
          <w:rFonts w:eastAsia="Calibri"/>
        </w:rPr>
        <w:t xml:space="preserve">We do </w:t>
      </w:r>
      <w:r w:rsidR="00A34C7C">
        <w:rPr>
          <w:rFonts w:eastAsia="Calibri"/>
        </w:rPr>
        <w:t xml:space="preserve">not </w:t>
      </w:r>
      <w:r>
        <w:rPr>
          <w:rFonts w:eastAsia="Calibri"/>
        </w:rPr>
        <w:t>agree</w:t>
      </w:r>
      <w:r w:rsidR="00B7668E">
        <w:rPr>
          <w:rFonts w:eastAsia="Calibri"/>
        </w:rPr>
        <w:t xml:space="preserve"> that this change is necessary</w:t>
      </w:r>
      <w:r w:rsidR="00134E02">
        <w:rPr>
          <w:rFonts w:eastAsia="Calibri"/>
        </w:rPr>
        <w:t>,</w:t>
      </w:r>
      <w:r w:rsidR="00B7668E">
        <w:rPr>
          <w:rFonts w:eastAsia="Calibri"/>
        </w:rPr>
        <w:t xml:space="preserve"> </w:t>
      </w:r>
      <w:r w:rsidR="007D3DC7">
        <w:rPr>
          <w:rFonts w:eastAsia="Calibri"/>
        </w:rPr>
        <w:t>because</w:t>
      </w:r>
      <w:r w:rsidR="006B3345">
        <w:rPr>
          <w:rFonts w:eastAsia="Calibri"/>
        </w:rPr>
        <w:t xml:space="preserve"> the corresponding field in the</w:t>
      </w:r>
      <w:r w:rsidR="00B7668E">
        <w:rPr>
          <w:rFonts w:eastAsia="Calibri"/>
        </w:rPr>
        <w:t xml:space="preserve"> Reimbursement</w:t>
      </w:r>
      <w:r w:rsidR="006B3345">
        <w:rPr>
          <w:rFonts w:eastAsia="Calibri"/>
        </w:rPr>
        <w:t xml:space="preserve"> Form </w:t>
      </w:r>
      <w:r w:rsidR="003F5AE5">
        <w:rPr>
          <w:rFonts w:eastAsia="Calibri"/>
        </w:rPr>
        <w:t xml:space="preserve">will </w:t>
      </w:r>
      <w:r w:rsidR="006B3345">
        <w:rPr>
          <w:rFonts w:eastAsia="Calibri"/>
        </w:rPr>
        <w:t>accept</w:t>
      </w:r>
      <w:r w:rsidR="003F5AE5">
        <w:rPr>
          <w:rFonts w:eastAsia="Calibri"/>
        </w:rPr>
        <w:t xml:space="preserve"> </w:t>
      </w:r>
      <w:r w:rsidR="006B3345">
        <w:rPr>
          <w:rFonts w:eastAsia="Calibri"/>
        </w:rPr>
        <w:t>any power range indicated</w:t>
      </w:r>
      <w:r w:rsidR="00B7668E">
        <w:rPr>
          <w:rFonts w:eastAsia="Calibri"/>
        </w:rPr>
        <w:t xml:space="preserve"> and, as </w:t>
      </w:r>
      <w:r w:rsidR="003F5AE5">
        <w:rPr>
          <w:rFonts w:eastAsia="Calibri"/>
        </w:rPr>
        <w:t>discussed</w:t>
      </w:r>
      <w:r w:rsidR="00B7668E">
        <w:rPr>
          <w:rFonts w:eastAsia="Calibri"/>
        </w:rPr>
        <w:t>,</w:t>
      </w:r>
      <w:r w:rsidR="00B7668E" w:rsidRPr="00B7668E">
        <w:rPr>
          <w:rFonts w:eastAsia="Calibri"/>
        </w:rPr>
        <w:t xml:space="preserve"> </w:t>
      </w:r>
      <w:r w:rsidR="00B7668E">
        <w:rPr>
          <w:rFonts w:eastAsia="Calibri"/>
        </w:rPr>
        <w:t>the Catalog is not intended to be exhaustive</w:t>
      </w:r>
      <w:r w:rsidR="00422F0A" w:rsidRPr="00422F0A">
        <w:rPr>
          <w:rFonts w:eastAsia="Calibri"/>
        </w:rPr>
        <w:t xml:space="preserve">.  We also decline </w:t>
      </w:r>
      <w:r w:rsidR="00064B67">
        <w:rPr>
          <w:rFonts w:eastAsia="Calibri"/>
        </w:rPr>
        <w:t xml:space="preserve">requests </w:t>
      </w:r>
      <w:r w:rsidR="00422F0A" w:rsidRPr="00422F0A">
        <w:rPr>
          <w:rFonts w:eastAsia="Calibri"/>
        </w:rPr>
        <w:t xml:space="preserve">to increase any of the baseline costs </w:t>
      </w:r>
      <w:r w:rsidR="009A7D5A">
        <w:rPr>
          <w:rFonts w:eastAsia="Calibri"/>
        </w:rPr>
        <w:t>for the various professional services identified in</w:t>
      </w:r>
      <w:r w:rsidR="00422F0A" w:rsidRPr="00422F0A">
        <w:rPr>
          <w:rFonts w:eastAsia="Calibri"/>
        </w:rPr>
        <w:t xml:space="preserve"> comments</w:t>
      </w:r>
      <w:r w:rsidR="009A7D5A" w:rsidRPr="007C3897">
        <w:rPr>
          <w:rStyle w:val="FootnoteReference"/>
          <w:rFonts w:eastAsia="Calibri"/>
          <w:szCs w:val="22"/>
        </w:rPr>
        <w:footnoteReference w:id="33"/>
      </w:r>
      <w:r w:rsidR="00422F0A" w:rsidRPr="00422F0A">
        <w:rPr>
          <w:rFonts w:eastAsia="Calibri"/>
        </w:rPr>
        <w:t xml:space="preserve"> because we </w:t>
      </w:r>
      <w:r>
        <w:rPr>
          <w:rFonts w:eastAsia="Calibri"/>
        </w:rPr>
        <w:t>believe</w:t>
      </w:r>
      <w:r w:rsidR="00422F0A" w:rsidRPr="00422F0A">
        <w:rPr>
          <w:rFonts w:eastAsia="Calibri"/>
        </w:rPr>
        <w:t xml:space="preserve"> </w:t>
      </w:r>
      <w:r w:rsidR="003F5AE5">
        <w:rPr>
          <w:rFonts w:eastAsia="Calibri"/>
        </w:rPr>
        <w:t xml:space="preserve">that </w:t>
      </w:r>
      <w:proofErr w:type="spellStart"/>
      <w:r w:rsidR="00422F0A" w:rsidRPr="00422F0A">
        <w:rPr>
          <w:rFonts w:eastAsia="Calibri"/>
        </w:rPr>
        <w:t>Widelity’s</w:t>
      </w:r>
      <w:proofErr w:type="spellEnd"/>
      <w:r w:rsidR="00422F0A" w:rsidRPr="00422F0A">
        <w:rPr>
          <w:rFonts w:eastAsia="Calibri"/>
        </w:rPr>
        <w:t xml:space="preserve"> recent </w:t>
      </w:r>
      <w:r>
        <w:rPr>
          <w:rFonts w:eastAsia="Calibri"/>
        </w:rPr>
        <w:t xml:space="preserve">thorough </w:t>
      </w:r>
      <w:r w:rsidR="00422F0A" w:rsidRPr="00422F0A">
        <w:rPr>
          <w:rFonts w:eastAsia="Calibri"/>
        </w:rPr>
        <w:t>survey of industry manufacturers and service providers</w:t>
      </w:r>
      <w:r w:rsidR="00663E4F">
        <w:rPr>
          <w:rFonts w:eastAsia="Calibri"/>
        </w:rPr>
        <w:t xml:space="preserve"> </w:t>
      </w:r>
      <w:r>
        <w:rPr>
          <w:rFonts w:eastAsia="Calibri"/>
        </w:rPr>
        <w:t>reasonably</w:t>
      </w:r>
      <w:r w:rsidR="00422F0A" w:rsidRPr="00422F0A">
        <w:rPr>
          <w:rFonts w:eastAsia="Calibri"/>
        </w:rPr>
        <w:t xml:space="preserve"> identified relevant cost increases</w:t>
      </w:r>
      <w:r w:rsidR="00064B67">
        <w:rPr>
          <w:rFonts w:eastAsia="Calibri"/>
        </w:rPr>
        <w:t xml:space="preserve">.  In contrast, </w:t>
      </w:r>
      <w:r>
        <w:rPr>
          <w:rFonts w:eastAsia="Calibri"/>
        </w:rPr>
        <w:t>none of the</w:t>
      </w:r>
      <w:r w:rsidR="00066A43">
        <w:rPr>
          <w:rFonts w:eastAsia="Calibri"/>
        </w:rPr>
        <w:t xml:space="preserve"> commenters </w:t>
      </w:r>
      <w:r>
        <w:rPr>
          <w:rFonts w:eastAsia="Calibri"/>
        </w:rPr>
        <w:t xml:space="preserve">who advocated for these changes </w:t>
      </w:r>
      <w:r w:rsidR="00066A43">
        <w:rPr>
          <w:rFonts w:eastAsia="Calibri"/>
        </w:rPr>
        <w:t>submit</w:t>
      </w:r>
      <w:r>
        <w:rPr>
          <w:rFonts w:eastAsia="Calibri"/>
        </w:rPr>
        <w:t>ted</w:t>
      </w:r>
      <w:r w:rsidR="00066A43">
        <w:rPr>
          <w:rFonts w:eastAsia="Calibri"/>
        </w:rPr>
        <w:t xml:space="preserve"> documentation to support their proposed increases</w:t>
      </w:r>
      <w:r w:rsidR="003F5AE5" w:rsidRPr="007C3897">
        <w:rPr>
          <w:rFonts w:eastAsia="Calibri"/>
        </w:rPr>
        <w:t>.</w:t>
      </w:r>
      <w:r w:rsidR="001854FA" w:rsidRPr="006F0EAC">
        <w:t xml:space="preserve">  </w:t>
      </w:r>
      <w:r w:rsidR="00364D20">
        <w:rPr>
          <w:rFonts w:eastAsia="Calibri"/>
        </w:rPr>
        <w:t>U</w:t>
      </w:r>
      <w:r>
        <w:rPr>
          <w:rFonts w:eastAsia="Calibri"/>
        </w:rPr>
        <w:t>sers will be able to request reimbursement for</w:t>
      </w:r>
      <w:r w:rsidR="00100FEB" w:rsidRPr="00100FEB">
        <w:rPr>
          <w:rFonts w:eastAsia="Calibri"/>
        </w:rPr>
        <w:t xml:space="preserve"> equipment or service</w:t>
      </w:r>
      <w:r w:rsidR="000763EB">
        <w:rPr>
          <w:rFonts w:eastAsia="Calibri"/>
        </w:rPr>
        <w:t>s</w:t>
      </w:r>
      <w:r w:rsidR="00100FEB" w:rsidRPr="00100FEB">
        <w:rPr>
          <w:rFonts w:eastAsia="Calibri"/>
        </w:rPr>
        <w:t xml:space="preserve"> greater than the </w:t>
      </w:r>
      <w:r>
        <w:rPr>
          <w:rFonts w:eastAsia="Calibri"/>
        </w:rPr>
        <w:t xml:space="preserve">Catalog’s </w:t>
      </w:r>
      <w:r w:rsidR="00100FEB" w:rsidRPr="00100FEB">
        <w:rPr>
          <w:rFonts w:eastAsia="Calibri"/>
        </w:rPr>
        <w:t xml:space="preserve">predetermined cost </w:t>
      </w:r>
      <w:r>
        <w:rPr>
          <w:rFonts w:eastAsia="Calibri"/>
        </w:rPr>
        <w:t xml:space="preserve">but </w:t>
      </w:r>
      <w:r w:rsidR="00364D20">
        <w:rPr>
          <w:rFonts w:eastAsia="Calibri"/>
        </w:rPr>
        <w:t xml:space="preserve">we </w:t>
      </w:r>
      <w:r>
        <w:rPr>
          <w:rFonts w:eastAsia="Calibri"/>
        </w:rPr>
        <w:t xml:space="preserve">note that they </w:t>
      </w:r>
      <w:r w:rsidR="00100FEB" w:rsidRPr="00100FEB">
        <w:rPr>
          <w:rFonts w:eastAsia="Calibri"/>
        </w:rPr>
        <w:t>will be prompted by the Form to provide a justification for the increased cost and to upload supporting documentation (</w:t>
      </w:r>
      <w:r w:rsidR="00100FEB" w:rsidRPr="006A56B0">
        <w:rPr>
          <w:rFonts w:eastAsia="Calibri"/>
        </w:rPr>
        <w:t>e.g</w:t>
      </w:r>
      <w:r w:rsidR="00100FEB" w:rsidRPr="00100FEB">
        <w:rPr>
          <w:rFonts w:eastAsia="Calibri"/>
          <w:i/>
        </w:rPr>
        <w:t xml:space="preserve">., </w:t>
      </w:r>
      <w:r w:rsidR="00100FEB" w:rsidRPr="00100FEB">
        <w:rPr>
          <w:rFonts w:eastAsia="Calibri"/>
        </w:rPr>
        <w:t>estimate, invoice, etc.) substantiating the expense</w:t>
      </w:r>
      <w:r w:rsidR="007152CE">
        <w:rPr>
          <w:rFonts w:eastAsia="Calibri"/>
        </w:rPr>
        <w:t>.</w:t>
      </w:r>
      <w:r w:rsidR="00637219" w:rsidRPr="00637219">
        <w:rPr>
          <w:rStyle w:val="FootnoteReference"/>
          <w:rFonts w:eastAsia="Calibri"/>
          <w:szCs w:val="22"/>
        </w:rPr>
        <w:footnoteReference w:id="34"/>
      </w:r>
      <w:r w:rsidR="00100FEB" w:rsidRPr="00100FEB">
        <w:rPr>
          <w:rFonts w:eastAsia="Calibri"/>
        </w:rPr>
        <w:t xml:space="preserve">  </w:t>
      </w:r>
    </w:p>
    <w:p w14:paraId="078F44B0" w14:textId="77777777" w:rsidR="003D180D" w:rsidRDefault="003D180D" w:rsidP="00074C20">
      <w:pPr>
        <w:spacing w:after="120"/>
        <w:ind w:firstLine="720"/>
        <w:rPr>
          <w:rFonts w:eastAsia="Calibri"/>
          <w:szCs w:val="22"/>
        </w:rPr>
      </w:pPr>
      <w:r>
        <w:rPr>
          <w:rFonts w:eastAsia="Calibri"/>
          <w:szCs w:val="22"/>
        </w:rPr>
        <w:t>(3)</w:t>
      </w:r>
      <w:r>
        <w:rPr>
          <w:rFonts w:eastAsia="Calibri"/>
          <w:szCs w:val="22"/>
        </w:rPr>
        <w:tab/>
      </w:r>
      <w:r w:rsidR="000454D3" w:rsidRPr="000454D3">
        <w:rPr>
          <w:rFonts w:eastAsia="Calibri"/>
          <w:i/>
          <w:szCs w:val="22"/>
        </w:rPr>
        <w:t xml:space="preserve">Requests </w:t>
      </w:r>
      <w:r>
        <w:rPr>
          <w:rFonts w:eastAsia="Calibri"/>
          <w:i/>
          <w:szCs w:val="22"/>
        </w:rPr>
        <w:t>to</w:t>
      </w:r>
      <w:r w:rsidR="000454D3" w:rsidRPr="000454D3">
        <w:rPr>
          <w:rFonts w:eastAsia="Calibri"/>
          <w:i/>
          <w:szCs w:val="22"/>
        </w:rPr>
        <w:t xml:space="preserve"> Clarif</w:t>
      </w:r>
      <w:r>
        <w:rPr>
          <w:rFonts w:eastAsia="Calibri"/>
          <w:i/>
          <w:szCs w:val="22"/>
        </w:rPr>
        <w:t>y</w:t>
      </w:r>
      <w:r w:rsidR="000454D3" w:rsidRPr="000454D3">
        <w:rPr>
          <w:rFonts w:eastAsia="Calibri"/>
          <w:i/>
          <w:szCs w:val="22"/>
        </w:rPr>
        <w:t xml:space="preserve"> Reimbursement Policies</w:t>
      </w:r>
      <w:r w:rsidR="000454D3" w:rsidRPr="000454D3">
        <w:rPr>
          <w:rFonts w:eastAsia="Calibri"/>
          <w:szCs w:val="22"/>
        </w:rPr>
        <w:t>.</w:t>
      </w:r>
      <w:r w:rsidR="000454D3">
        <w:rPr>
          <w:rFonts w:eastAsia="Calibri"/>
          <w:szCs w:val="22"/>
        </w:rPr>
        <w:t xml:space="preserve">  </w:t>
      </w:r>
    </w:p>
    <w:p w14:paraId="75BDE556" w14:textId="3ED28467" w:rsidR="003D180D" w:rsidRPr="00074C20" w:rsidRDefault="003D180D" w:rsidP="003D180D">
      <w:pPr>
        <w:pStyle w:val="ParaNum"/>
        <w:rPr>
          <w:rFonts w:eastAsia="Calibri"/>
        </w:rPr>
      </w:pPr>
      <w:r>
        <w:rPr>
          <w:rFonts w:eastAsia="Calibri"/>
        </w:rPr>
        <w:t>(a)</w:t>
      </w:r>
      <w:r>
        <w:rPr>
          <w:rFonts w:eastAsia="Calibri"/>
        </w:rPr>
        <w:tab/>
      </w:r>
      <w:r>
        <w:rPr>
          <w:rFonts w:eastAsia="Calibri"/>
          <w:i/>
        </w:rPr>
        <w:t xml:space="preserve">Exclusion of Foreign Suppliers.  </w:t>
      </w:r>
      <w:proofErr w:type="spellStart"/>
      <w:r w:rsidR="007157D2">
        <w:rPr>
          <w:rFonts w:eastAsia="Calibri"/>
        </w:rPr>
        <w:t>GatesAir</w:t>
      </w:r>
      <w:proofErr w:type="spellEnd"/>
      <w:r w:rsidR="00863B8B">
        <w:rPr>
          <w:rFonts w:eastAsia="Calibri"/>
        </w:rPr>
        <w:t xml:space="preserve"> requested </w:t>
      </w:r>
      <w:r>
        <w:rPr>
          <w:rFonts w:eastAsia="Calibri"/>
        </w:rPr>
        <w:t>that the Commission adopt</w:t>
      </w:r>
      <w:r w:rsidR="006A56B0">
        <w:rPr>
          <w:rFonts w:eastAsia="Calibri"/>
        </w:rPr>
        <w:t xml:space="preserve"> </w:t>
      </w:r>
      <w:r w:rsidR="0041006E" w:rsidRPr="00074C20">
        <w:rPr>
          <w:rFonts w:eastAsia="Calibri"/>
        </w:rPr>
        <w:t>reimbursement policies that prefer</w:t>
      </w:r>
      <w:r w:rsidR="00863B8B" w:rsidRPr="00074C20">
        <w:rPr>
          <w:rFonts w:eastAsia="Calibri"/>
        </w:rPr>
        <w:t xml:space="preserve"> U.S. manufacturers and service providers</w:t>
      </w:r>
      <w:r w:rsidR="002118DE" w:rsidRPr="00074C20">
        <w:rPr>
          <w:rFonts w:eastAsia="Calibri"/>
        </w:rPr>
        <w:t xml:space="preserve"> by excluding foreign manufacturers and service providers</w:t>
      </w:r>
      <w:r w:rsidR="00863B8B" w:rsidRPr="00074C20">
        <w:rPr>
          <w:rFonts w:eastAsia="Calibri"/>
        </w:rPr>
        <w:t>.</w:t>
      </w:r>
      <w:r w:rsidR="00863B8B">
        <w:rPr>
          <w:rStyle w:val="FootnoteReference"/>
          <w:rFonts w:eastAsia="Calibri"/>
          <w:szCs w:val="22"/>
        </w:rPr>
        <w:footnoteReference w:id="35"/>
      </w:r>
      <w:r w:rsidR="002118DE" w:rsidRPr="00074C20">
        <w:rPr>
          <w:rFonts w:eastAsia="Calibri"/>
        </w:rPr>
        <w:t xml:space="preserve">  </w:t>
      </w:r>
      <w:r w:rsidR="007157D2" w:rsidRPr="00074C20">
        <w:rPr>
          <w:rFonts w:eastAsia="Calibri"/>
        </w:rPr>
        <w:t>This</w:t>
      </w:r>
      <w:r w:rsidR="002118DE" w:rsidRPr="00074C20">
        <w:rPr>
          <w:rFonts w:eastAsia="Calibri"/>
        </w:rPr>
        <w:t xml:space="preserve"> request </w:t>
      </w:r>
      <w:r w:rsidR="0041006E" w:rsidRPr="00074C20">
        <w:rPr>
          <w:rFonts w:eastAsia="Calibri"/>
        </w:rPr>
        <w:t xml:space="preserve">is beyond the scope of the </w:t>
      </w:r>
      <w:r w:rsidR="0041006E" w:rsidRPr="00074C20">
        <w:rPr>
          <w:rFonts w:eastAsia="Calibri"/>
          <w:i/>
        </w:rPr>
        <w:t xml:space="preserve">Catalog Update </w:t>
      </w:r>
      <w:r w:rsidR="00196F07" w:rsidRPr="00074C20">
        <w:rPr>
          <w:rFonts w:eastAsia="Calibri"/>
          <w:i/>
        </w:rPr>
        <w:t>Public Notice</w:t>
      </w:r>
      <w:r w:rsidR="00C36C6D" w:rsidRPr="00074C20">
        <w:rPr>
          <w:rFonts w:eastAsia="Calibri"/>
        </w:rPr>
        <w:t xml:space="preserve">, which </w:t>
      </w:r>
      <w:r w:rsidR="005C2E2E" w:rsidRPr="00074C20">
        <w:rPr>
          <w:rFonts w:eastAsia="Calibri"/>
        </w:rPr>
        <w:t>sought</w:t>
      </w:r>
      <w:r w:rsidR="0041006E" w:rsidRPr="00074C20">
        <w:rPr>
          <w:rFonts w:eastAsia="Calibri"/>
        </w:rPr>
        <w:t xml:space="preserve"> comment on two discrete issues</w:t>
      </w:r>
      <w:r w:rsidR="00064B67" w:rsidRPr="00074C20">
        <w:rPr>
          <w:rFonts w:eastAsia="Calibri"/>
        </w:rPr>
        <w:t xml:space="preserve">: </w:t>
      </w:r>
      <w:r w:rsidR="0041006E" w:rsidRPr="00074C20">
        <w:rPr>
          <w:rFonts w:eastAsia="Calibri"/>
        </w:rPr>
        <w:t xml:space="preserve"> (1) </w:t>
      </w:r>
      <w:r w:rsidR="005C2E2E" w:rsidRPr="00074C20">
        <w:rPr>
          <w:rFonts w:eastAsia="Calibri"/>
        </w:rPr>
        <w:t>updates made to the C</w:t>
      </w:r>
      <w:r w:rsidR="0041006E" w:rsidRPr="00074C20">
        <w:rPr>
          <w:rFonts w:eastAsia="Calibri"/>
        </w:rPr>
        <w:t>atalog; and (2) a</w:t>
      </w:r>
      <w:r w:rsidR="005C2E2E" w:rsidRPr="00074C20">
        <w:rPr>
          <w:rFonts w:eastAsia="Calibri"/>
        </w:rPr>
        <w:t>n economic</w:t>
      </w:r>
      <w:r w:rsidR="0041006E" w:rsidRPr="00074C20">
        <w:rPr>
          <w:rFonts w:eastAsia="Calibri"/>
        </w:rPr>
        <w:t xml:space="preserve"> methodology for updating the costs</w:t>
      </w:r>
      <w:r w:rsidR="005C2E2E" w:rsidRPr="00074C20">
        <w:rPr>
          <w:rFonts w:eastAsia="Calibri"/>
        </w:rPr>
        <w:t xml:space="preserve"> contained therein</w:t>
      </w:r>
      <w:r w:rsidR="0041006E" w:rsidRPr="00074C20">
        <w:rPr>
          <w:rFonts w:eastAsia="Calibri"/>
        </w:rPr>
        <w:t>.</w:t>
      </w:r>
      <w:r w:rsidR="007157D2">
        <w:rPr>
          <w:rStyle w:val="FootnoteReference"/>
          <w:rFonts w:eastAsia="Calibri"/>
          <w:szCs w:val="22"/>
        </w:rPr>
        <w:footnoteReference w:id="36"/>
      </w:r>
      <w:r w:rsidR="00F35BA5" w:rsidRPr="00074C20">
        <w:rPr>
          <w:rFonts w:eastAsia="Calibri"/>
        </w:rPr>
        <w:t xml:space="preserve">  </w:t>
      </w:r>
    </w:p>
    <w:p w14:paraId="63402008" w14:textId="0CAFE44C" w:rsidR="00286F53" w:rsidRPr="00074C20" w:rsidRDefault="00314077" w:rsidP="00314077">
      <w:pPr>
        <w:pStyle w:val="ParaNum"/>
        <w:rPr>
          <w:rFonts w:eastAsia="Calibri"/>
        </w:rPr>
      </w:pPr>
      <w:r>
        <w:rPr>
          <w:rFonts w:eastAsia="Calibri"/>
        </w:rPr>
        <w:t>(b)</w:t>
      </w:r>
      <w:r>
        <w:rPr>
          <w:rFonts w:eastAsia="Calibri"/>
        </w:rPr>
        <w:tab/>
      </w:r>
      <w:r w:rsidR="00286F53" w:rsidRPr="00314077">
        <w:rPr>
          <w:rFonts w:eastAsia="Calibri"/>
          <w:i/>
        </w:rPr>
        <w:t xml:space="preserve">Shared Costs. </w:t>
      </w:r>
      <w:r w:rsidR="00364D20">
        <w:rPr>
          <w:rFonts w:eastAsia="Calibri"/>
          <w:i/>
        </w:rPr>
        <w:t xml:space="preserve"> </w:t>
      </w:r>
      <w:r w:rsidR="00601D3E" w:rsidRPr="00314077">
        <w:rPr>
          <w:rFonts w:eastAsia="Calibri"/>
        </w:rPr>
        <w:t>Some c</w:t>
      </w:r>
      <w:r w:rsidR="003D180D" w:rsidRPr="00314077">
        <w:rPr>
          <w:rFonts w:eastAsia="Calibri"/>
        </w:rPr>
        <w:t>ommenters requested</w:t>
      </w:r>
      <w:r>
        <w:rPr>
          <w:rFonts w:eastAsia="Calibri"/>
        </w:rPr>
        <w:t xml:space="preserve"> </w:t>
      </w:r>
      <w:r w:rsidR="00FE23E3" w:rsidRPr="003D180D">
        <w:rPr>
          <w:rFonts w:eastAsia="Calibri"/>
        </w:rPr>
        <w:t>g</w:t>
      </w:r>
      <w:r w:rsidR="00286F53" w:rsidRPr="003D180D">
        <w:rPr>
          <w:rFonts w:eastAsia="Calibri"/>
        </w:rPr>
        <w:t xml:space="preserve">uidance </w:t>
      </w:r>
      <w:r w:rsidR="00601D3E" w:rsidRPr="003D180D">
        <w:rPr>
          <w:rFonts w:eastAsia="Calibri"/>
        </w:rPr>
        <w:t>concerning</w:t>
      </w:r>
      <w:r>
        <w:rPr>
          <w:rFonts w:eastAsia="Calibri"/>
        </w:rPr>
        <w:t xml:space="preserve"> how to account </w:t>
      </w:r>
      <w:r w:rsidR="00286F53" w:rsidRPr="00074C20">
        <w:rPr>
          <w:rFonts w:eastAsia="Calibri"/>
          <w:szCs w:val="22"/>
        </w:rPr>
        <w:t xml:space="preserve">for, and present on the </w:t>
      </w:r>
      <w:r w:rsidR="006A56B0">
        <w:rPr>
          <w:rFonts w:eastAsia="Calibri"/>
          <w:szCs w:val="22"/>
        </w:rPr>
        <w:t xml:space="preserve">Reimbursement </w:t>
      </w:r>
      <w:r w:rsidR="00286F53" w:rsidRPr="00074C20">
        <w:rPr>
          <w:rFonts w:eastAsia="Calibri"/>
          <w:szCs w:val="22"/>
        </w:rPr>
        <w:t xml:space="preserve">Form, shared costs, such as those incurred by </w:t>
      </w:r>
      <w:r w:rsidR="00581D41" w:rsidRPr="00074C20">
        <w:rPr>
          <w:rFonts w:eastAsia="Calibri"/>
          <w:szCs w:val="22"/>
        </w:rPr>
        <w:t>multiple</w:t>
      </w:r>
      <w:r w:rsidR="00286F53" w:rsidRPr="00074C20">
        <w:rPr>
          <w:rFonts w:eastAsia="Calibri"/>
          <w:szCs w:val="22"/>
        </w:rPr>
        <w:t xml:space="preserve"> repacked broadcasters at a shared tower site.</w:t>
      </w:r>
      <w:r w:rsidR="00286F53">
        <w:rPr>
          <w:rStyle w:val="FootnoteReference"/>
          <w:rFonts w:eastAsia="Calibri"/>
          <w:szCs w:val="22"/>
        </w:rPr>
        <w:footnoteReference w:id="37"/>
      </w:r>
      <w:r w:rsidR="00286F53" w:rsidRPr="00074C20">
        <w:rPr>
          <w:rFonts w:eastAsia="Calibri"/>
          <w:szCs w:val="22"/>
        </w:rPr>
        <w:t xml:space="preserve">  </w:t>
      </w:r>
      <w:r w:rsidR="00581D41" w:rsidRPr="00074C20">
        <w:rPr>
          <w:rFonts w:eastAsia="Calibri"/>
          <w:szCs w:val="22"/>
        </w:rPr>
        <w:t xml:space="preserve">When expenses are shared among more than one reimbursement-eligible entity, it is incumbent on the claimants to determine the relative proportion of the expenses for which each </w:t>
      </w:r>
      <w:r w:rsidR="00514C9F" w:rsidRPr="00074C20">
        <w:rPr>
          <w:rFonts w:eastAsia="Calibri"/>
          <w:szCs w:val="22"/>
        </w:rPr>
        <w:t>will claim</w:t>
      </w:r>
      <w:r w:rsidR="00581D41" w:rsidRPr="00074C20">
        <w:rPr>
          <w:rFonts w:eastAsia="Calibri"/>
          <w:szCs w:val="22"/>
        </w:rPr>
        <w:t xml:space="preserve"> reimbursement, and to present the claims in as clear</w:t>
      </w:r>
      <w:r w:rsidR="006B076E" w:rsidRPr="00074C20">
        <w:rPr>
          <w:rFonts w:eastAsia="Calibri"/>
          <w:szCs w:val="22"/>
        </w:rPr>
        <w:t>,</w:t>
      </w:r>
      <w:r w:rsidR="00581D41" w:rsidRPr="00074C20">
        <w:rPr>
          <w:rFonts w:eastAsia="Calibri"/>
          <w:szCs w:val="22"/>
        </w:rPr>
        <w:t xml:space="preserve"> accurate</w:t>
      </w:r>
      <w:r w:rsidR="006B076E" w:rsidRPr="00074C20">
        <w:rPr>
          <w:rFonts w:eastAsia="Calibri"/>
          <w:szCs w:val="22"/>
        </w:rPr>
        <w:t>, and consistent</w:t>
      </w:r>
      <w:r w:rsidR="00581D41" w:rsidRPr="00074C20">
        <w:rPr>
          <w:rFonts w:eastAsia="Calibri"/>
          <w:szCs w:val="22"/>
        </w:rPr>
        <w:t xml:space="preserve"> a manner as possible.</w:t>
      </w:r>
      <w:r w:rsidR="00D73E63">
        <w:rPr>
          <w:rStyle w:val="FootnoteReference"/>
          <w:rFonts w:eastAsia="Calibri"/>
          <w:szCs w:val="22"/>
        </w:rPr>
        <w:footnoteReference w:id="38"/>
      </w:r>
      <w:r w:rsidR="00581D41" w:rsidRPr="00074C20">
        <w:rPr>
          <w:rFonts w:eastAsia="Calibri"/>
          <w:szCs w:val="22"/>
        </w:rPr>
        <w:t xml:space="preserve">  </w:t>
      </w:r>
      <w:r w:rsidR="003C7B8D" w:rsidRPr="00074C20">
        <w:rPr>
          <w:rFonts w:eastAsia="Calibri"/>
          <w:szCs w:val="22"/>
        </w:rPr>
        <w:t>The Reimbursement Form accommodates requests for reimbursement by two or more stations sharing equipment such as an antenna.</w:t>
      </w:r>
      <w:r w:rsidR="00552687">
        <w:rPr>
          <w:rStyle w:val="FootnoteReference"/>
          <w:rFonts w:eastAsia="Calibri"/>
          <w:szCs w:val="22"/>
        </w:rPr>
        <w:footnoteReference w:id="39"/>
      </w:r>
      <w:r w:rsidR="003C7B8D" w:rsidRPr="00074C20">
        <w:rPr>
          <w:rFonts w:eastAsia="Calibri"/>
          <w:szCs w:val="22"/>
        </w:rPr>
        <w:t xml:space="preserve">  </w:t>
      </w:r>
      <w:r w:rsidRPr="00074C20">
        <w:rPr>
          <w:rFonts w:eastAsia="Calibri"/>
          <w:szCs w:val="22"/>
        </w:rPr>
        <w:t>G</w:t>
      </w:r>
      <w:r w:rsidR="00286F53" w:rsidRPr="00074C20">
        <w:rPr>
          <w:rFonts w:eastAsia="Calibri"/>
          <w:szCs w:val="22"/>
        </w:rPr>
        <w:t xml:space="preserve">uidance was </w:t>
      </w:r>
      <w:r w:rsidRPr="00074C20">
        <w:rPr>
          <w:rFonts w:eastAsia="Calibri"/>
          <w:szCs w:val="22"/>
        </w:rPr>
        <w:t xml:space="preserve">also </w:t>
      </w:r>
      <w:r w:rsidR="00286F53" w:rsidRPr="00074C20">
        <w:rPr>
          <w:rFonts w:eastAsia="Calibri"/>
          <w:szCs w:val="22"/>
        </w:rPr>
        <w:t xml:space="preserve">requested about how to treat costs incurred by non-reimbursement-eligible entities that </w:t>
      </w:r>
      <w:r w:rsidR="006A56B0">
        <w:rPr>
          <w:rFonts w:eastAsia="Calibri"/>
          <w:szCs w:val="22"/>
        </w:rPr>
        <w:t>are</w:t>
      </w:r>
      <w:r w:rsidR="00286F53" w:rsidRPr="00074C20">
        <w:rPr>
          <w:rFonts w:eastAsia="Calibri"/>
          <w:szCs w:val="22"/>
        </w:rPr>
        <w:t xml:space="preserve"> affected by the transition.</w:t>
      </w:r>
      <w:r w:rsidR="00286F53" w:rsidRPr="009A762A">
        <w:rPr>
          <w:rStyle w:val="FootnoteReference"/>
          <w:rFonts w:eastAsia="Calibri"/>
          <w:szCs w:val="22"/>
        </w:rPr>
        <w:footnoteReference w:id="40"/>
      </w:r>
      <w:r w:rsidR="00286F53" w:rsidRPr="00074C20">
        <w:rPr>
          <w:rFonts w:eastAsia="Calibri"/>
          <w:szCs w:val="22"/>
        </w:rPr>
        <w:t xml:space="preserve">  The Commission addressed this issue in the </w:t>
      </w:r>
      <w:r w:rsidR="00286F53" w:rsidRPr="00074C20">
        <w:rPr>
          <w:rFonts w:eastAsia="Calibri"/>
          <w:i/>
          <w:szCs w:val="22"/>
        </w:rPr>
        <w:t>Incentive Auction R&amp;O</w:t>
      </w:r>
      <w:r w:rsidR="00286F53" w:rsidRPr="00074C20">
        <w:rPr>
          <w:rFonts w:eastAsia="Calibri"/>
          <w:szCs w:val="22"/>
        </w:rPr>
        <w:t>,</w:t>
      </w:r>
      <w:r w:rsidR="00286F53" w:rsidRPr="008876DB">
        <w:rPr>
          <w:rFonts w:eastAsia="Calibri"/>
          <w:sz w:val="20"/>
          <w:vertAlign w:val="superscript"/>
        </w:rPr>
        <w:footnoteReference w:id="41"/>
      </w:r>
      <w:r w:rsidR="00286F53" w:rsidRPr="00074C20">
        <w:rPr>
          <w:rFonts w:eastAsia="Calibri"/>
          <w:szCs w:val="22"/>
        </w:rPr>
        <w:t xml:space="preserve"> </w:t>
      </w:r>
      <w:r w:rsidR="00514C9F" w:rsidRPr="00074C20">
        <w:rPr>
          <w:rFonts w:eastAsia="Calibri"/>
          <w:szCs w:val="22"/>
        </w:rPr>
        <w:t>explaining</w:t>
      </w:r>
      <w:r w:rsidR="00286F53" w:rsidRPr="00074C20">
        <w:rPr>
          <w:rFonts w:eastAsia="Calibri"/>
          <w:szCs w:val="22"/>
        </w:rPr>
        <w:t xml:space="preserve"> that </w:t>
      </w:r>
      <w:r w:rsidR="00D73E63" w:rsidRPr="00074C20">
        <w:rPr>
          <w:rFonts w:eastAsia="Calibri"/>
          <w:szCs w:val="22"/>
        </w:rPr>
        <w:t xml:space="preserve">reimbursement </w:t>
      </w:r>
      <w:r w:rsidR="000D35D4" w:rsidRPr="00074C20">
        <w:rPr>
          <w:rFonts w:eastAsia="Calibri"/>
          <w:szCs w:val="22"/>
        </w:rPr>
        <w:t>claims</w:t>
      </w:r>
      <w:r w:rsidR="00286F53" w:rsidRPr="00074C20">
        <w:rPr>
          <w:rFonts w:eastAsia="Calibri"/>
          <w:szCs w:val="22"/>
        </w:rPr>
        <w:t xml:space="preserve"> from reassigned station</w:t>
      </w:r>
      <w:r w:rsidR="008969DD" w:rsidRPr="00074C20">
        <w:rPr>
          <w:rFonts w:eastAsia="Calibri"/>
          <w:szCs w:val="22"/>
        </w:rPr>
        <w:t>s</w:t>
      </w:r>
      <w:r w:rsidR="00286F53" w:rsidRPr="00074C20">
        <w:rPr>
          <w:rFonts w:eastAsia="Calibri"/>
          <w:szCs w:val="22"/>
        </w:rPr>
        <w:t xml:space="preserve"> for costs</w:t>
      </w:r>
      <w:r w:rsidR="00D73E63" w:rsidRPr="00074C20">
        <w:rPr>
          <w:rFonts w:eastAsia="Calibri"/>
          <w:szCs w:val="22"/>
        </w:rPr>
        <w:t xml:space="preserve"> incurred by non-eligible entities </w:t>
      </w:r>
      <w:r w:rsidRPr="00074C20">
        <w:rPr>
          <w:rFonts w:eastAsia="Calibri"/>
          <w:szCs w:val="22"/>
        </w:rPr>
        <w:t>would be</w:t>
      </w:r>
      <w:r w:rsidR="00D73E63" w:rsidRPr="00074C20">
        <w:rPr>
          <w:rFonts w:eastAsia="Calibri"/>
          <w:szCs w:val="22"/>
        </w:rPr>
        <w:t xml:space="preserve"> limited to instances in which “</w:t>
      </w:r>
      <w:r w:rsidR="00286F53" w:rsidRPr="00074C20">
        <w:rPr>
          <w:rFonts w:eastAsia="Calibri"/>
          <w:szCs w:val="22"/>
        </w:rPr>
        <w:t xml:space="preserve">the reassigned broadcaster has a contractual obligation to pay these expenses through a contract” </w:t>
      </w:r>
      <w:r w:rsidR="008969DD" w:rsidRPr="00074C20">
        <w:rPr>
          <w:rFonts w:eastAsia="Calibri"/>
          <w:szCs w:val="22"/>
        </w:rPr>
        <w:t xml:space="preserve">that was </w:t>
      </w:r>
      <w:r w:rsidR="00286F53" w:rsidRPr="00074C20">
        <w:rPr>
          <w:rFonts w:eastAsia="Calibri"/>
          <w:szCs w:val="22"/>
        </w:rPr>
        <w:t xml:space="preserve">entered into on, or before, </w:t>
      </w:r>
      <w:r w:rsidRPr="00074C20">
        <w:rPr>
          <w:rFonts w:eastAsia="Calibri"/>
          <w:szCs w:val="22"/>
        </w:rPr>
        <w:t>June 2, 2014 (</w:t>
      </w:r>
      <w:r w:rsidR="00286F53" w:rsidRPr="00074C20">
        <w:rPr>
          <w:rFonts w:eastAsia="Calibri"/>
          <w:szCs w:val="22"/>
        </w:rPr>
        <w:t xml:space="preserve">the release date of the </w:t>
      </w:r>
      <w:r w:rsidR="00286F53" w:rsidRPr="00074C20">
        <w:rPr>
          <w:rFonts w:eastAsia="Calibri"/>
          <w:i/>
          <w:szCs w:val="22"/>
        </w:rPr>
        <w:t>Incentive Auction R&amp;O</w:t>
      </w:r>
      <w:r w:rsidRPr="00074C20">
        <w:rPr>
          <w:rFonts w:eastAsia="Calibri"/>
          <w:szCs w:val="22"/>
        </w:rPr>
        <w:t>)</w:t>
      </w:r>
      <w:r w:rsidR="00286F53" w:rsidRPr="00074C20">
        <w:rPr>
          <w:rFonts w:eastAsia="Calibri"/>
          <w:szCs w:val="22"/>
        </w:rPr>
        <w:t>.</w:t>
      </w:r>
      <w:r w:rsidR="00286F53" w:rsidRPr="008876DB">
        <w:rPr>
          <w:rFonts w:eastAsia="Calibri"/>
          <w:sz w:val="20"/>
          <w:vertAlign w:val="superscript"/>
        </w:rPr>
        <w:footnoteReference w:id="42"/>
      </w:r>
      <w:r w:rsidR="00A87905" w:rsidRPr="00074C20">
        <w:rPr>
          <w:rFonts w:eastAsia="Calibri"/>
          <w:szCs w:val="22"/>
        </w:rPr>
        <w:t xml:space="preserve"> </w:t>
      </w:r>
      <w:r w:rsidR="00286F53" w:rsidRPr="00074C20">
        <w:rPr>
          <w:rFonts w:eastAsia="Calibri"/>
          <w:szCs w:val="22"/>
        </w:rPr>
        <w:t xml:space="preserve"> </w:t>
      </w:r>
      <w:r w:rsidRPr="00074C20">
        <w:rPr>
          <w:rFonts w:eastAsia="Calibri"/>
          <w:szCs w:val="22"/>
        </w:rPr>
        <w:t>R</w:t>
      </w:r>
      <w:r w:rsidR="00286F53" w:rsidRPr="00074C20">
        <w:rPr>
          <w:rFonts w:eastAsia="Calibri"/>
          <w:szCs w:val="22"/>
        </w:rPr>
        <w:t xml:space="preserve">eimbursement-eligible entities with such contractual obligations may submit for consideration reimbursement claims </w:t>
      </w:r>
      <w:r w:rsidR="006B076E" w:rsidRPr="00074C20">
        <w:rPr>
          <w:rFonts w:eastAsia="Calibri"/>
          <w:szCs w:val="22"/>
        </w:rPr>
        <w:t xml:space="preserve">only </w:t>
      </w:r>
      <w:r w:rsidR="00286F53" w:rsidRPr="00074C20">
        <w:rPr>
          <w:rFonts w:eastAsia="Calibri"/>
          <w:szCs w:val="22"/>
        </w:rPr>
        <w:t xml:space="preserve">for expenses incurred by non-eligible entities that </w:t>
      </w:r>
      <w:r w:rsidR="006B076E" w:rsidRPr="00074C20">
        <w:rPr>
          <w:rFonts w:eastAsia="Calibri"/>
          <w:szCs w:val="22"/>
        </w:rPr>
        <w:t xml:space="preserve">they </w:t>
      </w:r>
      <w:r w:rsidR="00286F53" w:rsidRPr="00074C20">
        <w:rPr>
          <w:rFonts w:eastAsia="Calibri"/>
          <w:szCs w:val="22"/>
        </w:rPr>
        <w:t xml:space="preserve">are </w:t>
      </w:r>
      <w:r w:rsidR="006B076E" w:rsidRPr="00074C20">
        <w:rPr>
          <w:rFonts w:eastAsia="Calibri"/>
          <w:szCs w:val="22"/>
        </w:rPr>
        <w:t xml:space="preserve">obligated to pay under </w:t>
      </w:r>
      <w:r w:rsidR="00286F53" w:rsidRPr="00074C20">
        <w:rPr>
          <w:rFonts w:eastAsia="Calibri"/>
          <w:szCs w:val="22"/>
        </w:rPr>
        <w:t>timely</w:t>
      </w:r>
      <w:r w:rsidR="00514C9F" w:rsidRPr="00074C20">
        <w:rPr>
          <w:rFonts w:eastAsia="Calibri"/>
          <w:szCs w:val="22"/>
        </w:rPr>
        <w:t>-</w:t>
      </w:r>
      <w:r w:rsidR="00286F53" w:rsidRPr="00074C20">
        <w:rPr>
          <w:rFonts w:eastAsia="Calibri"/>
          <w:szCs w:val="22"/>
        </w:rPr>
        <w:t>entered contract</w:t>
      </w:r>
      <w:r w:rsidR="00646C86" w:rsidRPr="00074C20">
        <w:rPr>
          <w:rFonts w:eastAsia="Calibri"/>
          <w:szCs w:val="22"/>
        </w:rPr>
        <w:t>s</w:t>
      </w:r>
      <w:r w:rsidR="00286F53" w:rsidRPr="00074C20">
        <w:rPr>
          <w:rFonts w:eastAsia="Calibri"/>
          <w:szCs w:val="22"/>
        </w:rPr>
        <w:t xml:space="preserve">.  </w:t>
      </w:r>
      <w:r w:rsidR="006E6A40">
        <w:rPr>
          <w:rFonts w:eastAsia="Calibri"/>
          <w:szCs w:val="22"/>
        </w:rPr>
        <w:br/>
      </w:r>
    </w:p>
    <w:p w14:paraId="2B32BF7B" w14:textId="628FE18F" w:rsidR="00EA278C" w:rsidRPr="00EA0F4C" w:rsidRDefault="00314077" w:rsidP="00314077">
      <w:pPr>
        <w:pStyle w:val="ParaNum"/>
        <w:rPr>
          <w:rFonts w:eastAsia="Calibri"/>
        </w:rPr>
      </w:pPr>
      <w:r>
        <w:rPr>
          <w:rFonts w:eastAsia="Calibri"/>
        </w:rPr>
        <w:t>(c)</w:t>
      </w:r>
      <w:r>
        <w:rPr>
          <w:rFonts w:eastAsia="Calibri"/>
        </w:rPr>
        <w:tab/>
      </w:r>
      <w:r w:rsidR="00EA278C">
        <w:rPr>
          <w:rFonts w:eastAsia="Calibri"/>
          <w:i/>
        </w:rPr>
        <w:t xml:space="preserve">Leasing.  </w:t>
      </w:r>
      <w:r w:rsidR="00EA278C">
        <w:rPr>
          <w:rFonts w:eastAsia="Calibri"/>
        </w:rPr>
        <w:t xml:space="preserve">NAB </w:t>
      </w:r>
      <w:r w:rsidR="00552687">
        <w:rPr>
          <w:rFonts w:eastAsia="Calibri"/>
        </w:rPr>
        <w:t>sought</w:t>
      </w:r>
      <w:r w:rsidR="00EA278C">
        <w:rPr>
          <w:rFonts w:eastAsia="Calibri"/>
        </w:rPr>
        <w:t xml:space="preserve"> g</w:t>
      </w:r>
      <w:r w:rsidR="00EA278C" w:rsidRPr="000B2532">
        <w:rPr>
          <w:rFonts w:eastAsia="Calibri"/>
        </w:rPr>
        <w:t xml:space="preserve">uidance </w:t>
      </w:r>
      <w:r w:rsidR="00EA278C">
        <w:rPr>
          <w:rFonts w:eastAsia="Calibri"/>
        </w:rPr>
        <w:t xml:space="preserve">regarding </w:t>
      </w:r>
      <w:r w:rsidR="0059163F">
        <w:rPr>
          <w:rFonts w:eastAsia="Calibri"/>
        </w:rPr>
        <w:t xml:space="preserve">how to account </w:t>
      </w:r>
      <w:r w:rsidR="00134E02">
        <w:rPr>
          <w:rFonts w:eastAsia="Calibri"/>
        </w:rPr>
        <w:t xml:space="preserve">on the Reimbursement </w:t>
      </w:r>
      <w:r w:rsidR="00134E02" w:rsidRPr="00D81DB9">
        <w:rPr>
          <w:rFonts w:eastAsia="Calibri"/>
        </w:rPr>
        <w:t xml:space="preserve">Form </w:t>
      </w:r>
      <w:r w:rsidR="0059163F" w:rsidRPr="00D81DB9">
        <w:rPr>
          <w:rFonts w:eastAsia="Calibri"/>
        </w:rPr>
        <w:t xml:space="preserve">for </w:t>
      </w:r>
      <w:r w:rsidR="00EA278C" w:rsidRPr="00D81DB9">
        <w:rPr>
          <w:rFonts w:eastAsia="Calibri"/>
        </w:rPr>
        <w:t>the specific cost and time ranges for leased equipment.</w:t>
      </w:r>
      <w:r w:rsidR="00EA278C">
        <w:rPr>
          <w:rStyle w:val="FootnoteReference"/>
          <w:rFonts w:eastAsia="Calibri"/>
          <w:szCs w:val="22"/>
        </w:rPr>
        <w:footnoteReference w:id="43"/>
      </w:r>
      <w:r w:rsidR="00EA278C" w:rsidRPr="00D81DB9">
        <w:rPr>
          <w:rFonts w:eastAsia="Calibri"/>
        </w:rPr>
        <w:t xml:space="preserve">  </w:t>
      </w:r>
      <w:r w:rsidR="00CA673F" w:rsidRPr="00D81DB9">
        <w:rPr>
          <w:rFonts w:eastAsia="Calibri"/>
        </w:rPr>
        <w:t>We expect that stations may lease equipment necessary for interim or temporary use during their transition</w:t>
      </w:r>
      <w:r w:rsidR="00552687" w:rsidRPr="00D81DB9">
        <w:rPr>
          <w:rFonts w:eastAsia="Calibri"/>
        </w:rPr>
        <w:t xml:space="preserve">, and the Reimbursement Form will accommodate this provided </w:t>
      </w:r>
      <w:r w:rsidR="00CA673F" w:rsidRPr="00D81DB9">
        <w:rPr>
          <w:rFonts w:eastAsia="Calibri"/>
        </w:rPr>
        <w:t xml:space="preserve">that the time frame for </w:t>
      </w:r>
      <w:r w:rsidR="00552687" w:rsidRPr="00D81DB9">
        <w:rPr>
          <w:rFonts w:eastAsia="Calibri"/>
        </w:rPr>
        <w:t>the</w:t>
      </w:r>
      <w:r w:rsidR="00CA673F" w:rsidRPr="00D81DB9">
        <w:rPr>
          <w:rFonts w:eastAsia="Calibri"/>
        </w:rPr>
        <w:t xml:space="preserve"> lease periods </w:t>
      </w:r>
      <w:r w:rsidR="00552687" w:rsidRPr="00D81DB9">
        <w:rPr>
          <w:rFonts w:eastAsia="Calibri"/>
        </w:rPr>
        <w:t>falls</w:t>
      </w:r>
      <w:r w:rsidR="00CA673F" w:rsidRPr="00D81DB9">
        <w:rPr>
          <w:rFonts w:eastAsia="Calibri"/>
        </w:rPr>
        <w:t xml:space="preserve"> within the reimburs</w:t>
      </w:r>
      <w:r w:rsidR="00552687" w:rsidRPr="00D81DB9">
        <w:rPr>
          <w:rFonts w:eastAsia="Calibri"/>
        </w:rPr>
        <w:t>ement period</w:t>
      </w:r>
      <w:r w:rsidR="00CA673F" w:rsidRPr="00D81DB9">
        <w:rPr>
          <w:rFonts w:eastAsia="Calibri"/>
        </w:rPr>
        <w:t xml:space="preserve">.  </w:t>
      </w:r>
      <w:r w:rsidR="00064B67" w:rsidRPr="00D81DB9">
        <w:rPr>
          <w:rFonts w:eastAsia="Calibri"/>
        </w:rPr>
        <w:t>B</w:t>
      </w:r>
      <w:r w:rsidR="00552687" w:rsidRPr="00D81DB9">
        <w:rPr>
          <w:rFonts w:eastAsia="Calibri"/>
        </w:rPr>
        <w:t>ecause</w:t>
      </w:r>
      <w:r w:rsidR="00CA673F" w:rsidRPr="00D81DB9">
        <w:rPr>
          <w:rFonts w:eastAsia="Calibri"/>
        </w:rPr>
        <w:t xml:space="preserve"> we are limited to reimbursing for expenses incurred during </w:t>
      </w:r>
      <w:r w:rsidR="00064B67" w:rsidRPr="00D81DB9">
        <w:rPr>
          <w:rFonts w:eastAsia="Calibri"/>
        </w:rPr>
        <w:t>the</w:t>
      </w:r>
      <w:r w:rsidR="00CA673F" w:rsidRPr="00D81DB9">
        <w:rPr>
          <w:rFonts w:eastAsia="Calibri"/>
        </w:rPr>
        <w:t xml:space="preserve"> three-year period, the reimbursement process does not accommodate long-term lease arrangements</w:t>
      </w:r>
      <w:r w:rsidRPr="00D81DB9">
        <w:rPr>
          <w:rFonts w:eastAsia="Calibri"/>
        </w:rPr>
        <w:t xml:space="preserve"> that extend beyond that period</w:t>
      </w:r>
      <w:r w:rsidR="00EA278C" w:rsidRPr="00D81DB9">
        <w:rPr>
          <w:rFonts w:eastAsia="Calibri"/>
        </w:rPr>
        <w:t>.</w:t>
      </w:r>
      <w:r w:rsidR="00EA278C">
        <w:rPr>
          <w:rStyle w:val="FootnoteReference"/>
          <w:rFonts w:eastAsia="Calibri"/>
          <w:szCs w:val="22"/>
        </w:rPr>
        <w:footnoteReference w:id="44"/>
      </w:r>
      <w:r w:rsidR="00EA278C" w:rsidRPr="00D81DB9">
        <w:rPr>
          <w:rFonts w:eastAsia="Calibri"/>
        </w:rPr>
        <w:t xml:space="preserve">  </w:t>
      </w:r>
      <w:r w:rsidRPr="00D81DB9">
        <w:rPr>
          <w:rFonts w:eastAsia="Calibri"/>
        </w:rPr>
        <w:t xml:space="preserve">Since leasing expenses do not have predetermined prices listed in the Catalog, entities requesting reimbursement for such costs must enter </w:t>
      </w:r>
      <w:r w:rsidR="00A75BC7" w:rsidRPr="00D81DB9">
        <w:rPr>
          <w:rFonts w:eastAsia="Calibri"/>
        </w:rPr>
        <w:t xml:space="preserve">into the Reimbursement Form </w:t>
      </w:r>
      <w:r w:rsidRPr="00D81DB9">
        <w:rPr>
          <w:rFonts w:eastAsia="Calibri"/>
        </w:rPr>
        <w:t>their own individualized cost information and supporting documentation</w:t>
      </w:r>
      <w:r w:rsidR="00B15340" w:rsidRPr="00D81DB9">
        <w:rPr>
          <w:rFonts w:eastAsia="Calibri"/>
        </w:rPr>
        <w:t>.</w:t>
      </w:r>
      <w:r w:rsidR="00B15340">
        <w:rPr>
          <w:rStyle w:val="FootnoteReference"/>
          <w:rFonts w:eastAsia="Calibri"/>
          <w:szCs w:val="22"/>
        </w:rPr>
        <w:footnoteReference w:id="45"/>
      </w:r>
      <w:r w:rsidR="0059163F" w:rsidRPr="00D81DB9">
        <w:rPr>
          <w:rFonts w:eastAsia="Calibri"/>
        </w:rPr>
        <w:t xml:space="preserve"> </w:t>
      </w:r>
      <w:r w:rsidR="00EA278C" w:rsidRPr="00D81DB9">
        <w:rPr>
          <w:rFonts w:eastAsia="Calibri"/>
        </w:rPr>
        <w:t xml:space="preserve"> </w:t>
      </w:r>
      <w:r w:rsidR="00EA278C" w:rsidRPr="00D81DB9">
        <w:rPr>
          <w:b/>
        </w:rPr>
        <w:t xml:space="preserve"> </w:t>
      </w:r>
    </w:p>
    <w:p w14:paraId="2F238561" w14:textId="5E92F535" w:rsidR="003627F3" w:rsidRPr="00EA0F4C" w:rsidRDefault="00A75BC7" w:rsidP="003627F3">
      <w:pPr>
        <w:pStyle w:val="ParaNum"/>
        <w:rPr>
          <w:rFonts w:eastAsia="Calibri"/>
        </w:rPr>
      </w:pPr>
      <w:r>
        <w:rPr>
          <w:rFonts w:eastAsia="Calibri"/>
        </w:rPr>
        <w:t>(d)</w:t>
      </w:r>
      <w:r>
        <w:rPr>
          <w:rFonts w:eastAsia="Calibri"/>
        </w:rPr>
        <w:tab/>
      </w:r>
      <w:r w:rsidR="002B0110">
        <w:rPr>
          <w:rFonts w:eastAsia="Calibri"/>
          <w:i/>
        </w:rPr>
        <w:t xml:space="preserve">IOT </w:t>
      </w:r>
      <w:r w:rsidR="00143653">
        <w:rPr>
          <w:rFonts w:eastAsia="Calibri"/>
          <w:i/>
        </w:rPr>
        <w:t>and</w:t>
      </w:r>
      <w:r w:rsidR="002B0110">
        <w:rPr>
          <w:rFonts w:eastAsia="Calibri"/>
          <w:i/>
        </w:rPr>
        <w:t xml:space="preserve"> Solid State</w:t>
      </w:r>
      <w:r w:rsidR="00143653">
        <w:rPr>
          <w:rFonts w:eastAsia="Calibri"/>
          <w:i/>
        </w:rPr>
        <w:t xml:space="preserve"> Transmitters</w:t>
      </w:r>
      <w:r w:rsidR="002B0110">
        <w:rPr>
          <w:rFonts w:eastAsia="Calibri"/>
          <w:i/>
        </w:rPr>
        <w:t xml:space="preserve">.  </w:t>
      </w:r>
      <w:r w:rsidR="00275B9E">
        <w:rPr>
          <w:rFonts w:eastAsia="Calibri"/>
        </w:rPr>
        <w:t xml:space="preserve">Certain commenters </w:t>
      </w:r>
      <w:r w:rsidR="00601D3E">
        <w:rPr>
          <w:rFonts w:eastAsia="Calibri"/>
        </w:rPr>
        <w:t>requested</w:t>
      </w:r>
      <w:r w:rsidR="009E1200">
        <w:rPr>
          <w:rFonts w:eastAsia="Calibri"/>
        </w:rPr>
        <w:t xml:space="preserve"> that we clarify </w:t>
      </w:r>
      <w:r w:rsidR="009E1200" w:rsidRPr="00074C20">
        <w:rPr>
          <w:rFonts w:eastAsia="Calibri"/>
          <w:szCs w:val="22"/>
        </w:rPr>
        <w:t>that</w:t>
      </w:r>
      <w:r w:rsidR="00275B9E" w:rsidRPr="00074C20">
        <w:rPr>
          <w:rFonts w:eastAsia="Calibri"/>
          <w:szCs w:val="22"/>
        </w:rPr>
        <w:t xml:space="preserve"> broadcasters </w:t>
      </w:r>
      <w:r w:rsidR="009E1200" w:rsidRPr="00074C20">
        <w:rPr>
          <w:rFonts w:eastAsia="Calibri"/>
          <w:szCs w:val="22"/>
        </w:rPr>
        <w:t>c</w:t>
      </w:r>
      <w:r w:rsidR="00601D3E" w:rsidRPr="00074C20">
        <w:rPr>
          <w:rFonts w:eastAsia="Calibri"/>
          <w:szCs w:val="22"/>
        </w:rPr>
        <w:t>ould</w:t>
      </w:r>
      <w:r w:rsidR="006676C5" w:rsidRPr="00074C20">
        <w:rPr>
          <w:rFonts w:eastAsia="Calibri"/>
          <w:szCs w:val="22"/>
        </w:rPr>
        <w:t xml:space="preserve"> be </w:t>
      </w:r>
      <w:r w:rsidR="00176C6A" w:rsidRPr="00074C20">
        <w:rPr>
          <w:rFonts w:eastAsia="Calibri"/>
          <w:szCs w:val="22"/>
        </w:rPr>
        <w:t>reimbursed for replacing</w:t>
      </w:r>
      <w:r w:rsidR="00CE756E" w:rsidRPr="00074C20">
        <w:rPr>
          <w:rFonts w:eastAsia="Calibri"/>
          <w:szCs w:val="22"/>
        </w:rPr>
        <w:t xml:space="preserve"> </w:t>
      </w:r>
      <w:r w:rsidR="002C4053" w:rsidRPr="00074C20">
        <w:rPr>
          <w:rFonts w:eastAsia="Calibri"/>
          <w:szCs w:val="22"/>
        </w:rPr>
        <w:t>older</w:t>
      </w:r>
      <w:r w:rsidR="00275B9E" w:rsidRPr="00074C20">
        <w:rPr>
          <w:rFonts w:eastAsia="Calibri"/>
          <w:szCs w:val="22"/>
        </w:rPr>
        <w:t xml:space="preserve"> inductive output tube (IOT) transmitters </w:t>
      </w:r>
      <w:r w:rsidR="00176C6A" w:rsidRPr="00074C20">
        <w:rPr>
          <w:rFonts w:eastAsia="Calibri"/>
          <w:szCs w:val="22"/>
        </w:rPr>
        <w:t>with solid state transmitters</w:t>
      </w:r>
      <w:r w:rsidR="002C4053" w:rsidRPr="00074C20">
        <w:rPr>
          <w:rFonts w:eastAsia="Calibri"/>
          <w:szCs w:val="22"/>
        </w:rPr>
        <w:t>,</w:t>
      </w:r>
      <w:r w:rsidR="00CE756E" w:rsidRPr="00074C20">
        <w:rPr>
          <w:rFonts w:eastAsia="Calibri"/>
          <w:szCs w:val="22"/>
        </w:rPr>
        <w:t xml:space="preserve"> even </w:t>
      </w:r>
      <w:r w:rsidR="009E1200" w:rsidRPr="00074C20">
        <w:rPr>
          <w:rFonts w:eastAsia="Calibri"/>
          <w:szCs w:val="22"/>
        </w:rPr>
        <w:t>if</w:t>
      </w:r>
      <w:r w:rsidR="00CE756E" w:rsidRPr="00074C20">
        <w:rPr>
          <w:rFonts w:eastAsia="Calibri"/>
          <w:szCs w:val="22"/>
        </w:rPr>
        <w:t xml:space="preserve"> the </w:t>
      </w:r>
      <w:r w:rsidR="00A17050" w:rsidRPr="00074C20">
        <w:rPr>
          <w:rFonts w:eastAsia="Calibri"/>
          <w:szCs w:val="22"/>
        </w:rPr>
        <w:t xml:space="preserve">replacement </w:t>
      </w:r>
      <w:r w:rsidR="00CE756E" w:rsidRPr="00074C20">
        <w:rPr>
          <w:rFonts w:eastAsia="Calibri"/>
          <w:szCs w:val="22"/>
        </w:rPr>
        <w:t xml:space="preserve">cost </w:t>
      </w:r>
      <w:r w:rsidR="002C4053" w:rsidRPr="00074C20">
        <w:rPr>
          <w:rFonts w:eastAsia="Calibri"/>
          <w:szCs w:val="22"/>
        </w:rPr>
        <w:t>exceed</w:t>
      </w:r>
      <w:r w:rsidR="00601D3E" w:rsidRPr="00074C20">
        <w:rPr>
          <w:rFonts w:eastAsia="Calibri"/>
          <w:szCs w:val="22"/>
        </w:rPr>
        <w:t xml:space="preserve">ed </w:t>
      </w:r>
      <w:r w:rsidR="002C4053" w:rsidRPr="00074C20">
        <w:rPr>
          <w:rFonts w:eastAsia="Calibri"/>
          <w:szCs w:val="22"/>
        </w:rPr>
        <w:t xml:space="preserve">the cost of retuning </w:t>
      </w:r>
      <w:r w:rsidR="00A17050" w:rsidRPr="00074C20">
        <w:rPr>
          <w:rFonts w:eastAsia="Calibri"/>
          <w:szCs w:val="22"/>
        </w:rPr>
        <w:t>the</w:t>
      </w:r>
      <w:r w:rsidR="005E7FD2" w:rsidRPr="00074C20">
        <w:rPr>
          <w:rFonts w:eastAsia="Calibri"/>
          <w:szCs w:val="22"/>
        </w:rPr>
        <w:t xml:space="preserve"> existing</w:t>
      </w:r>
      <w:r w:rsidR="002C4053" w:rsidRPr="00074C20">
        <w:rPr>
          <w:rFonts w:eastAsia="Calibri"/>
          <w:szCs w:val="22"/>
        </w:rPr>
        <w:t xml:space="preserve"> IOT transmitter.</w:t>
      </w:r>
      <w:r w:rsidR="002C4053">
        <w:rPr>
          <w:rStyle w:val="FootnoteReference"/>
          <w:rFonts w:eastAsia="Calibri"/>
          <w:szCs w:val="22"/>
        </w:rPr>
        <w:footnoteReference w:id="46"/>
      </w:r>
      <w:r w:rsidR="00CE756E" w:rsidRPr="00074C20">
        <w:rPr>
          <w:rFonts w:eastAsia="Calibri"/>
          <w:szCs w:val="22"/>
        </w:rPr>
        <w:t xml:space="preserve"> </w:t>
      </w:r>
      <w:r w:rsidR="005E7FD2" w:rsidRPr="00074C20">
        <w:rPr>
          <w:rFonts w:eastAsia="Calibri"/>
          <w:szCs w:val="22"/>
        </w:rPr>
        <w:t xml:space="preserve"> </w:t>
      </w:r>
      <w:r w:rsidR="00143653" w:rsidRPr="00074C20">
        <w:rPr>
          <w:rFonts w:eastAsia="Calibri"/>
          <w:szCs w:val="22"/>
        </w:rPr>
        <w:t>At this time, we decline to adopt a policy of reimbursing for the cost of a solid-state transmitter for every eligible station that currently uses an IOT transmitter.</w:t>
      </w:r>
      <w:r w:rsidR="00143653">
        <w:rPr>
          <w:rStyle w:val="FootnoteReference"/>
          <w:rFonts w:eastAsia="Calibri"/>
          <w:szCs w:val="22"/>
        </w:rPr>
        <w:footnoteReference w:id="47"/>
      </w:r>
      <w:r w:rsidRPr="00074C20">
        <w:rPr>
          <w:rFonts w:eastAsia="Calibri"/>
          <w:szCs w:val="22"/>
        </w:rPr>
        <w:t xml:space="preserve">  We note, however, that s</w:t>
      </w:r>
      <w:r w:rsidR="00143653" w:rsidRPr="00074C20">
        <w:rPr>
          <w:rFonts w:eastAsia="Calibri"/>
          <w:szCs w:val="22"/>
        </w:rPr>
        <w:t>tations may change from an IOT to a solid-state transmitter during the transition, for all of the reasons cited by commenters that make IOTs difficult to modify</w:t>
      </w:r>
      <w:r w:rsidRPr="00074C20">
        <w:rPr>
          <w:rFonts w:eastAsia="Calibri"/>
          <w:szCs w:val="22"/>
        </w:rPr>
        <w:t>, and a portion, or total, of the cost to do so may be eligible for reimbursement</w:t>
      </w:r>
      <w:r w:rsidR="00143653" w:rsidRPr="00074C20">
        <w:rPr>
          <w:rFonts w:eastAsia="Calibri"/>
          <w:szCs w:val="22"/>
        </w:rPr>
        <w:t xml:space="preserve">.  The reimbursement process permits stations to upgrade their equipment – for example, changing from an IOT transmitter to a solid-state transmitter – by requiring stations to pay </w:t>
      </w:r>
      <w:r w:rsidR="00134E02" w:rsidRPr="00074C20">
        <w:rPr>
          <w:rFonts w:eastAsia="Calibri"/>
          <w:szCs w:val="22"/>
        </w:rPr>
        <w:t>any</w:t>
      </w:r>
      <w:r w:rsidR="00143653" w:rsidRPr="00074C20">
        <w:rPr>
          <w:rFonts w:eastAsia="Calibri"/>
          <w:szCs w:val="22"/>
        </w:rPr>
        <w:t xml:space="preserve"> difference between equipment comparable to their pre-auction facilities and the upgraded equipment they seek to purchase for use on their post-auction channel.</w:t>
      </w:r>
      <w:r w:rsidR="00143653">
        <w:rPr>
          <w:rStyle w:val="FootnoteReference"/>
          <w:rFonts w:eastAsia="Calibri"/>
          <w:szCs w:val="22"/>
        </w:rPr>
        <w:footnoteReference w:id="48"/>
      </w:r>
      <w:r w:rsidR="00143653" w:rsidRPr="00074C20">
        <w:rPr>
          <w:rFonts w:eastAsia="Calibri"/>
          <w:szCs w:val="22"/>
        </w:rPr>
        <w:t xml:space="preserve">  </w:t>
      </w:r>
      <w:r w:rsidRPr="00074C20">
        <w:rPr>
          <w:rFonts w:eastAsia="Calibri"/>
          <w:szCs w:val="22"/>
        </w:rPr>
        <w:t>I</w:t>
      </w:r>
      <w:r w:rsidR="00143653" w:rsidRPr="00074C20">
        <w:rPr>
          <w:rFonts w:eastAsia="Calibri"/>
          <w:szCs w:val="22"/>
        </w:rPr>
        <w:t>f</w:t>
      </w:r>
      <w:r w:rsidRPr="00074C20">
        <w:rPr>
          <w:rFonts w:eastAsia="Calibri"/>
          <w:szCs w:val="22"/>
        </w:rPr>
        <w:t>, on the other hand,</w:t>
      </w:r>
      <w:r w:rsidR="00143653" w:rsidRPr="00074C20">
        <w:rPr>
          <w:rFonts w:eastAsia="Calibri"/>
          <w:szCs w:val="22"/>
        </w:rPr>
        <w:t xml:space="preserve"> modifying an IOT transmitter or replacing all or part of an existing IOT transmission system is demonstrably </w:t>
      </w:r>
      <w:r w:rsidR="00143653" w:rsidRPr="00074C20">
        <w:rPr>
          <w:rFonts w:eastAsia="Calibri"/>
          <w:i/>
          <w:szCs w:val="22"/>
        </w:rPr>
        <w:t>more</w:t>
      </w:r>
      <w:r w:rsidR="00143653" w:rsidRPr="00074C20">
        <w:rPr>
          <w:rFonts w:eastAsia="Calibri"/>
          <w:szCs w:val="22"/>
        </w:rPr>
        <w:t xml:space="preserve"> expensive than purchasing a repla</w:t>
      </w:r>
      <w:r w:rsidR="00A17050" w:rsidRPr="00074C20">
        <w:rPr>
          <w:rFonts w:eastAsia="Calibri"/>
          <w:szCs w:val="22"/>
        </w:rPr>
        <w:t>cement solid state transmitter, the</w:t>
      </w:r>
      <w:r w:rsidR="00143653" w:rsidRPr="00074C20">
        <w:rPr>
          <w:rFonts w:eastAsia="Calibri"/>
          <w:szCs w:val="22"/>
        </w:rPr>
        <w:t xml:space="preserve"> station</w:t>
      </w:r>
      <w:r w:rsidR="00D500BB" w:rsidRPr="00074C20">
        <w:rPr>
          <w:rFonts w:eastAsia="Calibri"/>
          <w:szCs w:val="22"/>
        </w:rPr>
        <w:t xml:space="preserve"> can submit </w:t>
      </w:r>
      <w:r w:rsidR="00A17050" w:rsidRPr="00074C20">
        <w:rPr>
          <w:rFonts w:eastAsia="Calibri"/>
          <w:szCs w:val="22"/>
        </w:rPr>
        <w:t xml:space="preserve">the lower-priced </w:t>
      </w:r>
      <w:r w:rsidR="00D500BB" w:rsidRPr="00074C20">
        <w:rPr>
          <w:rFonts w:eastAsia="Calibri"/>
          <w:szCs w:val="22"/>
        </w:rPr>
        <w:t xml:space="preserve">solid state </w:t>
      </w:r>
      <w:r w:rsidR="00A17050" w:rsidRPr="00074C20">
        <w:rPr>
          <w:rFonts w:eastAsia="Calibri"/>
          <w:szCs w:val="22"/>
        </w:rPr>
        <w:t xml:space="preserve">option </w:t>
      </w:r>
      <w:r w:rsidR="00143653" w:rsidRPr="00074C20">
        <w:rPr>
          <w:rFonts w:eastAsia="Calibri"/>
          <w:szCs w:val="22"/>
        </w:rPr>
        <w:t>for reimbursement</w:t>
      </w:r>
      <w:r w:rsidRPr="00074C20">
        <w:rPr>
          <w:rFonts w:eastAsia="Calibri"/>
          <w:szCs w:val="22"/>
        </w:rPr>
        <w:t xml:space="preserve"> if it prefers to change to a solid state transmitter</w:t>
      </w:r>
      <w:r w:rsidR="00143653" w:rsidRPr="00074C20">
        <w:rPr>
          <w:rFonts w:eastAsia="Calibri"/>
          <w:szCs w:val="22"/>
        </w:rPr>
        <w:t>.  In that case,</w:t>
      </w:r>
      <w:r w:rsidRPr="00074C20">
        <w:rPr>
          <w:rFonts w:eastAsia="Calibri"/>
          <w:szCs w:val="22"/>
        </w:rPr>
        <w:t xml:space="preserve"> as required when requesting an upgrade</w:t>
      </w:r>
      <w:r w:rsidR="00541ABE" w:rsidRPr="00074C20">
        <w:rPr>
          <w:rFonts w:eastAsia="Calibri"/>
          <w:szCs w:val="22"/>
        </w:rPr>
        <w:t>,</w:t>
      </w:r>
      <w:r w:rsidR="00143653" w:rsidRPr="00074C20">
        <w:rPr>
          <w:rFonts w:eastAsia="Calibri"/>
          <w:szCs w:val="22"/>
        </w:rPr>
        <w:t xml:space="preserve"> documentation demonstrating the cost differential for e</w:t>
      </w:r>
      <w:r w:rsidRPr="00074C20">
        <w:rPr>
          <w:rFonts w:eastAsia="Calibri"/>
          <w:szCs w:val="22"/>
        </w:rPr>
        <w:t>ach option</w:t>
      </w:r>
      <w:r w:rsidR="00143653" w:rsidRPr="00074C20">
        <w:rPr>
          <w:rFonts w:eastAsia="Calibri"/>
          <w:szCs w:val="22"/>
        </w:rPr>
        <w:t>, must</w:t>
      </w:r>
      <w:r w:rsidR="00A17050" w:rsidRPr="00074C20">
        <w:rPr>
          <w:rFonts w:eastAsia="Calibri"/>
          <w:szCs w:val="22"/>
        </w:rPr>
        <w:t xml:space="preserve"> also</w:t>
      </w:r>
      <w:r w:rsidR="00143653" w:rsidRPr="00074C20">
        <w:rPr>
          <w:rFonts w:eastAsia="Calibri"/>
          <w:szCs w:val="22"/>
        </w:rPr>
        <w:t xml:space="preserve"> be submitted with the request.</w:t>
      </w:r>
      <w:r w:rsidR="00007036" w:rsidRPr="00074C20">
        <w:rPr>
          <w:rFonts w:eastAsia="Calibri"/>
          <w:szCs w:val="22"/>
        </w:rPr>
        <w:t xml:space="preserve"> </w:t>
      </w:r>
    </w:p>
    <w:p w14:paraId="2F07C840" w14:textId="12075BC2" w:rsidR="00196F07" w:rsidRDefault="00364D20" w:rsidP="000B6472">
      <w:pPr>
        <w:pStyle w:val="ParaNum"/>
      </w:pPr>
      <w:r>
        <w:rPr>
          <w:rFonts w:eastAsia="Calibri"/>
          <w:szCs w:val="22"/>
        </w:rPr>
        <w:t>(4)</w:t>
      </w:r>
      <w:r w:rsidR="00A75BC7">
        <w:rPr>
          <w:rFonts w:eastAsia="Calibri"/>
          <w:szCs w:val="22"/>
        </w:rPr>
        <w:tab/>
      </w:r>
      <w:r w:rsidR="00FE23E3" w:rsidRPr="00FE23E3">
        <w:rPr>
          <w:i/>
        </w:rPr>
        <w:t>Methodology for Updating Baseline Costs</w:t>
      </w:r>
      <w:r w:rsidR="00FE23E3" w:rsidRPr="00FE23E3">
        <w:t>.</w:t>
      </w:r>
      <w:r w:rsidR="00FE23E3">
        <w:t xml:space="preserve">  </w:t>
      </w:r>
      <w:r w:rsidR="00A31628">
        <w:t xml:space="preserve">In </w:t>
      </w:r>
      <w:r w:rsidR="00F74647">
        <w:t>order t</w:t>
      </w:r>
      <w:r w:rsidR="00F74647" w:rsidRPr="00FB3E7A">
        <w:t xml:space="preserve">o ensure that the baseline </w:t>
      </w:r>
      <w:r w:rsidR="00F74647">
        <w:t>costs</w:t>
      </w:r>
      <w:r w:rsidR="00F74647" w:rsidRPr="00FB3E7A">
        <w:t xml:space="preserve"> remain current throughout the reimbursement period</w:t>
      </w:r>
      <w:r w:rsidR="00F74647">
        <w:t xml:space="preserve">, </w:t>
      </w:r>
      <w:r w:rsidR="00A31628">
        <w:t>w</w:t>
      </w:r>
      <w:r w:rsidR="00025F5E">
        <w:t xml:space="preserve">e </w:t>
      </w:r>
      <w:r w:rsidR="003240E9">
        <w:t xml:space="preserve">adopt our </w:t>
      </w:r>
      <w:r w:rsidR="00025F5E">
        <w:t>propos</w:t>
      </w:r>
      <w:r w:rsidR="003240E9">
        <w:t xml:space="preserve">al </w:t>
      </w:r>
      <w:r w:rsidR="00F74647">
        <w:t xml:space="preserve">in the </w:t>
      </w:r>
      <w:r w:rsidR="00F74647" w:rsidRPr="00272F81">
        <w:rPr>
          <w:i/>
        </w:rPr>
        <w:t>Catalog Update</w:t>
      </w:r>
      <w:r w:rsidR="00272F81">
        <w:rPr>
          <w:i/>
        </w:rPr>
        <w:t xml:space="preserve"> </w:t>
      </w:r>
      <w:r w:rsidR="00196F07" w:rsidRPr="00196F07">
        <w:rPr>
          <w:i/>
        </w:rPr>
        <w:t xml:space="preserve">Public Notice </w:t>
      </w:r>
      <w:r w:rsidR="00F74647">
        <w:t>to adjust</w:t>
      </w:r>
      <w:r w:rsidR="00025F5E" w:rsidRPr="00FB3E7A">
        <w:t xml:space="preserve"> </w:t>
      </w:r>
      <w:r w:rsidR="00025F5E">
        <w:t>the</w:t>
      </w:r>
      <w:r w:rsidR="00A31628">
        <w:t xml:space="preserve"> Catalog’s baseline</w:t>
      </w:r>
      <w:r w:rsidR="00025F5E">
        <w:t xml:space="preserve"> </w:t>
      </w:r>
      <w:r w:rsidR="00A31628">
        <w:t xml:space="preserve">costs </w:t>
      </w:r>
      <w:r w:rsidR="001B114C">
        <w:t xml:space="preserve">annually </w:t>
      </w:r>
      <w:r w:rsidR="00A31628">
        <w:t>using</w:t>
      </w:r>
      <w:r w:rsidR="00025F5E">
        <w:t xml:space="preserve"> the </w:t>
      </w:r>
      <w:r w:rsidR="00025F5E" w:rsidRPr="00FB3E7A">
        <w:t>PPI</w:t>
      </w:r>
      <w:r w:rsidR="00025F5E">
        <w:t xml:space="preserve">, </w:t>
      </w:r>
      <w:r w:rsidR="00A31628" w:rsidRPr="00FB3E7A">
        <w:t>WPUFD4</w:t>
      </w:r>
      <w:r w:rsidR="00A31628">
        <w:t xml:space="preserve"> series, </w:t>
      </w:r>
      <w:r w:rsidR="00A31628" w:rsidRPr="00FB3E7A">
        <w:t xml:space="preserve">as calculated by the </w:t>
      </w:r>
      <w:r w:rsidR="00A17050">
        <w:t>BLS</w:t>
      </w:r>
      <w:r w:rsidR="00025F5E" w:rsidRPr="00FB3E7A">
        <w:t>.</w:t>
      </w:r>
      <w:r w:rsidR="001B114C" w:rsidRPr="00FB3E7A">
        <w:rPr>
          <w:rStyle w:val="FootnoteReference"/>
          <w:szCs w:val="22"/>
        </w:rPr>
        <w:footnoteReference w:id="49"/>
      </w:r>
      <w:r w:rsidR="00025F5E">
        <w:t xml:space="preserve">  </w:t>
      </w:r>
      <w:r w:rsidR="00204690">
        <w:t>We also agree with</w:t>
      </w:r>
      <w:r w:rsidR="007B44C4">
        <w:t xml:space="preserve"> NAB</w:t>
      </w:r>
      <w:r w:rsidR="00204690">
        <w:t xml:space="preserve">’s suggestion </w:t>
      </w:r>
      <w:r w:rsidR="00134E02">
        <w:t>that we</w:t>
      </w:r>
      <w:r w:rsidR="00204690">
        <w:t xml:space="preserve"> </w:t>
      </w:r>
      <w:r w:rsidR="00F15B70">
        <w:t>continue</w:t>
      </w:r>
      <w:r w:rsidR="00025F5E">
        <w:t xml:space="preserve"> </w:t>
      </w:r>
      <w:r w:rsidR="001B114C">
        <w:t>proactively</w:t>
      </w:r>
      <w:r w:rsidR="00541ABE" w:rsidRPr="00541ABE">
        <w:t xml:space="preserve"> </w:t>
      </w:r>
      <w:r w:rsidR="00541ABE">
        <w:t>to</w:t>
      </w:r>
      <w:r w:rsidR="001B114C">
        <w:t xml:space="preserve"> </w:t>
      </w:r>
      <w:r w:rsidR="00025F5E">
        <w:t>monitor</w:t>
      </w:r>
      <w:r w:rsidR="00F15B70">
        <w:t xml:space="preserve"> the Catalog’s </w:t>
      </w:r>
      <w:r w:rsidR="001B114C">
        <w:t xml:space="preserve">baseline </w:t>
      </w:r>
      <w:r w:rsidR="00541ABE">
        <w:t>costs</w:t>
      </w:r>
      <w:r w:rsidR="00064B67">
        <w:t>.  If</w:t>
      </w:r>
      <w:r w:rsidR="00025F5E">
        <w:t xml:space="preserve"> </w:t>
      </w:r>
      <w:r w:rsidR="00F15B70">
        <w:t xml:space="preserve">actual price </w:t>
      </w:r>
      <w:r w:rsidR="002F14BD">
        <w:t xml:space="preserve">increases </w:t>
      </w:r>
      <w:r w:rsidR="00025F5E">
        <w:t>outpace</w:t>
      </w:r>
      <w:r w:rsidR="00F15B70">
        <w:t xml:space="preserve"> the</w:t>
      </w:r>
      <w:r w:rsidR="00025F5E">
        <w:t xml:space="preserve"> PPI</w:t>
      </w:r>
      <w:r w:rsidR="002F14BD">
        <w:t xml:space="preserve"> average</w:t>
      </w:r>
      <w:r w:rsidR="00025F5E">
        <w:t xml:space="preserve">, we </w:t>
      </w:r>
      <w:r w:rsidR="00204690">
        <w:t>will propose to</w:t>
      </w:r>
      <w:r w:rsidR="00025F5E">
        <w:t xml:space="preserve"> adjust </w:t>
      </w:r>
      <w:r w:rsidR="00F15B70">
        <w:t>the baseline costs accordingly</w:t>
      </w:r>
      <w:r w:rsidR="00541ABE">
        <w:t xml:space="preserve">.  This will </w:t>
      </w:r>
      <w:r w:rsidR="00D77564">
        <w:t xml:space="preserve">ensure </w:t>
      </w:r>
      <w:r w:rsidR="002F14BD">
        <w:t xml:space="preserve">that </w:t>
      </w:r>
      <w:r w:rsidR="001B114C">
        <w:t xml:space="preserve">the Catalog </w:t>
      </w:r>
      <w:r w:rsidR="00FF41AA">
        <w:t>continues to reflect</w:t>
      </w:r>
      <w:r w:rsidR="001B114C">
        <w:t xml:space="preserve"> </w:t>
      </w:r>
      <w:r w:rsidR="00541ABE">
        <w:t xml:space="preserve">accurate </w:t>
      </w:r>
      <w:r w:rsidR="001B114C">
        <w:t>c</w:t>
      </w:r>
      <w:r w:rsidR="00FF41AA">
        <w:t xml:space="preserve">osts for </w:t>
      </w:r>
      <w:r w:rsidR="001B114C">
        <w:t>equipment and services throughout the reimbursement period</w:t>
      </w:r>
      <w:r w:rsidR="00F15B70">
        <w:t>.</w:t>
      </w:r>
      <w:r w:rsidR="00F15B70">
        <w:rPr>
          <w:rStyle w:val="FootnoteReference"/>
          <w:rFonts w:eastAsia="Calibri"/>
          <w:szCs w:val="22"/>
        </w:rPr>
        <w:footnoteReference w:id="50"/>
      </w:r>
    </w:p>
    <w:p w14:paraId="776DE71D" w14:textId="31E6EE1D" w:rsidR="000B6472" w:rsidRPr="00541ABE" w:rsidRDefault="00541ABE" w:rsidP="007D3DC7">
      <w:pPr>
        <w:pStyle w:val="ListParagraph"/>
        <w:numPr>
          <w:ilvl w:val="0"/>
          <w:numId w:val="21"/>
        </w:numPr>
        <w:spacing w:after="120"/>
        <w:rPr>
          <w:rFonts w:eastAsia="Calibri"/>
          <w:szCs w:val="22"/>
        </w:rPr>
      </w:pPr>
      <w:r>
        <w:rPr>
          <w:rFonts w:eastAsia="Calibri"/>
          <w:b/>
          <w:szCs w:val="22"/>
        </w:rPr>
        <w:t>ADMINISTRATIVE MATTERS</w:t>
      </w:r>
    </w:p>
    <w:p w14:paraId="28927FD0" w14:textId="314C7077" w:rsidR="005B3AE9" w:rsidRDefault="005B3AE9" w:rsidP="00074C20">
      <w:pPr>
        <w:pStyle w:val="ParaNum"/>
      </w:pPr>
      <w:r w:rsidRPr="00FB3E7A">
        <w:t xml:space="preserve">For additional information on this proceeding, contact Pamela Gallant, </w:t>
      </w:r>
      <w:hyperlink r:id="rId7" w:history="1">
        <w:r w:rsidRPr="00FB3E7A">
          <w:rPr>
            <w:rStyle w:val="Hyperlink"/>
            <w:szCs w:val="22"/>
          </w:rPr>
          <w:t>Pamela.Gallant@fcc.gov</w:t>
        </w:r>
      </w:hyperlink>
      <w:r w:rsidRPr="00FB3E7A">
        <w:t xml:space="preserve">, (202-418-0614), or Raphael Sznajder, </w:t>
      </w:r>
      <w:hyperlink r:id="rId8" w:history="1">
        <w:r w:rsidRPr="00FB3E7A">
          <w:rPr>
            <w:rStyle w:val="Hyperlink"/>
            <w:szCs w:val="22"/>
          </w:rPr>
          <w:t>Raphael.Sznajder@fcc.gov</w:t>
        </w:r>
      </w:hyperlink>
      <w:r w:rsidRPr="00FB3E7A">
        <w:t xml:space="preserve">, (202-418-1648), of the </w:t>
      </w:r>
      <w:r w:rsidR="00064B67">
        <w:t xml:space="preserve">Media </w:t>
      </w:r>
      <w:r w:rsidR="00CC2BC2">
        <w:t>Bureau</w:t>
      </w:r>
      <w:r w:rsidRPr="00FB3E7A">
        <w:t xml:space="preserve">, Video Division. Press contact: Charles </w:t>
      </w:r>
      <w:proofErr w:type="spellStart"/>
      <w:r w:rsidRPr="00FB3E7A">
        <w:t>Meisch</w:t>
      </w:r>
      <w:proofErr w:type="spellEnd"/>
      <w:r w:rsidRPr="00FB3E7A">
        <w:t xml:space="preserve">, </w:t>
      </w:r>
      <w:r w:rsidR="00FF6CD7">
        <w:t>Charles.Meisch@fcc.gov</w:t>
      </w:r>
      <w:r w:rsidRPr="00FB3E7A">
        <w:t>, (202-418-2943), of t</w:t>
      </w:r>
      <w:r w:rsidR="00E132BC">
        <w:t>he Incentive Auction Task Force</w:t>
      </w:r>
      <w:r w:rsidRPr="00FB3E7A">
        <w:t>.</w:t>
      </w:r>
      <w:r w:rsidR="009142EB" w:rsidRPr="008876DB">
        <w:rPr>
          <w:sz w:val="20"/>
          <w:vertAlign w:val="superscript"/>
        </w:rPr>
        <w:footnoteReference w:id="51"/>
      </w:r>
    </w:p>
    <w:p w14:paraId="0AC21716" w14:textId="77777777" w:rsidR="00D51B39" w:rsidRDefault="00D51B39" w:rsidP="005B3AE9">
      <w:pPr>
        <w:ind w:firstLine="720"/>
      </w:pPr>
    </w:p>
    <w:p w14:paraId="6AE67BF7" w14:textId="77777777" w:rsidR="00930032" w:rsidRPr="00FB3E7A" w:rsidRDefault="00930032" w:rsidP="005B3AE9">
      <w:pPr>
        <w:ind w:firstLine="720"/>
      </w:pPr>
    </w:p>
    <w:p w14:paraId="5726EFD0" w14:textId="451CC5E3" w:rsidR="002C00E8" w:rsidRPr="00FE23E3" w:rsidRDefault="005B3AE9" w:rsidP="00134E0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b/>
        </w:rPr>
      </w:pPr>
      <w:r w:rsidRPr="00FB3E7A">
        <w:rPr>
          <w:b/>
          <w:color w:val="000000"/>
          <w:szCs w:val="22"/>
        </w:rPr>
        <w:t>– FCC –</w:t>
      </w:r>
    </w:p>
    <w:sectPr w:rsidR="002C00E8" w:rsidRPr="00FE23E3" w:rsidSect="0055614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DDD1D" w14:textId="77777777" w:rsidR="00A75BC7" w:rsidRDefault="00A75BC7">
      <w:pPr>
        <w:spacing w:line="20" w:lineRule="exact"/>
      </w:pPr>
    </w:p>
  </w:endnote>
  <w:endnote w:type="continuationSeparator" w:id="0">
    <w:p w14:paraId="3B6BC889" w14:textId="77777777" w:rsidR="00A75BC7" w:rsidRDefault="00A75BC7">
      <w:r>
        <w:t xml:space="preserve"> </w:t>
      </w:r>
    </w:p>
  </w:endnote>
  <w:endnote w:type="continuationNotice" w:id="1">
    <w:p w14:paraId="5B490A7C" w14:textId="77777777" w:rsidR="00A75BC7" w:rsidRDefault="00A75B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0A19E" w14:textId="77777777" w:rsidR="00A75BC7" w:rsidRDefault="00A75BC7" w:rsidP="0055614C">
    <w:pPr>
      <w:pStyle w:val="Footer"/>
      <w:framePr w:wrap="around" w:vAnchor="text" w:hAnchor="margin" w:xAlign="center" w:y="1"/>
    </w:pPr>
    <w:r>
      <w:fldChar w:fldCharType="begin"/>
    </w:r>
    <w:r>
      <w:instrText xml:space="preserve">PAGE  </w:instrText>
    </w:r>
    <w:r>
      <w:fldChar w:fldCharType="end"/>
    </w:r>
  </w:p>
  <w:p w14:paraId="1D452296" w14:textId="77777777" w:rsidR="00A75BC7" w:rsidRDefault="00A75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E6F7D" w14:textId="77777777" w:rsidR="00A75BC7" w:rsidRDefault="00A75BC7" w:rsidP="0055614C">
    <w:pPr>
      <w:pStyle w:val="Footer"/>
      <w:framePr w:wrap="around" w:vAnchor="text" w:hAnchor="margin" w:xAlign="center" w:y="1"/>
    </w:pPr>
    <w:r>
      <w:fldChar w:fldCharType="begin"/>
    </w:r>
    <w:r>
      <w:instrText xml:space="preserve">PAGE  </w:instrText>
    </w:r>
    <w:r>
      <w:fldChar w:fldCharType="separate"/>
    </w:r>
    <w:r w:rsidR="003D4BED">
      <w:rPr>
        <w:noProof/>
      </w:rPr>
      <w:t>8</w:t>
    </w:r>
    <w:r>
      <w:fldChar w:fldCharType="end"/>
    </w:r>
  </w:p>
  <w:p w14:paraId="65D7DAE9" w14:textId="77777777" w:rsidR="00A75BC7" w:rsidRDefault="00A75BC7">
    <w:pPr>
      <w:suppressAutoHyphens/>
      <w:spacing w:line="227"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ED7F7" w14:textId="77777777" w:rsidR="00A75BC7" w:rsidRDefault="00A75BC7">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EC6B3" w14:textId="77777777" w:rsidR="00A75BC7" w:rsidRDefault="00A75BC7">
      <w:r>
        <w:separator/>
      </w:r>
    </w:p>
  </w:footnote>
  <w:footnote w:type="continuationSeparator" w:id="0">
    <w:p w14:paraId="366EA4C6" w14:textId="77777777" w:rsidR="00A75BC7" w:rsidRDefault="00A75BC7" w:rsidP="00C721AC">
      <w:pPr>
        <w:spacing w:before="120"/>
        <w:rPr>
          <w:sz w:val="20"/>
        </w:rPr>
      </w:pPr>
      <w:r>
        <w:rPr>
          <w:sz w:val="20"/>
        </w:rPr>
        <w:t xml:space="preserve">(Continued from previous page)  </w:t>
      </w:r>
      <w:r>
        <w:rPr>
          <w:sz w:val="20"/>
        </w:rPr>
        <w:separator/>
      </w:r>
    </w:p>
  </w:footnote>
  <w:footnote w:type="continuationNotice" w:id="1">
    <w:p w14:paraId="0F1FC555" w14:textId="77777777" w:rsidR="00A75BC7" w:rsidRDefault="00A75BC7" w:rsidP="00C721AC">
      <w:pPr>
        <w:jc w:val="right"/>
        <w:rPr>
          <w:sz w:val="20"/>
        </w:rPr>
      </w:pPr>
      <w:r>
        <w:rPr>
          <w:sz w:val="20"/>
        </w:rPr>
        <w:t>(</w:t>
      </w:r>
      <w:proofErr w:type="gramStart"/>
      <w:r>
        <w:rPr>
          <w:sz w:val="20"/>
        </w:rPr>
        <w:t>continued</w:t>
      </w:r>
      <w:proofErr w:type="gramEnd"/>
      <w:r>
        <w:rPr>
          <w:sz w:val="20"/>
        </w:rPr>
        <w:t>….)</w:t>
      </w:r>
    </w:p>
  </w:footnote>
  <w:footnote w:id="2">
    <w:p w14:paraId="650C6F38" w14:textId="4C7829EF" w:rsidR="00A75BC7" w:rsidRPr="00817ACD" w:rsidRDefault="00A75BC7" w:rsidP="00BC3271">
      <w:pPr>
        <w:pStyle w:val="FootnoteText"/>
        <w:rPr>
          <w:i/>
        </w:rPr>
      </w:pPr>
      <w:r w:rsidRPr="00AD182A">
        <w:rPr>
          <w:rStyle w:val="FootnoteReference"/>
        </w:rPr>
        <w:footnoteRef/>
      </w:r>
      <w:r w:rsidRPr="00AD182A">
        <w:t xml:space="preserve"> </w:t>
      </w:r>
      <w:r>
        <w:rPr>
          <w:i/>
        </w:rPr>
        <w:t xml:space="preserve">See </w:t>
      </w:r>
      <w:r w:rsidRPr="00AD182A">
        <w:rPr>
          <w:i/>
        </w:rPr>
        <w:t>Expanding the Economic and Innovation Opportunities of Spectrum Through Incentive Auctions</w:t>
      </w:r>
      <w:r w:rsidRPr="00AD182A">
        <w:t xml:space="preserve">, GN Docket No. 12-268, Report and Order, 29 FCC </w:t>
      </w:r>
      <w:proofErr w:type="spellStart"/>
      <w:r w:rsidRPr="00AD182A">
        <w:t>Rcd</w:t>
      </w:r>
      <w:proofErr w:type="spellEnd"/>
      <w:r w:rsidRPr="00AD182A">
        <w:t xml:space="preserve"> 6567, 6820 para. 619 </w:t>
      </w:r>
      <w:r w:rsidR="00804E9D" w:rsidRPr="00AD182A">
        <w:t xml:space="preserve">(2014) </w:t>
      </w:r>
      <w:r w:rsidRPr="00AD182A">
        <w:t xml:space="preserve">(delegating authority to the Bureau “to establish the timing and calculate the amount of allocations to eligible entities from the Reimbursement Fund, develop a final Catalog of Eligible Expenses, and make other determinations regarding eligible costs and the reimbursement process.”), </w:t>
      </w:r>
      <w:proofErr w:type="spellStart"/>
      <w:r w:rsidRPr="00AD182A">
        <w:rPr>
          <w:i/>
        </w:rPr>
        <w:t>aff</w:t>
      </w:r>
      <w:proofErr w:type="spellEnd"/>
      <w:r w:rsidR="00804E9D">
        <w:rPr>
          <w:i/>
        </w:rPr>
        <w:t>’</w:t>
      </w:r>
      <w:r w:rsidRPr="00AD182A">
        <w:rPr>
          <w:i/>
        </w:rPr>
        <w:t>, Nat</w:t>
      </w:r>
      <w:r w:rsidR="00804E9D">
        <w:rPr>
          <w:i/>
        </w:rPr>
        <w:t>’</w:t>
      </w:r>
      <w:r w:rsidR="00D77564">
        <w:rPr>
          <w:i/>
        </w:rPr>
        <w:t>l</w:t>
      </w:r>
      <w:r w:rsidRPr="00AD182A">
        <w:rPr>
          <w:i/>
        </w:rPr>
        <w:t xml:space="preserve"> Ass</w:t>
      </w:r>
      <w:r w:rsidR="00804E9D">
        <w:rPr>
          <w:i/>
        </w:rPr>
        <w:t>.</w:t>
      </w:r>
      <w:r w:rsidRPr="00AD182A">
        <w:rPr>
          <w:i/>
        </w:rPr>
        <w:t xml:space="preserve"> </w:t>
      </w:r>
      <w:proofErr w:type="gramStart"/>
      <w:r w:rsidRPr="00AD182A">
        <w:rPr>
          <w:i/>
        </w:rPr>
        <w:t>of</w:t>
      </w:r>
      <w:proofErr w:type="gramEnd"/>
      <w:r w:rsidRPr="00AD182A">
        <w:rPr>
          <w:i/>
        </w:rPr>
        <w:t xml:space="preserve"> Broadcasters</w:t>
      </w:r>
      <w:r w:rsidR="00804E9D">
        <w:rPr>
          <w:i/>
        </w:rPr>
        <w:t>, et al.</w:t>
      </w:r>
      <w:r w:rsidRPr="00AD182A">
        <w:rPr>
          <w:i/>
        </w:rPr>
        <w:t xml:space="preserve"> v. FCC</w:t>
      </w:r>
      <w:r w:rsidRPr="00AD182A">
        <w:t>, 789 F.3d 165 (D.C. Cir. 2015)</w:t>
      </w:r>
      <w:r w:rsidRPr="00ED2377">
        <w:t xml:space="preserve"> </w:t>
      </w:r>
      <w:r w:rsidRPr="00AD182A">
        <w:t>(</w:t>
      </w:r>
      <w:r w:rsidRPr="00AD182A">
        <w:rPr>
          <w:i/>
        </w:rPr>
        <w:t>Incentive Auction R&amp;O</w:t>
      </w:r>
      <w:r>
        <w:t xml:space="preserve">); </w:t>
      </w:r>
      <w:r>
        <w:rPr>
          <w:i/>
        </w:rPr>
        <w:t xml:space="preserve">and </w:t>
      </w:r>
      <w:r w:rsidRPr="00AD182A">
        <w:rPr>
          <w:i/>
        </w:rPr>
        <w:t>Middle Class Tax Relief and Job Creation Act of 2012</w:t>
      </w:r>
      <w:r w:rsidRPr="00AD182A">
        <w:t xml:space="preserve">, Pub. L. No. 112-96, §§ 6402, 6403, 125 Stat. 156 (2012) (Spectrum Act) at § 6403(d)(1); </w:t>
      </w:r>
      <w:r>
        <w:rPr>
          <w:i/>
        </w:rPr>
        <w:t xml:space="preserve">and see </w:t>
      </w:r>
      <w:r w:rsidRPr="00AD182A">
        <w:t>47 U.S.C. §§ 309(j)(8)(G)(iii)(I)</w:t>
      </w:r>
      <w:r>
        <w:t xml:space="preserve">, </w:t>
      </w:r>
      <w:r w:rsidRPr="00AD182A">
        <w:t>1452(b)(4)(A)(i)-(ii).</w:t>
      </w:r>
      <w:r w:rsidR="00817ACD">
        <w:t xml:space="preserve">  </w:t>
      </w:r>
      <w:r w:rsidR="00817ACD">
        <w:rPr>
          <w:i/>
        </w:rPr>
        <w:t xml:space="preserve">See also </w:t>
      </w:r>
      <w:r w:rsidR="00E75FCC" w:rsidRPr="00E75FCC">
        <w:rPr>
          <w:i/>
        </w:rPr>
        <w:t xml:space="preserve">Expanding </w:t>
      </w:r>
      <w:r w:rsidR="00D11F2A">
        <w:rPr>
          <w:i/>
        </w:rPr>
        <w:t>t</w:t>
      </w:r>
      <w:r w:rsidR="00E75FCC" w:rsidRPr="00E75FCC">
        <w:rPr>
          <w:i/>
        </w:rPr>
        <w:t xml:space="preserve">he Economic </w:t>
      </w:r>
      <w:r w:rsidR="00D11F2A">
        <w:rPr>
          <w:i/>
        </w:rPr>
        <w:t>a</w:t>
      </w:r>
      <w:r w:rsidR="00E75FCC" w:rsidRPr="00E75FCC">
        <w:rPr>
          <w:i/>
        </w:rPr>
        <w:t xml:space="preserve">nd Innovation Opportunities </w:t>
      </w:r>
      <w:r w:rsidR="00D11F2A">
        <w:rPr>
          <w:i/>
        </w:rPr>
        <w:t>o</w:t>
      </w:r>
      <w:r w:rsidR="00E75FCC" w:rsidRPr="00E75FCC">
        <w:rPr>
          <w:i/>
        </w:rPr>
        <w:t xml:space="preserve">f Spectrum Through Incentive Auctions, </w:t>
      </w:r>
      <w:r w:rsidR="00E75FCC" w:rsidRPr="00E75FCC">
        <w:t xml:space="preserve">GN Docket No. 12-268, Second Order on Reconsideration, 30 FCC </w:t>
      </w:r>
      <w:proofErr w:type="spellStart"/>
      <w:r w:rsidR="00E75FCC" w:rsidRPr="00E75FCC">
        <w:t>Rc</w:t>
      </w:r>
      <w:r w:rsidR="00E75FCC">
        <w:t>d</w:t>
      </w:r>
      <w:proofErr w:type="spellEnd"/>
      <w:r w:rsidR="00E75FCC">
        <w:t xml:space="preserve"> 6746 at 682</w:t>
      </w:r>
      <w:r w:rsidR="00D11F2A">
        <w:t>0-6828</w:t>
      </w:r>
      <w:r w:rsidR="00E75FCC">
        <w:t>, paras. 167-</w:t>
      </w:r>
      <w:r w:rsidR="00D11F2A">
        <w:t>189</w:t>
      </w:r>
      <w:r w:rsidR="00E75FCC">
        <w:t xml:space="preserve"> (2015</w:t>
      </w:r>
      <w:r w:rsidR="00817ACD" w:rsidRPr="00E75FCC">
        <w:t>)</w:t>
      </w:r>
      <w:r w:rsidR="00E75FCC" w:rsidRPr="00E75FCC">
        <w:t xml:space="preserve"> </w:t>
      </w:r>
      <w:r w:rsidR="00D11F2A">
        <w:t xml:space="preserve">(addressing reimbursement issues) </w:t>
      </w:r>
      <w:r w:rsidR="00E75FCC" w:rsidRPr="00E75FCC">
        <w:t>(subsequent citations omitted).</w:t>
      </w:r>
      <w:r w:rsidR="00E75FCC" w:rsidRPr="00E75FCC">
        <w:rPr>
          <w:i/>
        </w:rPr>
        <w:t xml:space="preserve">  </w:t>
      </w:r>
    </w:p>
  </w:footnote>
  <w:footnote w:id="3">
    <w:p w14:paraId="2913B719" w14:textId="4BC2CAFD" w:rsidR="00A75BC7" w:rsidRDefault="00A75BC7" w:rsidP="00BC3271">
      <w:pPr>
        <w:pStyle w:val="FootnoteText"/>
      </w:pPr>
      <w:r>
        <w:rPr>
          <w:rStyle w:val="FootnoteReference"/>
        </w:rPr>
        <w:footnoteRef/>
      </w:r>
      <w:r>
        <w:t xml:space="preserve"> </w:t>
      </w:r>
      <w:r w:rsidRPr="00AD182A">
        <w:rPr>
          <w:i/>
        </w:rPr>
        <w:t>Media Bureau Seeks Comment on Catalog of Eligible Expenses and Other Issues Related to the Reimbursement of Broadcaster Channel Reassignment Costs</w:t>
      </w:r>
      <w:r w:rsidRPr="00AD182A">
        <w:t xml:space="preserve">, GN Docket No. 12-268, Public Notice, 28 FCC </w:t>
      </w:r>
      <w:proofErr w:type="spellStart"/>
      <w:r w:rsidRPr="00AD182A">
        <w:t>Rcd</w:t>
      </w:r>
      <w:proofErr w:type="spellEnd"/>
      <w:r w:rsidRPr="00AD182A">
        <w:t xml:space="preserve"> 13787 (MB 2013)</w:t>
      </w:r>
      <w:r>
        <w:t>.</w:t>
      </w:r>
    </w:p>
  </w:footnote>
  <w:footnote w:id="4">
    <w:p w14:paraId="7464084E" w14:textId="0F208D55" w:rsidR="00A75BC7" w:rsidRDefault="00A75BC7" w:rsidP="00BC3271">
      <w:pPr>
        <w:pStyle w:val="FootnoteText"/>
      </w:pPr>
      <w:r>
        <w:rPr>
          <w:rStyle w:val="FootnoteReference"/>
        </w:rPr>
        <w:footnoteRef/>
      </w:r>
      <w:r>
        <w:t xml:space="preserve"> </w:t>
      </w:r>
      <w:r w:rsidRPr="00AD182A">
        <w:rPr>
          <w:i/>
        </w:rPr>
        <w:t xml:space="preserve">Media Bureau Seeks Comment on </w:t>
      </w:r>
      <w:proofErr w:type="spellStart"/>
      <w:r w:rsidRPr="00AD182A">
        <w:rPr>
          <w:i/>
        </w:rPr>
        <w:t>Widelity</w:t>
      </w:r>
      <w:proofErr w:type="spellEnd"/>
      <w:r w:rsidRPr="00AD182A">
        <w:rPr>
          <w:i/>
        </w:rPr>
        <w:t xml:space="preserve"> Report and Catalog of Potential Expenses and Estimated Costs</w:t>
      </w:r>
      <w:r w:rsidRPr="00AD182A">
        <w:t xml:space="preserve">, GN Docket No. 12-268, Public Notice, 29 FCC </w:t>
      </w:r>
      <w:proofErr w:type="spellStart"/>
      <w:r w:rsidRPr="00AD182A">
        <w:t>Rcd</w:t>
      </w:r>
      <w:proofErr w:type="spellEnd"/>
      <w:r w:rsidRPr="00AD182A">
        <w:t xml:space="preserve"> 2989 (MB 2014) (</w:t>
      </w:r>
      <w:proofErr w:type="spellStart"/>
      <w:r>
        <w:rPr>
          <w:i/>
        </w:rPr>
        <w:t>Widelity</w:t>
      </w:r>
      <w:proofErr w:type="spellEnd"/>
      <w:r>
        <w:rPr>
          <w:i/>
        </w:rPr>
        <w:t xml:space="preserve"> Report and Second </w:t>
      </w:r>
      <w:r w:rsidRPr="00AD182A">
        <w:rPr>
          <w:i/>
        </w:rPr>
        <w:t xml:space="preserve">Catalog Comment </w:t>
      </w:r>
      <w:r w:rsidR="00D13F17">
        <w:rPr>
          <w:i/>
        </w:rPr>
        <w:t>Public Notice</w:t>
      </w:r>
      <w:r w:rsidRPr="00AD182A">
        <w:t xml:space="preserve">).  After considering the comments, we released a public notice </w:t>
      </w:r>
      <w:r>
        <w:t>announcing</w:t>
      </w:r>
      <w:r w:rsidRPr="00AD182A">
        <w:t xml:space="preserve"> that we would submit the Reimbursement Form to the O</w:t>
      </w:r>
      <w:r w:rsidR="00D77564">
        <w:t xml:space="preserve">ffice of </w:t>
      </w:r>
      <w:r w:rsidRPr="00AD182A">
        <w:t>M</w:t>
      </w:r>
      <w:r w:rsidR="00D77564">
        <w:t xml:space="preserve">anagement and </w:t>
      </w:r>
      <w:r w:rsidRPr="00AD182A">
        <w:t>B</w:t>
      </w:r>
      <w:r w:rsidR="00D77564">
        <w:t>udget (OMB)</w:t>
      </w:r>
      <w:r w:rsidRPr="00AD182A">
        <w:t xml:space="preserve"> for approval under the P</w:t>
      </w:r>
      <w:r w:rsidR="00D77564">
        <w:t xml:space="preserve">aperwork </w:t>
      </w:r>
      <w:r w:rsidRPr="00AD182A">
        <w:t>R</w:t>
      </w:r>
      <w:r w:rsidR="00D77564">
        <w:t xml:space="preserve">eduction </w:t>
      </w:r>
      <w:r w:rsidRPr="00AD182A">
        <w:t>A</w:t>
      </w:r>
      <w:r w:rsidR="00D77564">
        <w:t>ct (PRA)</w:t>
      </w:r>
      <w:r w:rsidRPr="00AD182A">
        <w:t>, adopted the Catalog</w:t>
      </w:r>
      <w:r w:rsidRPr="00AD182A">
        <w:rPr>
          <w:iCs/>
        </w:rPr>
        <w:t xml:space="preserve">, and provided guidance on certain aspects of the reimbursement process.  </w:t>
      </w:r>
      <w:r>
        <w:rPr>
          <w:i/>
          <w:iCs/>
        </w:rPr>
        <w:t xml:space="preserve">See </w:t>
      </w:r>
      <w:r w:rsidRPr="00AD182A">
        <w:rPr>
          <w:i/>
        </w:rPr>
        <w:t>Media Bureau Finalizes Reimbursement Form for Submission to OMB and Adopts Catalog of Expenses</w:t>
      </w:r>
      <w:r w:rsidRPr="00AD182A">
        <w:t xml:space="preserve">, GN Docket No. 12-268, Public Notice, 30 FCC </w:t>
      </w:r>
      <w:proofErr w:type="spellStart"/>
      <w:r w:rsidRPr="00AD182A">
        <w:t>Rcd</w:t>
      </w:r>
      <w:proofErr w:type="spellEnd"/>
      <w:r w:rsidRPr="00AD182A">
        <w:t xml:space="preserve"> 11701 (MB 2015) (</w:t>
      </w:r>
      <w:r w:rsidRPr="00AD182A">
        <w:rPr>
          <w:i/>
        </w:rPr>
        <w:t xml:space="preserve">Reimbursement Form </w:t>
      </w:r>
      <w:r w:rsidR="00D13F17">
        <w:rPr>
          <w:i/>
        </w:rPr>
        <w:t>Public Notice</w:t>
      </w:r>
      <w:r w:rsidRPr="00AD182A">
        <w:t>).</w:t>
      </w:r>
    </w:p>
  </w:footnote>
  <w:footnote w:id="5">
    <w:p w14:paraId="3C9F8A74" w14:textId="4CC9933C" w:rsidR="00A75BC7" w:rsidRDefault="00A75BC7" w:rsidP="00BC3271">
      <w:pPr>
        <w:pStyle w:val="FootnoteText"/>
      </w:pPr>
      <w:r>
        <w:rPr>
          <w:rStyle w:val="FootnoteReference"/>
        </w:rPr>
        <w:footnoteRef/>
      </w:r>
      <w:r>
        <w:t xml:space="preserve"> </w:t>
      </w:r>
      <w:r w:rsidRPr="00AD182A">
        <w:rPr>
          <w:i/>
        </w:rPr>
        <w:t>Media Bureau Seeks Comment on Updates to Catalog of Reimbursement Expenses</w:t>
      </w:r>
      <w:r w:rsidRPr="00AD182A">
        <w:t xml:space="preserve">, MB Docket No. 16-306, GN Docket No. 12-268, Public Notice, </w:t>
      </w:r>
      <w:r w:rsidR="0070453F" w:rsidRPr="0070453F">
        <w:t xml:space="preserve">31 FCC </w:t>
      </w:r>
      <w:proofErr w:type="spellStart"/>
      <w:r w:rsidR="0070453F" w:rsidRPr="0070453F">
        <w:t>Rcd</w:t>
      </w:r>
      <w:proofErr w:type="spellEnd"/>
      <w:r w:rsidR="0070453F" w:rsidRPr="0070453F">
        <w:t xml:space="preserve"> 11467</w:t>
      </w:r>
      <w:r w:rsidRPr="00AD182A">
        <w:t xml:space="preserve"> (MB 2016) (</w:t>
      </w:r>
      <w:r w:rsidRPr="004E0543">
        <w:rPr>
          <w:i/>
        </w:rPr>
        <w:t xml:space="preserve">Catalog Update </w:t>
      </w:r>
      <w:r w:rsidR="00D13F17">
        <w:rPr>
          <w:i/>
        </w:rPr>
        <w:t>Public Notice</w:t>
      </w:r>
      <w:r w:rsidRPr="00AD182A">
        <w:t>).</w:t>
      </w:r>
      <w:r>
        <w:t xml:space="preserve">  </w:t>
      </w:r>
      <w:r w:rsidRPr="00E37F13">
        <w:t xml:space="preserve">The </w:t>
      </w:r>
      <w:r>
        <w:t>Bureau</w:t>
      </w:r>
      <w:r w:rsidRPr="00E37F13">
        <w:t xml:space="preserve"> again engaged </w:t>
      </w:r>
      <w:proofErr w:type="spellStart"/>
      <w:r w:rsidRPr="00E37F13">
        <w:t>Widelity</w:t>
      </w:r>
      <w:proofErr w:type="spellEnd"/>
      <w:r>
        <w:t>, Inc. (</w:t>
      </w:r>
      <w:proofErr w:type="spellStart"/>
      <w:r>
        <w:t>Widelity</w:t>
      </w:r>
      <w:proofErr w:type="spellEnd"/>
      <w:r>
        <w:t>)</w:t>
      </w:r>
      <w:r w:rsidRPr="00E37F13">
        <w:t xml:space="preserve"> to update the prior results and determine whether any of the </w:t>
      </w:r>
      <w:r>
        <w:t xml:space="preserve">Catalog’s </w:t>
      </w:r>
      <w:r w:rsidRPr="00E37F13">
        <w:t>expense categories and baseline costs should be modified or supplemented to more accurately reflect the current market.</w:t>
      </w:r>
    </w:p>
  </w:footnote>
  <w:footnote w:id="6">
    <w:p w14:paraId="4F8F5031" w14:textId="0B25F40C" w:rsidR="00A75BC7" w:rsidRPr="00797E30" w:rsidRDefault="00A75BC7" w:rsidP="00BC3271">
      <w:pPr>
        <w:pStyle w:val="FootnoteText"/>
      </w:pPr>
      <w:r w:rsidRPr="00AD182A">
        <w:rPr>
          <w:rStyle w:val="FootnoteReference"/>
        </w:rPr>
        <w:footnoteRef/>
      </w:r>
      <w:r w:rsidRPr="00AD182A">
        <w:t xml:space="preserve"> </w:t>
      </w:r>
      <w:r>
        <w:t xml:space="preserve">The revised Catalog is appended to this Public Notice.  </w:t>
      </w:r>
      <w:r>
        <w:rPr>
          <w:i/>
        </w:rPr>
        <w:t xml:space="preserve">See </w:t>
      </w:r>
      <w:proofErr w:type="gramStart"/>
      <w:r>
        <w:t>App</w:t>
      </w:r>
      <w:r w:rsidR="00BC3271">
        <w:t>x.</w:t>
      </w:r>
      <w:r>
        <w:t>,</w:t>
      </w:r>
      <w:proofErr w:type="gramEnd"/>
      <w:r>
        <w:t xml:space="preserve"> Catalog.  T</w:t>
      </w:r>
      <w:r w:rsidRPr="005E5315">
        <w:t xml:space="preserve">he Catalog will be embedded within </w:t>
      </w:r>
      <w:r>
        <w:t xml:space="preserve">the </w:t>
      </w:r>
      <w:r w:rsidRPr="005E5315">
        <w:t>FCC Form 2100, Schedule 399 (Reimbursement Form or Form)</w:t>
      </w:r>
      <w:r w:rsidR="00962B34" w:rsidRPr="00962B34">
        <w:rPr>
          <w:snapToGrid w:val="0"/>
          <w:kern w:val="28"/>
          <w:sz w:val="22"/>
        </w:rPr>
        <w:t xml:space="preserve"> </w:t>
      </w:r>
      <w:r w:rsidR="00962B34" w:rsidRPr="00962B34">
        <w:t>available in the Commission’s Licensing and Management System (LMS)</w:t>
      </w:r>
      <w:r w:rsidRPr="005E5315">
        <w:t>.</w:t>
      </w:r>
      <w:r w:rsidRPr="00AD182A">
        <w:t xml:space="preserve">  We have </w:t>
      </w:r>
      <w:r>
        <w:t xml:space="preserve">also </w:t>
      </w:r>
      <w:r w:rsidRPr="00AD182A">
        <w:t>added features to the online</w:t>
      </w:r>
      <w:r>
        <w:t xml:space="preserve"> version of the</w:t>
      </w:r>
      <w:r w:rsidRPr="00AD182A">
        <w:t xml:space="preserve"> Form that are designed to make it more user-friendly</w:t>
      </w:r>
      <w:r>
        <w:t xml:space="preserve">.  For example, we have added </w:t>
      </w:r>
      <w:r w:rsidRPr="00AD182A">
        <w:t>check box</w:t>
      </w:r>
      <w:r>
        <w:t>es</w:t>
      </w:r>
      <w:r w:rsidRPr="00AD182A">
        <w:t xml:space="preserve"> </w:t>
      </w:r>
      <w:r>
        <w:t>that</w:t>
      </w:r>
      <w:r w:rsidRPr="00AD182A">
        <w:t xml:space="preserve"> allow entities to easily indicate if they are seeking optional equipment upgrade</w:t>
      </w:r>
      <w:r>
        <w:t>s</w:t>
      </w:r>
      <w:r w:rsidRPr="00AD182A">
        <w:t xml:space="preserve"> </w:t>
      </w:r>
      <w:r>
        <w:t>or</w:t>
      </w:r>
      <w:r w:rsidRPr="00AD182A">
        <w:t xml:space="preserve"> requesting partial p</w:t>
      </w:r>
      <w:r>
        <w:t xml:space="preserve">ayment of particular expenses.  </w:t>
      </w:r>
    </w:p>
  </w:footnote>
  <w:footnote w:id="7">
    <w:p w14:paraId="48044FA7" w14:textId="7864D416" w:rsidR="00A75BC7" w:rsidRPr="00AD182A" w:rsidRDefault="00A75BC7" w:rsidP="00BC3271">
      <w:pPr>
        <w:pStyle w:val="FootnoteText"/>
      </w:pPr>
      <w:r w:rsidRPr="00AD182A">
        <w:rPr>
          <w:rStyle w:val="FootnoteReference"/>
        </w:rPr>
        <w:footnoteRef/>
      </w:r>
      <w:r w:rsidRPr="00AD182A">
        <w:t xml:space="preserve"> </w:t>
      </w:r>
      <w:r w:rsidRPr="00D11F2A">
        <w:t>T</w:t>
      </w:r>
      <w:r w:rsidR="00D11F2A" w:rsidRPr="00D11F2A">
        <w:t xml:space="preserve">he “reimbursement period” is the 36-month period beginning upon the </w:t>
      </w:r>
      <w:r w:rsidR="00D11F2A">
        <w:t xml:space="preserve">Commission’s </w:t>
      </w:r>
      <w:r w:rsidR="00D11F2A" w:rsidRPr="00D11F2A">
        <w:t xml:space="preserve">release of the </w:t>
      </w:r>
      <w:r w:rsidR="00D11F2A" w:rsidRPr="00D11F2A">
        <w:rPr>
          <w:i/>
          <w:iCs/>
        </w:rPr>
        <w:t xml:space="preserve">Closing and Channel Reassignment </w:t>
      </w:r>
      <w:r w:rsidR="00D11F2A" w:rsidRPr="00D11F2A">
        <w:rPr>
          <w:i/>
        </w:rPr>
        <w:t>Public Notice</w:t>
      </w:r>
      <w:r w:rsidR="00D11F2A" w:rsidRPr="00D11F2A">
        <w:t xml:space="preserve"> </w:t>
      </w:r>
      <w:r w:rsidR="00D11F2A">
        <w:t>announcing</w:t>
      </w:r>
      <w:r w:rsidR="00D11F2A" w:rsidRPr="00D11F2A">
        <w:t xml:space="preserve"> that the forw</w:t>
      </w:r>
      <w:r w:rsidR="00D11F2A">
        <w:t>ard auction has concluded</w:t>
      </w:r>
      <w:r w:rsidRPr="00D11F2A">
        <w:t xml:space="preserve">.  </w:t>
      </w:r>
      <w:r w:rsidRPr="00D11F2A">
        <w:rPr>
          <w:i/>
        </w:rPr>
        <w:t>See</w:t>
      </w:r>
      <w:r w:rsidRPr="00D11F2A">
        <w:t xml:space="preserve"> 47 U.S.C. § 1452(b</w:t>
      </w:r>
      <w:proofErr w:type="gramStart"/>
      <w:r w:rsidRPr="00D11F2A">
        <w:t>)(</w:t>
      </w:r>
      <w:proofErr w:type="gramEnd"/>
      <w:r w:rsidRPr="00D11F2A">
        <w:t xml:space="preserve">4)(D); 47 CFR § 73.3700(a)(13).  </w:t>
      </w:r>
      <w:r w:rsidRPr="00D11F2A">
        <w:rPr>
          <w:i/>
        </w:rPr>
        <w:t xml:space="preserve">See also </w:t>
      </w:r>
      <w:r w:rsidRPr="00D11F2A">
        <w:rPr>
          <w:i/>
          <w:iCs/>
        </w:rPr>
        <w:t xml:space="preserve">Incentive Auction R&amp;O, </w:t>
      </w:r>
      <w:r w:rsidRPr="00D11F2A">
        <w:t xml:space="preserve">29 FCC </w:t>
      </w:r>
      <w:proofErr w:type="spellStart"/>
      <w:r w:rsidRPr="00D11F2A">
        <w:t>Rcd</w:t>
      </w:r>
      <w:proofErr w:type="spellEnd"/>
      <w:r w:rsidRPr="00D11F2A">
        <w:rPr>
          <w:i/>
        </w:rPr>
        <w:t xml:space="preserve"> </w:t>
      </w:r>
      <w:r w:rsidRPr="00D11F2A">
        <w:t>at 6812, para. 598</w:t>
      </w:r>
      <w:r w:rsidR="00D11F2A">
        <w:t xml:space="preserve"> </w:t>
      </w:r>
      <w:r w:rsidR="00D11F2A" w:rsidRPr="00E75FCC">
        <w:t>(</w:t>
      </w:r>
      <w:r w:rsidR="00D11F2A">
        <w:t>internal</w:t>
      </w:r>
      <w:r w:rsidR="00D11F2A" w:rsidRPr="00E75FCC">
        <w:t xml:space="preserve"> citations omitted)</w:t>
      </w:r>
      <w:r w:rsidRPr="00D11F2A">
        <w:t>.</w:t>
      </w:r>
    </w:p>
  </w:footnote>
  <w:footnote w:id="8">
    <w:p w14:paraId="3753D4A2" w14:textId="473FC5EB" w:rsidR="00A75BC7" w:rsidRDefault="00A75BC7" w:rsidP="00BC3271">
      <w:pPr>
        <w:pStyle w:val="FootnoteText"/>
      </w:pPr>
      <w:r>
        <w:rPr>
          <w:rStyle w:val="FootnoteReference"/>
        </w:rPr>
        <w:footnoteRef/>
      </w:r>
      <w:r>
        <w:t xml:space="preserve"> As previously announced, we will</w:t>
      </w:r>
      <w:r w:rsidRPr="00D06BF6">
        <w:t xml:space="preserve"> resubmit the Reimbursement Form to </w:t>
      </w:r>
      <w:r w:rsidR="002710D7">
        <w:t xml:space="preserve">the </w:t>
      </w:r>
      <w:r w:rsidR="00D77564">
        <w:t>OMB</w:t>
      </w:r>
      <w:r w:rsidR="002710D7">
        <w:t xml:space="preserve"> f</w:t>
      </w:r>
      <w:r w:rsidRPr="00D06BF6">
        <w:t xml:space="preserve">or approval under the </w:t>
      </w:r>
      <w:r w:rsidR="00D77564">
        <w:t>PRA</w:t>
      </w:r>
      <w:r w:rsidR="002710D7">
        <w:t xml:space="preserve"> </w:t>
      </w:r>
      <w:r w:rsidRPr="00D06BF6">
        <w:t xml:space="preserve">of </w:t>
      </w:r>
      <w:r>
        <w:t>the</w:t>
      </w:r>
      <w:r w:rsidRPr="00D06BF6">
        <w:t xml:space="preserve"> minor changes resulting from the</w:t>
      </w:r>
      <w:r>
        <w:t>se</w:t>
      </w:r>
      <w:r w:rsidRPr="00D06BF6">
        <w:t xml:space="preserve"> modifications to the Catalog, as well as </w:t>
      </w:r>
      <w:r>
        <w:t xml:space="preserve">the </w:t>
      </w:r>
      <w:r w:rsidRPr="00D06BF6">
        <w:t>other minor modifications</w:t>
      </w:r>
      <w:r>
        <w:t xml:space="preserve">, discussed </w:t>
      </w:r>
      <w:r w:rsidRPr="00E333C2">
        <w:t>herein</w:t>
      </w:r>
      <w:r>
        <w:t>, that are</w:t>
      </w:r>
      <w:r w:rsidRPr="00D06BF6">
        <w:t xml:space="preserve"> designed to </w:t>
      </w:r>
      <w:r>
        <w:t>assist</w:t>
      </w:r>
      <w:r w:rsidRPr="00D06BF6">
        <w:t xml:space="preserve"> filers </w:t>
      </w:r>
      <w:r>
        <w:t xml:space="preserve">in describing </w:t>
      </w:r>
      <w:r w:rsidRPr="00D06BF6">
        <w:t>their claims.</w:t>
      </w:r>
      <w:r>
        <w:t xml:space="preserve">  </w:t>
      </w:r>
      <w:r w:rsidRPr="00AD182A">
        <w:rPr>
          <w:i/>
        </w:rPr>
        <w:t xml:space="preserve">Reimbursement Form </w:t>
      </w:r>
      <w:r w:rsidR="00D13F17">
        <w:rPr>
          <w:i/>
        </w:rPr>
        <w:t>Public Notice</w:t>
      </w:r>
      <w:r w:rsidR="003B257D">
        <w:t xml:space="preserve">, 30 FCC </w:t>
      </w:r>
      <w:proofErr w:type="spellStart"/>
      <w:r w:rsidR="003B257D">
        <w:t>Rcd</w:t>
      </w:r>
      <w:proofErr w:type="spellEnd"/>
      <w:r w:rsidR="003B257D">
        <w:t xml:space="preserve"> at 11702</w:t>
      </w:r>
      <w:r w:rsidRPr="00AD182A">
        <w:t xml:space="preserve"> n.9.</w:t>
      </w:r>
    </w:p>
  </w:footnote>
  <w:footnote w:id="9">
    <w:p w14:paraId="68708A10" w14:textId="5F1279D9" w:rsidR="00A75BC7" w:rsidRPr="00AD182A" w:rsidRDefault="00A75BC7" w:rsidP="00BC3271">
      <w:pPr>
        <w:pStyle w:val="FootnoteText"/>
        <w:rPr>
          <w:i/>
          <w:iCs/>
        </w:rPr>
      </w:pPr>
      <w:r w:rsidRPr="00AD182A">
        <w:rPr>
          <w:rStyle w:val="FootnoteReference"/>
        </w:rPr>
        <w:footnoteRef/>
      </w:r>
      <w:r w:rsidRPr="00AD182A">
        <w:t xml:space="preserve"> </w:t>
      </w:r>
      <w:r>
        <w:t>Specifically, we will rely on the</w:t>
      </w:r>
      <w:r w:rsidRPr="000A3553">
        <w:t xml:space="preserve"> WPUFD4 series</w:t>
      </w:r>
      <w:r>
        <w:t xml:space="preserve"> to annually adjust the Catalog’s costs.</w:t>
      </w:r>
      <w:r w:rsidR="003B257D">
        <w:t xml:space="preserve"> </w:t>
      </w:r>
      <w:r w:rsidRPr="000A3553">
        <w:rPr>
          <w:i/>
        </w:rPr>
        <w:t xml:space="preserve"> </w:t>
      </w:r>
      <w:r w:rsidRPr="004E0543">
        <w:rPr>
          <w:i/>
        </w:rPr>
        <w:t xml:space="preserve">Catalog Update </w:t>
      </w:r>
      <w:r w:rsidR="00D13F17">
        <w:rPr>
          <w:i/>
        </w:rPr>
        <w:t>Public Notice</w:t>
      </w:r>
      <w:r w:rsidR="0070453F" w:rsidRPr="0070453F">
        <w:t>,</w:t>
      </w:r>
      <w:r w:rsidR="00D13F17">
        <w:t xml:space="preserve"> </w:t>
      </w:r>
      <w:r w:rsidR="0070453F" w:rsidRPr="0070453F">
        <w:t xml:space="preserve">31 FCC </w:t>
      </w:r>
      <w:proofErr w:type="spellStart"/>
      <w:r w:rsidR="0070453F" w:rsidRPr="0070453F">
        <w:t>Rcd</w:t>
      </w:r>
      <w:proofErr w:type="spellEnd"/>
      <w:r w:rsidR="0070453F" w:rsidRPr="0070453F">
        <w:t xml:space="preserve"> at 11469</w:t>
      </w:r>
      <w:r w:rsidRPr="001B114C">
        <w:t xml:space="preserve">.  </w:t>
      </w:r>
    </w:p>
  </w:footnote>
  <w:footnote w:id="10">
    <w:p w14:paraId="406D8432" w14:textId="77777777" w:rsidR="00A75BC7" w:rsidRPr="00AD182A" w:rsidRDefault="00A75BC7" w:rsidP="00BC3271">
      <w:pPr>
        <w:pStyle w:val="FootnoteText"/>
      </w:pPr>
      <w:r w:rsidRPr="00AD182A">
        <w:rPr>
          <w:rStyle w:val="FootnoteReference"/>
        </w:rPr>
        <w:footnoteRef/>
      </w:r>
      <w:r w:rsidRPr="00AD182A">
        <w:t xml:space="preserve"> Several commenters commended the Bureau’s efforts to facilitate the post-incentive auction reimbursement process by updating the Catalog.  </w:t>
      </w:r>
      <w:r w:rsidRPr="00AD182A">
        <w:rPr>
          <w:i/>
        </w:rPr>
        <w:t xml:space="preserve">See e.g., </w:t>
      </w:r>
      <w:r w:rsidRPr="00AD182A">
        <w:t xml:space="preserve">Cordillera Communications (Cordillera) Comments at 1; National Association of Broadcasters (NAB) Comments at 2. </w:t>
      </w:r>
    </w:p>
  </w:footnote>
  <w:footnote w:id="11">
    <w:p w14:paraId="447539B8" w14:textId="2864D820" w:rsidR="00A75BC7" w:rsidRPr="00AD182A" w:rsidRDefault="00A75BC7" w:rsidP="00BC3271">
      <w:pPr>
        <w:pStyle w:val="FootnoteText"/>
      </w:pPr>
      <w:r w:rsidRPr="00AD182A">
        <w:rPr>
          <w:rStyle w:val="FootnoteReference"/>
        </w:rPr>
        <w:footnoteRef/>
      </w:r>
      <w:r w:rsidRPr="00AD182A">
        <w:t xml:space="preserve"> </w:t>
      </w:r>
      <w:r w:rsidRPr="00451AB7">
        <w:t>In a separate public notice, we invited broadcasters to participa</w:t>
      </w:r>
      <w:r w:rsidR="003D6B45">
        <w:t xml:space="preserve">te in a beta test of the online </w:t>
      </w:r>
      <w:r w:rsidRPr="00451AB7">
        <w:t xml:space="preserve">Reimbursement Form, and to provide </w:t>
      </w:r>
      <w:r>
        <w:t xml:space="preserve">us with </w:t>
      </w:r>
      <w:r w:rsidRPr="00451AB7">
        <w:t xml:space="preserve">feedback </w:t>
      </w:r>
      <w:r>
        <w:t>on the Form</w:t>
      </w:r>
      <w:r w:rsidRPr="00451AB7">
        <w:t>.</w:t>
      </w:r>
      <w:r w:rsidRPr="00451AB7">
        <w:rPr>
          <w:i/>
        </w:rPr>
        <w:t xml:space="preserve"> </w:t>
      </w:r>
      <w:r>
        <w:rPr>
          <w:i/>
        </w:rPr>
        <w:t xml:space="preserve"> </w:t>
      </w:r>
      <w:r w:rsidRPr="00AD182A">
        <w:rPr>
          <w:i/>
        </w:rPr>
        <w:t xml:space="preserve">Media Bureau </w:t>
      </w:r>
      <w:r>
        <w:rPr>
          <w:i/>
        </w:rPr>
        <w:t>Announces Beta Testing of Post-Incentive Auction Broadcaster Relocation Reimbursement System</w:t>
      </w:r>
      <w:r w:rsidRPr="00AD182A">
        <w:t>, Public Not</w:t>
      </w:r>
      <w:r>
        <w:t xml:space="preserve">ice, </w:t>
      </w:r>
      <w:r w:rsidR="00804E9D" w:rsidRPr="00804E9D">
        <w:t xml:space="preserve">31 FCC </w:t>
      </w:r>
      <w:proofErr w:type="spellStart"/>
      <w:r w:rsidR="00804E9D" w:rsidRPr="00804E9D">
        <w:t>Rcd</w:t>
      </w:r>
      <w:proofErr w:type="spellEnd"/>
      <w:r w:rsidR="00804E9D" w:rsidRPr="00804E9D">
        <w:t xml:space="preserve"> 10992</w:t>
      </w:r>
      <w:r w:rsidRPr="00AD182A">
        <w:t xml:space="preserve"> (MB 2016)</w:t>
      </w:r>
      <w:r>
        <w:t xml:space="preserve">.  Feedback on the beta Form largely </w:t>
      </w:r>
      <w:r w:rsidRPr="00187A5E">
        <w:t xml:space="preserve">consisted of </w:t>
      </w:r>
      <w:r>
        <w:t xml:space="preserve">typo corrections, identification of field validation errors, and other </w:t>
      </w:r>
      <w:r w:rsidRPr="00187A5E">
        <w:t xml:space="preserve">suggestions </w:t>
      </w:r>
      <w:r>
        <w:t>to make the online Form more</w:t>
      </w:r>
      <w:r w:rsidRPr="00187A5E">
        <w:t xml:space="preserve"> user-friendly.</w:t>
      </w:r>
      <w:r w:rsidRPr="00AD182A">
        <w:t xml:space="preserve">  </w:t>
      </w:r>
    </w:p>
  </w:footnote>
  <w:footnote w:id="12">
    <w:p w14:paraId="60343397" w14:textId="77777777" w:rsidR="00A75BC7" w:rsidRPr="00AD182A" w:rsidRDefault="00A75BC7" w:rsidP="00BC3271">
      <w:pPr>
        <w:pStyle w:val="FootnoteText"/>
        <w:rPr>
          <w:i/>
        </w:rPr>
      </w:pPr>
      <w:r w:rsidRPr="00AD182A">
        <w:rPr>
          <w:rStyle w:val="FootnoteReference"/>
        </w:rPr>
        <w:footnoteRef/>
      </w:r>
      <w:r w:rsidRPr="00AD182A">
        <w:t xml:space="preserve"> </w:t>
      </w:r>
      <w:r w:rsidRPr="00AD182A">
        <w:rPr>
          <w:i/>
        </w:rPr>
        <w:t>See e.g.</w:t>
      </w:r>
      <w:r w:rsidRPr="00AD182A">
        <w:t xml:space="preserve">, Rohde &amp; Schwarz USA, Inc. (Rohde &amp; Schwarz) Comments at 2; The Public Broadcasting Service, America’s Public Television Stations, and the Corporation for Public Broadcasting (collectively, PTV) Comments at 4-7; </w:t>
      </w:r>
      <w:r>
        <w:t xml:space="preserve">NAB </w:t>
      </w:r>
      <w:r w:rsidRPr="00AD182A">
        <w:t>Comments at 2-4; The Internet &amp; Television Association (NCTA) Comments at 2;</w:t>
      </w:r>
      <w:r>
        <w:t xml:space="preserve"> </w:t>
      </w:r>
      <w:r w:rsidRPr="00AD182A">
        <w:t xml:space="preserve">Cohen, </w:t>
      </w:r>
      <w:proofErr w:type="spellStart"/>
      <w:r w:rsidRPr="00AD182A">
        <w:t>Dippell</w:t>
      </w:r>
      <w:proofErr w:type="spellEnd"/>
      <w:r w:rsidRPr="00AD182A">
        <w:t xml:space="preserve"> and </w:t>
      </w:r>
      <w:proofErr w:type="spellStart"/>
      <w:r w:rsidRPr="00AD182A">
        <w:t>Everist</w:t>
      </w:r>
      <w:proofErr w:type="spellEnd"/>
      <w:r w:rsidRPr="00AD182A">
        <w:t xml:space="preserve">, P.C. (Cohen </w:t>
      </w:r>
      <w:proofErr w:type="spellStart"/>
      <w:r w:rsidRPr="00AD182A">
        <w:t>Dippell</w:t>
      </w:r>
      <w:proofErr w:type="spellEnd"/>
      <w:r w:rsidRPr="00AD182A">
        <w:t>)</w:t>
      </w:r>
      <w:r>
        <w:t xml:space="preserve"> Comments at 2-3.</w:t>
      </w:r>
    </w:p>
  </w:footnote>
  <w:footnote w:id="13">
    <w:p w14:paraId="4DAC0956" w14:textId="63A08FB7" w:rsidR="00A75BC7" w:rsidRPr="00AD182A" w:rsidRDefault="00A75BC7" w:rsidP="00BC3271">
      <w:pPr>
        <w:pStyle w:val="FootnoteText"/>
        <w:rPr>
          <w:i/>
        </w:rPr>
      </w:pPr>
      <w:r w:rsidRPr="00AD182A">
        <w:rPr>
          <w:rStyle w:val="FootnoteReference"/>
        </w:rPr>
        <w:footnoteRef/>
      </w:r>
      <w:r w:rsidRPr="00AD182A">
        <w:t xml:space="preserve"> Rohde &amp; Schwarz Comments at 2.  </w:t>
      </w:r>
      <w:r>
        <w:t>We note that e</w:t>
      </w:r>
      <w:r w:rsidRPr="00AD182A">
        <w:t>xpenses associated with transmitter siting are in</w:t>
      </w:r>
      <w:r>
        <w:t>cluded elsewhere in the Catalog.  We</w:t>
      </w:r>
      <w:r w:rsidRPr="00AD182A">
        <w:t xml:space="preserve"> expect </w:t>
      </w:r>
      <w:r>
        <w:t>t</w:t>
      </w:r>
      <w:r w:rsidRPr="00AD182A">
        <w:t xml:space="preserve">ransmitter installation </w:t>
      </w:r>
      <w:r>
        <w:t>costs</w:t>
      </w:r>
      <w:r w:rsidRPr="00AD182A">
        <w:t xml:space="preserve"> </w:t>
      </w:r>
      <w:r>
        <w:t>to</w:t>
      </w:r>
      <w:r w:rsidRPr="00AD182A">
        <w:t xml:space="preserve"> vary based on the unique circumstances of each installation (</w:t>
      </w:r>
      <w:r w:rsidRPr="002710D7">
        <w:t>e.g.</w:t>
      </w:r>
      <w:r w:rsidRPr="00AD182A">
        <w:t>, existing equipment, channel reassignment</w:t>
      </w:r>
      <w:r>
        <w:t>, location, manufacturer, etc.).</w:t>
      </w:r>
      <w:r w:rsidRPr="00A95AD3">
        <w:rPr>
          <w:i/>
        </w:rPr>
        <w:t xml:space="preserve"> </w:t>
      </w:r>
      <w:r>
        <w:rPr>
          <w:i/>
        </w:rPr>
        <w:t xml:space="preserve"> See </w:t>
      </w:r>
      <w:r w:rsidR="00FC42F7">
        <w:t>App</w:t>
      </w:r>
      <w:r w:rsidR="00BC3271">
        <w:t>x.</w:t>
      </w:r>
      <w:r w:rsidR="00FC42F7">
        <w:t xml:space="preserve">, </w:t>
      </w:r>
      <w:r>
        <w:t xml:space="preserve">Catalog at </w:t>
      </w:r>
      <w:r w:rsidR="00FC42F7">
        <w:t>4</w:t>
      </w:r>
      <w:r>
        <w:t>, Section A</w:t>
      </w:r>
      <w:r w:rsidR="00FC42F7">
        <w:t>, Transmitters and In-Building Expenses</w:t>
      </w:r>
      <w:r>
        <w:t xml:space="preserve"> (</w:t>
      </w:r>
      <w:r w:rsidRPr="00AD182A">
        <w:t>“Solid State Transmitter Prices [are] based on specific channel move and would include field engineering…,” and noting, “[c]</w:t>
      </w:r>
      <w:proofErr w:type="spellStart"/>
      <w:r w:rsidRPr="00AD182A">
        <w:t>osts</w:t>
      </w:r>
      <w:proofErr w:type="spellEnd"/>
      <w:r w:rsidRPr="00AD182A">
        <w:t xml:space="preserve"> vary widely by ma</w:t>
      </w:r>
      <w:r>
        <w:t>nufacturer and power level.”).</w:t>
      </w:r>
    </w:p>
  </w:footnote>
  <w:footnote w:id="14">
    <w:p w14:paraId="5BEF0E25" w14:textId="31A34950" w:rsidR="00A75BC7" w:rsidRPr="00AD182A" w:rsidRDefault="00A75BC7" w:rsidP="00BC3271">
      <w:pPr>
        <w:pStyle w:val="FootnoteText"/>
      </w:pPr>
      <w:r w:rsidRPr="00AD182A">
        <w:rPr>
          <w:rStyle w:val="FootnoteReference"/>
        </w:rPr>
        <w:footnoteRef/>
      </w:r>
      <w:r w:rsidRPr="00AD182A">
        <w:t xml:space="preserve"> PTV Comments at 6-7 (</w:t>
      </w:r>
      <w:r w:rsidRPr="004B4E5A">
        <w:rPr>
          <w:i/>
        </w:rPr>
        <w:t>citing</w:t>
      </w:r>
      <w:r w:rsidRPr="00AD182A">
        <w:t xml:space="preserve"> PTV comments filed Nov</w:t>
      </w:r>
      <w:r>
        <w:t>. 4, 2013</w:t>
      </w:r>
      <w:r w:rsidRPr="00AD182A">
        <w:t>).</w:t>
      </w:r>
      <w:r>
        <w:t xml:space="preserve">  </w:t>
      </w:r>
      <w:r>
        <w:rPr>
          <w:rFonts w:eastAsia="Calibri"/>
          <w:szCs w:val="22"/>
        </w:rPr>
        <w:t>We note that the Catalog does address elevator costs for taller towers, and additionally contains a section for</w:t>
      </w:r>
      <w:r w:rsidRPr="00D90D39">
        <w:rPr>
          <w:rFonts w:eastAsia="Calibri"/>
          <w:szCs w:val="22"/>
        </w:rPr>
        <w:t xml:space="preserve"> interim </w:t>
      </w:r>
      <w:r>
        <w:rPr>
          <w:rFonts w:eastAsia="Calibri"/>
          <w:szCs w:val="22"/>
        </w:rPr>
        <w:t xml:space="preserve">facilities, such as backup generator.  </w:t>
      </w:r>
      <w:r w:rsidR="00CF6118">
        <w:rPr>
          <w:rFonts w:eastAsia="Calibri"/>
          <w:i/>
          <w:szCs w:val="22"/>
        </w:rPr>
        <w:t xml:space="preserve">See </w:t>
      </w:r>
      <w:proofErr w:type="gramStart"/>
      <w:r w:rsidR="00CF6118">
        <w:rPr>
          <w:rFonts w:eastAsia="Calibri"/>
          <w:szCs w:val="22"/>
        </w:rPr>
        <w:t>App</w:t>
      </w:r>
      <w:r w:rsidR="00BC3271">
        <w:rPr>
          <w:rFonts w:eastAsia="Calibri"/>
          <w:szCs w:val="22"/>
        </w:rPr>
        <w:t>x.</w:t>
      </w:r>
      <w:r w:rsidR="00CF6118">
        <w:rPr>
          <w:rFonts w:eastAsia="Calibri"/>
          <w:szCs w:val="22"/>
        </w:rPr>
        <w:t>,</w:t>
      </w:r>
      <w:proofErr w:type="gramEnd"/>
      <w:r w:rsidR="00CF6118">
        <w:rPr>
          <w:rFonts w:eastAsia="Calibri"/>
          <w:szCs w:val="22"/>
        </w:rPr>
        <w:t xml:space="preserve"> </w:t>
      </w:r>
      <w:r w:rsidRPr="00AD182A">
        <w:t>Catalog at 1</w:t>
      </w:r>
      <w:r w:rsidR="00A75C5E">
        <w:t>0</w:t>
      </w:r>
      <w:r w:rsidRPr="00AD182A">
        <w:t>, Section D</w:t>
      </w:r>
      <w:r w:rsidR="00A75C5E">
        <w:t>, Tower Equipment and Rigging</w:t>
      </w:r>
      <w:r w:rsidRPr="00AD182A">
        <w:t xml:space="preserve"> (noting, “Costs may be higher for tower sites with difficult soil or other site conditions and </w:t>
      </w:r>
      <w:r w:rsidRPr="00AD182A">
        <w:rPr>
          <w:i/>
        </w:rPr>
        <w:t>for towers with an elevator.</w:t>
      </w:r>
      <w:r w:rsidRPr="00AD182A">
        <w:t>”) (</w:t>
      </w:r>
      <w:proofErr w:type="gramStart"/>
      <w:r w:rsidRPr="00AD182A">
        <w:t>emphasis</w:t>
      </w:r>
      <w:proofErr w:type="gramEnd"/>
      <w:r w:rsidRPr="00AD182A">
        <w:t xml:space="preserve"> added);</w:t>
      </w:r>
      <w:r>
        <w:t xml:space="preserve"> </w:t>
      </w:r>
      <w:r>
        <w:rPr>
          <w:i/>
        </w:rPr>
        <w:t>and see id.</w:t>
      </w:r>
      <w:r w:rsidRPr="00AD182A">
        <w:t xml:space="preserve"> at 1</w:t>
      </w:r>
      <w:r w:rsidR="00CF6118">
        <w:t>1</w:t>
      </w:r>
      <w:r w:rsidRPr="00AD182A">
        <w:t xml:space="preserve">, </w:t>
      </w:r>
      <w:r>
        <w:t>Section E</w:t>
      </w:r>
      <w:r w:rsidR="00CF6118">
        <w:t>, Interim Facilities</w:t>
      </w:r>
      <w:r>
        <w:t xml:space="preserve"> (noting that some “</w:t>
      </w:r>
      <w:r w:rsidRPr="00AD182A">
        <w:t>stations currently either have a licensed auxiliary facility or own backup equipment that they can repurpose for this use post-auction, while others may need to purchase or rent equipment or facilities.”).</w:t>
      </w:r>
    </w:p>
  </w:footnote>
  <w:footnote w:id="15">
    <w:p w14:paraId="484101D6" w14:textId="236862E8" w:rsidR="00A75BC7" w:rsidRPr="00AD182A" w:rsidRDefault="00A75BC7" w:rsidP="00BC3271">
      <w:pPr>
        <w:pStyle w:val="FootnoteText"/>
      </w:pPr>
      <w:r w:rsidRPr="00AD182A">
        <w:rPr>
          <w:rStyle w:val="FootnoteReference"/>
        </w:rPr>
        <w:footnoteRef/>
      </w:r>
      <w:r w:rsidRPr="00AD182A">
        <w:t xml:space="preserve"> </w:t>
      </w:r>
      <w:r>
        <w:t>The Reimbursement</w:t>
      </w:r>
      <w:r w:rsidRPr="00AD182A">
        <w:t xml:space="preserve"> Form includes catch-all entries (labeled “</w:t>
      </w:r>
      <w:r w:rsidR="00832E39">
        <w:t>O</w:t>
      </w:r>
      <w:r w:rsidRPr="00AD182A">
        <w:t xml:space="preserve">ther”) for each major equipment </w:t>
      </w:r>
      <w:r w:rsidR="00395F4C">
        <w:t xml:space="preserve">and </w:t>
      </w:r>
      <w:r w:rsidR="00395F4C" w:rsidRPr="00AD182A">
        <w:t>professional service</w:t>
      </w:r>
      <w:r w:rsidR="00395F4C">
        <w:t>s</w:t>
      </w:r>
      <w:r w:rsidR="00395F4C" w:rsidRPr="00AD182A">
        <w:t xml:space="preserve"> </w:t>
      </w:r>
      <w:r w:rsidRPr="00AD182A">
        <w:t>cost category</w:t>
      </w:r>
      <w:r w:rsidR="00395F4C">
        <w:t xml:space="preserve"> </w:t>
      </w:r>
      <w:r w:rsidR="00395F4C" w:rsidRPr="00395F4C">
        <w:t>at the end of each section (e.g., “Other Transmitter Costs”)</w:t>
      </w:r>
      <w:r w:rsidRPr="00AD182A">
        <w:t xml:space="preserve">.  </w:t>
      </w:r>
      <w:r w:rsidR="00395F4C" w:rsidRPr="00395F4C">
        <w:t xml:space="preserve">Reimbursement-eligible entities will be able to enter expenses </w:t>
      </w:r>
      <w:r w:rsidR="00395F4C">
        <w:t xml:space="preserve">that are not </w:t>
      </w:r>
      <w:r w:rsidR="00395F4C" w:rsidRPr="00AD182A">
        <w:t>spec</w:t>
      </w:r>
      <w:r w:rsidR="00395F4C">
        <w:t>ifically listed in the Catalog using one of these</w:t>
      </w:r>
      <w:r w:rsidR="00395F4C" w:rsidRPr="00395F4C">
        <w:t xml:space="preserve"> fields on the online Form</w:t>
      </w:r>
      <w:r>
        <w:t>.</w:t>
      </w:r>
      <w:r w:rsidRPr="00AD182A">
        <w:t xml:space="preserve">  </w:t>
      </w:r>
      <w:r>
        <w:t>As we have explained previously, w</w:t>
      </w:r>
      <w:r w:rsidRPr="00AD182A">
        <w:t xml:space="preserve">e believe this approach provides sufficient flexibility for applicants to seek reimbursement for any expense without searching through an expansive catalog that includes every conceivable potential cost, including those that might be claimed by only a small sub-section of broadcasters.  </w:t>
      </w:r>
      <w:r w:rsidRPr="00AD182A">
        <w:rPr>
          <w:i/>
        </w:rPr>
        <w:t xml:space="preserve">Reimbursement Form </w:t>
      </w:r>
      <w:r w:rsidR="00D13F17">
        <w:rPr>
          <w:i/>
        </w:rPr>
        <w:t>Public Notice</w:t>
      </w:r>
      <w:r>
        <w:t xml:space="preserve">, </w:t>
      </w:r>
      <w:r w:rsidRPr="00DE06A8">
        <w:t>30</w:t>
      </w:r>
      <w:r w:rsidRPr="00AD182A">
        <w:t xml:space="preserve"> FCC </w:t>
      </w:r>
      <w:proofErr w:type="spellStart"/>
      <w:r w:rsidRPr="00AD182A">
        <w:t>Rcd</w:t>
      </w:r>
      <w:proofErr w:type="spellEnd"/>
      <w:r w:rsidRPr="00AD182A">
        <w:t xml:space="preserve"> </w:t>
      </w:r>
      <w:r>
        <w:t xml:space="preserve">at </w:t>
      </w:r>
      <w:r w:rsidRPr="00AD182A">
        <w:t>1170</w:t>
      </w:r>
      <w:r>
        <w:t>2-03.</w:t>
      </w:r>
    </w:p>
  </w:footnote>
  <w:footnote w:id="16">
    <w:p w14:paraId="4FB151B9" w14:textId="68270B35" w:rsidR="00A75BC7" w:rsidRPr="00AD182A" w:rsidRDefault="00A75BC7" w:rsidP="00BC3271">
      <w:pPr>
        <w:pStyle w:val="FootnoteText"/>
      </w:pPr>
      <w:r w:rsidRPr="00AD182A">
        <w:rPr>
          <w:rStyle w:val="FootnoteReference"/>
        </w:rPr>
        <w:footnoteRef/>
      </w:r>
      <w:r w:rsidRPr="00AD182A">
        <w:t xml:space="preserve"> </w:t>
      </w:r>
      <w:r>
        <w:rPr>
          <w:i/>
        </w:rPr>
        <w:t xml:space="preserve">See, e.g., </w:t>
      </w:r>
      <w:proofErr w:type="gramStart"/>
      <w:r>
        <w:t>App</w:t>
      </w:r>
      <w:r w:rsidR="00BC3271">
        <w:t>x.</w:t>
      </w:r>
      <w:r>
        <w:t>,</w:t>
      </w:r>
      <w:proofErr w:type="gramEnd"/>
      <w:r>
        <w:t xml:space="preserve"> Catalog at 2</w:t>
      </w:r>
      <w:r w:rsidR="00FC42F7">
        <w:t>, About this Catalog</w:t>
      </w:r>
      <w:r>
        <w:t xml:space="preserve">; </w:t>
      </w:r>
      <w:proofErr w:type="spellStart"/>
      <w:r>
        <w:rPr>
          <w:i/>
        </w:rPr>
        <w:t>Widelity</w:t>
      </w:r>
      <w:proofErr w:type="spellEnd"/>
      <w:r>
        <w:rPr>
          <w:i/>
        </w:rPr>
        <w:t xml:space="preserve"> Report and Second </w:t>
      </w:r>
      <w:r w:rsidRPr="00AD182A">
        <w:rPr>
          <w:i/>
        </w:rPr>
        <w:t xml:space="preserve">Catalog Comment </w:t>
      </w:r>
      <w:r w:rsidR="00D13F17">
        <w:rPr>
          <w:i/>
        </w:rPr>
        <w:t>Public Notice</w:t>
      </w:r>
      <w:r>
        <w:rPr>
          <w:i/>
        </w:rPr>
        <w:t>,</w:t>
      </w:r>
      <w:r>
        <w:t xml:space="preserve"> 29 FCC </w:t>
      </w:r>
      <w:proofErr w:type="spellStart"/>
      <w:r>
        <w:t>Rcd</w:t>
      </w:r>
      <w:proofErr w:type="spellEnd"/>
      <w:r>
        <w:t xml:space="preserve"> at 3064.</w:t>
      </w:r>
    </w:p>
  </w:footnote>
  <w:footnote w:id="17">
    <w:p w14:paraId="21C61ECF" w14:textId="00F40FE2" w:rsidR="00A75BC7" w:rsidRPr="00E162DE" w:rsidRDefault="00A75BC7" w:rsidP="00BC3271">
      <w:pPr>
        <w:pStyle w:val="FootnoteText"/>
      </w:pPr>
      <w:r w:rsidRPr="00E162DE">
        <w:rPr>
          <w:rStyle w:val="FootnoteReference"/>
        </w:rPr>
        <w:footnoteRef/>
      </w:r>
      <w:r w:rsidRPr="00E162DE">
        <w:t xml:space="preserve"> On the contrary, we expect</w:t>
      </w:r>
      <w:r>
        <w:t xml:space="preserve"> that in some cases</w:t>
      </w:r>
      <w:r w:rsidRPr="00E162DE">
        <w:t xml:space="preserve"> efficiency gains and corresponding decreases in operating costs </w:t>
      </w:r>
      <w:r>
        <w:t>may</w:t>
      </w:r>
      <w:r w:rsidRPr="00E162DE">
        <w:t xml:space="preserve"> result from the purchase of new equipment.  </w:t>
      </w:r>
      <w:r w:rsidRPr="00E162DE">
        <w:rPr>
          <w:i/>
        </w:rPr>
        <w:t xml:space="preserve">See </w:t>
      </w:r>
      <w:r>
        <w:rPr>
          <w:i/>
        </w:rPr>
        <w:t xml:space="preserve">id. </w:t>
      </w:r>
      <w:proofErr w:type="gramStart"/>
      <w:r w:rsidRPr="00E162DE">
        <w:t>at</w:t>
      </w:r>
      <w:proofErr w:type="gramEnd"/>
      <w:r w:rsidRPr="00E162DE">
        <w:t xml:space="preserve"> </w:t>
      </w:r>
      <w:r>
        <w:t xml:space="preserve">29 FCC </w:t>
      </w:r>
      <w:proofErr w:type="spellStart"/>
      <w:r>
        <w:t>Rcd</w:t>
      </w:r>
      <w:proofErr w:type="spellEnd"/>
      <w:r>
        <w:t xml:space="preserve"> 3015</w:t>
      </w:r>
      <w:r w:rsidRPr="00E162DE">
        <w:t xml:space="preserve"> (“Early solid-state devices are now superseded by more efficient devices that save significantly on the power re</w:t>
      </w:r>
      <w:r>
        <w:t>quirements and thus expenses.”).  We note that</w:t>
      </w:r>
      <w:r w:rsidRPr="00E162DE">
        <w:t xml:space="preserve"> stations </w:t>
      </w:r>
      <w:r>
        <w:t xml:space="preserve">can also employ measures to </w:t>
      </w:r>
      <w:r w:rsidRPr="00E162DE">
        <w:t>mitigate post-transition operating costs</w:t>
      </w:r>
      <w:r w:rsidRPr="00E162DE">
        <w:rPr>
          <w:i/>
        </w:rPr>
        <w:t xml:space="preserve">.  Id. </w:t>
      </w:r>
      <w:r w:rsidRPr="00E162DE">
        <w:t>at 39</w:t>
      </w:r>
      <w:r w:rsidRPr="00E162DE">
        <w:rPr>
          <w:i/>
        </w:rPr>
        <w:t xml:space="preserve"> </w:t>
      </w:r>
      <w:r w:rsidRPr="00E162DE">
        <w:t>(</w:t>
      </w:r>
      <w:r>
        <w:t>noting that individual stations</w:t>
      </w:r>
      <w:r w:rsidRPr="00E162DE">
        <w:t xml:space="preserve"> </w:t>
      </w:r>
      <w:r>
        <w:t>can help mitigate their costs, for example, by sharing</w:t>
      </w:r>
      <w:r w:rsidRPr="00E162DE">
        <w:t xml:space="preserve"> sites).</w:t>
      </w:r>
    </w:p>
  </w:footnote>
  <w:footnote w:id="18">
    <w:p w14:paraId="6EF24DCA" w14:textId="10270C48" w:rsidR="00A75BC7" w:rsidRDefault="00A75BC7" w:rsidP="00BC3271">
      <w:pPr>
        <w:pStyle w:val="FootnoteText"/>
      </w:pPr>
      <w:r>
        <w:rPr>
          <w:rStyle w:val="FootnoteReference"/>
        </w:rPr>
        <w:footnoteRef/>
      </w:r>
      <w:r>
        <w:t xml:space="preserve"> </w:t>
      </w:r>
      <w:r w:rsidRPr="00E72259">
        <w:rPr>
          <w:bCs/>
        </w:rPr>
        <w:t xml:space="preserve">47 U.S.C. </w:t>
      </w:r>
      <w:r w:rsidR="00D77564">
        <w:rPr>
          <w:bCs/>
        </w:rPr>
        <w:t xml:space="preserve">§ </w:t>
      </w:r>
      <w:r w:rsidRPr="00E72259">
        <w:rPr>
          <w:bCs/>
        </w:rPr>
        <w:t>1452(b</w:t>
      </w:r>
      <w:proofErr w:type="gramStart"/>
      <w:r w:rsidRPr="00E72259">
        <w:rPr>
          <w:bCs/>
        </w:rPr>
        <w:t>)(</w:t>
      </w:r>
      <w:proofErr w:type="gramEnd"/>
      <w:r w:rsidRPr="00E72259">
        <w:rPr>
          <w:bCs/>
        </w:rPr>
        <w:t>4)(A)(i).</w:t>
      </w:r>
    </w:p>
  </w:footnote>
  <w:footnote w:id="19">
    <w:p w14:paraId="609F24A9" w14:textId="77777777" w:rsidR="00A75BC7" w:rsidRDefault="00A75BC7" w:rsidP="00BC3271">
      <w:pPr>
        <w:pStyle w:val="FootnoteText"/>
      </w:pPr>
      <w:r>
        <w:rPr>
          <w:rStyle w:val="FootnoteReference"/>
        </w:rPr>
        <w:footnoteRef/>
      </w:r>
      <w:r>
        <w:t xml:space="preserve"> </w:t>
      </w:r>
      <w:r w:rsidRPr="00AD182A">
        <w:rPr>
          <w:i/>
        </w:rPr>
        <w:t>See Incentive Auction R&amp;O</w:t>
      </w:r>
      <w:r w:rsidRPr="00AD182A">
        <w:t xml:space="preserve">, </w:t>
      </w:r>
      <w:r w:rsidRPr="00E72259">
        <w:t xml:space="preserve">29 FCC </w:t>
      </w:r>
      <w:proofErr w:type="spellStart"/>
      <w:r w:rsidRPr="00E72259">
        <w:t>Rcd</w:t>
      </w:r>
      <w:proofErr w:type="spellEnd"/>
      <w:r w:rsidRPr="00E72259">
        <w:t xml:space="preserve"> </w:t>
      </w:r>
      <w:r>
        <w:t>at 6824</w:t>
      </w:r>
      <w:r w:rsidRPr="00E72259">
        <w:t xml:space="preserve">, paras. 628-629 </w:t>
      </w:r>
      <w:r w:rsidRPr="00AD182A">
        <w:t>(</w:t>
      </w:r>
      <w:r>
        <w:t>emphasis added).</w:t>
      </w:r>
    </w:p>
  </w:footnote>
  <w:footnote w:id="20">
    <w:p w14:paraId="6E09929F" w14:textId="355CA92A" w:rsidR="00A75BC7" w:rsidRDefault="00A75BC7" w:rsidP="00BC3271">
      <w:pPr>
        <w:pStyle w:val="FootnoteText"/>
      </w:pPr>
      <w:r>
        <w:rPr>
          <w:rStyle w:val="FootnoteReference"/>
        </w:rPr>
        <w:footnoteRef/>
      </w:r>
      <w:r>
        <w:t xml:space="preserve"> </w:t>
      </w:r>
      <w:r w:rsidR="006A56B0" w:rsidRPr="00AD182A">
        <w:t>PTV Comments at</w:t>
      </w:r>
      <w:r w:rsidRPr="00AD182A">
        <w:t xml:space="preserve"> 4-5 (requesting the addition of professional service expense categories for initial engineering and legal consultations, ongoing transition consultations, assistance in filing the Reimbursement Form, and for assistance with filing modifications to construction permits during the transition).</w:t>
      </w:r>
    </w:p>
  </w:footnote>
  <w:footnote w:id="21">
    <w:p w14:paraId="5D86E437" w14:textId="7498AEF2" w:rsidR="00CB4282" w:rsidRPr="00AD182A" w:rsidRDefault="00CB4282" w:rsidP="00BC3271">
      <w:pPr>
        <w:pStyle w:val="FootnoteText"/>
      </w:pPr>
      <w:r w:rsidRPr="00AD182A">
        <w:rPr>
          <w:rStyle w:val="FootnoteReference"/>
        </w:rPr>
        <w:footnoteRef/>
      </w:r>
      <w:r w:rsidRPr="00AD182A">
        <w:t xml:space="preserve"> </w:t>
      </w:r>
      <w:r w:rsidR="00395F4C" w:rsidRPr="00E16DEC">
        <w:t>Despite the fact that the Catalog does not contain an equivalent catch-all line item, we note that the Form does have a separate</w:t>
      </w:r>
      <w:r w:rsidR="00395F4C">
        <w:t xml:space="preserve"> </w:t>
      </w:r>
      <w:r w:rsidR="00395F4C" w:rsidRPr="00E16DEC">
        <w:t xml:space="preserve">field for “Other Professional Service Expenses Not Listed,” where entities </w:t>
      </w:r>
      <w:r w:rsidR="00395F4C">
        <w:t>may</w:t>
      </w:r>
      <w:r w:rsidR="00395F4C" w:rsidRPr="00E16DEC">
        <w:t xml:space="preserve"> submit claims for professional services</w:t>
      </w:r>
      <w:r w:rsidR="00395F4C">
        <w:t xml:space="preserve"> that are not listed in the Catalog</w:t>
      </w:r>
      <w:r w:rsidR="00395F4C" w:rsidRPr="00E16DEC">
        <w:t>.</w:t>
      </w:r>
      <w:r w:rsidR="00395F4C">
        <w:t xml:space="preserve">  </w:t>
      </w:r>
      <w:r w:rsidRPr="00AD182A">
        <w:t xml:space="preserve">When requesting reimbursement for expenses </w:t>
      </w:r>
      <w:r>
        <w:t>in one of these catch-all fields</w:t>
      </w:r>
      <w:r w:rsidRPr="00AD182A">
        <w:t>, users will be prompted to provide a brief description of the expense and to upload documentation (</w:t>
      </w:r>
      <w:r w:rsidRPr="002710D7">
        <w:t>e.g.,</w:t>
      </w:r>
      <w:r>
        <w:t xml:space="preserve"> </w:t>
      </w:r>
      <w:r w:rsidRPr="00AD182A">
        <w:t xml:space="preserve">estimate, invoice, etc.) </w:t>
      </w:r>
      <w:r>
        <w:t>substantiating</w:t>
      </w:r>
      <w:r w:rsidRPr="00AD182A">
        <w:t xml:space="preserve"> the expense.</w:t>
      </w:r>
      <w:r>
        <w:t xml:space="preserve">  </w:t>
      </w:r>
      <w:r w:rsidRPr="00AD182A">
        <w:rPr>
          <w:i/>
        </w:rPr>
        <w:t>See supra</w:t>
      </w:r>
      <w:r>
        <w:t xml:space="preserve"> n</w:t>
      </w:r>
      <w:r w:rsidR="00D77564">
        <w:t xml:space="preserve">ote </w:t>
      </w:r>
      <w:r>
        <w:t>1</w:t>
      </w:r>
      <w:r w:rsidR="006A56B0">
        <w:t>4</w:t>
      </w:r>
      <w:r>
        <w:t>.</w:t>
      </w:r>
    </w:p>
  </w:footnote>
  <w:footnote w:id="22">
    <w:p w14:paraId="19AD1569" w14:textId="3D12235B" w:rsidR="00CB4282" w:rsidRPr="00AD182A" w:rsidRDefault="00CB4282" w:rsidP="00BC3271">
      <w:pPr>
        <w:pStyle w:val="FootnoteText"/>
      </w:pPr>
      <w:r w:rsidRPr="00AD182A">
        <w:rPr>
          <w:rStyle w:val="FootnoteReference"/>
        </w:rPr>
        <w:footnoteRef/>
      </w:r>
      <w:r>
        <w:t xml:space="preserve"> </w:t>
      </w:r>
      <w:r w:rsidRPr="00AD182A">
        <w:t>In response to requests to add “project management”</w:t>
      </w:r>
      <w:r>
        <w:t xml:space="preserve"> to the Catalog (</w:t>
      </w:r>
      <w:r w:rsidRPr="00FB68BC">
        <w:rPr>
          <w:i/>
        </w:rPr>
        <w:t>see, e.g</w:t>
      </w:r>
      <w:r>
        <w:t xml:space="preserve">. </w:t>
      </w:r>
      <w:r w:rsidRPr="00B43D50">
        <w:t>Rohde &amp; Schwarz Comments at 2</w:t>
      </w:r>
      <w:r>
        <w:t>),</w:t>
      </w:r>
      <w:r w:rsidRPr="00AD182A">
        <w:t xml:space="preserve"> we note that this line item already exists under “Other Transition-Related Professional Services.” </w:t>
      </w:r>
      <w:r w:rsidRPr="00AD182A">
        <w:rPr>
          <w:i/>
        </w:rPr>
        <w:t xml:space="preserve"> </w:t>
      </w:r>
      <w:proofErr w:type="gramStart"/>
      <w:r w:rsidR="009D210D">
        <w:t>App</w:t>
      </w:r>
      <w:r w:rsidR="00BC3271">
        <w:t>x.</w:t>
      </w:r>
      <w:r w:rsidR="00C716D5">
        <w:t>,</w:t>
      </w:r>
      <w:proofErr w:type="gramEnd"/>
      <w:r w:rsidR="009D210D">
        <w:t xml:space="preserve"> </w:t>
      </w:r>
      <w:r w:rsidR="00FC42F7">
        <w:t>Catalog at 14</w:t>
      </w:r>
      <w:r w:rsidRPr="00AD182A">
        <w:t xml:space="preserve">, Section H, </w:t>
      </w:r>
      <w:r>
        <w:t>Project Management</w:t>
      </w:r>
      <w:r w:rsidRPr="00AD182A">
        <w:t>.</w:t>
      </w:r>
    </w:p>
  </w:footnote>
  <w:footnote w:id="23">
    <w:p w14:paraId="6D876848" w14:textId="607A18AF" w:rsidR="00A75BC7" w:rsidRPr="00F15781" w:rsidRDefault="00A75BC7" w:rsidP="00BC3271">
      <w:pPr>
        <w:pStyle w:val="FootnoteText"/>
      </w:pPr>
      <w:r w:rsidRPr="00AD182A">
        <w:rPr>
          <w:rStyle w:val="FootnoteReference"/>
        </w:rPr>
        <w:footnoteRef/>
      </w:r>
      <w:r w:rsidRPr="00AD182A">
        <w:t xml:space="preserve"> NAB </w:t>
      </w:r>
      <w:r>
        <w:t>Comments at</w:t>
      </w:r>
      <w:r w:rsidRPr="00AD182A">
        <w:t xml:space="preserve"> 4</w:t>
      </w:r>
      <w:r>
        <w:t xml:space="preserve">; </w:t>
      </w:r>
      <w:r>
        <w:rPr>
          <w:i/>
        </w:rPr>
        <w:t>s</w:t>
      </w:r>
      <w:r w:rsidRPr="0062732D">
        <w:rPr>
          <w:i/>
          <w:iCs/>
        </w:rPr>
        <w:t>ee</w:t>
      </w:r>
      <w:r>
        <w:rPr>
          <w:i/>
          <w:iCs/>
        </w:rPr>
        <w:t xml:space="preserve"> also</w:t>
      </w:r>
      <w:r w:rsidRPr="0062732D">
        <w:t xml:space="preserve"> </w:t>
      </w:r>
      <w:r w:rsidRPr="00FB68BC">
        <w:rPr>
          <w:i/>
        </w:rPr>
        <w:t>Incentive Auction Task Forc</w:t>
      </w:r>
      <w:r w:rsidR="002D0846">
        <w:rPr>
          <w:i/>
        </w:rPr>
        <w:t>e and Media Bureau Adopt A Post-</w:t>
      </w:r>
      <w:r w:rsidRPr="00FB68BC">
        <w:rPr>
          <w:i/>
        </w:rPr>
        <w:t xml:space="preserve">Incentive Auction </w:t>
      </w:r>
      <w:r w:rsidR="002710D7">
        <w:rPr>
          <w:i/>
        </w:rPr>
        <w:t xml:space="preserve">Transition </w:t>
      </w:r>
      <w:r w:rsidRPr="00FB68BC">
        <w:rPr>
          <w:i/>
        </w:rPr>
        <w:t>Scheduling Plan</w:t>
      </w:r>
      <w:r>
        <w:t xml:space="preserve">, GN Docket No. 12-268; </w:t>
      </w:r>
      <w:r w:rsidRPr="0062732D">
        <w:t xml:space="preserve">MB Docket No. 16-306, DA No. </w:t>
      </w:r>
      <w:r w:rsidRPr="00F15781">
        <w:t>17-</w:t>
      </w:r>
      <w:r w:rsidR="00F15781" w:rsidRPr="00F15781">
        <w:t>701</w:t>
      </w:r>
      <w:r w:rsidR="003D6B45" w:rsidRPr="00F15781">
        <w:t xml:space="preserve"> </w:t>
      </w:r>
      <w:r w:rsidR="00F15781" w:rsidRPr="00F15781">
        <w:t xml:space="preserve">at </w:t>
      </w:r>
      <w:r w:rsidR="003D6B45" w:rsidRPr="00F15781">
        <w:t>24-27</w:t>
      </w:r>
      <w:r w:rsidRPr="00F15781">
        <w:t>, para</w:t>
      </w:r>
      <w:r w:rsidR="003D6B45" w:rsidRPr="00F15781">
        <w:t>s. 53-58</w:t>
      </w:r>
      <w:r w:rsidRPr="00F15781">
        <w:t xml:space="preserve"> (rel. Jan. </w:t>
      </w:r>
      <w:r w:rsidR="00F15781" w:rsidRPr="00F15781">
        <w:t>27</w:t>
      </w:r>
      <w:r w:rsidRPr="00F15781">
        <w:t>, 2017</w:t>
      </w:r>
      <w:r w:rsidR="003D6B45" w:rsidRPr="00F15781">
        <w:t>)</w:t>
      </w:r>
      <w:r w:rsidR="00817ACD" w:rsidRPr="00F15781">
        <w:t xml:space="preserve"> </w:t>
      </w:r>
      <w:r w:rsidRPr="00F15781">
        <w:t>(</w:t>
      </w:r>
      <w:r w:rsidRPr="00F15781">
        <w:rPr>
          <w:i/>
          <w:iCs/>
        </w:rPr>
        <w:t xml:space="preserve">Transition Scheduling </w:t>
      </w:r>
      <w:r w:rsidR="003D6B45" w:rsidRPr="00F15781">
        <w:rPr>
          <w:i/>
          <w:iCs/>
        </w:rPr>
        <w:t xml:space="preserve">Adoption </w:t>
      </w:r>
      <w:r w:rsidRPr="00F15781">
        <w:rPr>
          <w:i/>
          <w:iCs/>
        </w:rPr>
        <w:t>Public Notice</w:t>
      </w:r>
      <w:r w:rsidRPr="00F15781">
        <w:t>) (permitting reassigned Class A and full power stations to make a request to operate on a temporary channel either on an individual or joint basis).</w:t>
      </w:r>
    </w:p>
  </w:footnote>
  <w:footnote w:id="24">
    <w:p w14:paraId="235A0FDE" w14:textId="54618AAE" w:rsidR="00A75BC7" w:rsidRPr="00F15781" w:rsidRDefault="00A75BC7" w:rsidP="00BC3271">
      <w:pPr>
        <w:pStyle w:val="FootnoteText"/>
        <w:widowControl w:val="0"/>
      </w:pPr>
      <w:r w:rsidRPr="00F15781">
        <w:rPr>
          <w:rStyle w:val="FootnoteReference"/>
        </w:rPr>
        <w:footnoteRef/>
      </w:r>
      <w:r w:rsidRPr="00F15781">
        <w:t xml:space="preserve"> </w:t>
      </w:r>
      <w:r w:rsidRPr="00F15781">
        <w:rPr>
          <w:i/>
        </w:rPr>
        <w:t>Incentive Auction R&amp;O</w:t>
      </w:r>
      <w:r w:rsidRPr="00F15781">
        <w:t xml:space="preserve">, 29 FCC </w:t>
      </w:r>
      <w:proofErr w:type="spellStart"/>
      <w:r w:rsidRPr="00F15781">
        <w:t>Rcd</w:t>
      </w:r>
      <w:proofErr w:type="spellEnd"/>
      <w:r w:rsidRPr="00F15781">
        <w:t xml:space="preserve"> at 6823-24, para. 627 (“We will treat interim facilities as a relocation expense eligible for reimbursement and will reimburse costs for such facilities that are reasonably incurred in order for a station to meet its construction deadline or to avoid prolonged periods off the air while repacking changes are made.”); </w:t>
      </w:r>
      <w:r w:rsidRPr="00F15781">
        <w:rPr>
          <w:i/>
        </w:rPr>
        <w:t>id</w:t>
      </w:r>
      <w:r w:rsidRPr="00F15781">
        <w:t xml:space="preserve">. </w:t>
      </w:r>
      <w:proofErr w:type="gramStart"/>
      <w:r w:rsidRPr="00F15781">
        <w:t>at</w:t>
      </w:r>
      <w:proofErr w:type="gramEnd"/>
      <w:r w:rsidRPr="00F15781">
        <w:t xml:space="preserve"> n.1756 (explaining that one appropriate use of an interim facility is when “a station may need to operate on a different channel with different facilities than its final channel or facilities”).  The Reimbursement Form and Catalog include categories for claiming expenses related to interim equipment.  </w:t>
      </w:r>
      <w:r w:rsidRPr="00F15781">
        <w:rPr>
          <w:i/>
        </w:rPr>
        <w:t>See</w:t>
      </w:r>
      <w:r w:rsidR="00FC42F7" w:rsidRPr="00F15781">
        <w:rPr>
          <w:i/>
        </w:rPr>
        <w:t xml:space="preserve"> </w:t>
      </w:r>
      <w:proofErr w:type="gramStart"/>
      <w:r w:rsidR="00FC42F7" w:rsidRPr="00F15781">
        <w:t>App</w:t>
      </w:r>
      <w:r w:rsidR="00BC3271">
        <w:t>x</w:t>
      </w:r>
      <w:r w:rsidR="00C716D5">
        <w:t>.</w:t>
      </w:r>
      <w:r w:rsidR="00FC42F7" w:rsidRPr="00F15781">
        <w:t>,</w:t>
      </w:r>
      <w:proofErr w:type="gramEnd"/>
      <w:r w:rsidRPr="00F15781">
        <w:rPr>
          <w:i/>
        </w:rPr>
        <w:t xml:space="preserve"> </w:t>
      </w:r>
      <w:r w:rsidR="00FC42F7" w:rsidRPr="00F15781">
        <w:t>Catalog at 11</w:t>
      </w:r>
      <w:r w:rsidRPr="00F15781">
        <w:t>, Section E</w:t>
      </w:r>
      <w:r w:rsidR="00FC42F7" w:rsidRPr="00F15781">
        <w:t>, Interim Facilities</w:t>
      </w:r>
      <w:r w:rsidRPr="00F15781">
        <w:t xml:space="preserve">.  </w:t>
      </w:r>
    </w:p>
  </w:footnote>
  <w:footnote w:id="25">
    <w:p w14:paraId="511F783C" w14:textId="113CE817" w:rsidR="00A75BC7" w:rsidRPr="00AD182A" w:rsidRDefault="00A75BC7" w:rsidP="00BC3271">
      <w:pPr>
        <w:pStyle w:val="FootnoteText"/>
      </w:pPr>
      <w:r w:rsidRPr="00F15781">
        <w:rPr>
          <w:rStyle w:val="FootnoteReference"/>
        </w:rPr>
        <w:footnoteRef/>
      </w:r>
      <w:r w:rsidRPr="00F15781">
        <w:t xml:space="preserve"> NAB Comments at 4.</w:t>
      </w:r>
      <w:r w:rsidR="007D3DC7" w:rsidRPr="00F15781">
        <w:t xml:space="preserve"> </w:t>
      </w:r>
      <w:r w:rsidRPr="00F15781">
        <w:t xml:space="preserve"> </w:t>
      </w:r>
      <w:r w:rsidRPr="00F15781">
        <w:rPr>
          <w:i/>
          <w:iCs/>
        </w:rPr>
        <w:t>See</w:t>
      </w:r>
      <w:r w:rsidRPr="00F15781">
        <w:t xml:space="preserve"> </w:t>
      </w:r>
      <w:r w:rsidRPr="00F15781">
        <w:rPr>
          <w:i/>
        </w:rPr>
        <w:t xml:space="preserve">Transition Scheduling </w:t>
      </w:r>
      <w:r w:rsidR="003D6B45" w:rsidRPr="00F15781">
        <w:rPr>
          <w:i/>
          <w:iCs/>
        </w:rPr>
        <w:t xml:space="preserve">Adoption </w:t>
      </w:r>
      <w:r w:rsidRPr="00F15781">
        <w:rPr>
          <w:i/>
        </w:rPr>
        <w:t>Public Notice</w:t>
      </w:r>
      <w:r w:rsidR="003D6B45" w:rsidRPr="00F15781">
        <w:rPr>
          <w:i/>
        </w:rPr>
        <w:t xml:space="preserve"> </w:t>
      </w:r>
      <w:r w:rsidR="003D6B45" w:rsidRPr="00F15781">
        <w:t>at 8</w:t>
      </w:r>
      <w:r w:rsidR="00F15781" w:rsidRPr="00F15781">
        <w:t xml:space="preserve">, para. </w:t>
      </w:r>
      <w:r w:rsidRPr="00F15781">
        <w:t>1</w:t>
      </w:r>
      <w:r w:rsidR="003D6B45" w:rsidRPr="00F15781">
        <w:t>6</w:t>
      </w:r>
      <w:r w:rsidRPr="00F15781">
        <w:t xml:space="preserve"> (allowin</w:t>
      </w:r>
      <w:r w:rsidRPr="003000E5">
        <w:t>g temporary increased pairwise (station-to-station) interference of up to two percent during the transition)</w:t>
      </w:r>
      <w:r>
        <w:t>.</w:t>
      </w:r>
    </w:p>
  </w:footnote>
  <w:footnote w:id="26">
    <w:p w14:paraId="2898ABDE" w14:textId="77777777" w:rsidR="00A75BC7" w:rsidRPr="00AD182A" w:rsidRDefault="00A75BC7" w:rsidP="00BC3271">
      <w:pPr>
        <w:pStyle w:val="FootnoteText"/>
        <w:rPr>
          <w:b/>
        </w:rPr>
      </w:pPr>
      <w:r w:rsidRPr="00AD182A">
        <w:rPr>
          <w:rStyle w:val="FootnoteReference"/>
        </w:rPr>
        <w:footnoteRef/>
      </w:r>
      <w:r w:rsidRPr="00AD182A">
        <w:t xml:space="preserve"> </w:t>
      </w:r>
      <w:r w:rsidRPr="00AD182A">
        <w:rPr>
          <w:i/>
        </w:rPr>
        <w:t>Incentive Auction R&amp;O</w:t>
      </w:r>
      <w:r w:rsidRPr="00AD182A">
        <w:t xml:space="preserve">, </w:t>
      </w:r>
      <w:r>
        <w:t xml:space="preserve">29 FCC </w:t>
      </w:r>
      <w:proofErr w:type="spellStart"/>
      <w:r>
        <w:t>Rcd</w:t>
      </w:r>
      <w:proofErr w:type="spellEnd"/>
      <w:r>
        <w:t xml:space="preserve"> at 6832, para. 651</w:t>
      </w:r>
      <w:r w:rsidRPr="00AD182A">
        <w:t>.</w:t>
      </w:r>
    </w:p>
  </w:footnote>
  <w:footnote w:id="27">
    <w:p w14:paraId="040626B7" w14:textId="15DB90DA" w:rsidR="00A75BC7" w:rsidRPr="001E0CE3" w:rsidRDefault="00A75BC7" w:rsidP="00BC3271">
      <w:pPr>
        <w:pStyle w:val="FootnoteText"/>
        <w:rPr>
          <w:i/>
        </w:rPr>
      </w:pPr>
      <w:r>
        <w:rPr>
          <w:rStyle w:val="FootnoteReference"/>
        </w:rPr>
        <w:footnoteRef/>
      </w:r>
      <w:r>
        <w:t xml:space="preserve"> Entities must certify</w:t>
      </w:r>
      <w:r w:rsidRPr="00E21347">
        <w:t xml:space="preserve"> </w:t>
      </w:r>
      <w:r>
        <w:t>t</w:t>
      </w:r>
      <w:r w:rsidRPr="00E21347">
        <w:t xml:space="preserve">hat the equipment and services paid for with money from the Fund are necessary </w:t>
      </w:r>
      <w:r>
        <w:t>to change channels or continue carrying a station that has changed channels</w:t>
      </w:r>
      <w:r w:rsidRPr="00E21347">
        <w:t>.</w:t>
      </w:r>
      <w:r>
        <w:t xml:space="preserve">  </w:t>
      </w:r>
      <w:r>
        <w:rPr>
          <w:i/>
        </w:rPr>
        <w:t xml:space="preserve">Id. </w:t>
      </w:r>
      <w:r>
        <w:t>at 6825, para. 633 (describing the documentation requirements for reimbursement, stating that entities must make “</w:t>
      </w:r>
      <w:r w:rsidRPr="00484363">
        <w:t>certifications</w:t>
      </w:r>
      <w:r>
        <w:t xml:space="preserve"> . . . </w:t>
      </w:r>
      <w:r w:rsidRPr="00484363">
        <w:t>under penalty of perjury under 18 U.S.C. §</w:t>
      </w:r>
      <w:r>
        <w:t xml:space="preserve"> </w:t>
      </w:r>
      <w:r w:rsidRPr="00484363">
        <w:t>1001 in order to ensure that money from the Reimbursement Fund will be used only for eligible costs.</w:t>
      </w:r>
      <w:r>
        <w:t xml:space="preserve">”).  </w:t>
      </w:r>
      <w:r w:rsidRPr="009A7D5A">
        <w:t xml:space="preserve">If a station or MVPD seeks reimbursement for new equipment, it must provide a justification as to why it is reasonable under the circumstances to purchase new equipment rather than modify its current equipment in order to change channels or to continue to carry the signal of a station that </w:t>
      </w:r>
      <w:r>
        <w:t xml:space="preserve">has </w:t>
      </w:r>
      <w:r w:rsidRPr="009A7D5A">
        <w:t>change</w:t>
      </w:r>
      <w:r>
        <w:t>d</w:t>
      </w:r>
      <w:r w:rsidRPr="009A7D5A">
        <w:t xml:space="preserve"> channels.</w:t>
      </w:r>
      <w:r>
        <w:rPr>
          <w:i/>
        </w:rPr>
        <w:t xml:space="preserve">  See </w:t>
      </w:r>
      <w:r>
        <w:t>47 CFR §</w:t>
      </w:r>
      <w:r w:rsidR="00BC3271">
        <w:t> </w:t>
      </w:r>
      <w:r>
        <w:t>73.3700(e</w:t>
      </w:r>
      <w:proofErr w:type="gramStart"/>
      <w:r>
        <w:t>)(</w:t>
      </w:r>
      <w:proofErr w:type="gramEnd"/>
      <w:r>
        <w:t>2)(iii).</w:t>
      </w:r>
    </w:p>
  </w:footnote>
  <w:footnote w:id="28">
    <w:p w14:paraId="61E0D466" w14:textId="77777777" w:rsidR="00A75BC7" w:rsidRPr="00AD182A" w:rsidRDefault="00A75BC7" w:rsidP="00BC3271">
      <w:pPr>
        <w:pStyle w:val="FootnoteText"/>
      </w:pPr>
      <w:r w:rsidRPr="00AD182A">
        <w:rPr>
          <w:rStyle w:val="FootnoteReference"/>
        </w:rPr>
        <w:footnoteRef/>
      </w:r>
      <w:r w:rsidRPr="00AD182A">
        <w:t xml:space="preserve"> </w:t>
      </w:r>
      <w:r w:rsidRPr="00AD182A">
        <w:rPr>
          <w:i/>
        </w:rPr>
        <w:t xml:space="preserve">See e.g., </w:t>
      </w:r>
      <w:r>
        <w:t>NAB</w:t>
      </w:r>
      <w:r w:rsidRPr="00AD182A">
        <w:t xml:space="preserve"> Comments at 3; Cohen </w:t>
      </w:r>
      <w:proofErr w:type="spellStart"/>
      <w:r w:rsidRPr="00AD182A">
        <w:t>Dippell</w:t>
      </w:r>
      <w:proofErr w:type="spellEnd"/>
      <w:r w:rsidRPr="00AD182A">
        <w:t xml:space="preserve"> Comments at 3 (reimbursement for station technical personnel).</w:t>
      </w:r>
    </w:p>
  </w:footnote>
  <w:footnote w:id="29">
    <w:p w14:paraId="76512BFC" w14:textId="36B2627F" w:rsidR="00A75BC7" w:rsidRDefault="00A75BC7" w:rsidP="00BC3271">
      <w:pPr>
        <w:pStyle w:val="FootnoteText"/>
      </w:pPr>
      <w:r>
        <w:rPr>
          <w:rStyle w:val="FootnoteReference"/>
        </w:rPr>
        <w:footnoteRef/>
      </w:r>
      <w:r>
        <w:t xml:space="preserve"> </w:t>
      </w:r>
      <w:r w:rsidRPr="00AD182A">
        <w:rPr>
          <w:i/>
        </w:rPr>
        <w:t xml:space="preserve">Reimbursement Form </w:t>
      </w:r>
      <w:r w:rsidR="00D13F17">
        <w:rPr>
          <w:i/>
        </w:rPr>
        <w:t>Public Notice</w:t>
      </w:r>
      <w:r w:rsidRPr="00AD182A">
        <w:t xml:space="preserve">, 30 FCC </w:t>
      </w:r>
      <w:proofErr w:type="spellStart"/>
      <w:r w:rsidRPr="00AD182A">
        <w:t>Rcd</w:t>
      </w:r>
      <w:proofErr w:type="spellEnd"/>
      <w:r w:rsidRPr="00AD182A">
        <w:t xml:space="preserve"> at 11702.</w:t>
      </w:r>
      <w:r>
        <w:t xml:space="preserve">  </w:t>
      </w:r>
    </w:p>
  </w:footnote>
  <w:footnote w:id="30">
    <w:p w14:paraId="02477F5E" w14:textId="72576271" w:rsidR="00A75BC7" w:rsidRDefault="00A75BC7" w:rsidP="00BC3271">
      <w:pPr>
        <w:pStyle w:val="FootnoteText"/>
      </w:pPr>
      <w:r>
        <w:rPr>
          <w:rStyle w:val="FootnoteReference"/>
        </w:rPr>
        <w:footnoteRef/>
      </w:r>
      <w:r>
        <w:t xml:space="preserve"> </w:t>
      </w:r>
      <w:proofErr w:type="spellStart"/>
      <w:r w:rsidRPr="003D180D">
        <w:rPr>
          <w:i/>
        </w:rPr>
        <w:t>Widelity</w:t>
      </w:r>
      <w:proofErr w:type="spellEnd"/>
      <w:r w:rsidRPr="003D180D">
        <w:rPr>
          <w:i/>
        </w:rPr>
        <w:t xml:space="preserve"> Report and Second Catalog Comment </w:t>
      </w:r>
      <w:r w:rsidR="00D13F17">
        <w:rPr>
          <w:i/>
        </w:rPr>
        <w:t>Public Notice</w:t>
      </w:r>
      <w:r>
        <w:t xml:space="preserve">, 29 FCC </w:t>
      </w:r>
      <w:proofErr w:type="spellStart"/>
      <w:r>
        <w:t>Rcd</w:t>
      </w:r>
      <w:proofErr w:type="spellEnd"/>
      <w:r>
        <w:t xml:space="preserve"> at 3074 (</w:t>
      </w:r>
      <w:r w:rsidRPr="00000782">
        <w:t>“Stations without sufficient internal resources, either at the station itself or at an affiliated station or company, may have to obtain professional</w:t>
      </w:r>
      <w:r>
        <w:t xml:space="preserve"> </w:t>
      </w:r>
      <w:r w:rsidRPr="00000782">
        <w:t>services from an outside source to complete the station’s channel relocation</w:t>
      </w:r>
      <w:r>
        <w:t>.”)</w:t>
      </w:r>
      <w:r w:rsidR="00FC42F7">
        <w:t>.</w:t>
      </w:r>
      <w:r w:rsidRPr="00000782">
        <w:t xml:space="preserve"> </w:t>
      </w:r>
    </w:p>
  </w:footnote>
  <w:footnote w:id="31">
    <w:p w14:paraId="40327A3A" w14:textId="71CCEC0D" w:rsidR="00A75BC7" w:rsidRDefault="00A75BC7" w:rsidP="00BC3271">
      <w:pPr>
        <w:pStyle w:val="FootnoteText"/>
      </w:pPr>
      <w:r>
        <w:rPr>
          <w:rStyle w:val="FootnoteReference"/>
        </w:rPr>
        <w:footnoteRef/>
      </w:r>
      <w:r>
        <w:t xml:space="preserve"> </w:t>
      </w:r>
      <w:r w:rsidRPr="00AD182A">
        <w:rPr>
          <w:i/>
        </w:rPr>
        <w:t xml:space="preserve">Reimbursement Form </w:t>
      </w:r>
      <w:r w:rsidR="00D13F17">
        <w:rPr>
          <w:i/>
        </w:rPr>
        <w:t>Public Notice</w:t>
      </w:r>
      <w:r w:rsidRPr="00AD182A">
        <w:t xml:space="preserve">, 30 FCC </w:t>
      </w:r>
      <w:proofErr w:type="spellStart"/>
      <w:r w:rsidRPr="00AD182A">
        <w:t>Rcd</w:t>
      </w:r>
      <w:proofErr w:type="spellEnd"/>
      <w:r w:rsidRPr="00AD182A">
        <w:t xml:space="preserve"> at 1170</w:t>
      </w:r>
      <w:r>
        <w:t xml:space="preserve">1-02.  </w:t>
      </w:r>
      <w:r w:rsidRPr="00927B66">
        <w:rPr>
          <w:i/>
        </w:rPr>
        <w:t>See also</w:t>
      </w:r>
      <w:r>
        <w:t xml:space="preserve"> </w:t>
      </w:r>
      <w:r w:rsidRPr="00AD182A">
        <w:rPr>
          <w:i/>
          <w:iCs/>
        </w:rPr>
        <w:t>Incentive Auction R&amp;O</w:t>
      </w:r>
      <w:r w:rsidRPr="00AD182A">
        <w:t xml:space="preserve">, 29 FCC </w:t>
      </w:r>
      <w:proofErr w:type="spellStart"/>
      <w:r w:rsidRPr="00AD182A">
        <w:t>Rcd</w:t>
      </w:r>
      <w:proofErr w:type="spellEnd"/>
      <w:r w:rsidRPr="00AD182A">
        <w:t xml:space="preserve"> at 682</w:t>
      </w:r>
      <w:r>
        <w:t>1</w:t>
      </w:r>
      <w:r w:rsidRPr="00AD182A">
        <w:t>, para. 6</w:t>
      </w:r>
      <w:r>
        <w:t>22 (“</w:t>
      </w:r>
      <w:r w:rsidRPr="005842F0">
        <w:t xml:space="preserve">The appropriate scope of </w:t>
      </w:r>
      <w:r>
        <w:t>‘</w:t>
      </w:r>
      <w:r w:rsidRPr="005842F0">
        <w:t>costs reasonably incurred</w:t>
      </w:r>
      <w:r>
        <w:t>’</w:t>
      </w:r>
      <w:r w:rsidRPr="005842F0">
        <w:t xml:space="preserve"> necessarily will have to be decided on a case-by-case basis.</w:t>
      </w:r>
      <w:r>
        <w:t xml:space="preserve">”).  </w:t>
      </w:r>
    </w:p>
  </w:footnote>
  <w:footnote w:id="32">
    <w:p w14:paraId="291A83EF" w14:textId="77777777" w:rsidR="00A75BC7" w:rsidRPr="00AD182A" w:rsidRDefault="00A75BC7" w:rsidP="00BC3271">
      <w:pPr>
        <w:pStyle w:val="FootnoteText"/>
        <w:rPr>
          <w:i/>
        </w:rPr>
      </w:pPr>
      <w:r w:rsidRPr="00AD182A">
        <w:rPr>
          <w:rStyle w:val="FootnoteReference"/>
        </w:rPr>
        <w:footnoteRef/>
      </w:r>
      <w:r w:rsidRPr="00AD182A">
        <w:t xml:space="preserve"> Rohde &amp; Schwarz </w:t>
      </w:r>
      <w:r>
        <w:t xml:space="preserve">Comments </w:t>
      </w:r>
      <w:r w:rsidRPr="00AD182A">
        <w:t>at 2</w:t>
      </w:r>
      <w:r>
        <w:t xml:space="preserve"> (recommending that l</w:t>
      </w:r>
      <w:r w:rsidRPr="00B7668E">
        <w:t xml:space="preserve">iquid cooled transmitter </w:t>
      </w:r>
      <w:r>
        <w:t>start</w:t>
      </w:r>
      <w:r w:rsidRPr="00B7668E">
        <w:t xml:space="preserve"> from 2.5</w:t>
      </w:r>
      <w:r>
        <w:t xml:space="preserve"> </w:t>
      </w:r>
      <w:r w:rsidRPr="00B7668E">
        <w:t>kW</w:t>
      </w:r>
      <w:r>
        <w:t>,</w:t>
      </w:r>
      <w:r w:rsidRPr="00B7668E">
        <w:t xml:space="preserve"> </w:t>
      </w:r>
      <w:r>
        <w:t>rather than</w:t>
      </w:r>
      <w:r w:rsidRPr="00B7668E">
        <w:t xml:space="preserve"> 4.9 kW</w:t>
      </w:r>
      <w:r>
        <w:t>, because, “[p]</w:t>
      </w:r>
      <w:proofErr w:type="spellStart"/>
      <w:r w:rsidRPr="00B7668E">
        <w:t>roducts</w:t>
      </w:r>
      <w:proofErr w:type="spellEnd"/>
      <w:r w:rsidRPr="00B7668E">
        <w:t xml:space="preserve"> in that power class are available and </w:t>
      </w:r>
      <w:r>
        <w:t>…</w:t>
      </w:r>
      <w:r w:rsidRPr="00B7668E">
        <w:t xml:space="preserve"> </w:t>
      </w:r>
      <w:r>
        <w:t>[often]</w:t>
      </w:r>
      <w:r w:rsidRPr="00B7668E">
        <w:t xml:space="preserve"> the most suitable.</w:t>
      </w:r>
      <w:r>
        <w:t>”)</w:t>
      </w:r>
      <w:r w:rsidRPr="00AD182A">
        <w:t>.</w:t>
      </w:r>
    </w:p>
  </w:footnote>
  <w:footnote w:id="33">
    <w:p w14:paraId="79442497" w14:textId="7052D2D1" w:rsidR="00A75BC7" w:rsidRPr="00AD182A" w:rsidRDefault="00A75BC7" w:rsidP="00BC3271">
      <w:pPr>
        <w:pStyle w:val="FootnoteText"/>
      </w:pPr>
      <w:r w:rsidRPr="00AD182A">
        <w:rPr>
          <w:rStyle w:val="FootnoteReference"/>
        </w:rPr>
        <w:footnoteRef/>
      </w:r>
      <w:r>
        <w:t xml:space="preserve"> </w:t>
      </w:r>
      <w:r>
        <w:rPr>
          <w:i/>
        </w:rPr>
        <w:t>See, e.g.,</w:t>
      </w:r>
      <w:r>
        <w:t xml:space="preserve"> </w:t>
      </w:r>
      <w:r w:rsidRPr="00AD182A">
        <w:t xml:space="preserve">Cohen </w:t>
      </w:r>
      <w:proofErr w:type="spellStart"/>
      <w:r w:rsidRPr="00AD182A">
        <w:t>Dippell</w:t>
      </w:r>
      <w:proofErr w:type="spellEnd"/>
      <w:r w:rsidRPr="00AD182A">
        <w:t xml:space="preserve"> Comments at 2-3 (requesting increases to the cost ranges for various engineering services, including: (1) </w:t>
      </w:r>
      <w:r>
        <w:t xml:space="preserve">preparing the </w:t>
      </w:r>
      <w:r w:rsidRPr="00AD182A">
        <w:t>engineering section of construction permit application</w:t>
      </w:r>
      <w:r>
        <w:t>s</w:t>
      </w:r>
      <w:r w:rsidRPr="00AD182A">
        <w:t xml:space="preserve">; </w:t>
      </w:r>
      <w:r>
        <w:t>(2) performing engineering studies</w:t>
      </w:r>
      <w:r w:rsidRPr="00AD182A">
        <w:t xml:space="preserve"> for new channel assignment</w:t>
      </w:r>
      <w:r>
        <w:t>s</w:t>
      </w:r>
      <w:r w:rsidRPr="00AD182A">
        <w:t xml:space="preserve"> and antenna development; </w:t>
      </w:r>
      <w:r>
        <w:t xml:space="preserve">and </w:t>
      </w:r>
      <w:r w:rsidRPr="00AD182A">
        <w:t>(3)</w:t>
      </w:r>
      <w:r w:rsidRPr="00663E4F">
        <w:t xml:space="preserve"> </w:t>
      </w:r>
      <w:r>
        <w:t xml:space="preserve">performing </w:t>
      </w:r>
      <w:r w:rsidRPr="00AD182A">
        <w:t>impact stud</w:t>
      </w:r>
      <w:r>
        <w:t>ies</w:t>
      </w:r>
      <w:r w:rsidRPr="00AD182A">
        <w:t xml:space="preserve"> to assess tower </w:t>
      </w:r>
      <w:r>
        <w:t>effects</w:t>
      </w:r>
      <w:r w:rsidRPr="00AD182A">
        <w:t xml:space="preserve"> on AM stations; and (4) remedies for AM pattern disturbance); NCTA Comments at 2 (requesting increased cost ranges for equipment installations on </w:t>
      </w:r>
      <w:r>
        <w:t>towers over 400 feet, and for clarification</w:t>
      </w:r>
      <w:r w:rsidRPr="00B32EE2">
        <w:t xml:space="preserve"> that the upper range of the cost listed in the Catalog for new receivers and other RF processing equipment does not also include </w:t>
      </w:r>
      <w:r>
        <w:t>installation)</w:t>
      </w:r>
      <w:r w:rsidRPr="00AD182A">
        <w:t>; PTV Comments at 6 (requesting increased cost ranges for NEPA Section 106 environment</w:t>
      </w:r>
      <w:r>
        <w:t>al</w:t>
      </w:r>
      <w:r w:rsidRPr="00AD182A">
        <w:t xml:space="preserve"> review and FAA consulting to account for </w:t>
      </w:r>
      <w:r>
        <w:t>added</w:t>
      </w:r>
      <w:r w:rsidRPr="00AD182A">
        <w:t xml:space="preserve"> costs in the event </w:t>
      </w:r>
      <w:r>
        <w:t>of</w:t>
      </w:r>
      <w:r w:rsidRPr="00AD182A">
        <w:t xml:space="preserve"> challenge) (</w:t>
      </w:r>
      <w:r w:rsidRPr="008B08F9">
        <w:rPr>
          <w:i/>
        </w:rPr>
        <w:t>citing</w:t>
      </w:r>
      <w:r w:rsidRPr="00AD182A">
        <w:t xml:space="preserve"> May, 2014</w:t>
      </w:r>
      <w:r>
        <w:t xml:space="preserve">, </w:t>
      </w:r>
      <w:r w:rsidRPr="00AD182A">
        <w:t>PTV Comment).</w:t>
      </w:r>
    </w:p>
  </w:footnote>
  <w:footnote w:id="34">
    <w:p w14:paraId="463C9A9C" w14:textId="456624BC" w:rsidR="00A75BC7" w:rsidRPr="00AD182A" w:rsidRDefault="00A75BC7" w:rsidP="00BC3271">
      <w:pPr>
        <w:pStyle w:val="FootnoteText"/>
      </w:pPr>
      <w:r w:rsidRPr="00AD182A">
        <w:rPr>
          <w:rStyle w:val="FootnoteReference"/>
        </w:rPr>
        <w:footnoteRef/>
      </w:r>
      <w:r w:rsidRPr="00AD182A">
        <w:t xml:space="preserve"> </w:t>
      </w:r>
      <w:r w:rsidRPr="009A7D5A">
        <w:t xml:space="preserve">Entities that submit their own cost estimates, as opposed to the predetermined cost estimates provided in the </w:t>
      </w:r>
      <w:r>
        <w:t>Reimbursement Form, via the Catalog</w:t>
      </w:r>
      <w:r w:rsidRPr="009A7D5A">
        <w:t>, must submit supporting evidence and certify that the estimate is made in good faith</w:t>
      </w:r>
      <w:r>
        <w:t xml:space="preserve">.  </w:t>
      </w:r>
      <w:r>
        <w:rPr>
          <w:i/>
        </w:rPr>
        <w:t xml:space="preserve">See </w:t>
      </w:r>
      <w:r>
        <w:t>47 CFR § 73.3700(e</w:t>
      </w:r>
      <w:proofErr w:type="gramStart"/>
      <w:r>
        <w:t>)(</w:t>
      </w:r>
      <w:proofErr w:type="gramEnd"/>
      <w:r>
        <w:t>2)(iv)</w:t>
      </w:r>
      <w:r w:rsidR="00FC42F7">
        <w:t xml:space="preserve">; </w:t>
      </w:r>
      <w:r w:rsidR="00FC42F7">
        <w:rPr>
          <w:i/>
        </w:rPr>
        <w:t>s</w:t>
      </w:r>
      <w:r>
        <w:rPr>
          <w:i/>
        </w:rPr>
        <w:t xml:space="preserve">ee also </w:t>
      </w:r>
      <w:r w:rsidRPr="009A7D5A">
        <w:rPr>
          <w:i/>
        </w:rPr>
        <w:t>Incentive Auction R&amp;O</w:t>
      </w:r>
      <w:r w:rsidRPr="009A7D5A">
        <w:t xml:space="preserve">, 29 FCC </w:t>
      </w:r>
      <w:proofErr w:type="spellStart"/>
      <w:r w:rsidRPr="009A7D5A">
        <w:t>Rcd</w:t>
      </w:r>
      <w:proofErr w:type="spellEnd"/>
      <w:r w:rsidRPr="009A7D5A">
        <w:t xml:space="preserve"> at 6821, para. 622 (“The appropriate scope of ‘costs reasonably incurred’ necessarily will have to be decided on a case-by-case basis.”).  The Commission explained that the Catalog will include a “predetermined estimate of the cost, or range of costs, for equipment and other expenses</w:t>
      </w:r>
      <w:r>
        <w:t>,</w:t>
      </w:r>
      <w:r w:rsidRPr="009A7D5A">
        <w:t>”</w:t>
      </w:r>
      <w:r>
        <w:t xml:space="preserve"> and that, w</w:t>
      </w:r>
      <w:r w:rsidRPr="009A7D5A">
        <w:t xml:space="preserve">hen submitting </w:t>
      </w:r>
      <w:r>
        <w:t>estimates</w:t>
      </w:r>
      <w:r w:rsidRPr="009A7D5A">
        <w:t>, eligible entit</w:t>
      </w:r>
      <w:r>
        <w:t>ies</w:t>
      </w:r>
      <w:r w:rsidRPr="009A7D5A">
        <w:t xml:space="preserve"> may selec</w:t>
      </w:r>
      <w:r>
        <w:t>t either the predetermined cost</w:t>
      </w:r>
      <w:r w:rsidRPr="009A7D5A">
        <w:t xml:space="preserve"> from the Catalog or provide its own estimate.  </w:t>
      </w:r>
      <w:r>
        <w:t>If an entity</w:t>
      </w:r>
      <w:r w:rsidRPr="009A7D5A">
        <w:t xml:space="preserve"> rejects the predetermined cost estimate as too low</w:t>
      </w:r>
      <w:r>
        <w:t>, it</w:t>
      </w:r>
      <w:r w:rsidRPr="009A7D5A">
        <w:t xml:space="preserve"> will be required to justify the higher cost by submitting supporting evidence</w:t>
      </w:r>
      <w:r>
        <w:t>,</w:t>
      </w:r>
      <w:r w:rsidRPr="009A7D5A">
        <w:t xml:space="preserve"> and to certify that the estimate is made in good faith.  </w:t>
      </w:r>
      <w:r w:rsidRPr="009A7D5A">
        <w:rPr>
          <w:i/>
        </w:rPr>
        <w:t>Id</w:t>
      </w:r>
      <w:r>
        <w:t>. at 6817-18, para. 611.</w:t>
      </w:r>
      <w:r w:rsidRPr="004F7177">
        <w:t xml:space="preserve">  </w:t>
      </w:r>
      <w:r>
        <w:t>After</w:t>
      </w:r>
      <w:r w:rsidRPr="004F7177">
        <w:t xml:space="preserve"> </w:t>
      </w:r>
      <w:r>
        <w:t>reviewing</w:t>
      </w:r>
      <w:r w:rsidRPr="009A7D5A">
        <w:t xml:space="preserve"> the </w:t>
      </w:r>
      <w:r>
        <w:t xml:space="preserve">justification, the Bureau </w:t>
      </w:r>
      <w:r w:rsidRPr="009A7D5A">
        <w:t xml:space="preserve">may accept </w:t>
      </w:r>
      <w:r>
        <w:t>the entity’s cost estimate</w:t>
      </w:r>
      <w:r w:rsidRPr="009A7D5A">
        <w:t xml:space="preserve"> or substitute a different amount </w:t>
      </w:r>
      <w:r w:rsidRPr="00581D41">
        <w:t xml:space="preserve">from that claimed on the </w:t>
      </w:r>
      <w:r>
        <w:t>F</w:t>
      </w:r>
      <w:r w:rsidRPr="00581D41">
        <w:t>orm</w:t>
      </w:r>
      <w:r>
        <w:t>,</w:t>
      </w:r>
      <w:r w:rsidRPr="009A7D5A">
        <w:t xml:space="preserve"> for purposes of ca</w:t>
      </w:r>
      <w:r>
        <w:t>lculating the initial allocation.  This determination is</w:t>
      </w:r>
      <w:r w:rsidRPr="00581D41">
        <w:t xml:space="preserve"> based on </w:t>
      </w:r>
      <w:r>
        <w:t>the Bureau’s</w:t>
      </w:r>
      <w:r w:rsidRPr="00581D41">
        <w:t xml:space="preserve"> reasonableness review of </w:t>
      </w:r>
      <w:r>
        <w:t xml:space="preserve">the justification and the supporting documentation.  </w:t>
      </w:r>
      <w:r w:rsidRPr="009A7D5A">
        <w:rPr>
          <w:i/>
        </w:rPr>
        <w:t>Id</w:t>
      </w:r>
      <w:r w:rsidRPr="009A7D5A">
        <w:t>. at 6818, para. 613</w:t>
      </w:r>
      <w:r w:rsidRPr="00581D41">
        <w:t>.</w:t>
      </w:r>
      <w:r w:rsidRPr="009A7D5A">
        <w:t xml:space="preserve">  </w:t>
      </w:r>
    </w:p>
  </w:footnote>
  <w:footnote w:id="35">
    <w:p w14:paraId="1E041FED" w14:textId="2071E513" w:rsidR="00A75BC7" w:rsidRPr="002523B8" w:rsidRDefault="00A75BC7" w:rsidP="00BC3271">
      <w:pPr>
        <w:pStyle w:val="FootnoteText"/>
        <w:rPr>
          <w:b/>
        </w:rPr>
      </w:pPr>
      <w:r w:rsidRPr="00AD182A">
        <w:rPr>
          <w:rStyle w:val="FootnoteReference"/>
        </w:rPr>
        <w:footnoteRef/>
      </w:r>
      <w:r w:rsidRPr="00AD182A">
        <w:t xml:space="preserve"> Citing the 1933 “Buy American Act,” </w:t>
      </w:r>
      <w:proofErr w:type="spellStart"/>
      <w:r w:rsidRPr="00AD182A">
        <w:t>GatesAir</w:t>
      </w:r>
      <w:proofErr w:type="spellEnd"/>
      <w:r>
        <w:t xml:space="preserve"> </w:t>
      </w:r>
      <w:r w:rsidRPr="00AD182A">
        <w:t xml:space="preserve">voiced concerns about foreign manufacturers’ inferior products, the loss domestic jobs, and potential competitive harms to domestic businesses arising from foreign manufacturers’ </w:t>
      </w:r>
      <w:r>
        <w:t>entry into</w:t>
      </w:r>
      <w:r w:rsidRPr="00AD182A">
        <w:t xml:space="preserve"> the reimbursement process.  </w:t>
      </w:r>
      <w:proofErr w:type="spellStart"/>
      <w:r w:rsidRPr="00AD182A">
        <w:t>GatesAir</w:t>
      </w:r>
      <w:proofErr w:type="spellEnd"/>
      <w:r w:rsidRPr="00AD182A">
        <w:t>, Inc. (</w:t>
      </w:r>
      <w:proofErr w:type="spellStart"/>
      <w:r w:rsidRPr="00AD182A">
        <w:t>GatesAir</w:t>
      </w:r>
      <w:proofErr w:type="spellEnd"/>
      <w:r w:rsidRPr="00AD182A">
        <w:t>) Comments at 2-3 (</w:t>
      </w:r>
      <w:r w:rsidRPr="008B08F9">
        <w:rPr>
          <w:i/>
        </w:rPr>
        <w:t>citing</w:t>
      </w:r>
      <w:r w:rsidRPr="00AD182A">
        <w:t xml:space="preserve"> 41 U.S.C. §§ 8301-03).</w:t>
      </w:r>
      <w:r>
        <w:t xml:space="preserve"> </w:t>
      </w:r>
      <w:r w:rsidRPr="00AD182A">
        <w:t xml:space="preserve"> </w:t>
      </w:r>
    </w:p>
  </w:footnote>
  <w:footnote w:id="36">
    <w:p w14:paraId="627FB919" w14:textId="3171C9F6" w:rsidR="00A75BC7" w:rsidRPr="00AD182A" w:rsidRDefault="00A75BC7" w:rsidP="00BC3271">
      <w:pPr>
        <w:pStyle w:val="FootnoteText"/>
      </w:pPr>
      <w:r w:rsidRPr="00AD182A">
        <w:rPr>
          <w:rStyle w:val="FootnoteReference"/>
        </w:rPr>
        <w:footnoteRef/>
      </w:r>
      <w:r w:rsidRPr="00AD182A">
        <w:t xml:space="preserve"> </w:t>
      </w:r>
      <w:r w:rsidRPr="000454D3">
        <w:t xml:space="preserve">Also outside the scope of this Public Notice was Cohen </w:t>
      </w:r>
      <w:proofErr w:type="spellStart"/>
      <w:r w:rsidRPr="000454D3">
        <w:t>Dippell’s</w:t>
      </w:r>
      <w:proofErr w:type="spellEnd"/>
      <w:r w:rsidRPr="000454D3">
        <w:t xml:space="preserve"> request for clarification regarding whether any repacked channel would “automatically force [a] DTV station from its current licensed site.”</w:t>
      </w:r>
      <w:r>
        <w:t xml:space="preserve">  Cohen </w:t>
      </w:r>
      <w:proofErr w:type="spellStart"/>
      <w:r>
        <w:t>Dippell</w:t>
      </w:r>
      <w:proofErr w:type="spellEnd"/>
      <w:r>
        <w:t xml:space="preserve"> Comments at 2</w:t>
      </w:r>
      <w:r w:rsidRPr="000454D3">
        <w:t>.</w:t>
      </w:r>
      <w:r>
        <w:t xml:space="preserve">  We note that </w:t>
      </w:r>
      <w:r w:rsidR="00D77564">
        <w:t xml:space="preserve">the </w:t>
      </w:r>
      <w:r>
        <w:t>Commission already addressed this issue and stated, “</w:t>
      </w:r>
      <w:proofErr w:type="gramStart"/>
      <w:r w:rsidRPr="005F6D1F">
        <w:rPr>
          <w:color w:val="212121"/>
          <w:szCs w:val="22"/>
        </w:rPr>
        <w:t>no</w:t>
      </w:r>
      <w:proofErr w:type="gramEnd"/>
      <w:r w:rsidRPr="005F6D1F">
        <w:rPr>
          <w:color w:val="212121"/>
          <w:szCs w:val="22"/>
        </w:rPr>
        <w:t xml:space="preserve"> broadcaster will be </w:t>
      </w:r>
      <w:r w:rsidRPr="005F6D1F">
        <w:rPr>
          <w:rStyle w:val="cosearchterm"/>
          <w:bCs/>
          <w:color w:val="252525"/>
          <w:szCs w:val="22"/>
        </w:rPr>
        <w:t xml:space="preserve">required </w:t>
      </w:r>
      <w:r w:rsidRPr="005F6D1F">
        <w:rPr>
          <w:color w:val="212121"/>
          <w:szCs w:val="22"/>
        </w:rPr>
        <w:t xml:space="preserve">to </w:t>
      </w:r>
      <w:r w:rsidRPr="005F6D1F">
        <w:rPr>
          <w:rStyle w:val="cosearchterm"/>
          <w:bCs/>
          <w:color w:val="252525"/>
          <w:szCs w:val="22"/>
        </w:rPr>
        <w:t xml:space="preserve">change </w:t>
      </w:r>
      <w:r w:rsidRPr="005F6D1F">
        <w:rPr>
          <w:color w:val="212121"/>
          <w:szCs w:val="22"/>
        </w:rPr>
        <w:t xml:space="preserve">the </w:t>
      </w:r>
      <w:r w:rsidRPr="005F6D1F">
        <w:rPr>
          <w:rStyle w:val="cosearchterm"/>
          <w:bCs/>
          <w:color w:val="252525"/>
          <w:szCs w:val="22"/>
        </w:rPr>
        <w:t xml:space="preserve">location </w:t>
      </w:r>
      <w:r w:rsidRPr="005F6D1F">
        <w:rPr>
          <w:color w:val="212121"/>
          <w:szCs w:val="22"/>
        </w:rPr>
        <w:t>of its transmission facility as a result of the reverse auction and repacking processes</w:t>
      </w:r>
      <w:r>
        <w:rPr>
          <w:color w:val="212121"/>
          <w:szCs w:val="22"/>
        </w:rPr>
        <w:t>.</w:t>
      </w:r>
      <w:r w:rsidRPr="005F6D1F">
        <w:rPr>
          <w:color w:val="212121"/>
          <w:szCs w:val="22"/>
        </w:rPr>
        <w:t>”</w:t>
      </w:r>
      <w:r>
        <w:rPr>
          <w:color w:val="212121"/>
          <w:szCs w:val="22"/>
        </w:rPr>
        <w:t xml:space="preserve">  </w:t>
      </w:r>
      <w:r w:rsidRPr="00FB68BC">
        <w:rPr>
          <w:i/>
        </w:rPr>
        <w:t>Incentive Auction R&amp;O</w:t>
      </w:r>
      <w:r>
        <w:t xml:space="preserve">, 29 FCC </w:t>
      </w:r>
      <w:proofErr w:type="spellStart"/>
      <w:r>
        <w:t>Rcd</w:t>
      </w:r>
      <w:proofErr w:type="spellEnd"/>
      <w:r>
        <w:t xml:space="preserve"> at 6796, para. 559 n.1587.  </w:t>
      </w:r>
    </w:p>
  </w:footnote>
  <w:footnote w:id="37">
    <w:p w14:paraId="58ECD018" w14:textId="77777777" w:rsidR="00A75BC7" w:rsidRPr="00AD182A" w:rsidRDefault="00A75BC7" w:rsidP="00BC3271">
      <w:pPr>
        <w:pStyle w:val="FootnoteText"/>
      </w:pPr>
      <w:r w:rsidRPr="00AD182A">
        <w:rPr>
          <w:rStyle w:val="FootnoteReference"/>
        </w:rPr>
        <w:footnoteRef/>
      </w:r>
      <w:r w:rsidRPr="00AD182A">
        <w:t xml:space="preserve"> NAB Comments at 4.</w:t>
      </w:r>
    </w:p>
  </w:footnote>
  <w:footnote w:id="38">
    <w:p w14:paraId="0FF804A9" w14:textId="77C0523E" w:rsidR="00A75BC7" w:rsidRDefault="00A75BC7" w:rsidP="00BC3271">
      <w:pPr>
        <w:pStyle w:val="FootnoteText"/>
      </w:pPr>
      <w:r>
        <w:rPr>
          <w:rStyle w:val="FootnoteReference"/>
        </w:rPr>
        <w:footnoteRef/>
      </w:r>
      <w:r>
        <w:t xml:space="preserve"> We note that t</w:t>
      </w:r>
      <w:r w:rsidRPr="00D73E63">
        <w:t xml:space="preserve">he Reimbursement Form </w:t>
      </w:r>
      <w:r>
        <w:t>will facilitate this process by asking w</w:t>
      </w:r>
      <w:r w:rsidRPr="00D73E63">
        <w:t xml:space="preserve">hether equipment is shared and, if so, </w:t>
      </w:r>
      <w:r>
        <w:t xml:space="preserve">prompting </w:t>
      </w:r>
      <w:r w:rsidRPr="00D73E63">
        <w:t xml:space="preserve">the station </w:t>
      </w:r>
      <w:r>
        <w:t>to</w:t>
      </w:r>
      <w:r w:rsidRPr="00D73E63">
        <w:t xml:space="preserve"> </w:t>
      </w:r>
      <w:r>
        <w:t>identify</w:t>
      </w:r>
      <w:r w:rsidRPr="00D73E63">
        <w:t xml:space="preserve"> the other stations with which </w:t>
      </w:r>
      <w:r>
        <w:t>the equipment</w:t>
      </w:r>
      <w:r w:rsidRPr="00D73E63">
        <w:t xml:space="preserve"> </w:t>
      </w:r>
      <w:r>
        <w:t>is</w:t>
      </w:r>
      <w:r w:rsidRPr="00D73E63">
        <w:t xml:space="preserve"> share</w:t>
      </w:r>
      <w:r>
        <w:t>d</w:t>
      </w:r>
      <w:r w:rsidRPr="00D73E63">
        <w:t>.</w:t>
      </w:r>
    </w:p>
  </w:footnote>
  <w:footnote w:id="39">
    <w:p w14:paraId="38429669" w14:textId="77777777" w:rsidR="00A75BC7" w:rsidRPr="00AD182A" w:rsidRDefault="00A75BC7" w:rsidP="00BC3271">
      <w:pPr>
        <w:pStyle w:val="FootnoteText"/>
      </w:pPr>
      <w:r w:rsidRPr="00AD182A">
        <w:rPr>
          <w:rStyle w:val="FootnoteReference"/>
        </w:rPr>
        <w:footnoteRef/>
      </w:r>
      <w:r w:rsidRPr="00AD182A">
        <w:t xml:space="preserve"> To do so, the eligible entity must upload the contract and any other pertinent documentation into the appropriate field of the Reimbursement Form</w:t>
      </w:r>
      <w:r>
        <w:t xml:space="preserve"> (e.g., “</w:t>
      </w:r>
      <w:r w:rsidRPr="00AD182A">
        <w:t>Other Expenses Not</w:t>
      </w:r>
      <w:r>
        <w:t xml:space="preserve"> Listed</w:t>
      </w:r>
      <w:r w:rsidRPr="00AD182A">
        <w:t>”</w:t>
      </w:r>
      <w:r>
        <w:t>)</w:t>
      </w:r>
      <w:r w:rsidRPr="00AD182A">
        <w:t xml:space="preserve"> in a manner that clearly identifie</w:t>
      </w:r>
      <w:r>
        <w:t>s the contractual arrangement.</w:t>
      </w:r>
    </w:p>
  </w:footnote>
  <w:footnote w:id="40">
    <w:p w14:paraId="38D77600" w14:textId="45737459" w:rsidR="00A75BC7" w:rsidRPr="00AD182A" w:rsidRDefault="00A75BC7" w:rsidP="00BC3271">
      <w:pPr>
        <w:pStyle w:val="FootnoteText"/>
      </w:pPr>
      <w:r w:rsidRPr="00AD182A">
        <w:rPr>
          <w:rStyle w:val="FootnoteReference"/>
        </w:rPr>
        <w:footnoteRef/>
      </w:r>
      <w:r w:rsidRPr="00AD182A">
        <w:t xml:space="preserve"> </w:t>
      </w:r>
      <w:r>
        <w:rPr>
          <w:i/>
        </w:rPr>
        <w:t xml:space="preserve">See </w:t>
      </w:r>
      <w:r w:rsidRPr="00AD182A">
        <w:t xml:space="preserve">PTV Comments at 5-6 (requesting the Bureau </w:t>
      </w:r>
      <w:r>
        <w:t xml:space="preserve">to </w:t>
      </w:r>
      <w:r w:rsidRPr="00AD182A">
        <w:t xml:space="preserve">clarify </w:t>
      </w:r>
      <w:r>
        <w:t>how entities should handle</w:t>
      </w:r>
      <w:r w:rsidRPr="00AD182A">
        <w:t xml:space="preserve"> transition expenses </w:t>
      </w:r>
      <w:r>
        <w:t xml:space="preserve">for multi-tenant towers, and </w:t>
      </w:r>
      <w:r w:rsidRPr="00AD182A">
        <w:t>how affected, non-eligi</w:t>
      </w:r>
      <w:r>
        <w:t xml:space="preserve">ble entities would be handled); </w:t>
      </w:r>
      <w:r>
        <w:rPr>
          <w:i/>
        </w:rPr>
        <w:t xml:space="preserve">see also </w:t>
      </w:r>
      <w:r w:rsidRPr="00AD182A">
        <w:t>Word of God Fellowship, Inc. Comments at 2 (requesting clarification of respons</w:t>
      </w:r>
      <w:r>
        <w:t>ible party for compensating affected, non</w:t>
      </w:r>
      <w:r w:rsidRPr="00AD182A">
        <w:t>-eligible parties).</w:t>
      </w:r>
    </w:p>
  </w:footnote>
  <w:footnote w:id="41">
    <w:p w14:paraId="3CD6B717" w14:textId="77777777" w:rsidR="00A75BC7" w:rsidRPr="00AD182A" w:rsidRDefault="00A75BC7" w:rsidP="00BC3271">
      <w:pPr>
        <w:pStyle w:val="FootnoteText"/>
      </w:pPr>
      <w:r w:rsidRPr="00AD182A">
        <w:rPr>
          <w:rStyle w:val="FootnoteReference"/>
        </w:rPr>
        <w:footnoteRef/>
      </w:r>
      <w:r w:rsidRPr="00AD182A">
        <w:t xml:space="preserve"> </w:t>
      </w:r>
      <w:r w:rsidRPr="00AD182A">
        <w:rPr>
          <w:i/>
          <w:iCs/>
        </w:rPr>
        <w:t xml:space="preserve">See Incentive Auction R&amp;O, </w:t>
      </w:r>
      <w:r w:rsidRPr="00AD182A">
        <w:rPr>
          <w:iCs/>
        </w:rPr>
        <w:t xml:space="preserve">29 FCC </w:t>
      </w:r>
      <w:proofErr w:type="spellStart"/>
      <w:r w:rsidRPr="00AD182A">
        <w:rPr>
          <w:iCs/>
        </w:rPr>
        <w:t>Rcd</w:t>
      </w:r>
      <w:proofErr w:type="spellEnd"/>
      <w:r w:rsidRPr="00AD182A">
        <w:rPr>
          <w:iCs/>
        </w:rPr>
        <w:t xml:space="preserve"> at 6814, para. 602</w:t>
      </w:r>
      <w:r w:rsidRPr="00AD182A">
        <w:rPr>
          <w:rFonts w:eastAsia="TimesNewRoman"/>
        </w:rPr>
        <w:t>.</w:t>
      </w:r>
    </w:p>
  </w:footnote>
  <w:footnote w:id="42">
    <w:p w14:paraId="143AC613" w14:textId="7CC8C9E7" w:rsidR="00A75BC7" w:rsidRPr="00AD182A" w:rsidRDefault="00A75BC7" w:rsidP="00BC3271">
      <w:pPr>
        <w:pStyle w:val="FootnoteText"/>
        <w:rPr>
          <w:rFonts w:eastAsia="TimesNewRoman"/>
        </w:rPr>
      </w:pPr>
      <w:r w:rsidRPr="00AD182A">
        <w:rPr>
          <w:rStyle w:val="FootnoteReference"/>
        </w:rPr>
        <w:footnoteRef/>
      </w:r>
      <w:r w:rsidRPr="00AD182A">
        <w:t xml:space="preserve"> </w:t>
      </w:r>
      <w:r>
        <w:rPr>
          <w:i/>
        </w:rPr>
        <w:t>Id</w:t>
      </w:r>
      <w:r>
        <w:t>.</w:t>
      </w:r>
      <w:r>
        <w:rPr>
          <w:i/>
        </w:rPr>
        <w:t xml:space="preserve">  </w:t>
      </w:r>
      <w:r w:rsidRPr="00514C9F">
        <w:rPr>
          <w:iCs/>
        </w:rPr>
        <w:t>The Commission further explained</w:t>
      </w:r>
      <w:r w:rsidRPr="00AD182A">
        <w:rPr>
          <w:iCs/>
        </w:rPr>
        <w:t xml:space="preserve"> that, “[p]</w:t>
      </w:r>
      <w:r w:rsidRPr="00AD182A">
        <w:rPr>
          <w:rFonts w:eastAsia="TimesNewRoman"/>
        </w:rPr>
        <w:t xml:space="preserve">arties may receive such reimbursement with respect to contracts entered into after that date if they can show good cause for such reimbursement.”  </w:t>
      </w:r>
      <w:r w:rsidRPr="00AD182A">
        <w:rPr>
          <w:rFonts w:eastAsia="TimesNewRoman"/>
          <w:i/>
        </w:rPr>
        <w:t xml:space="preserve">Id. </w:t>
      </w:r>
      <w:r w:rsidRPr="00AD182A">
        <w:rPr>
          <w:rFonts w:eastAsia="TimesNewRoman"/>
        </w:rPr>
        <w:t xml:space="preserve">at </w:t>
      </w:r>
      <w:r w:rsidRPr="00AD182A">
        <w:rPr>
          <w:iCs/>
        </w:rPr>
        <w:t xml:space="preserve">para. 602 </w:t>
      </w:r>
      <w:r w:rsidRPr="00AD182A">
        <w:rPr>
          <w:rFonts w:eastAsia="TimesNewRoman"/>
        </w:rPr>
        <w:t xml:space="preserve">n.1700.  </w:t>
      </w:r>
      <w:r w:rsidRPr="008969DD">
        <w:rPr>
          <w:rFonts w:eastAsia="TimesNewRoman"/>
        </w:rPr>
        <w:t>The Commission also noted the possibility of non-reassigned stations indirectly benefiting from reimbursement to an eligible station if, for example, a reassigned station were reimbursed for new equipment that was to be shar</w:t>
      </w:r>
      <w:r>
        <w:rPr>
          <w:rFonts w:eastAsia="TimesNewRoman"/>
        </w:rPr>
        <w:t>ed with non-reassigned stations</w:t>
      </w:r>
      <w:r w:rsidRPr="008969DD">
        <w:rPr>
          <w:rFonts w:eastAsia="TimesNewRoman"/>
        </w:rPr>
        <w:t xml:space="preserve">. </w:t>
      </w:r>
      <w:r>
        <w:rPr>
          <w:rFonts w:eastAsia="TimesNewRoman"/>
        </w:rPr>
        <w:t xml:space="preserve"> </w:t>
      </w:r>
      <w:r w:rsidRPr="008969DD">
        <w:rPr>
          <w:rFonts w:eastAsia="TimesNewRoman"/>
          <w:i/>
        </w:rPr>
        <w:t>Id</w:t>
      </w:r>
      <w:r>
        <w:rPr>
          <w:rFonts w:eastAsia="TimesNewRoman"/>
        </w:rPr>
        <w:t>. at</w:t>
      </w:r>
      <w:r w:rsidR="002D0846">
        <w:rPr>
          <w:rFonts w:eastAsia="TimesNewRoman"/>
        </w:rPr>
        <w:t xml:space="preserve"> para. 602</w:t>
      </w:r>
      <w:r w:rsidRPr="008969DD">
        <w:rPr>
          <w:rFonts w:eastAsia="TimesNewRoman"/>
        </w:rPr>
        <w:t xml:space="preserve"> n.1701 (</w:t>
      </w:r>
      <w:r w:rsidR="00E75FCC">
        <w:rPr>
          <w:rFonts w:eastAsia="TimesNewRoman"/>
        </w:rPr>
        <w:t xml:space="preserve">internal citations </w:t>
      </w:r>
      <w:r w:rsidRPr="008969DD">
        <w:rPr>
          <w:rFonts w:eastAsia="TimesNewRoman"/>
        </w:rPr>
        <w:t>omitted).</w:t>
      </w:r>
    </w:p>
  </w:footnote>
  <w:footnote w:id="43">
    <w:p w14:paraId="3F38A8C6" w14:textId="77777777" w:rsidR="00A75BC7" w:rsidRPr="00AD182A" w:rsidRDefault="00A75BC7" w:rsidP="00BC3271">
      <w:pPr>
        <w:pStyle w:val="FootnoteText"/>
      </w:pPr>
      <w:r w:rsidRPr="00AD182A">
        <w:rPr>
          <w:rStyle w:val="FootnoteReference"/>
        </w:rPr>
        <w:footnoteRef/>
      </w:r>
      <w:r w:rsidRPr="00AD182A">
        <w:t xml:space="preserve"> NAB Comments at 3-4.</w:t>
      </w:r>
    </w:p>
  </w:footnote>
  <w:footnote w:id="44">
    <w:p w14:paraId="7BAF7C88" w14:textId="7377B1BD" w:rsidR="00A75BC7" w:rsidRPr="00ED56B6" w:rsidRDefault="00A75BC7" w:rsidP="00BC3271">
      <w:pPr>
        <w:pStyle w:val="FootnoteText"/>
      </w:pPr>
      <w:r w:rsidRPr="00AD182A">
        <w:rPr>
          <w:rStyle w:val="FootnoteReference"/>
        </w:rPr>
        <w:footnoteRef/>
      </w:r>
      <w:r w:rsidRPr="00AD182A">
        <w:t xml:space="preserve"> </w:t>
      </w:r>
      <w:r>
        <w:t>W</w:t>
      </w:r>
      <w:r w:rsidRPr="00CA673F">
        <w:t>e are statutorily</w:t>
      </w:r>
      <w:r>
        <w:t xml:space="preserve"> limited to making reimbursements during the</w:t>
      </w:r>
      <w:r w:rsidRPr="00CA673F">
        <w:t xml:space="preserve"> </w:t>
      </w:r>
      <w:r>
        <w:t xml:space="preserve">three-year reimbursement period.  </w:t>
      </w:r>
      <w:r w:rsidRPr="00507AAB">
        <w:t>47 U.S.C. § 1452(b</w:t>
      </w:r>
      <w:proofErr w:type="gramStart"/>
      <w:r w:rsidRPr="00507AAB">
        <w:t>)(</w:t>
      </w:r>
      <w:proofErr w:type="gramEnd"/>
      <w:r w:rsidRPr="00507AAB">
        <w:t>4)(D)</w:t>
      </w:r>
      <w:r>
        <w:t>;</w:t>
      </w:r>
      <w:r w:rsidRPr="00507AAB">
        <w:rPr>
          <w:i/>
        </w:rPr>
        <w:t xml:space="preserve"> </w:t>
      </w:r>
      <w:r>
        <w:t>47 CFR § 73.3700(a)(13)</w:t>
      </w:r>
      <w:r w:rsidRPr="00507AAB">
        <w:t>.</w:t>
      </w:r>
      <w:r>
        <w:t xml:space="preserve">    </w:t>
      </w:r>
    </w:p>
  </w:footnote>
  <w:footnote w:id="45">
    <w:p w14:paraId="16496DFC" w14:textId="77777777" w:rsidR="00A75BC7" w:rsidRDefault="00A75BC7" w:rsidP="00BC3271">
      <w:pPr>
        <w:pStyle w:val="FootnoteText"/>
      </w:pPr>
      <w:r>
        <w:rPr>
          <w:rStyle w:val="FootnoteReference"/>
        </w:rPr>
        <w:footnoteRef/>
      </w:r>
      <w:r>
        <w:t xml:space="preserve"> </w:t>
      </w:r>
      <w:r w:rsidRPr="00AD182A">
        <w:rPr>
          <w:i/>
          <w:iCs/>
        </w:rPr>
        <w:t xml:space="preserve">Incentive Auction R&amp;O, </w:t>
      </w:r>
      <w:r>
        <w:rPr>
          <w:iCs/>
        </w:rPr>
        <w:t xml:space="preserve">29 FCC </w:t>
      </w:r>
      <w:proofErr w:type="spellStart"/>
      <w:r>
        <w:rPr>
          <w:iCs/>
        </w:rPr>
        <w:t>Rcd</w:t>
      </w:r>
      <w:proofErr w:type="spellEnd"/>
      <w:r>
        <w:rPr>
          <w:iCs/>
        </w:rPr>
        <w:t xml:space="preserve"> </w:t>
      </w:r>
      <w:r>
        <w:t>at 6818, para. 611 (“</w:t>
      </w:r>
      <w:r w:rsidRPr="00B15340">
        <w:t>For any expenses for which there is not a predetermined cost estimate, the station or MVPD</w:t>
      </w:r>
      <w:r>
        <w:t xml:space="preserve"> </w:t>
      </w:r>
      <w:r w:rsidRPr="00B15340">
        <w:t>will be required to provide an individualized cost estimate. We will require entities that provide such</w:t>
      </w:r>
      <w:r>
        <w:t xml:space="preserve"> </w:t>
      </w:r>
      <w:r w:rsidRPr="00B15340">
        <w:t>individualized cost estimates to submit supporting evidence and to certify that the estimate is made in</w:t>
      </w:r>
      <w:r>
        <w:t xml:space="preserve"> </w:t>
      </w:r>
      <w:r w:rsidRPr="00B15340">
        <w:t>good faith.</w:t>
      </w:r>
      <w:r>
        <w:t>”).</w:t>
      </w:r>
    </w:p>
  </w:footnote>
  <w:footnote w:id="46">
    <w:p w14:paraId="1A0D2AB3" w14:textId="310518E5" w:rsidR="00A75BC7" w:rsidRPr="00AD182A" w:rsidRDefault="00A75BC7" w:rsidP="00BC3271">
      <w:pPr>
        <w:pStyle w:val="FootnoteText"/>
      </w:pPr>
      <w:r w:rsidRPr="00AD182A">
        <w:rPr>
          <w:rStyle w:val="FootnoteReference"/>
        </w:rPr>
        <w:footnoteRef/>
      </w:r>
      <w:r w:rsidRPr="00AD182A">
        <w:t xml:space="preserve"> Hitac</w:t>
      </w:r>
      <w:r>
        <w:t xml:space="preserve">hi Kokusai Electric </w:t>
      </w:r>
      <w:proofErr w:type="spellStart"/>
      <w:r>
        <w:t>Comark</w:t>
      </w:r>
      <w:proofErr w:type="spellEnd"/>
      <w:r>
        <w:t xml:space="preserve"> LLC </w:t>
      </w:r>
      <w:r w:rsidRPr="00AD182A">
        <w:t>Comments at 1;</w:t>
      </w:r>
      <w:r w:rsidRPr="00AD182A">
        <w:rPr>
          <w:i/>
        </w:rPr>
        <w:t xml:space="preserve"> </w:t>
      </w:r>
      <w:r w:rsidRPr="00AD182A">
        <w:t>Cordillera Comments at 1.</w:t>
      </w:r>
    </w:p>
  </w:footnote>
  <w:footnote w:id="47">
    <w:p w14:paraId="062BD9D1" w14:textId="352395D8" w:rsidR="00A75BC7" w:rsidRDefault="00A75BC7" w:rsidP="00BC3271">
      <w:pPr>
        <w:pStyle w:val="FootnoteText"/>
      </w:pPr>
      <w:r>
        <w:rPr>
          <w:rStyle w:val="FootnoteReference"/>
        </w:rPr>
        <w:footnoteRef/>
      </w:r>
      <w:r>
        <w:t xml:space="preserve"> We note that </w:t>
      </w:r>
      <w:r w:rsidRPr="00143653">
        <w:t xml:space="preserve">Commission policy </w:t>
      </w:r>
      <w:r>
        <w:t>favors</w:t>
      </w:r>
      <w:r w:rsidRPr="00143653">
        <w:t xml:space="preserve"> </w:t>
      </w:r>
      <w:r>
        <w:t xml:space="preserve">equipment </w:t>
      </w:r>
      <w:r w:rsidRPr="00143653">
        <w:t xml:space="preserve">modification </w:t>
      </w:r>
      <w:r w:rsidR="00064B67">
        <w:t>over</w:t>
      </w:r>
      <w:r w:rsidRPr="00143653">
        <w:t xml:space="preserve"> replacement.</w:t>
      </w:r>
      <w:r>
        <w:t xml:space="preserve"> </w:t>
      </w:r>
      <w:r w:rsidRPr="00AD182A">
        <w:t xml:space="preserve">The Commission </w:t>
      </w:r>
      <w:r>
        <w:t xml:space="preserve">explained </w:t>
      </w:r>
      <w:r w:rsidRPr="00AD182A">
        <w:t xml:space="preserve">that, “[i]n light of the limited amount of money available for reimbursement of relocation costs from the [] Fund, we will be reluctant to reimburse for the cost of new equipment when a broadcaster or MVPD could modify its corresponding current equipment. We will assess the justification provided with the estimated cost form to determine whether the cost of new equipment is reasonably incurred under the circumstances.”  </w:t>
      </w:r>
      <w:r w:rsidRPr="000D518B">
        <w:rPr>
          <w:i/>
        </w:rPr>
        <w:t>Incentive Auction R&amp;O</w:t>
      </w:r>
      <w:r w:rsidRPr="000D518B">
        <w:t xml:space="preserve">, 29 FCC </w:t>
      </w:r>
      <w:proofErr w:type="spellStart"/>
      <w:r w:rsidRPr="000D518B">
        <w:t>Rcd</w:t>
      </w:r>
      <w:proofErr w:type="spellEnd"/>
      <w:r w:rsidRPr="000D518B">
        <w:t xml:space="preserve"> </w:t>
      </w:r>
      <w:r w:rsidRPr="00AD182A">
        <w:rPr>
          <w:iCs/>
        </w:rPr>
        <w:t>at 6814</w:t>
      </w:r>
      <w:r>
        <w:rPr>
          <w:iCs/>
        </w:rPr>
        <w:t>,</w:t>
      </w:r>
      <w:r w:rsidRPr="00AD182A">
        <w:t xml:space="preserve"> para. 651 n.1814</w:t>
      </w:r>
      <w:r w:rsidRPr="000D518B">
        <w:t>.</w:t>
      </w:r>
    </w:p>
  </w:footnote>
  <w:footnote w:id="48">
    <w:p w14:paraId="5B4FD0A9" w14:textId="68750A93" w:rsidR="00A75BC7" w:rsidRDefault="00A75BC7" w:rsidP="00BC3271">
      <w:pPr>
        <w:pStyle w:val="FootnoteText"/>
      </w:pPr>
      <w:r w:rsidRPr="000D518B">
        <w:rPr>
          <w:rStyle w:val="FootnoteReference"/>
        </w:rPr>
        <w:footnoteRef/>
      </w:r>
      <w:r w:rsidRPr="000D518B">
        <w:t xml:space="preserve"> </w:t>
      </w:r>
      <w:r>
        <w:rPr>
          <w:i/>
        </w:rPr>
        <w:t>Id</w:t>
      </w:r>
      <w:r>
        <w:t>.</w:t>
      </w:r>
      <w:r w:rsidRPr="000D518B">
        <w:t xml:space="preserve"> at 6822-23, para. 624 </w:t>
      </w:r>
      <w:r>
        <w:t>(explaining that entities “</w:t>
      </w:r>
      <w:r w:rsidRPr="000D518B">
        <w:t>may elect to purchase optional equipment capability or make other upgrades at their own cost, but only the cost of the equipment without optional upgrades is a reimbursable expense.”).</w:t>
      </w:r>
    </w:p>
  </w:footnote>
  <w:footnote w:id="49">
    <w:p w14:paraId="2004C3E8" w14:textId="508E27CE" w:rsidR="00A75BC7" w:rsidRPr="00AD182A" w:rsidRDefault="00A75BC7" w:rsidP="00BC3271">
      <w:pPr>
        <w:pStyle w:val="FootnoteText"/>
        <w:rPr>
          <w:i/>
          <w:iCs/>
        </w:rPr>
      </w:pPr>
      <w:r w:rsidRPr="00AD182A">
        <w:rPr>
          <w:rStyle w:val="FootnoteReference"/>
        </w:rPr>
        <w:footnoteRef/>
      </w:r>
      <w:r w:rsidRPr="00AD182A">
        <w:t xml:space="preserve"> </w:t>
      </w:r>
      <w:r w:rsidRPr="00AD182A">
        <w:rPr>
          <w:i/>
        </w:rPr>
        <w:t xml:space="preserve">Catalog Update </w:t>
      </w:r>
      <w:r w:rsidR="00196F07">
        <w:rPr>
          <w:i/>
        </w:rPr>
        <w:t>Public Notice</w:t>
      </w:r>
      <w:r w:rsidRPr="00AD182A">
        <w:t>,</w:t>
      </w:r>
      <w:r w:rsidR="002710D7" w:rsidRPr="002710D7">
        <w:rPr>
          <w:snapToGrid w:val="0"/>
          <w:kern w:val="28"/>
          <w:sz w:val="22"/>
        </w:rPr>
        <w:t xml:space="preserve"> </w:t>
      </w:r>
      <w:r w:rsidR="002710D7">
        <w:t xml:space="preserve">31 FCC </w:t>
      </w:r>
      <w:proofErr w:type="spellStart"/>
      <w:r w:rsidR="002710D7">
        <w:t>Rcd</w:t>
      </w:r>
      <w:proofErr w:type="spellEnd"/>
      <w:r w:rsidR="002710D7">
        <w:t xml:space="preserve"> at 11468-6</w:t>
      </w:r>
      <w:r w:rsidR="002710D7" w:rsidRPr="002710D7">
        <w:t>9</w:t>
      </w:r>
      <w:r w:rsidRPr="00AD182A">
        <w:t xml:space="preserve">.  </w:t>
      </w:r>
      <w:r w:rsidRPr="001B114C">
        <w:t>We proposed to update the Catalog’s costs annually using this methodology, after the annual average PPI value for the WPUFD4 dataset was released by the BLS</w:t>
      </w:r>
      <w:r>
        <w:t xml:space="preserve"> (internal citations omitted)</w:t>
      </w:r>
      <w:r w:rsidRPr="001B114C">
        <w:t xml:space="preserve">.  </w:t>
      </w:r>
    </w:p>
  </w:footnote>
  <w:footnote w:id="50">
    <w:p w14:paraId="2B813D41" w14:textId="51EA9855" w:rsidR="00A75BC7" w:rsidRPr="00AD182A" w:rsidRDefault="00A75BC7" w:rsidP="00BC3271">
      <w:pPr>
        <w:pStyle w:val="FootnoteText"/>
      </w:pPr>
      <w:r w:rsidRPr="00AD182A">
        <w:rPr>
          <w:rStyle w:val="FootnoteReference"/>
        </w:rPr>
        <w:footnoteRef/>
      </w:r>
      <w:r w:rsidRPr="00AD182A">
        <w:t xml:space="preserve"> </w:t>
      </w:r>
      <w:r>
        <w:t>NAB Comments</w:t>
      </w:r>
      <w:r w:rsidRPr="00AD182A">
        <w:t xml:space="preserve"> at 5 (noting that technological advancements could warrant additions to the Catalog as the transition unfolds).</w:t>
      </w:r>
    </w:p>
  </w:footnote>
  <w:footnote w:id="51">
    <w:p w14:paraId="0E215DAC" w14:textId="6C80BA25" w:rsidR="009142EB" w:rsidRDefault="009142EB" w:rsidP="00BC3271">
      <w:pPr>
        <w:pStyle w:val="FootnoteText"/>
      </w:pPr>
      <w:r>
        <w:rPr>
          <w:rStyle w:val="FootnoteReference"/>
        </w:rPr>
        <w:footnoteRef/>
      </w:r>
      <w:r>
        <w:t xml:space="preserve"> </w:t>
      </w:r>
      <w:r w:rsidRPr="00AA076D">
        <w:t>The actions in this Public Notice have not changed our Final R</w:t>
      </w:r>
      <w:r>
        <w:t>egulatory Flexibility Analysis</w:t>
      </w:r>
      <w:r w:rsidRPr="00AA076D">
        <w:t xml:space="preserve">, which was set forth in the </w:t>
      </w:r>
      <w:r w:rsidRPr="00AA076D">
        <w:rPr>
          <w:i/>
        </w:rPr>
        <w:t>Incentive Auction R</w:t>
      </w:r>
      <w:r>
        <w:rPr>
          <w:i/>
        </w:rPr>
        <w:t>&amp;O</w:t>
      </w:r>
      <w:r w:rsidRPr="00AA076D">
        <w:t>.</w:t>
      </w:r>
      <w:r w:rsidRPr="00AA076D">
        <w:rPr>
          <w:i/>
        </w:rPr>
        <w:t xml:space="preserve"> </w:t>
      </w:r>
      <w:r w:rsidRPr="00AA076D">
        <w:t xml:space="preserve"> </w:t>
      </w:r>
      <w:r w:rsidRPr="00AA076D">
        <w:rPr>
          <w:i/>
        </w:rPr>
        <w:t>Incentive Auction R</w:t>
      </w:r>
      <w:r>
        <w:rPr>
          <w:i/>
        </w:rPr>
        <w:t>&amp;O</w:t>
      </w:r>
      <w:r w:rsidRPr="00AA076D">
        <w:t xml:space="preserve">, </w:t>
      </w:r>
      <w:r w:rsidRPr="00AA076D">
        <w:rPr>
          <w:spacing w:val="-2"/>
        </w:rPr>
        <w:t xml:space="preserve">29 FCC </w:t>
      </w:r>
      <w:proofErr w:type="spellStart"/>
      <w:r w:rsidRPr="00AA076D">
        <w:rPr>
          <w:spacing w:val="-2"/>
        </w:rPr>
        <w:t>Rcd</w:t>
      </w:r>
      <w:proofErr w:type="spellEnd"/>
      <w:r w:rsidRPr="00AA076D">
        <w:rPr>
          <w:spacing w:val="-2"/>
        </w:rPr>
        <w:t xml:space="preserve"> at 6947, App</w:t>
      </w:r>
      <w:r w:rsidR="00BC3271">
        <w:rPr>
          <w:spacing w:val="-2"/>
        </w:rPr>
        <w:t>x.</w:t>
      </w:r>
      <w:r w:rsidRPr="00AA076D">
        <w:rPr>
          <w:spacing w:val="-2"/>
        </w:rPr>
        <w:t xml:space="preserve"> 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F9A28" w14:textId="77777777" w:rsidR="00EC62F0" w:rsidRDefault="00EC62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EDA4" w14:textId="661CE91B" w:rsidR="00A75BC7" w:rsidRDefault="00A75BC7" w:rsidP="005276BA">
    <w:pPr>
      <w:pStyle w:val="Header"/>
      <w:rPr>
        <w:b w:val="0"/>
      </w:rPr>
    </w:pPr>
    <w:r>
      <w:rPr>
        <w:noProof/>
      </w:rPr>
      <mc:AlternateContent>
        <mc:Choice Requires="wps">
          <w:drawing>
            <wp:anchor distT="0" distB="0" distL="114300" distR="114300" simplePos="0" relativeHeight="251664384" behindDoc="1" locked="0" layoutInCell="0" allowOverlap="1" wp14:anchorId="2C3502B5" wp14:editId="08B59A45">
              <wp:simplePos x="0" y="0"/>
              <wp:positionH relativeFrom="margin">
                <wp:posOffset>7620</wp:posOffset>
              </wp:positionH>
              <wp:positionV relativeFrom="paragraph">
                <wp:posOffset>160655</wp:posOffset>
              </wp:positionV>
              <wp:extent cx="5943600" cy="12065"/>
              <wp:effectExtent l="0" t="0" r="0" b="69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9DFDB" id="Rectangle 3" o:spid="_x0000_s1026" style="position:absolute;margin-left:.6pt;margin-top:12.65pt;width:468pt;height:.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tm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AixK2b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tab/>
      <w:t>Federal Communications Commission</w:t>
    </w:r>
    <w:r>
      <w:tab/>
    </w:r>
    <w:r w:rsidR="002D0846">
      <w:rPr>
        <w:spacing w:val="-2"/>
      </w:rPr>
      <w:t>DA 17</w:t>
    </w:r>
    <w:r>
      <w:rPr>
        <w:spacing w:val="-2"/>
      </w:rPr>
      <w:t>-</w:t>
    </w:r>
    <w:r w:rsidR="0095759E">
      <w:rPr>
        <w:spacing w:val="-2"/>
      </w:rPr>
      <w:t>154</w:t>
    </w:r>
  </w:p>
  <w:p w14:paraId="1B066873" w14:textId="77777777" w:rsidR="00A75BC7" w:rsidRDefault="00A75B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8DB3E" w14:textId="77777777" w:rsidR="00C15103" w:rsidRPr="005770B3" w:rsidRDefault="00C15103" w:rsidP="00C15103">
    <w:pPr>
      <w:spacing w:before="40"/>
      <w:rPr>
        <w:b/>
        <w:sz w:val="96"/>
      </w:rPr>
    </w:pPr>
    <w:r w:rsidRPr="005770B3">
      <w:rPr>
        <w:noProof/>
      </w:rPr>
      <mc:AlternateContent>
        <mc:Choice Requires="wps">
          <w:drawing>
            <wp:anchor distT="0" distB="0" distL="114300" distR="114300" simplePos="0" relativeHeight="251666432" behindDoc="0" locked="0" layoutInCell="0" allowOverlap="1" wp14:anchorId="44FF4718" wp14:editId="10573685">
              <wp:simplePos x="0" y="0"/>
              <wp:positionH relativeFrom="margin">
                <wp:posOffset>-57150</wp:posOffset>
              </wp:positionH>
              <wp:positionV relativeFrom="paragraph">
                <wp:posOffset>741045</wp:posOffset>
              </wp:positionV>
              <wp:extent cx="3108960" cy="640080"/>
              <wp:effectExtent l="0" t="0" r="0" b="762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21CE3" w14:textId="77777777" w:rsidR="00C15103" w:rsidRPr="009E1FB5" w:rsidRDefault="00C15103" w:rsidP="00C15103">
                          <w:pPr>
                            <w:rPr>
                              <w:rFonts w:ascii="Arial" w:hAnsi="Arial"/>
                              <w:b/>
                              <w:szCs w:val="22"/>
                            </w:rPr>
                          </w:pPr>
                          <w:r w:rsidRPr="009E1FB5">
                            <w:rPr>
                              <w:rFonts w:ascii="Arial" w:hAnsi="Arial"/>
                              <w:b/>
                              <w:szCs w:val="22"/>
                            </w:rPr>
                            <w:t>Federal Communications Commission</w:t>
                          </w:r>
                        </w:p>
                        <w:p w14:paraId="1EDB1985" w14:textId="77777777" w:rsidR="00C15103" w:rsidRPr="009E1FB5" w:rsidRDefault="00C15103" w:rsidP="00C15103">
                          <w:pPr>
                            <w:rPr>
                              <w:rFonts w:ascii="Arial" w:hAnsi="Arial"/>
                              <w:b/>
                              <w:szCs w:val="22"/>
                            </w:rPr>
                          </w:pPr>
                          <w:r w:rsidRPr="009E1FB5">
                            <w:rPr>
                              <w:rFonts w:ascii="Arial" w:hAnsi="Arial"/>
                              <w:b/>
                              <w:szCs w:val="22"/>
                            </w:rPr>
                            <w:t>445 12</w:t>
                          </w:r>
                          <w:r w:rsidRPr="009E1FB5">
                            <w:rPr>
                              <w:rFonts w:ascii="Arial" w:hAnsi="Arial"/>
                              <w:b/>
                              <w:szCs w:val="22"/>
                              <w:vertAlign w:val="superscript"/>
                            </w:rPr>
                            <w:t>th</w:t>
                          </w:r>
                          <w:r w:rsidRPr="009E1FB5">
                            <w:rPr>
                              <w:rFonts w:ascii="Arial" w:hAnsi="Arial"/>
                              <w:b/>
                              <w:szCs w:val="22"/>
                            </w:rPr>
                            <w:t xml:space="preserve"> St., S.W.</w:t>
                          </w:r>
                        </w:p>
                        <w:p w14:paraId="566EC0C2" w14:textId="77777777" w:rsidR="00C15103" w:rsidRPr="009E1FB5" w:rsidRDefault="00C15103" w:rsidP="00C15103">
                          <w:pPr>
                            <w:rPr>
                              <w:rFonts w:ascii="Arial" w:hAnsi="Arial"/>
                              <w:szCs w:val="22"/>
                            </w:rPr>
                          </w:pPr>
                          <w:r w:rsidRPr="009E1FB5">
                            <w:rPr>
                              <w:rFonts w:ascii="Arial" w:hAnsi="Arial"/>
                              <w:b/>
                              <w:szCs w:val="22"/>
                            </w:rPr>
                            <w:t>Washington, D.C. 20554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F4718" id="_x0000_t202" coordsize="21600,21600" o:spt="202" path="m,l,21600r21600,l21600,xe">
              <v:stroke joinstyle="miter"/>
              <v:path gradientshapeok="t" o:connecttype="rect"/>
            </v:shapetype>
            <v:shape id="Text Box 3" o:spid="_x0000_s1026" type="#_x0000_t202" style="position:absolute;margin-left:-4.5pt;margin-top:58.35pt;width:244.8pt;height:50.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6+ggIAAA8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" o:allowincell="f" stroked="f">
              <v:textbox>
                <w:txbxContent>
                  <w:p w14:paraId="51C21CE3" w14:textId="77777777" w:rsidR="00C15103" w:rsidRPr="009E1FB5" w:rsidRDefault="00C15103" w:rsidP="00C15103">
                    <w:pPr>
                      <w:rPr>
                        <w:rFonts w:ascii="Arial" w:hAnsi="Arial"/>
                        <w:b/>
                        <w:szCs w:val="22"/>
                      </w:rPr>
                    </w:pPr>
                    <w:r w:rsidRPr="009E1FB5">
                      <w:rPr>
                        <w:rFonts w:ascii="Arial" w:hAnsi="Arial"/>
                        <w:b/>
                        <w:szCs w:val="22"/>
                      </w:rPr>
                      <w:t>Federal Communications Commission</w:t>
                    </w:r>
                  </w:p>
                  <w:p w14:paraId="1EDB1985" w14:textId="77777777" w:rsidR="00C15103" w:rsidRPr="009E1FB5" w:rsidRDefault="00C15103" w:rsidP="00C15103">
                    <w:pPr>
                      <w:rPr>
                        <w:rFonts w:ascii="Arial" w:hAnsi="Arial"/>
                        <w:b/>
                        <w:szCs w:val="22"/>
                      </w:rPr>
                    </w:pPr>
                    <w:r w:rsidRPr="009E1FB5">
                      <w:rPr>
                        <w:rFonts w:ascii="Arial" w:hAnsi="Arial"/>
                        <w:b/>
                        <w:szCs w:val="22"/>
                      </w:rPr>
                      <w:t>445 12</w:t>
                    </w:r>
                    <w:r w:rsidRPr="009E1FB5">
                      <w:rPr>
                        <w:rFonts w:ascii="Arial" w:hAnsi="Arial"/>
                        <w:b/>
                        <w:szCs w:val="22"/>
                        <w:vertAlign w:val="superscript"/>
                      </w:rPr>
                      <w:t>th</w:t>
                    </w:r>
                    <w:r w:rsidRPr="009E1FB5">
                      <w:rPr>
                        <w:rFonts w:ascii="Arial" w:hAnsi="Arial"/>
                        <w:b/>
                        <w:szCs w:val="22"/>
                      </w:rPr>
                      <w:t xml:space="preserve"> St., S.W.</w:t>
                    </w:r>
                  </w:p>
                  <w:p w14:paraId="566EC0C2" w14:textId="77777777" w:rsidR="00C15103" w:rsidRPr="009E1FB5" w:rsidRDefault="00C15103" w:rsidP="00C15103">
                    <w:pPr>
                      <w:rPr>
                        <w:rFonts w:ascii="Arial" w:hAnsi="Arial"/>
                        <w:szCs w:val="22"/>
                      </w:rPr>
                    </w:pPr>
                    <w:r w:rsidRPr="009E1FB5">
                      <w:rPr>
                        <w:rFonts w:ascii="Arial" w:hAnsi="Arial"/>
                        <w:b/>
                        <w:szCs w:val="22"/>
                      </w:rPr>
                      <w:t>Washington, D.C. 20554</w:t>
                    </w:r>
                  </w:p>
                </w:txbxContent>
              </v:textbox>
              <w10:wrap anchorx="margin"/>
            </v:shape>
          </w:pict>
        </mc:Fallback>
      </mc:AlternateContent>
    </w:r>
    <w:r w:rsidRPr="005770B3">
      <w:rPr>
        <w:b/>
        <w:noProof/>
        <w:sz w:val="24"/>
      </w:rPr>
      <w:drawing>
        <wp:inline distT="0" distB="0" distL="0" distR="0" wp14:anchorId="7CD334C6" wp14:editId="4D9C936E">
          <wp:extent cx="533400" cy="533400"/>
          <wp:effectExtent l="0" t="0" r="0" b="0"/>
          <wp:docPr id="1" name="Picture 4"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5770B3">
      <w:rPr>
        <w:b/>
        <w:sz w:val="96"/>
      </w:rPr>
      <w:t xml:space="preserve"> </w:t>
    </w:r>
    <w:r w:rsidRPr="009E1FB5">
      <w:rPr>
        <w:rFonts w:ascii="Arial" w:hAnsi="Arial" w:cs="Arial"/>
        <w:b/>
        <w:sz w:val="96"/>
      </w:rPr>
      <w:t>PUBLIC NOTICE</w:t>
    </w:r>
  </w:p>
  <w:p w14:paraId="3BC58943" w14:textId="4276B3BC" w:rsidR="00A75BC7" w:rsidRPr="00C15103" w:rsidRDefault="00C15103" w:rsidP="00C15103">
    <w:pPr>
      <w:rPr>
        <w:b/>
        <w:sz w:val="96"/>
      </w:rPr>
    </w:pPr>
    <w:r w:rsidRPr="005770B3">
      <w:rPr>
        <w:noProof/>
      </w:rPr>
      <mc:AlternateContent>
        <mc:Choice Requires="wps">
          <w:drawing>
            <wp:anchor distT="4294967294" distB="4294967294" distL="114300" distR="114300" simplePos="0" relativeHeight="251667456" behindDoc="0" locked="0" layoutInCell="0" allowOverlap="1" wp14:anchorId="0AD0B469" wp14:editId="03A5E4A2">
              <wp:simplePos x="0" y="0"/>
              <wp:positionH relativeFrom="margin">
                <wp:posOffset>-9525</wp:posOffset>
              </wp:positionH>
              <wp:positionV relativeFrom="paragraph">
                <wp:posOffset>640714</wp:posOffset>
              </wp:positionV>
              <wp:extent cx="59436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E6C35" id="Line 4" o:spid="_x0000_s1026" style="position:absolute;z-index:25166745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5pt,50.45pt" to="467.2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Gb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6yJ9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" o:allowincell="f">
              <w10:wrap anchorx="margin"/>
            </v:line>
          </w:pict>
        </mc:Fallback>
      </mc:AlternateContent>
    </w:r>
    <w:r w:rsidRPr="005770B3">
      <w:rPr>
        <w:noProof/>
      </w:rPr>
      <mc:AlternateContent>
        <mc:Choice Requires="wps">
          <w:drawing>
            <wp:anchor distT="0" distB="0" distL="114300" distR="114300" simplePos="0" relativeHeight="251668480" behindDoc="0" locked="0" layoutInCell="0" allowOverlap="1" wp14:anchorId="0E40CF14" wp14:editId="6754FCE4">
              <wp:simplePos x="0" y="0"/>
              <wp:positionH relativeFrom="column">
                <wp:posOffset>3343275</wp:posOffset>
              </wp:positionH>
              <wp:positionV relativeFrom="paragraph">
                <wp:posOffset>178435</wp:posOffset>
              </wp:positionV>
              <wp:extent cx="2640965" cy="447675"/>
              <wp:effectExtent l="0" t="0" r="6985"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5AA37" w14:textId="77777777" w:rsidR="00C15103" w:rsidRDefault="00C15103" w:rsidP="00C15103">
                          <w:pPr>
                            <w:spacing w:before="40"/>
                            <w:jc w:val="right"/>
                            <w:rPr>
                              <w:rFonts w:ascii="Arial" w:hAnsi="Arial"/>
                              <w:b/>
                              <w:sz w:val="16"/>
                            </w:rPr>
                          </w:pPr>
                          <w:r>
                            <w:rPr>
                              <w:rFonts w:ascii="Arial" w:hAnsi="Arial"/>
                              <w:b/>
                              <w:sz w:val="16"/>
                            </w:rPr>
                            <w:t>News Media Information: 202-418-0500</w:t>
                          </w:r>
                        </w:p>
                        <w:p w14:paraId="12BFF4B9" w14:textId="094292C9" w:rsidR="00C15103" w:rsidRDefault="00C15103" w:rsidP="00C15103">
                          <w:pPr>
                            <w:jc w:val="right"/>
                            <w:rPr>
                              <w:rFonts w:ascii="Arial" w:hAnsi="Arial"/>
                              <w:b/>
                              <w:sz w:val="16"/>
                            </w:rPr>
                          </w:pPr>
                          <w:r>
                            <w:rPr>
                              <w:rFonts w:ascii="Arial" w:hAnsi="Arial"/>
                              <w:b/>
                              <w:sz w:val="16"/>
                            </w:rPr>
                            <w:t xml:space="preserve">Internet: </w:t>
                          </w:r>
                          <w:bookmarkStart w:id="1" w:name="_Hlt233824"/>
                          <w:r w:rsidR="00F500D5">
                            <w:rPr>
                              <w:rFonts w:ascii="Arial" w:hAnsi="Arial"/>
                              <w:b/>
                              <w:sz w:val="16"/>
                            </w:rPr>
                            <w:t>https://www.fcc.gov</w:t>
                          </w:r>
                          <w:bookmarkEnd w:id="1"/>
                        </w:p>
                        <w:p w14:paraId="691C10AE" w14:textId="77777777" w:rsidR="00C15103" w:rsidRPr="00652CE0" w:rsidRDefault="00C15103" w:rsidP="00C15103">
                          <w:pPr>
                            <w:spacing w:before="20"/>
                            <w:jc w:val="right"/>
                            <w:rPr>
                              <w:rFonts w:ascii="Arial" w:hAnsi="Arial" w:cs="Arial"/>
                              <w:b/>
                              <w:sz w:val="16"/>
                              <w:szCs w:val="16"/>
                            </w:rPr>
                          </w:pPr>
                          <w:r>
                            <w:rPr>
                              <w:rFonts w:ascii="Arial" w:hAnsi="Arial"/>
                              <w:b/>
                              <w:sz w:val="16"/>
                            </w:rPr>
                            <w:t>TTY: 888-835-5322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0CF14" id="Text Box 5" o:spid="_x0000_s1027" type="#_x0000_t202" style="position:absolute;margin-left:263.25pt;margin-top:14.05pt;width:207.9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" o:allowincell="f" stroked="f">
              <v:textbox inset=",0,,0">
                <w:txbxContent>
                  <w:p w14:paraId="71E5AA37" w14:textId="77777777" w:rsidR="00C15103" w:rsidRDefault="00C15103" w:rsidP="00C15103">
                    <w:pPr>
                      <w:spacing w:before="40"/>
                      <w:jc w:val="right"/>
                      <w:rPr>
                        <w:rFonts w:ascii="Arial" w:hAnsi="Arial"/>
                        <w:b/>
                        <w:sz w:val="16"/>
                      </w:rPr>
                    </w:pPr>
                    <w:r>
                      <w:rPr>
                        <w:rFonts w:ascii="Arial" w:hAnsi="Arial"/>
                        <w:b/>
                        <w:sz w:val="16"/>
                      </w:rPr>
                      <w:t>News Media Information: 202-418-0500</w:t>
                    </w:r>
                  </w:p>
                  <w:p w14:paraId="12BFF4B9" w14:textId="094292C9" w:rsidR="00C15103" w:rsidRDefault="00C15103" w:rsidP="00C15103">
                    <w:pPr>
                      <w:jc w:val="right"/>
                      <w:rPr>
                        <w:rFonts w:ascii="Arial" w:hAnsi="Arial"/>
                        <w:b/>
                        <w:sz w:val="16"/>
                      </w:rPr>
                    </w:pPr>
                    <w:r>
                      <w:rPr>
                        <w:rFonts w:ascii="Arial" w:hAnsi="Arial"/>
                        <w:b/>
                        <w:sz w:val="16"/>
                      </w:rPr>
                      <w:t xml:space="preserve">Internet: </w:t>
                    </w:r>
                    <w:bookmarkStart w:id="2" w:name="_Hlt233824"/>
                    <w:r w:rsidR="00F500D5">
                      <w:rPr>
                        <w:rFonts w:ascii="Arial" w:hAnsi="Arial"/>
                        <w:b/>
                        <w:sz w:val="16"/>
                      </w:rPr>
                      <w:t>https://www.fcc.gov</w:t>
                    </w:r>
                    <w:bookmarkEnd w:id="2"/>
                  </w:p>
                  <w:p w14:paraId="691C10AE" w14:textId="77777777" w:rsidR="00C15103" w:rsidRPr="00652CE0" w:rsidRDefault="00C15103" w:rsidP="00C15103">
                    <w:pPr>
                      <w:spacing w:before="20"/>
                      <w:jc w:val="right"/>
                      <w:rPr>
                        <w:rFonts w:ascii="Arial" w:hAnsi="Arial" w:cs="Arial"/>
                        <w:b/>
                        <w:sz w:val="16"/>
                        <w:szCs w:val="16"/>
                      </w:rPr>
                    </w:pPr>
                    <w:r>
                      <w:rPr>
                        <w:rFonts w:ascii="Arial" w:hAnsi="Arial"/>
                        <w:b/>
                        <w:sz w:val="16"/>
                      </w:rPr>
                      <w:t>TTY: 888-835-5322</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7658"/>
    <w:multiLevelType w:val="hybridMultilevel"/>
    <w:tmpl w:val="A59E262C"/>
    <w:lvl w:ilvl="0" w:tplc="04090005">
      <w:start w:val="1"/>
      <w:numFmt w:val="bullet"/>
      <w:lvlText w:val=""/>
      <w:lvlJc w:val="left"/>
      <w:pPr>
        <w:tabs>
          <w:tab w:val="num" w:pos="720"/>
        </w:tabs>
        <w:ind w:left="720" w:hanging="360"/>
      </w:pPr>
      <w:rPr>
        <w:rFonts w:ascii="Wingdings" w:hAnsi="Wingdings" w:hint="default"/>
      </w:rPr>
    </w:lvl>
    <w:lvl w:ilvl="1" w:tplc="2F8C687A">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3E4844"/>
    <w:multiLevelType w:val="hybridMultilevel"/>
    <w:tmpl w:val="187A51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3" w15:restartNumberingAfterBreak="0">
    <w:nsid w:val="0AE3572A"/>
    <w:multiLevelType w:val="hybridMultilevel"/>
    <w:tmpl w:val="614869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B40C5"/>
    <w:multiLevelType w:val="hybridMultilevel"/>
    <w:tmpl w:val="94D6572C"/>
    <w:lvl w:ilvl="0" w:tplc="50206E2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7"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15:restartNumberingAfterBreak="0">
    <w:nsid w:val="2BC676CD"/>
    <w:multiLevelType w:val="hybridMultilevel"/>
    <w:tmpl w:val="F07EB9DC"/>
    <w:lvl w:ilvl="0" w:tplc="D87C9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53275"/>
    <w:multiLevelType w:val="hybridMultilevel"/>
    <w:tmpl w:val="BA4EC90A"/>
    <w:lvl w:ilvl="0" w:tplc="EAF4374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F6163"/>
    <w:multiLevelType w:val="hybridMultilevel"/>
    <w:tmpl w:val="2864E2B2"/>
    <w:lvl w:ilvl="0" w:tplc="AD6227A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33CB5"/>
    <w:multiLevelType w:val="hybridMultilevel"/>
    <w:tmpl w:val="7B9A5D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541F6B38"/>
    <w:multiLevelType w:val="multilevel"/>
    <w:tmpl w:val="9BCA1692"/>
    <w:lvl w:ilvl="0">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14" w15:restartNumberingAfterBreak="0">
    <w:nsid w:val="5F476B71"/>
    <w:multiLevelType w:val="hybridMultilevel"/>
    <w:tmpl w:val="40183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6" w15:restartNumberingAfterBreak="0">
    <w:nsid w:val="627570F6"/>
    <w:multiLevelType w:val="hybridMultilevel"/>
    <w:tmpl w:val="66343B4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8A2584"/>
    <w:multiLevelType w:val="hybridMultilevel"/>
    <w:tmpl w:val="F63CDE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FA1530A"/>
    <w:multiLevelType w:val="hybridMultilevel"/>
    <w:tmpl w:val="C956605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A586393"/>
    <w:multiLevelType w:val="hybridMultilevel"/>
    <w:tmpl w:val="B5DAD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0406EE"/>
    <w:multiLevelType w:val="hybridMultilevel"/>
    <w:tmpl w:val="B56C7CEC"/>
    <w:lvl w:ilvl="0" w:tplc="C6F2D390">
      <w:start w:val="1"/>
      <w:numFmt w:val="bullet"/>
      <w:lvlText w:val=""/>
      <w:lvlJc w:val="left"/>
      <w:pPr>
        <w:tabs>
          <w:tab w:val="num" w:pos="1080"/>
        </w:tabs>
        <w:ind w:left="1080" w:hanging="360"/>
      </w:pPr>
      <w:rPr>
        <w:rFonts w:ascii="Wingdings" w:hAnsi="Wingdings" w:hint="default"/>
      </w:rPr>
    </w:lvl>
    <w:lvl w:ilvl="1" w:tplc="7A02160E">
      <w:start w:val="1"/>
      <w:numFmt w:val="decimal"/>
      <w:lvlText w:val="(%2)"/>
      <w:lvlJc w:val="left"/>
      <w:pPr>
        <w:tabs>
          <w:tab w:val="num" w:pos="1800"/>
        </w:tabs>
        <w:ind w:left="1800" w:hanging="360"/>
      </w:pPr>
      <w:rPr>
        <w:rFonts w:cs="Times New Roman" w:hint="default"/>
      </w:rPr>
    </w:lvl>
    <w:lvl w:ilvl="2" w:tplc="4404D9F0">
      <w:start w:val="1"/>
      <w:numFmt w:val="lowerRoman"/>
      <w:lvlText w:val="%3."/>
      <w:lvlJc w:val="right"/>
      <w:pPr>
        <w:tabs>
          <w:tab w:val="num" w:pos="2520"/>
        </w:tabs>
        <w:ind w:left="2520" w:hanging="180"/>
      </w:pPr>
      <w:rPr>
        <w:rFonts w:cs="Times New Roman"/>
      </w:rPr>
    </w:lvl>
    <w:lvl w:ilvl="3" w:tplc="8272D0A8">
      <w:numFmt w:val="bullet"/>
      <w:lvlText w:val="-"/>
      <w:lvlJc w:val="left"/>
      <w:pPr>
        <w:tabs>
          <w:tab w:val="num" w:pos="1080"/>
        </w:tabs>
        <w:ind w:left="1080" w:hanging="360"/>
      </w:pPr>
      <w:rPr>
        <w:rFonts w:ascii="Times New Roman" w:eastAsia="Times New Roman" w:hAnsi="Times New Roman" w:hint="default"/>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15"/>
  </w:num>
  <w:num w:numId="3">
    <w:abstractNumId w:val="7"/>
  </w:num>
  <w:num w:numId="4">
    <w:abstractNumId w:val="12"/>
  </w:num>
  <w:num w:numId="5">
    <w:abstractNumId w:val="6"/>
  </w:num>
  <w:num w:numId="6">
    <w:abstractNumId w:val="2"/>
  </w:num>
  <w:num w:numId="7">
    <w:abstractNumId w:val="13"/>
  </w:num>
  <w:num w:numId="8">
    <w:abstractNumId w:val="0"/>
  </w:num>
  <w:num w:numId="9">
    <w:abstractNumId w:val="20"/>
  </w:num>
  <w:num w:numId="10">
    <w:abstractNumId w:val="11"/>
  </w:num>
  <w:num w:numId="11">
    <w:abstractNumId w:val="17"/>
  </w:num>
  <w:num w:numId="12">
    <w:abstractNumId w:val="16"/>
  </w:num>
  <w:num w:numId="13">
    <w:abstractNumId w:val="19"/>
  </w:num>
  <w:num w:numId="14">
    <w:abstractNumId w:val="1"/>
  </w:num>
  <w:num w:numId="15">
    <w:abstractNumId w:val="14"/>
  </w:num>
  <w:num w:numId="16">
    <w:abstractNumId w:val="3"/>
  </w:num>
  <w:num w:numId="17">
    <w:abstractNumId w:val="8"/>
  </w:num>
  <w:num w:numId="18">
    <w:abstractNumId w:val="9"/>
  </w:num>
  <w:num w:numId="19">
    <w:abstractNumId w:val="4"/>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E9"/>
    <w:rsid w:val="00000782"/>
    <w:rsid w:val="0000126B"/>
    <w:rsid w:val="00007036"/>
    <w:rsid w:val="0001411D"/>
    <w:rsid w:val="00015CFE"/>
    <w:rsid w:val="00024CAD"/>
    <w:rsid w:val="000256F5"/>
    <w:rsid w:val="00025F5E"/>
    <w:rsid w:val="00027CE3"/>
    <w:rsid w:val="00027F75"/>
    <w:rsid w:val="00034325"/>
    <w:rsid w:val="00035F3E"/>
    <w:rsid w:val="00036039"/>
    <w:rsid w:val="00036170"/>
    <w:rsid w:val="00037F90"/>
    <w:rsid w:val="0004023A"/>
    <w:rsid w:val="00041A39"/>
    <w:rsid w:val="000453BA"/>
    <w:rsid w:val="000454D3"/>
    <w:rsid w:val="00046766"/>
    <w:rsid w:val="0005790F"/>
    <w:rsid w:val="000605C4"/>
    <w:rsid w:val="00061AC1"/>
    <w:rsid w:val="00061F92"/>
    <w:rsid w:val="0006307A"/>
    <w:rsid w:val="00064B67"/>
    <w:rsid w:val="00066A43"/>
    <w:rsid w:val="00072250"/>
    <w:rsid w:val="000735E6"/>
    <w:rsid w:val="00074C20"/>
    <w:rsid w:val="000763EB"/>
    <w:rsid w:val="00085B5C"/>
    <w:rsid w:val="000875BF"/>
    <w:rsid w:val="00096D8C"/>
    <w:rsid w:val="000A0DD5"/>
    <w:rsid w:val="000A0DFE"/>
    <w:rsid w:val="000A3553"/>
    <w:rsid w:val="000A3FD4"/>
    <w:rsid w:val="000A7A5E"/>
    <w:rsid w:val="000B2532"/>
    <w:rsid w:val="000B6472"/>
    <w:rsid w:val="000C0490"/>
    <w:rsid w:val="000C0B65"/>
    <w:rsid w:val="000C49B8"/>
    <w:rsid w:val="000D13F1"/>
    <w:rsid w:val="000D24F2"/>
    <w:rsid w:val="000D35D4"/>
    <w:rsid w:val="000D42FA"/>
    <w:rsid w:val="000D4CB5"/>
    <w:rsid w:val="000D518B"/>
    <w:rsid w:val="000E05FE"/>
    <w:rsid w:val="000E0D55"/>
    <w:rsid w:val="000E3D42"/>
    <w:rsid w:val="000F6D6D"/>
    <w:rsid w:val="00100FEB"/>
    <w:rsid w:val="00104F59"/>
    <w:rsid w:val="001067B1"/>
    <w:rsid w:val="00112541"/>
    <w:rsid w:val="00112CFA"/>
    <w:rsid w:val="00115CA3"/>
    <w:rsid w:val="00117617"/>
    <w:rsid w:val="00122BD5"/>
    <w:rsid w:val="0012467A"/>
    <w:rsid w:val="0012500C"/>
    <w:rsid w:val="00133F79"/>
    <w:rsid w:val="00134E02"/>
    <w:rsid w:val="00140939"/>
    <w:rsid w:val="00143653"/>
    <w:rsid w:val="001438A2"/>
    <w:rsid w:val="001468C7"/>
    <w:rsid w:val="0015307C"/>
    <w:rsid w:val="00153D3A"/>
    <w:rsid w:val="00156228"/>
    <w:rsid w:val="001645B8"/>
    <w:rsid w:val="0017216C"/>
    <w:rsid w:val="001735F8"/>
    <w:rsid w:val="00176C6A"/>
    <w:rsid w:val="001854FA"/>
    <w:rsid w:val="001874C6"/>
    <w:rsid w:val="00187A5E"/>
    <w:rsid w:val="00194A66"/>
    <w:rsid w:val="00196F07"/>
    <w:rsid w:val="001A0435"/>
    <w:rsid w:val="001A4A3B"/>
    <w:rsid w:val="001B10D8"/>
    <w:rsid w:val="001B114C"/>
    <w:rsid w:val="001B2765"/>
    <w:rsid w:val="001B71DC"/>
    <w:rsid w:val="001C7AF3"/>
    <w:rsid w:val="001D30FF"/>
    <w:rsid w:val="001D5A85"/>
    <w:rsid w:val="001D6BCF"/>
    <w:rsid w:val="001E01CA"/>
    <w:rsid w:val="001E03B4"/>
    <w:rsid w:val="001E0CE3"/>
    <w:rsid w:val="001E2FA7"/>
    <w:rsid w:val="001E5FAF"/>
    <w:rsid w:val="001F15E4"/>
    <w:rsid w:val="001F1815"/>
    <w:rsid w:val="00200194"/>
    <w:rsid w:val="00204690"/>
    <w:rsid w:val="00211763"/>
    <w:rsid w:val="002118DE"/>
    <w:rsid w:val="00213E9B"/>
    <w:rsid w:val="00223EEB"/>
    <w:rsid w:val="00226679"/>
    <w:rsid w:val="00235273"/>
    <w:rsid w:val="0023580C"/>
    <w:rsid w:val="002365BC"/>
    <w:rsid w:val="002373FF"/>
    <w:rsid w:val="0024030A"/>
    <w:rsid w:val="00246569"/>
    <w:rsid w:val="00250D6A"/>
    <w:rsid w:val="002523B8"/>
    <w:rsid w:val="00253BD7"/>
    <w:rsid w:val="002623AA"/>
    <w:rsid w:val="00263538"/>
    <w:rsid w:val="00263916"/>
    <w:rsid w:val="0026439A"/>
    <w:rsid w:val="00265138"/>
    <w:rsid w:val="002710D7"/>
    <w:rsid w:val="00272F81"/>
    <w:rsid w:val="00275B9E"/>
    <w:rsid w:val="00275CF5"/>
    <w:rsid w:val="00282EBB"/>
    <w:rsid w:val="0028301F"/>
    <w:rsid w:val="00283076"/>
    <w:rsid w:val="002833E0"/>
    <w:rsid w:val="00285017"/>
    <w:rsid w:val="00286F53"/>
    <w:rsid w:val="00287886"/>
    <w:rsid w:val="00296D40"/>
    <w:rsid w:val="002A2D2E"/>
    <w:rsid w:val="002A3028"/>
    <w:rsid w:val="002A3F42"/>
    <w:rsid w:val="002B0110"/>
    <w:rsid w:val="002B0555"/>
    <w:rsid w:val="002B22B2"/>
    <w:rsid w:val="002B3179"/>
    <w:rsid w:val="002B78E9"/>
    <w:rsid w:val="002C00E8"/>
    <w:rsid w:val="002C4053"/>
    <w:rsid w:val="002D0846"/>
    <w:rsid w:val="002D1369"/>
    <w:rsid w:val="002D1DA9"/>
    <w:rsid w:val="002D4BE3"/>
    <w:rsid w:val="002F14BD"/>
    <w:rsid w:val="002F3756"/>
    <w:rsid w:val="002F4366"/>
    <w:rsid w:val="003000E5"/>
    <w:rsid w:val="00302035"/>
    <w:rsid w:val="00314077"/>
    <w:rsid w:val="003164FB"/>
    <w:rsid w:val="003240E9"/>
    <w:rsid w:val="0033198C"/>
    <w:rsid w:val="00331B00"/>
    <w:rsid w:val="00331F72"/>
    <w:rsid w:val="00343749"/>
    <w:rsid w:val="003561D6"/>
    <w:rsid w:val="00362237"/>
    <w:rsid w:val="003627F3"/>
    <w:rsid w:val="00363349"/>
    <w:rsid w:val="00364D20"/>
    <w:rsid w:val="003660ED"/>
    <w:rsid w:val="003723DA"/>
    <w:rsid w:val="0037252A"/>
    <w:rsid w:val="0037717E"/>
    <w:rsid w:val="0038726B"/>
    <w:rsid w:val="003876D0"/>
    <w:rsid w:val="003903CD"/>
    <w:rsid w:val="00392795"/>
    <w:rsid w:val="00394FCC"/>
    <w:rsid w:val="00395CBA"/>
    <w:rsid w:val="00395F4C"/>
    <w:rsid w:val="00396187"/>
    <w:rsid w:val="003A061A"/>
    <w:rsid w:val="003A55C7"/>
    <w:rsid w:val="003B0550"/>
    <w:rsid w:val="003B257D"/>
    <w:rsid w:val="003B694F"/>
    <w:rsid w:val="003C43EF"/>
    <w:rsid w:val="003C7B45"/>
    <w:rsid w:val="003C7B8D"/>
    <w:rsid w:val="003D180D"/>
    <w:rsid w:val="003D4BED"/>
    <w:rsid w:val="003D5CB4"/>
    <w:rsid w:val="003D6B45"/>
    <w:rsid w:val="003E02E2"/>
    <w:rsid w:val="003E6184"/>
    <w:rsid w:val="003F171C"/>
    <w:rsid w:val="003F5AE5"/>
    <w:rsid w:val="003F7A5E"/>
    <w:rsid w:val="0040414B"/>
    <w:rsid w:val="0041006E"/>
    <w:rsid w:val="00412FC5"/>
    <w:rsid w:val="00413C00"/>
    <w:rsid w:val="00422276"/>
    <w:rsid w:val="00422F0A"/>
    <w:rsid w:val="004242F1"/>
    <w:rsid w:val="00426BC8"/>
    <w:rsid w:val="004449D0"/>
    <w:rsid w:val="00445A00"/>
    <w:rsid w:val="00451AB7"/>
    <w:rsid w:val="00451B0F"/>
    <w:rsid w:val="00455A7F"/>
    <w:rsid w:val="00465F68"/>
    <w:rsid w:val="00467757"/>
    <w:rsid w:val="004763F0"/>
    <w:rsid w:val="004811F0"/>
    <w:rsid w:val="00484363"/>
    <w:rsid w:val="00490CDA"/>
    <w:rsid w:val="004948A4"/>
    <w:rsid w:val="004A00F0"/>
    <w:rsid w:val="004A6D25"/>
    <w:rsid w:val="004B4E5A"/>
    <w:rsid w:val="004B664D"/>
    <w:rsid w:val="004B7655"/>
    <w:rsid w:val="004C2EE3"/>
    <w:rsid w:val="004D7568"/>
    <w:rsid w:val="004E0543"/>
    <w:rsid w:val="004E0B49"/>
    <w:rsid w:val="004E4A22"/>
    <w:rsid w:val="004E6662"/>
    <w:rsid w:val="004F1A6C"/>
    <w:rsid w:val="004F32C1"/>
    <w:rsid w:val="004F4249"/>
    <w:rsid w:val="004F7177"/>
    <w:rsid w:val="00500815"/>
    <w:rsid w:val="00507AAB"/>
    <w:rsid w:val="00511968"/>
    <w:rsid w:val="00514C9F"/>
    <w:rsid w:val="0051769D"/>
    <w:rsid w:val="005208C0"/>
    <w:rsid w:val="00520971"/>
    <w:rsid w:val="005254C6"/>
    <w:rsid w:val="005276BA"/>
    <w:rsid w:val="00535780"/>
    <w:rsid w:val="00536326"/>
    <w:rsid w:val="00541ABE"/>
    <w:rsid w:val="00544FD6"/>
    <w:rsid w:val="00546481"/>
    <w:rsid w:val="00552687"/>
    <w:rsid w:val="0055614C"/>
    <w:rsid w:val="00557360"/>
    <w:rsid w:val="005623AF"/>
    <w:rsid w:val="00565537"/>
    <w:rsid w:val="005776BD"/>
    <w:rsid w:val="00581D41"/>
    <w:rsid w:val="00590046"/>
    <w:rsid w:val="00591598"/>
    <w:rsid w:val="0059163F"/>
    <w:rsid w:val="00594552"/>
    <w:rsid w:val="0059624D"/>
    <w:rsid w:val="005A2193"/>
    <w:rsid w:val="005B3AE9"/>
    <w:rsid w:val="005B71F6"/>
    <w:rsid w:val="005C2E2E"/>
    <w:rsid w:val="005D1DAA"/>
    <w:rsid w:val="005D6272"/>
    <w:rsid w:val="005E14C2"/>
    <w:rsid w:val="005E5315"/>
    <w:rsid w:val="005E6F7A"/>
    <w:rsid w:val="005E7FD2"/>
    <w:rsid w:val="005F1E31"/>
    <w:rsid w:val="005F6D1F"/>
    <w:rsid w:val="00601D3E"/>
    <w:rsid w:val="00605132"/>
    <w:rsid w:val="00607BA5"/>
    <w:rsid w:val="0061180A"/>
    <w:rsid w:val="006119E4"/>
    <w:rsid w:val="00613F8E"/>
    <w:rsid w:val="00616C6E"/>
    <w:rsid w:val="00621D19"/>
    <w:rsid w:val="00622544"/>
    <w:rsid w:val="00623C44"/>
    <w:rsid w:val="00625A64"/>
    <w:rsid w:val="00626EB6"/>
    <w:rsid w:val="0062732D"/>
    <w:rsid w:val="00637219"/>
    <w:rsid w:val="006431A5"/>
    <w:rsid w:val="00646C86"/>
    <w:rsid w:val="0065272C"/>
    <w:rsid w:val="00655D03"/>
    <w:rsid w:val="0065646E"/>
    <w:rsid w:val="00663E4F"/>
    <w:rsid w:val="006676C5"/>
    <w:rsid w:val="006676E5"/>
    <w:rsid w:val="00673AF2"/>
    <w:rsid w:val="0067758A"/>
    <w:rsid w:val="00683388"/>
    <w:rsid w:val="00683F84"/>
    <w:rsid w:val="006906A8"/>
    <w:rsid w:val="006919C9"/>
    <w:rsid w:val="00692ADE"/>
    <w:rsid w:val="006A56B0"/>
    <w:rsid w:val="006A6A81"/>
    <w:rsid w:val="006B076E"/>
    <w:rsid w:val="006B3345"/>
    <w:rsid w:val="006B422A"/>
    <w:rsid w:val="006E6A40"/>
    <w:rsid w:val="006F0EAC"/>
    <w:rsid w:val="006F4B71"/>
    <w:rsid w:val="006F56BC"/>
    <w:rsid w:val="006F61C2"/>
    <w:rsid w:val="006F7393"/>
    <w:rsid w:val="0070224F"/>
    <w:rsid w:val="0070453F"/>
    <w:rsid w:val="00710ED3"/>
    <w:rsid w:val="007115F7"/>
    <w:rsid w:val="007152CE"/>
    <w:rsid w:val="007157D2"/>
    <w:rsid w:val="00726AE1"/>
    <w:rsid w:val="007475C7"/>
    <w:rsid w:val="007478F9"/>
    <w:rsid w:val="00750A13"/>
    <w:rsid w:val="0075221C"/>
    <w:rsid w:val="007546CF"/>
    <w:rsid w:val="0075784E"/>
    <w:rsid w:val="0076108A"/>
    <w:rsid w:val="007755A5"/>
    <w:rsid w:val="0077738A"/>
    <w:rsid w:val="0078371B"/>
    <w:rsid w:val="00785689"/>
    <w:rsid w:val="007859E3"/>
    <w:rsid w:val="007872BE"/>
    <w:rsid w:val="00791122"/>
    <w:rsid w:val="0079754B"/>
    <w:rsid w:val="00797E30"/>
    <w:rsid w:val="007A0687"/>
    <w:rsid w:val="007A1D62"/>
    <w:rsid w:val="007A1E6D"/>
    <w:rsid w:val="007A1EDE"/>
    <w:rsid w:val="007B0EB2"/>
    <w:rsid w:val="007B18A7"/>
    <w:rsid w:val="007B44C4"/>
    <w:rsid w:val="007B5FFC"/>
    <w:rsid w:val="007B7F0D"/>
    <w:rsid w:val="007C25C3"/>
    <w:rsid w:val="007C3897"/>
    <w:rsid w:val="007C62CE"/>
    <w:rsid w:val="007D3DC7"/>
    <w:rsid w:val="007D61C5"/>
    <w:rsid w:val="007E0F7B"/>
    <w:rsid w:val="007E47E5"/>
    <w:rsid w:val="007E5B51"/>
    <w:rsid w:val="007E64C7"/>
    <w:rsid w:val="007E6CCB"/>
    <w:rsid w:val="008024CA"/>
    <w:rsid w:val="00802B62"/>
    <w:rsid w:val="00802E79"/>
    <w:rsid w:val="008037FA"/>
    <w:rsid w:val="00803B30"/>
    <w:rsid w:val="008043C4"/>
    <w:rsid w:val="00804E9D"/>
    <w:rsid w:val="00807781"/>
    <w:rsid w:val="0081040D"/>
    <w:rsid w:val="00810B6F"/>
    <w:rsid w:val="008131C3"/>
    <w:rsid w:val="00817ACD"/>
    <w:rsid w:val="00820A48"/>
    <w:rsid w:val="00821725"/>
    <w:rsid w:val="00821BFE"/>
    <w:rsid w:val="00822CE0"/>
    <w:rsid w:val="008258E5"/>
    <w:rsid w:val="00832CA9"/>
    <w:rsid w:val="00832E39"/>
    <w:rsid w:val="008340A4"/>
    <w:rsid w:val="008341EC"/>
    <w:rsid w:val="00837AD4"/>
    <w:rsid w:val="00841AB1"/>
    <w:rsid w:val="008429EF"/>
    <w:rsid w:val="00844163"/>
    <w:rsid w:val="0084433E"/>
    <w:rsid w:val="0084587C"/>
    <w:rsid w:val="00863B8B"/>
    <w:rsid w:val="00867C83"/>
    <w:rsid w:val="00867CCB"/>
    <w:rsid w:val="00875492"/>
    <w:rsid w:val="0087646D"/>
    <w:rsid w:val="008876DB"/>
    <w:rsid w:val="00892E8F"/>
    <w:rsid w:val="008944F3"/>
    <w:rsid w:val="008969DD"/>
    <w:rsid w:val="00897B5F"/>
    <w:rsid w:val="008A5B0C"/>
    <w:rsid w:val="008B08F9"/>
    <w:rsid w:val="008B26C6"/>
    <w:rsid w:val="008B3814"/>
    <w:rsid w:val="008B5B61"/>
    <w:rsid w:val="008C1037"/>
    <w:rsid w:val="008C65B7"/>
    <w:rsid w:val="008C68F1"/>
    <w:rsid w:val="008D771E"/>
    <w:rsid w:val="00905DB6"/>
    <w:rsid w:val="00907BD5"/>
    <w:rsid w:val="009142EB"/>
    <w:rsid w:val="00920229"/>
    <w:rsid w:val="00921803"/>
    <w:rsid w:val="00924A31"/>
    <w:rsid w:val="00926503"/>
    <w:rsid w:val="00926DE5"/>
    <w:rsid w:val="00930032"/>
    <w:rsid w:val="00931F44"/>
    <w:rsid w:val="0093395E"/>
    <w:rsid w:val="0094782A"/>
    <w:rsid w:val="009555E3"/>
    <w:rsid w:val="0095759E"/>
    <w:rsid w:val="009607AD"/>
    <w:rsid w:val="00961390"/>
    <w:rsid w:val="00961E1B"/>
    <w:rsid w:val="00962B34"/>
    <w:rsid w:val="009633A4"/>
    <w:rsid w:val="00964BC7"/>
    <w:rsid w:val="0096578F"/>
    <w:rsid w:val="009659E8"/>
    <w:rsid w:val="009726D8"/>
    <w:rsid w:val="00976094"/>
    <w:rsid w:val="00982C1C"/>
    <w:rsid w:val="009841A0"/>
    <w:rsid w:val="00985A2C"/>
    <w:rsid w:val="009871F1"/>
    <w:rsid w:val="009968E5"/>
    <w:rsid w:val="009A0B82"/>
    <w:rsid w:val="009A762A"/>
    <w:rsid w:val="009A7D5A"/>
    <w:rsid w:val="009B1944"/>
    <w:rsid w:val="009C7CEF"/>
    <w:rsid w:val="009C7F5F"/>
    <w:rsid w:val="009D0F87"/>
    <w:rsid w:val="009D210D"/>
    <w:rsid w:val="009E1200"/>
    <w:rsid w:val="009E4AAF"/>
    <w:rsid w:val="009F76DB"/>
    <w:rsid w:val="00A0023B"/>
    <w:rsid w:val="00A00DB5"/>
    <w:rsid w:val="00A13BA8"/>
    <w:rsid w:val="00A17050"/>
    <w:rsid w:val="00A21356"/>
    <w:rsid w:val="00A273BA"/>
    <w:rsid w:val="00A31628"/>
    <w:rsid w:val="00A31631"/>
    <w:rsid w:val="00A32C3B"/>
    <w:rsid w:val="00A34C7C"/>
    <w:rsid w:val="00A41DC4"/>
    <w:rsid w:val="00A435DF"/>
    <w:rsid w:val="00A45F4F"/>
    <w:rsid w:val="00A47613"/>
    <w:rsid w:val="00A531DC"/>
    <w:rsid w:val="00A600A9"/>
    <w:rsid w:val="00A652F8"/>
    <w:rsid w:val="00A6758F"/>
    <w:rsid w:val="00A75BC7"/>
    <w:rsid w:val="00A75C5E"/>
    <w:rsid w:val="00A80F66"/>
    <w:rsid w:val="00A81D55"/>
    <w:rsid w:val="00A84AFE"/>
    <w:rsid w:val="00A87905"/>
    <w:rsid w:val="00A95AD3"/>
    <w:rsid w:val="00AA49DD"/>
    <w:rsid w:val="00AA55B7"/>
    <w:rsid w:val="00AA5B9E"/>
    <w:rsid w:val="00AA60AA"/>
    <w:rsid w:val="00AA61FB"/>
    <w:rsid w:val="00AB2407"/>
    <w:rsid w:val="00AB53DF"/>
    <w:rsid w:val="00AC0A42"/>
    <w:rsid w:val="00AC3599"/>
    <w:rsid w:val="00AC4BF7"/>
    <w:rsid w:val="00AD182A"/>
    <w:rsid w:val="00AD3F01"/>
    <w:rsid w:val="00AE14A0"/>
    <w:rsid w:val="00AE58BF"/>
    <w:rsid w:val="00AE73C6"/>
    <w:rsid w:val="00AF043E"/>
    <w:rsid w:val="00AF47E5"/>
    <w:rsid w:val="00B07E5C"/>
    <w:rsid w:val="00B15340"/>
    <w:rsid w:val="00B17235"/>
    <w:rsid w:val="00B2407E"/>
    <w:rsid w:val="00B2555C"/>
    <w:rsid w:val="00B26CED"/>
    <w:rsid w:val="00B30107"/>
    <w:rsid w:val="00B31AB8"/>
    <w:rsid w:val="00B32EE2"/>
    <w:rsid w:val="00B3642B"/>
    <w:rsid w:val="00B370C1"/>
    <w:rsid w:val="00B438E3"/>
    <w:rsid w:val="00B43D50"/>
    <w:rsid w:val="00B4431D"/>
    <w:rsid w:val="00B4572F"/>
    <w:rsid w:val="00B52386"/>
    <w:rsid w:val="00B52C46"/>
    <w:rsid w:val="00B5526F"/>
    <w:rsid w:val="00B57F7A"/>
    <w:rsid w:val="00B619BC"/>
    <w:rsid w:val="00B61DB6"/>
    <w:rsid w:val="00B735A0"/>
    <w:rsid w:val="00B7668E"/>
    <w:rsid w:val="00B76A72"/>
    <w:rsid w:val="00B77C30"/>
    <w:rsid w:val="00B811F7"/>
    <w:rsid w:val="00B84C5B"/>
    <w:rsid w:val="00BA1990"/>
    <w:rsid w:val="00BA5DC6"/>
    <w:rsid w:val="00BA6196"/>
    <w:rsid w:val="00BA70F1"/>
    <w:rsid w:val="00BC1251"/>
    <w:rsid w:val="00BC3271"/>
    <w:rsid w:val="00BC6CFD"/>
    <w:rsid w:val="00BC6D8C"/>
    <w:rsid w:val="00BD1DC1"/>
    <w:rsid w:val="00BD6E2C"/>
    <w:rsid w:val="00BF2DEB"/>
    <w:rsid w:val="00BF2F3B"/>
    <w:rsid w:val="00BF6741"/>
    <w:rsid w:val="00C044F0"/>
    <w:rsid w:val="00C062DA"/>
    <w:rsid w:val="00C07CFD"/>
    <w:rsid w:val="00C113AD"/>
    <w:rsid w:val="00C14228"/>
    <w:rsid w:val="00C15103"/>
    <w:rsid w:val="00C17CD5"/>
    <w:rsid w:val="00C2014B"/>
    <w:rsid w:val="00C21637"/>
    <w:rsid w:val="00C231E8"/>
    <w:rsid w:val="00C24E8E"/>
    <w:rsid w:val="00C2686D"/>
    <w:rsid w:val="00C31F89"/>
    <w:rsid w:val="00C32EFC"/>
    <w:rsid w:val="00C34006"/>
    <w:rsid w:val="00C36C6D"/>
    <w:rsid w:val="00C40B8E"/>
    <w:rsid w:val="00C426B1"/>
    <w:rsid w:val="00C475B9"/>
    <w:rsid w:val="00C52BCD"/>
    <w:rsid w:val="00C66160"/>
    <w:rsid w:val="00C716D5"/>
    <w:rsid w:val="00C721AC"/>
    <w:rsid w:val="00C8238C"/>
    <w:rsid w:val="00C828E9"/>
    <w:rsid w:val="00C90D6A"/>
    <w:rsid w:val="00CA247E"/>
    <w:rsid w:val="00CA673F"/>
    <w:rsid w:val="00CB4282"/>
    <w:rsid w:val="00CB78BF"/>
    <w:rsid w:val="00CC2BC2"/>
    <w:rsid w:val="00CC3DDF"/>
    <w:rsid w:val="00CC5CD8"/>
    <w:rsid w:val="00CC68EF"/>
    <w:rsid w:val="00CC72B6"/>
    <w:rsid w:val="00CD21AF"/>
    <w:rsid w:val="00CD25FB"/>
    <w:rsid w:val="00CE1A8B"/>
    <w:rsid w:val="00CE756E"/>
    <w:rsid w:val="00CF5AA4"/>
    <w:rsid w:val="00CF6118"/>
    <w:rsid w:val="00CF6B26"/>
    <w:rsid w:val="00CF7E11"/>
    <w:rsid w:val="00D0218D"/>
    <w:rsid w:val="00D06BF6"/>
    <w:rsid w:val="00D07BAF"/>
    <w:rsid w:val="00D11F2A"/>
    <w:rsid w:val="00D13F17"/>
    <w:rsid w:val="00D167E3"/>
    <w:rsid w:val="00D21599"/>
    <w:rsid w:val="00D23E96"/>
    <w:rsid w:val="00D24541"/>
    <w:rsid w:val="00D25FB5"/>
    <w:rsid w:val="00D31502"/>
    <w:rsid w:val="00D3355E"/>
    <w:rsid w:val="00D35270"/>
    <w:rsid w:val="00D374F1"/>
    <w:rsid w:val="00D44223"/>
    <w:rsid w:val="00D44315"/>
    <w:rsid w:val="00D45813"/>
    <w:rsid w:val="00D46599"/>
    <w:rsid w:val="00D500BB"/>
    <w:rsid w:val="00D51B39"/>
    <w:rsid w:val="00D56B5D"/>
    <w:rsid w:val="00D61023"/>
    <w:rsid w:val="00D6580E"/>
    <w:rsid w:val="00D7122F"/>
    <w:rsid w:val="00D717D5"/>
    <w:rsid w:val="00D737A3"/>
    <w:rsid w:val="00D73E63"/>
    <w:rsid w:val="00D74410"/>
    <w:rsid w:val="00D75B3E"/>
    <w:rsid w:val="00D76B66"/>
    <w:rsid w:val="00D77564"/>
    <w:rsid w:val="00D81DB9"/>
    <w:rsid w:val="00D84BE7"/>
    <w:rsid w:val="00D90D39"/>
    <w:rsid w:val="00D94A54"/>
    <w:rsid w:val="00DA2529"/>
    <w:rsid w:val="00DA434C"/>
    <w:rsid w:val="00DB130A"/>
    <w:rsid w:val="00DB1758"/>
    <w:rsid w:val="00DB2EBB"/>
    <w:rsid w:val="00DB5345"/>
    <w:rsid w:val="00DC10A1"/>
    <w:rsid w:val="00DC5F5F"/>
    <w:rsid w:val="00DC655F"/>
    <w:rsid w:val="00DD07EF"/>
    <w:rsid w:val="00DD0B59"/>
    <w:rsid w:val="00DD3764"/>
    <w:rsid w:val="00DD791D"/>
    <w:rsid w:val="00DD7EBD"/>
    <w:rsid w:val="00DE06A8"/>
    <w:rsid w:val="00DE4D53"/>
    <w:rsid w:val="00DF62B6"/>
    <w:rsid w:val="00DF7867"/>
    <w:rsid w:val="00E00FFC"/>
    <w:rsid w:val="00E07225"/>
    <w:rsid w:val="00E10609"/>
    <w:rsid w:val="00E11B38"/>
    <w:rsid w:val="00E1328B"/>
    <w:rsid w:val="00E132BC"/>
    <w:rsid w:val="00E1350A"/>
    <w:rsid w:val="00E13A14"/>
    <w:rsid w:val="00E162DE"/>
    <w:rsid w:val="00E16DEC"/>
    <w:rsid w:val="00E21347"/>
    <w:rsid w:val="00E229DB"/>
    <w:rsid w:val="00E23FE1"/>
    <w:rsid w:val="00E333C2"/>
    <w:rsid w:val="00E341D4"/>
    <w:rsid w:val="00E341FE"/>
    <w:rsid w:val="00E37F13"/>
    <w:rsid w:val="00E52365"/>
    <w:rsid w:val="00E5409F"/>
    <w:rsid w:val="00E73193"/>
    <w:rsid w:val="00E731D0"/>
    <w:rsid w:val="00E7489F"/>
    <w:rsid w:val="00E75FCC"/>
    <w:rsid w:val="00E80679"/>
    <w:rsid w:val="00E8073B"/>
    <w:rsid w:val="00E84E76"/>
    <w:rsid w:val="00E862EC"/>
    <w:rsid w:val="00E90F0D"/>
    <w:rsid w:val="00E95D21"/>
    <w:rsid w:val="00E96928"/>
    <w:rsid w:val="00EA0F4C"/>
    <w:rsid w:val="00EA278C"/>
    <w:rsid w:val="00EA3147"/>
    <w:rsid w:val="00EA71D6"/>
    <w:rsid w:val="00EB00BA"/>
    <w:rsid w:val="00EC19AB"/>
    <w:rsid w:val="00EC30AC"/>
    <w:rsid w:val="00EC62F0"/>
    <w:rsid w:val="00ED0336"/>
    <w:rsid w:val="00ED0D34"/>
    <w:rsid w:val="00ED2377"/>
    <w:rsid w:val="00ED56B6"/>
    <w:rsid w:val="00ED56EE"/>
    <w:rsid w:val="00EE2A59"/>
    <w:rsid w:val="00EE6488"/>
    <w:rsid w:val="00EF2F3C"/>
    <w:rsid w:val="00F021FA"/>
    <w:rsid w:val="00F05664"/>
    <w:rsid w:val="00F15781"/>
    <w:rsid w:val="00F15B70"/>
    <w:rsid w:val="00F17052"/>
    <w:rsid w:val="00F20220"/>
    <w:rsid w:val="00F20F29"/>
    <w:rsid w:val="00F230B5"/>
    <w:rsid w:val="00F30FAE"/>
    <w:rsid w:val="00F312A5"/>
    <w:rsid w:val="00F323E2"/>
    <w:rsid w:val="00F35BA5"/>
    <w:rsid w:val="00F37BB3"/>
    <w:rsid w:val="00F43B67"/>
    <w:rsid w:val="00F45DF5"/>
    <w:rsid w:val="00F46694"/>
    <w:rsid w:val="00F46C71"/>
    <w:rsid w:val="00F500D5"/>
    <w:rsid w:val="00F52EEA"/>
    <w:rsid w:val="00F603B1"/>
    <w:rsid w:val="00F61E8A"/>
    <w:rsid w:val="00F62E97"/>
    <w:rsid w:val="00F64209"/>
    <w:rsid w:val="00F66720"/>
    <w:rsid w:val="00F74624"/>
    <w:rsid w:val="00F74647"/>
    <w:rsid w:val="00F75386"/>
    <w:rsid w:val="00F80098"/>
    <w:rsid w:val="00F825E8"/>
    <w:rsid w:val="00F8545B"/>
    <w:rsid w:val="00F9152E"/>
    <w:rsid w:val="00F92D86"/>
    <w:rsid w:val="00F93BF5"/>
    <w:rsid w:val="00F97C9C"/>
    <w:rsid w:val="00F97CC9"/>
    <w:rsid w:val="00FB68BC"/>
    <w:rsid w:val="00FB78C8"/>
    <w:rsid w:val="00FC368C"/>
    <w:rsid w:val="00FC42F7"/>
    <w:rsid w:val="00FC432C"/>
    <w:rsid w:val="00FC4596"/>
    <w:rsid w:val="00FC76D2"/>
    <w:rsid w:val="00FC7FA1"/>
    <w:rsid w:val="00FD0CBB"/>
    <w:rsid w:val="00FD0F33"/>
    <w:rsid w:val="00FD371D"/>
    <w:rsid w:val="00FE23E3"/>
    <w:rsid w:val="00FE554E"/>
    <w:rsid w:val="00FF41AA"/>
    <w:rsid w:val="00FF4A74"/>
    <w:rsid w:val="00FF6208"/>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D5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AE9"/>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2 Char,Footnote Text Char3 Char Char,Footnote Text Char2 Char Char Char,Footnote Text Char Char Char1 Char Char Char,Footnote Text Char1 Char1 Char Char Char,Footnote Text Char Char Char2 Char Char,fn"/>
    <w:link w:val="FootnoteTextChar"/>
    <w:rsid w:val="000E3D42"/>
    <w:pPr>
      <w:spacing w:after="120"/>
    </w:pPr>
  </w:style>
  <w:style w:type="character" w:styleId="FootnoteReference">
    <w:name w:val="footnote reference"/>
    <w:aliases w:val="Style 12,(NECG) Footnote Reference,Appel note de bas de p,Style 124,Style 13,o,fr,Style 3,FR,Style 17,Style 6,Footnote Reference/,Style 4,Style 7,Footnote Reference1"/>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Title">
    <w:name w:val="Title"/>
    <w:basedOn w:val="Normal"/>
    <w:link w:val="TitleChar"/>
    <w:qFormat/>
    <w:rsid w:val="005B3AE9"/>
    <w:pPr>
      <w:tabs>
        <w:tab w:val="center" w:pos="4680"/>
      </w:tabs>
      <w:suppressAutoHyphens/>
      <w:jc w:val="center"/>
    </w:pPr>
    <w:rPr>
      <w:b/>
    </w:rPr>
  </w:style>
  <w:style w:type="character" w:customStyle="1" w:styleId="TitleChar">
    <w:name w:val="Title Char"/>
    <w:basedOn w:val="DefaultParagraphFont"/>
    <w:link w:val="Title"/>
    <w:rsid w:val="005B3AE9"/>
    <w:rPr>
      <w:b/>
      <w:snapToGrid w:val="0"/>
      <w:kern w:val="28"/>
      <w:sz w:val="22"/>
    </w:rPr>
  </w:style>
  <w:style w:type="paragraph" w:customStyle="1" w:styleId="Normal12">
    <w:name w:val="Normal 12"/>
    <w:basedOn w:val="Normal"/>
    <w:rsid w:val="005B3AE9"/>
    <w:pPr>
      <w:ind w:firstLine="720"/>
    </w:pPr>
    <w:rPr>
      <w:sz w:val="24"/>
    </w:rPr>
  </w:style>
  <w:style w:type="character" w:customStyle="1" w:styleId="FootnoteTextChar">
    <w:name w:val="Footnote Text Char"/>
    <w:aliases w:val="Footnote Text Char2 Char Char,Footnote Text Char3 Char Char Char,Footnote Text Char2 Char Char Char Char,Footnote Text Char Char Char1 Char Char Char Char,Footnote Text Char1 Char1 Char Char Char Char,fn Char"/>
    <w:link w:val="FootnoteText"/>
    <w:locked/>
    <w:rsid w:val="005B3AE9"/>
  </w:style>
  <w:style w:type="character" w:styleId="FollowedHyperlink">
    <w:name w:val="FollowedHyperlink"/>
    <w:basedOn w:val="DefaultParagraphFont"/>
    <w:rsid w:val="00223EEB"/>
    <w:rPr>
      <w:color w:val="954F72" w:themeColor="followedHyperlink"/>
      <w:u w:val="single"/>
    </w:rPr>
  </w:style>
  <w:style w:type="character" w:styleId="CommentReference">
    <w:name w:val="annotation reference"/>
    <w:basedOn w:val="DefaultParagraphFont"/>
    <w:rsid w:val="009607AD"/>
    <w:rPr>
      <w:sz w:val="16"/>
      <w:szCs w:val="16"/>
    </w:rPr>
  </w:style>
  <w:style w:type="paragraph" w:styleId="CommentText">
    <w:name w:val="annotation text"/>
    <w:basedOn w:val="Normal"/>
    <w:link w:val="CommentTextChar"/>
    <w:rsid w:val="009607AD"/>
    <w:rPr>
      <w:sz w:val="20"/>
    </w:rPr>
  </w:style>
  <w:style w:type="character" w:customStyle="1" w:styleId="CommentTextChar">
    <w:name w:val="Comment Text Char"/>
    <w:basedOn w:val="DefaultParagraphFont"/>
    <w:link w:val="CommentText"/>
    <w:rsid w:val="009607AD"/>
    <w:rPr>
      <w:snapToGrid w:val="0"/>
      <w:kern w:val="28"/>
    </w:rPr>
  </w:style>
  <w:style w:type="paragraph" w:styleId="CommentSubject">
    <w:name w:val="annotation subject"/>
    <w:basedOn w:val="CommentText"/>
    <w:next w:val="CommentText"/>
    <w:link w:val="CommentSubjectChar"/>
    <w:rsid w:val="009607AD"/>
    <w:rPr>
      <w:b/>
      <w:bCs/>
    </w:rPr>
  </w:style>
  <w:style w:type="character" w:customStyle="1" w:styleId="CommentSubjectChar">
    <w:name w:val="Comment Subject Char"/>
    <w:basedOn w:val="CommentTextChar"/>
    <w:link w:val="CommentSubject"/>
    <w:rsid w:val="009607AD"/>
    <w:rPr>
      <w:b/>
      <w:bCs/>
      <w:snapToGrid w:val="0"/>
      <w:kern w:val="28"/>
    </w:rPr>
  </w:style>
  <w:style w:type="paragraph" w:styleId="BalloonText">
    <w:name w:val="Balloon Text"/>
    <w:basedOn w:val="Normal"/>
    <w:link w:val="BalloonTextChar"/>
    <w:rsid w:val="009607AD"/>
    <w:rPr>
      <w:rFonts w:ascii="Segoe UI" w:hAnsi="Segoe UI" w:cs="Segoe UI"/>
      <w:sz w:val="18"/>
      <w:szCs w:val="18"/>
    </w:rPr>
  </w:style>
  <w:style w:type="character" w:customStyle="1" w:styleId="BalloonTextChar">
    <w:name w:val="Balloon Text Char"/>
    <w:basedOn w:val="DefaultParagraphFont"/>
    <w:link w:val="BalloonText"/>
    <w:rsid w:val="009607AD"/>
    <w:rPr>
      <w:rFonts w:ascii="Segoe UI" w:hAnsi="Segoe UI" w:cs="Segoe UI"/>
      <w:snapToGrid w:val="0"/>
      <w:kern w:val="28"/>
      <w:sz w:val="18"/>
      <w:szCs w:val="18"/>
    </w:rPr>
  </w:style>
  <w:style w:type="paragraph" w:styleId="ListParagraph">
    <w:name w:val="List Paragraph"/>
    <w:basedOn w:val="Normal"/>
    <w:uiPriority w:val="34"/>
    <w:qFormat/>
    <w:rsid w:val="00926DE5"/>
    <w:pPr>
      <w:ind w:left="720"/>
      <w:contextualSpacing/>
    </w:pPr>
  </w:style>
  <w:style w:type="character" w:customStyle="1" w:styleId="cosearchterm">
    <w:name w:val="co_searchterm"/>
    <w:basedOn w:val="DefaultParagraphFont"/>
    <w:rsid w:val="005F6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5907">
      <w:bodyDiv w:val="1"/>
      <w:marLeft w:val="0"/>
      <w:marRight w:val="0"/>
      <w:marTop w:val="0"/>
      <w:marBottom w:val="0"/>
      <w:divBdr>
        <w:top w:val="none" w:sz="0" w:space="0" w:color="auto"/>
        <w:left w:val="none" w:sz="0" w:space="0" w:color="auto"/>
        <w:bottom w:val="none" w:sz="0" w:space="0" w:color="auto"/>
        <w:right w:val="none" w:sz="0" w:space="0" w:color="auto"/>
      </w:divBdr>
    </w:div>
    <w:div w:id="80491485">
      <w:bodyDiv w:val="1"/>
      <w:marLeft w:val="0"/>
      <w:marRight w:val="0"/>
      <w:marTop w:val="0"/>
      <w:marBottom w:val="0"/>
      <w:divBdr>
        <w:top w:val="none" w:sz="0" w:space="0" w:color="auto"/>
        <w:left w:val="none" w:sz="0" w:space="0" w:color="auto"/>
        <w:bottom w:val="none" w:sz="0" w:space="0" w:color="auto"/>
        <w:right w:val="none" w:sz="0" w:space="0" w:color="auto"/>
      </w:divBdr>
    </w:div>
    <w:div w:id="165289129">
      <w:bodyDiv w:val="1"/>
      <w:marLeft w:val="0"/>
      <w:marRight w:val="0"/>
      <w:marTop w:val="0"/>
      <w:marBottom w:val="0"/>
      <w:divBdr>
        <w:top w:val="none" w:sz="0" w:space="0" w:color="auto"/>
        <w:left w:val="none" w:sz="0" w:space="0" w:color="auto"/>
        <w:bottom w:val="none" w:sz="0" w:space="0" w:color="auto"/>
        <w:right w:val="none" w:sz="0" w:space="0" w:color="auto"/>
      </w:divBdr>
    </w:div>
    <w:div w:id="225070832">
      <w:bodyDiv w:val="1"/>
      <w:marLeft w:val="0"/>
      <w:marRight w:val="0"/>
      <w:marTop w:val="0"/>
      <w:marBottom w:val="0"/>
      <w:divBdr>
        <w:top w:val="none" w:sz="0" w:space="0" w:color="auto"/>
        <w:left w:val="none" w:sz="0" w:space="0" w:color="auto"/>
        <w:bottom w:val="none" w:sz="0" w:space="0" w:color="auto"/>
        <w:right w:val="none" w:sz="0" w:space="0" w:color="auto"/>
      </w:divBdr>
      <w:divsChild>
        <w:div w:id="898517217">
          <w:marLeft w:val="0"/>
          <w:marRight w:val="0"/>
          <w:marTop w:val="0"/>
          <w:marBottom w:val="0"/>
          <w:divBdr>
            <w:top w:val="none" w:sz="0" w:space="0" w:color="auto"/>
            <w:left w:val="none" w:sz="0" w:space="0" w:color="auto"/>
            <w:bottom w:val="none" w:sz="0" w:space="0" w:color="auto"/>
            <w:right w:val="none" w:sz="0" w:space="0" w:color="auto"/>
          </w:divBdr>
          <w:divsChild>
            <w:div w:id="4496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387">
      <w:bodyDiv w:val="1"/>
      <w:marLeft w:val="0"/>
      <w:marRight w:val="0"/>
      <w:marTop w:val="0"/>
      <w:marBottom w:val="0"/>
      <w:divBdr>
        <w:top w:val="none" w:sz="0" w:space="0" w:color="auto"/>
        <w:left w:val="none" w:sz="0" w:space="0" w:color="auto"/>
        <w:bottom w:val="none" w:sz="0" w:space="0" w:color="auto"/>
        <w:right w:val="none" w:sz="0" w:space="0" w:color="auto"/>
      </w:divBdr>
      <w:divsChild>
        <w:div w:id="1664164186">
          <w:marLeft w:val="0"/>
          <w:marRight w:val="0"/>
          <w:marTop w:val="0"/>
          <w:marBottom w:val="0"/>
          <w:divBdr>
            <w:top w:val="none" w:sz="0" w:space="0" w:color="auto"/>
            <w:left w:val="none" w:sz="0" w:space="0" w:color="auto"/>
            <w:bottom w:val="none" w:sz="0" w:space="0" w:color="auto"/>
            <w:right w:val="none" w:sz="0" w:space="0" w:color="auto"/>
          </w:divBdr>
          <w:divsChild>
            <w:div w:id="6519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31152">
      <w:bodyDiv w:val="1"/>
      <w:marLeft w:val="0"/>
      <w:marRight w:val="0"/>
      <w:marTop w:val="0"/>
      <w:marBottom w:val="0"/>
      <w:divBdr>
        <w:top w:val="none" w:sz="0" w:space="0" w:color="auto"/>
        <w:left w:val="none" w:sz="0" w:space="0" w:color="auto"/>
        <w:bottom w:val="none" w:sz="0" w:space="0" w:color="auto"/>
        <w:right w:val="none" w:sz="0" w:space="0" w:color="auto"/>
      </w:divBdr>
    </w:div>
    <w:div w:id="509880554">
      <w:bodyDiv w:val="1"/>
      <w:marLeft w:val="0"/>
      <w:marRight w:val="0"/>
      <w:marTop w:val="0"/>
      <w:marBottom w:val="0"/>
      <w:divBdr>
        <w:top w:val="none" w:sz="0" w:space="0" w:color="auto"/>
        <w:left w:val="none" w:sz="0" w:space="0" w:color="auto"/>
        <w:bottom w:val="none" w:sz="0" w:space="0" w:color="auto"/>
        <w:right w:val="none" w:sz="0" w:space="0" w:color="auto"/>
      </w:divBdr>
    </w:div>
    <w:div w:id="527185684">
      <w:bodyDiv w:val="1"/>
      <w:marLeft w:val="0"/>
      <w:marRight w:val="0"/>
      <w:marTop w:val="0"/>
      <w:marBottom w:val="0"/>
      <w:divBdr>
        <w:top w:val="none" w:sz="0" w:space="0" w:color="auto"/>
        <w:left w:val="none" w:sz="0" w:space="0" w:color="auto"/>
        <w:bottom w:val="none" w:sz="0" w:space="0" w:color="auto"/>
        <w:right w:val="none" w:sz="0" w:space="0" w:color="auto"/>
      </w:divBdr>
    </w:div>
    <w:div w:id="538784430">
      <w:bodyDiv w:val="1"/>
      <w:marLeft w:val="0"/>
      <w:marRight w:val="0"/>
      <w:marTop w:val="0"/>
      <w:marBottom w:val="0"/>
      <w:divBdr>
        <w:top w:val="none" w:sz="0" w:space="0" w:color="auto"/>
        <w:left w:val="none" w:sz="0" w:space="0" w:color="auto"/>
        <w:bottom w:val="none" w:sz="0" w:space="0" w:color="auto"/>
        <w:right w:val="none" w:sz="0" w:space="0" w:color="auto"/>
      </w:divBdr>
    </w:div>
    <w:div w:id="890380308">
      <w:bodyDiv w:val="1"/>
      <w:marLeft w:val="0"/>
      <w:marRight w:val="0"/>
      <w:marTop w:val="0"/>
      <w:marBottom w:val="0"/>
      <w:divBdr>
        <w:top w:val="none" w:sz="0" w:space="0" w:color="auto"/>
        <w:left w:val="none" w:sz="0" w:space="0" w:color="auto"/>
        <w:bottom w:val="none" w:sz="0" w:space="0" w:color="auto"/>
        <w:right w:val="none" w:sz="0" w:space="0" w:color="auto"/>
      </w:divBdr>
    </w:div>
    <w:div w:id="910190244">
      <w:bodyDiv w:val="1"/>
      <w:marLeft w:val="0"/>
      <w:marRight w:val="0"/>
      <w:marTop w:val="0"/>
      <w:marBottom w:val="0"/>
      <w:divBdr>
        <w:top w:val="none" w:sz="0" w:space="0" w:color="auto"/>
        <w:left w:val="none" w:sz="0" w:space="0" w:color="auto"/>
        <w:bottom w:val="none" w:sz="0" w:space="0" w:color="auto"/>
        <w:right w:val="none" w:sz="0" w:space="0" w:color="auto"/>
      </w:divBdr>
      <w:divsChild>
        <w:div w:id="121196030">
          <w:marLeft w:val="0"/>
          <w:marRight w:val="0"/>
          <w:marTop w:val="0"/>
          <w:marBottom w:val="0"/>
          <w:divBdr>
            <w:top w:val="none" w:sz="0" w:space="0" w:color="auto"/>
            <w:left w:val="none" w:sz="0" w:space="0" w:color="auto"/>
            <w:bottom w:val="none" w:sz="0" w:space="0" w:color="auto"/>
            <w:right w:val="none" w:sz="0" w:space="0" w:color="auto"/>
          </w:divBdr>
          <w:divsChild>
            <w:div w:id="2003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6654">
      <w:bodyDiv w:val="1"/>
      <w:marLeft w:val="0"/>
      <w:marRight w:val="0"/>
      <w:marTop w:val="0"/>
      <w:marBottom w:val="0"/>
      <w:divBdr>
        <w:top w:val="none" w:sz="0" w:space="0" w:color="auto"/>
        <w:left w:val="none" w:sz="0" w:space="0" w:color="auto"/>
        <w:bottom w:val="none" w:sz="0" w:space="0" w:color="auto"/>
        <w:right w:val="none" w:sz="0" w:space="0" w:color="auto"/>
      </w:divBdr>
    </w:div>
    <w:div w:id="1005403409">
      <w:bodyDiv w:val="1"/>
      <w:marLeft w:val="0"/>
      <w:marRight w:val="0"/>
      <w:marTop w:val="0"/>
      <w:marBottom w:val="0"/>
      <w:divBdr>
        <w:top w:val="none" w:sz="0" w:space="0" w:color="auto"/>
        <w:left w:val="none" w:sz="0" w:space="0" w:color="auto"/>
        <w:bottom w:val="none" w:sz="0" w:space="0" w:color="auto"/>
        <w:right w:val="none" w:sz="0" w:space="0" w:color="auto"/>
      </w:divBdr>
    </w:div>
    <w:div w:id="1045373493">
      <w:bodyDiv w:val="1"/>
      <w:marLeft w:val="0"/>
      <w:marRight w:val="0"/>
      <w:marTop w:val="0"/>
      <w:marBottom w:val="0"/>
      <w:divBdr>
        <w:top w:val="none" w:sz="0" w:space="0" w:color="auto"/>
        <w:left w:val="none" w:sz="0" w:space="0" w:color="auto"/>
        <w:bottom w:val="none" w:sz="0" w:space="0" w:color="auto"/>
        <w:right w:val="none" w:sz="0" w:space="0" w:color="auto"/>
      </w:divBdr>
      <w:divsChild>
        <w:div w:id="792602425">
          <w:marLeft w:val="0"/>
          <w:marRight w:val="0"/>
          <w:marTop w:val="0"/>
          <w:marBottom w:val="0"/>
          <w:divBdr>
            <w:top w:val="none" w:sz="0" w:space="0" w:color="auto"/>
            <w:left w:val="none" w:sz="0" w:space="0" w:color="auto"/>
            <w:bottom w:val="none" w:sz="0" w:space="0" w:color="auto"/>
            <w:right w:val="none" w:sz="0" w:space="0" w:color="auto"/>
          </w:divBdr>
          <w:divsChild>
            <w:div w:id="15437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2235">
      <w:bodyDiv w:val="1"/>
      <w:marLeft w:val="0"/>
      <w:marRight w:val="0"/>
      <w:marTop w:val="0"/>
      <w:marBottom w:val="0"/>
      <w:divBdr>
        <w:top w:val="none" w:sz="0" w:space="0" w:color="auto"/>
        <w:left w:val="none" w:sz="0" w:space="0" w:color="auto"/>
        <w:bottom w:val="none" w:sz="0" w:space="0" w:color="auto"/>
        <w:right w:val="none" w:sz="0" w:space="0" w:color="auto"/>
      </w:divBdr>
      <w:divsChild>
        <w:div w:id="1546286113">
          <w:marLeft w:val="0"/>
          <w:marRight w:val="0"/>
          <w:marTop w:val="0"/>
          <w:marBottom w:val="0"/>
          <w:divBdr>
            <w:top w:val="none" w:sz="0" w:space="0" w:color="auto"/>
            <w:left w:val="none" w:sz="0" w:space="0" w:color="auto"/>
            <w:bottom w:val="none" w:sz="0" w:space="0" w:color="auto"/>
            <w:right w:val="none" w:sz="0" w:space="0" w:color="auto"/>
          </w:divBdr>
          <w:divsChild>
            <w:div w:id="630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7099">
      <w:bodyDiv w:val="1"/>
      <w:marLeft w:val="0"/>
      <w:marRight w:val="0"/>
      <w:marTop w:val="0"/>
      <w:marBottom w:val="0"/>
      <w:divBdr>
        <w:top w:val="none" w:sz="0" w:space="0" w:color="auto"/>
        <w:left w:val="none" w:sz="0" w:space="0" w:color="auto"/>
        <w:bottom w:val="none" w:sz="0" w:space="0" w:color="auto"/>
        <w:right w:val="none" w:sz="0" w:space="0" w:color="auto"/>
      </w:divBdr>
    </w:div>
    <w:div w:id="1290935011">
      <w:bodyDiv w:val="1"/>
      <w:marLeft w:val="0"/>
      <w:marRight w:val="0"/>
      <w:marTop w:val="0"/>
      <w:marBottom w:val="0"/>
      <w:divBdr>
        <w:top w:val="none" w:sz="0" w:space="0" w:color="auto"/>
        <w:left w:val="none" w:sz="0" w:space="0" w:color="auto"/>
        <w:bottom w:val="none" w:sz="0" w:space="0" w:color="auto"/>
        <w:right w:val="none" w:sz="0" w:space="0" w:color="auto"/>
      </w:divBdr>
      <w:divsChild>
        <w:div w:id="285619809">
          <w:marLeft w:val="0"/>
          <w:marRight w:val="0"/>
          <w:marTop w:val="0"/>
          <w:marBottom w:val="0"/>
          <w:divBdr>
            <w:top w:val="none" w:sz="0" w:space="0" w:color="auto"/>
            <w:left w:val="none" w:sz="0" w:space="0" w:color="auto"/>
            <w:bottom w:val="none" w:sz="0" w:space="0" w:color="auto"/>
            <w:right w:val="none" w:sz="0" w:space="0" w:color="auto"/>
          </w:divBdr>
          <w:divsChild>
            <w:div w:id="197205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5004">
      <w:bodyDiv w:val="1"/>
      <w:marLeft w:val="0"/>
      <w:marRight w:val="0"/>
      <w:marTop w:val="0"/>
      <w:marBottom w:val="0"/>
      <w:divBdr>
        <w:top w:val="none" w:sz="0" w:space="0" w:color="auto"/>
        <w:left w:val="none" w:sz="0" w:space="0" w:color="auto"/>
        <w:bottom w:val="none" w:sz="0" w:space="0" w:color="auto"/>
        <w:right w:val="none" w:sz="0" w:space="0" w:color="auto"/>
      </w:divBdr>
    </w:div>
    <w:div w:id="1423185768">
      <w:bodyDiv w:val="1"/>
      <w:marLeft w:val="0"/>
      <w:marRight w:val="0"/>
      <w:marTop w:val="0"/>
      <w:marBottom w:val="0"/>
      <w:divBdr>
        <w:top w:val="none" w:sz="0" w:space="0" w:color="auto"/>
        <w:left w:val="none" w:sz="0" w:space="0" w:color="auto"/>
        <w:bottom w:val="none" w:sz="0" w:space="0" w:color="auto"/>
        <w:right w:val="none" w:sz="0" w:space="0" w:color="auto"/>
      </w:divBdr>
      <w:divsChild>
        <w:div w:id="73868369">
          <w:marLeft w:val="0"/>
          <w:marRight w:val="0"/>
          <w:marTop w:val="0"/>
          <w:marBottom w:val="0"/>
          <w:divBdr>
            <w:top w:val="none" w:sz="0" w:space="0" w:color="auto"/>
            <w:left w:val="none" w:sz="0" w:space="0" w:color="auto"/>
            <w:bottom w:val="none" w:sz="0" w:space="0" w:color="auto"/>
            <w:right w:val="none" w:sz="0" w:space="0" w:color="auto"/>
          </w:divBdr>
          <w:divsChild>
            <w:div w:id="125482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5292">
      <w:bodyDiv w:val="1"/>
      <w:marLeft w:val="0"/>
      <w:marRight w:val="0"/>
      <w:marTop w:val="0"/>
      <w:marBottom w:val="0"/>
      <w:divBdr>
        <w:top w:val="none" w:sz="0" w:space="0" w:color="auto"/>
        <w:left w:val="none" w:sz="0" w:space="0" w:color="auto"/>
        <w:bottom w:val="none" w:sz="0" w:space="0" w:color="auto"/>
        <w:right w:val="none" w:sz="0" w:space="0" w:color="auto"/>
      </w:divBdr>
      <w:divsChild>
        <w:div w:id="788007902">
          <w:marLeft w:val="0"/>
          <w:marRight w:val="0"/>
          <w:marTop w:val="0"/>
          <w:marBottom w:val="0"/>
          <w:divBdr>
            <w:top w:val="none" w:sz="0" w:space="0" w:color="auto"/>
            <w:left w:val="none" w:sz="0" w:space="0" w:color="auto"/>
            <w:bottom w:val="none" w:sz="0" w:space="0" w:color="auto"/>
            <w:right w:val="none" w:sz="0" w:space="0" w:color="auto"/>
          </w:divBdr>
          <w:divsChild>
            <w:div w:id="9207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3910">
      <w:bodyDiv w:val="1"/>
      <w:marLeft w:val="0"/>
      <w:marRight w:val="0"/>
      <w:marTop w:val="0"/>
      <w:marBottom w:val="0"/>
      <w:divBdr>
        <w:top w:val="none" w:sz="0" w:space="0" w:color="auto"/>
        <w:left w:val="none" w:sz="0" w:space="0" w:color="auto"/>
        <w:bottom w:val="none" w:sz="0" w:space="0" w:color="auto"/>
        <w:right w:val="none" w:sz="0" w:space="0" w:color="auto"/>
      </w:divBdr>
      <w:divsChild>
        <w:div w:id="877471759">
          <w:marLeft w:val="0"/>
          <w:marRight w:val="0"/>
          <w:marTop w:val="0"/>
          <w:marBottom w:val="0"/>
          <w:divBdr>
            <w:top w:val="none" w:sz="0" w:space="0" w:color="auto"/>
            <w:left w:val="none" w:sz="0" w:space="0" w:color="auto"/>
            <w:bottom w:val="none" w:sz="0" w:space="0" w:color="auto"/>
            <w:right w:val="none" w:sz="0" w:space="0" w:color="auto"/>
          </w:divBdr>
          <w:divsChild>
            <w:div w:id="10249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62360">
      <w:bodyDiv w:val="1"/>
      <w:marLeft w:val="0"/>
      <w:marRight w:val="0"/>
      <w:marTop w:val="0"/>
      <w:marBottom w:val="0"/>
      <w:divBdr>
        <w:top w:val="none" w:sz="0" w:space="0" w:color="auto"/>
        <w:left w:val="none" w:sz="0" w:space="0" w:color="auto"/>
        <w:bottom w:val="none" w:sz="0" w:space="0" w:color="auto"/>
        <w:right w:val="none" w:sz="0" w:space="0" w:color="auto"/>
      </w:divBdr>
      <w:divsChild>
        <w:div w:id="107969300">
          <w:marLeft w:val="0"/>
          <w:marRight w:val="0"/>
          <w:marTop w:val="0"/>
          <w:marBottom w:val="0"/>
          <w:divBdr>
            <w:top w:val="none" w:sz="0" w:space="0" w:color="auto"/>
            <w:left w:val="none" w:sz="0" w:space="0" w:color="auto"/>
            <w:bottom w:val="none" w:sz="0" w:space="0" w:color="auto"/>
            <w:right w:val="none" w:sz="0" w:space="0" w:color="auto"/>
          </w:divBdr>
          <w:divsChild>
            <w:div w:id="1567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00965">
      <w:bodyDiv w:val="1"/>
      <w:marLeft w:val="0"/>
      <w:marRight w:val="0"/>
      <w:marTop w:val="0"/>
      <w:marBottom w:val="0"/>
      <w:divBdr>
        <w:top w:val="none" w:sz="0" w:space="0" w:color="auto"/>
        <w:left w:val="none" w:sz="0" w:space="0" w:color="auto"/>
        <w:bottom w:val="none" w:sz="0" w:space="0" w:color="auto"/>
        <w:right w:val="none" w:sz="0" w:space="0" w:color="auto"/>
      </w:divBdr>
    </w:div>
    <w:div w:id="1702587820">
      <w:bodyDiv w:val="1"/>
      <w:marLeft w:val="0"/>
      <w:marRight w:val="0"/>
      <w:marTop w:val="0"/>
      <w:marBottom w:val="0"/>
      <w:divBdr>
        <w:top w:val="none" w:sz="0" w:space="0" w:color="auto"/>
        <w:left w:val="none" w:sz="0" w:space="0" w:color="auto"/>
        <w:bottom w:val="none" w:sz="0" w:space="0" w:color="auto"/>
        <w:right w:val="none" w:sz="0" w:space="0" w:color="auto"/>
      </w:divBdr>
      <w:divsChild>
        <w:div w:id="854659930">
          <w:marLeft w:val="0"/>
          <w:marRight w:val="0"/>
          <w:marTop w:val="0"/>
          <w:marBottom w:val="0"/>
          <w:divBdr>
            <w:top w:val="none" w:sz="0" w:space="0" w:color="auto"/>
            <w:left w:val="none" w:sz="0" w:space="0" w:color="auto"/>
            <w:bottom w:val="none" w:sz="0" w:space="0" w:color="auto"/>
            <w:right w:val="none" w:sz="0" w:space="0" w:color="auto"/>
          </w:divBdr>
          <w:divsChild>
            <w:div w:id="12577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39921">
      <w:bodyDiv w:val="1"/>
      <w:marLeft w:val="0"/>
      <w:marRight w:val="0"/>
      <w:marTop w:val="0"/>
      <w:marBottom w:val="0"/>
      <w:divBdr>
        <w:top w:val="none" w:sz="0" w:space="0" w:color="auto"/>
        <w:left w:val="none" w:sz="0" w:space="0" w:color="auto"/>
        <w:bottom w:val="none" w:sz="0" w:space="0" w:color="auto"/>
        <w:right w:val="none" w:sz="0" w:space="0" w:color="auto"/>
      </w:divBdr>
    </w:div>
    <w:div w:id="1787309492">
      <w:bodyDiv w:val="1"/>
      <w:marLeft w:val="0"/>
      <w:marRight w:val="0"/>
      <w:marTop w:val="0"/>
      <w:marBottom w:val="0"/>
      <w:divBdr>
        <w:top w:val="none" w:sz="0" w:space="0" w:color="auto"/>
        <w:left w:val="none" w:sz="0" w:space="0" w:color="auto"/>
        <w:bottom w:val="none" w:sz="0" w:space="0" w:color="auto"/>
        <w:right w:val="none" w:sz="0" w:space="0" w:color="auto"/>
      </w:divBdr>
      <w:divsChild>
        <w:div w:id="1628780460">
          <w:marLeft w:val="0"/>
          <w:marRight w:val="0"/>
          <w:marTop w:val="0"/>
          <w:marBottom w:val="0"/>
          <w:divBdr>
            <w:top w:val="none" w:sz="0" w:space="0" w:color="auto"/>
            <w:left w:val="none" w:sz="0" w:space="0" w:color="auto"/>
            <w:bottom w:val="none" w:sz="0" w:space="0" w:color="auto"/>
            <w:right w:val="none" w:sz="0" w:space="0" w:color="auto"/>
          </w:divBdr>
          <w:divsChild>
            <w:div w:id="19580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2734">
      <w:bodyDiv w:val="1"/>
      <w:marLeft w:val="0"/>
      <w:marRight w:val="0"/>
      <w:marTop w:val="0"/>
      <w:marBottom w:val="0"/>
      <w:divBdr>
        <w:top w:val="none" w:sz="0" w:space="0" w:color="auto"/>
        <w:left w:val="none" w:sz="0" w:space="0" w:color="auto"/>
        <w:bottom w:val="none" w:sz="0" w:space="0" w:color="auto"/>
        <w:right w:val="none" w:sz="0" w:space="0" w:color="auto"/>
      </w:divBdr>
      <w:divsChild>
        <w:div w:id="1765300984">
          <w:marLeft w:val="0"/>
          <w:marRight w:val="0"/>
          <w:marTop w:val="0"/>
          <w:marBottom w:val="0"/>
          <w:divBdr>
            <w:top w:val="none" w:sz="0" w:space="0" w:color="auto"/>
            <w:left w:val="none" w:sz="0" w:space="0" w:color="auto"/>
            <w:bottom w:val="none" w:sz="0" w:space="0" w:color="auto"/>
            <w:right w:val="none" w:sz="0" w:space="0" w:color="auto"/>
          </w:divBdr>
          <w:divsChild>
            <w:div w:id="7123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3332">
      <w:bodyDiv w:val="1"/>
      <w:marLeft w:val="0"/>
      <w:marRight w:val="0"/>
      <w:marTop w:val="0"/>
      <w:marBottom w:val="0"/>
      <w:divBdr>
        <w:top w:val="none" w:sz="0" w:space="0" w:color="auto"/>
        <w:left w:val="none" w:sz="0" w:space="0" w:color="auto"/>
        <w:bottom w:val="none" w:sz="0" w:space="0" w:color="auto"/>
        <w:right w:val="none" w:sz="0" w:space="0" w:color="auto"/>
      </w:divBdr>
      <w:divsChild>
        <w:div w:id="1115102076">
          <w:marLeft w:val="0"/>
          <w:marRight w:val="0"/>
          <w:marTop w:val="0"/>
          <w:marBottom w:val="0"/>
          <w:divBdr>
            <w:top w:val="none" w:sz="0" w:space="0" w:color="auto"/>
            <w:left w:val="none" w:sz="0" w:space="0" w:color="auto"/>
            <w:bottom w:val="none" w:sz="0" w:space="0" w:color="auto"/>
            <w:right w:val="none" w:sz="0" w:space="0" w:color="auto"/>
          </w:divBdr>
          <w:divsChild>
            <w:div w:id="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1400">
      <w:bodyDiv w:val="1"/>
      <w:marLeft w:val="0"/>
      <w:marRight w:val="0"/>
      <w:marTop w:val="0"/>
      <w:marBottom w:val="0"/>
      <w:divBdr>
        <w:top w:val="none" w:sz="0" w:space="0" w:color="auto"/>
        <w:left w:val="none" w:sz="0" w:space="0" w:color="auto"/>
        <w:bottom w:val="none" w:sz="0" w:space="0" w:color="auto"/>
        <w:right w:val="none" w:sz="0" w:space="0" w:color="auto"/>
      </w:divBdr>
      <w:divsChild>
        <w:div w:id="1085959169">
          <w:marLeft w:val="0"/>
          <w:marRight w:val="0"/>
          <w:marTop w:val="0"/>
          <w:marBottom w:val="0"/>
          <w:divBdr>
            <w:top w:val="none" w:sz="0" w:space="0" w:color="auto"/>
            <w:left w:val="none" w:sz="0" w:space="0" w:color="auto"/>
            <w:bottom w:val="none" w:sz="0" w:space="0" w:color="auto"/>
            <w:right w:val="none" w:sz="0" w:space="0" w:color="auto"/>
          </w:divBdr>
          <w:divsChild>
            <w:div w:id="4600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7366">
      <w:bodyDiv w:val="1"/>
      <w:marLeft w:val="0"/>
      <w:marRight w:val="0"/>
      <w:marTop w:val="0"/>
      <w:marBottom w:val="0"/>
      <w:divBdr>
        <w:top w:val="none" w:sz="0" w:space="0" w:color="auto"/>
        <w:left w:val="none" w:sz="0" w:space="0" w:color="auto"/>
        <w:bottom w:val="none" w:sz="0" w:space="0" w:color="auto"/>
        <w:right w:val="none" w:sz="0" w:space="0" w:color="auto"/>
      </w:divBdr>
      <w:divsChild>
        <w:div w:id="689570042">
          <w:marLeft w:val="0"/>
          <w:marRight w:val="0"/>
          <w:marTop w:val="0"/>
          <w:marBottom w:val="0"/>
          <w:divBdr>
            <w:top w:val="none" w:sz="0" w:space="0" w:color="auto"/>
            <w:left w:val="none" w:sz="0" w:space="0" w:color="auto"/>
            <w:bottom w:val="none" w:sz="0" w:space="0" w:color="auto"/>
            <w:right w:val="none" w:sz="0" w:space="0" w:color="auto"/>
          </w:divBdr>
          <w:divsChild>
            <w:div w:id="20611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hael.Sznajder@fc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amela.Gallant@fcc.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Paragraph.dot</Template>
  <TotalTime>0</TotalTime>
  <Pages>8</Pages>
  <Words>2087</Words>
  <Characters>11900</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13960</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2005-07-20T16:06:00Z</cp:lastPrinted>
  <dcterms:created xsi:type="dcterms:W3CDTF">2017-02-10T16:21:00Z</dcterms:created>
  <dcterms:modified xsi:type="dcterms:W3CDTF">2017-02-10T16:21:00Z</dcterms:modified>
  <cp:category> </cp:category>
  <cp:contentStatus> </cp:contentStatus>
</cp:coreProperties>
</file>