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5B90" w:rsidRPr="00BA5B90" w:rsidRDefault="00BA5B90" w:rsidP="00BA5B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overflowPunct w:val="0"/>
        <w:autoSpaceDE w:val="0"/>
        <w:autoSpaceDN w:val="0"/>
        <w:adjustRightInd w:val="0"/>
        <w:spacing w:after="0" w:line="240" w:lineRule="auto"/>
        <w:jc w:val="center"/>
        <w:textAlignment w:val="baseline"/>
        <w:rPr>
          <w:rFonts w:ascii="Times New Roman" w:eastAsia="Times New Roman" w:hAnsi="Times New Roman" w:cs="Times New Roman"/>
          <w:b/>
          <w:sz w:val="32"/>
          <w:szCs w:val="20"/>
        </w:rPr>
      </w:pPr>
      <w:r w:rsidRPr="00BA5B90">
        <w:rPr>
          <w:rFonts w:ascii="Times New Roman" w:eastAsia="Times New Roman" w:hAnsi="Times New Roman" w:cs="Times New Roman"/>
          <w:b/>
          <w:sz w:val="32"/>
          <w:szCs w:val="20"/>
        </w:rPr>
        <w:t>Supporting Statement for Paperwork Reduction Act Submissions</w:t>
      </w:r>
    </w:p>
    <w:p w:rsidR="00BA5B90" w:rsidRPr="00BA5B90" w:rsidRDefault="00890B0F" w:rsidP="00890B0F">
      <w:pPr>
        <w:overflowPunct w:val="0"/>
        <w:autoSpaceDE w:val="0"/>
        <w:autoSpaceDN w:val="0"/>
        <w:adjustRightInd w:val="0"/>
        <w:spacing w:after="0" w:line="240" w:lineRule="auto"/>
        <w:ind w:firstLine="720"/>
        <w:textAlignment w:val="baseline"/>
        <w:rPr>
          <w:rFonts w:ascii="Times New Roman" w:eastAsia="Times New Roman" w:hAnsi="Times New Roman" w:cs="Times New Roman"/>
          <w:b/>
          <w:sz w:val="24"/>
          <w:szCs w:val="20"/>
        </w:rPr>
      </w:pPr>
      <w:r>
        <w:rPr>
          <w:rFonts w:ascii="Times New Roman" w:eastAsia="Times New Roman" w:hAnsi="Times New Roman" w:cs="Times New Roman"/>
          <w:b/>
          <w:sz w:val="24"/>
          <w:szCs w:val="20"/>
        </w:rPr>
        <w:t xml:space="preserve">                 </w:t>
      </w:r>
      <w:r w:rsidR="00BA5B90" w:rsidRPr="00BA5B90">
        <w:rPr>
          <w:rFonts w:ascii="Times New Roman" w:eastAsia="Times New Roman" w:hAnsi="Times New Roman" w:cs="Times New Roman"/>
          <w:b/>
          <w:sz w:val="24"/>
          <w:szCs w:val="20"/>
        </w:rPr>
        <w:t xml:space="preserve">Application for Mortgage Insurance </w:t>
      </w:r>
      <w:r w:rsidR="005359BA">
        <w:rPr>
          <w:rFonts w:ascii="Times New Roman" w:eastAsia="Times New Roman" w:hAnsi="Times New Roman" w:cs="Times New Roman"/>
          <w:b/>
          <w:sz w:val="24"/>
          <w:szCs w:val="20"/>
        </w:rPr>
        <w:t xml:space="preserve">for </w:t>
      </w:r>
      <w:r w:rsidR="00BA5B90" w:rsidRPr="00BA5B90">
        <w:rPr>
          <w:rFonts w:ascii="Times New Roman" w:eastAsia="Times New Roman" w:hAnsi="Times New Roman" w:cs="Times New Roman"/>
          <w:b/>
          <w:sz w:val="24"/>
          <w:szCs w:val="20"/>
        </w:rPr>
        <w:t>Cooperatives</w:t>
      </w:r>
    </w:p>
    <w:p w:rsidR="00BA5B90" w:rsidRPr="00BA5B90" w:rsidRDefault="00890B0F" w:rsidP="00890B0F">
      <w:pPr>
        <w:overflowPunct w:val="0"/>
        <w:autoSpaceDE w:val="0"/>
        <w:autoSpaceDN w:val="0"/>
        <w:adjustRightInd w:val="0"/>
        <w:spacing w:after="0" w:line="240" w:lineRule="auto"/>
        <w:ind w:firstLine="720"/>
        <w:textAlignment w:val="baseline"/>
        <w:rPr>
          <w:rFonts w:ascii="Times New Roman" w:eastAsia="Times New Roman" w:hAnsi="Times New Roman" w:cs="Times New Roman"/>
          <w:b/>
          <w:sz w:val="24"/>
          <w:szCs w:val="20"/>
        </w:rPr>
      </w:pPr>
      <w:r>
        <w:rPr>
          <w:rFonts w:ascii="Times New Roman" w:eastAsia="Times New Roman" w:hAnsi="Times New Roman" w:cs="Times New Roman"/>
          <w:b/>
          <w:sz w:val="24"/>
          <w:szCs w:val="20"/>
        </w:rPr>
        <w:t xml:space="preserve">                                                  </w:t>
      </w:r>
      <w:r w:rsidR="00BA5B90" w:rsidRPr="00BA5B90">
        <w:rPr>
          <w:rFonts w:ascii="Times New Roman" w:eastAsia="Times New Roman" w:hAnsi="Times New Roman" w:cs="Times New Roman"/>
          <w:b/>
          <w:sz w:val="24"/>
          <w:szCs w:val="20"/>
        </w:rPr>
        <w:t>2502-0141</w:t>
      </w:r>
    </w:p>
    <w:p w:rsidR="00BA5B90" w:rsidRPr="00BA5B90" w:rsidRDefault="00890B0F" w:rsidP="00890B0F">
      <w:pPr>
        <w:overflowPunct w:val="0"/>
        <w:autoSpaceDE w:val="0"/>
        <w:autoSpaceDN w:val="0"/>
        <w:adjustRightInd w:val="0"/>
        <w:spacing w:after="0" w:line="240" w:lineRule="auto"/>
        <w:ind w:firstLine="720"/>
        <w:textAlignment w:val="baseline"/>
        <w:rPr>
          <w:rFonts w:ascii="Times New Roman" w:eastAsia="Times New Roman" w:hAnsi="Times New Roman" w:cs="Times New Roman"/>
          <w:b/>
          <w:sz w:val="24"/>
          <w:szCs w:val="20"/>
        </w:rPr>
      </w:pPr>
      <w:r>
        <w:rPr>
          <w:rFonts w:ascii="Times New Roman" w:eastAsia="Times New Roman" w:hAnsi="Times New Roman" w:cs="Times New Roman"/>
          <w:b/>
          <w:sz w:val="24"/>
          <w:szCs w:val="20"/>
        </w:rPr>
        <w:t xml:space="preserve">                                           </w:t>
      </w:r>
      <w:r w:rsidR="00BA5B90" w:rsidRPr="00BA5B90">
        <w:rPr>
          <w:rFonts w:ascii="Times New Roman" w:eastAsia="Times New Roman" w:hAnsi="Times New Roman" w:cs="Times New Roman"/>
          <w:b/>
          <w:sz w:val="24"/>
          <w:szCs w:val="20"/>
        </w:rPr>
        <w:t>(Form HUD-93201)</w:t>
      </w:r>
    </w:p>
    <w:p w:rsidR="00BA5B90" w:rsidRPr="00BA5B90" w:rsidRDefault="00BA5B90" w:rsidP="00BA5B90">
      <w:pPr>
        <w:overflowPunct w:val="0"/>
        <w:autoSpaceDE w:val="0"/>
        <w:autoSpaceDN w:val="0"/>
        <w:adjustRightInd w:val="0"/>
        <w:spacing w:after="0" w:line="240" w:lineRule="auto"/>
        <w:ind w:left="360"/>
        <w:textAlignment w:val="baseline"/>
        <w:rPr>
          <w:rFonts w:ascii="Times New Roman" w:eastAsia="Times New Roman" w:hAnsi="Times New Roman" w:cs="Times New Roman"/>
          <w:b/>
          <w:sz w:val="24"/>
          <w:szCs w:val="20"/>
        </w:rPr>
      </w:pPr>
    </w:p>
    <w:p w:rsidR="00BA5B90" w:rsidRPr="00BA5B90" w:rsidRDefault="00BA5B90" w:rsidP="00BA5B90">
      <w:pPr>
        <w:overflowPunct w:val="0"/>
        <w:autoSpaceDE w:val="0"/>
        <w:autoSpaceDN w:val="0"/>
        <w:adjustRightInd w:val="0"/>
        <w:spacing w:after="0" w:line="240" w:lineRule="auto"/>
        <w:ind w:left="360"/>
        <w:textAlignment w:val="baseline"/>
        <w:rPr>
          <w:rFonts w:ascii="Times New Roman" w:eastAsia="Times New Roman" w:hAnsi="Times New Roman" w:cs="Times New Roman"/>
          <w:b/>
          <w:sz w:val="24"/>
          <w:szCs w:val="20"/>
        </w:rPr>
      </w:pPr>
    </w:p>
    <w:p w:rsidR="00BA5B90" w:rsidRPr="00BA5B90" w:rsidRDefault="00BA5B90" w:rsidP="00BA5B90">
      <w:pPr>
        <w:overflowPunct w:val="0"/>
        <w:autoSpaceDE w:val="0"/>
        <w:autoSpaceDN w:val="0"/>
        <w:adjustRightInd w:val="0"/>
        <w:spacing w:after="0" w:line="240" w:lineRule="auto"/>
        <w:textAlignment w:val="baseline"/>
        <w:rPr>
          <w:rFonts w:ascii="Times New Roman" w:eastAsia="Times New Roman" w:hAnsi="Times New Roman" w:cs="Times New Roman"/>
          <w:b/>
          <w:sz w:val="24"/>
          <w:szCs w:val="20"/>
        </w:rPr>
      </w:pPr>
      <w:r w:rsidRPr="00BA5B90">
        <w:rPr>
          <w:rFonts w:ascii="Times New Roman" w:eastAsia="Times New Roman" w:hAnsi="Times New Roman" w:cs="Times New Roman"/>
          <w:b/>
          <w:sz w:val="24"/>
          <w:szCs w:val="20"/>
        </w:rPr>
        <w:t>A.  Justification</w:t>
      </w:r>
    </w:p>
    <w:p w:rsidR="00BA5B90" w:rsidRPr="00BA5B90" w:rsidRDefault="00BA5B90" w:rsidP="00BA5B90">
      <w:pPr>
        <w:overflowPunct w:val="0"/>
        <w:autoSpaceDE w:val="0"/>
        <w:autoSpaceDN w:val="0"/>
        <w:adjustRightInd w:val="0"/>
        <w:spacing w:after="0" w:line="240" w:lineRule="auto"/>
        <w:ind w:left="360"/>
        <w:textAlignment w:val="baseline"/>
        <w:rPr>
          <w:rFonts w:ascii="Times New Roman" w:eastAsia="Times New Roman" w:hAnsi="Times New Roman" w:cs="Times New Roman"/>
          <w:sz w:val="20"/>
          <w:szCs w:val="20"/>
        </w:rPr>
      </w:pPr>
    </w:p>
    <w:p w:rsidR="00BA5B90" w:rsidRPr="00BA5B90" w:rsidRDefault="00BA5B90" w:rsidP="00BA5B90">
      <w:pPr>
        <w:numPr>
          <w:ilvl w:val="0"/>
          <w:numId w:val="10"/>
        </w:numPr>
        <w:overflowPunct w:val="0"/>
        <w:autoSpaceDE w:val="0"/>
        <w:autoSpaceDN w:val="0"/>
        <w:adjustRightInd w:val="0"/>
        <w:spacing w:after="0" w:line="240" w:lineRule="auto"/>
        <w:textAlignment w:val="baseline"/>
        <w:rPr>
          <w:rFonts w:ascii="Times New Roman" w:eastAsia="Times New Roman" w:hAnsi="Times New Roman" w:cs="Times New Roman"/>
          <w:sz w:val="24"/>
          <w:szCs w:val="20"/>
        </w:rPr>
      </w:pPr>
      <w:r w:rsidRPr="00BA5B90">
        <w:rPr>
          <w:rFonts w:ascii="Times New Roman" w:eastAsia="Times New Roman" w:hAnsi="Times New Roman" w:cs="Times New Roman"/>
          <w:sz w:val="24"/>
          <w:szCs w:val="20"/>
        </w:rPr>
        <w:t>This is a request to reinstate information collection 2502-0141, Application for Mortgage Insurance for Cooperatives and Condominium Housing, which includes Form HUD-93201 and supporting exhibits that comprise the basic application package for multifamily projects.  The supporting exhibits to Form HUD-93201 are listed in Section L, “Attachments” of that form.</w:t>
      </w:r>
    </w:p>
    <w:p w:rsidR="00BA5B90" w:rsidRPr="00BA5B90" w:rsidRDefault="00BA5B90" w:rsidP="00BA5B90">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rPr>
      </w:pPr>
    </w:p>
    <w:p w:rsidR="00BA5B90" w:rsidRPr="00BA5B90" w:rsidRDefault="00BA5B90" w:rsidP="00BA5B90">
      <w:pPr>
        <w:overflowPunct w:val="0"/>
        <w:autoSpaceDE w:val="0"/>
        <w:autoSpaceDN w:val="0"/>
        <w:adjustRightInd w:val="0"/>
        <w:spacing w:after="120" w:line="240" w:lineRule="auto"/>
        <w:ind w:left="360"/>
        <w:textAlignment w:val="baseline"/>
        <w:rPr>
          <w:rFonts w:ascii="Times New Roman" w:eastAsia="Times New Roman" w:hAnsi="Times New Roman" w:cs="Times New Roman"/>
          <w:sz w:val="24"/>
          <w:szCs w:val="20"/>
        </w:rPr>
      </w:pPr>
      <w:r w:rsidRPr="00BA5B90">
        <w:rPr>
          <w:rFonts w:ascii="Times New Roman" w:eastAsia="Times New Roman" w:hAnsi="Times New Roman" w:cs="Times New Roman"/>
          <w:sz w:val="24"/>
          <w:szCs w:val="20"/>
        </w:rPr>
        <w:t xml:space="preserve">Section 213 of the National Housing Act (12 U.S.C. 1715e) outlines the eligibility requirements for mortgage insurance for cooperatives and condominiums.  Regulation 24 CFR Section 213 – Cooperative Housing Mortgage Insurance authorizes the Secretary of </w:t>
      </w:r>
      <w:r w:rsidR="00A62E90">
        <w:rPr>
          <w:rFonts w:ascii="Times New Roman" w:eastAsia="Times New Roman" w:hAnsi="Times New Roman" w:cs="Times New Roman"/>
          <w:sz w:val="24"/>
          <w:szCs w:val="20"/>
        </w:rPr>
        <w:t xml:space="preserve">Department of </w:t>
      </w:r>
      <w:r w:rsidRPr="00BA5B90">
        <w:rPr>
          <w:rFonts w:ascii="Times New Roman" w:eastAsia="Times New Roman" w:hAnsi="Times New Roman" w:cs="Times New Roman"/>
          <w:sz w:val="24"/>
          <w:szCs w:val="20"/>
        </w:rPr>
        <w:t>H</w:t>
      </w:r>
      <w:r w:rsidR="00A62E90">
        <w:rPr>
          <w:rFonts w:ascii="Times New Roman" w:eastAsia="Times New Roman" w:hAnsi="Times New Roman" w:cs="Times New Roman"/>
          <w:sz w:val="24"/>
          <w:szCs w:val="20"/>
        </w:rPr>
        <w:t xml:space="preserve">ousing and Urban </w:t>
      </w:r>
      <w:r w:rsidRPr="00BA5B90">
        <w:rPr>
          <w:rFonts w:ascii="Times New Roman" w:eastAsia="Times New Roman" w:hAnsi="Times New Roman" w:cs="Times New Roman"/>
          <w:sz w:val="24"/>
          <w:szCs w:val="20"/>
        </w:rPr>
        <w:t>D</w:t>
      </w:r>
      <w:r w:rsidR="00A62E90">
        <w:rPr>
          <w:rFonts w:ascii="Times New Roman" w:eastAsia="Times New Roman" w:hAnsi="Times New Roman" w:cs="Times New Roman"/>
          <w:sz w:val="24"/>
          <w:szCs w:val="20"/>
        </w:rPr>
        <w:t>evelopment (HUD)</w:t>
      </w:r>
      <w:bookmarkStart w:id="0" w:name="_GoBack"/>
      <w:bookmarkEnd w:id="0"/>
      <w:r w:rsidRPr="00BA5B90">
        <w:rPr>
          <w:rFonts w:ascii="Times New Roman" w:eastAsia="Times New Roman" w:hAnsi="Times New Roman" w:cs="Times New Roman"/>
          <w:sz w:val="24"/>
          <w:szCs w:val="20"/>
        </w:rPr>
        <w:t xml:space="preserve"> to insure mortgages for cooperatives and condominium housing developments.</w:t>
      </w:r>
    </w:p>
    <w:p w:rsidR="00BA5B90" w:rsidRPr="00BA5B90" w:rsidRDefault="00BA5B90" w:rsidP="00BA5B90">
      <w:pPr>
        <w:overflowPunct w:val="0"/>
        <w:autoSpaceDE w:val="0"/>
        <w:autoSpaceDN w:val="0"/>
        <w:adjustRightInd w:val="0"/>
        <w:spacing w:after="0" w:line="240" w:lineRule="auto"/>
        <w:ind w:left="360"/>
        <w:textAlignment w:val="baseline"/>
        <w:rPr>
          <w:rFonts w:ascii="Times New Roman" w:eastAsia="Times New Roman" w:hAnsi="Times New Roman" w:cs="Times New Roman"/>
          <w:sz w:val="24"/>
          <w:szCs w:val="20"/>
        </w:rPr>
      </w:pPr>
      <w:r w:rsidRPr="00BA5B90">
        <w:rPr>
          <w:rFonts w:ascii="Times New Roman" w:eastAsia="Times New Roman" w:hAnsi="Times New Roman" w:cs="Times New Roman"/>
          <w:sz w:val="24"/>
          <w:szCs w:val="20"/>
        </w:rPr>
        <w:t>HUD is required to analyze specific project information including financial data, cost data, and drawings and specifications before determining whether a proposed cooperative or condominium projects are eligible for mortgage insurance.</w:t>
      </w:r>
    </w:p>
    <w:p w:rsidR="00BA5B90" w:rsidRPr="00BA5B90" w:rsidRDefault="00BA5B90" w:rsidP="00BA5B90">
      <w:pPr>
        <w:overflowPunct w:val="0"/>
        <w:autoSpaceDE w:val="0"/>
        <w:autoSpaceDN w:val="0"/>
        <w:adjustRightInd w:val="0"/>
        <w:spacing w:after="0" w:line="240" w:lineRule="auto"/>
        <w:ind w:left="720"/>
        <w:textAlignment w:val="baseline"/>
        <w:rPr>
          <w:rFonts w:ascii="Times New Roman" w:eastAsia="Times New Roman" w:hAnsi="Times New Roman" w:cs="Times New Roman"/>
          <w:sz w:val="24"/>
          <w:szCs w:val="20"/>
        </w:rPr>
      </w:pPr>
    </w:p>
    <w:p w:rsidR="00BA5B90" w:rsidRPr="00BA5B90" w:rsidRDefault="00BA5B90" w:rsidP="00BA5B90">
      <w:pPr>
        <w:overflowPunct w:val="0"/>
        <w:autoSpaceDE w:val="0"/>
        <w:autoSpaceDN w:val="0"/>
        <w:adjustRightInd w:val="0"/>
        <w:spacing w:after="0" w:line="240" w:lineRule="auto"/>
        <w:ind w:left="360"/>
        <w:textAlignment w:val="baseline"/>
        <w:rPr>
          <w:rFonts w:ascii="Times New Roman" w:eastAsia="Times New Roman" w:hAnsi="Times New Roman" w:cs="Times New Roman"/>
          <w:sz w:val="24"/>
          <w:szCs w:val="20"/>
        </w:rPr>
      </w:pPr>
      <w:r w:rsidRPr="00BA5B90">
        <w:rPr>
          <w:rFonts w:ascii="Times New Roman" w:eastAsia="Times New Roman" w:hAnsi="Times New Roman" w:cs="Times New Roman"/>
          <w:sz w:val="24"/>
          <w:szCs w:val="20"/>
        </w:rPr>
        <w:t xml:space="preserve">In April 2005, HUD requested, and OMB approved, discontinuation of this collection because there were fewer than 10 respondents per year.  HUD now requests reinstatement of this collection because </w:t>
      </w:r>
      <w:r w:rsidR="00DC1741" w:rsidRPr="00BA5B90">
        <w:rPr>
          <w:rFonts w:ascii="Times New Roman" w:eastAsia="Times New Roman" w:hAnsi="Times New Roman" w:cs="Times New Roman"/>
          <w:sz w:val="24"/>
          <w:szCs w:val="20"/>
        </w:rPr>
        <w:t>HUD is</w:t>
      </w:r>
      <w:r w:rsidRPr="00BA5B90">
        <w:rPr>
          <w:rFonts w:ascii="Times New Roman" w:eastAsia="Times New Roman" w:hAnsi="Times New Roman" w:cs="Times New Roman"/>
          <w:sz w:val="24"/>
          <w:szCs w:val="20"/>
        </w:rPr>
        <w:t xml:space="preserve"> anticipating more participation due a program change to increase volume.</w:t>
      </w:r>
    </w:p>
    <w:p w:rsidR="00BA5B90" w:rsidRPr="00BA5B90" w:rsidRDefault="00BA5B90" w:rsidP="00BA5B90">
      <w:pPr>
        <w:overflowPunct w:val="0"/>
        <w:autoSpaceDE w:val="0"/>
        <w:autoSpaceDN w:val="0"/>
        <w:adjustRightInd w:val="0"/>
        <w:spacing w:after="0" w:line="240" w:lineRule="auto"/>
        <w:ind w:left="360"/>
        <w:textAlignment w:val="baseline"/>
        <w:rPr>
          <w:rFonts w:ascii="Times New Roman" w:eastAsia="Times New Roman" w:hAnsi="Times New Roman" w:cs="Times New Roman"/>
          <w:sz w:val="24"/>
          <w:szCs w:val="20"/>
        </w:rPr>
      </w:pPr>
    </w:p>
    <w:p w:rsidR="00662B66" w:rsidRDefault="00DC1741" w:rsidP="00662B66">
      <w:pPr>
        <w:tabs>
          <w:tab w:val="num" w:pos="360"/>
        </w:tabs>
        <w:overflowPunct w:val="0"/>
        <w:autoSpaceDE w:val="0"/>
        <w:autoSpaceDN w:val="0"/>
        <w:adjustRightInd w:val="0"/>
        <w:spacing w:after="0" w:line="240" w:lineRule="auto"/>
        <w:ind w:left="360" w:hanging="270"/>
        <w:textAlignment w:val="baseline"/>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     </w:t>
      </w:r>
      <w:r w:rsidR="00BA5B90" w:rsidRPr="00BA5B90">
        <w:rPr>
          <w:rFonts w:ascii="Times New Roman" w:eastAsia="Times New Roman" w:hAnsi="Times New Roman" w:cs="Times New Roman"/>
          <w:sz w:val="24"/>
          <w:szCs w:val="20"/>
        </w:rPr>
        <w:t xml:space="preserve">Owners requesting mortgages for cooperatives </w:t>
      </w:r>
      <w:r w:rsidR="00C929C3">
        <w:rPr>
          <w:rFonts w:ascii="Times New Roman" w:eastAsia="Times New Roman" w:hAnsi="Times New Roman" w:cs="Times New Roman"/>
          <w:sz w:val="24"/>
          <w:szCs w:val="20"/>
        </w:rPr>
        <w:t xml:space="preserve">housing </w:t>
      </w:r>
      <w:r w:rsidR="00BA5B90" w:rsidRPr="00BA5B90">
        <w:rPr>
          <w:rFonts w:ascii="Times New Roman" w:eastAsia="Times New Roman" w:hAnsi="Times New Roman" w:cs="Times New Roman"/>
          <w:sz w:val="24"/>
          <w:szCs w:val="20"/>
        </w:rPr>
        <w:t xml:space="preserve">developments provide financial data, cost data, and drawings and specifications.  HUD uses the information to evaluate and determine the general eligibility of the proposed project.  HUD technical specialists in appraisal, cost, architecture, and mortgage credit analyze this information to determine if a project is </w:t>
      </w:r>
      <w:r>
        <w:rPr>
          <w:rFonts w:ascii="Times New Roman" w:eastAsia="Times New Roman" w:hAnsi="Times New Roman" w:cs="Times New Roman"/>
          <w:sz w:val="24"/>
          <w:szCs w:val="20"/>
        </w:rPr>
        <w:t>eligible for mortgage insurance.  If</w:t>
      </w:r>
      <w:r w:rsidR="00BA5B90" w:rsidRPr="00BA5B90">
        <w:rPr>
          <w:rFonts w:ascii="Times New Roman" w:eastAsia="Times New Roman" w:hAnsi="Times New Roman" w:cs="Times New Roman"/>
          <w:sz w:val="24"/>
          <w:szCs w:val="20"/>
        </w:rPr>
        <w:t xml:space="preserve"> the information were not collected and analyzed, the Department would have to rely solely on a sponsor’s undocumented request and the Department could expect to sustain substantial losses to the F</w:t>
      </w:r>
      <w:r w:rsidR="00662B66">
        <w:rPr>
          <w:rFonts w:ascii="Times New Roman" w:eastAsia="Times New Roman" w:hAnsi="Times New Roman" w:cs="Times New Roman"/>
          <w:sz w:val="24"/>
          <w:szCs w:val="20"/>
        </w:rPr>
        <w:t xml:space="preserve">ederal </w:t>
      </w:r>
      <w:r w:rsidR="00BA5B90" w:rsidRPr="00BA5B90">
        <w:rPr>
          <w:rFonts w:ascii="Times New Roman" w:eastAsia="Times New Roman" w:hAnsi="Times New Roman" w:cs="Times New Roman"/>
          <w:sz w:val="24"/>
          <w:szCs w:val="20"/>
        </w:rPr>
        <w:t>H</w:t>
      </w:r>
      <w:r w:rsidR="00662B66">
        <w:rPr>
          <w:rFonts w:ascii="Times New Roman" w:eastAsia="Times New Roman" w:hAnsi="Times New Roman" w:cs="Times New Roman"/>
          <w:sz w:val="24"/>
          <w:szCs w:val="20"/>
        </w:rPr>
        <w:t xml:space="preserve">ousing </w:t>
      </w:r>
    </w:p>
    <w:p w:rsidR="00BA5B90" w:rsidRPr="00BA5B90" w:rsidRDefault="00BA5B90" w:rsidP="00662B66">
      <w:pPr>
        <w:tabs>
          <w:tab w:val="num" w:pos="360"/>
        </w:tabs>
        <w:overflowPunct w:val="0"/>
        <w:autoSpaceDE w:val="0"/>
        <w:autoSpaceDN w:val="0"/>
        <w:adjustRightInd w:val="0"/>
        <w:spacing w:after="0" w:line="240" w:lineRule="auto"/>
        <w:ind w:left="360"/>
        <w:textAlignment w:val="baseline"/>
        <w:rPr>
          <w:rFonts w:ascii="Times New Roman" w:eastAsia="Times New Roman" w:hAnsi="Times New Roman" w:cs="Times New Roman"/>
          <w:sz w:val="24"/>
          <w:szCs w:val="20"/>
        </w:rPr>
      </w:pPr>
      <w:r w:rsidRPr="00BA5B90">
        <w:rPr>
          <w:rFonts w:ascii="Times New Roman" w:eastAsia="Times New Roman" w:hAnsi="Times New Roman" w:cs="Times New Roman"/>
          <w:sz w:val="24"/>
          <w:szCs w:val="20"/>
        </w:rPr>
        <w:t>A</w:t>
      </w:r>
      <w:r w:rsidR="00662B66">
        <w:rPr>
          <w:rFonts w:ascii="Times New Roman" w:eastAsia="Times New Roman" w:hAnsi="Times New Roman" w:cs="Times New Roman"/>
          <w:sz w:val="24"/>
          <w:szCs w:val="20"/>
        </w:rPr>
        <w:t xml:space="preserve">dministration </w:t>
      </w:r>
      <w:r w:rsidRPr="00BA5B90">
        <w:rPr>
          <w:rFonts w:ascii="Times New Roman" w:eastAsia="Times New Roman" w:hAnsi="Times New Roman" w:cs="Times New Roman"/>
          <w:sz w:val="24"/>
          <w:szCs w:val="20"/>
        </w:rPr>
        <w:t>Insurance Fund.  Form 93201, Application for Mortgage Insurance, requires several supporting exhibits.</w:t>
      </w:r>
    </w:p>
    <w:p w:rsidR="00BA5B90" w:rsidRPr="00BA5B90" w:rsidRDefault="00BA5B90" w:rsidP="00BA5B90">
      <w:pPr>
        <w:overflowPunct w:val="0"/>
        <w:autoSpaceDE w:val="0"/>
        <w:autoSpaceDN w:val="0"/>
        <w:adjustRightInd w:val="0"/>
        <w:spacing w:after="0" w:line="240" w:lineRule="auto"/>
        <w:ind w:left="360"/>
        <w:textAlignment w:val="baseline"/>
        <w:rPr>
          <w:rFonts w:ascii="Times New Roman" w:eastAsia="Times New Roman" w:hAnsi="Times New Roman" w:cs="Times New Roman"/>
          <w:sz w:val="24"/>
          <w:szCs w:val="20"/>
        </w:rPr>
      </w:pPr>
    </w:p>
    <w:p w:rsidR="00BA5B90" w:rsidRPr="00BA5B90" w:rsidRDefault="00BA5B90" w:rsidP="00BA5B90">
      <w:pPr>
        <w:numPr>
          <w:ilvl w:val="0"/>
          <w:numId w:val="1"/>
        </w:numPr>
        <w:overflowPunct w:val="0"/>
        <w:autoSpaceDE w:val="0"/>
        <w:autoSpaceDN w:val="0"/>
        <w:adjustRightInd w:val="0"/>
        <w:spacing w:after="0" w:line="240" w:lineRule="auto"/>
        <w:textAlignment w:val="baseline"/>
        <w:rPr>
          <w:rFonts w:ascii="Times New Roman" w:eastAsia="Times New Roman" w:hAnsi="Times New Roman" w:cs="Times New Roman"/>
          <w:sz w:val="24"/>
          <w:szCs w:val="20"/>
        </w:rPr>
      </w:pPr>
      <w:r w:rsidRPr="00BA5B90">
        <w:rPr>
          <w:rFonts w:ascii="Times New Roman" w:eastAsia="Times New Roman" w:hAnsi="Times New Roman" w:cs="Times New Roman"/>
          <w:sz w:val="24"/>
          <w:szCs w:val="20"/>
        </w:rPr>
        <w:t xml:space="preserve">The collection of information does not involve the use of the automation.  Due to the low number of respondents and the nature of the information collected, the benefits of automation would not reduce the burden.  The form is available on </w:t>
      </w:r>
      <w:proofErr w:type="spellStart"/>
      <w:r w:rsidRPr="00BA5B90">
        <w:rPr>
          <w:rFonts w:ascii="Times New Roman" w:eastAsia="Times New Roman" w:hAnsi="Times New Roman" w:cs="Times New Roman"/>
          <w:sz w:val="24"/>
          <w:szCs w:val="20"/>
        </w:rPr>
        <w:t>HUDclips</w:t>
      </w:r>
      <w:proofErr w:type="spellEnd"/>
      <w:r w:rsidRPr="00BA5B90">
        <w:rPr>
          <w:rFonts w:ascii="Times New Roman" w:eastAsia="Times New Roman" w:hAnsi="Times New Roman" w:cs="Times New Roman"/>
          <w:sz w:val="24"/>
          <w:szCs w:val="20"/>
        </w:rPr>
        <w:t xml:space="preserve"> as a PDF file.  </w:t>
      </w:r>
    </w:p>
    <w:p w:rsidR="00BA5B90" w:rsidRPr="00BA5B90" w:rsidRDefault="00BA5B90" w:rsidP="00BA5B90">
      <w:pPr>
        <w:overflowPunct w:val="0"/>
        <w:autoSpaceDE w:val="0"/>
        <w:autoSpaceDN w:val="0"/>
        <w:adjustRightInd w:val="0"/>
        <w:spacing w:after="0" w:line="240" w:lineRule="auto"/>
        <w:ind w:left="360"/>
        <w:textAlignment w:val="baseline"/>
        <w:rPr>
          <w:rFonts w:ascii="Times New Roman" w:eastAsia="Times New Roman" w:hAnsi="Times New Roman" w:cs="Times New Roman"/>
          <w:sz w:val="24"/>
          <w:szCs w:val="20"/>
        </w:rPr>
      </w:pPr>
    </w:p>
    <w:p w:rsidR="00BA5B90" w:rsidRPr="00BA5B90" w:rsidRDefault="00BA5B90" w:rsidP="00BA5B90">
      <w:pPr>
        <w:numPr>
          <w:ilvl w:val="0"/>
          <w:numId w:val="1"/>
        </w:numPr>
        <w:overflowPunct w:val="0"/>
        <w:autoSpaceDE w:val="0"/>
        <w:autoSpaceDN w:val="0"/>
        <w:adjustRightInd w:val="0"/>
        <w:spacing w:after="0" w:line="240" w:lineRule="auto"/>
        <w:textAlignment w:val="baseline"/>
        <w:rPr>
          <w:rFonts w:ascii="Times New Roman" w:eastAsia="Times New Roman" w:hAnsi="Times New Roman" w:cs="Times New Roman"/>
          <w:sz w:val="24"/>
          <w:szCs w:val="20"/>
        </w:rPr>
      </w:pPr>
      <w:r w:rsidRPr="00BA5B90">
        <w:rPr>
          <w:rFonts w:ascii="Times New Roman" w:eastAsia="Times New Roman" w:hAnsi="Times New Roman" w:cs="Times New Roman"/>
          <w:sz w:val="24"/>
          <w:szCs w:val="20"/>
        </w:rPr>
        <w:t xml:space="preserve">There is no duplication.  The Department has avoided duplication of submissions where a project was to be insured and assisted by Section 8.  In such </w:t>
      </w:r>
      <w:r w:rsidR="00DC1741" w:rsidRPr="00BA5B90">
        <w:rPr>
          <w:rFonts w:ascii="Times New Roman" w:eastAsia="Times New Roman" w:hAnsi="Times New Roman" w:cs="Times New Roman"/>
          <w:sz w:val="24"/>
          <w:szCs w:val="20"/>
        </w:rPr>
        <w:t>cases,</w:t>
      </w:r>
      <w:r w:rsidRPr="00BA5B90">
        <w:rPr>
          <w:rFonts w:ascii="Times New Roman" w:eastAsia="Times New Roman" w:hAnsi="Times New Roman" w:cs="Times New Roman"/>
          <w:sz w:val="24"/>
          <w:szCs w:val="20"/>
        </w:rPr>
        <w:t xml:space="preserve"> only one set of documents is required.</w:t>
      </w:r>
    </w:p>
    <w:p w:rsidR="00BA5B90" w:rsidRPr="00BA5B90" w:rsidRDefault="00BA5B90" w:rsidP="00BA5B90">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rPr>
      </w:pPr>
    </w:p>
    <w:p w:rsidR="00BA5B90" w:rsidRPr="00BA5B90" w:rsidRDefault="00BA5B90" w:rsidP="00BA5B90">
      <w:pPr>
        <w:numPr>
          <w:ilvl w:val="0"/>
          <w:numId w:val="2"/>
        </w:numPr>
        <w:overflowPunct w:val="0"/>
        <w:autoSpaceDE w:val="0"/>
        <w:autoSpaceDN w:val="0"/>
        <w:adjustRightInd w:val="0"/>
        <w:spacing w:after="0" w:line="240" w:lineRule="auto"/>
        <w:textAlignment w:val="baseline"/>
        <w:rPr>
          <w:rFonts w:ascii="Times New Roman" w:eastAsia="Times New Roman" w:hAnsi="Times New Roman" w:cs="Times New Roman"/>
          <w:sz w:val="24"/>
          <w:szCs w:val="20"/>
        </w:rPr>
      </w:pPr>
      <w:r w:rsidRPr="00BA5B90">
        <w:rPr>
          <w:rFonts w:ascii="Times New Roman" w:eastAsia="Times New Roman" w:hAnsi="Times New Roman" w:cs="Times New Roman"/>
          <w:sz w:val="24"/>
          <w:szCs w:val="20"/>
        </w:rPr>
        <w:lastRenderedPageBreak/>
        <w:t xml:space="preserve">The collection of information does not involve small businesses or small entities.  </w:t>
      </w:r>
    </w:p>
    <w:p w:rsidR="00BA5B90" w:rsidRPr="00BA5B90" w:rsidRDefault="00BA5B90" w:rsidP="00BA5B90">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rPr>
      </w:pPr>
    </w:p>
    <w:p w:rsidR="00BA5B90" w:rsidRPr="00BA5B90" w:rsidRDefault="00BA5B90" w:rsidP="00BA5B90">
      <w:pPr>
        <w:numPr>
          <w:ilvl w:val="0"/>
          <w:numId w:val="3"/>
        </w:numPr>
        <w:overflowPunct w:val="0"/>
        <w:autoSpaceDE w:val="0"/>
        <w:autoSpaceDN w:val="0"/>
        <w:adjustRightInd w:val="0"/>
        <w:spacing w:after="0" w:line="240" w:lineRule="auto"/>
        <w:textAlignment w:val="baseline"/>
        <w:rPr>
          <w:rFonts w:ascii="Times New Roman" w:eastAsia="Times New Roman" w:hAnsi="Times New Roman" w:cs="Times New Roman"/>
          <w:sz w:val="24"/>
          <w:szCs w:val="20"/>
        </w:rPr>
      </w:pPr>
      <w:r w:rsidRPr="00BA5B90">
        <w:rPr>
          <w:rFonts w:ascii="Times New Roman" w:eastAsia="Times New Roman" w:hAnsi="Times New Roman" w:cs="Times New Roman"/>
          <w:sz w:val="24"/>
          <w:szCs w:val="20"/>
        </w:rPr>
        <w:t xml:space="preserve">There would be consequences to the Federal program or policy activities if the information collection were not conducted in the method prescribed.  The frequency of the submission is at the time of application for mortgage insurance.  However, if the design requirements and/or cost and financial data have been submitted to HUD and then rejected or withdrawn, the information would need to be updated and resubmitted.  </w:t>
      </w:r>
    </w:p>
    <w:p w:rsidR="00BA5B90" w:rsidRPr="00BA5B90" w:rsidRDefault="00BA5B90" w:rsidP="00BA5B90">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rPr>
      </w:pPr>
    </w:p>
    <w:p w:rsidR="00BA5B90" w:rsidRPr="00BA5B90" w:rsidRDefault="00BA5B90" w:rsidP="00BA5B90">
      <w:pPr>
        <w:keepNext/>
        <w:numPr>
          <w:ilvl w:val="0"/>
          <w:numId w:val="11"/>
        </w:numPr>
        <w:tabs>
          <w:tab w:val="left" w:pos="360"/>
        </w:tabs>
        <w:overflowPunct w:val="0"/>
        <w:autoSpaceDE w:val="0"/>
        <w:autoSpaceDN w:val="0"/>
        <w:adjustRightInd w:val="0"/>
        <w:spacing w:after="0" w:line="240" w:lineRule="auto"/>
        <w:textAlignment w:val="baseline"/>
        <w:rPr>
          <w:rFonts w:ascii="Times New Roman" w:eastAsia="Times New Roman" w:hAnsi="Times New Roman" w:cs="Times New Roman"/>
          <w:b/>
          <w:bCs/>
          <w:szCs w:val="20"/>
        </w:rPr>
      </w:pPr>
      <w:r w:rsidRPr="00BA5B90">
        <w:rPr>
          <w:rFonts w:ascii="Times New Roman" w:eastAsia="Times New Roman" w:hAnsi="Times New Roman" w:cs="Times New Roman"/>
          <w:sz w:val="24"/>
          <w:szCs w:val="20"/>
        </w:rPr>
        <w:t xml:space="preserve"> </w:t>
      </w:r>
      <w:r w:rsidRPr="00BA5B90">
        <w:rPr>
          <w:rFonts w:ascii="Times New Roman" w:eastAsia="Times New Roman" w:hAnsi="Times New Roman" w:cs="Times New Roman"/>
          <w:b/>
          <w:bCs/>
          <w:szCs w:val="20"/>
        </w:rPr>
        <w:t xml:space="preserve">Explain any special circumstances that would cause an information collection to be conducted in a manner: </w:t>
      </w:r>
    </w:p>
    <w:p w:rsidR="00BA5B90" w:rsidRPr="00BA5B90" w:rsidRDefault="00BA5B90" w:rsidP="00BA5B90">
      <w:pPr>
        <w:keepNext/>
        <w:tabs>
          <w:tab w:val="left" w:pos="360"/>
        </w:tabs>
        <w:overflowPunct w:val="0"/>
        <w:autoSpaceDE w:val="0"/>
        <w:autoSpaceDN w:val="0"/>
        <w:adjustRightInd w:val="0"/>
        <w:spacing w:after="0" w:line="240" w:lineRule="auto"/>
        <w:ind w:left="360"/>
        <w:textAlignment w:val="baseline"/>
        <w:rPr>
          <w:rFonts w:ascii="Times New Roman" w:eastAsia="Times New Roman" w:hAnsi="Times New Roman" w:cs="Times New Roman"/>
          <w:b/>
          <w:bCs/>
          <w:szCs w:val="20"/>
        </w:rPr>
      </w:pPr>
      <w:r w:rsidRPr="00BA5B90">
        <w:rPr>
          <w:rFonts w:ascii="Times New Roman" w:eastAsia="Times New Roman" w:hAnsi="Times New Roman" w:cs="Times New Roman"/>
          <w:b/>
          <w:bCs/>
          <w:szCs w:val="20"/>
        </w:rPr>
        <w:t xml:space="preserve"> </w:t>
      </w:r>
    </w:p>
    <w:p w:rsidR="00BA5B90" w:rsidRPr="00BA5B90" w:rsidRDefault="00BA5B90" w:rsidP="00BA5B90">
      <w:pPr>
        <w:keepNext/>
        <w:numPr>
          <w:ilvl w:val="0"/>
          <w:numId w:val="9"/>
        </w:numPr>
        <w:tabs>
          <w:tab w:val="left" w:pos="360"/>
        </w:tabs>
        <w:overflowPunct w:val="0"/>
        <w:autoSpaceDE w:val="0"/>
        <w:autoSpaceDN w:val="0"/>
        <w:adjustRightInd w:val="0"/>
        <w:spacing w:after="0" w:line="240" w:lineRule="auto"/>
        <w:textAlignment w:val="baseline"/>
        <w:rPr>
          <w:rFonts w:ascii="Times New Roman" w:eastAsia="Times New Roman" w:hAnsi="Times New Roman" w:cs="Times New Roman"/>
          <w:bCs/>
          <w:szCs w:val="20"/>
        </w:rPr>
      </w:pPr>
      <w:r w:rsidRPr="00BA5B90">
        <w:rPr>
          <w:rFonts w:ascii="Times New Roman" w:eastAsia="Times New Roman" w:hAnsi="Times New Roman" w:cs="Times New Roman"/>
          <w:bCs/>
          <w:szCs w:val="20"/>
        </w:rPr>
        <w:t xml:space="preserve">requiring respondents to report information to the agency more than quarterly; </w:t>
      </w:r>
    </w:p>
    <w:p w:rsidR="00BA5B90" w:rsidRPr="00BA5B90" w:rsidRDefault="00BA5B90" w:rsidP="00BA5B90">
      <w:pPr>
        <w:keepNext/>
        <w:tabs>
          <w:tab w:val="left" w:pos="360"/>
        </w:tabs>
        <w:overflowPunct w:val="0"/>
        <w:autoSpaceDE w:val="0"/>
        <w:autoSpaceDN w:val="0"/>
        <w:adjustRightInd w:val="0"/>
        <w:spacing w:after="0" w:line="240" w:lineRule="auto"/>
        <w:ind w:left="504"/>
        <w:textAlignment w:val="baseline"/>
        <w:rPr>
          <w:rFonts w:ascii="Times New Roman" w:eastAsia="Times New Roman" w:hAnsi="Times New Roman" w:cs="Times New Roman"/>
          <w:b/>
          <w:bCs/>
          <w:szCs w:val="20"/>
        </w:rPr>
      </w:pPr>
      <w:r w:rsidRPr="00BA5B90">
        <w:rPr>
          <w:rFonts w:ascii="Times New Roman" w:eastAsia="Times New Roman" w:hAnsi="Times New Roman" w:cs="Times New Roman"/>
          <w:b/>
          <w:bCs/>
          <w:szCs w:val="20"/>
        </w:rPr>
        <w:t>Not Applicable</w:t>
      </w:r>
    </w:p>
    <w:p w:rsidR="00BA5B90" w:rsidRPr="00BA5B90" w:rsidRDefault="00BA5B90" w:rsidP="00BA5B90">
      <w:pPr>
        <w:keepNext/>
        <w:numPr>
          <w:ilvl w:val="0"/>
          <w:numId w:val="9"/>
        </w:numPr>
        <w:tabs>
          <w:tab w:val="left" w:pos="360"/>
        </w:tabs>
        <w:overflowPunct w:val="0"/>
        <w:autoSpaceDE w:val="0"/>
        <w:autoSpaceDN w:val="0"/>
        <w:adjustRightInd w:val="0"/>
        <w:spacing w:after="0" w:line="240" w:lineRule="auto"/>
        <w:textAlignment w:val="baseline"/>
        <w:rPr>
          <w:rFonts w:ascii="Times New Roman" w:eastAsia="Times New Roman" w:hAnsi="Times New Roman" w:cs="Times New Roman"/>
          <w:bCs/>
          <w:szCs w:val="20"/>
        </w:rPr>
      </w:pPr>
      <w:r w:rsidRPr="00BA5B90">
        <w:rPr>
          <w:rFonts w:ascii="Times New Roman" w:eastAsia="Times New Roman" w:hAnsi="Times New Roman" w:cs="Times New Roman"/>
          <w:bCs/>
          <w:szCs w:val="20"/>
        </w:rPr>
        <w:t xml:space="preserve">requiring respondents to prepare a written response to a collection of information in fewer than 30 days after receipt of it; </w:t>
      </w:r>
    </w:p>
    <w:p w:rsidR="00BA5B90" w:rsidRPr="00BA5B90" w:rsidRDefault="00BA5B90" w:rsidP="00BA5B90">
      <w:pPr>
        <w:keepNext/>
        <w:tabs>
          <w:tab w:val="left" w:pos="360"/>
        </w:tabs>
        <w:overflowPunct w:val="0"/>
        <w:autoSpaceDE w:val="0"/>
        <w:autoSpaceDN w:val="0"/>
        <w:adjustRightInd w:val="0"/>
        <w:spacing w:after="0" w:line="240" w:lineRule="auto"/>
        <w:ind w:left="504"/>
        <w:textAlignment w:val="baseline"/>
        <w:rPr>
          <w:rFonts w:ascii="Times New Roman" w:eastAsia="Times New Roman" w:hAnsi="Times New Roman" w:cs="Times New Roman"/>
          <w:b/>
          <w:bCs/>
          <w:szCs w:val="20"/>
        </w:rPr>
      </w:pPr>
      <w:r w:rsidRPr="00BA5B90">
        <w:rPr>
          <w:rFonts w:ascii="Times New Roman" w:eastAsia="Times New Roman" w:hAnsi="Times New Roman" w:cs="Times New Roman"/>
          <w:b/>
          <w:bCs/>
          <w:szCs w:val="20"/>
        </w:rPr>
        <w:t>Not Applicable</w:t>
      </w:r>
    </w:p>
    <w:p w:rsidR="00BA5B90" w:rsidRPr="00BA5B90" w:rsidRDefault="00BA5B90" w:rsidP="00BA5B90">
      <w:pPr>
        <w:keepNext/>
        <w:numPr>
          <w:ilvl w:val="0"/>
          <w:numId w:val="9"/>
        </w:numPr>
        <w:tabs>
          <w:tab w:val="left" w:pos="360"/>
        </w:tabs>
        <w:overflowPunct w:val="0"/>
        <w:autoSpaceDE w:val="0"/>
        <w:autoSpaceDN w:val="0"/>
        <w:adjustRightInd w:val="0"/>
        <w:spacing w:after="0" w:line="240" w:lineRule="auto"/>
        <w:textAlignment w:val="baseline"/>
        <w:rPr>
          <w:rFonts w:ascii="Times New Roman" w:eastAsia="Times New Roman" w:hAnsi="Times New Roman" w:cs="Times New Roman"/>
          <w:bCs/>
          <w:szCs w:val="20"/>
        </w:rPr>
      </w:pPr>
      <w:r w:rsidRPr="00BA5B90">
        <w:rPr>
          <w:rFonts w:ascii="Times New Roman" w:eastAsia="Times New Roman" w:hAnsi="Times New Roman" w:cs="Times New Roman"/>
          <w:bCs/>
          <w:szCs w:val="20"/>
        </w:rPr>
        <w:t xml:space="preserve">requiring respondents to submit more than an original and two copies of any document; </w:t>
      </w:r>
    </w:p>
    <w:p w:rsidR="00BA5B90" w:rsidRPr="00BA5B90" w:rsidRDefault="00BA5B90" w:rsidP="00BA5B90">
      <w:pPr>
        <w:keepNext/>
        <w:tabs>
          <w:tab w:val="left" w:pos="360"/>
        </w:tabs>
        <w:overflowPunct w:val="0"/>
        <w:autoSpaceDE w:val="0"/>
        <w:autoSpaceDN w:val="0"/>
        <w:adjustRightInd w:val="0"/>
        <w:spacing w:after="0" w:line="240" w:lineRule="auto"/>
        <w:ind w:left="504"/>
        <w:textAlignment w:val="baseline"/>
        <w:rPr>
          <w:rFonts w:ascii="Times New Roman" w:eastAsia="Times New Roman" w:hAnsi="Times New Roman" w:cs="Times New Roman"/>
          <w:b/>
          <w:bCs/>
          <w:szCs w:val="20"/>
        </w:rPr>
      </w:pPr>
      <w:r w:rsidRPr="00BA5B90">
        <w:rPr>
          <w:rFonts w:ascii="Times New Roman" w:eastAsia="Times New Roman" w:hAnsi="Times New Roman" w:cs="Times New Roman"/>
          <w:b/>
          <w:bCs/>
          <w:szCs w:val="20"/>
        </w:rPr>
        <w:t>Not Applicable</w:t>
      </w:r>
    </w:p>
    <w:p w:rsidR="00BA5B90" w:rsidRPr="00BA5B90" w:rsidRDefault="00BA5B90" w:rsidP="00BA5B90">
      <w:pPr>
        <w:keepNext/>
        <w:numPr>
          <w:ilvl w:val="0"/>
          <w:numId w:val="9"/>
        </w:numPr>
        <w:tabs>
          <w:tab w:val="left" w:pos="360"/>
        </w:tabs>
        <w:overflowPunct w:val="0"/>
        <w:autoSpaceDE w:val="0"/>
        <w:autoSpaceDN w:val="0"/>
        <w:adjustRightInd w:val="0"/>
        <w:spacing w:after="0" w:line="240" w:lineRule="auto"/>
        <w:textAlignment w:val="baseline"/>
        <w:rPr>
          <w:rFonts w:ascii="Times New Roman" w:eastAsia="Times New Roman" w:hAnsi="Times New Roman" w:cs="Times New Roman"/>
          <w:bCs/>
          <w:szCs w:val="20"/>
        </w:rPr>
      </w:pPr>
      <w:r w:rsidRPr="00BA5B90">
        <w:rPr>
          <w:rFonts w:ascii="Times New Roman" w:eastAsia="Times New Roman" w:hAnsi="Times New Roman" w:cs="Times New Roman"/>
          <w:bCs/>
          <w:szCs w:val="20"/>
        </w:rPr>
        <w:t xml:space="preserve">requiring respondents to retain records other than health, medical, government contract, grant-in-aid, or tax records for more than three years; </w:t>
      </w:r>
    </w:p>
    <w:p w:rsidR="00BA5B90" w:rsidRPr="00BA5B90" w:rsidRDefault="00BA5B90" w:rsidP="00BA5B90">
      <w:pPr>
        <w:keepNext/>
        <w:tabs>
          <w:tab w:val="left" w:pos="360"/>
        </w:tabs>
        <w:overflowPunct w:val="0"/>
        <w:autoSpaceDE w:val="0"/>
        <w:autoSpaceDN w:val="0"/>
        <w:adjustRightInd w:val="0"/>
        <w:spacing w:after="0" w:line="240" w:lineRule="auto"/>
        <w:ind w:left="504"/>
        <w:textAlignment w:val="baseline"/>
        <w:rPr>
          <w:rFonts w:ascii="Times New Roman" w:eastAsia="Times New Roman" w:hAnsi="Times New Roman" w:cs="Times New Roman"/>
          <w:b/>
          <w:bCs/>
          <w:szCs w:val="20"/>
        </w:rPr>
      </w:pPr>
      <w:r w:rsidRPr="00BA5B90">
        <w:rPr>
          <w:rFonts w:ascii="Times New Roman" w:eastAsia="Times New Roman" w:hAnsi="Times New Roman" w:cs="Times New Roman"/>
          <w:b/>
          <w:bCs/>
          <w:szCs w:val="20"/>
        </w:rPr>
        <w:t>Not Applicable</w:t>
      </w:r>
    </w:p>
    <w:p w:rsidR="00BA5B90" w:rsidRPr="00BA5B90" w:rsidRDefault="00BA5B90" w:rsidP="00BA5B90">
      <w:pPr>
        <w:keepNext/>
        <w:numPr>
          <w:ilvl w:val="0"/>
          <w:numId w:val="9"/>
        </w:numPr>
        <w:tabs>
          <w:tab w:val="left" w:pos="360"/>
        </w:tabs>
        <w:overflowPunct w:val="0"/>
        <w:autoSpaceDE w:val="0"/>
        <w:autoSpaceDN w:val="0"/>
        <w:adjustRightInd w:val="0"/>
        <w:spacing w:after="0" w:line="240" w:lineRule="auto"/>
        <w:textAlignment w:val="baseline"/>
        <w:rPr>
          <w:rFonts w:ascii="Times New Roman" w:eastAsia="Times New Roman" w:hAnsi="Times New Roman" w:cs="Times New Roman"/>
          <w:bCs/>
          <w:szCs w:val="20"/>
        </w:rPr>
      </w:pPr>
      <w:proofErr w:type="gramStart"/>
      <w:r w:rsidRPr="00BA5B90">
        <w:rPr>
          <w:rFonts w:ascii="Times New Roman" w:eastAsia="Times New Roman" w:hAnsi="Times New Roman" w:cs="Times New Roman"/>
          <w:bCs/>
          <w:szCs w:val="20"/>
        </w:rPr>
        <w:t>in connection with</w:t>
      </w:r>
      <w:proofErr w:type="gramEnd"/>
      <w:r w:rsidRPr="00BA5B90">
        <w:rPr>
          <w:rFonts w:ascii="Times New Roman" w:eastAsia="Times New Roman" w:hAnsi="Times New Roman" w:cs="Times New Roman"/>
          <w:bCs/>
          <w:szCs w:val="20"/>
        </w:rPr>
        <w:t xml:space="preserve"> a statistical survey, that is not designed to produce valid and reliable results than can be generalized to the universe of study; </w:t>
      </w:r>
    </w:p>
    <w:p w:rsidR="00BA5B90" w:rsidRPr="00BA5B90" w:rsidRDefault="00BA5B90" w:rsidP="00BA5B90">
      <w:pPr>
        <w:keepNext/>
        <w:tabs>
          <w:tab w:val="left" w:pos="360"/>
        </w:tabs>
        <w:overflowPunct w:val="0"/>
        <w:autoSpaceDE w:val="0"/>
        <w:autoSpaceDN w:val="0"/>
        <w:adjustRightInd w:val="0"/>
        <w:spacing w:after="0" w:line="240" w:lineRule="auto"/>
        <w:ind w:left="504"/>
        <w:textAlignment w:val="baseline"/>
        <w:rPr>
          <w:rFonts w:ascii="Times New Roman" w:eastAsia="Times New Roman" w:hAnsi="Times New Roman" w:cs="Times New Roman"/>
          <w:b/>
          <w:bCs/>
          <w:szCs w:val="20"/>
        </w:rPr>
      </w:pPr>
      <w:r w:rsidRPr="00BA5B90">
        <w:rPr>
          <w:rFonts w:ascii="Times New Roman" w:eastAsia="Times New Roman" w:hAnsi="Times New Roman" w:cs="Times New Roman"/>
          <w:b/>
          <w:bCs/>
          <w:szCs w:val="20"/>
        </w:rPr>
        <w:t>Not Applicable</w:t>
      </w:r>
    </w:p>
    <w:p w:rsidR="00BA5B90" w:rsidRPr="00BA5B90" w:rsidRDefault="00BA5B90" w:rsidP="00BA5B90">
      <w:pPr>
        <w:keepNext/>
        <w:numPr>
          <w:ilvl w:val="0"/>
          <w:numId w:val="9"/>
        </w:numPr>
        <w:tabs>
          <w:tab w:val="left" w:pos="360"/>
        </w:tabs>
        <w:overflowPunct w:val="0"/>
        <w:autoSpaceDE w:val="0"/>
        <w:autoSpaceDN w:val="0"/>
        <w:adjustRightInd w:val="0"/>
        <w:spacing w:after="0" w:line="240" w:lineRule="auto"/>
        <w:textAlignment w:val="baseline"/>
        <w:rPr>
          <w:rFonts w:ascii="Times New Roman" w:eastAsia="Times New Roman" w:hAnsi="Times New Roman" w:cs="Times New Roman"/>
          <w:bCs/>
          <w:szCs w:val="20"/>
        </w:rPr>
      </w:pPr>
      <w:r w:rsidRPr="00BA5B90">
        <w:rPr>
          <w:rFonts w:ascii="Times New Roman" w:eastAsia="Times New Roman" w:hAnsi="Times New Roman" w:cs="Times New Roman"/>
          <w:bCs/>
          <w:szCs w:val="20"/>
        </w:rPr>
        <w:t xml:space="preserve">requiring the use of a statistical data classification that has not been reviewed and approved by OMB; </w:t>
      </w:r>
    </w:p>
    <w:p w:rsidR="00BA5B90" w:rsidRPr="00BA5B90" w:rsidRDefault="00BA5B90" w:rsidP="00BA5B90">
      <w:pPr>
        <w:keepNext/>
        <w:numPr>
          <w:ilvl w:val="0"/>
          <w:numId w:val="9"/>
        </w:numPr>
        <w:tabs>
          <w:tab w:val="left" w:pos="360"/>
        </w:tabs>
        <w:overflowPunct w:val="0"/>
        <w:autoSpaceDE w:val="0"/>
        <w:autoSpaceDN w:val="0"/>
        <w:adjustRightInd w:val="0"/>
        <w:spacing w:after="0" w:line="240" w:lineRule="auto"/>
        <w:textAlignment w:val="baseline"/>
        <w:rPr>
          <w:rFonts w:ascii="Times New Roman" w:eastAsia="Times New Roman" w:hAnsi="Times New Roman" w:cs="Times New Roman"/>
          <w:b/>
          <w:bCs/>
          <w:szCs w:val="20"/>
        </w:rPr>
      </w:pPr>
      <w:r w:rsidRPr="00BA5B90">
        <w:rPr>
          <w:rFonts w:ascii="Times New Roman" w:eastAsia="Times New Roman" w:hAnsi="Times New Roman" w:cs="Times New Roman"/>
          <w:b/>
          <w:bCs/>
          <w:szCs w:val="20"/>
        </w:rPr>
        <w:t>Not Applicable</w:t>
      </w:r>
    </w:p>
    <w:p w:rsidR="00BA5B90" w:rsidRPr="00BA5B90" w:rsidRDefault="00BA5B90" w:rsidP="00BA5B90">
      <w:pPr>
        <w:keepNext/>
        <w:tabs>
          <w:tab w:val="left" w:pos="360"/>
        </w:tabs>
        <w:overflowPunct w:val="0"/>
        <w:autoSpaceDE w:val="0"/>
        <w:autoSpaceDN w:val="0"/>
        <w:adjustRightInd w:val="0"/>
        <w:spacing w:after="0" w:line="240" w:lineRule="auto"/>
        <w:ind w:left="504"/>
        <w:textAlignment w:val="baseline"/>
        <w:rPr>
          <w:rFonts w:ascii="Times New Roman" w:eastAsia="Times New Roman" w:hAnsi="Times New Roman" w:cs="Times New Roman"/>
          <w:bCs/>
          <w:szCs w:val="20"/>
        </w:rPr>
      </w:pPr>
      <w:r w:rsidRPr="00BA5B90">
        <w:rPr>
          <w:rFonts w:ascii="Times New Roman" w:eastAsia="Times New Roman" w:hAnsi="Times New Roman" w:cs="Times New Roman"/>
          <w:bCs/>
          <w:szCs w:val="20"/>
        </w:rPr>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BA5B90" w:rsidRPr="00BA5B90" w:rsidRDefault="00BA5B90" w:rsidP="00BA5B90">
      <w:pPr>
        <w:keepNext/>
        <w:tabs>
          <w:tab w:val="left" w:pos="360"/>
        </w:tabs>
        <w:overflowPunct w:val="0"/>
        <w:autoSpaceDE w:val="0"/>
        <w:autoSpaceDN w:val="0"/>
        <w:adjustRightInd w:val="0"/>
        <w:spacing w:after="0" w:line="240" w:lineRule="auto"/>
        <w:ind w:left="504"/>
        <w:textAlignment w:val="baseline"/>
        <w:rPr>
          <w:rFonts w:ascii="Times New Roman" w:eastAsia="Times New Roman" w:hAnsi="Times New Roman" w:cs="Times New Roman"/>
          <w:b/>
          <w:bCs/>
          <w:szCs w:val="20"/>
        </w:rPr>
      </w:pPr>
      <w:r w:rsidRPr="00BA5B90">
        <w:rPr>
          <w:rFonts w:ascii="Times New Roman" w:eastAsia="Times New Roman" w:hAnsi="Times New Roman" w:cs="Times New Roman"/>
          <w:b/>
          <w:bCs/>
          <w:szCs w:val="20"/>
        </w:rPr>
        <w:t>Not Applicable</w:t>
      </w:r>
    </w:p>
    <w:p w:rsidR="00BA5B90" w:rsidRPr="00BA5B90" w:rsidRDefault="00BA5B90" w:rsidP="00BA5B90">
      <w:pPr>
        <w:keepNext/>
        <w:numPr>
          <w:ilvl w:val="0"/>
          <w:numId w:val="9"/>
        </w:numPr>
        <w:tabs>
          <w:tab w:val="left" w:pos="360"/>
        </w:tabs>
        <w:overflowPunct w:val="0"/>
        <w:autoSpaceDE w:val="0"/>
        <w:autoSpaceDN w:val="0"/>
        <w:adjustRightInd w:val="0"/>
        <w:spacing w:after="0" w:line="240" w:lineRule="auto"/>
        <w:textAlignment w:val="baseline"/>
        <w:rPr>
          <w:rFonts w:ascii="Times New Roman" w:eastAsia="Times New Roman" w:hAnsi="Times New Roman" w:cs="Times New Roman"/>
          <w:bCs/>
          <w:szCs w:val="20"/>
        </w:rPr>
      </w:pPr>
      <w:r w:rsidRPr="00BA5B90">
        <w:rPr>
          <w:rFonts w:ascii="Times New Roman" w:eastAsia="Times New Roman" w:hAnsi="Times New Roman" w:cs="Times New Roman"/>
          <w:bCs/>
          <w:szCs w:val="20"/>
        </w:rPr>
        <w:t>requiring respondents to submit proprietary trade secret, or other confidential information unless the agency can demonstrate that it has instituted procedures to protect the information's confidentiality to the extent permitted by law.</w:t>
      </w:r>
    </w:p>
    <w:p w:rsidR="00BA5B90" w:rsidRPr="00BA5B90" w:rsidRDefault="00BA5B90" w:rsidP="00BA5B90">
      <w:pPr>
        <w:keepNext/>
        <w:numPr>
          <w:ilvl w:val="0"/>
          <w:numId w:val="9"/>
        </w:numPr>
        <w:tabs>
          <w:tab w:val="left" w:pos="360"/>
        </w:tabs>
        <w:overflowPunct w:val="0"/>
        <w:autoSpaceDE w:val="0"/>
        <w:autoSpaceDN w:val="0"/>
        <w:adjustRightInd w:val="0"/>
        <w:spacing w:after="0" w:line="240" w:lineRule="auto"/>
        <w:textAlignment w:val="baseline"/>
        <w:rPr>
          <w:rFonts w:ascii="Times New Roman" w:eastAsia="Times New Roman" w:hAnsi="Times New Roman" w:cs="Times New Roman"/>
          <w:b/>
          <w:bCs/>
          <w:szCs w:val="20"/>
        </w:rPr>
      </w:pPr>
      <w:r w:rsidRPr="00BA5B90">
        <w:rPr>
          <w:rFonts w:ascii="Times New Roman" w:eastAsia="Times New Roman" w:hAnsi="Times New Roman" w:cs="Times New Roman"/>
          <w:b/>
          <w:bCs/>
          <w:szCs w:val="20"/>
        </w:rPr>
        <w:t>Not Applicable</w:t>
      </w:r>
    </w:p>
    <w:p w:rsidR="00BA5B90" w:rsidRPr="00BA5B90" w:rsidRDefault="00BA5B90" w:rsidP="00BA5B90">
      <w:pPr>
        <w:tabs>
          <w:tab w:val="left" w:pos="360"/>
        </w:tabs>
        <w:overflowPunct w:val="0"/>
        <w:autoSpaceDE w:val="0"/>
        <w:autoSpaceDN w:val="0"/>
        <w:adjustRightInd w:val="0"/>
        <w:spacing w:after="0" w:line="240" w:lineRule="auto"/>
        <w:ind w:left="504"/>
        <w:textAlignment w:val="baseline"/>
        <w:rPr>
          <w:rFonts w:ascii="Times New Roman" w:eastAsia="Times New Roman" w:hAnsi="Times New Roman" w:cs="Times New Roman"/>
          <w:szCs w:val="20"/>
        </w:rPr>
      </w:pPr>
    </w:p>
    <w:p w:rsidR="00BA5B90" w:rsidRPr="00BA5B90" w:rsidRDefault="00BA5B90" w:rsidP="00BA5B90">
      <w:pPr>
        <w:tabs>
          <w:tab w:val="left" w:pos="360"/>
        </w:tabs>
        <w:overflowPunct w:val="0"/>
        <w:autoSpaceDE w:val="0"/>
        <w:autoSpaceDN w:val="0"/>
        <w:adjustRightInd w:val="0"/>
        <w:spacing w:after="0" w:line="240" w:lineRule="auto"/>
        <w:ind w:left="360" w:hanging="360"/>
        <w:textAlignment w:val="baseline"/>
        <w:rPr>
          <w:rFonts w:ascii="Times New Roman" w:eastAsia="Times New Roman" w:hAnsi="Times New Roman" w:cs="Times New Roman"/>
          <w:szCs w:val="20"/>
        </w:rPr>
      </w:pPr>
      <w:r w:rsidRPr="00BA5B90">
        <w:rPr>
          <w:rFonts w:ascii="Times New Roman" w:eastAsia="Times New Roman" w:hAnsi="Times New Roman" w:cs="Times New Roman"/>
          <w:szCs w:val="20"/>
        </w:rPr>
        <w:tab/>
        <w:t>There are no special circumstances that require the collection of information to be inconsistent with the guidelines.</w:t>
      </w:r>
    </w:p>
    <w:p w:rsidR="00BA5B90" w:rsidRPr="00BA5B90" w:rsidRDefault="00BA5B90" w:rsidP="00BA5B90">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rPr>
      </w:pPr>
    </w:p>
    <w:p w:rsidR="00BA5B90" w:rsidRPr="00BA5B90" w:rsidRDefault="00BA5B90" w:rsidP="00BA5B90">
      <w:pPr>
        <w:overflowPunct w:val="0"/>
        <w:autoSpaceDE w:val="0"/>
        <w:autoSpaceDN w:val="0"/>
        <w:adjustRightInd w:val="0"/>
        <w:spacing w:after="0" w:line="240" w:lineRule="auto"/>
        <w:ind w:left="360" w:hanging="360"/>
        <w:textAlignment w:val="baseline"/>
        <w:rPr>
          <w:rFonts w:ascii="Times New Roman" w:eastAsia="Times New Roman" w:hAnsi="Times New Roman" w:cs="Times New Roman"/>
          <w:sz w:val="24"/>
          <w:szCs w:val="20"/>
        </w:rPr>
      </w:pPr>
      <w:r w:rsidRPr="00BA5B90">
        <w:rPr>
          <w:rFonts w:ascii="Times New Roman" w:eastAsia="Times New Roman" w:hAnsi="Times New Roman" w:cs="Times New Roman"/>
          <w:sz w:val="24"/>
          <w:szCs w:val="20"/>
        </w:rPr>
        <w:t>8.</w:t>
      </w:r>
      <w:r w:rsidRPr="00BA5B90">
        <w:rPr>
          <w:rFonts w:ascii="Times New Roman" w:eastAsia="Times New Roman" w:hAnsi="Times New Roman" w:cs="Times New Roman"/>
          <w:sz w:val="24"/>
          <w:szCs w:val="20"/>
        </w:rPr>
        <w:tab/>
      </w:r>
      <w:r w:rsidR="007E6AA1" w:rsidRPr="007E6AA1">
        <w:rPr>
          <w:rFonts w:ascii="Times New Roman" w:eastAsia="Times New Roman" w:hAnsi="Times New Roman" w:cs="Times New Roman"/>
          <w:sz w:val="24"/>
          <w:szCs w:val="20"/>
        </w:rPr>
        <w:t xml:space="preserve">In accordance with 5CFR 1320.8(d), this information collection soliciting public comments was announced in the Federal Register on </w:t>
      </w:r>
      <w:r w:rsidR="007E6AA1" w:rsidRPr="007E6AA1">
        <w:rPr>
          <w:rFonts w:ascii="Times New Roman" w:eastAsia="Times New Roman" w:hAnsi="Times New Roman" w:cs="Times New Roman"/>
          <w:b/>
          <w:sz w:val="24"/>
          <w:szCs w:val="20"/>
        </w:rPr>
        <w:t>April 21, 2017</w:t>
      </w:r>
      <w:r w:rsidR="007E6AA1" w:rsidRPr="007E6AA1">
        <w:rPr>
          <w:rFonts w:ascii="Times New Roman" w:eastAsia="Times New Roman" w:hAnsi="Times New Roman" w:cs="Times New Roman"/>
          <w:sz w:val="24"/>
          <w:szCs w:val="20"/>
        </w:rPr>
        <w:t xml:space="preserve">, Volume </w:t>
      </w:r>
      <w:r w:rsidR="007E6AA1" w:rsidRPr="007E6AA1">
        <w:rPr>
          <w:rFonts w:ascii="Times New Roman" w:eastAsia="Times New Roman" w:hAnsi="Times New Roman" w:cs="Times New Roman"/>
          <w:b/>
          <w:sz w:val="24"/>
          <w:szCs w:val="20"/>
        </w:rPr>
        <w:t>82</w:t>
      </w:r>
      <w:r w:rsidR="007E6AA1" w:rsidRPr="007E6AA1">
        <w:rPr>
          <w:rFonts w:ascii="Times New Roman" w:eastAsia="Times New Roman" w:hAnsi="Times New Roman" w:cs="Times New Roman"/>
          <w:sz w:val="24"/>
          <w:szCs w:val="20"/>
        </w:rPr>
        <w:t xml:space="preserve">, No. </w:t>
      </w:r>
      <w:r w:rsidR="007E6AA1" w:rsidRPr="007E6AA1">
        <w:rPr>
          <w:rFonts w:ascii="Times New Roman" w:eastAsia="Times New Roman" w:hAnsi="Times New Roman" w:cs="Times New Roman"/>
          <w:b/>
          <w:sz w:val="24"/>
          <w:szCs w:val="20"/>
        </w:rPr>
        <w:t>76</w:t>
      </w:r>
      <w:r w:rsidR="007E6AA1" w:rsidRPr="007E6AA1">
        <w:rPr>
          <w:rFonts w:ascii="Times New Roman" w:eastAsia="Times New Roman" w:hAnsi="Times New Roman" w:cs="Times New Roman"/>
          <w:sz w:val="24"/>
          <w:szCs w:val="20"/>
        </w:rPr>
        <w:t xml:space="preserve">, Pages </w:t>
      </w:r>
      <w:r w:rsidR="007E6AA1" w:rsidRPr="007E6AA1">
        <w:rPr>
          <w:rFonts w:ascii="Times New Roman" w:eastAsia="Times New Roman" w:hAnsi="Times New Roman" w:cs="Times New Roman"/>
          <w:b/>
          <w:sz w:val="24"/>
          <w:szCs w:val="20"/>
        </w:rPr>
        <w:t>18766</w:t>
      </w:r>
      <w:r w:rsidR="007E6AA1" w:rsidRPr="007E6AA1">
        <w:rPr>
          <w:rFonts w:ascii="Times New Roman" w:eastAsia="Times New Roman" w:hAnsi="Times New Roman" w:cs="Times New Roman"/>
          <w:sz w:val="24"/>
          <w:szCs w:val="20"/>
        </w:rPr>
        <w:t>.  (</w:t>
      </w:r>
      <w:r w:rsidR="007E6AA1" w:rsidRPr="007E6AA1">
        <w:rPr>
          <w:rFonts w:ascii="Times New Roman" w:eastAsia="Times New Roman" w:hAnsi="Times New Roman" w:cs="Times New Roman"/>
          <w:b/>
          <w:sz w:val="24"/>
          <w:szCs w:val="20"/>
        </w:rPr>
        <w:t>0</w:t>
      </w:r>
      <w:r w:rsidR="007E6AA1" w:rsidRPr="007E6AA1">
        <w:rPr>
          <w:rFonts w:ascii="Times New Roman" w:eastAsia="Times New Roman" w:hAnsi="Times New Roman" w:cs="Times New Roman"/>
          <w:sz w:val="24"/>
          <w:szCs w:val="20"/>
        </w:rPr>
        <w:t>) Comment received.</w:t>
      </w:r>
    </w:p>
    <w:p w:rsidR="00BA5B90" w:rsidRPr="00BA5B90" w:rsidRDefault="00BA5B90" w:rsidP="00BA5B90">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rPr>
      </w:pPr>
    </w:p>
    <w:p w:rsidR="00BA5B90" w:rsidRPr="00BA5B90" w:rsidRDefault="00BA5B90" w:rsidP="00BA5B90">
      <w:pPr>
        <w:numPr>
          <w:ilvl w:val="0"/>
          <w:numId w:val="4"/>
        </w:numPr>
        <w:overflowPunct w:val="0"/>
        <w:autoSpaceDE w:val="0"/>
        <w:autoSpaceDN w:val="0"/>
        <w:adjustRightInd w:val="0"/>
        <w:spacing w:after="0" w:line="240" w:lineRule="auto"/>
        <w:textAlignment w:val="baseline"/>
        <w:rPr>
          <w:rFonts w:ascii="Times New Roman" w:eastAsia="Times New Roman" w:hAnsi="Times New Roman" w:cs="Times New Roman"/>
          <w:sz w:val="24"/>
          <w:szCs w:val="20"/>
        </w:rPr>
      </w:pPr>
      <w:r w:rsidRPr="00BA5B90">
        <w:rPr>
          <w:rFonts w:ascii="Times New Roman" w:eastAsia="Times New Roman" w:hAnsi="Times New Roman" w:cs="Times New Roman"/>
          <w:sz w:val="24"/>
          <w:szCs w:val="20"/>
        </w:rPr>
        <w:t xml:space="preserve">There are no payments or gifts to respondents.  </w:t>
      </w:r>
    </w:p>
    <w:p w:rsidR="00BA5B90" w:rsidRPr="00BA5B90" w:rsidRDefault="00BA5B90" w:rsidP="00BA5B90">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rPr>
      </w:pPr>
    </w:p>
    <w:p w:rsidR="00BA5B90" w:rsidRPr="00BA5B90" w:rsidRDefault="00BA5B90" w:rsidP="00BA5B90">
      <w:pPr>
        <w:numPr>
          <w:ilvl w:val="0"/>
          <w:numId w:val="5"/>
        </w:numPr>
        <w:overflowPunct w:val="0"/>
        <w:autoSpaceDE w:val="0"/>
        <w:autoSpaceDN w:val="0"/>
        <w:adjustRightInd w:val="0"/>
        <w:spacing w:after="0" w:line="240" w:lineRule="auto"/>
        <w:textAlignment w:val="baseline"/>
        <w:rPr>
          <w:rFonts w:ascii="Times New Roman" w:eastAsia="Times New Roman" w:hAnsi="Times New Roman" w:cs="Times New Roman"/>
          <w:sz w:val="24"/>
          <w:szCs w:val="20"/>
        </w:rPr>
      </w:pPr>
      <w:r w:rsidRPr="00BA5B90">
        <w:rPr>
          <w:rFonts w:ascii="Times New Roman" w:eastAsia="Times New Roman" w:hAnsi="Times New Roman" w:cs="Times New Roman"/>
          <w:sz w:val="24"/>
          <w:szCs w:val="20"/>
        </w:rPr>
        <w:t xml:space="preserve">The current information collection does not describe any assurance of confidentiality.  This information collection does not ask any information about individuals other than name, </w:t>
      </w:r>
      <w:r w:rsidRPr="00BA5B90">
        <w:rPr>
          <w:rFonts w:ascii="Times New Roman" w:eastAsia="Times New Roman" w:hAnsi="Times New Roman" w:cs="Times New Roman"/>
          <w:sz w:val="24"/>
          <w:szCs w:val="20"/>
        </w:rPr>
        <w:lastRenderedPageBreak/>
        <w:t xml:space="preserve">address, telephone number, and association with the proposed project.  The Privacy Act Statement covers exhibits, which do ask for personal data.  </w:t>
      </w:r>
    </w:p>
    <w:p w:rsidR="00BA5B90" w:rsidRPr="00BA5B90" w:rsidRDefault="00BA5B90" w:rsidP="00BA5B90">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rPr>
      </w:pPr>
    </w:p>
    <w:p w:rsidR="00BA5B90" w:rsidRPr="00BA5B90" w:rsidRDefault="00BA5B90" w:rsidP="00BA5B90">
      <w:pPr>
        <w:numPr>
          <w:ilvl w:val="0"/>
          <w:numId w:val="6"/>
        </w:numPr>
        <w:overflowPunct w:val="0"/>
        <w:autoSpaceDE w:val="0"/>
        <w:autoSpaceDN w:val="0"/>
        <w:adjustRightInd w:val="0"/>
        <w:spacing w:after="0" w:line="240" w:lineRule="auto"/>
        <w:textAlignment w:val="baseline"/>
        <w:rPr>
          <w:rFonts w:ascii="Times New Roman" w:eastAsia="Times New Roman" w:hAnsi="Times New Roman" w:cs="Times New Roman"/>
          <w:sz w:val="24"/>
          <w:szCs w:val="20"/>
        </w:rPr>
      </w:pPr>
      <w:r w:rsidRPr="00BA5B90">
        <w:rPr>
          <w:rFonts w:ascii="Times New Roman" w:eastAsia="Times New Roman" w:hAnsi="Times New Roman" w:cs="Times New Roman"/>
          <w:sz w:val="24"/>
          <w:szCs w:val="20"/>
        </w:rPr>
        <w:t xml:space="preserve">The collection does not contain information of a sensitive nature. </w:t>
      </w:r>
    </w:p>
    <w:p w:rsidR="00BA5B90" w:rsidRPr="00BA5B90" w:rsidRDefault="00BA5B90" w:rsidP="00BA5B90">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rPr>
      </w:pPr>
    </w:p>
    <w:p w:rsidR="00BA5B90" w:rsidRPr="00BA5B90" w:rsidRDefault="00BA5B90" w:rsidP="00BA5B90">
      <w:pPr>
        <w:keepNext/>
        <w:overflowPunct w:val="0"/>
        <w:autoSpaceDE w:val="0"/>
        <w:autoSpaceDN w:val="0"/>
        <w:adjustRightInd w:val="0"/>
        <w:spacing w:after="0" w:line="240" w:lineRule="auto"/>
        <w:ind w:left="360" w:hanging="360"/>
        <w:textAlignment w:val="baseline"/>
        <w:rPr>
          <w:rFonts w:ascii="Times New Roman" w:eastAsia="Times New Roman" w:hAnsi="Times New Roman" w:cs="Times New Roman"/>
          <w:sz w:val="24"/>
          <w:szCs w:val="20"/>
        </w:rPr>
      </w:pPr>
      <w:r w:rsidRPr="00BA5B90">
        <w:rPr>
          <w:rFonts w:ascii="Times New Roman" w:eastAsia="Times New Roman" w:hAnsi="Times New Roman" w:cs="Times New Roman"/>
          <w:sz w:val="24"/>
          <w:szCs w:val="20"/>
        </w:rPr>
        <w:t>12.</w:t>
      </w:r>
      <w:r w:rsidRPr="00BA5B90">
        <w:rPr>
          <w:rFonts w:ascii="Times New Roman" w:eastAsia="Times New Roman" w:hAnsi="Times New Roman" w:cs="Times New Roman"/>
          <w:sz w:val="24"/>
          <w:szCs w:val="20"/>
        </w:rPr>
        <w:tab/>
        <w:t>Annual Burden Estimate:</w:t>
      </w:r>
    </w:p>
    <w:p w:rsidR="00BA5B90" w:rsidRPr="00BA5B90" w:rsidRDefault="00BA5B90" w:rsidP="00BA5B90">
      <w:pPr>
        <w:keepNext/>
        <w:overflowPunct w:val="0"/>
        <w:autoSpaceDE w:val="0"/>
        <w:autoSpaceDN w:val="0"/>
        <w:adjustRightInd w:val="0"/>
        <w:spacing w:after="120" w:line="240" w:lineRule="auto"/>
        <w:ind w:left="360"/>
        <w:textAlignment w:val="baseline"/>
        <w:rPr>
          <w:rFonts w:ascii="Times New Roman" w:eastAsia="Times New Roman" w:hAnsi="Times New Roman" w:cs="Times New Roman"/>
          <w:sz w:val="24"/>
          <w:szCs w:val="20"/>
        </w:rPr>
      </w:pPr>
    </w:p>
    <w:tbl>
      <w:tblPr>
        <w:tblW w:w="9900"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260"/>
        <w:gridCol w:w="1350"/>
        <w:gridCol w:w="1260"/>
        <w:gridCol w:w="1260"/>
        <w:gridCol w:w="1350"/>
        <w:gridCol w:w="1260"/>
        <w:gridCol w:w="810"/>
        <w:gridCol w:w="1350"/>
      </w:tblGrid>
      <w:tr w:rsidR="00BA5B90" w:rsidRPr="00BA5B90" w:rsidTr="00662B66">
        <w:trPr>
          <w:trHeight w:val="651"/>
        </w:trPr>
        <w:tc>
          <w:tcPr>
            <w:tcW w:w="1260" w:type="dxa"/>
            <w:tcBorders>
              <w:top w:val="single" w:sz="6" w:space="0" w:color="auto"/>
              <w:left w:val="single" w:sz="6" w:space="0" w:color="auto"/>
              <w:bottom w:val="single" w:sz="6" w:space="0" w:color="auto"/>
              <w:right w:val="single" w:sz="6" w:space="0" w:color="auto"/>
            </w:tcBorders>
            <w:vAlign w:val="center"/>
          </w:tcPr>
          <w:p w:rsidR="00BA5B90" w:rsidRPr="00BA5B90" w:rsidRDefault="00BA5B90" w:rsidP="00BA5B90">
            <w:pPr>
              <w:overflowPunct w:val="0"/>
              <w:autoSpaceDE w:val="0"/>
              <w:autoSpaceDN w:val="0"/>
              <w:adjustRightInd w:val="0"/>
              <w:spacing w:after="0" w:line="240" w:lineRule="auto"/>
              <w:jc w:val="center"/>
              <w:textAlignment w:val="baseline"/>
              <w:rPr>
                <w:rFonts w:ascii="Arial" w:eastAsia="Times New Roman" w:hAnsi="Arial" w:cs="Arial"/>
                <w:bCs/>
                <w:sz w:val="18"/>
                <w:szCs w:val="20"/>
              </w:rPr>
            </w:pPr>
            <w:r w:rsidRPr="00BA5B90">
              <w:rPr>
                <w:rFonts w:ascii="Arial" w:eastAsia="Times New Roman" w:hAnsi="Arial" w:cs="Arial"/>
                <w:bCs/>
                <w:sz w:val="18"/>
                <w:szCs w:val="20"/>
              </w:rPr>
              <w:t>Information Collection</w:t>
            </w:r>
          </w:p>
        </w:tc>
        <w:tc>
          <w:tcPr>
            <w:tcW w:w="1350" w:type="dxa"/>
            <w:tcBorders>
              <w:top w:val="single" w:sz="6" w:space="0" w:color="auto"/>
              <w:left w:val="single" w:sz="6" w:space="0" w:color="auto"/>
              <w:bottom w:val="single" w:sz="6" w:space="0" w:color="auto"/>
              <w:right w:val="single" w:sz="6" w:space="0" w:color="auto"/>
            </w:tcBorders>
            <w:vAlign w:val="center"/>
          </w:tcPr>
          <w:p w:rsidR="00BA5B90" w:rsidRPr="00BA5B90" w:rsidRDefault="00BA5B90" w:rsidP="00BA5B90">
            <w:pPr>
              <w:overflowPunct w:val="0"/>
              <w:autoSpaceDE w:val="0"/>
              <w:autoSpaceDN w:val="0"/>
              <w:adjustRightInd w:val="0"/>
              <w:spacing w:after="0" w:line="240" w:lineRule="auto"/>
              <w:jc w:val="center"/>
              <w:textAlignment w:val="baseline"/>
              <w:rPr>
                <w:rFonts w:ascii="Arial" w:eastAsia="Times New Roman" w:hAnsi="Arial" w:cs="Arial"/>
                <w:bCs/>
                <w:sz w:val="18"/>
                <w:szCs w:val="20"/>
              </w:rPr>
            </w:pPr>
            <w:r w:rsidRPr="00BA5B90">
              <w:rPr>
                <w:rFonts w:ascii="Arial" w:eastAsia="Times New Roman" w:hAnsi="Arial" w:cs="Arial"/>
                <w:bCs/>
                <w:sz w:val="18"/>
                <w:szCs w:val="20"/>
              </w:rPr>
              <w:t>Number of Respondents</w:t>
            </w:r>
          </w:p>
        </w:tc>
        <w:tc>
          <w:tcPr>
            <w:tcW w:w="1260" w:type="dxa"/>
            <w:tcBorders>
              <w:top w:val="single" w:sz="6" w:space="0" w:color="auto"/>
              <w:left w:val="single" w:sz="6" w:space="0" w:color="auto"/>
              <w:bottom w:val="single" w:sz="6" w:space="0" w:color="auto"/>
              <w:right w:val="single" w:sz="6" w:space="0" w:color="auto"/>
            </w:tcBorders>
            <w:vAlign w:val="center"/>
          </w:tcPr>
          <w:p w:rsidR="00BA5B90" w:rsidRPr="00BA5B90" w:rsidRDefault="00BA5B90" w:rsidP="00BA5B90">
            <w:pPr>
              <w:overflowPunct w:val="0"/>
              <w:autoSpaceDE w:val="0"/>
              <w:autoSpaceDN w:val="0"/>
              <w:adjustRightInd w:val="0"/>
              <w:spacing w:after="0" w:line="240" w:lineRule="auto"/>
              <w:jc w:val="center"/>
              <w:textAlignment w:val="baseline"/>
              <w:rPr>
                <w:rFonts w:ascii="Arial" w:eastAsia="Times New Roman" w:hAnsi="Arial" w:cs="Arial"/>
                <w:bCs/>
                <w:sz w:val="18"/>
                <w:szCs w:val="20"/>
              </w:rPr>
            </w:pPr>
            <w:r w:rsidRPr="00BA5B90">
              <w:rPr>
                <w:rFonts w:ascii="Arial" w:eastAsia="Times New Roman" w:hAnsi="Arial" w:cs="Arial"/>
                <w:bCs/>
                <w:sz w:val="18"/>
                <w:szCs w:val="20"/>
              </w:rPr>
              <w:t>Frequency of Response</w:t>
            </w:r>
          </w:p>
        </w:tc>
        <w:tc>
          <w:tcPr>
            <w:tcW w:w="1260" w:type="dxa"/>
            <w:tcBorders>
              <w:top w:val="single" w:sz="6" w:space="0" w:color="auto"/>
              <w:left w:val="single" w:sz="6" w:space="0" w:color="auto"/>
              <w:bottom w:val="single" w:sz="6" w:space="0" w:color="auto"/>
              <w:right w:val="single" w:sz="6" w:space="0" w:color="auto"/>
            </w:tcBorders>
            <w:vAlign w:val="center"/>
          </w:tcPr>
          <w:p w:rsidR="00BA5B90" w:rsidRPr="00BA5B90" w:rsidRDefault="00BA5B90" w:rsidP="00BA5B90">
            <w:pPr>
              <w:keepNext/>
              <w:overflowPunct w:val="0"/>
              <w:autoSpaceDE w:val="0"/>
              <w:autoSpaceDN w:val="0"/>
              <w:adjustRightInd w:val="0"/>
              <w:spacing w:after="0" w:line="240" w:lineRule="auto"/>
              <w:jc w:val="center"/>
              <w:textAlignment w:val="baseline"/>
              <w:outlineLvl w:val="3"/>
              <w:rPr>
                <w:rFonts w:ascii="Arial" w:eastAsia="Times New Roman" w:hAnsi="Arial" w:cs="Arial"/>
                <w:bCs/>
                <w:sz w:val="18"/>
                <w:szCs w:val="20"/>
              </w:rPr>
            </w:pPr>
            <w:r w:rsidRPr="00BA5B90">
              <w:rPr>
                <w:rFonts w:ascii="Arial" w:eastAsia="Times New Roman" w:hAnsi="Arial" w:cs="Arial"/>
                <w:bCs/>
                <w:sz w:val="18"/>
                <w:szCs w:val="20"/>
              </w:rPr>
              <w:t>Responses per Annum</w:t>
            </w:r>
          </w:p>
        </w:tc>
        <w:tc>
          <w:tcPr>
            <w:tcW w:w="1350" w:type="dxa"/>
            <w:tcBorders>
              <w:top w:val="single" w:sz="6" w:space="0" w:color="auto"/>
              <w:left w:val="single" w:sz="6" w:space="0" w:color="auto"/>
              <w:bottom w:val="single" w:sz="6" w:space="0" w:color="auto"/>
              <w:right w:val="single" w:sz="6" w:space="0" w:color="auto"/>
            </w:tcBorders>
            <w:vAlign w:val="center"/>
          </w:tcPr>
          <w:p w:rsidR="00BA5B90" w:rsidRPr="00BA5B90" w:rsidRDefault="00BA5B90" w:rsidP="00BA5B90">
            <w:pPr>
              <w:overflowPunct w:val="0"/>
              <w:autoSpaceDE w:val="0"/>
              <w:autoSpaceDN w:val="0"/>
              <w:adjustRightInd w:val="0"/>
              <w:spacing w:after="0" w:line="240" w:lineRule="auto"/>
              <w:jc w:val="center"/>
              <w:textAlignment w:val="baseline"/>
              <w:rPr>
                <w:rFonts w:ascii="Arial" w:eastAsia="Times New Roman" w:hAnsi="Arial" w:cs="Arial"/>
                <w:bCs/>
                <w:sz w:val="18"/>
                <w:szCs w:val="20"/>
              </w:rPr>
            </w:pPr>
            <w:r w:rsidRPr="00BA5B90">
              <w:rPr>
                <w:rFonts w:ascii="Arial" w:eastAsia="Times New Roman" w:hAnsi="Arial" w:cs="Arial"/>
                <w:bCs/>
                <w:sz w:val="18"/>
                <w:szCs w:val="20"/>
              </w:rPr>
              <w:t>Burden Hours per Response</w:t>
            </w:r>
          </w:p>
        </w:tc>
        <w:tc>
          <w:tcPr>
            <w:tcW w:w="1260" w:type="dxa"/>
            <w:tcBorders>
              <w:top w:val="single" w:sz="6" w:space="0" w:color="auto"/>
              <w:left w:val="single" w:sz="6" w:space="0" w:color="auto"/>
              <w:bottom w:val="single" w:sz="6" w:space="0" w:color="auto"/>
              <w:right w:val="single" w:sz="6" w:space="0" w:color="auto"/>
            </w:tcBorders>
            <w:vAlign w:val="center"/>
          </w:tcPr>
          <w:p w:rsidR="00BA5B90" w:rsidRPr="00BA5B90" w:rsidRDefault="00BA5B90" w:rsidP="00BA5B90">
            <w:pPr>
              <w:overflowPunct w:val="0"/>
              <w:autoSpaceDE w:val="0"/>
              <w:autoSpaceDN w:val="0"/>
              <w:adjustRightInd w:val="0"/>
              <w:spacing w:after="0" w:line="240" w:lineRule="auto"/>
              <w:jc w:val="center"/>
              <w:textAlignment w:val="baseline"/>
              <w:rPr>
                <w:rFonts w:ascii="Arial" w:eastAsia="Times New Roman" w:hAnsi="Arial" w:cs="Arial"/>
                <w:bCs/>
                <w:sz w:val="18"/>
                <w:szCs w:val="20"/>
              </w:rPr>
            </w:pPr>
            <w:r w:rsidRPr="00BA5B90">
              <w:rPr>
                <w:rFonts w:ascii="Arial" w:eastAsia="Times New Roman" w:hAnsi="Arial" w:cs="Arial"/>
                <w:bCs/>
                <w:sz w:val="18"/>
                <w:szCs w:val="20"/>
              </w:rPr>
              <w:t>Total Annual Burden Hours</w:t>
            </w:r>
          </w:p>
        </w:tc>
        <w:tc>
          <w:tcPr>
            <w:tcW w:w="810" w:type="dxa"/>
            <w:tcBorders>
              <w:top w:val="single" w:sz="6" w:space="0" w:color="auto"/>
              <w:left w:val="single" w:sz="6" w:space="0" w:color="auto"/>
              <w:bottom w:val="single" w:sz="6" w:space="0" w:color="auto"/>
              <w:right w:val="single" w:sz="6" w:space="0" w:color="auto"/>
            </w:tcBorders>
            <w:vAlign w:val="center"/>
          </w:tcPr>
          <w:p w:rsidR="00BA5B90" w:rsidRPr="00BA5B90" w:rsidRDefault="00BA5B90" w:rsidP="00BA5B90">
            <w:pPr>
              <w:overflowPunct w:val="0"/>
              <w:autoSpaceDE w:val="0"/>
              <w:autoSpaceDN w:val="0"/>
              <w:adjustRightInd w:val="0"/>
              <w:spacing w:after="0" w:line="240" w:lineRule="auto"/>
              <w:jc w:val="center"/>
              <w:textAlignment w:val="baseline"/>
              <w:rPr>
                <w:rFonts w:ascii="Arial" w:eastAsia="Times New Roman" w:hAnsi="Arial" w:cs="Arial"/>
                <w:bCs/>
                <w:sz w:val="18"/>
                <w:szCs w:val="20"/>
              </w:rPr>
            </w:pPr>
            <w:r w:rsidRPr="00BA5B90">
              <w:rPr>
                <w:rFonts w:ascii="Arial" w:eastAsia="Times New Roman" w:hAnsi="Arial" w:cs="Arial"/>
                <w:bCs/>
                <w:sz w:val="18"/>
                <w:szCs w:val="20"/>
              </w:rPr>
              <w:t>Hourly Cost</w:t>
            </w:r>
          </w:p>
        </w:tc>
        <w:tc>
          <w:tcPr>
            <w:tcW w:w="1350" w:type="dxa"/>
            <w:tcBorders>
              <w:top w:val="single" w:sz="6" w:space="0" w:color="auto"/>
              <w:left w:val="single" w:sz="6" w:space="0" w:color="auto"/>
              <w:bottom w:val="single" w:sz="6" w:space="0" w:color="auto"/>
              <w:right w:val="single" w:sz="6" w:space="0" w:color="auto"/>
            </w:tcBorders>
            <w:vAlign w:val="center"/>
          </w:tcPr>
          <w:p w:rsidR="00BA5B90" w:rsidRPr="00BA5B90" w:rsidRDefault="00BA5B90" w:rsidP="00BA5B90">
            <w:pPr>
              <w:overflowPunct w:val="0"/>
              <w:autoSpaceDE w:val="0"/>
              <w:autoSpaceDN w:val="0"/>
              <w:adjustRightInd w:val="0"/>
              <w:spacing w:after="0" w:line="240" w:lineRule="auto"/>
              <w:jc w:val="center"/>
              <w:textAlignment w:val="baseline"/>
              <w:rPr>
                <w:rFonts w:ascii="Arial" w:eastAsia="Times New Roman" w:hAnsi="Arial" w:cs="Arial"/>
                <w:bCs/>
                <w:sz w:val="18"/>
                <w:szCs w:val="20"/>
              </w:rPr>
            </w:pPr>
            <w:r w:rsidRPr="00BA5B90">
              <w:rPr>
                <w:rFonts w:ascii="Arial" w:eastAsia="Times New Roman" w:hAnsi="Arial" w:cs="Arial"/>
                <w:bCs/>
                <w:sz w:val="18"/>
                <w:szCs w:val="20"/>
              </w:rPr>
              <w:t>Total Annual Cost</w:t>
            </w:r>
          </w:p>
        </w:tc>
      </w:tr>
      <w:tr w:rsidR="00BA5B90" w:rsidRPr="00BA5B90" w:rsidTr="00662B66">
        <w:tc>
          <w:tcPr>
            <w:tcW w:w="1260" w:type="dxa"/>
            <w:tcBorders>
              <w:top w:val="single" w:sz="6" w:space="0" w:color="auto"/>
              <w:left w:val="single" w:sz="6" w:space="0" w:color="auto"/>
              <w:bottom w:val="single" w:sz="6" w:space="0" w:color="auto"/>
              <w:right w:val="single" w:sz="6" w:space="0" w:color="auto"/>
            </w:tcBorders>
            <w:vAlign w:val="center"/>
          </w:tcPr>
          <w:p w:rsidR="00BA5B90" w:rsidRPr="00BA5B90" w:rsidRDefault="00BA5B90" w:rsidP="00BA5B90">
            <w:pPr>
              <w:overflowPunct w:val="0"/>
              <w:autoSpaceDE w:val="0"/>
              <w:autoSpaceDN w:val="0"/>
              <w:adjustRightInd w:val="0"/>
              <w:spacing w:after="0" w:line="240" w:lineRule="auto"/>
              <w:textAlignment w:val="baseline"/>
              <w:rPr>
                <w:rFonts w:ascii="Arial" w:eastAsia="Times New Roman" w:hAnsi="Arial" w:cs="Arial"/>
                <w:sz w:val="18"/>
                <w:szCs w:val="20"/>
              </w:rPr>
            </w:pPr>
            <w:r w:rsidRPr="00BA5B90">
              <w:rPr>
                <w:rFonts w:ascii="Arial" w:eastAsia="Times New Roman" w:hAnsi="Arial" w:cs="Arial"/>
                <w:sz w:val="18"/>
                <w:szCs w:val="20"/>
              </w:rPr>
              <w:t>HUD-93201 &amp; Exhibits</w:t>
            </w:r>
          </w:p>
        </w:tc>
        <w:tc>
          <w:tcPr>
            <w:tcW w:w="1350" w:type="dxa"/>
            <w:tcBorders>
              <w:top w:val="single" w:sz="6" w:space="0" w:color="auto"/>
              <w:left w:val="single" w:sz="6" w:space="0" w:color="auto"/>
              <w:bottom w:val="single" w:sz="6" w:space="0" w:color="auto"/>
              <w:right w:val="single" w:sz="6" w:space="0" w:color="auto"/>
            </w:tcBorders>
            <w:vAlign w:val="center"/>
          </w:tcPr>
          <w:p w:rsidR="00BA5B90" w:rsidRPr="00B81B45" w:rsidRDefault="00BA5B90" w:rsidP="00B81B45">
            <w:pPr>
              <w:overflowPunct w:val="0"/>
              <w:autoSpaceDE w:val="0"/>
              <w:autoSpaceDN w:val="0"/>
              <w:adjustRightInd w:val="0"/>
              <w:spacing w:after="0" w:line="240" w:lineRule="auto"/>
              <w:jc w:val="right"/>
              <w:textAlignment w:val="baseline"/>
              <w:rPr>
                <w:rFonts w:ascii="Arial" w:eastAsia="Times New Roman" w:hAnsi="Arial" w:cs="Arial"/>
                <w:sz w:val="18"/>
                <w:szCs w:val="20"/>
              </w:rPr>
            </w:pPr>
            <w:r w:rsidRPr="00B81B45">
              <w:rPr>
                <w:rFonts w:ascii="Arial" w:eastAsia="Times New Roman" w:hAnsi="Arial" w:cs="Arial"/>
                <w:sz w:val="18"/>
                <w:szCs w:val="20"/>
              </w:rPr>
              <w:t>20</w:t>
            </w:r>
          </w:p>
        </w:tc>
        <w:tc>
          <w:tcPr>
            <w:tcW w:w="1260" w:type="dxa"/>
            <w:tcBorders>
              <w:top w:val="single" w:sz="6" w:space="0" w:color="auto"/>
              <w:left w:val="single" w:sz="6" w:space="0" w:color="auto"/>
              <w:bottom w:val="single" w:sz="6" w:space="0" w:color="auto"/>
              <w:right w:val="single" w:sz="6" w:space="0" w:color="auto"/>
            </w:tcBorders>
            <w:vAlign w:val="center"/>
          </w:tcPr>
          <w:p w:rsidR="00BA5B90" w:rsidRPr="00BA5B90" w:rsidRDefault="00BA5B90" w:rsidP="00B81B45">
            <w:pPr>
              <w:overflowPunct w:val="0"/>
              <w:autoSpaceDE w:val="0"/>
              <w:autoSpaceDN w:val="0"/>
              <w:adjustRightInd w:val="0"/>
              <w:spacing w:after="0" w:line="240" w:lineRule="auto"/>
              <w:jc w:val="right"/>
              <w:textAlignment w:val="baseline"/>
              <w:rPr>
                <w:rFonts w:ascii="Arial" w:eastAsia="Times New Roman" w:hAnsi="Arial" w:cs="Arial"/>
                <w:sz w:val="18"/>
                <w:szCs w:val="20"/>
              </w:rPr>
            </w:pPr>
            <w:r w:rsidRPr="00BA5B90">
              <w:rPr>
                <w:rFonts w:ascii="Arial" w:eastAsia="Times New Roman" w:hAnsi="Arial" w:cs="Arial"/>
                <w:sz w:val="18"/>
                <w:szCs w:val="20"/>
              </w:rPr>
              <w:t>1</w:t>
            </w:r>
          </w:p>
        </w:tc>
        <w:tc>
          <w:tcPr>
            <w:tcW w:w="1260" w:type="dxa"/>
            <w:tcBorders>
              <w:top w:val="single" w:sz="6" w:space="0" w:color="auto"/>
              <w:left w:val="single" w:sz="6" w:space="0" w:color="auto"/>
              <w:bottom w:val="single" w:sz="6" w:space="0" w:color="auto"/>
              <w:right w:val="single" w:sz="6" w:space="0" w:color="auto"/>
            </w:tcBorders>
            <w:vAlign w:val="center"/>
          </w:tcPr>
          <w:p w:rsidR="00BA5B90" w:rsidRPr="00BA5B90" w:rsidRDefault="00BA5B90" w:rsidP="00B81B45">
            <w:pPr>
              <w:overflowPunct w:val="0"/>
              <w:autoSpaceDE w:val="0"/>
              <w:autoSpaceDN w:val="0"/>
              <w:adjustRightInd w:val="0"/>
              <w:spacing w:after="0" w:line="240" w:lineRule="auto"/>
              <w:jc w:val="right"/>
              <w:textAlignment w:val="baseline"/>
              <w:rPr>
                <w:rFonts w:ascii="Arial" w:eastAsia="Times New Roman" w:hAnsi="Arial" w:cs="Arial"/>
                <w:sz w:val="18"/>
                <w:szCs w:val="20"/>
              </w:rPr>
            </w:pPr>
            <w:r w:rsidRPr="00BA5B90">
              <w:rPr>
                <w:rFonts w:ascii="Arial" w:eastAsia="Times New Roman" w:hAnsi="Arial" w:cs="Arial"/>
                <w:sz w:val="18"/>
                <w:szCs w:val="20"/>
              </w:rPr>
              <w:t>20</w:t>
            </w:r>
          </w:p>
        </w:tc>
        <w:tc>
          <w:tcPr>
            <w:tcW w:w="1350" w:type="dxa"/>
            <w:tcBorders>
              <w:top w:val="single" w:sz="6" w:space="0" w:color="auto"/>
              <w:left w:val="single" w:sz="6" w:space="0" w:color="auto"/>
              <w:bottom w:val="single" w:sz="6" w:space="0" w:color="auto"/>
              <w:right w:val="single" w:sz="6" w:space="0" w:color="auto"/>
            </w:tcBorders>
            <w:vAlign w:val="center"/>
          </w:tcPr>
          <w:p w:rsidR="00BA5B90" w:rsidRPr="00BA5B90" w:rsidRDefault="00BA5B90" w:rsidP="00B81B45">
            <w:pPr>
              <w:overflowPunct w:val="0"/>
              <w:autoSpaceDE w:val="0"/>
              <w:autoSpaceDN w:val="0"/>
              <w:adjustRightInd w:val="0"/>
              <w:spacing w:after="0" w:line="240" w:lineRule="auto"/>
              <w:jc w:val="right"/>
              <w:textAlignment w:val="baseline"/>
              <w:rPr>
                <w:rFonts w:ascii="Arial" w:eastAsia="Times New Roman" w:hAnsi="Arial" w:cs="Arial"/>
                <w:sz w:val="18"/>
                <w:szCs w:val="20"/>
              </w:rPr>
            </w:pPr>
            <w:r w:rsidRPr="00BA5B90">
              <w:rPr>
                <w:rFonts w:ascii="Arial" w:eastAsia="Times New Roman" w:hAnsi="Arial" w:cs="Arial"/>
                <w:sz w:val="18"/>
                <w:szCs w:val="20"/>
              </w:rPr>
              <w:t>4</w:t>
            </w:r>
          </w:p>
        </w:tc>
        <w:tc>
          <w:tcPr>
            <w:tcW w:w="1260" w:type="dxa"/>
            <w:tcBorders>
              <w:top w:val="single" w:sz="6" w:space="0" w:color="auto"/>
              <w:left w:val="single" w:sz="6" w:space="0" w:color="auto"/>
              <w:bottom w:val="single" w:sz="6" w:space="0" w:color="auto"/>
              <w:right w:val="single" w:sz="6" w:space="0" w:color="auto"/>
            </w:tcBorders>
            <w:vAlign w:val="center"/>
          </w:tcPr>
          <w:p w:rsidR="00BA5B90" w:rsidRPr="00BA5B90" w:rsidRDefault="00BA5B90" w:rsidP="00B81B45">
            <w:pPr>
              <w:overflowPunct w:val="0"/>
              <w:autoSpaceDE w:val="0"/>
              <w:autoSpaceDN w:val="0"/>
              <w:adjustRightInd w:val="0"/>
              <w:spacing w:after="0" w:line="240" w:lineRule="auto"/>
              <w:jc w:val="right"/>
              <w:textAlignment w:val="baseline"/>
              <w:rPr>
                <w:rFonts w:ascii="Arial" w:eastAsia="Times New Roman" w:hAnsi="Arial" w:cs="Arial"/>
                <w:sz w:val="18"/>
                <w:szCs w:val="20"/>
              </w:rPr>
            </w:pPr>
            <w:r w:rsidRPr="00BA5B90">
              <w:rPr>
                <w:rFonts w:ascii="Arial" w:eastAsia="Times New Roman" w:hAnsi="Arial" w:cs="Arial"/>
                <w:sz w:val="18"/>
                <w:szCs w:val="20"/>
              </w:rPr>
              <w:t>80</w:t>
            </w:r>
          </w:p>
        </w:tc>
        <w:tc>
          <w:tcPr>
            <w:tcW w:w="810" w:type="dxa"/>
            <w:tcBorders>
              <w:top w:val="single" w:sz="6" w:space="0" w:color="auto"/>
              <w:left w:val="single" w:sz="6" w:space="0" w:color="auto"/>
              <w:bottom w:val="single" w:sz="6" w:space="0" w:color="auto"/>
              <w:right w:val="single" w:sz="6" w:space="0" w:color="auto"/>
            </w:tcBorders>
            <w:vAlign w:val="center"/>
          </w:tcPr>
          <w:p w:rsidR="00BA5B90" w:rsidRPr="00BA5B90" w:rsidRDefault="00BA5B90" w:rsidP="00B81B45">
            <w:pPr>
              <w:overflowPunct w:val="0"/>
              <w:autoSpaceDE w:val="0"/>
              <w:autoSpaceDN w:val="0"/>
              <w:adjustRightInd w:val="0"/>
              <w:spacing w:after="0" w:line="240" w:lineRule="auto"/>
              <w:jc w:val="right"/>
              <w:textAlignment w:val="baseline"/>
              <w:rPr>
                <w:rFonts w:ascii="Arial" w:eastAsia="Times New Roman" w:hAnsi="Arial" w:cs="Arial"/>
                <w:sz w:val="18"/>
                <w:szCs w:val="20"/>
              </w:rPr>
            </w:pPr>
            <w:r w:rsidRPr="00BA5B90">
              <w:rPr>
                <w:rFonts w:ascii="Arial" w:eastAsia="Times New Roman" w:hAnsi="Arial" w:cs="Arial"/>
                <w:sz w:val="18"/>
                <w:szCs w:val="20"/>
              </w:rPr>
              <w:t>$20.</w:t>
            </w:r>
            <w:r w:rsidR="00B81B45">
              <w:rPr>
                <w:rFonts w:ascii="Arial" w:eastAsia="Times New Roman" w:hAnsi="Arial" w:cs="Arial"/>
                <w:sz w:val="18"/>
                <w:szCs w:val="20"/>
              </w:rPr>
              <w:t>02</w:t>
            </w:r>
          </w:p>
        </w:tc>
        <w:tc>
          <w:tcPr>
            <w:tcW w:w="1350" w:type="dxa"/>
            <w:tcBorders>
              <w:top w:val="single" w:sz="6" w:space="0" w:color="auto"/>
              <w:left w:val="single" w:sz="6" w:space="0" w:color="auto"/>
              <w:bottom w:val="single" w:sz="6" w:space="0" w:color="auto"/>
              <w:right w:val="single" w:sz="6" w:space="0" w:color="auto"/>
            </w:tcBorders>
            <w:vAlign w:val="center"/>
          </w:tcPr>
          <w:p w:rsidR="00BA5B90" w:rsidRPr="00B81B45" w:rsidRDefault="00BA5B90" w:rsidP="00B81B45">
            <w:pPr>
              <w:overflowPunct w:val="0"/>
              <w:autoSpaceDE w:val="0"/>
              <w:autoSpaceDN w:val="0"/>
              <w:adjustRightInd w:val="0"/>
              <w:spacing w:after="0" w:line="240" w:lineRule="auto"/>
              <w:jc w:val="right"/>
              <w:textAlignment w:val="baseline"/>
              <w:rPr>
                <w:rFonts w:ascii="Arial" w:eastAsia="Times New Roman" w:hAnsi="Arial" w:cs="Arial"/>
                <w:sz w:val="18"/>
                <w:szCs w:val="20"/>
              </w:rPr>
            </w:pPr>
            <w:r w:rsidRPr="00B81B45">
              <w:rPr>
                <w:rFonts w:ascii="Arial" w:eastAsia="Times New Roman" w:hAnsi="Arial" w:cs="Arial"/>
                <w:sz w:val="18"/>
                <w:szCs w:val="20"/>
              </w:rPr>
              <w:t>$</w:t>
            </w:r>
            <w:r w:rsidRPr="00B81B45">
              <w:rPr>
                <w:rFonts w:ascii="Arial" w:eastAsia="Times New Roman" w:hAnsi="Arial" w:cs="Arial"/>
                <w:sz w:val="18"/>
                <w:szCs w:val="18"/>
              </w:rPr>
              <w:t>1,60</w:t>
            </w:r>
            <w:r w:rsidR="00B81B45" w:rsidRPr="00B81B45">
              <w:rPr>
                <w:rFonts w:ascii="Arial" w:eastAsia="Times New Roman" w:hAnsi="Arial" w:cs="Arial"/>
                <w:sz w:val="18"/>
                <w:szCs w:val="18"/>
              </w:rPr>
              <w:t>1.60</w:t>
            </w:r>
          </w:p>
        </w:tc>
      </w:tr>
    </w:tbl>
    <w:p w:rsidR="00BA5B90" w:rsidRPr="00662B66" w:rsidRDefault="00BA5B90" w:rsidP="00BA5B90">
      <w:pPr>
        <w:overflowPunct w:val="0"/>
        <w:autoSpaceDE w:val="0"/>
        <w:autoSpaceDN w:val="0"/>
        <w:adjustRightInd w:val="0"/>
        <w:spacing w:after="120" w:line="240" w:lineRule="auto"/>
        <w:textAlignment w:val="baseline"/>
        <w:rPr>
          <w:rFonts w:ascii="Times New Roman" w:eastAsia="Times New Roman" w:hAnsi="Times New Roman" w:cs="Times New Roman"/>
        </w:rPr>
      </w:pPr>
      <w:r w:rsidRPr="00662B66">
        <w:rPr>
          <w:rFonts w:ascii="Times New Roman" w:eastAsia="Times New Roman" w:hAnsi="Times New Roman" w:cs="Times New Roman"/>
        </w:rPr>
        <w:t xml:space="preserve">Estimated hourly cost is based on </w:t>
      </w:r>
      <w:r w:rsidR="00B81B45" w:rsidRPr="00662B66">
        <w:rPr>
          <w:rFonts w:ascii="Times New Roman" w:eastAsia="Times New Roman" w:hAnsi="Times New Roman" w:cs="Times New Roman"/>
        </w:rPr>
        <w:t>the average</w:t>
      </w:r>
      <w:r w:rsidRPr="00662B66">
        <w:rPr>
          <w:rFonts w:ascii="Times New Roman" w:eastAsia="Times New Roman" w:hAnsi="Times New Roman" w:cs="Times New Roman"/>
        </w:rPr>
        <w:t xml:space="preserve"> annual salary of </w:t>
      </w:r>
      <w:r w:rsidR="00B81B45" w:rsidRPr="00662B66">
        <w:rPr>
          <w:rFonts w:ascii="Times New Roman" w:eastAsia="Times New Roman" w:hAnsi="Times New Roman" w:cs="Times New Roman"/>
        </w:rPr>
        <w:t>a GS-6/2, of $20.02</w:t>
      </w:r>
      <w:r w:rsidRPr="00662B66">
        <w:rPr>
          <w:rFonts w:ascii="Times New Roman" w:eastAsia="Times New Roman" w:hAnsi="Times New Roman" w:cs="Times New Roman"/>
        </w:rPr>
        <w:t>.</w:t>
      </w:r>
    </w:p>
    <w:p w:rsidR="00BA5B90" w:rsidRPr="00BA5B90" w:rsidRDefault="00BA5B90" w:rsidP="00BA5B90">
      <w:pPr>
        <w:overflowPunct w:val="0"/>
        <w:autoSpaceDE w:val="0"/>
        <w:autoSpaceDN w:val="0"/>
        <w:adjustRightInd w:val="0"/>
        <w:spacing w:after="120" w:line="240" w:lineRule="auto"/>
        <w:textAlignment w:val="baseline"/>
        <w:rPr>
          <w:rFonts w:ascii="Times New Roman" w:eastAsia="Times New Roman" w:hAnsi="Times New Roman" w:cs="Times New Roman"/>
          <w:sz w:val="18"/>
          <w:szCs w:val="20"/>
        </w:rPr>
      </w:pPr>
    </w:p>
    <w:p w:rsidR="00BA5B90" w:rsidRPr="00BA5B90" w:rsidRDefault="00BA5B90" w:rsidP="00BA5B90">
      <w:pPr>
        <w:numPr>
          <w:ilvl w:val="0"/>
          <w:numId w:val="7"/>
        </w:numPr>
        <w:overflowPunct w:val="0"/>
        <w:autoSpaceDE w:val="0"/>
        <w:autoSpaceDN w:val="0"/>
        <w:adjustRightInd w:val="0"/>
        <w:spacing w:after="0" w:line="240" w:lineRule="auto"/>
        <w:textAlignment w:val="baseline"/>
        <w:rPr>
          <w:rFonts w:ascii="Times New Roman" w:eastAsia="Times New Roman" w:hAnsi="Times New Roman" w:cs="Times New Roman"/>
          <w:sz w:val="24"/>
          <w:szCs w:val="20"/>
        </w:rPr>
      </w:pPr>
      <w:r w:rsidRPr="00BA5B90">
        <w:rPr>
          <w:rFonts w:ascii="Times New Roman" w:eastAsia="Times New Roman" w:hAnsi="Times New Roman" w:cs="Times New Roman"/>
          <w:sz w:val="24"/>
          <w:szCs w:val="20"/>
        </w:rPr>
        <w:t xml:space="preserve">There are no additional costs to the respondents for the collection of this information. </w:t>
      </w:r>
    </w:p>
    <w:p w:rsidR="00BA5B90" w:rsidRPr="00BA5B90" w:rsidRDefault="00BA5B90" w:rsidP="00BA5B90">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rPr>
      </w:pPr>
    </w:p>
    <w:p w:rsidR="00BA5B90" w:rsidRPr="00BA5B90" w:rsidRDefault="00BA5B90" w:rsidP="00BA5B90">
      <w:pPr>
        <w:numPr>
          <w:ilvl w:val="0"/>
          <w:numId w:val="7"/>
        </w:numPr>
        <w:overflowPunct w:val="0"/>
        <w:autoSpaceDE w:val="0"/>
        <w:autoSpaceDN w:val="0"/>
        <w:adjustRightInd w:val="0"/>
        <w:spacing w:after="0" w:line="240" w:lineRule="auto"/>
        <w:textAlignment w:val="baseline"/>
        <w:rPr>
          <w:rFonts w:ascii="Times New Roman" w:eastAsia="Times New Roman" w:hAnsi="Times New Roman" w:cs="Times New Roman"/>
          <w:sz w:val="24"/>
          <w:szCs w:val="20"/>
        </w:rPr>
      </w:pPr>
      <w:r w:rsidRPr="00BA5B90">
        <w:rPr>
          <w:rFonts w:ascii="Times New Roman" w:eastAsia="Times New Roman" w:hAnsi="Times New Roman" w:cs="Times New Roman"/>
          <w:sz w:val="24"/>
          <w:szCs w:val="20"/>
        </w:rPr>
        <w:t>Annual Costs to the Federal Government:</w:t>
      </w:r>
    </w:p>
    <w:p w:rsidR="00BA5B90" w:rsidRPr="00BA5B90" w:rsidRDefault="00BA5B90" w:rsidP="00BA5B90">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rPr>
      </w:pPr>
    </w:p>
    <w:tbl>
      <w:tblPr>
        <w:tblW w:w="9188" w:type="dxa"/>
        <w:tblInd w:w="1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646"/>
        <w:gridCol w:w="1350"/>
        <w:gridCol w:w="1440"/>
        <w:gridCol w:w="1602"/>
        <w:gridCol w:w="1530"/>
        <w:gridCol w:w="1620"/>
      </w:tblGrid>
      <w:tr w:rsidR="00BA5B90" w:rsidRPr="00BA5B90" w:rsidTr="00A62E90">
        <w:tc>
          <w:tcPr>
            <w:tcW w:w="1646" w:type="dxa"/>
            <w:tcBorders>
              <w:top w:val="single" w:sz="6" w:space="0" w:color="auto"/>
              <w:left w:val="single" w:sz="6" w:space="0" w:color="auto"/>
              <w:bottom w:val="single" w:sz="6" w:space="0" w:color="auto"/>
              <w:right w:val="single" w:sz="6" w:space="0" w:color="auto"/>
            </w:tcBorders>
            <w:vAlign w:val="center"/>
          </w:tcPr>
          <w:p w:rsidR="00BA5B90" w:rsidRPr="00BA5B90" w:rsidRDefault="00BA5B90" w:rsidP="00BA5B90">
            <w:pPr>
              <w:overflowPunct w:val="0"/>
              <w:autoSpaceDE w:val="0"/>
              <w:autoSpaceDN w:val="0"/>
              <w:adjustRightInd w:val="0"/>
              <w:spacing w:after="0" w:line="240" w:lineRule="auto"/>
              <w:jc w:val="center"/>
              <w:textAlignment w:val="baseline"/>
              <w:rPr>
                <w:rFonts w:ascii="Arial" w:eastAsia="Times New Roman" w:hAnsi="Arial" w:cs="Arial"/>
                <w:bCs/>
                <w:sz w:val="18"/>
                <w:szCs w:val="20"/>
              </w:rPr>
            </w:pPr>
            <w:r w:rsidRPr="00BA5B90">
              <w:rPr>
                <w:rFonts w:ascii="Arial" w:eastAsia="Times New Roman" w:hAnsi="Arial" w:cs="Arial"/>
                <w:bCs/>
                <w:sz w:val="18"/>
                <w:szCs w:val="20"/>
              </w:rPr>
              <w:t>Information</w:t>
            </w:r>
            <w:r w:rsidRPr="00BA5B90">
              <w:rPr>
                <w:rFonts w:ascii="Arial" w:eastAsia="Times New Roman" w:hAnsi="Arial" w:cs="Arial"/>
                <w:b/>
                <w:bCs/>
                <w:sz w:val="18"/>
                <w:szCs w:val="20"/>
              </w:rPr>
              <w:t xml:space="preserve"> </w:t>
            </w:r>
            <w:r w:rsidRPr="00BA5B90">
              <w:rPr>
                <w:rFonts w:ascii="Arial" w:eastAsia="Times New Roman" w:hAnsi="Arial" w:cs="Arial"/>
                <w:bCs/>
                <w:sz w:val="18"/>
                <w:szCs w:val="20"/>
              </w:rPr>
              <w:t>Collection</w:t>
            </w:r>
          </w:p>
        </w:tc>
        <w:tc>
          <w:tcPr>
            <w:tcW w:w="1350" w:type="dxa"/>
            <w:tcBorders>
              <w:top w:val="single" w:sz="6" w:space="0" w:color="auto"/>
              <w:left w:val="single" w:sz="6" w:space="0" w:color="auto"/>
              <w:bottom w:val="single" w:sz="6" w:space="0" w:color="auto"/>
              <w:right w:val="single" w:sz="6" w:space="0" w:color="auto"/>
            </w:tcBorders>
            <w:vAlign w:val="center"/>
          </w:tcPr>
          <w:p w:rsidR="00BA5B90" w:rsidRPr="00BA5B90" w:rsidRDefault="00BA5B90" w:rsidP="00BA5B90">
            <w:pPr>
              <w:overflowPunct w:val="0"/>
              <w:autoSpaceDE w:val="0"/>
              <w:autoSpaceDN w:val="0"/>
              <w:adjustRightInd w:val="0"/>
              <w:spacing w:after="0" w:line="240" w:lineRule="auto"/>
              <w:jc w:val="center"/>
              <w:textAlignment w:val="baseline"/>
              <w:rPr>
                <w:rFonts w:ascii="Arial" w:eastAsia="Times New Roman" w:hAnsi="Arial" w:cs="Arial"/>
                <w:bCs/>
                <w:sz w:val="18"/>
                <w:szCs w:val="20"/>
              </w:rPr>
            </w:pPr>
            <w:r w:rsidRPr="00BA5B90">
              <w:rPr>
                <w:rFonts w:ascii="Arial" w:eastAsia="Times New Roman" w:hAnsi="Arial" w:cs="Arial"/>
                <w:bCs/>
                <w:sz w:val="18"/>
                <w:szCs w:val="20"/>
              </w:rPr>
              <w:t>Number of</w:t>
            </w:r>
            <w:r w:rsidRPr="00BA5B90">
              <w:rPr>
                <w:rFonts w:ascii="Arial" w:eastAsia="Times New Roman" w:hAnsi="Arial" w:cs="Arial"/>
                <w:b/>
                <w:bCs/>
                <w:sz w:val="18"/>
                <w:szCs w:val="20"/>
              </w:rPr>
              <w:t xml:space="preserve"> </w:t>
            </w:r>
            <w:r w:rsidRPr="00BA5B90">
              <w:rPr>
                <w:rFonts w:ascii="Arial" w:eastAsia="Times New Roman" w:hAnsi="Arial" w:cs="Arial"/>
                <w:bCs/>
                <w:sz w:val="18"/>
                <w:szCs w:val="20"/>
              </w:rPr>
              <w:t>Responses</w:t>
            </w:r>
          </w:p>
        </w:tc>
        <w:tc>
          <w:tcPr>
            <w:tcW w:w="1440" w:type="dxa"/>
            <w:tcBorders>
              <w:top w:val="single" w:sz="6" w:space="0" w:color="auto"/>
              <w:left w:val="single" w:sz="6" w:space="0" w:color="auto"/>
              <w:bottom w:val="single" w:sz="6" w:space="0" w:color="auto"/>
              <w:right w:val="single" w:sz="6" w:space="0" w:color="auto"/>
            </w:tcBorders>
            <w:vAlign w:val="center"/>
          </w:tcPr>
          <w:p w:rsidR="00BA5B90" w:rsidRPr="00BA5B90" w:rsidRDefault="00BA5B90" w:rsidP="00BA5B90">
            <w:pPr>
              <w:overflowPunct w:val="0"/>
              <w:autoSpaceDE w:val="0"/>
              <w:autoSpaceDN w:val="0"/>
              <w:adjustRightInd w:val="0"/>
              <w:spacing w:after="0" w:line="240" w:lineRule="auto"/>
              <w:jc w:val="center"/>
              <w:textAlignment w:val="baseline"/>
              <w:rPr>
                <w:rFonts w:ascii="Arial" w:eastAsia="Times New Roman" w:hAnsi="Arial" w:cs="Arial"/>
                <w:bCs/>
                <w:sz w:val="18"/>
                <w:szCs w:val="20"/>
              </w:rPr>
            </w:pPr>
            <w:r w:rsidRPr="00BA5B90">
              <w:rPr>
                <w:rFonts w:ascii="Arial" w:eastAsia="Times New Roman" w:hAnsi="Arial" w:cs="Arial"/>
                <w:bCs/>
                <w:sz w:val="18"/>
                <w:szCs w:val="20"/>
              </w:rPr>
              <w:t>Hours Per</w:t>
            </w:r>
            <w:r w:rsidRPr="00BA5B90">
              <w:rPr>
                <w:rFonts w:ascii="Arial" w:eastAsia="Times New Roman" w:hAnsi="Arial" w:cs="Arial"/>
                <w:b/>
                <w:bCs/>
                <w:sz w:val="18"/>
                <w:szCs w:val="20"/>
              </w:rPr>
              <w:t xml:space="preserve"> </w:t>
            </w:r>
            <w:r w:rsidRPr="00BA5B90">
              <w:rPr>
                <w:rFonts w:ascii="Arial" w:eastAsia="Times New Roman" w:hAnsi="Arial" w:cs="Arial"/>
                <w:bCs/>
                <w:sz w:val="18"/>
                <w:szCs w:val="20"/>
              </w:rPr>
              <w:t>Response</w:t>
            </w:r>
          </w:p>
        </w:tc>
        <w:tc>
          <w:tcPr>
            <w:tcW w:w="1602" w:type="dxa"/>
            <w:tcBorders>
              <w:top w:val="single" w:sz="6" w:space="0" w:color="auto"/>
              <w:left w:val="single" w:sz="6" w:space="0" w:color="auto"/>
              <w:bottom w:val="single" w:sz="6" w:space="0" w:color="auto"/>
              <w:right w:val="single" w:sz="6" w:space="0" w:color="auto"/>
            </w:tcBorders>
            <w:vAlign w:val="center"/>
          </w:tcPr>
          <w:p w:rsidR="00BA5B90" w:rsidRPr="00BA5B90" w:rsidRDefault="00BA5B90" w:rsidP="00BA5B90">
            <w:pPr>
              <w:keepNext/>
              <w:overflowPunct w:val="0"/>
              <w:autoSpaceDE w:val="0"/>
              <w:autoSpaceDN w:val="0"/>
              <w:adjustRightInd w:val="0"/>
              <w:spacing w:after="0" w:line="240" w:lineRule="auto"/>
              <w:jc w:val="center"/>
              <w:textAlignment w:val="baseline"/>
              <w:outlineLvl w:val="2"/>
              <w:rPr>
                <w:rFonts w:ascii="Arial" w:eastAsia="Times New Roman" w:hAnsi="Arial" w:cs="Arial"/>
                <w:bCs/>
                <w:sz w:val="18"/>
                <w:szCs w:val="20"/>
              </w:rPr>
            </w:pPr>
            <w:r w:rsidRPr="00BA5B90">
              <w:rPr>
                <w:rFonts w:ascii="Arial" w:eastAsia="Times New Roman" w:hAnsi="Arial" w:cs="Arial"/>
                <w:bCs/>
                <w:sz w:val="18"/>
                <w:szCs w:val="20"/>
              </w:rPr>
              <w:t>Total Annual Burden</w:t>
            </w:r>
          </w:p>
        </w:tc>
        <w:tc>
          <w:tcPr>
            <w:tcW w:w="1530" w:type="dxa"/>
            <w:tcBorders>
              <w:top w:val="single" w:sz="6" w:space="0" w:color="auto"/>
              <w:left w:val="single" w:sz="6" w:space="0" w:color="auto"/>
              <w:bottom w:val="single" w:sz="6" w:space="0" w:color="auto"/>
              <w:right w:val="single" w:sz="6" w:space="0" w:color="auto"/>
            </w:tcBorders>
            <w:vAlign w:val="center"/>
          </w:tcPr>
          <w:p w:rsidR="00BA5B90" w:rsidRPr="00BA5B90" w:rsidRDefault="00BA5B90" w:rsidP="00BA5B90">
            <w:pPr>
              <w:keepNext/>
              <w:overflowPunct w:val="0"/>
              <w:autoSpaceDE w:val="0"/>
              <w:autoSpaceDN w:val="0"/>
              <w:adjustRightInd w:val="0"/>
              <w:spacing w:after="0" w:line="240" w:lineRule="auto"/>
              <w:jc w:val="center"/>
              <w:textAlignment w:val="baseline"/>
              <w:outlineLvl w:val="1"/>
              <w:rPr>
                <w:rFonts w:ascii="Arial" w:eastAsia="Times New Roman" w:hAnsi="Arial" w:cs="Arial"/>
                <w:bCs/>
                <w:sz w:val="18"/>
                <w:szCs w:val="20"/>
              </w:rPr>
            </w:pPr>
            <w:r w:rsidRPr="00BA5B90">
              <w:rPr>
                <w:rFonts w:ascii="Arial" w:eastAsia="Times New Roman" w:hAnsi="Arial" w:cs="Arial"/>
                <w:bCs/>
                <w:sz w:val="18"/>
                <w:szCs w:val="20"/>
              </w:rPr>
              <w:t>Hourly Cost</w:t>
            </w:r>
          </w:p>
        </w:tc>
        <w:tc>
          <w:tcPr>
            <w:tcW w:w="1620" w:type="dxa"/>
            <w:tcBorders>
              <w:top w:val="single" w:sz="6" w:space="0" w:color="auto"/>
              <w:left w:val="single" w:sz="6" w:space="0" w:color="auto"/>
              <w:bottom w:val="single" w:sz="6" w:space="0" w:color="auto"/>
              <w:right w:val="single" w:sz="6" w:space="0" w:color="auto"/>
            </w:tcBorders>
            <w:vAlign w:val="center"/>
          </w:tcPr>
          <w:p w:rsidR="00BA5B90" w:rsidRPr="00BA5B90" w:rsidRDefault="00BA5B90" w:rsidP="00BA5B90">
            <w:pPr>
              <w:overflowPunct w:val="0"/>
              <w:autoSpaceDE w:val="0"/>
              <w:autoSpaceDN w:val="0"/>
              <w:adjustRightInd w:val="0"/>
              <w:spacing w:after="0" w:line="240" w:lineRule="auto"/>
              <w:jc w:val="center"/>
              <w:textAlignment w:val="baseline"/>
              <w:rPr>
                <w:rFonts w:ascii="Arial" w:eastAsia="Times New Roman" w:hAnsi="Arial" w:cs="Arial"/>
                <w:bCs/>
                <w:sz w:val="18"/>
                <w:szCs w:val="20"/>
              </w:rPr>
            </w:pPr>
            <w:r w:rsidRPr="00BA5B90">
              <w:rPr>
                <w:rFonts w:ascii="Arial" w:eastAsia="Times New Roman" w:hAnsi="Arial" w:cs="Arial"/>
                <w:bCs/>
                <w:sz w:val="18"/>
                <w:szCs w:val="20"/>
              </w:rPr>
              <w:t>Total Annual</w:t>
            </w:r>
            <w:r w:rsidRPr="00BA5B90">
              <w:rPr>
                <w:rFonts w:ascii="Arial" w:eastAsia="Times New Roman" w:hAnsi="Arial" w:cs="Arial"/>
                <w:b/>
                <w:bCs/>
                <w:sz w:val="18"/>
                <w:szCs w:val="20"/>
              </w:rPr>
              <w:t xml:space="preserve"> </w:t>
            </w:r>
            <w:r w:rsidRPr="00BA5B90">
              <w:rPr>
                <w:rFonts w:ascii="Arial" w:eastAsia="Times New Roman" w:hAnsi="Arial" w:cs="Arial"/>
                <w:bCs/>
                <w:sz w:val="18"/>
                <w:szCs w:val="20"/>
              </w:rPr>
              <w:t>Cost</w:t>
            </w:r>
          </w:p>
        </w:tc>
      </w:tr>
      <w:tr w:rsidR="00BA5B90" w:rsidRPr="00BA5B90" w:rsidTr="00A62E90">
        <w:trPr>
          <w:trHeight w:val="228"/>
        </w:trPr>
        <w:tc>
          <w:tcPr>
            <w:tcW w:w="1646" w:type="dxa"/>
            <w:tcBorders>
              <w:top w:val="single" w:sz="6" w:space="0" w:color="auto"/>
              <w:left w:val="single" w:sz="6" w:space="0" w:color="auto"/>
              <w:bottom w:val="single" w:sz="6" w:space="0" w:color="auto"/>
              <w:right w:val="single" w:sz="6" w:space="0" w:color="auto"/>
            </w:tcBorders>
          </w:tcPr>
          <w:p w:rsidR="00BA5B90" w:rsidRPr="00BA5B90" w:rsidRDefault="00BA5B90" w:rsidP="00BA5B90">
            <w:pPr>
              <w:overflowPunct w:val="0"/>
              <w:autoSpaceDE w:val="0"/>
              <w:autoSpaceDN w:val="0"/>
              <w:adjustRightInd w:val="0"/>
              <w:spacing w:after="0" w:line="240" w:lineRule="auto"/>
              <w:jc w:val="center"/>
              <w:textAlignment w:val="baseline"/>
              <w:rPr>
                <w:rFonts w:ascii="Arial" w:eastAsia="Times New Roman" w:hAnsi="Arial" w:cs="Arial"/>
                <w:sz w:val="18"/>
                <w:szCs w:val="20"/>
              </w:rPr>
            </w:pPr>
            <w:r w:rsidRPr="00BA5B90">
              <w:rPr>
                <w:rFonts w:ascii="Arial" w:eastAsia="Times New Roman" w:hAnsi="Arial" w:cs="Arial"/>
                <w:sz w:val="18"/>
                <w:szCs w:val="20"/>
              </w:rPr>
              <w:t>HUD-93201</w:t>
            </w:r>
          </w:p>
        </w:tc>
        <w:tc>
          <w:tcPr>
            <w:tcW w:w="1350" w:type="dxa"/>
            <w:tcBorders>
              <w:top w:val="single" w:sz="6" w:space="0" w:color="auto"/>
              <w:left w:val="single" w:sz="6" w:space="0" w:color="auto"/>
              <w:bottom w:val="single" w:sz="6" w:space="0" w:color="auto"/>
              <w:right w:val="single" w:sz="6" w:space="0" w:color="auto"/>
            </w:tcBorders>
          </w:tcPr>
          <w:p w:rsidR="00BA5B90" w:rsidRPr="00BA5B90" w:rsidRDefault="00BA5B90" w:rsidP="00D55179">
            <w:pPr>
              <w:overflowPunct w:val="0"/>
              <w:autoSpaceDE w:val="0"/>
              <w:autoSpaceDN w:val="0"/>
              <w:adjustRightInd w:val="0"/>
              <w:spacing w:after="0" w:line="240" w:lineRule="auto"/>
              <w:jc w:val="right"/>
              <w:textAlignment w:val="baseline"/>
              <w:rPr>
                <w:rFonts w:ascii="Arial" w:eastAsia="Times New Roman" w:hAnsi="Arial" w:cs="Arial"/>
                <w:sz w:val="18"/>
                <w:szCs w:val="20"/>
              </w:rPr>
            </w:pPr>
            <w:r w:rsidRPr="00BA5B90">
              <w:rPr>
                <w:rFonts w:ascii="Arial" w:eastAsia="Times New Roman" w:hAnsi="Arial" w:cs="Arial"/>
                <w:sz w:val="18"/>
                <w:szCs w:val="20"/>
              </w:rPr>
              <w:t>20</w:t>
            </w:r>
          </w:p>
        </w:tc>
        <w:tc>
          <w:tcPr>
            <w:tcW w:w="1440" w:type="dxa"/>
            <w:tcBorders>
              <w:top w:val="single" w:sz="6" w:space="0" w:color="auto"/>
              <w:left w:val="single" w:sz="6" w:space="0" w:color="auto"/>
              <w:bottom w:val="single" w:sz="6" w:space="0" w:color="auto"/>
              <w:right w:val="single" w:sz="6" w:space="0" w:color="auto"/>
            </w:tcBorders>
          </w:tcPr>
          <w:p w:rsidR="00BA5B90" w:rsidRPr="00BA5B90" w:rsidRDefault="00BA5B90" w:rsidP="00D55179">
            <w:pPr>
              <w:overflowPunct w:val="0"/>
              <w:autoSpaceDE w:val="0"/>
              <w:autoSpaceDN w:val="0"/>
              <w:adjustRightInd w:val="0"/>
              <w:spacing w:after="0" w:line="240" w:lineRule="auto"/>
              <w:jc w:val="right"/>
              <w:textAlignment w:val="baseline"/>
              <w:rPr>
                <w:rFonts w:ascii="Arial" w:eastAsia="Times New Roman" w:hAnsi="Arial" w:cs="Arial"/>
                <w:sz w:val="18"/>
                <w:szCs w:val="20"/>
              </w:rPr>
            </w:pPr>
            <w:r w:rsidRPr="00BA5B90">
              <w:rPr>
                <w:rFonts w:ascii="Arial" w:eastAsia="Times New Roman" w:hAnsi="Arial" w:cs="Arial"/>
                <w:sz w:val="18"/>
                <w:szCs w:val="20"/>
              </w:rPr>
              <w:t>80</w:t>
            </w:r>
          </w:p>
        </w:tc>
        <w:tc>
          <w:tcPr>
            <w:tcW w:w="1602" w:type="dxa"/>
            <w:tcBorders>
              <w:top w:val="single" w:sz="6" w:space="0" w:color="auto"/>
              <w:left w:val="single" w:sz="6" w:space="0" w:color="auto"/>
              <w:bottom w:val="single" w:sz="6" w:space="0" w:color="auto"/>
              <w:right w:val="single" w:sz="6" w:space="0" w:color="auto"/>
            </w:tcBorders>
          </w:tcPr>
          <w:p w:rsidR="00BA5B90" w:rsidRPr="00BA5B90" w:rsidRDefault="00BA5B90" w:rsidP="00D55179">
            <w:pPr>
              <w:overflowPunct w:val="0"/>
              <w:autoSpaceDE w:val="0"/>
              <w:autoSpaceDN w:val="0"/>
              <w:adjustRightInd w:val="0"/>
              <w:spacing w:after="0" w:line="240" w:lineRule="auto"/>
              <w:jc w:val="right"/>
              <w:textAlignment w:val="baseline"/>
              <w:rPr>
                <w:rFonts w:ascii="Arial" w:eastAsia="Times New Roman" w:hAnsi="Arial" w:cs="Arial"/>
                <w:sz w:val="18"/>
                <w:szCs w:val="20"/>
              </w:rPr>
            </w:pPr>
            <w:r w:rsidRPr="00BA5B90">
              <w:rPr>
                <w:rFonts w:ascii="Arial" w:eastAsia="Times New Roman" w:hAnsi="Arial" w:cs="Arial"/>
                <w:sz w:val="18"/>
                <w:szCs w:val="20"/>
              </w:rPr>
              <w:t>1600</w:t>
            </w:r>
          </w:p>
        </w:tc>
        <w:tc>
          <w:tcPr>
            <w:tcW w:w="1530" w:type="dxa"/>
            <w:tcBorders>
              <w:top w:val="single" w:sz="6" w:space="0" w:color="auto"/>
              <w:left w:val="single" w:sz="6" w:space="0" w:color="auto"/>
              <w:bottom w:val="single" w:sz="6" w:space="0" w:color="auto"/>
              <w:right w:val="single" w:sz="6" w:space="0" w:color="auto"/>
            </w:tcBorders>
          </w:tcPr>
          <w:p w:rsidR="00BA5B90" w:rsidRPr="00BA5B90" w:rsidRDefault="00BA5B90" w:rsidP="00D55179">
            <w:pPr>
              <w:overflowPunct w:val="0"/>
              <w:autoSpaceDE w:val="0"/>
              <w:autoSpaceDN w:val="0"/>
              <w:adjustRightInd w:val="0"/>
              <w:spacing w:after="0" w:line="240" w:lineRule="auto"/>
              <w:jc w:val="right"/>
              <w:textAlignment w:val="baseline"/>
              <w:rPr>
                <w:rFonts w:ascii="Arial" w:eastAsia="Times New Roman" w:hAnsi="Arial" w:cs="Arial"/>
                <w:sz w:val="18"/>
                <w:szCs w:val="20"/>
              </w:rPr>
            </w:pPr>
            <w:r w:rsidRPr="00BA5B90">
              <w:rPr>
                <w:rFonts w:ascii="Arial" w:eastAsia="Times New Roman" w:hAnsi="Arial" w:cs="Arial"/>
                <w:sz w:val="18"/>
                <w:szCs w:val="20"/>
              </w:rPr>
              <w:t>$4</w:t>
            </w:r>
            <w:r w:rsidR="0028733F">
              <w:rPr>
                <w:rFonts w:ascii="Arial" w:eastAsia="Times New Roman" w:hAnsi="Arial" w:cs="Arial"/>
                <w:sz w:val="18"/>
                <w:szCs w:val="20"/>
              </w:rPr>
              <w:t>3.29</w:t>
            </w:r>
          </w:p>
        </w:tc>
        <w:tc>
          <w:tcPr>
            <w:tcW w:w="1620" w:type="dxa"/>
            <w:tcBorders>
              <w:top w:val="single" w:sz="6" w:space="0" w:color="auto"/>
              <w:left w:val="single" w:sz="6" w:space="0" w:color="auto"/>
              <w:bottom w:val="single" w:sz="6" w:space="0" w:color="auto"/>
              <w:right w:val="single" w:sz="6" w:space="0" w:color="auto"/>
            </w:tcBorders>
          </w:tcPr>
          <w:p w:rsidR="00BA5B90" w:rsidRPr="00BA5B90" w:rsidRDefault="00BA5B90" w:rsidP="00D55179">
            <w:pPr>
              <w:overflowPunct w:val="0"/>
              <w:autoSpaceDE w:val="0"/>
              <w:autoSpaceDN w:val="0"/>
              <w:adjustRightInd w:val="0"/>
              <w:spacing w:after="0" w:line="240" w:lineRule="auto"/>
              <w:jc w:val="right"/>
              <w:textAlignment w:val="baseline"/>
              <w:rPr>
                <w:rFonts w:ascii="Arial" w:eastAsia="Times New Roman" w:hAnsi="Arial" w:cs="Arial"/>
                <w:sz w:val="18"/>
                <w:szCs w:val="20"/>
              </w:rPr>
            </w:pPr>
            <w:r w:rsidRPr="00BA5B90">
              <w:rPr>
                <w:rFonts w:ascii="Arial" w:eastAsia="Times New Roman" w:hAnsi="Arial" w:cs="Arial"/>
                <w:sz w:val="18"/>
                <w:szCs w:val="20"/>
              </w:rPr>
              <w:t>$6</w:t>
            </w:r>
            <w:r w:rsidR="0028733F">
              <w:rPr>
                <w:rFonts w:ascii="Arial" w:eastAsia="Times New Roman" w:hAnsi="Arial" w:cs="Arial"/>
                <w:sz w:val="18"/>
                <w:szCs w:val="20"/>
              </w:rPr>
              <w:t>9,264.00</w:t>
            </w:r>
          </w:p>
        </w:tc>
      </w:tr>
    </w:tbl>
    <w:p w:rsidR="00BA5B90" w:rsidRPr="00662B66" w:rsidRDefault="00BA5B90" w:rsidP="00BA5B90">
      <w:pPr>
        <w:overflowPunct w:val="0"/>
        <w:autoSpaceDE w:val="0"/>
        <w:autoSpaceDN w:val="0"/>
        <w:adjustRightInd w:val="0"/>
        <w:spacing w:after="120" w:line="240" w:lineRule="auto"/>
        <w:ind w:left="360"/>
        <w:textAlignment w:val="baseline"/>
        <w:rPr>
          <w:rFonts w:ascii="Times New Roman" w:eastAsia="Times New Roman" w:hAnsi="Times New Roman" w:cs="Times New Roman"/>
        </w:rPr>
      </w:pPr>
      <w:r w:rsidRPr="00662B66">
        <w:rPr>
          <w:rFonts w:ascii="Times New Roman" w:eastAsia="Times New Roman" w:hAnsi="Times New Roman" w:cs="Times New Roman"/>
        </w:rPr>
        <w:t>Estimated hourly cost is based on the average annual salary of a GS-12/5, of $4</w:t>
      </w:r>
      <w:r w:rsidR="0028733F" w:rsidRPr="00662B66">
        <w:rPr>
          <w:rFonts w:ascii="Times New Roman" w:eastAsia="Times New Roman" w:hAnsi="Times New Roman" w:cs="Times New Roman"/>
        </w:rPr>
        <w:t>3.29</w:t>
      </w:r>
    </w:p>
    <w:p w:rsidR="005359BA" w:rsidRPr="00BA5B90" w:rsidRDefault="005359BA" w:rsidP="00BA5B90">
      <w:pPr>
        <w:overflowPunct w:val="0"/>
        <w:autoSpaceDE w:val="0"/>
        <w:autoSpaceDN w:val="0"/>
        <w:adjustRightInd w:val="0"/>
        <w:spacing w:after="120" w:line="240" w:lineRule="auto"/>
        <w:ind w:left="360"/>
        <w:textAlignment w:val="baseline"/>
        <w:rPr>
          <w:rFonts w:ascii="Times New Roman" w:eastAsia="Times New Roman" w:hAnsi="Times New Roman" w:cs="Times New Roman"/>
          <w:sz w:val="18"/>
          <w:szCs w:val="20"/>
        </w:rPr>
      </w:pPr>
    </w:p>
    <w:p w:rsidR="00BA5B90" w:rsidRPr="00BA5B90" w:rsidRDefault="00BA5B90" w:rsidP="00BA5B90">
      <w:pPr>
        <w:numPr>
          <w:ilvl w:val="0"/>
          <w:numId w:val="8"/>
        </w:numPr>
        <w:overflowPunct w:val="0"/>
        <w:autoSpaceDE w:val="0"/>
        <w:autoSpaceDN w:val="0"/>
        <w:adjustRightInd w:val="0"/>
        <w:spacing w:after="0" w:line="240" w:lineRule="auto"/>
        <w:textAlignment w:val="baseline"/>
        <w:rPr>
          <w:rFonts w:ascii="Times New Roman" w:eastAsia="Times New Roman" w:hAnsi="Times New Roman" w:cs="Times New Roman"/>
          <w:sz w:val="24"/>
          <w:szCs w:val="20"/>
        </w:rPr>
      </w:pPr>
      <w:r w:rsidRPr="00BA5B90">
        <w:rPr>
          <w:rFonts w:ascii="Times New Roman" w:eastAsia="Times New Roman" w:hAnsi="Times New Roman" w:cs="Times New Roman"/>
          <w:sz w:val="24"/>
          <w:szCs w:val="20"/>
        </w:rPr>
        <w:t xml:space="preserve">This is a Revision of a currently approved collection. Various items on the form HUD-93201 needed updates, such as the Mortgage Insurance Rates </w:t>
      </w:r>
      <w:r w:rsidR="00521532">
        <w:rPr>
          <w:rFonts w:ascii="Times New Roman" w:eastAsia="Times New Roman" w:hAnsi="Times New Roman" w:cs="Times New Roman"/>
          <w:sz w:val="24"/>
          <w:szCs w:val="20"/>
        </w:rPr>
        <w:t>and Mortgage Insurance Premium</w:t>
      </w:r>
      <w:r w:rsidRPr="00BA5B90">
        <w:rPr>
          <w:rFonts w:ascii="Times New Roman" w:eastAsia="Times New Roman" w:hAnsi="Times New Roman" w:cs="Times New Roman"/>
          <w:sz w:val="24"/>
          <w:szCs w:val="20"/>
        </w:rPr>
        <w:t xml:space="preserve">.  </w:t>
      </w:r>
    </w:p>
    <w:p w:rsidR="00BA5B90" w:rsidRPr="00BA5B90" w:rsidRDefault="00BA5B90" w:rsidP="00BA5B90">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rPr>
      </w:pPr>
    </w:p>
    <w:p w:rsidR="00BA5B90" w:rsidRPr="00BA5B90" w:rsidRDefault="00BA5B90" w:rsidP="00BA5B90">
      <w:pPr>
        <w:numPr>
          <w:ilvl w:val="0"/>
          <w:numId w:val="8"/>
        </w:numPr>
        <w:overflowPunct w:val="0"/>
        <w:autoSpaceDE w:val="0"/>
        <w:autoSpaceDN w:val="0"/>
        <w:adjustRightInd w:val="0"/>
        <w:spacing w:after="0" w:line="240" w:lineRule="auto"/>
        <w:textAlignment w:val="baseline"/>
        <w:rPr>
          <w:rFonts w:ascii="Times New Roman" w:eastAsia="Times New Roman" w:hAnsi="Times New Roman" w:cs="Times New Roman"/>
          <w:sz w:val="24"/>
          <w:szCs w:val="20"/>
        </w:rPr>
      </w:pPr>
      <w:r w:rsidRPr="00BA5B90">
        <w:rPr>
          <w:rFonts w:ascii="Times New Roman" w:eastAsia="Times New Roman" w:hAnsi="Times New Roman" w:cs="Times New Roman"/>
          <w:sz w:val="24"/>
          <w:szCs w:val="20"/>
        </w:rPr>
        <w:t>The results of this collection will not be published.</w:t>
      </w:r>
    </w:p>
    <w:p w:rsidR="00BA5B90" w:rsidRPr="00BA5B90" w:rsidRDefault="00BA5B90" w:rsidP="00BA5B90">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rPr>
      </w:pPr>
    </w:p>
    <w:p w:rsidR="00BA5B90" w:rsidRPr="00BA5B90" w:rsidRDefault="00BA5B90" w:rsidP="00BA5B90">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rPr>
      </w:pPr>
      <w:r w:rsidRPr="00BA5B90">
        <w:rPr>
          <w:rFonts w:ascii="Times New Roman" w:eastAsia="Times New Roman" w:hAnsi="Times New Roman" w:cs="Times New Roman"/>
          <w:sz w:val="24"/>
          <w:szCs w:val="20"/>
        </w:rPr>
        <w:t>17.  HUD is not requesting approval to avoid displaying the expiration date on the form HUD-93201.</w:t>
      </w:r>
    </w:p>
    <w:p w:rsidR="00BA5B90" w:rsidRPr="00BA5B90" w:rsidRDefault="00BA5B90" w:rsidP="00BA5B90">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rPr>
      </w:pPr>
    </w:p>
    <w:p w:rsidR="00BA5B90" w:rsidRPr="00BA5B90" w:rsidRDefault="00BA5B90" w:rsidP="00BA5B90">
      <w:pPr>
        <w:overflowPunct w:val="0"/>
        <w:autoSpaceDE w:val="0"/>
        <w:autoSpaceDN w:val="0"/>
        <w:adjustRightInd w:val="0"/>
        <w:spacing w:after="120" w:line="240" w:lineRule="auto"/>
        <w:textAlignment w:val="baseline"/>
        <w:rPr>
          <w:rFonts w:ascii="Times New Roman" w:eastAsia="Times New Roman" w:hAnsi="Times New Roman" w:cs="Times New Roman"/>
          <w:sz w:val="24"/>
          <w:szCs w:val="20"/>
        </w:rPr>
      </w:pPr>
      <w:r w:rsidRPr="00BA5B90">
        <w:rPr>
          <w:rFonts w:ascii="Times New Roman" w:eastAsia="Times New Roman" w:hAnsi="Times New Roman" w:cs="Times New Roman"/>
          <w:sz w:val="24"/>
          <w:szCs w:val="20"/>
        </w:rPr>
        <w:t>18.  There are no exceptions.</w:t>
      </w:r>
    </w:p>
    <w:p w:rsidR="00BA5B90" w:rsidRPr="00BA5B90" w:rsidRDefault="00BA5B90" w:rsidP="00BA5B90">
      <w:pPr>
        <w:overflowPunct w:val="0"/>
        <w:autoSpaceDE w:val="0"/>
        <w:autoSpaceDN w:val="0"/>
        <w:adjustRightInd w:val="0"/>
        <w:spacing w:after="0" w:line="240" w:lineRule="auto"/>
        <w:textAlignment w:val="baseline"/>
        <w:rPr>
          <w:rFonts w:ascii="Times New Roman" w:eastAsia="Times New Roman" w:hAnsi="Times New Roman" w:cs="Times New Roman"/>
          <w:b/>
          <w:bCs/>
          <w:sz w:val="24"/>
          <w:szCs w:val="20"/>
        </w:rPr>
      </w:pPr>
      <w:r w:rsidRPr="00BA5B90">
        <w:rPr>
          <w:rFonts w:ascii="Times New Roman" w:eastAsia="Times New Roman" w:hAnsi="Times New Roman" w:cs="Times New Roman"/>
          <w:b/>
          <w:bCs/>
          <w:sz w:val="24"/>
          <w:szCs w:val="20"/>
        </w:rPr>
        <w:t>__________________________________________________________________________</w:t>
      </w:r>
    </w:p>
    <w:p w:rsidR="00BA5B90" w:rsidRPr="00BA5B90" w:rsidRDefault="00BA5B90" w:rsidP="00BA5B90">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rPr>
      </w:pPr>
    </w:p>
    <w:p w:rsidR="00BA5B90" w:rsidRPr="00BA5B90" w:rsidRDefault="00BA5B90" w:rsidP="00BA5B90">
      <w:pPr>
        <w:overflowPunct w:val="0"/>
        <w:autoSpaceDE w:val="0"/>
        <w:autoSpaceDN w:val="0"/>
        <w:adjustRightInd w:val="0"/>
        <w:spacing w:after="0" w:line="240" w:lineRule="auto"/>
        <w:textAlignment w:val="baseline"/>
        <w:rPr>
          <w:rFonts w:ascii="Times New Roman" w:eastAsia="Times New Roman" w:hAnsi="Times New Roman" w:cs="Times New Roman"/>
          <w:b/>
          <w:bCs/>
          <w:sz w:val="24"/>
          <w:szCs w:val="20"/>
        </w:rPr>
      </w:pPr>
      <w:r w:rsidRPr="00BA5B90">
        <w:rPr>
          <w:rFonts w:ascii="Times New Roman" w:eastAsia="Times New Roman" w:hAnsi="Times New Roman" w:cs="Times New Roman"/>
          <w:b/>
          <w:bCs/>
          <w:sz w:val="24"/>
          <w:szCs w:val="20"/>
        </w:rPr>
        <w:t>B.  Collection of Information Employing Statistical Methods.</w:t>
      </w:r>
    </w:p>
    <w:p w:rsidR="00BA5B90" w:rsidRPr="00BA5B90" w:rsidRDefault="00BA5B90" w:rsidP="00BA5B90">
      <w:pPr>
        <w:overflowPunct w:val="0"/>
        <w:autoSpaceDE w:val="0"/>
        <w:autoSpaceDN w:val="0"/>
        <w:adjustRightInd w:val="0"/>
        <w:spacing w:after="0" w:line="240" w:lineRule="auto"/>
        <w:ind w:left="360"/>
        <w:textAlignment w:val="baseline"/>
        <w:rPr>
          <w:rFonts w:ascii="Times New Roman" w:eastAsia="Times New Roman" w:hAnsi="Times New Roman" w:cs="Times New Roman"/>
          <w:sz w:val="24"/>
          <w:szCs w:val="20"/>
        </w:rPr>
      </w:pPr>
    </w:p>
    <w:p w:rsidR="00BA5B90" w:rsidRPr="00BA5B90" w:rsidRDefault="00BA5B90" w:rsidP="00BA5B90">
      <w:pPr>
        <w:overflowPunct w:val="0"/>
        <w:autoSpaceDE w:val="0"/>
        <w:autoSpaceDN w:val="0"/>
        <w:adjustRightInd w:val="0"/>
        <w:spacing w:after="120" w:line="240" w:lineRule="auto"/>
        <w:ind w:left="720"/>
        <w:textAlignment w:val="baseline"/>
        <w:rPr>
          <w:rFonts w:ascii="Times New Roman" w:eastAsia="Times New Roman" w:hAnsi="Times New Roman" w:cs="Times New Roman"/>
          <w:sz w:val="24"/>
          <w:szCs w:val="20"/>
        </w:rPr>
      </w:pPr>
      <w:r w:rsidRPr="00BA5B90">
        <w:rPr>
          <w:rFonts w:ascii="Times New Roman" w:eastAsia="Times New Roman" w:hAnsi="Times New Roman" w:cs="Times New Roman"/>
          <w:sz w:val="24"/>
          <w:szCs w:val="20"/>
        </w:rPr>
        <w:t>The collection of information employing statistical methods does not apply.</w:t>
      </w:r>
      <w:r w:rsidRPr="00BA5B90">
        <w:rPr>
          <w:rFonts w:ascii="Times New Roman" w:eastAsia="Times New Roman" w:hAnsi="Times New Roman" w:cs="Times New Roman"/>
          <w:sz w:val="24"/>
          <w:szCs w:val="20"/>
        </w:rPr>
        <w:tab/>
      </w:r>
    </w:p>
    <w:p w:rsidR="00BA5B90" w:rsidRPr="00BA5B90" w:rsidRDefault="00BA5B90" w:rsidP="00BA5B90">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rPr>
      </w:pPr>
    </w:p>
    <w:p w:rsidR="00BA5B90" w:rsidRPr="00BA5B90" w:rsidRDefault="00BA5B90" w:rsidP="00BA5B90">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rPr>
      </w:pPr>
    </w:p>
    <w:p w:rsidR="005E5732" w:rsidRDefault="005E5732"/>
    <w:sectPr w:rsidR="005E57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BE41ADC"/>
    <w:lvl w:ilvl="0">
      <w:numFmt w:val="decimal"/>
      <w:lvlText w:val="*"/>
      <w:lvlJc w:val="left"/>
    </w:lvl>
  </w:abstractNum>
  <w:abstractNum w:abstractNumId="1" w15:restartNumberingAfterBreak="0">
    <w:nsid w:val="03520ED5"/>
    <w:multiLevelType w:val="singleLevel"/>
    <w:tmpl w:val="4A46DD04"/>
    <w:lvl w:ilvl="0">
      <w:start w:val="9"/>
      <w:numFmt w:val="decimal"/>
      <w:lvlText w:val="%1. "/>
      <w:legacy w:legacy="1" w:legacySpace="0" w:legacyIndent="360"/>
      <w:lvlJc w:val="left"/>
      <w:pPr>
        <w:ind w:left="360" w:hanging="360"/>
      </w:pPr>
      <w:rPr>
        <w:b w:val="0"/>
        <w:i w:val="0"/>
        <w:sz w:val="24"/>
      </w:rPr>
    </w:lvl>
  </w:abstractNum>
  <w:abstractNum w:abstractNumId="2" w15:restartNumberingAfterBreak="0">
    <w:nsid w:val="1BBF2505"/>
    <w:multiLevelType w:val="hybridMultilevel"/>
    <w:tmpl w:val="C2BE93F0"/>
    <w:lvl w:ilvl="0" w:tplc="B8E22D4E">
      <w:start w:val="1"/>
      <w:numFmt w:val="decimal"/>
      <w:lvlText w:val="%1."/>
      <w:lvlJc w:val="left"/>
      <w:pPr>
        <w:tabs>
          <w:tab w:val="num" w:pos="360"/>
        </w:tabs>
        <w:ind w:left="360" w:hanging="360"/>
      </w:pPr>
      <w:rPr>
        <w:rFonts w:ascii="Times New Roman" w:hAnsi="Times New Roman" w:hint="default"/>
        <w:b w:val="0"/>
        <w:i w:val="0"/>
        <w:sz w:val="24"/>
      </w:rPr>
    </w:lvl>
    <w:lvl w:ilvl="1" w:tplc="0409000F">
      <w:start w:val="1"/>
      <w:numFmt w:val="decimal"/>
      <w:lvlText w:val="%2."/>
      <w:lvlJc w:val="left"/>
      <w:pPr>
        <w:tabs>
          <w:tab w:val="num" w:pos="1440"/>
        </w:tabs>
        <w:ind w:left="1440" w:hanging="360"/>
      </w:pPr>
    </w:lvl>
    <w:lvl w:ilvl="2" w:tplc="413C3008">
      <w:start w:val="1"/>
      <w:numFmt w:val="lowerLetter"/>
      <w:lvlText w:val="%3."/>
      <w:lvlJc w:val="left"/>
      <w:pPr>
        <w:tabs>
          <w:tab w:val="num" w:pos="1080"/>
        </w:tabs>
        <w:ind w:left="1080" w:hanging="360"/>
      </w:pPr>
      <w:rPr>
        <w:rFonts w:ascii="Times New Roman" w:hAnsi="Times New Roman" w:hint="default"/>
        <w:b w:val="0"/>
        <w:i w:val="0"/>
        <w:sz w:val="24"/>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CBB350D"/>
    <w:multiLevelType w:val="multilevel"/>
    <w:tmpl w:val="C65C6750"/>
    <w:lvl w:ilvl="0">
      <w:start w:val="11"/>
      <w:numFmt w:val="decimal"/>
      <w:lvlText w:val="%1. "/>
      <w:legacy w:legacy="1" w:legacySpace="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4" w15:restartNumberingAfterBreak="0">
    <w:nsid w:val="31B778D4"/>
    <w:multiLevelType w:val="singleLevel"/>
    <w:tmpl w:val="3FFE4598"/>
    <w:lvl w:ilvl="0">
      <w:start w:val="10"/>
      <w:numFmt w:val="decimal"/>
      <w:lvlText w:val="%1. "/>
      <w:legacy w:legacy="1" w:legacySpace="0" w:legacyIndent="360"/>
      <w:lvlJc w:val="left"/>
      <w:pPr>
        <w:ind w:left="360" w:hanging="360"/>
      </w:pPr>
      <w:rPr>
        <w:b w:val="0"/>
        <w:i w:val="0"/>
        <w:sz w:val="24"/>
      </w:rPr>
    </w:lvl>
  </w:abstractNum>
  <w:abstractNum w:abstractNumId="5" w15:restartNumberingAfterBreak="0">
    <w:nsid w:val="497A1C73"/>
    <w:multiLevelType w:val="singleLevel"/>
    <w:tmpl w:val="33FA620C"/>
    <w:lvl w:ilvl="0">
      <w:start w:val="6"/>
      <w:numFmt w:val="decimal"/>
      <w:lvlText w:val="%1. "/>
      <w:legacy w:legacy="1" w:legacySpace="0" w:legacyIndent="360"/>
      <w:lvlJc w:val="left"/>
      <w:pPr>
        <w:ind w:left="360" w:hanging="360"/>
      </w:pPr>
      <w:rPr>
        <w:b w:val="0"/>
        <w:i w:val="0"/>
        <w:sz w:val="24"/>
      </w:rPr>
    </w:lvl>
  </w:abstractNum>
  <w:abstractNum w:abstractNumId="6" w15:restartNumberingAfterBreak="0">
    <w:nsid w:val="4B206095"/>
    <w:multiLevelType w:val="singleLevel"/>
    <w:tmpl w:val="1512C79E"/>
    <w:lvl w:ilvl="0">
      <w:start w:val="7"/>
      <w:numFmt w:val="decimal"/>
      <w:lvlText w:val="%1. "/>
      <w:legacy w:legacy="1" w:legacySpace="0" w:legacyIndent="360"/>
      <w:lvlJc w:val="left"/>
      <w:pPr>
        <w:ind w:left="360" w:hanging="360"/>
      </w:pPr>
      <w:rPr>
        <w:rFonts w:ascii="Times New Roman" w:hAnsi="Times New Roman" w:cs="Times New Roman" w:hint="default"/>
        <w:b w:val="0"/>
        <w:i w:val="0"/>
        <w:strike w:val="0"/>
        <w:dstrike w:val="0"/>
        <w:sz w:val="18"/>
        <w:u w:val="none"/>
        <w:effect w:val="none"/>
      </w:rPr>
    </w:lvl>
  </w:abstractNum>
  <w:abstractNum w:abstractNumId="7" w15:restartNumberingAfterBreak="0">
    <w:nsid w:val="5D461ECF"/>
    <w:multiLevelType w:val="singleLevel"/>
    <w:tmpl w:val="46D4B4E6"/>
    <w:lvl w:ilvl="0">
      <w:start w:val="3"/>
      <w:numFmt w:val="decimal"/>
      <w:lvlText w:val="%1. "/>
      <w:legacy w:legacy="1" w:legacySpace="0" w:legacyIndent="360"/>
      <w:lvlJc w:val="left"/>
      <w:pPr>
        <w:ind w:left="360" w:hanging="360"/>
      </w:pPr>
      <w:rPr>
        <w:b w:val="0"/>
        <w:i w:val="0"/>
        <w:sz w:val="24"/>
      </w:rPr>
    </w:lvl>
  </w:abstractNum>
  <w:abstractNum w:abstractNumId="8" w15:restartNumberingAfterBreak="0">
    <w:nsid w:val="61A0764E"/>
    <w:multiLevelType w:val="singleLevel"/>
    <w:tmpl w:val="D520DB88"/>
    <w:lvl w:ilvl="0">
      <w:start w:val="5"/>
      <w:numFmt w:val="decimal"/>
      <w:lvlText w:val="%1. "/>
      <w:legacy w:legacy="1" w:legacySpace="0" w:legacyIndent="360"/>
      <w:lvlJc w:val="left"/>
      <w:pPr>
        <w:ind w:left="360" w:hanging="360"/>
      </w:pPr>
      <w:rPr>
        <w:b w:val="0"/>
        <w:i w:val="0"/>
        <w:sz w:val="24"/>
      </w:rPr>
    </w:lvl>
  </w:abstractNum>
  <w:abstractNum w:abstractNumId="9" w15:restartNumberingAfterBreak="0">
    <w:nsid w:val="67F574C6"/>
    <w:multiLevelType w:val="singleLevel"/>
    <w:tmpl w:val="EEB05CA0"/>
    <w:lvl w:ilvl="0">
      <w:start w:val="13"/>
      <w:numFmt w:val="decimal"/>
      <w:lvlText w:val="%1. "/>
      <w:legacy w:legacy="1" w:legacySpace="0" w:legacyIndent="360"/>
      <w:lvlJc w:val="left"/>
      <w:pPr>
        <w:ind w:left="360" w:hanging="360"/>
      </w:pPr>
      <w:rPr>
        <w:b w:val="0"/>
        <w:i w:val="0"/>
        <w:sz w:val="24"/>
      </w:rPr>
    </w:lvl>
  </w:abstractNum>
  <w:abstractNum w:abstractNumId="10" w15:restartNumberingAfterBreak="0">
    <w:nsid w:val="6AD071B4"/>
    <w:multiLevelType w:val="singleLevel"/>
    <w:tmpl w:val="CBFC2E58"/>
    <w:lvl w:ilvl="0">
      <w:start w:val="15"/>
      <w:numFmt w:val="decimal"/>
      <w:lvlText w:val="%1. "/>
      <w:legacy w:legacy="1" w:legacySpace="0" w:legacyIndent="360"/>
      <w:lvlJc w:val="left"/>
      <w:pPr>
        <w:ind w:left="360" w:hanging="360"/>
      </w:pPr>
      <w:rPr>
        <w:b w:val="0"/>
        <w:i w:val="0"/>
        <w:sz w:val="24"/>
      </w:rPr>
    </w:lvl>
  </w:abstractNum>
  <w:num w:numId="1">
    <w:abstractNumId w:val="7"/>
  </w:num>
  <w:num w:numId="2">
    <w:abstractNumId w:val="8"/>
  </w:num>
  <w:num w:numId="3">
    <w:abstractNumId w:val="5"/>
  </w:num>
  <w:num w:numId="4">
    <w:abstractNumId w:val="1"/>
  </w:num>
  <w:num w:numId="5">
    <w:abstractNumId w:val="4"/>
  </w:num>
  <w:num w:numId="6">
    <w:abstractNumId w:val="3"/>
  </w:num>
  <w:num w:numId="7">
    <w:abstractNumId w:val="9"/>
  </w:num>
  <w:num w:numId="8">
    <w:abstractNumId w:val="10"/>
  </w:num>
  <w:num w:numId="9">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 w:numId="10">
    <w:abstractNumId w:val="2"/>
  </w:num>
  <w:num w:numId="11">
    <w:abstractNumId w:val="6"/>
    <w:lvlOverride w:ilvl="0">
      <w:startOverride w:val="7"/>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5B90"/>
    <w:rsid w:val="00077301"/>
    <w:rsid w:val="0028733F"/>
    <w:rsid w:val="00334D2E"/>
    <w:rsid w:val="00521532"/>
    <w:rsid w:val="005359BA"/>
    <w:rsid w:val="005E5732"/>
    <w:rsid w:val="00662B66"/>
    <w:rsid w:val="007E6AA1"/>
    <w:rsid w:val="00847C14"/>
    <w:rsid w:val="00890B0F"/>
    <w:rsid w:val="00A62E90"/>
    <w:rsid w:val="00B81B45"/>
    <w:rsid w:val="00BA5B90"/>
    <w:rsid w:val="00C929C3"/>
    <w:rsid w:val="00D55179"/>
    <w:rsid w:val="00DC17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98E88"/>
  <w15:chartTrackingRefBased/>
  <w15:docId w15:val="{9B15B0FC-1034-45E8-924A-C033C845F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62B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2B6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3</Pages>
  <Words>1012</Words>
  <Characters>5774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Chatman, Sylvia S</dc:creator>
  <cp:keywords/>
  <dc:description/>
  <cp:lastModifiedBy>Downs, Inez C</cp:lastModifiedBy>
  <cp:revision>3</cp:revision>
  <cp:lastPrinted>2017-07-11T17:02:00Z</cp:lastPrinted>
  <dcterms:created xsi:type="dcterms:W3CDTF">2017-07-11T16:16:00Z</dcterms:created>
  <dcterms:modified xsi:type="dcterms:W3CDTF">2017-07-11T17:14:00Z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