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F5BBE" w14:textId="3610F3C6" w:rsidR="00551F3F" w:rsidRDefault="003A74B8" w:rsidP="003E165A">
      <w:pPr>
        <w:spacing w:after="0" w:line="240" w:lineRule="auto"/>
        <w:ind w:left="7200" w:firstLine="720"/>
      </w:pPr>
      <w:r w:rsidRPr="00D637F4">
        <w:rPr>
          <w:color w:val="000000"/>
        </w:rPr>
        <w:t>2140</w:t>
      </w:r>
      <w:r w:rsidRPr="00D637F4">
        <w:rPr>
          <w:b/>
          <w:color w:val="000000"/>
        </w:rPr>
        <w:t>-</w:t>
      </w:r>
      <w:r w:rsidR="0060782F">
        <w:rPr>
          <w:color w:val="000000"/>
        </w:rPr>
        <w:t>XXXX</w:t>
      </w:r>
    </w:p>
    <w:p w14:paraId="450F63E3" w14:textId="221FECCD" w:rsidR="00E524B6" w:rsidRDefault="00027C71" w:rsidP="003E165A">
      <w:pPr>
        <w:spacing w:after="0" w:line="240" w:lineRule="auto"/>
        <w:ind w:left="7920"/>
      </w:pPr>
      <w:r>
        <w:t>March</w:t>
      </w:r>
      <w:r w:rsidR="00355A40">
        <w:t xml:space="preserve"> 2017</w:t>
      </w:r>
    </w:p>
    <w:p w14:paraId="7A77C976" w14:textId="77777777" w:rsidR="00E524B6" w:rsidRDefault="00E524B6" w:rsidP="00707F8B">
      <w:pPr>
        <w:spacing w:after="0" w:line="240" w:lineRule="auto"/>
        <w:jc w:val="right"/>
      </w:pPr>
    </w:p>
    <w:p w14:paraId="6078B771" w14:textId="77777777" w:rsidR="00E524B6" w:rsidRPr="00E524B6" w:rsidRDefault="00E524B6" w:rsidP="00707F8B">
      <w:pPr>
        <w:tabs>
          <w:tab w:val="center" w:pos="4680"/>
        </w:tabs>
        <w:autoSpaceDE w:val="0"/>
        <w:autoSpaceDN w:val="0"/>
        <w:adjustRightInd w:val="0"/>
        <w:spacing w:after="0" w:line="240" w:lineRule="auto"/>
        <w:contextualSpacing/>
        <w:jc w:val="center"/>
        <w:rPr>
          <w:rFonts w:eastAsia="Times New Roman"/>
          <w:b/>
          <w:bCs/>
        </w:rPr>
      </w:pPr>
      <w:r w:rsidRPr="00E524B6">
        <w:rPr>
          <w:rFonts w:eastAsia="Times New Roman"/>
          <w:b/>
          <w:bCs/>
        </w:rPr>
        <w:t>SUPPORTING STATEMENT</w:t>
      </w:r>
    </w:p>
    <w:p w14:paraId="12224265" w14:textId="77777777" w:rsidR="00E524B6" w:rsidRPr="00E524B6" w:rsidRDefault="00E524B6" w:rsidP="00707F8B">
      <w:pPr>
        <w:tabs>
          <w:tab w:val="center" w:pos="4680"/>
        </w:tabs>
        <w:autoSpaceDE w:val="0"/>
        <w:autoSpaceDN w:val="0"/>
        <w:adjustRightInd w:val="0"/>
        <w:spacing w:after="0" w:line="240" w:lineRule="auto"/>
        <w:contextualSpacing/>
        <w:rPr>
          <w:rFonts w:eastAsia="Times New Roman"/>
          <w:b/>
          <w:bCs/>
        </w:rPr>
      </w:pPr>
      <w:r w:rsidRPr="00E524B6">
        <w:rPr>
          <w:rFonts w:eastAsia="Times New Roman"/>
          <w:b/>
          <w:bCs/>
        </w:rPr>
        <w:tab/>
        <w:t>FOR REQUEST OF OMB APPROVAL</w:t>
      </w:r>
    </w:p>
    <w:p w14:paraId="4759D616" w14:textId="77777777" w:rsidR="00E524B6" w:rsidRPr="00E524B6" w:rsidRDefault="00E524B6" w:rsidP="00707F8B">
      <w:pPr>
        <w:tabs>
          <w:tab w:val="center" w:pos="4680"/>
        </w:tabs>
        <w:autoSpaceDE w:val="0"/>
        <w:autoSpaceDN w:val="0"/>
        <w:adjustRightInd w:val="0"/>
        <w:spacing w:after="0" w:line="240" w:lineRule="auto"/>
        <w:contextualSpacing/>
        <w:rPr>
          <w:rFonts w:eastAsia="Times New Roman"/>
          <w:b/>
          <w:bCs/>
        </w:rPr>
      </w:pPr>
      <w:r w:rsidRPr="00E524B6">
        <w:rPr>
          <w:rFonts w:eastAsia="Times New Roman"/>
          <w:b/>
          <w:bCs/>
        </w:rPr>
        <w:tab/>
        <w:t xml:space="preserve">UNDER THE PAPERWORK REDUCTION ACT AND 5 C.F.R. </w:t>
      </w:r>
      <w:r w:rsidRPr="00E524B6">
        <w:rPr>
          <w:rFonts w:eastAsia="Times New Roman"/>
          <w:b/>
        </w:rPr>
        <w:t xml:space="preserve">§ </w:t>
      </w:r>
      <w:r w:rsidRPr="00E524B6">
        <w:rPr>
          <w:rFonts w:eastAsia="Times New Roman"/>
          <w:b/>
          <w:bCs/>
        </w:rPr>
        <w:t>1320</w:t>
      </w:r>
    </w:p>
    <w:p w14:paraId="5C76E913" w14:textId="77777777" w:rsidR="00E524B6" w:rsidRDefault="00E524B6" w:rsidP="00707F8B">
      <w:pPr>
        <w:spacing w:after="0" w:line="240" w:lineRule="auto"/>
        <w:jc w:val="center"/>
        <w:rPr>
          <w:b/>
        </w:rPr>
      </w:pPr>
    </w:p>
    <w:p w14:paraId="15F7F96B" w14:textId="55361FF6" w:rsidR="00AB4A81" w:rsidRDefault="00E524B6" w:rsidP="00707F8B">
      <w:pPr>
        <w:spacing w:after="0" w:line="240" w:lineRule="auto"/>
      </w:pPr>
      <w:r>
        <w:rPr>
          <w:b/>
        </w:rPr>
        <w:tab/>
      </w:r>
      <w:r>
        <w:t xml:space="preserve">The Surface Transportation Board (STB or Board) requests </w:t>
      </w:r>
      <w:r w:rsidR="00AB4A81" w:rsidRPr="00AB4A81">
        <w:t>approval of an existing collection in use without an OMB Control Number</w:t>
      </w:r>
      <w:r w:rsidR="00AB4A81">
        <w:t>.</w:t>
      </w:r>
    </w:p>
    <w:p w14:paraId="0913A5F4" w14:textId="77777777" w:rsidR="00F73B75" w:rsidRDefault="00F73B75" w:rsidP="00707F8B">
      <w:pPr>
        <w:spacing w:after="0" w:line="240" w:lineRule="auto"/>
      </w:pPr>
    </w:p>
    <w:p w14:paraId="31EB04F5" w14:textId="77777777" w:rsidR="00CC353C" w:rsidRDefault="00CC353C" w:rsidP="00707F8B">
      <w:pPr>
        <w:spacing w:after="0" w:line="240" w:lineRule="auto"/>
        <w:contextualSpacing/>
        <w:rPr>
          <w:b/>
          <w:bCs/>
          <w:u w:val="single"/>
        </w:rPr>
      </w:pPr>
      <w:r>
        <w:rPr>
          <w:b/>
          <w:bCs/>
        </w:rPr>
        <w:t xml:space="preserve">A.  </w:t>
      </w:r>
      <w:r>
        <w:rPr>
          <w:b/>
          <w:bCs/>
          <w:u w:val="single"/>
        </w:rPr>
        <w:t>Justification</w:t>
      </w:r>
      <w:r w:rsidRPr="00CC353C">
        <w:rPr>
          <w:b/>
          <w:bCs/>
        </w:rPr>
        <w:t>:</w:t>
      </w:r>
    </w:p>
    <w:p w14:paraId="2029E66D" w14:textId="77777777" w:rsidR="00CC353C" w:rsidRDefault="00CC353C" w:rsidP="00707F8B">
      <w:pPr>
        <w:spacing w:after="0" w:line="240" w:lineRule="auto"/>
      </w:pPr>
    </w:p>
    <w:p w14:paraId="6DA4C062" w14:textId="6A361EC0" w:rsidR="00703870" w:rsidRDefault="00CC353C" w:rsidP="00376869">
      <w:pPr>
        <w:pStyle w:val="Default"/>
        <w:rPr>
          <w:shd w:val="clear" w:color="auto" w:fill="FFFFFF"/>
        </w:rPr>
      </w:pPr>
      <w:r>
        <w:tab/>
      </w:r>
      <w:r w:rsidRPr="006912F6">
        <w:t xml:space="preserve">1.  </w:t>
      </w:r>
      <w:r w:rsidRPr="006912F6">
        <w:rPr>
          <w:u w:val="single"/>
        </w:rPr>
        <w:t>Need for Information in Collection</w:t>
      </w:r>
      <w:r w:rsidRPr="006912F6">
        <w:t>.</w:t>
      </w:r>
      <w:r w:rsidR="00892AF4" w:rsidRPr="006912F6">
        <w:t xml:space="preserve">  </w:t>
      </w:r>
      <w:r w:rsidR="00CB1A15">
        <w:t xml:space="preserve">Title XI of the </w:t>
      </w:r>
      <w:r w:rsidR="0032535F">
        <w:t xml:space="preserve">Fixing America’s Surface Transportation Act of 2015, </w:t>
      </w:r>
      <w:r w:rsidR="0032535F" w:rsidRPr="00217E4E">
        <w:t>P</w:t>
      </w:r>
      <w:r w:rsidR="0032535F" w:rsidRPr="00DA343D">
        <w:t xml:space="preserve">ub. </w:t>
      </w:r>
      <w:r w:rsidR="0032535F">
        <w:t>L. No. 114-94 (signed Dec. </w:t>
      </w:r>
      <w:r w:rsidR="0032535F" w:rsidRPr="003C1837">
        <w:t>4, 2015)</w:t>
      </w:r>
      <w:r w:rsidR="0032535F">
        <w:t xml:space="preserve"> (FAST Act)</w:t>
      </w:r>
      <w:r w:rsidR="00CB1A15">
        <w:t xml:space="preserve">, entitled “Passenger Rail Reform and Investment Act of 2015,” </w:t>
      </w:r>
      <w:r w:rsidR="00B421FF">
        <w:rPr>
          <w:shd w:val="clear" w:color="auto" w:fill="FFFFFF"/>
        </w:rPr>
        <w:t>adds to the Board’s existing passenger rail adjudicatory responsibilities related to the</w:t>
      </w:r>
      <w:r w:rsidR="00B421FF">
        <w:rPr>
          <w:rStyle w:val="apple-converted-space"/>
          <w:shd w:val="clear" w:color="auto" w:fill="FFFFFF"/>
        </w:rPr>
        <w:t> </w:t>
      </w:r>
      <w:r w:rsidR="00B421FF">
        <w:rPr>
          <w:shd w:val="clear" w:color="auto" w:fill="FFFFFF"/>
        </w:rPr>
        <w:t>National Railroad Passenger Corporation</w:t>
      </w:r>
      <w:r w:rsidR="00B421FF">
        <w:rPr>
          <w:rStyle w:val="apple-converted-space"/>
          <w:shd w:val="clear" w:color="auto" w:fill="FFFFFF"/>
        </w:rPr>
        <w:t> </w:t>
      </w:r>
      <w:r w:rsidR="00B421FF">
        <w:rPr>
          <w:shd w:val="clear" w:color="auto" w:fill="FFFFFF"/>
        </w:rPr>
        <w:t>(Amtrak).  Title XI gives the Board jurisdiction to resolve cost allocation and access disputes between Amtrak, the states, and potential non-Amtrak operators of intercity passenger rail service.</w:t>
      </w:r>
      <w:r w:rsidR="00703870">
        <w:rPr>
          <w:shd w:val="clear" w:color="auto" w:fill="FFFFFF"/>
        </w:rPr>
        <w:t xml:space="preserve">  </w:t>
      </w:r>
      <w:r w:rsidR="00B421FF">
        <w:rPr>
          <w:shd w:val="clear" w:color="auto" w:fill="FFFFFF"/>
        </w:rPr>
        <w:t>The FAST Act directs the Board to establish procedures for the resolution of certain of these disputes, “which may include the provision of professional mediation</w:t>
      </w:r>
      <w:r w:rsidR="00376869">
        <w:rPr>
          <w:shd w:val="clear" w:color="auto" w:fill="FFFFFF"/>
        </w:rPr>
        <w:t xml:space="preserve"> </w:t>
      </w:r>
      <w:r w:rsidR="00B421FF">
        <w:rPr>
          <w:shd w:val="clear" w:color="auto" w:fill="FFFFFF"/>
        </w:rPr>
        <w:t>services.”</w:t>
      </w:r>
      <w:r w:rsidR="00376869">
        <w:rPr>
          <w:shd w:val="clear" w:color="auto" w:fill="FFFFFF"/>
        </w:rPr>
        <w:t xml:space="preserve">  </w:t>
      </w:r>
      <w:r w:rsidR="00B421FF">
        <w:rPr>
          <w:shd w:val="clear" w:color="auto" w:fill="FFFFFF"/>
        </w:rPr>
        <w:t>49</w:t>
      </w:r>
      <w:r w:rsidR="00376869">
        <w:rPr>
          <w:shd w:val="clear" w:color="auto" w:fill="FFFFFF"/>
        </w:rPr>
        <w:t> </w:t>
      </w:r>
      <w:r w:rsidR="00B421FF">
        <w:rPr>
          <w:shd w:val="clear" w:color="auto" w:fill="FFFFFF"/>
        </w:rPr>
        <w:t>U.S.C. §</w:t>
      </w:r>
      <w:r w:rsidR="00CF1030">
        <w:rPr>
          <w:shd w:val="clear" w:color="auto" w:fill="FFFFFF"/>
        </w:rPr>
        <w:t>§</w:t>
      </w:r>
      <w:r w:rsidR="00B421FF">
        <w:rPr>
          <w:shd w:val="clear" w:color="auto" w:fill="FFFFFF"/>
        </w:rPr>
        <w:t> 24712(c)(2)</w:t>
      </w:r>
      <w:r w:rsidR="00CF1030">
        <w:rPr>
          <w:shd w:val="clear" w:color="auto" w:fill="FFFFFF"/>
        </w:rPr>
        <w:t>,</w:t>
      </w:r>
      <w:r w:rsidR="00B421FF">
        <w:rPr>
          <w:shd w:val="clear" w:color="auto" w:fill="FFFFFF"/>
        </w:rPr>
        <w:t xml:space="preserve"> 24905(c)(4). </w:t>
      </w:r>
      <w:r w:rsidR="00376869">
        <w:rPr>
          <w:shd w:val="clear" w:color="auto" w:fill="FFFFFF"/>
        </w:rPr>
        <w:t xml:space="preserve"> </w:t>
      </w:r>
      <w:r w:rsidR="002C1B56">
        <w:rPr>
          <w:shd w:val="clear" w:color="auto" w:fill="FFFFFF"/>
        </w:rPr>
        <w:t xml:space="preserve">The Board </w:t>
      </w:r>
      <w:r w:rsidR="002C1B56">
        <w:t xml:space="preserve">adopted final rules to implement these procedures in </w:t>
      </w:r>
      <w:r w:rsidR="002C1B56">
        <w:rPr>
          <w:u w:val="single"/>
        </w:rPr>
        <w:t>Dispute Resolution Procedures Under the Fixing America’s Surface Transportation Act of 2015</w:t>
      </w:r>
      <w:r w:rsidR="002C1B56">
        <w:t>, EP 734 (STB served Nov. 29, 2016).</w:t>
      </w:r>
      <w:r w:rsidR="002C1B56" w:rsidRPr="00A21401">
        <w:rPr>
          <w:rStyle w:val="FootnoteReference"/>
          <w:vertAlign w:val="superscript"/>
        </w:rPr>
        <w:footnoteReference w:id="1"/>
      </w:r>
      <w:r w:rsidR="00E44A74">
        <w:t xml:space="preserve">  The Board provides for mediation and alternative dispute resolutions at 49 C.F.R. </w:t>
      </w:r>
      <w:r w:rsidR="00E44A74">
        <w:rPr>
          <w:shd w:val="clear" w:color="auto" w:fill="FFFFFF"/>
        </w:rPr>
        <w:t>§</w:t>
      </w:r>
      <w:r w:rsidR="00E44A74">
        <w:rPr>
          <w:shd w:val="clear" w:color="auto" w:fill="FFFFFF"/>
        </w:rPr>
        <w:t xml:space="preserve"> 1109 (including the new provisions at </w:t>
      </w:r>
      <w:bookmarkStart w:id="0" w:name="_GoBack"/>
      <w:bookmarkEnd w:id="0"/>
      <w:r w:rsidR="00E44A74">
        <w:rPr>
          <w:shd w:val="clear" w:color="auto" w:fill="FFFFFF"/>
        </w:rPr>
        <w:t>§</w:t>
      </w:r>
      <w:r w:rsidR="00E44A74">
        <w:rPr>
          <w:shd w:val="clear" w:color="auto" w:fill="FFFFFF"/>
        </w:rPr>
        <w:t xml:space="preserve"> 1109.5).</w:t>
      </w:r>
    </w:p>
    <w:p w14:paraId="3B80891B" w14:textId="77777777" w:rsidR="00703870" w:rsidRPr="00B421FF" w:rsidRDefault="00703870" w:rsidP="00703870">
      <w:pPr>
        <w:spacing w:after="0" w:line="240" w:lineRule="auto"/>
        <w:rPr>
          <w:color w:val="000000"/>
          <w:shd w:val="clear" w:color="auto" w:fill="FFFFFF"/>
        </w:rPr>
      </w:pPr>
    </w:p>
    <w:p w14:paraId="288FBE9D" w14:textId="39FC60A1" w:rsidR="00094965" w:rsidRPr="00D531BC" w:rsidRDefault="00CC353C" w:rsidP="00EC6710">
      <w:pPr>
        <w:pStyle w:val="Default"/>
        <w:rPr>
          <w:shd w:val="clear" w:color="auto" w:fill="FFFFFF"/>
        </w:rPr>
      </w:pPr>
      <w:r>
        <w:tab/>
      </w:r>
      <w:r w:rsidRPr="00887B09">
        <w:t xml:space="preserve">2.  </w:t>
      </w:r>
      <w:r w:rsidRPr="00887B09">
        <w:rPr>
          <w:u w:val="single"/>
        </w:rPr>
        <w:t>Use of Data Collected</w:t>
      </w:r>
      <w:r w:rsidRPr="00887B09">
        <w:t>.</w:t>
      </w:r>
      <w:r w:rsidR="0095573B">
        <w:t xml:space="preserve">  </w:t>
      </w:r>
      <w:r w:rsidR="00D05F07">
        <w:rPr>
          <w:shd w:val="clear" w:color="auto" w:fill="FFFFFF"/>
        </w:rPr>
        <w:t xml:space="preserve">Amtrak or a State member of the State Supported Route Committee established under 49 U.S.C. 24712 may request that the Board informally assist in securing outside professional mediation services in order to resolve disputes.  </w:t>
      </w:r>
      <w:r w:rsidR="00376869">
        <w:rPr>
          <w:shd w:val="clear" w:color="auto" w:fill="FFFFFF"/>
        </w:rPr>
        <w:t>To do so, p</w:t>
      </w:r>
      <w:r w:rsidR="008A1855">
        <w:rPr>
          <w:rStyle w:val="apple-converted-space"/>
          <w:shd w:val="clear" w:color="auto" w:fill="FFFFFF"/>
        </w:rPr>
        <w:t xml:space="preserve">arties </w:t>
      </w:r>
      <w:r w:rsidR="00376869">
        <w:rPr>
          <w:rStyle w:val="apple-converted-space"/>
          <w:shd w:val="clear" w:color="auto" w:fill="FFFFFF"/>
        </w:rPr>
        <w:t xml:space="preserve">may </w:t>
      </w:r>
      <w:r w:rsidR="008A1855">
        <w:rPr>
          <w:rStyle w:val="apple-converted-space"/>
          <w:shd w:val="clear" w:color="auto" w:fill="FFFFFF"/>
        </w:rPr>
        <w:t xml:space="preserve">submit </w:t>
      </w:r>
      <w:r w:rsidR="008A1855">
        <w:rPr>
          <w:shd w:val="clear" w:color="auto" w:fill="FFFFFF"/>
        </w:rPr>
        <w:t xml:space="preserve">a </w:t>
      </w:r>
      <w:r w:rsidR="00D05F07">
        <w:rPr>
          <w:shd w:val="clear" w:color="auto" w:fill="FFFFFF"/>
        </w:rPr>
        <w:t xml:space="preserve">request </w:t>
      </w:r>
      <w:r w:rsidR="008A1855">
        <w:rPr>
          <w:shd w:val="clear" w:color="auto" w:fill="FFFFFF"/>
        </w:rPr>
        <w:t>letter</w:t>
      </w:r>
      <w:r w:rsidR="00D05F07">
        <w:rPr>
          <w:shd w:val="clear" w:color="auto" w:fill="FFFFFF"/>
        </w:rPr>
        <w:t xml:space="preserve"> to the Director of the Board’s Office of Public Assistance, Governmental Affairs, and Compliance</w:t>
      </w:r>
      <w:r w:rsidR="00390D67">
        <w:rPr>
          <w:shd w:val="clear" w:color="auto" w:fill="FFFFFF"/>
        </w:rPr>
        <w:t xml:space="preserve"> (OPAGAC)</w:t>
      </w:r>
      <w:r w:rsidR="008A1855">
        <w:rPr>
          <w:shd w:val="clear" w:color="auto" w:fill="FFFFFF"/>
        </w:rPr>
        <w:t xml:space="preserve"> with</w:t>
      </w:r>
      <w:r w:rsidR="00D05F07">
        <w:rPr>
          <w:shd w:val="clear" w:color="auto" w:fill="FFFFFF"/>
        </w:rPr>
        <w:t xml:space="preserve"> a concise description of the issues for which outside professional mediation services are sought.  </w:t>
      </w:r>
      <w:r w:rsidR="008A1855">
        <w:rPr>
          <w:shd w:val="clear" w:color="auto" w:fill="FFFFFF"/>
        </w:rPr>
        <w:t>OPAGAC</w:t>
      </w:r>
      <w:r w:rsidR="00D05F07">
        <w:rPr>
          <w:shd w:val="clear" w:color="auto" w:fill="FFFFFF"/>
        </w:rPr>
        <w:t xml:space="preserve"> </w:t>
      </w:r>
      <w:r w:rsidR="008A1855">
        <w:rPr>
          <w:shd w:val="clear" w:color="auto" w:fill="FFFFFF"/>
        </w:rPr>
        <w:t>respond</w:t>
      </w:r>
      <w:r w:rsidR="00376869">
        <w:rPr>
          <w:shd w:val="clear" w:color="auto" w:fill="FFFFFF"/>
        </w:rPr>
        <w:t>s</w:t>
      </w:r>
      <w:r w:rsidR="008A1855">
        <w:rPr>
          <w:shd w:val="clear" w:color="auto" w:fill="FFFFFF"/>
        </w:rPr>
        <w:t xml:space="preserve"> to the request </w:t>
      </w:r>
      <w:r w:rsidR="00D05F07">
        <w:rPr>
          <w:shd w:val="clear" w:color="auto" w:fill="FFFFFF"/>
        </w:rPr>
        <w:t>within 14 days</w:t>
      </w:r>
      <w:r w:rsidR="00C5709F">
        <w:rPr>
          <w:shd w:val="clear" w:color="auto" w:fill="FFFFFF"/>
        </w:rPr>
        <w:t>.</w:t>
      </w:r>
    </w:p>
    <w:p w14:paraId="48C1C95B" w14:textId="77777777" w:rsidR="00F15B89" w:rsidRDefault="00F15B89" w:rsidP="00707F8B">
      <w:pPr>
        <w:spacing w:after="0" w:line="240" w:lineRule="auto"/>
      </w:pPr>
    </w:p>
    <w:p w14:paraId="4D56905C" w14:textId="03837C39" w:rsidR="00FA652B" w:rsidRDefault="00CC353C" w:rsidP="00D63765">
      <w:pPr>
        <w:pStyle w:val="Default"/>
        <w:ind w:firstLine="720"/>
      </w:pPr>
      <w:r>
        <w:t xml:space="preserve">3.  </w:t>
      </w:r>
      <w:r>
        <w:rPr>
          <w:u w:val="single"/>
        </w:rPr>
        <w:t>Reduction through Improved Technology</w:t>
      </w:r>
      <w:r>
        <w:t>.</w:t>
      </w:r>
      <w:r w:rsidR="00B46CB8">
        <w:t xml:space="preserve">  </w:t>
      </w:r>
      <w:r w:rsidR="00D63765">
        <w:rPr>
          <w:sz w:val="23"/>
          <w:szCs w:val="23"/>
        </w:rPr>
        <w:t>Filings may be submitted electronically to the Board.</w:t>
      </w:r>
    </w:p>
    <w:p w14:paraId="0CECED45" w14:textId="77777777" w:rsidR="00F15B89" w:rsidRDefault="00F15B89" w:rsidP="00707F8B">
      <w:pPr>
        <w:spacing w:after="0" w:line="240" w:lineRule="auto"/>
        <w:ind w:firstLine="720"/>
        <w:contextualSpacing/>
      </w:pPr>
    </w:p>
    <w:p w14:paraId="78572D5B" w14:textId="6A9E4084" w:rsidR="00CC353C" w:rsidRPr="00BA6DFC" w:rsidRDefault="00CC353C" w:rsidP="00BA6DFC">
      <w:pPr>
        <w:pStyle w:val="Default"/>
        <w:ind w:firstLine="720"/>
      </w:pPr>
      <w:r w:rsidRPr="00BA6DFC">
        <w:t xml:space="preserve">4.  </w:t>
      </w:r>
      <w:r w:rsidRPr="00BA6DFC">
        <w:rPr>
          <w:u w:val="single"/>
        </w:rPr>
        <w:t>Identification of Duplication</w:t>
      </w:r>
      <w:r w:rsidRPr="00BA6DFC">
        <w:t>.</w:t>
      </w:r>
      <w:r w:rsidR="00707F8B" w:rsidRPr="00BA6DFC">
        <w:t xml:space="preserve">  </w:t>
      </w:r>
      <w:r w:rsidR="00707F8B" w:rsidRPr="00BA6DFC">
        <w:rPr>
          <w:sz w:val="23"/>
          <w:szCs w:val="23"/>
        </w:rPr>
        <w:t>No other Federal agency co</w:t>
      </w:r>
      <w:r w:rsidR="00BA6DFC" w:rsidRPr="00BA6DFC">
        <w:rPr>
          <w:sz w:val="23"/>
          <w:szCs w:val="23"/>
        </w:rPr>
        <w:t>llects the information</w:t>
      </w:r>
      <w:r w:rsidR="00707F8B" w:rsidRPr="00BA6DFC">
        <w:rPr>
          <w:sz w:val="23"/>
          <w:szCs w:val="23"/>
        </w:rPr>
        <w:t xml:space="preserve">, nor is this information available from any other source. </w:t>
      </w:r>
      <w:r w:rsidR="008A5673" w:rsidRPr="00BA6DFC">
        <w:t xml:space="preserve">  </w:t>
      </w:r>
    </w:p>
    <w:p w14:paraId="4373EC3A" w14:textId="77777777" w:rsidR="00CC353C" w:rsidRDefault="00CC353C" w:rsidP="00707F8B">
      <w:pPr>
        <w:spacing w:after="0" w:line="240" w:lineRule="auto"/>
        <w:ind w:firstLine="720"/>
        <w:contextualSpacing/>
      </w:pPr>
    </w:p>
    <w:p w14:paraId="474774DD" w14:textId="47544D1C" w:rsidR="00435676" w:rsidRDefault="00CC353C" w:rsidP="0023134D">
      <w:pPr>
        <w:pStyle w:val="Default"/>
        <w:ind w:firstLine="720"/>
      </w:pPr>
      <w:r>
        <w:t>5</w:t>
      </w:r>
      <w:r w:rsidRPr="00F71A30">
        <w:t xml:space="preserve">.  </w:t>
      </w:r>
      <w:r w:rsidRPr="00F71A30">
        <w:rPr>
          <w:u w:val="single"/>
        </w:rPr>
        <w:t>Minimizing Burden for Small Businesses</w:t>
      </w:r>
      <w:r w:rsidRPr="00F71A30">
        <w:t>.</w:t>
      </w:r>
      <w:r w:rsidR="003B646C" w:rsidRPr="00F71A30">
        <w:t xml:space="preserve">  </w:t>
      </w:r>
      <w:r w:rsidR="0023134D" w:rsidRPr="00F71A30">
        <w:t>The new regulations do not mandate or circumscribe the conduct of small entities.</w:t>
      </w:r>
    </w:p>
    <w:p w14:paraId="43466FC0" w14:textId="77777777" w:rsidR="00CC353C" w:rsidRDefault="00CC353C" w:rsidP="00707F8B">
      <w:pPr>
        <w:spacing w:after="0" w:line="240" w:lineRule="auto"/>
        <w:ind w:firstLine="720"/>
      </w:pPr>
    </w:p>
    <w:p w14:paraId="4516D1A4" w14:textId="11F6F60A" w:rsidR="00435676" w:rsidRDefault="00CC353C" w:rsidP="00EA62FB">
      <w:pPr>
        <w:spacing w:after="0" w:line="240" w:lineRule="auto"/>
        <w:ind w:firstLine="720"/>
        <w:contextualSpacing/>
      </w:pPr>
      <w:r w:rsidRPr="00EA62FB">
        <w:t xml:space="preserve">6.  </w:t>
      </w:r>
      <w:r w:rsidRPr="00EA62FB">
        <w:rPr>
          <w:u w:val="single"/>
        </w:rPr>
        <w:t xml:space="preserve">Consequences if Collection </w:t>
      </w:r>
      <w:r w:rsidR="00596DF2" w:rsidRPr="00EA62FB">
        <w:rPr>
          <w:u w:val="single"/>
        </w:rPr>
        <w:t>Not</w:t>
      </w:r>
      <w:r w:rsidRPr="00EA62FB">
        <w:rPr>
          <w:u w:val="single"/>
        </w:rPr>
        <w:t xml:space="preserve"> Conducted or Conducted Less Frequently</w:t>
      </w:r>
      <w:r w:rsidRPr="00EA62FB">
        <w:t>.</w:t>
      </w:r>
      <w:r w:rsidR="00C175D6">
        <w:t xml:space="preserve"> </w:t>
      </w:r>
      <w:r w:rsidR="00115284">
        <w:t xml:space="preserve"> Without the </w:t>
      </w:r>
      <w:r w:rsidR="009A68F5">
        <w:t>collection,</w:t>
      </w:r>
      <w:r w:rsidR="00115284">
        <w:t xml:space="preserve"> </w:t>
      </w:r>
      <w:r w:rsidR="004A16A6">
        <w:t xml:space="preserve">the Board </w:t>
      </w:r>
      <w:r w:rsidR="00A633D1">
        <w:t xml:space="preserve">will not be able to </w:t>
      </w:r>
      <w:r w:rsidR="00FE12B6">
        <w:t xml:space="preserve">assist parties in </w:t>
      </w:r>
      <w:r w:rsidR="00EA62FB" w:rsidRPr="00EA62FB">
        <w:t>securing outside professional mediation services</w:t>
      </w:r>
      <w:r w:rsidR="00376869">
        <w:t xml:space="preserve"> and fulfill its statutory duty</w:t>
      </w:r>
      <w:r w:rsidR="00EA62FB">
        <w:t>.</w:t>
      </w:r>
    </w:p>
    <w:p w14:paraId="473C7DA2" w14:textId="77777777" w:rsidR="00E85720" w:rsidRDefault="00E85720" w:rsidP="00707F8B">
      <w:pPr>
        <w:spacing w:after="0" w:line="240" w:lineRule="auto"/>
        <w:ind w:firstLine="720"/>
        <w:contextualSpacing/>
      </w:pPr>
    </w:p>
    <w:p w14:paraId="76AC9C6C" w14:textId="6DE77C75" w:rsidR="00CC353C" w:rsidRDefault="00CC353C" w:rsidP="00B17791">
      <w:pPr>
        <w:spacing w:after="0" w:line="240" w:lineRule="auto"/>
        <w:ind w:firstLine="720"/>
        <w:contextualSpacing/>
      </w:pPr>
      <w:r>
        <w:t xml:space="preserve">7.  </w:t>
      </w:r>
      <w:r w:rsidRPr="00FC4786">
        <w:rPr>
          <w:u w:val="single"/>
        </w:rPr>
        <w:t xml:space="preserve">Special </w:t>
      </w:r>
      <w:r>
        <w:rPr>
          <w:u w:val="single"/>
        </w:rPr>
        <w:t>C</w:t>
      </w:r>
      <w:r w:rsidRPr="00FC4786">
        <w:rPr>
          <w:u w:val="single"/>
        </w:rPr>
        <w:t>ircumstances</w:t>
      </w:r>
      <w:r>
        <w:t>.</w:t>
      </w:r>
      <w:r w:rsidR="00B17791">
        <w:t xml:space="preserve">  </w:t>
      </w:r>
      <w:r w:rsidR="003B646C">
        <w:rPr>
          <w:sz w:val="23"/>
          <w:szCs w:val="23"/>
        </w:rPr>
        <w:t xml:space="preserve">No special circumstances apply to this collection. </w:t>
      </w:r>
      <w:r>
        <w:t xml:space="preserve">  </w:t>
      </w:r>
    </w:p>
    <w:p w14:paraId="56F9CB07" w14:textId="77777777" w:rsidR="00CC353C" w:rsidRDefault="00CC353C" w:rsidP="00707F8B">
      <w:pPr>
        <w:spacing w:after="0" w:line="240" w:lineRule="auto"/>
        <w:ind w:firstLine="720"/>
        <w:contextualSpacing/>
      </w:pPr>
    </w:p>
    <w:p w14:paraId="47EEA5AE" w14:textId="4732BFE7" w:rsidR="00CC353C" w:rsidRPr="00207035" w:rsidRDefault="00CC353C" w:rsidP="00A86E21">
      <w:pPr>
        <w:spacing w:after="0" w:line="240" w:lineRule="auto"/>
        <w:ind w:firstLine="720"/>
        <w:contextualSpacing/>
      </w:pPr>
      <w:r w:rsidRPr="000E5DA8">
        <w:t xml:space="preserve">8.  </w:t>
      </w:r>
      <w:r w:rsidRPr="000E5DA8">
        <w:rPr>
          <w:u w:val="single"/>
        </w:rPr>
        <w:t>Consultation with Outside Agency</w:t>
      </w:r>
      <w:r w:rsidRPr="000E5DA8">
        <w:t>.</w:t>
      </w:r>
      <w:r w:rsidR="001F4A21">
        <w:t xml:space="preserve">  </w:t>
      </w:r>
      <w:r w:rsidR="00207035">
        <w:t xml:space="preserve">The Board published a notice in the Federal Register, providing a 60-day comment period regarding this collection. </w:t>
      </w:r>
      <w:r w:rsidR="00FA652D">
        <w:t xml:space="preserve"> </w:t>
      </w:r>
      <w:r w:rsidR="00207035" w:rsidRPr="00953026">
        <w:rPr>
          <w:u w:val="single"/>
        </w:rPr>
        <w:t>See</w:t>
      </w:r>
      <w:r w:rsidR="008D45E1" w:rsidRPr="00953026">
        <w:t xml:space="preserve"> </w:t>
      </w:r>
      <w:r w:rsidR="00D465AD">
        <w:t>82</w:t>
      </w:r>
      <w:r w:rsidR="008D45E1" w:rsidRPr="00953026">
        <w:t xml:space="preserve"> Fed. Reg. </w:t>
      </w:r>
      <w:r w:rsidR="00D465AD">
        <w:t>1421</w:t>
      </w:r>
      <w:r w:rsidR="008D45E1" w:rsidRPr="00953026">
        <w:t xml:space="preserve"> (J</w:t>
      </w:r>
      <w:r w:rsidR="00D465AD">
        <w:t>an. 5, 2017</w:t>
      </w:r>
      <w:r w:rsidR="008D45E1" w:rsidRPr="00953026">
        <w:t>).</w:t>
      </w:r>
      <w:r w:rsidR="008D45E1">
        <w:t xml:space="preserve">  No comments were submitted.  A 30-day notice was published concurrently with </w:t>
      </w:r>
      <w:r w:rsidR="008D45E1" w:rsidRPr="008C2AE0">
        <w:t xml:space="preserve">this submission to </w:t>
      </w:r>
      <w:r w:rsidR="008D45E1" w:rsidRPr="008C2AE0">
        <w:rPr>
          <w:rFonts w:cs="Shruti"/>
        </w:rPr>
        <w:t>Office of Management and Budget (OMB</w:t>
      </w:r>
      <w:r w:rsidR="00AC44C7" w:rsidRPr="008C2AE0">
        <w:rPr>
          <w:rFonts w:cs="Shruti"/>
        </w:rPr>
        <w:t>)</w:t>
      </w:r>
      <w:r w:rsidR="00AC44C7" w:rsidRPr="008C2AE0">
        <w:t xml:space="preserve">.  </w:t>
      </w:r>
      <w:r w:rsidR="00AC44C7" w:rsidRPr="008C2AE0">
        <w:rPr>
          <w:u w:val="single"/>
        </w:rPr>
        <w:t>See</w:t>
      </w:r>
      <w:r w:rsidR="00AC44C7" w:rsidRPr="008C2AE0">
        <w:t xml:space="preserve"> </w:t>
      </w:r>
      <w:r w:rsidR="00AC44C7" w:rsidRPr="00E97064">
        <w:t>8</w:t>
      </w:r>
      <w:r w:rsidR="00AC44C7">
        <w:t>2</w:t>
      </w:r>
      <w:r w:rsidR="00AC44C7" w:rsidRPr="00E97064">
        <w:t xml:space="preserve"> Fed. Reg. </w:t>
      </w:r>
      <w:r w:rsidR="00AC44C7">
        <w:t>15781</w:t>
      </w:r>
      <w:r w:rsidR="00AC44C7" w:rsidRPr="00E97064">
        <w:t xml:space="preserve"> (Mar. </w:t>
      </w:r>
      <w:r w:rsidR="00AC44C7">
        <w:t>30</w:t>
      </w:r>
      <w:r w:rsidR="00AC44C7" w:rsidRPr="00E97064">
        <w:t>, 2017).</w:t>
      </w:r>
    </w:p>
    <w:p w14:paraId="2956F1C2" w14:textId="77777777" w:rsidR="00CC353C" w:rsidRDefault="00CC353C" w:rsidP="00707F8B">
      <w:pPr>
        <w:spacing w:after="0" w:line="240" w:lineRule="auto"/>
        <w:ind w:firstLine="720"/>
        <w:contextualSpacing/>
      </w:pPr>
    </w:p>
    <w:p w14:paraId="07856863" w14:textId="77777777" w:rsidR="00331DDE" w:rsidRDefault="00CC353C" w:rsidP="00707F8B">
      <w:pPr>
        <w:spacing w:after="0" w:line="240" w:lineRule="auto"/>
        <w:ind w:firstLine="720"/>
        <w:contextualSpacing/>
      </w:pPr>
      <w:r>
        <w:t xml:space="preserve">9.  </w:t>
      </w:r>
      <w:r>
        <w:rPr>
          <w:u w:val="single"/>
        </w:rPr>
        <w:t>Payments or</w:t>
      </w:r>
      <w:r w:rsidRPr="00FC4786">
        <w:rPr>
          <w:u w:val="single"/>
        </w:rPr>
        <w:t xml:space="preserve"> </w:t>
      </w:r>
      <w:r>
        <w:rPr>
          <w:u w:val="single"/>
        </w:rPr>
        <w:t>G</w:t>
      </w:r>
      <w:r w:rsidRPr="00FC4786">
        <w:rPr>
          <w:u w:val="single"/>
        </w:rPr>
        <w:t>ifts</w:t>
      </w:r>
      <w:r>
        <w:t xml:space="preserve">.  </w:t>
      </w:r>
      <w:r w:rsidR="00331DDE">
        <w:t>The Board does not provide any payment or gifts for this collection.</w:t>
      </w:r>
    </w:p>
    <w:p w14:paraId="24024754" w14:textId="77777777" w:rsidR="005B44A8" w:rsidRDefault="005B44A8" w:rsidP="00707F8B">
      <w:pPr>
        <w:spacing w:after="0" w:line="240" w:lineRule="auto"/>
        <w:ind w:firstLine="720"/>
        <w:contextualSpacing/>
      </w:pPr>
    </w:p>
    <w:p w14:paraId="5FED8057" w14:textId="296D82C8" w:rsidR="00435676" w:rsidRDefault="00CC353C" w:rsidP="00707F8B">
      <w:pPr>
        <w:spacing w:after="0" w:line="240" w:lineRule="auto"/>
        <w:ind w:firstLine="720"/>
        <w:contextualSpacing/>
      </w:pPr>
      <w:r w:rsidRPr="00D552AA">
        <w:t xml:space="preserve">10.  </w:t>
      </w:r>
      <w:r w:rsidRPr="00002CAA">
        <w:rPr>
          <w:u w:val="single"/>
        </w:rPr>
        <w:t>Assurance of Confidentiality</w:t>
      </w:r>
      <w:r w:rsidRPr="00002CAA">
        <w:t xml:space="preserve">.  </w:t>
      </w:r>
      <w:r w:rsidR="00002CAA" w:rsidRPr="00002CAA">
        <w:t>There</w:t>
      </w:r>
      <w:r w:rsidR="00002CAA">
        <w:t xml:space="preserve"> are no plans to publish the letters requesting assistance unless the party includes the letter in a formal filing.</w:t>
      </w:r>
    </w:p>
    <w:p w14:paraId="22F4145C" w14:textId="45F7E7AB" w:rsidR="00CC353C" w:rsidRDefault="00CC353C" w:rsidP="00745360">
      <w:pPr>
        <w:spacing w:after="0" w:line="240" w:lineRule="auto"/>
        <w:contextualSpacing/>
      </w:pPr>
    </w:p>
    <w:p w14:paraId="08BDCF70" w14:textId="77777777" w:rsidR="00CC353C" w:rsidRDefault="00CC353C" w:rsidP="00707F8B">
      <w:pPr>
        <w:spacing w:after="0" w:line="240" w:lineRule="auto"/>
        <w:ind w:firstLine="720"/>
        <w:contextualSpacing/>
      </w:pPr>
      <w:r w:rsidRPr="00AE5EA4">
        <w:t xml:space="preserve">11.  </w:t>
      </w:r>
      <w:r w:rsidRPr="00AE5EA4">
        <w:rPr>
          <w:u w:val="single"/>
        </w:rPr>
        <w:t>Sensitive Information</w:t>
      </w:r>
      <w:r w:rsidRPr="00AE5EA4">
        <w:t>.</w:t>
      </w:r>
      <w:r w:rsidR="003B646C" w:rsidRPr="00AE5EA4">
        <w:t xml:space="preserve">  </w:t>
      </w:r>
      <w:r w:rsidR="003B646C" w:rsidRPr="00AE5EA4">
        <w:rPr>
          <w:sz w:val="23"/>
          <w:szCs w:val="23"/>
        </w:rPr>
        <w:t>This</w:t>
      </w:r>
      <w:r w:rsidR="003B646C">
        <w:rPr>
          <w:sz w:val="23"/>
          <w:szCs w:val="23"/>
        </w:rPr>
        <w:t xml:space="preserve"> collection contains no information of a sensitive nature. </w:t>
      </w:r>
      <w:r w:rsidR="005B44A8">
        <w:t xml:space="preserve">  </w:t>
      </w:r>
      <w:r>
        <w:t xml:space="preserve"> </w:t>
      </w:r>
    </w:p>
    <w:p w14:paraId="74CBB022" w14:textId="77777777" w:rsidR="00CC353C" w:rsidRDefault="00CC353C" w:rsidP="00707F8B">
      <w:pPr>
        <w:spacing w:after="0" w:line="240" w:lineRule="auto"/>
        <w:ind w:firstLine="720"/>
        <w:contextualSpacing/>
      </w:pPr>
    </w:p>
    <w:p w14:paraId="45310E40" w14:textId="77777777" w:rsidR="00CC353C" w:rsidRDefault="00CC353C" w:rsidP="00707F8B">
      <w:pPr>
        <w:spacing w:after="0" w:line="240" w:lineRule="auto"/>
        <w:ind w:firstLine="720"/>
        <w:contextualSpacing/>
      </w:pPr>
      <w:r w:rsidRPr="0024129B">
        <w:t xml:space="preserve">12.  </w:t>
      </w:r>
      <w:r w:rsidRPr="0024129B">
        <w:rPr>
          <w:u w:val="single"/>
        </w:rPr>
        <w:t>Estimated Burden Hours</w:t>
      </w:r>
      <w:r w:rsidRPr="0024129B">
        <w:t>.</w:t>
      </w:r>
      <w:r w:rsidR="00E215D1" w:rsidRPr="0024129B">
        <w:t xml:space="preserve">  The</w:t>
      </w:r>
      <w:r w:rsidR="00E215D1">
        <w:t xml:space="preserve"> following information pertains to the estimate of burden hours associated with this collection:  </w:t>
      </w:r>
      <w:r>
        <w:t xml:space="preserve">  </w:t>
      </w:r>
    </w:p>
    <w:p w14:paraId="05FC7782" w14:textId="77777777" w:rsidR="00CC353C" w:rsidRDefault="00CC353C" w:rsidP="00707F8B">
      <w:pPr>
        <w:spacing w:after="0" w:line="240" w:lineRule="auto"/>
        <w:ind w:firstLine="720"/>
        <w:contextualSpacing/>
      </w:pPr>
    </w:p>
    <w:p w14:paraId="418169ED" w14:textId="32D7A675" w:rsidR="00CC353C" w:rsidRDefault="00CC353C" w:rsidP="00707F8B">
      <w:pPr>
        <w:spacing w:after="0" w:line="240" w:lineRule="auto"/>
        <w:ind w:left="720" w:firstLine="720"/>
        <w:contextualSpacing/>
      </w:pPr>
      <w:r>
        <w:t xml:space="preserve">(1)  </w:t>
      </w:r>
      <w:r>
        <w:rPr>
          <w:u w:val="single"/>
        </w:rPr>
        <w:t>Number of respondents</w:t>
      </w:r>
      <w:r>
        <w:t>.</w:t>
      </w:r>
      <w:r w:rsidR="00DA52B1">
        <w:t xml:space="preserve">  </w:t>
      </w:r>
      <w:r w:rsidR="000E1152">
        <w:t>Approximately three</w:t>
      </w:r>
    </w:p>
    <w:p w14:paraId="1CC98FAD" w14:textId="77777777" w:rsidR="00CC353C" w:rsidRDefault="00CC353C" w:rsidP="00707F8B">
      <w:pPr>
        <w:spacing w:after="0" w:line="240" w:lineRule="auto"/>
        <w:ind w:firstLine="720"/>
        <w:contextualSpacing/>
      </w:pPr>
    </w:p>
    <w:p w14:paraId="2683D4BE" w14:textId="45D2D62F" w:rsidR="00435676" w:rsidRDefault="00CC353C" w:rsidP="00B80F6D">
      <w:pPr>
        <w:spacing w:after="0" w:line="240" w:lineRule="auto"/>
        <w:ind w:firstLine="720"/>
        <w:contextualSpacing/>
      </w:pPr>
      <w:r>
        <w:tab/>
        <w:t xml:space="preserve">(2)  </w:t>
      </w:r>
      <w:r>
        <w:rPr>
          <w:u w:val="single"/>
        </w:rPr>
        <w:t>Frequency of response</w:t>
      </w:r>
      <w:r>
        <w:t>.</w:t>
      </w:r>
      <w:r w:rsidR="00376869">
        <w:t xml:space="preserve">  On occasion</w:t>
      </w:r>
    </w:p>
    <w:p w14:paraId="5189DCB9" w14:textId="65BB5C51" w:rsidR="00CC353C" w:rsidRDefault="00CC353C" w:rsidP="008B68BA">
      <w:pPr>
        <w:spacing w:after="0" w:line="240" w:lineRule="auto"/>
        <w:contextualSpacing/>
      </w:pPr>
    </w:p>
    <w:p w14:paraId="03D3929A" w14:textId="08B2E93A" w:rsidR="00435676" w:rsidRDefault="00CC353C" w:rsidP="00707F8B">
      <w:pPr>
        <w:spacing w:after="0" w:line="240" w:lineRule="auto"/>
        <w:ind w:firstLine="720"/>
        <w:contextualSpacing/>
      </w:pPr>
      <w:r>
        <w:tab/>
        <w:t xml:space="preserve">(3)  </w:t>
      </w:r>
      <w:r>
        <w:rPr>
          <w:u w:val="single"/>
        </w:rPr>
        <w:t xml:space="preserve">Annual hour burden per respondent </w:t>
      </w:r>
      <w:r w:rsidRPr="002834B2">
        <w:rPr>
          <w:u w:val="single"/>
        </w:rPr>
        <w:t>and total for all respondents</w:t>
      </w:r>
      <w:r w:rsidRPr="00CC353C">
        <w:t>.</w:t>
      </w:r>
      <w:r w:rsidR="00305C47">
        <w:t xml:space="preserve">  </w:t>
      </w:r>
      <w:r w:rsidR="004D7185" w:rsidRPr="004D7185">
        <w:t>3 (estimated hours per response (1) x</w:t>
      </w:r>
      <w:r w:rsidR="00376869">
        <w:t xml:space="preserve"> total number of responses (3))</w:t>
      </w:r>
    </w:p>
    <w:p w14:paraId="166B2451" w14:textId="77777777" w:rsidR="00435676" w:rsidRDefault="00435676" w:rsidP="00435676">
      <w:pPr>
        <w:spacing w:after="0" w:line="240" w:lineRule="auto"/>
        <w:contextualSpacing/>
      </w:pPr>
    </w:p>
    <w:p w14:paraId="32F72E3A" w14:textId="694F27A8" w:rsidR="00435676" w:rsidRDefault="00CC353C" w:rsidP="00707F8B">
      <w:pPr>
        <w:spacing w:after="0" w:line="240" w:lineRule="auto"/>
        <w:ind w:firstLine="720"/>
        <w:contextualSpacing/>
      </w:pPr>
      <w:r w:rsidRPr="002A2D92">
        <w:t xml:space="preserve">13.  </w:t>
      </w:r>
      <w:r w:rsidRPr="002A2D92">
        <w:rPr>
          <w:u w:val="single"/>
        </w:rPr>
        <w:t>Estimated Total Annual Cost to Respondents</w:t>
      </w:r>
      <w:r w:rsidRPr="002A2D92">
        <w:t>.</w:t>
      </w:r>
      <w:r w:rsidR="008165B2" w:rsidRPr="002A2D92">
        <w:t xml:space="preserve">  </w:t>
      </w:r>
      <w:r w:rsidR="002A2D92" w:rsidRPr="002A2D92">
        <w:rPr>
          <w:color w:val="000000"/>
        </w:rPr>
        <w:t>None identified</w:t>
      </w:r>
      <w:r w:rsidR="002A2D92">
        <w:rPr>
          <w:color w:val="000000"/>
        </w:rPr>
        <w:t>.  Filings may be submitted electronically to the Board.</w:t>
      </w:r>
      <w:r w:rsidR="00B80F6D">
        <w:t xml:space="preserve">  </w:t>
      </w:r>
    </w:p>
    <w:p w14:paraId="35B80EA6" w14:textId="77777777" w:rsidR="00435676" w:rsidRDefault="00435676" w:rsidP="00435676">
      <w:pPr>
        <w:spacing w:after="0" w:line="240" w:lineRule="auto"/>
        <w:contextualSpacing/>
      </w:pPr>
    </w:p>
    <w:p w14:paraId="632F06EE" w14:textId="2BC489FF" w:rsidR="00CC353C" w:rsidRPr="00376869" w:rsidRDefault="00CC353C" w:rsidP="003B4854">
      <w:pPr>
        <w:spacing w:after="0" w:line="240" w:lineRule="auto"/>
        <w:ind w:firstLine="720"/>
        <w:contextualSpacing/>
      </w:pPr>
      <w:r w:rsidRPr="00376869">
        <w:t xml:space="preserve">14.  </w:t>
      </w:r>
      <w:r w:rsidRPr="00376869">
        <w:rPr>
          <w:u w:val="single"/>
        </w:rPr>
        <w:t>Annualized Cost to the Federal Government</w:t>
      </w:r>
      <w:r w:rsidRPr="00376869">
        <w:t>.</w:t>
      </w:r>
      <w:r w:rsidR="00B233CD" w:rsidRPr="00376869">
        <w:t xml:space="preserve">  </w:t>
      </w:r>
      <w:r w:rsidR="00B233CD" w:rsidRPr="000E1152">
        <w:rPr>
          <w:sz w:val="23"/>
          <w:szCs w:val="23"/>
        </w:rPr>
        <w:t xml:space="preserve">We estimate that annually it takes </w:t>
      </w:r>
      <w:r w:rsidR="000E1152">
        <w:rPr>
          <w:sz w:val="23"/>
          <w:szCs w:val="23"/>
        </w:rPr>
        <w:t>48</w:t>
      </w:r>
      <w:r w:rsidR="00B233CD" w:rsidRPr="000E1152">
        <w:rPr>
          <w:sz w:val="23"/>
          <w:szCs w:val="23"/>
        </w:rPr>
        <w:t xml:space="preserve"> hours (GS 14/10 hou</w:t>
      </w:r>
      <w:r w:rsidR="00D40F7A">
        <w:rPr>
          <w:sz w:val="23"/>
          <w:szCs w:val="23"/>
        </w:rPr>
        <w:t>rly rate with benefits of $90.46</w:t>
      </w:r>
      <w:r w:rsidR="003B4854">
        <w:rPr>
          <w:sz w:val="23"/>
          <w:szCs w:val="23"/>
        </w:rPr>
        <w:t>) to handle three requests for assistance per year,</w:t>
      </w:r>
      <w:r w:rsidR="00B233CD" w:rsidRPr="000E1152">
        <w:rPr>
          <w:sz w:val="23"/>
          <w:szCs w:val="23"/>
        </w:rPr>
        <w:t xml:space="preserve"> resulting in a total cost to the Bo</w:t>
      </w:r>
      <w:r w:rsidR="00C12A18" w:rsidRPr="000E1152">
        <w:rPr>
          <w:sz w:val="23"/>
          <w:szCs w:val="23"/>
        </w:rPr>
        <w:t>ard of $</w:t>
      </w:r>
      <w:r w:rsidR="003B4854">
        <w:rPr>
          <w:sz w:val="23"/>
          <w:szCs w:val="23"/>
        </w:rPr>
        <w:t>4,3</w:t>
      </w:r>
      <w:r w:rsidR="00D40F7A">
        <w:rPr>
          <w:sz w:val="23"/>
          <w:szCs w:val="23"/>
        </w:rPr>
        <w:t>42</w:t>
      </w:r>
      <w:r w:rsidR="003B4854">
        <w:rPr>
          <w:sz w:val="23"/>
          <w:szCs w:val="23"/>
        </w:rPr>
        <w:t>.</w:t>
      </w:r>
      <w:r w:rsidR="00D40F7A">
        <w:rPr>
          <w:sz w:val="23"/>
          <w:szCs w:val="23"/>
        </w:rPr>
        <w:t>0</w:t>
      </w:r>
      <w:r w:rsidR="003B4854">
        <w:rPr>
          <w:sz w:val="23"/>
          <w:szCs w:val="23"/>
        </w:rPr>
        <w:t>8.</w:t>
      </w:r>
    </w:p>
    <w:p w14:paraId="1E29BED1" w14:textId="77777777" w:rsidR="003607DC" w:rsidRDefault="003607DC" w:rsidP="00707F8B">
      <w:pPr>
        <w:spacing w:after="0" w:line="240" w:lineRule="auto"/>
        <w:ind w:firstLine="720"/>
        <w:contextualSpacing/>
      </w:pPr>
    </w:p>
    <w:p w14:paraId="428A100C" w14:textId="13334FEE" w:rsidR="00CC353C" w:rsidRDefault="00CC353C" w:rsidP="00B2450C">
      <w:pPr>
        <w:spacing w:after="0" w:line="240" w:lineRule="auto"/>
        <w:ind w:firstLine="720"/>
        <w:contextualSpacing/>
      </w:pPr>
      <w:r>
        <w:t xml:space="preserve">15.  </w:t>
      </w:r>
      <w:r>
        <w:rPr>
          <w:u w:val="single"/>
        </w:rPr>
        <w:t>Explanation of Program Changes or Adjustments</w:t>
      </w:r>
      <w:r w:rsidRPr="00987157">
        <w:t>.</w:t>
      </w:r>
      <w:r w:rsidR="00B2450C">
        <w:t xml:space="preserve">  </w:t>
      </w:r>
      <w:r w:rsidR="00987157" w:rsidRPr="00987157">
        <w:t xml:space="preserve">This is </w:t>
      </w:r>
      <w:r w:rsidR="00F26DBD">
        <w:t xml:space="preserve">a recently created </w:t>
      </w:r>
      <w:r w:rsidR="00987157" w:rsidRPr="00987157">
        <w:t>collection</w:t>
      </w:r>
      <w:r w:rsidR="00C35351">
        <w:t xml:space="preserve"> without </w:t>
      </w:r>
      <w:r w:rsidR="009F3D09">
        <w:t>a control number.</w:t>
      </w:r>
    </w:p>
    <w:p w14:paraId="45967812" w14:textId="77777777" w:rsidR="00CC353C" w:rsidRDefault="00CC353C" w:rsidP="00707F8B">
      <w:pPr>
        <w:spacing w:after="0" w:line="240" w:lineRule="auto"/>
        <w:ind w:firstLine="720"/>
        <w:contextualSpacing/>
      </w:pPr>
    </w:p>
    <w:p w14:paraId="48F73FA8" w14:textId="26128FEA" w:rsidR="00435676" w:rsidRDefault="00CC353C" w:rsidP="00707F8B">
      <w:pPr>
        <w:spacing w:after="0" w:line="240" w:lineRule="auto"/>
        <w:ind w:firstLine="720"/>
        <w:contextualSpacing/>
      </w:pPr>
      <w:r w:rsidRPr="002E5B10">
        <w:t xml:space="preserve">16.  </w:t>
      </w:r>
      <w:r w:rsidRPr="002E5B10">
        <w:rPr>
          <w:u w:val="single"/>
        </w:rPr>
        <w:t>Plans for tabulation and publication</w:t>
      </w:r>
      <w:r w:rsidRPr="002E5B10">
        <w:t>.</w:t>
      </w:r>
      <w:r w:rsidR="003268FA">
        <w:t xml:space="preserve">  </w:t>
      </w:r>
      <w:r w:rsidR="00E1407C">
        <w:t xml:space="preserve">There are no plans to </w:t>
      </w:r>
      <w:r w:rsidR="00682FCA">
        <w:t xml:space="preserve">publish the letters requesting assistance unless </w:t>
      </w:r>
      <w:r w:rsidR="000015AF">
        <w:t xml:space="preserve">the party includes </w:t>
      </w:r>
      <w:r w:rsidR="00AB007A">
        <w:t>the letter in a formal filing.</w:t>
      </w:r>
    </w:p>
    <w:p w14:paraId="02285930" w14:textId="20589193" w:rsidR="00CC353C" w:rsidRDefault="00CC353C" w:rsidP="0052092B">
      <w:pPr>
        <w:spacing w:after="0" w:line="240" w:lineRule="auto"/>
        <w:contextualSpacing/>
      </w:pPr>
    </w:p>
    <w:p w14:paraId="60F237AA" w14:textId="55596BFE" w:rsidR="00CA2B94" w:rsidRDefault="00CC353C" w:rsidP="00B8331E">
      <w:pPr>
        <w:spacing w:after="0" w:line="240" w:lineRule="auto"/>
        <w:ind w:firstLine="720"/>
        <w:contextualSpacing/>
      </w:pPr>
      <w:r>
        <w:t xml:space="preserve">17.  </w:t>
      </w:r>
      <w:r w:rsidRPr="00347493">
        <w:rPr>
          <w:u w:val="single"/>
        </w:rPr>
        <w:t>Display of expiration date for OMB approval</w:t>
      </w:r>
      <w:r w:rsidRPr="00347493">
        <w:t xml:space="preserve">.  </w:t>
      </w:r>
      <w:r w:rsidR="00CA2B94">
        <w:t xml:space="preserve">No form is used for this collection.  Once the collection is approved, the Board will display the control number and expiration date of </w:t>
      </w:r>
      <w:r w:rsidR="00CA2B94">
        <w:lastRenderedPageBreak/>
        <w:t xml:space="preserve">the collection by publishing a special notice in the Federal Register stating the control number and expiration date of the collection as provided in 5 C.F.R. </w:t>
      </w:r>
      <w:r w:rsidR="00CA2B94" w:rsidRPr="00FB3866">
        <w:t>§ 1320.3(f)(3).</w:t>
      </w:r>
    </w:p>
    <w:p w14:paraId="474E5B90" w14:textId="77777777" w:rsidR="00CC353C" w:rsidRDefault="00CC353C" w:rsidP="00707F8B">
      <w:pPr>
        <w:spacing w:after="0" w:line="240" w:lineRule="auto"/>
        <w:ind w:firstLine="720"/>
        <w:contextualSpacing/>
      </w:pPr>
    </w:p>
    <w:p w14:paraId="241B75E3" w14:textId="77777777" w:rsidR="00CC353C" w:rsidRDefault="00CC353C" w:rsidP="00707F8B">
      <w:pPr>
        <w:spacing w:after="0" w:line="240" w:lineRule="auto"/>
        <w:ind w:firstLine="720"/>
        <w:contextualSpacing/>
      </w:pPr>
      <w:r>
        <w:t xml:space="preserve">18.  </w:t>
      </w:r>
      <w:r w:rsidRPr="002C248B">
        <w:rPr>
          <w:u w:val="single"/>
        </w:rPr>
        <w:t>Exceptions to Certification Statement</w:t>
      </w:r>
      <w:r>
        <w:t>.</w:t>
      </w:r>
      <w:r w:rsidR="0076231B">
        <w:t xml:space="preserve">  Not applicable.</w:t>
      </w:r>
      <w:r>
        <w:t xml:space="preserve">  </w:t>
      </w:r>
    </w:p>
    <w:p w14:paraId="4C863F62" w14:textId="77777777" w:rsidR="00CC353C" w:rsidRDefault="00CC353C" w:rsidP="00707F8B">
      <w:pPr>
        <w:spacing w:after="0" w:line="240" w:lineRule="auto"/>
        <w:ind w:firstLine="720"/>
        <w:contextualSpacing/>
      </w:pPr>
    </w:p>
    <w:p w14:paraId="553A7C1A" w14:textId="77777777" w:rsidR="00CC353C" w:rsidRPr="00726250" w:rsidRDefault="00CC353C" w:rsidP="00707F8B">
      <w:pPr>
        <w:spacing w:after="0" w:line="240" w:lineRule="auto"/>
        <w:contextualSpacing/>
        <w:rPr>
          <w:b/>
          <w:bCs/>
          <w:u w:val="single"/>
        </w:rPr>
      </w:pPr>
      <w:r>
        <w:rPr>
          <w:b/>
          <w:bCs/>
        </w:rPr>
        <w:t xml:space="preserve">B.  </w:t>
      </w:r>
      <w:r w:rsidRPr="00726250">
        <w:rPr>
          <w:b/>
          <w:bCs/>
          <w:u w:val="single"/>
        </w:rPr>
        <w:t>Collections of Information Employing Statistical Methods</w:t>
      </w:r>
      <w:r>
        <w:rPr>
          <w:b/>
          <w:bCs/>
        </w:rPr>
        <w:t>:</w:t>
      </w:r>
    </w:p>
    <w:p w14:paraId="3FB7C1B2" w14:textId="77777777" w:rsidR="00CC353C" w:rsidRDefault="00CC353C" w:rsidP="00707F8B">
      <w:pPr>
        <w:spacing w:after="0" w:line="240" w:lineRule="auto"/>
        <w:contextualSpacing/>
      </w:pPr>
    </w:p>
    <w:p w14:paraId="078E91C0" w14:textId="77777777" w:rsidR="00CC353C" w:rsidRDefault="0076231B" w:rsidP="00707F8B">
      <w:pPr>
        <w:spacing w:after="0" w:line="240" w:lineRule="auto"/>
        <w:ind w:firstLine="720"/>
        <w:contextualSpacing/>
      </w:pPr>
      <w:r>
        <w:t>Not applicable.</w:t>
      </w:r>
    </w:p>
    <w:p w14:paraId="037A1C30" w14:textId="77777777" w:rsidR="00CC353C" w:rsidRPr="00CC353C" w:rsidRDefault="00CC353C" w:rsidP="00707F8B">
      <w:pPr>
        <w:spacing w:after="0" w:line="240" w:lineRule="auto"/>
        <w:ind w:firstLine="720"/>
        <w:contextualSpacing/>
      </w:pPr>
    </w:p>
    <w:p w14:paraId="7E982211" w14:textId="77777777" w:rsidR="00CC353C" w:rsidRPr="00E524B6" w:rsidRDefault="00CC353C" w:rsidP="00707F8B">
      <w:pPr>
        <w:spacing w:after="0" w:line="240" w:lineRule="auto"/>
      </w:pPr>
    </w:p>
    <w:sectPr w:rsidR="00CC353C" w:rsidRPr="00E524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D072F" w14:textId="77777777" w:rsidR="002C1B56" w:rsidRDefault="002C1B56" w:rsidP="002C1B56">
      <w:pPr>
        <w:spacing w:after="0" w:line="240" w:lineRule="auto"/>
      </w:pPr>
      <w:r>
        <w:separator/>
      </w:r>
    </w:p>
  </w:endnote>
  <w:endnote w:type="continuationSeparator" w:id="0">
    <w:p w14:paraId="5BAD5D75" w14:textId="77777777" w:rsidR="002C1B56" w:rsidRDefault="002C1B56" w:rsidP="002C1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08B07" w14:textId="77777777" w:rsidR="002C1B56" w:rsidRDefault="002C1B56" w:rsidP="002C1B56">
      <w:pPr>
        <w:spacing w:after="0" w:line="240" w:lineRule="auto"/>
      </w:pPr>
      <w:r>
        <w:separator/>
      </w:r>
    </w:p>
  </w:footnote>
  <w:footnote w:type="continuationSeparator" w:id="0">
    <w:p w14:paraId="08E57948" w14:textId="77777777" w:rsidR="002C1B56" w:rsidRDefault="002C1B56" w:rsidP="002C1B56">
      <w:pPr>
        <w:spacing w:after="0" w:line="240" w:lineRule="auto"/>
      </w:pPr>
      <w:r>
        <w:continuationSeparator/>
      </w:r>
    </w:p>
  </w:footnote>
  <w:footnote w:id="1">
    <w:p w14:paraId="53EF5B35" w14:textId="068B5FC5" w:rsidR="002C1B56" w:rsidRDefault="002C1B56" w:rsidP="002C1B56">
      <w:pPr>
        <w:pStyle w:val="FootnoteText"/>
      </w:pPr>
      <w:r w:rsidRPr="00FD435E">
        <w:rPr>
          <w:rStyle w:val="FootnoteReference"/>
          <w:vertAlign w:val="superscript"/>
        </w:rPr>
        <w:footnoteRef/>
      </w:r>
      <w:r>
        <w:t xml:space="preserve">  </w:t>
      </w:r>
      <w:r w:rsidRPr="00097ED9">
        <w:rPr>
          <w:szCs w:val="24"/>
        </w:rPr>
        <w:t xml:space="preserve">Due to a technical omission in the </w:t>
      </w:r>
      <w:r>
        <w:rPr>
          <w:szCs w:val="24"/>
        </w:rPr>
        <w:t>notice of proposed rulemaking in EP 734</w:t>
      </w:r>
      <w:r w:rsidRPr="00097ED9">
        <w:rPr>
          <w:szCs w:val="24"/>
        </w:rPr>
        <w:t xml:space="preserve"> under the PRA, the Board </w:t>
      </w:r>
      <w:r>
        <w:rPr>
          <w:szCs w:val="24"/>
        </w:rPr>
        <w:t>is seeking OMB approval for this collection in this</w:t>
      </w:r>
      <w:r w:rsidRPr="00097ED9">
        <w:rPr>
          <w:szCs w:val="24"/>
        </w:rPr>
        <w:t xml:space="preserve"> notice. </w:t>
      </w:r>
      <w:r>
        <w:rPr>
          <w:szCs w:val="24"/>
        </w:rPr>
        <w:t xml:space="preserve"> </w:t>
      </w:r>
      <w:r w:rsidRPr="00097ED9">
        <w:rPr>
          <w:szCs w:val="24"/>
        </w:rPr>
        <w:t>Any comments received by the Board from th</w:t>
      </w:r>
      <w:r>
        <w:rPr>
          <w:szCs w:val="24"/>
        </w:rPr>
        <w:t>is</w:t>
      </w:r>
      <w:r w:rsidRPr="00097ED9">
        <w:rPr>
          <w:szCs w:val="24"/>
        </w:rPr>
        <w:t xml:space="preserve"> notice will be forwarded to OMB for its review and </w:t>
      </w:r>
      <w:r>
        <w:rPr>
          <w:szCs w:val="24"/>
        </w:rPr>
        <w:t xml:space="preserve">will be posted </w:t>
      </w:r>
      <w:r w:rsidR="00D02C51">
        <w:rPr>
          <w:szCs w:val="24"/>
        </w:rPr>
        <w:t xml:space="preserve">on the Board’s website </w:t>
      </w:r>
      <w:r>
        <w:rPr>
          <w:szCs w:val="24"/>
        </w:rPr>
        <w:t>under the docket in EP 734.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EB"/>
    <w:rsid w:val="000015AF"/>
    <w:rsid w:val="00002CAA"/>
    <w:rsid w:val="00004B87"/>
    <w:rsid w:val="00027C71"/>
    <w:rsid w:val="000406C6"/>
    <w:rsid w:val="00090A24"/>
    <w:rsid w:val="00094965"/>
    <w:rsid w:val="00094FDF"/>
    <w:rsid w:val="000B0EE1"/>
    <w:rsid w:val="000C0807"/>
    <w:rsid w:val="000C3D07"/>
    <w:rsid w:val="000E1152"/>
    <w:rsid w:val="000E5DA8"/>
    <w:rsid w:val="000F0D37"/>
    <w:rsid w:val="00115284"/>
    <w:rsid w:val="00141019"/>
    <w:rsid w:val="00165D81"/>
    <w:rsid w:val="001F4A21"/>
    <w:rsid w:val="00201F75"/>
    <w:rsid w:val="00207035"/>
    <w:rsid w:val="0023134D"/>
    <w:rsid w:val="0024129B"/>
    <w:rsid w:val="00247A98"/>
    <w:rsid w:val="002549C9"/>
    <w:rsid w:val="002761E4"/>
    <w:rsid w:val="002A2D92"/>
    <w:rsid w:val="002A4FE2"/>
    <w:rsid w:val="002C1B56"/>
    <w:rsid w:val="002D6CE2"/>
    <w:rsid w:val="002D7470"/>
    <w:rsid w:val="002E44E1"/>
    <w:rsid w:val="002E5B10"/>
    <w:rsid w:val="00305C47"/>
    <w:rsid w:val="00323D85"/>
    <w:rsid w:val="0032535F"/>
    <w:rsid w:val="003268FA"/>
    <w:rsid w:val="00330F86"/>
    <w:rsid w:val="00331DDE"/>
    <w:rsid w:val="00355A40"/>
    <w:rsid w:val="003607DC"/>
    <w:rsid w:val="00376869"/>
    <w:rsid w:val="00390D67"/>
    <w:rsid w:val="00391622"/>
    <w:rsid w:val="003958E6"/>
    <w:rsid w:val="003A74B8"/>
    <w:rsid w:val="003B28AF"/>
    <w:rsid w:val="003B4854"/>
    <w:rsid w:val="003B646C"/>
    <w:rsid w:val="003C114D"/>
    <w:rsid w:val="003E165A"/>
    <w:rsid w:val="003E3370"/>
    <w:rsid w:val="00407D60"/>
    <w:rsid w:val="00435676"/>
    <w:rsid w:val="0044259E"/>
    <w:rsid w:val="0049705C"/>
    <w:rsid w:val="004A16A6"/>
    <w:rsid w:val="004B0EC1"/>
    <w:rsid w:val="004D7185"/>
    <w:rsid w:val="004E0230"/>
    <w:rsid w:val="00511848"/>
    <w:rsid w:val="00515564"/>
    <w:rsid w:val="0052092B"/>
    <w:rsid w:val="005217C7"/>
    <w:rsid w:val="00522176"/>
    <w:rsid w:val="00551F3F"/>
    <w:rsid w:val="00552D45"/>
    <w:rsid w:val="0057045C"/>
    <w:rsid w:val="00596DF2"/>
    <w:rsid w:val="005A418C"/>
    <w:rsid w:val="005B44A8"/>
    <w:rsid w:val="005B702A"/>
    <w:rsid w:val="005D5F0D"/>
    <w:rsid w:val="005E6919"/>
    <w:rsid w:val="006035F5"/>
    <w:rsid w:val="0060782F"/>
    <w:rsid w:val="00623329"/>
    <w:rsid w:val="00682FCA"/>
    <w:rsid w:val="006912F6"/>
    <w:rsid w:val="006C3E76"/>
    <w:rsid w:val="006C7D66"/>
    <w:rsid w:val="006F4FA8"/>
    <w:rsid w:val="00703870"/>
    <w:rsid w:val="0070596E"/>
    <w:rsid w:val="00707F8B"/>
    <w:rsid w:val="00717B1E"/>
    <w:rsid w:val="00740C71"/>
    <w:rsid w:val="00745360"/>
    <w:rsid w:val="00751534"/>
    <w:rsid w:val="007518A0"/>
    <w:rsid w:val="007552EE"/>
    <w:rsid w:val="007566AD"/>
    <w:rsid w:val="0076231B"/>
    <w:rsid w:val="00766A09"/>
    <w:rsid w:val="00766E50"/>
    <w:rsid w:val="0078111C"/>
    <w:rsid w:val="007C2236"/>
    <w:rsid w:val="007F1559"/>
    <w:rsid w:val="00800C47"/>
    <w:rsid w:val="008165B2"/>
    <w:rsid w:val="00855B5B"/>
    <w:rsid w:val="008674E0"/>
    <w:rsid w:val="00887B09"/>
    <w:rsid w:val="00892AF4"/>
    <w:rsid w:val="008A1855"/>
    <w:rsid w:val="008A5673"/>
    <w:rsid w:val="008B21BE"/>
    <w:rsid w:val="008B68BA"/>
    <w:rsid w:val="008C2AE0"/>
    <w:rsid w:val="008D45E1"/>
    <w:rsid w:val="00953026"/>
    <w:rsid w:val="0095420F"/>
    <w:rsid w:val="0095573B"/>
    <w:rsid w:val="00956967"/>
    <w:rsid w:val="009703EB"/>
    <w:rsid w:val="00971E06"/>
    <w:rsid w:val="00981025"/>
    <w:rsid w:val="00981677"/>
    <w:rsid w:val="00986E5D"/>
    <w:rsid w:val="00987157"/>
    <w:rsid w:val="009A68F5"/>
    <w:rsid w:val="009A6CCC"/>
    <w:rsid w:val="009B213D"/>
    <w:rsid w:val="009B6A3C"/>
    <w:rsid w:val="009B6D43"/>
    <w:rsid w:val="009B7FBC"/>
    <w:rsid w:val="009C1BEF"/>
    <w:rsid w:val="009C6CB3"/>
    <w:rsid w:val="009F3D09"/>
    <w:rsid w:val="00A04DA0"/>
    <w:rsid w:val="00A13D74"/>
    <w:rsid w:val="00A2762B"/>
    <w:rsid w:val="00A408D7"/>
    <w:rsid w:val="00A43FC7"/>
    <w:rsid w:val="00A50B71"/>
    <w:rsid w:val="00A52681"/>
    <w:rsid w:val="00A633D1"/>
    <w:rsid w:val="00A70B03"/>
    <w:rsid w:val="00A831EF"/>
    <w:rsid w:val="00A86E21"/>
    <w:rsid w:val="00AB007A"/>
    <w:rsid w:val="00AB4A81"/>
    <w:rsid w:val="00AC44C7"/>
    <w:rsid w:val="00AE5EA4"/>
    <w:rsid w:val="00B03F22"/>
    <w:rsid w:val="00B079AE"/>
    <w:rsid w:val="00B17791"/>
    <w:rsid w:val="00B233CD"/>
    <w:rsid w:val="00B2450C"/>
    <w:rsid w:val="00B421FF"/>
    <w:rsid w:val="00B46CB8"/>
    <w:rsid w:val="00B75BE2"/>
    <w:rsid w:val="00B774C0"/>
    <w:rsid w:val="00B80F6D"/>
    <w:rsid w:val="00B82E8B"/>
    <w:rsid w:val="00B8331E"/>
    <w:rsid w:val="00BA35DC"/>
    <w:rsid w:val="00BA6DFC"/>
    <w:rsid w:val="00BD0DDE"/>
    <w:rsid w:val="00BE3CED"/>
    <w:rsid w:val="00BE441C"/>
    <w:rsid w:val="00BE5BCD"/>
    <w:rsid w:val="00BE6651"/>
    <w:rsid w:val="00C07ED9"/>
    <w:rsid w:val="00C12A18"/>
    <w:rsid w:val="00C175D6"/>
    <w:rsid w:val="00C316A0"/>
    <w:rsid w:val="00C35351"/>
    <w:rsid w:val="00C5709F"/>
    <w:rsid w:val="00C70F52"/>
    <w:rsid w:val="00C8318E"/>
    <w:rsid w:val="00CA2B94"/>
    <w:rsid w:val="00CB1A15"/>
    <w:rsid w:val="00CB2E00"/>
    <w:rsid w:val="00CC353C"/>
    <w:rsid w:val="00CD32F1"/>
    <w:rsid w:val="00CD79F4"/>
    <w:rsid w:val="00CF1030"/>
    <w:rsid w:val="00D02C51"/>
    <w:rsid w:val="00D05F07"/>
    <w:rsid w:val="00D0600F"/>
    <w:rsid w:val="00D20BBB"/>
    <w:rsid w:val="00D329E2"/>
    <w:rsid w:val="00D40F7A"/>
    <w:rsid w:val="00D465AD"/>
    <w:rsid w:val="00D531BC"/>
    <w:rsid w:val="00D57404"/>
    <w:rsid w:val="00D63765"/>
    <w:rsid w:val="00D74FA5"/>
    <w:rsid w:val="00D76F25"/>
    <w:rsid w:val="00D976AE"/>
    <w:rsid w:val="00D979D5"/>
    <w:rsid w:val="00DA52B1"/>
    <w:rsid w:val="00DA64C9"/>
    <w:rsid w:val="00DD6110"/>
    <w:rsid w:val="00DF5B59"/>
    <w:rsid w:val="00E1407C"/>
    <w:rsid w:val="00E215D1"/>
    <w:rsid w:val="00E31235"/>
    <w:rsid w:val="00E373E0"/>
    <w:rsid w:val="00E410F2"/>
    <w:rsid w:val="00E44A74"/>
    <w:rsid w:val="00E524B6"/>
    <w:rsid w:val="00E536C0"/>
    <w:rsid w:val="00E85720"/>
    <w:rsid w:val="00EA4FE4"/>
    <w:rsid w:val="00EA5734"/>
    <w:rsid w:val="00EA62FB"/>
    <w:rsid w:val="00EC6710"/>
    <w:rsid w:val="00ED093D"/>
    <w:rsid w:val="00EF2AAA"/>
    <w:rsid w:val="00F00EFE"/>
    <w:rsid w:val="00F15B89"/>
    <w:rsid w:val="00F26DBD"/>
    <w:rsid w:val="00F314E1"/>
    <w:rsid w:val="00F414B0"/>
    <w:rsid w:val="00F7015B"/>
    <w:rsid w:val="00F71A30"/>
    <w:rsid w:val="00F73B75"/>
    <w:rsid w:val="00F74763"/>
    <w:rsid w:val="00FA652B"/>
    <w:rsid w:val="00FA652D"/>
    <w:rsid w:val="00FB6C07"/>
    <w:rsid w:val="00FE12B6"/>
    <w:rsid w:val="00FE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4FA3"/>
  <w15:docId w15:val="{7493CBFB-4DEA-4D39-A5E2-A1D1AA42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AF4"/>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F00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EFE"/>
    <w:rPr>
      <w:rFonts w:ascii="Segoe UI" w:hAnsi="Segoe UI" w:cs="Segoe UI"/>
      <w:sz w:val="18"/>
      <w:szCs w:val="18"/>
    </w:rPr>
  </w:style>
  <w:style w:type="character" w:customStyle="1" w:styleId="apple-converted-space">
    <w:name w:val="apple-converted-space"/>
    <w:basedOn w:val="DefaultParagraphFont"/>
    <w:rsid w:val="00B421FF"/>
  </w:style>
  <w:style w:type="character" w:styleId="FootnoteReference">
    <w:name w:val="footnote reference"/>
    <w:semiHidden/>
    <w:rsid w:val="002C1B56"/>
  </w:style>
  <w:style w:type="paragraph" w:styleId="FootnoteText">
    <w:name w:val="footnote text"/>
    <w:basedOn w:val="Normal"/>
    <w:link w:val="FootnoteTextChar"/>
    <w:rsid w:val="002C1B56"/>
    <w:pPr>
      <w:spacing w:after="120" w:line="240" w:lineRule="auto"/>
      <w:ind w:firstLine="720"/>
    </w:pPr>
    <w:rPr>
      <w:rFonts w:eastAsia="Times New Roman"/>
      <w:szCs w:val="20"/>
    </w:rPr>
  </w:style>
  <w:style w:type="character" w:customStyle="1" w:styleId="FootnoteTextChar">
    <w:name w:val="Footnote Text Char"/>
    <w:basedOn w:val="DefaultParagraphFont"/>
    <w:link w:val="FootnoteText"/>
    <w:rsid w:val="002C1B56"/>
    <w:rPr>
      <w:rFonts w:eastAsia="Times New Roman"/>
      <w:szCs w:val="20"/>
    </w:rPr>
  </w:style>
  <w:style w:type="character" w:styleId="CommentReference">
    <w:name w:val="annotation reference"/>
    <w:basedOn w:val="DefaultParagraphFont"/>
    <w:uiPriority w:val="99"/>
    <w:semiHidden/>
    <w:unhideWhenUsed/>
    <w:rsid w:val="00CF1030"/>
    <w:rPr>
      <w:sz w:val="16"/>
      <w:szCs w:val="16"/>
    </w:rPr>
  </w:style>
  <w:style w:type="paragraph" w:styleId="CommentText">
    <w:name w:val="annotation text"/>
    <w:basedOn w:val="Normal"/>
    <w:link w:val="CommentTextChar"/>
    <w:uiPriority w:val="99"/>
    <w:semiHidden/>
    <w:unhideWhenUsed/>
    <w:rsid w:val="00CF1030"/>
    <w:pPr>
      <w:spacing w:line="240" w:lineRule="auto"/>
    </w:pPr>
    <w:rPr>
      <w:sz w:val="20"/>
      <w:szCs w:val="20"/>
    </w:rPr>
  </w:style>
  <w:style w:type="character" w:customStyle="1" w:styleId="CommentTextChar">
    <w:name w:val="Comment Text Char"/>
    <w:basedOn w:val="DefaultParagraphFont"/>
    <w:link w:val="CommentText"/>
    <w:uiPriority w:val="99"/>
    <w:semiHidden/>
    <w:rsid w:val="00CF1030"/>
    <w:rPr>
      <w:sz w:val="20"/>
      <w:szCs w:val="20"/>
    </w:rPr>
  </w:style>
  <w:style w:type="paragraph" w:styleId="CommentSubject">
    <w:name w:val="annotation subject"/>
    <w:basedOn w:val="CommentText"/>
    <w:next w:val="CommentText"/>
    <w:link w:val="CommentSubjectChar"/>
    <w:uiPriority w:val="99"/>
    <w:semiHidden/>
    <w:unhideWhenUsed/>
    <w:rsid w:val="00CF1030"/>
    <w:rPr>
      <w:b/>
      <w:bCs/>
    </w:rPr>
  </w:style>
  <w:style w:type="character" w:customStyle="1" w:styleId="CommentSubjectChar">
    <w:name w:val="Comment Subject Char"/>
    <w:basedOn w:val="CommentTextChar"/>
    <w:link w:val="CommentSubject"/>
    <w:uiPriority w:val="99"/>
    <w:semiHidden/>
    <w:rsid w:val="00CF10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09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chranE\AppData\Roaming\Microsoft\Templates\OMB%20Control%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Control Number.dotx</Template>
  <TotalTime>1</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Surface Transportation Board</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Cochran</dc:creator>
  <cp:lastModifiedBy>Oehrle, Christopher</cp:lastModifiedBy>
  <cp:revision>3</cp:revision>
  <cp:lastPrinted>2016-09-20T20:50:00Z</cp:lastPrinted>
  <dcterms:created xsi:type="dcterms:W3CDTF">2017-03-30T18:27:00Z</dcterms:created>
  <dcterms:modified xsi:type="dcterms:W3CDTF">2017-03-30T18:28:00Z</dcterms:modified>
</cp:coreProperties>
</file>