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2ADCA" w14:textId="77777777" w:rsidR="00495E16" w:rsidRDefault="00495E16" w:rsidP="001B7421">
      <w:pPr>
        <w:jc w:val="center"/>
        <w:rPr>
          <w:b/>
        </w:rPr>
      </w:pPr>
      <w:bookmarkStart w:id="0" w:name="_GoBack"/>
      <w:bookmarkEnd w:id="0"/>
    </w:p>
    <w:p w14:paraId="3F23984F" w14:textId="4F908D89" w:rsidR="00881E8F" w:rsidRDefault="001B7421" w:rsidP="001B7421">
      <w:pPr>
        <w:jc w:val="center"/>
        <w:rPr>
          <w:b/>
        </w:rPr>
      </w:pPr>
      <w:r w:rsidRPr="00BC1613">
        <w:rPr>
          <w:b/>
        </w:rPr>
        <w:t xml:space="preserve">Supporting Statement for a Request for OMB Review under </w:t>
      </w:r>
    </w:p>
    <w:p w14:paraId="44D1CBE0" w14:textId="5396E923" w:rsidR="001B7421" w:rsidRPr="00BC1613" w:rsidRDefault="001B7421" w:rsidP="001B7421">
      <w:pPr>
        <w:jc w:val="center"/>
      </w:pPr>
      <w:r w:rsidRPr="00BC1613">
        <w:rPr>
          <w:b/>
        </w:rPr>
        <w:t>The Paperwork Reduction Act</w:t>
      </w:r>
    </w:p>
    <w:p w14:paraId="3F873CCC" w14:textId="540B72AF" w:rsidR="001B7421" w:rsidRDefault="001B7421">
      <w:pPr>
        <w:spacing w:line="288" w:lineRule="auto"/>
        <w:jc w:val="center"/>
      </w:pPr>
    </w:p>
    <w:p w14:paraId="563B83B5" w14:textId="0C818683" w:rsidR="000E01E7" w:rsidRPr="00BC1613" w:rsidRDefault="000E01E7">
      <w:pPr>
        <w:spacing w:line="288" w:lineRule="auto"/>
        <w:jc w:val="center"/>
      </w:pPr>
      <w:r>
        <w:t>PART A</w:t>
      </w:r>
    </w:p>
    <w:p w14:paraId="3E0EB8F6" w14:textId="77777777" w:rsidR="001B7421" w:rsidRPr="00BC1613" w:rsidRDefault="001B7421">
      <w:pPr>
        <w:jc w:val="center"/>
        <w:rPr>
          <w:b/>
          <w:bCs/>
        </w:rPr>
      </w:pPr>
    </w:p>
    <w:p w14:paraId="55DA8A1C" w14:textId="77777777" w:rsidR="001B7421" w:rsidRPr="00BC1613" w:rsidRDefault="001B7421">
      <w:pPr>
        <w:pStyle w:val="Heading1"/>
      </w:pPr>
      <w:bookmarkStart w:id="1" w:name="_Toc227390368"/>
      <w:bookmarkStart w:id="2" w:name="_Toc453944838"/>
      <w:r w:rsidRPr="00BC1613">
        <w:t>1</w:t>
      </w:r>
      <w:r w:rsidRPr="00BC1613">
        <w:tab/>
        <w:t>IDENTIFICATION OF THE INFORMATION COLLECTION</w:t>
      </w:r>
      <w:bookmarkEnd w:id="1"/>
      <w:bookmarkEnd w:id="2"/>
    </w:p>
    <w:p w14:paraId="3BF13EB8" w14:textId="77777777" w:rsidR="001B7421" w:rsidRPr="00BC1613" w:rsidRDefault="001B7421">
      <w:pPr>
        <w:jc w:val="both"/>
        <w:rPr>
          <w:b/>
          <w:bCs/>
        </w:rPr>
      </w:pPr>
    </w:p>
    <w:p w14:paraId="30FFFDEC" w14:textId="46B30116" w:rsidR="001B7421" w:rsidRPr="00BC1613" w:rsidRDefault="001B7421">
      <w:pPr>
        <w:pStyle w:val="Heading2"/>
        <w:ind w:left="1440" w:hanging="720"/>
        <w:jc w:val="left"/>
        <w:rPr>
          <w:sz w:val="24"/>
          <w:szCs w:val="24"/>
        </w:rPr>
      </w:pPr>
      <w:bookmarkStart w:id="3" w:name="_Toc227390369"/>
      <w:bookmarkStart w:id="4" w:name="_Toc453944839"/>
      <w:r w:rsidRPr="00BC1613">
        <w:rPr>
          <w:sz w:val="24"/>
          <w:szCs w:val="24"/>
        </w:rPr>
        <w:t>1(a)</w:t>
      </w:r>
      <w:r w:rsidRPr="00BC1613">
        <w:rPr>
          <w:sz w:val="24"/>
          <w:szCs w:val="24"/>
        </w:rPr>
        <w:tab/>
      </w:r>
      <w:bookmarkEnd w:id="3"/>
      <w:bookmarkEnd w:id="4"/>
      <w:r w:rsidR="005954F4" w:rsidRPr="005954F4">
        <w:rPr>
          <w:sz w:val="24"/>
          <w:szCs w:val="24"/>
        </w:rPr>
        <w:t>Title and Number of the Information Collection</w:t>
      </w:r>
    </w:p>
    <w:p w14:paraId="67BD21D8" w14:textId="77777777" w:rsidR="008559BE" w:rsidRPr="00BC1613" w:rsidRDefault="008559BE" w:rsidP="001B7421">
      <w:pPr>
        <w:ind w:left="720"/>
        <w:rPr>
          <w:b/>
        </w:rPr>
      </w:pPr>
    </w:p>
    <w:p w14:paraId="5DC856E0" w14:textId="6CED1759" w:rsidR="001B7421" w:rsidRPr="00BC1613" w:rsidRDefault="005954F4" w:rsidP="00BC1613">
      <w:pPr>
        <w:ind w:left="720" w:firstLine="720"/>
        <w:rPr>
          <w:b/>
        </w:rPr>
      </w:pPr>
      <w:r>
        <w:rPr>
          <w:b/>
        </w:rPr>
        <w:t xml:space="preserve">Title: </w:t>
      </w:r>
      <w:r w:rsidR="008D4C79" w:rsidRPr="00BC1613">
        <w:rPr>
          <w:b/>
        </w:rPr>
        <w:t>Safer Choice</w:t>
      </w:r>
      <w:r w:rsidR="001B7421" w:rsidRPr="00BC1613">
        <w:rPr>
          <w:b/>
        </w:rPr>
        <w:t xml:space="preserve"> </w:t>
      </w:r>
      <w:r w:rsidR="0018784E">
        <w:rPr>
          <w:b/>
        </w:rPr>
        <w:t>Logo Redesign</w:t>
      </w:r>
      <w:r w:rsidR="00D12B74" w:rsidRPr="00BC1613">
        <w:rPr>
          <w:b/>
        </w:rPr>
        <w:t xml:space="preserve"> </w:t>
      </w:r>
      <w:r w:rsidR="00B836A8" w:rsidRPr="00BC1613">
        <w:rPr>
          <w:b/>
        </w:rPr>
        <w:t>Consultations</w:t>
      </w:r>
    </w:p>
    <w:p w14:paraId="69B9AF6E" w14:textId="77777777" w:rsidR="008559BE" w:rsidRPr="00BC1613" w:rsidRDefault="008559BE" w:rsidP="001B7421">
      <w:pPr>
        <w:ind w:firstLine="720"/>
        <w:rPr>
          <w:b/>
        </w:rPr>
      </w:pPr>
    </w:p>
    <w:p w14:paraId="138C09EC" w14:textId="6171CC04" w:rsidR="001B7421" w:rsidRPr="00BC1613" w:rsidRDefault="001B7421" w:rsidP="00BC1613">
      <w:pPr>
        <w:ind w:left="720" w:firstLine="720"/>
        <w:rPr>
          <w:b/>
        </w:rPr>
      </w:pPr>
      <w:r w:rsidRPr="00BC1613">
        <w:rPr>
          <w:b/>
        </w:rPr>
        <w:t>EPA ICR No.</w:t>
      </w:r>
      <w:r w:rsidR="005954F4">
        <w:rPr>
          <w:b/>
        </w:rPr>
        <w:t xml:space="preserve">:  </w:t>
      </w:r>
      <w:r w:rsidRPr="00BC1613">
        <w:rPr>
          <w:b/>
        </w:rPr>
        <w:t xml:space="preserve"> 2</w:t>
      </w:r>
      <w:r w:rsidR="00D10834">
        <w:rPr>
          <w:b/>
        </w:rPr>
        <w:t>487</w:t>
      </w:r>
      <w:r w:rsidRPr="00BC1613">
        <w:rPr>
          <w:b/>
        </w:rPr>
        <w:t>.0</w:t>
      </w:r>
      <w:r w:rsidR="00BC1613" w:rsidRPr="00BC1613">
        <w:rPr>
          <w:b/>
        </w:rPr>
        <w:t>2</w:t>
      </w:r>
      <w:r w:rsidR="00BC1613">
        <w:rPr>
          <w:b/>
        </w:rPr>
        <w:t xml:space="preserve">   </w:t>
      </w:r>
      <w:r w:rsidR="005954F4">
        <w:rPr>
          <w:b/>
        </w:rPr>
        <w:tab/>
      </w:r>
      <w:r w:rsidRPr="00BC1613">
        <w:rPr>
          <w:b/>
        </w:rPr>
        <w:t>OMB Control No.</w:t>
      </w:r>
      <w:r w:rsidR="005954F4">
        <w:rPr>
          <w:b/>
        </w:rPr>
        <w:t xml:space="preserve">:  </w:t>
      </w:r>
      <w:r w:rsidRPr="00BC1613">
        <w:rPr>
          <w:b/>
        </w:rPr>
        <w:t xml:space="preserve"> 2070-</w:t>
      </w:r>
      <w:r w:rsidR="00BC1613" w:rsidRPr="00BC1613">
        <w:rPr>
          <w:b/>
        </w:rPr>
        <w:t>0189</w:t>
      </w:r>
    </w:p>
    <w:p w14:paraId="1A4E4EF4" w14:textId="77777777" w:rsidR="00BC1613" w:rsidRPr="00BC1613" w:rsidRDefault="00BC1613" w:rsidP="00BC1613">
      <w:pPr>
        <w:ind w:left="720" w:firstLine="720"/>
        <w:rPr>
          <w:b/>
        </w:rPr>
      </w:pPr>
    </w:p>
    <w:p w14:paraId="49379B17" w14:textId="108D8EF6" w:rsidR="00BC1613" w:rsidRPr="00BC1613" w:rsidRDefault="00BC1613" w:rsidP="00BC1613">
      <w:pPr>
        <w:ind w:left="720" w:firstLine="720"/>
        <w:rPr>
          <w:b/>
        </w:rPr>
      </w:pPr>
      <w:r w:rsidRPr="00BC1613">
        <w:rPr>
          <w:b/>
        </w:rPr>
        <w:t xml:space="preserve">EPA Docket ID No.: </w:t>
      </w:r>
      <w:r w:rsidR="005954F4">
        <w:rPr>
          <w:b/>
        </w:rPr>
        <w:t xml:space="preserve">  </w:t>
      </w:r>
      <w:r w:rsidRPr="00BC1613">
        <w:rPr>
          <w:b/>
        </w:rPr>
        <w:t>EPA-HQ-2016-0111</w:t>
      </w:r>
    </w:p>
    <w:p w14:paraId="7E6558FB" w14:textId="77777777" w:rsidR="008559BE" w:rsidRPr="00BC1613" w:rsidRDefault="008559BE" w:rsidP="008559BE">
      <w:pPr>
        <w:ind w:firstLine="720"/>
        <w:rPr>
          <w:b/>
        </w:rPr>
      </w:pPr>
    </w:p>
    <w:p w14:paraId="11138282" w14:textId="77777777" w:rsidR="001B7421" w:rsidRPr="00BC1613" w:rsidRDefault="001B7421">
      <w:pPr>
        <w:pStyle w:val="Heading2"/>
        <w:ind w:firstLine="720"/>
        <w:jc w:val="left"/>
        <w:rPr>
          <w:sz w:val="24"/>
          <w:szCs w:val="24"/>
        </w:rPr>
      </w:pPr>
      <w:bookmarkStart w:id="5" w:name="_Toc227390370"/>
      <w:bookmarkStart w:id="6" w:name="_Toc453944840"/>
      <w:r w:rsidRPr="00BC1613">
        <w:rPr>
          <w:sz w:val="24"/>
          <w:szCs w:val="24"/>
        </w:rPr>
        <w:t>1(b)</w:t>
      </w:r>
      <w:r w:rsidRPr="00BC1613">
        <w:rPr>
          <w:sz w:val="24"/>
          <w:szCs w:val="24"/>
        </w:rPr>
        <w:tab/>
        <w:t>Short Characterization / Abstract</w:t>
      </w:r>
      <w:bookmarkEnd w:id="5"/>
      <w:bookmarkEnd w:id="6"/>
    </w:p>
    <w:p w14:paraId="3482694E" w14:textId="77777777" w:rsidR="001B7421" w:rsidRPr="00BC1613" w:rsidRDefault="001B7421" w:rsidP="001B7421">
      <w:pPr>
        <w:jc w:val="both"/>
        <w:rPr>
          <w:b/>
        </w:rPr>
      </w:pPr>
    </w:p>
    <w:p w14:paraId="0A0E9208" w14:textId="4EB7C3BC" w:rsidR="008F18B3" w:rsidRPr="00BC1613" w:rsidRDefault="001B7421" w:rsidP="00BC1613">
      <w:pPr>
        <w:ind w:firstLine="720"/>
        <w:rPr>
          <w:lang w:val="en"/>
        </w:rPr>
      </w:pPr>
      <w:r w:rsidRPr="00BC1613">
        <w:t xml:space="preserve">This renewal information collection request (ICR) addresses the </w:t>
      </w:r>
      <w:r w:rsidR="00D12B74" w:rsidRPr="00BC1613">
        <w:t>consultation process that would assist the</w:t>
      </w:r>
      <w:r w:rsidRPr="00BC1613">
        <w:t xml:space="preserve"> EPA </w:t>
      </w:r>
      <w:r w:rsidR="00D12B74" w:rsidRPr="00BC1613">
        <w:t xml:space="preserve">with the refinement and enhancement of the logo redesign and </w:t>
      </w:r>
      <w:r w:rsidR="003D028D" w:rsidRPr="00BC1613">
        <w:t>education</w:t>
      </w:r>
      <w:r w:rsidR="00D12B74" w:rsidRPr="00BC1613">
        <w:t xml:space="preserve"> approach for</w:t>
      </w:r>
      <w:r w:rsidRPr="00BC1613">
        <w:t xml:space="preserve"> the </w:t>
      </w:r>
      <w:r w:rsidR="008D4C79" w:rsidRPr="00BC1613">
        <w:t xml:space="preserve">Safer Choice </w:t>
      </w:r>
      <w:r w:rsidRPr="00BC1613">
        <w:t>Product Recognition Program (</w:t>
      </w:r>
      <w:r w:rsidR="008D4C79" w:rsidRPr="00BC1613">
        <w:t>Safer Choice program</w:t>
      </w:r>
      <w:r w:rsidRPr="00BC1613">
        <w:t>)</w:t>
      </w:r>
      <w:r w:rsidR="008D4C79" w:rsidRPr="00BC1613">
        <w:t>, formerly known as the Design for the Environment Program</w:t>
      </w:r>
      <w:r w:rsidRPr="00BC1613">
        <w:t xml:space="preserve">. </w:t>
      </w:r>
      <w:r w:rsidR="008D4C79" w:rsidRPr="00BC1613">
        <w:t>The Safer Choice program</w:t>
      </w:r>
      <w:r w:rsidRPr="00BC1613">
        <w:t xml:space="preserve"> recognizes products where all ingredients </w:t>
      </w:r>
      <w:r w:rsidR="00980EF5" w:rsidRPr="00BC1613">
        <w:t xml:space="preserve">meet EPA’s stringent requirements for human health and the environment as found in the Safer Choice Standard. </w:t>
      </w:r>
      <w:r w:rsidRPr="00BC1613">
        <w:t xml:space="preserve">Under the encouragement of the current </w:t>
      </w:r>
      <w:r w:rsidR="008D4C79" w:rsidRPr="00BC1613">
        <w:t>p</w:t>
      </w:r>
      <w:r w:rsidRPr="00BC1613">
        <w:t>rogram, leading companies have already made great progress in developing safer, highly effective chemical products</w:t>
      </w:r>
      <w:r w:rsidR="001E25B1">
        <w:t xml:space="preserve">. </w:t>
      </w:r>
      <w:r w:rsidRPr="00BC1613">
        <w:t>Since the program’s inception in 1997, formulators have been using the program as a portal to OPPT’s unique chemical expertise, information resources, and guidance on greener chemistry</w:t>
      </w:r>
      <w:r w:rsidR="001E25B1">
        <w:t xml:space="preserve">. </w:t>
      </w:r>
      <w:r w:rsidR="008D4C79" w:rsidRPr="00BC1613">
        <w:rPr>
          <w:lang w:val="en"/>
        </w:rPr>
        <w:t xml:space="preserve">Safer Choice </w:t>
      </w:r>
      <w:r w:rsidRPr="00BC1613">
        <w:rPr>
          <w:lang w:val="en"/>
        </w:rPr>
        <w:t xml:space="preserve">partners enjoy Agency recognition, including the use of the </w:t>
      </w:r>
      <w:r w:rsidR="008D4C79" w:rsidRPr="00BC1613">
        <w:rPr>
          <w:lang w:val="en"/>
        </w:rPr>
        <w:t xml:space="preserve">Safer Choice </w:t>
      </w:r>
      <w:r w:rsidR="0024161C" w:rsidRPr="00BC1613">
        <w:rPr>
          <w:lang w:val="en"/>
        </w:rPr>
        <w:t xml:space="preserve">label </w:t>
      </w:r>
      <w:r w:rsidRPr="00BC1613">
        <w:rPr>
          <w:lang w:val="en"/>
        </w:rPr>
        <w:t xml:space="preserve">on </w:t>
      </w:r>
      <w:r w:rsidR="00980EF5" w:rsidRPr="00BC1613">
        <w:rPr>
          <w:lang w:val="en"/>
        </w:rPr>
        <w:t>qualifying products</w:t>
      </w:r>
      <w:r w:rsidRPr="00BC1613">
        <w:rPr>
          <w:lang w:val="en"/>
        </w:rPr>
        <w:t>.</w:t>
      </w:r>
    </w:p>
    <w:p w14:paraId="6C04F553" w14:textId="77777777" w:rsidR="008F18B3" w:rsidRPr="00BC1613" w:rsidRDefault="008F18B3">
      <w:pPr>
        <w:rPr>
          <w:lang w:val="en"/>
        </w:rPr>
      </w:pPr>
    </w:p>
    <w:p w14:paraId="154468BE" w14:textId="4027EC45" w:rsidR="001B7421" w:rsidRDefault="00D12B74" w:rsidP="00BC1613">
      <w:pPr>
        <w:ind w:firstLine="720"/>
      </w:pPr>
      <w:r w:rsidRPr="00BC1613">
        <w:rPr>
          <w:lang w:val="en"/>
        </w:rPr>
        <w:t xml:space="preserve">The Safer Choice program adopted a new logo in March 2015 in response to stakeholder feedback. </w:t>
      </w:r>
      <w:r w:rsidR="008F18B3" w:rsidRPr="00BC1613">
        <w:rPr>
          <w:lang w:val="en"/>
        </w:rPr>
        <w:t>Following the launch of the new logo, consumer surveys</w:t>
      </w:r>
      <w:r w:rsidR="00CC07AD">
        <w:rPr>
          <w:lang w:val="en"/>
        </w:rPr>
        <w:t xml:space="preserve"> have and</w:t>
      </w:r>
      <w:r w:rsidR="008F18B3" w:rsidRPr="00BC1613">
        <w:rPr>
          <w:lang w:val="en"/>
        </w:rPr>
        <w:t xml:space="preserve"> will be used to gauge consumer recognition of the new logo and understand how the new logo and </w:t>
      </w:r>
      <w:r w:rsidR="003D028D" w:rsidRPr="00BC1613">
        <w:rPr>
          <w:lang w:val="en"/>
        </w:rPr>
        <w:t>educational activities are</w:t>
      </w:r>
      <w:r w:rsidR="008F18B3" w:rsidRPr="00BC1613">
        <w:rPr>
          <w:lang w:val="en"/>
        </w:rPr>
        <w:t xml:space="preserve"> diffusing over time and changing purchasing decisions. </w:t>
      </w:r>
      <w:r w:rsidR="001B7421" w:rsidRPr="00BC1613">
        <w:t xml:space="preserve">This ICR would enable </w:t>
      </w:r>
      <w:r w:rsidR="008D4C79" w:rsidRPr="00BC1613">
        <w:t xml:space="preserve">Safer Choice </w:t>
      </w:r>
      <w:r w:rsidR="001B7421" w:rsidRPr="00BC1613">
        <w:t>to</w:t>
      </w:r>
      <w:r w:rsidR="00CC07AD">
        <w:t xml:space="preserve"> continue</w:t>
      </w:r>
      <w:r w:rsidR="001B7421" w:rsidRPr="00BC1613">
        <w:t xml:space="preserve"> </w:t>
      </w:r>
      <w:r w:rsidRPr="00BC1613">
        <w:t>collect</w:t>
      </w:r>
      <w:r w:rsidR="00CC07AD">
        <w:t>ing</w:t>
      </w:r>
      <w:r w:rsidRPr="00BC1613">
        <w:t xml:space="preserve"> feedback from consumer</w:t>
      </w:r>
      <w:r w:rsidR="003D028D" w:rsidRPr="00BC1613">
        <w:t>s through</w:t>
      </w:r>
      <w:r w:rsidRPr="00BC1613">
        <w:t xml:space="preserve"> focus groups </w:t>
      </w:r>
      <w:r w:rsidR="003D028D" w:rsidRPr="00BC1613">
        <w:t>and online surveys and integrate it into the program</w:t>
      </w:r>
      <w:r w:rsidRPr="00BC1613">
        <w:t xml:space="preserve">, which </w:t>
      </w:r>
      <w:r w:rsidR="003D028D" w:rsidRPr="00BC1613">
        <w:t>would help to</w:t>
      </w:r>
      <w:r w:rsidRPr="00BC1613">
        <w:t xml:space="preserve"> strengthen the visibility of the logo and program, improve product recognition among formulators and partners</w:t>
      </w:r>
      <w:r w:rsidR="0024161C" w:rsidRPr="00BC1613">
        <w:t>, and further promote chemical safety</w:t>
      </w:r>
      <w:r w:rsidR="001B7421" w:rsidRPr="00BC1613">
        <w:t>.</w:t>
      </w:r>
    </w:p>
    <w:p w14:paraId="2F3D2A3F" w14:textId="77777777" w:rsidR="007263E9" w:rsidRPr="00BC1613" w:rsidRDefault="007263E9" w:rsidP="00BC1613">
      <w:pPr>
        <w:ind w:firstLine="720"/>
      </w:pPr>
    </w:p>
    <w:p w14:paraId="7C72F099" w14:textId="77777777" w:rsidR="008D4C79" w:rsidRPr="00BC1613" w:rsidRDefault="008D4C79" w:rsidP="001B7421">
      <w:pPr>
        <w:autoSpaceDE w:val="0"/>
        <w:autoSpaceDN w:val="0"/>
        <w:adjustRightInd w:val="0"/>
      </w:pPr>
    </w:p>
    <w:p w14:paraId="60852AE5" w14:textId="58DC7D54" w:rsidR="001B7421" w:rsidRPr="00BC1613" w:rsidRDefault="001B7421">
      <w:pPr>
        <w:pStyle w:val="Heading1"/>
      </w:pPr>
      <w:r w:rsidRPr="00BC1613">
        <w:rPr>
          <w:lang w:val="en-CA"/>
        </w:rPr>
        <w:fldChar w:fldCharType="begin"/>
      </w:r>
      <w:r w:rsidRPr="00BC1613">
        <w:rPr>
          <w:lang w:val="en-CA"/>
        </w:rPr>
        <w:instrText xml:space="preserve"> SEQ CHAPTER \h \r 1</w:instrText>
      </w:r>
      <w:r w:rsidRPr="00BC1613">
        <w:rPr>
          <w:lang w:val="en-CA"/>
        </w:rPr>
        <w:fldChar w:fldCharType="end"/>
      </w:r>
      <w:bookmarkStart w:id="7" w:name="_Toc227390371"/>
      <w:bookmarkStart w:id="8" w:name="_Toc453944841"/>
      <w:r w:rsidRPr="00BC1613">
        <w:t>2.</w:t>
      </w:r>
      <w:r w:rsidRPr="00BC1613">
        <w:tab/>
        <w:t>NEED FOR AND USE OF THE COLLECTION</w:t>
      </w:r>
      <w:bookmarkEnd w:id="7"/>
      <w:bookmarkEnd w:id="8"/>
    </w:p>
    <w:p w14:paraId="6FCB8335" w14:textId="77777777" w:rsidR="001B7421" w:rsidRPr="00BC1613" w:rsidRDefault="001B7421"/>
    <w:p w14:paraId="6D75774C" w14:textId="77777777" w:rsidR="001B7421" w:rsidRPr="00BC1613" w:rsidRDefault="001B7421">
      <w:pPr>
        <w:pStyle w:val="Heading2"/>
        <w:jc w:val="left"/>
        <w:rPr>
          <w:sz w:val="24"/>
          <w:szCs w:val="24"/>
        </w:rPr>
      </w:pPr>
      <w:r w:rsidRPr="00BC1613">
        <w:rPr>
          <w:sz w:val="24"/>
          <w:szCs w:val="24"/>
        </w:rPr>
        <w:tab/>
      </w:r>
      <w:bookmarkStart w:id="9" w:name="_Toc227390372"/>
      <w:bookmarkStart w:id="10" w:name="_Toc453944842"/>
      <w:r w:rsidRPr="00BC1613">
        <w:rPr>
          <w:sz w:val="24"/>
          <w:szCs w:val="24"/>
        </w:rPr>
        <w:t>2(a)</w:t>
      </w:r>
      <w:r w:rsidRPr="00BC1613">
        <w:rPr>
          <w:sz w:val="24"/>
          <w:szCs w:val="24"/>
        </w:rPr>
        <w:tab/>
        <w:t>Need/Authority for the Collection</w:t>
      </w:r>
      <w:bookmarkEnd w:id="9"/>
      <w:bookmarkEnd w:id="10"/>
    </w:p>
    <w:p w14:paraId="4E6E7FF1" w14:textId="77777777" w:rsidR="001B7421" w:rsidRPr="00BC1613" w:rsidRDefault="001B7421">
      <w:pPr>
        <w:rPr>
          <w:b/>
          <w:bCs/>
        </w:rPr>
      </w:pPr>
    </w:p>
    <w:p w14:paraId="002F1899" w14:textId="35A9852D" w:rsidR="001B7421" w:rsidRPr="00BC1613" w:rsidRDefault="001B7421" w:rsidP="00BC1613">
      <w:pPr>
        <w:pStyle w:val="BodyText"/>
        <w:ind w:firstLine="720"/>
        <w:rPr>
          <w:rFonts w:ascii="Times New Roman" w:hAnsi="Times New Roman" w:cs="Times New Roman"/>
          <w:sz w:val="24"/>
        </w:rPr>
      </w:pPr>
      <w:r w:rsidRPr="00BC1613">
        <w:rPr>
          <w:rFonts w:ascii="Times New Roman" w:hAnsi="Times New Roman" w:cs="Times New Roman"/>
          <w:sz w:val="24"/>
        </w:rPr>
        <w:t xml:space="preserve">Authority for the </w:t>
      </w:r>
      <w:r w:rsidR="008D4C79" w:rsidRPr="00BC1613">
        <w:rPr>
          <w:rFonts w:ascii="Times New Roman" w:hAnsi="Times New Roman" w:cs="Times New Roman"/>
          <w:sz w:val="24"/>
        </w:rPr>
        <w:t>Safer Choice p</w:t>
      </w:r>
      <w:r w:rsidRPr="00BC1613">
        <w:rPr>
          <w:rFonts w:ascii="Times New Roman" w:hAnsi="Times New Roman" w:cs="Times New Roman"/>
          <w:sz w:val="24"/>
        </w:rPr>
        <w:t xml:space="preserve">rogram derives from Section 6604(b)(5) of the Pollution Prevention Act (PPA), 42 U.S.C. 13103(b)(5) </w:t>
      </w:r>
      <w:r w:rsidR="009379B6" w:rsidRPr="00BC1613">
        <w:rPr>
          <w:rFonts w:ascii="Times New Roman" w:hAnsi="Times New Roman" w:cs="Times New Roman"/>
          <w:sz w:val="24"/>
        </w:rPr>
        <w:t>(</w:t>
      </w:r>
      <w:r w:rsidRPr="00BC1613">
        <w:rPr>
          <w:rFonts w:ascii="Times New Roman" w:hAnsi="Times New Roman" w:cs="Times New Roman"/>
          <w:sz w:val="24"/>
        </w:rPr>
        <w:t>see Attachment A</w:t>
      </w:r>
      <w:r w:rsidR="009379B6" w:rsidRPr="00BC1613">
        <w:rPr>
          <w:rFonts w:ascii="Times New Roman" w:hAnsi="Times New Roman" w:cs="Times New Roman"/>
          <w:sz w:val="24"/>
        </w:rPr>
        <w:t>)</w:t>
      </w:r>
      <w:r w:rsidRPr="00BC1613">
        <w:rPr>
          <w:rFonts w:ascii="Times New Roman" w:hAnsi="Times New Roman" w:cs="Times New Roman"/>
          <w:sz w:val="24"/>
        </w:rPr>
        <w:t xml:space="preserve">, which directs EPA to </w:t>
      </w:r>
      <w:r w:rsidRPr="00BC1613">
        <w:rPr>
          <w:rFonts w:ascii="Times New Roman" w:hAnsi="Times New Roman" w:cs="Times New Roman"/>
          <w:sz w:val="24"/>
        </w:rPr>
        <w:lastRenderedPageBreak/>
        <w:t>facilitate the adoption of source-reduction techniques by businesses, and the Toxic Substances Control Act (15 U.S.C. 2601 et seq.), which encourages safety in technological innovation in chemistry</w:t>
      </w:r>
      <w:r w:rsidR="001E25B1">
        <w:rPr>
          <w:rFonts w:ascii="Times New Roman" w:hAnsi="Times New Roman" w:cs="Times New Roman"/>
          <w:sz w:val="24"/>
        </w:rPr>
        <w:t xml:space="preserve">. </w:t>
      </w:r>
      <w:r w:rsidRPr="00BC1613">
        <w:rPr>
          <w:rFonts w:ascii="Times New Roman" w:hAnsi="Times New Roman" w:cs="Times New Roman"/>
          <w:sz w:val="24"/>
        </w:rPr>
        <w:t xml:space="preserve">In recognition of this statutory directive, and through consultation with a broad range of stakeholders, EPA developed the </w:t>
      </w:r>
      <w:r w:rsidR="008D4C79" w:rsidRPr="00BC1613">
        <w:rPr>
          <w:rFonts w:ascii="Times New Roman" w:hAnsi="Times New Roman" w:cs="Times New Roman"/>
          <w:sz w:val="24"/>
        </w:rPr>
        <w:t>Safer Choice p</w:t>
      </w:r>
      <w:r w:rsidRPr="00BC1613">
        <w:rPr>
          <w:rFonts w:ascii="Times New Roman" w:hAnsi="Times New Roman" w:cs="Times New Roman"/>
          <w:sz w:val="24"/>
        </w:rPr>
        <w:t>rogram</w:t>
      </w:r>
      <w:r w:rsidR="001E25B1">
        <w:rPr>
          <w:rFonts w:ascii="Times New Roman" w:hAnsi="Times New Roman" w:cs="Times New Roman"/>
          <w:sz w:val="24"/>
        </w:rPr>
        <w:t xml:space="preserve">. </w:t>
      </w:r>
    </w:p>
    <w:p w14:paraId="29CF431B" w14:textId="77777777" w:rsidR="001B7421" w:rsidRPr="00BC1613" w:rsidRDefault="001B7421">
      <w:pPr>
        <w:pStyle w:val="BodyText"/>
        <w:rPr>
          <w:rFonts w:ascii="Times New Roman" w:hAnsi="Times New Roman" w:cs="Times New Roman"/>
          <w:sz w:val="24"/>
        </w:rPr>
      </w:pPr>
    </w:p>
    <w:p w14:paraId="0F4E2C05" w14:textId="470C249D" w:rsidR="001B7421" w:rsidRPr="00BC1613" w:rsidRDefault="008F18B3" w:rsidP="00BC1613">
      <w:pPr>
        <w:ind w:firstLine="720"/>
      </w:pPr>
      <w:r w:rsidRPr="00BC1613">
        <w:t xml:space="preserve">Testing of the Safer Choice logo and </w:t>
      </w:r>
      <w:r w:rsidR="00910F36" w:rsidRPr="00BC1613">
        <w:t>educational activities via</w:t>
      </w:r>
      <w:r w:rsidRPr="00BC1613">
        <w:t xml:space="preserve"> consumer focus groups and consumer online surveys will help ensure that the logo effectively communicates the Agency’s missions under the PPA and TSCA. A logo that is clear and signals a focus on human health and the environment will increase demand for and encourage the development of safer chemical-based products, to the benefit of consumers, manufacturing partners, retailers, other stakeholders, and the environment. Effective outreach can help determine if the logo is permeating the marketplace and identify strategies for further enhancing its visibility to consumers. </w:t>
      </w:r>
    </w:p>
    <w:p w14:paraId="44FB6913" w14:textId="77777777" w:rsidR="001B7421" w:rsidRPr="00BC1613" w:rsidRDefault="001B7421"/>
    <w:p w14:paraId="7BFACCA6" w14:textId="77777777" w:rsidR="008559BE" w:rsidRPr="00BC1613" w:rsidRDefault="008D4C79" w:rsidP="00BC1613">
      <w:pPr>
        <w:ind w:firstLine="720"/>
      </w:pPr>
      <w:r w:rsidRPr="00BC1613">
        <w:t xml:space="preserve">Safer Choice </w:t>
      </w:r>
      <w:r w:rsidR="001B7421" w:rsidRPr="00BC1613">
        <w:t xml:space="preserve">has carefully tailored its request for information to ensure that it only asks for information essential </w:t>
      </w:r>
      <w:r w:rsidR="008F18B3" w:rsidRPr="00BC1613">
        <w:t>to testing the qualities of the selected redesigned logo concepts and outreach efforts</w:t>
      </w:r>
      <w:r w:rsidR="001B7421" w:rsidRPr="00BC1613">
        <w:t>.</w:t>
      </w:r>
    </w:p>
    <w:p w14:paraId="5F89F8D5" w14:textId="77777777" w:rsidR="001B7421" w:rsidRPr="00BC1613" w:rsidRDefault="001B7421">
      <w:r w:rsidRPr="00BC1613">
        <w:t xml:space="preserve">  </w:t>
      </w:r>
    </w:p>
    <w:p w14:paraId="4B1BFF63" w14:textId="1BB7CABD" w:rsidR="001B7421" w:rsidRPr="00BC1613" w:rsidRDefault="001B7421">
      <w:pPr>
        <w:pStyle w:val="Heading2"/>
        <w:jc w:val="left"/>
        <w:rPr>
          <w:sz w:val="24"/>
          <w:szCs w:val="24"/>
        </w:rPr>
      </w:pPr>
      <w:r w:rsidRPr="00BC1613">
        <w:rPr>
          <w:sz w:val="24"/>
          <w:szCs w:val="24"/>
          <w:lang w:val="en-CA"/>
        </w:rPr>
        <w:fldChar w:fldCharType="begin"/>
      </w:r>
      <w:r w:rsidRPr="00BC1613">
        <w:rPr>
          <w:sz w:val="24"/>
          <w:szCs w:val="24"/>
          <w:lang w:val="en-CA"/>
        </w:rPr>
        <w:instrText xml:space="preserve"> SEQ CHAPTER \h \r 1</w:instrText>
      </w:r>
      <w:r w:rsidRPr="00BC1613">
        <w:rPr>
          <w:sz w:val="24"/>
          <w:szCs w:val="24"/>
          <w:lang w:val="en-CA"/>
        </w:rPr>
        <w:fldChar w:fldCharType="end"/>
      </w:r>
      <w:r w:rsidRPr="00BC1613">
        <w:rPr>
          <w:sz w:val="24"/>
          <w:szCs w:val="24"/>
        </w:rPr>
        <w:tab/>
      </w:r>
      <w:bookmarkStart w:id="11" w:name="_Toc227390373"/>
      <w:bookmarkStart w:id="12" w:name="_Toc453944843"/>
      <w:r w:rsidRPr="00BC1613">
        <w:rPr>
          <w:sz w:val="24"/>
          <w:szCs w:val="24"/>
        </w:rPr>
        <w:t>2(b)</w:t>
      </w:r>
      <w:r w:rsidRPr="00BC1613">
        <w:rPr>
          <w:sz w:val="24"/>
          <w:szCs w:val="24"/>
        </w:rPr>
        <w:tab/>
        <w:t>Practical Utility/Users of the Data</w:t>
      </w:r>
      <w:bookmarkEnd w:id="11"/>
      <w:bookmarkEnd w:id="12"/>
    </w:p>
    <w:p w14:paraId="0C21440C" w14:textId="77777777" w:rsidR="001B7421" w:rsidRPr="00BC1613" w:rsidRDefault="001B7421"/>
    <w:p w14:paraId="733C33FB" w14:textId="3EABE2BB" w:rsidR="001B7421" w:rsidRPr="00BC1613" w:rsidRDefault="001B7421" w:rsidP="00BC1613">
      <w:pPr>
        <w:pStyle w:val="Default"/>
        <w:ind w:firstLine="720"/>
        <w:rPr>
          <w:rFonts w:ascii="Times New Roman" w:hAnsi="Times New Roman" w:cs="Times New Roman"/>
          <w:color w:val="auto"/>
        </w:rPr>
      </w:pPr>
      <w:r w:rsidRPr="00BC1613">
        <w:rPr>
          <w:rFonts w:ascii="Times New Roman" w:hAnsi="Times New Roman" w:cs="Times New Roman"/>
          <w:color w:val="auto"/>
        </w:rPr>
        <w:t xml:space="preserve">The information collected by the </w:t>
      </w:r>
      <w:r w:rsidR="008D4C79" w:rsidRPr="00BC1613">
        <w:rPr>
          <w:rFonts w:ascii="Times New Roman" w:hAnsi="Times New Roman" w:cs="Times New Roman"/>
          <w:color w:val="auto"/>
        </w:rPr>
        <w:t>Safer Choice p</w:t>
      </w:r>
      <w:r w:rsidRPr="00BC1613">
        <w:rPr>
          <w:rFonts w:ascii="Times New Roman" w:hAnsi="Times New Roman" w:cs="Times New Roman"/>
          <w:color w:val="auto"/>
        </w:rPr>
        <w:t xml:space="preserve">rogram is not designed or intended to support regulatory decision-making by EPA. EPA </w:t>
      </w:r>
      <w:r w:rsidR="008F18B3" w:rsidRPr="00BC1613">
        <w:rPr>
          <w:rFonts w:ascii="Times New Roman" w:hAnsi="Times New Roman" w:cs="Times New Roman"/>
          <w:color w:val="auto"/>
        </w:rPr>
        <w:t>uses the information collected in these consultations to design or verify that the redesigned logo</w:t>
      </w:r>
      <w:r w:rsidRPr="00BC1613">
        <w:rPr>
          <w:rFonts w:ascii="Times New Roman" w:hAnsi="Times New Roman" w:cs="Times New Roman"/>
          <w:color w:val="auto"/>
        </w:rPr>
        <w:t xml:space="preserve">: (1) </w:t>
      </w:r>
      <w:r w:rsidR="008F18B3" w:rsidRPr="00BC1613">
        <w:rPr>
          <w:rFonts w:ascii="Times New Roman" w:hAnsi="Times New Roman" w:cs="Times New Roman"/>
          <w:color w:val="auto"/>
        </w:rPr>
        <w:t>conveys the program’s scientific expertise and the human health and environmental benefits of using safer products, as shown in consumer focus groups and survey testing</w:t>
      </w:r>
      <w:r w:rsidRPr="00BC1613">
        <w:rPr>
          <w:rFonts w:ascii="Times New Roman" w:hAnsi="Times New Roman" w:cs="Times New Roman"/>
          <w:color w:val="auto"/>
        </w:rPr>
        <w:t xml:space="preserve">; (2) </w:t>
      </w:r>
      <w:r w:rsidR="008F18B3" w:rsidRPr="00BC1613">
        <w:rPr>
          <w:rFonts w:ascii="Times New Roman" w:hAnsi="Times New Roman" w:cs="Times New Roman"/>
          <w:color w:val="auto"/>
        </w:rPr>
        <w:t>increases consumer recognition of safer products carrying the redesigned Safer Choice logo</w:t>
      </w:r>
      <w:r w:rsidRPr="00BC1613">
        <w:rPr>
          <w:rFonts w:ascii="Times New Roman" w:hAnsi="Times New Roman" w:cs="Times New Roman"/>
          <w:color w:val="auto"/>
        </w:rPr>
        <w:t xml:space="preserve">; and (3) </w:t>
      </w:r>
      <w:r w:rsidR="008F18B3" w:rsidRPr="00BC1613">
        <w:rPr>
          <w:rFonts w:ascii="Times New Roman" w:hAnsi="Times New Roman" w:cs="Times New Roman"/>
          <w:color w:val="auto"/>
        </w:rPr>
        <w:t>encourages businesses to participate in the Safer Choice program, given a positive response to the new logo among consumers</w:t>
      </w:r>
      <w:r w:rsidRPr="00BC1613">
        <w:rPr>
          <w:rFonts w:ascii="Times New Roman" w:hAnsi="Times New Roman" w:cs="Times New Roman"/>
          <w:color w:val="auto"/>
        </w:rPr>
        <w:t>.</w:t>
      </w:r>
    </w:p>
    <w:p w14:paraId="6325E457" w14:textId="77777777" w:rsidR="00BC1613" w:rsidRPr="00BC1613" w:rsidRDefault="00BC1613" w:rsidP="00BC1613">
      <w:pPr>
        <w:pStyle w:val="Default"/>
        <w:ind w:firstLine="720"/>
        <w:rPr>
          <w:rFonts w:ascii="Times New Roman" w:hAnsi="Times New Roman" w:cs="Times New Roman"/>
          <w:color w:val="auto"/>
        </w:rPr>
      </w:pPr>
    </w:p>
    <w:p w14:paraId="67A32A27" w14:textId="77777777" w:rsidR="008559BE" w:rsidRPr="00BC1613" w:rsidRDefault="008559BE" w:rsidP="008559BE">
      <w:pPr>
        <w:pStyle w:val="Default"/>
        <w:rPr>
          <w:rFonts w:ascii="Times New Roman" w:hAnsi="Times New Roman" w:cs="Times New Roman"/>
          <w:color w:val="auto"/>
        </w:rPr>
      </w:pPr>
    </w:p>
    <w:p w14:paraId="5B367B65" w14:textId="3CE78EE0" w:rsidR="001024B8" w:rsidRDefault="001B7421">
      <w:pPr>
        <w:pStyle w:val="Heading1"/>
      </w:pPr>
      <w:r w:rsidRPr="00BC1613">
        <w:rPr>
          <w:lang w:val="en-CA"/>
        </w:rPr>
        <w:fldChar w:fldCharType="begin"/>
      </w:r>
      <w:r w:rsidRPr="00BC1613">
        <w:rPr>
          <w:lang w:val="en-CA"/>
        </w:rPr>
        <w:instrText xml:space="preserve"> SEQ CHAPTER \h \r 1</w:instrText>
      </w:r>
      <w:r w:rsidRPr="00BC1613">
        <w:rPr>
          <w:lang w:val="en-CA"/>
        </w:rPr>
        <w:fldChar w:fldCharType="end"/>
      </w:r>
      <w:bookmarkStart w:id="13" w:name="_Toc227390374"/>
      <w:bookmarkStart w:id="14" w:name="_Toc453944844"/>
      <w:r w:rsidRPr="00BC1613">
        <w:t>3</w:t>
      </w:r>
      <w:r w:rsidR="001E25B1">
        <w:t xml:space="preserve">. </w:t>
      </w:r>
      <w:r w:rsidRPr="00BC1613">
        <w:t xml:space="preserve">   </w:t>
      </w:r>
      <w:r w:rsidR="001024B8">
        <w:tab/>
      </w:r>
      <w:r w:rsidRPr="00BC1613">
        <w:t xml:space="preserve">NON-DUPLICATION, CONSULTATIONS, AND OTHER COLLECTION </w:t>
      </w:r>
    </w:p>
    <w:p w14:paraId="799511AD" w14:textId="39997770" w:rsidR="001B7421" w:rsidRPr="00BC1613" w:rsidRDefault="001024B8">
      <w:pPr>
        <w:pStyle w:val="Heading1"/>
      </w:pPr>
      <w:r>
        <w:tab/>
      </w:r>
      <w:r w:rsidR="001B7421" w:rsidRPr="00BC1613">
        <w:t>CRITERIA</w:t>
      </w:r>
      <w:bookmarkEnd w:id="13"/>
      <w:bookmarkEnd w:id="14"/>
    </w:p>
    <w:p w14:paraId="66D40F2F" w14:textId="77777777" w:rsidR="001B7421" w:rsidRPr="00BC1613" w:rsidRDefault="001B7421"/>
    <w:p w14:paraId="7057694B" w14:textId="77777777" w:rsidR="001B7421" w:rsidRPr="00BC1613" w:rsidRDefault="001B7421" w:rsidP="001B7421">
      <w:pPr>
        <w:pStyle w:val="Heading2"/>
        <w:jc w:val="left"/>
        <w:rPr>
          <w:sz w:val="24"/>
          <w:szCs w:val="24"/>
        </w:rPr>
      </w:pPr>
      <w:r w:rsidRPr="00BC1613">
        <w:rPr>
          <w:sz w:val="24"/>
          <w:szCs w:val="24"/>
        </w:rPr>
        <w:tab/>
      </w:r>
      <w:bookmarkStart w:id="15" w:name="_Toc227390375"/>
      <w:bookmarkStart w:id="16" w:name="_Toc453944845"/>
      <w:r w:rsidRPr="00BC1613">
        <w:rPr>
          <w:sz w:val="24"/>
          <w:szCs w:val="24"/>
        </w:rPr>
        <w:t>3(a)</w:t>
      </w:r>
      <w:r w:rsidRPr="00BC1613">
        <w:rPr>
          <w:sz w:val="24"/>
          <w:szCs w:val="24"/>
        </w:rPr>
        <w:tab/>
        <w:t>Non-Duplication</w:t>
      </w:r>
      <w:bookmarkEnd w:id="15"/>
      <w:bookmarkEnd w:id="16"/>
    </w:p>
    <w:p w14:paraId="646F5FAD" w14:textId="77777777" w:rsidR="001B7421" w:rsidRPr="00BC1613" w:rsidRDefault="001B7421" w:rsidP="001B7421"/>
    <w:p w14:paraId="1FB64C63" w14:textId="77777777" w:rsidR="00FE4AC8" w:rsidRPr="00BC1613" w:rsidRDefault="001B7421" w:rsidP="00BC1613">
      <w:pPr>
        <w:pStyle w:val="BodyText"/>
        <w:ind w:firstLine="720"/>
        <w:rPr>
          <w:rFonts w:ascii="Times New Roman" w:hAnsi="Times New Roman" w:cs="Times New Roman"/>
          <w:sz w:val="24"/>
        </w:rPr>
      </w:pPr>
      <w:r w:rsidRPr="00BC1613">
        <w:rPr>
          <w:rFonts w:ascii="Times New Roman" w:hAnsi="Times New Roman" w:cs="Times New Roman"/>
          <w:sz w:val="24"/>
        </w:rPr>
        <w:t xml:space="preserve">Respondents will not be asked to provide information that has been or is currently being collected by EPA, other federal or state agencies, or proprietary sources. The information collected by the </w:t>
      </w:r>
      <w:r w:rsidR="008D4C79" w:rsidRPr="00BC1613">
        <w:rPr>
          <w:rFonts w:ascii="Times New Roman" w:hAnsi="Times New Roman" w:cs="Times New Roman"/>
          <w:sz w:val="24"/>
        </w:rPr>
        <w:t>Safer Choice p</w:t>
      </w:r>
      <w:r w:rsidRPr="00BC1613">
        <w:rPr>
          <w:rFonts w:ascii="Times New Roman" w:hAnsi="Times New Roman" w:cs="Times New Roman"/>
          <w:sz w:val="24"/>
        </w:rPr>
        <w:t>rogram is unique and is not duplicative of previous information collection requests</w:t>
      </w:r>
      <w:r w:rsidR="007A61B7" w:rsidRPr="00BC1613">
        <w:rPr>
          <w:rFonts w:ascii="Times New Roman" w:hAnsi="Times New Roman" w:cs="Times New Roman"/>
          <w:sz w:val="24"/>
        </w:rPr>
        <w:t>.</w:t>
      </w:r>
    </w:p>
    <w:p w14:paraId="2F9D31F4" w14:textId="77777777" w:rsidR="001B7421" w:rsidRPr="00BC1613" w:rsidRDefault="001B7421" w:rsidP="001B7421">
      <w:pPr>
        <w:pStyle w:val="BodyText"/>
        <w:rPr>
          <w:rFonts w:ascii="Times New Roman" w:hAnsi="Times New Roman" w:cs="Times New Roman"/>
          <w:sz w:val="24"/>
        </w:rPr>
      </w:pPr>
    </w:p>
    <w:p w14:paraId="3C923C20" w14:textId="0BC69C94" w:rsidR="001B7421" w:rsidRPr="00BC1613" w:rsidRDefault="001B7421">
      <w:pPr>
        <w:pStyle w:val="Heading2"/>
        <w:jc w:val="left"/>
        <w:rPr>
          <w:sz w:val="24"/>
          <w:szCs w:val="24"/>
        </w:rPr>
      </w:pPr>
      <w:r w:rsidRPr="00BC1613">
        <w:rPr>
          <w:sz w:val="24"/>
          <w:szCs w:val="24"/>
          <w:lang w:val="en-CA"/>
        </w:rPr>
        <w:fldChar w:fldCharType="begin"/>
      </w:r>
      <w:r w:rsidRPr="00BC1613">
        <w:rPr>
          <w:sz w:val="24"/>
          <w:szCs w:val="24"/>
          <w:lang w:val="en-CA"/>
        </w:rPr>
        <w:instrText xml:space="preserve"> SEQ CHAPTER \h \r 1</w:instrText>
      </w:r>
      <w:r w:rsidRPr="00BC1613">
        <w:rPr>
          <w:sz w:val="24"/>
          <w:szCs w:val="24"/>
          <w:lang w:val="en-CA"/>
        </w:rPr>
        <w:fldChar w:fldCharType="end"/>
      </w:r>
      <w:r w:rsidRPr="00BC1613">
        <w:rPr>
          <w:sz w:val="24"/>
          <w:szCs w:val="24"/>
        </w:rPr>
        <w:tab/>
      </w:r>
      <w:bookmarkStart w:id="17" w:name="_Toc227390376"/>
      <w:bookmarkStart w:id="18" w:name="_Toc453944846"/>
      <w:r w:rsidRPr="00BC1613">
        <w:rPr>
          <w:sz w:val="24"/>
          <w:szCs w:val="24"/>
        </w:rPr>
        <w:t>3(b)</w:t>
      </w:r>
      <w:r w:rsidRPr="00BC1613">
        <w:rPr>
          <w:sz w:val="24"/>
          <w:szCs w:val="24"/>
        </w:rPr>
        <w:tab/>
        <w:t>Public Notice Required Prior to ICR Submission to OMB</w:t>
      </w:r>
      <w:bookmarkEnd w:id="17"/>
      <w:bookmarkEnd w:id="18"/>
    </w:p>
    <w:p w14:paraId="51197356" w14:textId="77777777" w:rsidR="008559BE" w:rsidRPr="00BC1613" w:rsidRDefault="008559BE" w:rsidP="001B7421">
      <w:pPr>
        <w:rPr>
          <w:lang w:val="en-CA"/>
        </w:rPr>
      </w:pPr>
    </w:p>
    <w:p w14:paraId="06EBB1C0" w14:textId="5A896481" w:rsidR="00E34991" w:rsidRPr="00E34991" w:rsidRDefault="00E34991" w:rsidP="00E34991">
      <w:pPr>
        <w:widowControl w:val="0"/>
        <w:autoSpaceDE w:val="0"/>
        <w:autoSpaceDN w:val="0"/>
        <w:adjustRightInd w:val="0"/>
        <w:ind w:firstLine="720"/>
      </w:pPr>
      <w:r w:rsidRPr="00E34991">
        <w:t xml:space="preserve">In proposing to renew this ICR, EPA provided a 60-day public notice and comment period that ended on </w:t>
      </w:r>
      <w:r>
        <w:t>January</w:t>
      </w:r>
      <w:r w:rsidRPr="00E34991">
        <w:t xml:space="preserve"> </w:t>
      </w:r>
      <w:r>
        <w:t>3</w:t>
      </w:r>
      <w:r w:rsidRPr="00E34991">
        <w:t>, 201</w:t>
      </w:r>
      <w:r>
        <w:t>7</w:t>
      </w:r>
      <w:r w:rsidRPr="00E34991">
        <w:t xml:space="preserve"> (81 FR 76584, November </w:t>
      </w:r>
      <w:r>
        <w:t>3</w:t>
      </w:r>
      <w:r w:rsidRPr="00E34991">
        <w:t>, 2016). EPA received no comm</w:t>
      </w:r>
      <w:r>
        <w:t>ents during the comment period.</w:t>
      </w:r>
    </w:p>
    <w:p w14:paraId="281F098C" w14:textId="588A8CB9" w:rsidR="00BC1613" w:rsidRDefault="00BC1613">
      <w:pPr>
        <w:rPr>
          <w:b/>
          <w:bCs/>
          <w:lang w:val="en-CA"/>
        </w:rPr>
      </w:pPr>
    </w:p>
    <w:p w14:paraId="68CFD102" w14:textId="77777777" w:rsidR="00E34991" w:rsidRDefault="00E34991">
      <w:pPr>
        <w:rPr>
          <w:b/>
          <w:bCs/>
          <w:lang w:val="en-CA"/>
        </w:rPr>
      </w:pPr>
      <w:r>
        <w:rPr>
          <w:lang w:val="en-CA"/>
        </w:rPr>
        <w:br w:type="page"/>
      </w:r>
    </w:p>
    <w:p w14:paraId="37DA3FFF" w14:textId="689D712F" w:rsidR="001B7421" w:rsidRPr="00BC1613" w:rsidRDefault="001B7421">
      <w:pPr>
        <w:pStyle w:val="Heading2"/>
        <w:jc w:val="left"/>
        <w:rPr>
          <w:sz w:val="24"/>
          <w:szCs w:val="24"/>
        </w:rPr>
      </w:pPr>
      <w:r w:rsidRPr="00BC1613">
        <w:rPr>
          <w:sz w:val="24"/>
          <w:szCs w:val="24"/>
          <w:lang w:val="en-CA"/>
        </w:rPr>
        <w:lastRenderedPageBreak/>
        <w:fldChar w:fldCharType="begin"/>
      </w:r>
      <w:r w:rsidRPr="00BC1613">
        <w:rPr>
          <w:sz w:val="24"/>
          <w:szCs w:val="24"/>
          <w:lang w:val="en-CA"/>
        </w:rPr>
        <w:instrText xml:space="preserve"> SEQ CHAPTER \h \r 1</w:instrText>
      </w:r>
      <w:r w:rsidRPr="00BC1613">
        <w:rPr>
          <w:sz w:val="24"/>
          <w:szCs w:val="24"/>
          <w:lang w:val="en-CA"/>
        </w:rPr>
        <w:fldChar w:fldCharType="end"/>
      </w:r>
      <w:r w:rsidRPr="00BC1613">
        <w:rPr>
          <w:sz w:val="24"/>
          <w:szCs w:val="24"/>
        </w:rPr>
        <w:tab/>
      </w:r>
      <w:bookmarkStart w:id="19" w:name="_Toc227390377"/>
      <w:bookmarkStart w:id="20" w:name="_Toc453944847"/>
      <w:r w:rsidRPr="00BC1613">
        <w:rPr>
          <w:sz w:val="24"/>
          <w:szCs w:val="24"/>
        </w:rPr>
        <w:t>3(c)</w:t>
      </w:r>
      <w:r w:rsidRPr="00BC1613">
        <w:rPr>
          <w:sz w:val="24"/>
          <w:szCs w:val="24"/>
        </w:rPr>
        <w:tab/>
        <w:t>Consultations</w:t>
      </w:r>
      <w:bookmarkEnd w:id="19"/>
      <w:bookmarkEnd w:id="20"/>
    </w:p>
    <w:p w14:paraId="4AD5DA13" w14:textId="77777777" w:rsidR="001B7421" w:rsidRPr="00BC1613" w:rsidRDefault="001B7421" w:rsidP="001B7421"/>
    <w:p w14:paraId="61365C6A" w14:textId="328B31F5" w:rsidR="007E7C9B" w:rsidRDefault="00BC1613" w:rsidP="007E7C9B">
      <w:pPr>
        <w:ind w:firstLine="720"/>
      </w:pPr>
      <w:r w:rsidRPr="00BC1613">
        <w:t>Under 5 CFR 1320.8(d)(1)</w:t>
      </w:r>
      <w:r w:rsidR="007E7C9B">
        <w:t>,</w:t>
      </w:r>
      <w:r w:rsidRPr="00BC1613">
        <w:t xml:space="preserve"> OMB requires agencies to consult with potential ICR respondents and data users about specific aspects of ICRs before submitting an original or renewal ICR to OMB for review and approval. </w:t>
      </w:r>
      <w:r w:rsidR="007E7C9B">
        <w:t>However, there are no established, organized entities with whom EPA has a relationship for purposes of this ICR. Since EPA was not able readily to identify potential respondents or data users, the Agency has not conducted such consultations.</w:t>
      </w:r>
    </w:p>
    <w:p w14:paraId="70DF1AB4" w14:textId="3EF6C7B6" w:rsidR="007E7C9B" w:rsidRDefault="007E7C9B" w:rsidP="007E7C9B">
      <w:pPr>
        <w:ind w:firstLine="720"/>
      </w:pPr>
    </w:p>
    <w:p w14:paraId="5BBD5BAA" w14:textId="77777777" w:rsidR="00B836A8" w:rsidRPr="00BC1613" w:rsidRDefault="00B836A8" w:rsidP="001B7421">
      <w:pPr>
        <w:ind w:left="360"/>
        <w:rPr>
          <w:highlight w:val="yellow"/>
        </w:rPr>
      </w:pPr>
    </w:p>
    <w:p w14:paraId="0A727ACD" w14:textId="18152419" w:rsidR="001B7421" w:rsidRPr="00BC1613" w:rsidRDefault="001B7421">
      <w:pPr>
        <w:pStyle w:val="Heading2"/>
        <w:jc w:val="left"/>
        <w:rPr>
          <w:sz w:val="24"/>
          <w:szCs w:val="24"/>
        </w:rPr>
      </w:pPr>
      <w:r w:rsidRPr="00BC1613">
        <w:rPr>
          <w:sz w:val="24"/>
          <w:szCs w:val="24"/>
          <w:lang w:val="en-CA"/>
        </w:rPr>
        <w:fldChar w:fldCharType="begin"/>
      </w:r>
      <w:r w:rsidRPr="00BC1613">
        <w:rPr>
          <w:sz w:val="24"/>
          <w:szCs w:val="24"/>
          <w:lang w:val="en-CA"/>
        </w:rPr>
        <w:instrText xml:space="preserve"> SEQ CHAPTER \h \r 1</w:instrText>
      </w:r>
      <w:r w:rsidRPr="00BC1613">
        <w:rPr>
          <w:sz w:val="24"/>
          <w:szCs w:val="24"/>
          <w:lang w:val="en-CA"/>
        </w:rPr>
        <w:fldChar w:fldCharType="end"/>
      </w:r>
      <w:r w:rsidRPr="00BC1613">
        <w:rPr>
          <w:sz w:val="24"/>
          <w:szCs w:val="24"/>
        </w:rPr>
        <w:tab/>
      </w:r>
      <w:bookmarkStart w:id="21" w:name="_Toc227390378"/>
      <w:bookmarkStart w:id="22" w:name="_Toc453944848"/>
      <w:r w:rsidRPr="00BC1613">
        <w:rPr>
          <w:sz w:val="24"/>
          <w:szCs w:val="24"/>
        </w:rPr>
        <w:t>3(d)</w:t>
      </w:r>
      <w:r w:rsidRPr="00BC1613">
        <w:rPr>
          <w:sz w:val="24"/>
          <w:szCs w:val="24"/>
        </w:rPr>
        <w:tab/>
        <w:t>Effects of Less Frequent Collection</w:t>
      </w:r>
      <w:bookmarkEnd w:id="21"/>
      <w:bookmarkEnd w:id="22"/>
    </w:p>
    <w:p w14:paraId="64DDCF7B" w14:textId="77777777" w:rsidR="001B7421" w:rsidRPr="00BC1613" w:rsidRDefault="001B7421">
      <w:pPr>
        <w:rPr>
          <w:b/>
          <w:bCs/>
        </w:rPr>
      </w:pPr>
    </w:p>
    <w:p w14:paraId="2C6D86B0" w14:textId="77777777" w:rsidR="001B7421" w:rsidRPr="00BC1613" w:rsidRDefault="007A6465" w:rsidP="00BC1613">
      <w:pPr>
        <w:pStyle w:val="BodyText"/>
        <w:ind w:firstLine="720"/>
        <w:rPr>
          <w:rFonts w:ascii="Times New Roman" w:hAnsi="Times New Roman" w:cs="Times New Roman"/>
          <w:sz w:val="24"/>
        </w:rPr>
      </w:pPr>
      <w:r w:rsidRPr="00BC1613">
        <w:rPr>
          <w:rFonts w:ascii="Times New Roman" w:hAnsi="Times New Roman" w:cs="Times New Roman"/>
          <w:sz w:val="24"/>
        </w:rPr>
        <w:t xml:space="preserve">Up to </w:t>
      </w:r>
      <w:r w:rsidR="00B8224E" w:rsidRPr="00BC1613">
        <w:rPr>
          <w:rFonts w:ascii="Times New Roman" w:hAnsi="Times New Roman" w:cs="Times New Roman"/>
          <w:sz w:val="24"/>
        </w:rPr>
        <w:t>three</w:t>
      </w:r>
      <w:r w:rsidRPr="00BC1613">
        <w:rPr>
          <w:rFonts w:ascii="Times New Roman" w:hAnsi="Times New Roman" w:cs="Times New Roman"/>
          <w:sz w:val="24"/>
        </w:rPr>
        <w:t xml:space="preserve"> consumer focus groups will be convened to test the redesigned Safer Choice logo for familiarity and usefulness. Additional details about recruitment for and implementation of the focus groups are provided in Attachments </w:t>
      </w:r>
      <w:r w:rsidR="00FB3320" w:rsidRPr="00BC1613">
        <w:rPr>
          <w:rFonts w:ascii="Times New Roman" w:hAnsi="Times New Roman" w:cs="Times New Roman"/>
          <w:sz w:val="24"/>
        </w:rPr>
        <w:t>B</w:t>
      </w:r>
      <w:r w:rsidRPr="00BC1613">
        <w:rPr>
          <w:rFonts w:ascii="Times New Roman" w:hAnsi="Times New Roman" w:cs="Times New Roman"/>
          <w:sz w:val="24"/>
        </w:rPr>
        <w:t xml:space="preserve">, </w:t>
      </w:r>
      <w:r w:rsidR="00FB3320" w:rsidRPr="00BC1613">
        <w:rPr>
          <w:rFonts w:ascii="Times New Roman" w:hAnsi="Times New Roman" w:cs="Times New Roman"/>
          <w:sz w:val="24"/>
        </w:rPr>
        <w:t>C</w:t>
      </w:r>
      <w:r w:rsidRPr="00BC1613">
        <w:rPr>
          <w:rFonts w:ascii="Times New Roman" w:hAnsi="Times New Roman" w:cs="Times New Roman"/>
          <w:sz w:val="24"/>
        </w:rPr>
        <w:t xml:space="preserve">, and </w:t>
      </w:r>
      <w:r w:rsidR="00FB3320" w:rsidRPr="00BC1613">
        <w:rPr>
          <w:rFonts w:ascii="Times New Roman" w:hAnsi="Times New Roman" w:cs="Times New Roman"/>
          <w:sz w:val="24"/>
        </w:rPr>
        <w:t>D</w:t>
      </w:r>
      <w:r w:rsidRPr="00BC1613">
        <w:rPr>
          <w:rFonts w:ascii="Times New Roman" w:hAnsi="Times New Roman" w:cs="Times New Roman"/>
          <w:sz w:val="24"/>
        </w:rPr>
        <w:t xml:space="preserve">. </w:t>
      </w:r>
      <w:r w:rsidR="007A61B7" w:rsidRPr="00BC1613">
        <w:rPr>
          <w:rFonts w:ascii="Times New Roman" w:hAnsi="Times New Roman" w:cs="Times New Roman"/>
          <w:sz w:val="24"/>
        </w:rPr>
        <w:t>Each consumer focus group consultation is designed to be a one-time information collection activity with consumers specifically recruited for the Safer Choice logo redesign. The three post-l</w:t>
      </w:r>
      <w:r w:rsidRPr="00BC1613">
        <w:rPr>
          <w:rFonts w:ascii="Times New Roman" w:hAnsi="Times New Roman" w:cs="Times New Roman"/>
          <w:sz w:val="24"/>
        </w:rPr>
        <w:t xml:space="preserve">aunch consumer online surveys will be conducted to gauge recognition of the new logo. Each post-launch consumer online survey will be a one-time information collection activity. This means that once these activities end, no additional information collection activities will be required. Without these information collection mechanisms, Safer Choice will not have the ability to test and verify consumer perceptions and understanding of the new design and </w:t>
      </w:r>
      <w:r w:rsidR="00B8224E" w:rsidRPr="00BC1613">
        <w:rPr>
          <w:rFonts w:ascii="Times New Roman" w:hAnsi="Times New Roman" w:cs="Times New Roman"/>
          <w:sz w:val="24"/>
        </w:rPr>
        <w:t>whether</w:t>
      </w:r>
      <w:r w:rsidRPr="00BC1613">
        <w:rPr>
          <w:rFonts w:ascii="Times New Roman" w:hAnsi="Times New Roman" w:cs="Times New Roman"/>
          <w:sz w:val="24"/>
        </w:rPr>
        <w:t xml:space="preserve"> products displaying the new logo are affecting the likelihood of acceptance, use, and recognition. </w:t>
      </w:r>
    </w:p>
    <w:p w14:paraId="00D4E216" w14:textId="77777777" w:rsidR="001B7421" w:rsidRPr="00BC1613" w:rsidRDefault="001B7421">
      <w:pPr>
        <w:pStyle w:val="BodyText"/>
        <w:rPr>
          <w:rFonts w:ascii="Times New Roman" w:hAnsi="Times New Roman" w:cs="Times New Roman"/>
          <w:sz w:val="24"/>
        </w:rPr>
      </w:pPr>
    </w:p>
    <w:p w14:paraId="01F218CC" w14:textId="45BE3960" w:rsidR="001B7421" w:rsidRPr="00BC1613" w:rsidRDefault="001B7421">
      <w:pPr>
        <w:pStyle w:val="Heading2"/>
        <w:jc w:val="left"/>
        <w:rPr>
          <w:sz w:val="24"/>
          <w:szCs w:val="24"/>
        </w:rPr>
      </w:pPr>
      <w:r w:rsidRPr="00BC1613">
        <w:rPr>
          <w:sz w:val="24"/>
          <w:szCs w:val="24"/>
          <w:lang w:val="en-CA"/>
        </w:rPr>
        <w:fldChar w:fldCharType="begin"/>
      </w:r>
      <w:r w:rsidRPr="00BC1613">
        <w:rPr>
          <w:sz w:val="24"/>
          <w:szCs w:val="24"/>
          <w:lang w:val="en-CA"/>
        </w:rPr>
        <w:instrText xml:space="preserve"> SEQ CHAPTER \h \r 1</w:instrText>
      </w:r>
      <w:r w:rsidRPr="00BC1613">
        <w:rPr>
          <w:sz w:val="24"/>
          <w:szCs w:val="24"/>
          <w:lang w:val="en-CA"/>
        </w:rPr>
        <w:fldChar w:fldCharType="end"/>
      </w:r>
      <w:r w:rsidRPr="00BC1613">
        <w:rPr>
          <w:sz w:val="24"/>
          <w:szCs w:val="24"/>
        </w:rPr>
        <w:tab/>
      </w:r>
      <w:bookmarkStart w:id="23" w:name="_Toc227390379"/>
      <w:bookmarkStart w:id="24" w:name="_Toc453944849"/>
      <w:r w:rsidRPr="00BC1613">
        <w:rPr>
          <w:sz w:val="24"/>
          <w:szCs w:val="24"/>
        </w:rPr>
        <w:t>3(e)</w:t>
      </w:r>
      <w:r w:rsidRPr="00BC1613">
        <w:rPr>
          <w:sz w:val="24"/>
          <w:szCs w:val="24"/>
        </w:rPr>
        <w:tab/>
        <w:t>General Guidelines</w:t>
      </w:r>
      <w:bookmarkEnd w:id="23"/>
      <w:bookmarkEnd w:id="24"/>
    </w:p>
    <w:p w14:paraId="3FAE036E" w14:textId="77777777" w:rsidR="001B7421" w:rsidRPr="00BC1613" w:rsidRDefault="001B7421">
      <w:pPr>
        <w:rPr>
          <w:b/>
          <w:bCs/>
        </w:rPr>
      </w:pPr>
    </w:p>
    <w:p w14:paraId="11C67694" w14:textId="1F48C58A" w:rsidR="001B7421" w:rsidRPr="00BC1613" w:rsidRDefault="001B7421" w:rsidP="00BC1613">
      <w:pPr>
        <w:ind w:firstLine="720"/>
      </w:pPr>
      <w:r w:rsidRPr="00BC1613">
        <w:t xml:space="preserve">The information collection activities discussed in this renewal ICR comply with all regulatory guidelines under 5 CFR 1320.5(d)(2). </w:t>
      </w:r>
      <w:r w:rsidR="007A6465" w:rsidRPr="00BC1613">
        <w:t xml:space="preserve">The collection is tailored to the Agency’s purposes under the Pollution Prevention Act to maximize the integrity and utility of the information while imposing the least burden on potential respondents. In addition, EPA has detailed the statistical methods that will be applied to the collection activities in </w:t>
      </w:r>
      <w:r w:rsidR="00333015" w:rsidRPr="00BC1613">
        <w:t>Supporting Statement Part B</w:t>
      </w:r>
      <w:r w:rsidR="007A6465" w:rsidRPr="00BC1613">
        <w:t>.</w:t>
      </w:r>
    </w:p>
    <w:p w14:paraId="05BFCE4E" w14:textId="77777777" w:rsidR="001B7421" w:rsidRPr="00BC1613" w:rsidRDefault="001B7421">
      <w:pPr>
        <w:rPr>
          <w:b/>
          <w:bCs/>
        </w:rPr>
      </w:pPr>
    </w:p>
    <w:p w14:paraId="78B444EB" w14:textId="77777777" w:rsidR="008353D9" w:rsidRDefault="008353D9">
      <w:pPr>
        <w:rPr>
          <w:b/>
          <w:bCs/>
          <w:lang w:val="en-CA"/>
        </w:rPr>
      </w:pPr>
      <w:r>
        <w:rPr>
          <w:lang w:val="en-CA"/>
        </w:rPr>
        <w:br w:type="page"/>
      </w:r>
    </w:p>
    <w:p w14:paraId="2A5A4534" w14:textId="360EE60E" w:rsidR="001B7421" w:rsidRPr="00BC1613" w:rsidRDefault="001B7421">
      <w:pPr>
        <w:pStyle w:val="Heading2"/>
        <w:jc w:val="left"/>
        <w:rPr>
          <w:sz w:val="24"/>
          <w:szCs w:val="24"/>
        </w:rPr>
      </w:pPr>
      <w:r w:rsidRPr="00BC1613">
        <w:rPr>
          <w:sz w:val="24"/>
          <w:szCs w:val="24"/>
          <w:lang w:val="en-CA"/>
        </w:rPr>
        <w:fldChar w:fldCharType="begin"/>
      </w:r>
      <w:r w:rsidRPr="00BC1613">
        <w:rPr>
          <w:sz w:val="24"/>
          <w:szCs w:val="24"/>
          <w:lang w:val="en-CA"/>
        </w:rPr>
        <w:instrText xml:space="preserve"> SEQ CHAPTER \h \r 1</w:instrText>
      </w:r>
      <w:r w:rsidRPr="00BC1613">
        <w:rPr>
          <w:sz w:val="24"/>
          <w:szCs w:val="24"/>
          <w:lang w:val="en-CA"/>
        </w:rPr>
        <w:fldChar w:fldCharType="end"/>
      </w:r>
      <w:r w:rsidRPr="00BC1613">
        <w:rPr>
          <w:sz w:val="24"/>
          <w:szCs w:val="24"/>
        </w:rPr>
        <w:tab/>
      </w:r>
      <w:bookmarkStart w:id="25" w:name="_Toc227390380"/>
      <w:bookmarkStart w:id="26" w:name="_Toc453944850"/>
      <w:r w:rsidRPr="00BC1613">
        <w:rPr>
          <w:sz w:val="24"/>
          <w:szCs w:val="24"/>
        </w:rPr>
        <w:t>3(f)</w:t>
      </w:r>
      <w:r w:rsidRPr="00BC1613">
        <w:rPr>
          <w:sz w:val="24"/>
          <w:szCs w:val="24"/>
        </w:rPr>
        <w:tab/>
        <w:t>Confidentiality</w:t>
      </w:r>
      <w:bookmarkEnd w:id="25"/>
      <w:bookmarkEnd w:id="26"/>
    </w:p>
    <w:p w14:paraId="641D9E93" w14:textId="77777777" w:rsidR="001B7421" w:rsidRPr="00BC1613" w:rsidRDefault="001B7421">
      <w:pPr>
        <w:rPr>
          <w:b/>
          <w:bCs/>
        </w:rPr>
      </w:pPr>
    </w:p>
    <w:p w14:paraId="5F596091" w14:textId="77777777" w:rsidR="001B7421" w:rsidRPr="00BC1613" w:rsidRDefault="007A6465" w:rsidP="00BC1613">
      <w:pPr>
        <w:ind w:firstLine="720"/>
      </w:pPr>
      <w:r w:rsidRPr="00BC1613">
        <w:t>EPA does not expect that any information collected under this ICR will involve confidential business or trade secret information given that the data collection instruments are oriented towards consumers. The information collected will only pertain to the opinions of the respondents on the specific characteristics of the redesigned logo concepts as to their clarity, relevance, appeal, and likelihood of using products which are displaying the new design</w:t>
      </w:r>
      <w:r w:rsidR="00C64EED" w:rsidRPr="00BC1613">
        <w:t xml:space="preserve"> and the effectiveness and usefulness of </w:t>
      </w:r>
      <w:r w:rsidR="00910F36" w:rsidRPr="00BC1613">
        <w:t>educational and outreach activities</w:t>
      </w:r>
      <w:r w:rsidRPr="00BC1613">
        <w:t>. The Safer Choice program will use the information provided by consumers sole</w:t>
      </w:r>
      <w:r w:rsidR="00C64EED" w:rsidRPr="00BC1613">
        <w:t xml:space="preserve">ly for purposes related to determining how to more effectively </w:t>
      </w:r>
      <w:r w:rsidR="00910F36" w:rsidRPr="00BC1613">
        <w:t>educate consumers and other stakeholders on</w:t>
      </w:r>
      <w:r w:rsidR="00C64EED" w:rsidRPr="00BC1613">
        <w:t xml:space="preserve"> the redesigned logo. In the report of the research, all information will be aggregated, with no identification of individuals. Participants will be informed in advance that there will be an aggregated report of conclusions available to the public following the completion of the research. Participants will be reassured that no individually identifiable information will be included in the report</w:t>
      </w:r>
      <w:r w:rsidR="001B7421" w:rsidRPr="00BC1613">
        <w:t>.</w:t>
      </w:r>
    </w:p>
    <w:p w14:paraId="02DA7B7D" w14:textId="77777777" w:rsidR="001B7421" w:rsidRPr="00BC1613" w:rsidRDefault="001B7421" w:rsidP="001B7421"/>
    <w:p w14:paraId="12C0119A" w14:textId="2F33C200" w:rsidR="001B7421" w:rsidRPr="00BC1613" w:rsidRDefault="001B7421" w:rsidP="001B7421">
      <w:pPr>
        <w:pStyle w:val="Heading2"/>
        <w:jc w:val="left"/>
        <w:rPr>
          <w:sz w:val="24"/>
          <w:szCs w:val="24"/>
        </w:rPr>
      </w:pPr>
      <w:r w:rsidRPr="00BC1613">
        <w:rPr>
          <w:sz w:val="24"/>
          <w:szCs w:val="24"/>
          <w:lang w:val="en-CA"/>
        </w:rPr>
        <w:fldChar w:fldCharType="begin"/>
      </w:r>
      <w:r w:rsidRPr="00BC1613">
        <w:rPr>
          <w:sz w:val="24"/>
          <w:szCs w:val="24"/>
          <w:lang w:val="en-CA"/>
        </w:rPr>
        <w:instrText xml:space="preserve"> SEQ CHAPTER \h \r 1</w:instrText>
      </w:r>
      <w:r w:rsidRPr="00BC1613">
        <w:rPr>
          <w:sz w:val="24"/>
          <w:szCs w:val="24"/>
          <w:lang w:val="en-CA"/>
        </w:rPr>
        <w:fldChar w:fldCharType="end"/>
      </w:r>
      <w:r w:rsidRPr="00BC1613">
        <w:rPr>
          <w:sz w:val="24"/>
          <w:szCs w:val="24"/>
        </w:rPr>
        <w:tab/>
      </w:r>
      <w:bookmarkStart w:id="27" w:name="_Toc227390381"/>
      <w:bookmarkStart w:id="28" w:name="_Toc453944851"/>
      <w:r w:rsidRPr="00BC1613">
        <w:rPr>
          <w:sz w:val="24"/>
          <w:szCs w:val="24"/>
        </w:rPr>
        <w:t>3(g)</w:t>
      </w:r>
      <w:r w:rsidRPr="00BC1613">
        <w:rPr>
          <w:sz w:val="24"/>
          <w:szCs w:val="24"/>
        </w:rPr>
        <w:tab/>
        <w:t>Sensitive Questions</w:t>
      </w:r>
      <w:bookmarkEnd w:id="27"/>
      <w:bookmarkEnd w:id="28"/>
    </w:p>
    <w:p w14:paraId="6D6FF459" w14:textId="77777777" w:rsidR="001B7421" w:rsidRPr="00BC1613" w:rsidRDefault="001B7421">
      <w:pPr>
        <w:rPr>
          <w:b/>
          <w:bCs/>
        </w:rPr>
      </w:pPr>
    </w:p>
    <w:p w14:paraId="0BADDA21" w14:textId="5CC73BD0" w:rsidR="00333015" w:rsidRPr="00BC1613" w:rsidRDefault="001B7421" w:rsidP="00BC1613">
      <w:pPr>
        <w:ind w:firstLine="720"/>
      </w:pPr>
      <w:r w:rsidRPr="00BC1613">
        <w:t>The information collection activities discussed in this document do not involve any sensitive questions</w:t>
      </w:r>
      <w:r w:rsidR="00C64EED" w:rsidRPr="00BC1613">
        <w:t xml:space="preserve"> involving sexuality, religious beliefs, political affiliation, or other matters considered private, as referred to in the Supporting Statement for PRA Submissions in the document “Guidance on Agency Survey and Statistical Information Collections,” from January 20, 2006. EPA will adhere to its Privacy Policy (EPA classification number 2151) that establishes requirements for safeguarding the collection, access, use, dissemination, and storage of personally identifiable information (PII) and Privacy Act information in accordance with the Privacy Act of 1974, the E-Government Act of 2002, the Federal Information Security Management Act (FISMA), and policy and guidance issues by the President and Office of Management and Budget (OMB)</w:t>
      </w:r>
      <w:r w:rsidRPr="00BC1613">
        <w:t>.</w:t>
      </w:r>
    </w:p>
    <w:p w14:paraId="2795DD03" w14:textId="77777777" w:rsidR="00333015" w:rsidRPr="00BC1613" w:rsidRDefault="00333015"/>
    <w:p w14:paraId="3B4C7855" w14:textId="77777777" w:rsidR="001B7421" w:rsidRPr="00BC1613" w:rsidRDefault="001B7421">
      <w:pPr>
        <w:rPr>
          <w:b/>
          <w:bCs/>
        </w:rPr>
      </w:pPr>
    </w:p>
    <w:p w14:paraId="7FB13037" w14:textId="5958C2E2" w:rsidR="001B7421" w:rsidRPr="00BC1613" w:rsidRDefault="001B7421">
      <w:pPr>
        <w:pStyle w:val="Heading1"/>
      </w:pPr>
      <w:r w:rsidRPr="00BC1613">
        <w:rPr>
          <w:lang w:val="en-CA"/>
        </w:rPr>
        <w:fldChar w:fldCharType="begin"/>
      </w:r>
      <w:r w:rsidRPr="00BC1613">
        <w:rPr>
          <w:lang w:val="en-CA"/>
        </w:rPr>
        <w:instrText xml:space="preserve"> SEQ CHAPTER \h \r 1</w:instrText>
      </w:r>
      <w:r w:rsidRPr="00BC1613">
        <w:rPr>
          <w:lang w:val="en-CA"/>
        </w:rPr>
        <w:fldChar w:fldCharType="end"/>
      </w:r>
      <w:bookmarkStart w:id="29" w:name="_Toc227390382"/>
      <w:bookmarkStart w:id="30" w:name="_Toc453944852"/>
      <w:r w:rsidRPr="00BC1613">
        <w:t>4.</w:t>
      </w:r>
      <w:r w:rsidRPr="00BC1613">
        <w:tab/>
        <w:t>THE RESPONDENTS AND THE INFORMATION REQUESTED</w:t>
      </w:r>
      <w:bookmarkEnd w:id="29"/>
      <w:bookmarkEnd w:id="30"/>
    </w:p>
    <w:p w14:paraId="4B9397EE" w14:textId="77777777" w:rsidR="001B7421" w:rsidRPr="00BC1613" w:rsidRDefault="001B7421"/>
    <w:p w14:paraId="7838594D" w14:textId="77777777" w:rsidR="001B7421" w:rsidRPr="00BC1613" w:rsidRDefault="001B7421">
      <w:pPr>
        <w:pStyle w:val="Heading2"/>
        <w:jc w:val="left"/>
        <w:rPr>
          <w:sz w:val="24"/>
          <w:szCs w:val="24"/>
        </w:rPr>
      </w:pPr>
      <w:r w:rsidRPr="00BC1613">
        <w:rPr>
          <w:sz w:val="24"/>
          <w:szCs w:val="24"/>
        </w:rPr>
        <w:tab/>
      </w:r>
      <w:bookmarkStart w:id="31" w:name="_Toc227390383"/>
      <w:bookmarkStart w:id="32" w:name="_Toc453944853"/>
      <w:r w:rsidRPr="00BC1613">
        <w:rPr>
          <w:sz w:val="24"/>
          <w:szCs w:val="24"/>
        </w:rPr>
        <w:t>4(a)</w:t>
      </w:r>
      <w:r w:rsidRPr="00BC1613">
        <w:rPr>
          <w:sz w:val="24"/>
          <w:szCs w:val="24"/>
        </w:rPr>
        <w:tab/>
        <w:t>Respondents</w:t>
      </w:r>
      <w:bookmarkEnd w:id="31"/>
      <w:bookmarkEnd w:id="32"/>
    </w:p>
    <w:p w14:paraId="24C6E8FE" w14:textId="77777777" w:rsidR="001B7421" w:rsidRPr="00BC1613" w:rsidRDefault="001B7421"/>
    <w:p w14:paraId="7DE52239" w14:textId="77777777" w:rsidR="001B7421" w:rsidRPr="00BC1613" w:rsidRDefault="00C64EED" w:rsidP="00BC1613">
      <w:pPr>
        <w:ind w:firstLine="720"/>
      </w:pPr>
      <w:r w:rsidRPr="00BC1613">
        <w:t>Respondents will be adult members of the general population who are consumers, including consumers who consider the environment when making purchasing decisions (i.e., “leaning green” consumers).</w:t>
      </w:r>
      <w:r w:rsidRPr="00BC1613" w:rsidDel="00C64EED">
        <w:t xml:space="preserve"> </w:t>
      </w:r>
    </w:p>
    <w:p w14:paraId="5A5EEF9F" w14:textId="77777777" w:rsidR="00333015" w:rsidRPr="00BC1613" w:rsidRDefault="00333015">
      <w:pPr>
        <w:rPr>
          <w:b/>
          <w:bCs/>
        </w:rPr>
      </w:pPr>
    </w:p>
    <w:p w14:paraId="071B9DFA" w14:textId="77777777" w:rsidR="001B7421" w:rsidRPr="00BC1613" w:rsidRDefault="001B7421">
      <w:pPr>
        <w:pStyle w:val="Heading2"/>
        <w:jc w:val="left"/>
        <w:rPr>
          <w:sz w:val="24"/>
          <w:szCs w:val="24"/>
        </w:rPr>
      </w:pPr>
      <w:r w:rsidRPr="00BC1613">
        <w:rPr>
          <w:sz w:val="24"/>
          <w:szCs w:val="24"/>
        </w:rPr>
        <w:tab/>
      </w:r>
      <w:bookmarkStart w:id="33" w:name="_Toc227390384"/>
      <w:bookmarkStart w:id="34" w:name="_Toc453944854"/>
      <w:r w:rsidRPr="00BC1613">
        <w:rPr>
          <w:sz w:val="24"/>
          <w:szCs w:val="24"/>
        </w:rPr>
        <w:t>4(b)</w:t>
      </w:r>
      <w:r w:rsidRPr="00BC1613">
        <w:rPr>
          <w:sz w:val="24"/>
          <w:szCs w:val="24"/>
        </w:rPr>
        <w:tab/>
        <w:t>Information Requested</w:t>
      </w:r>
      <w:bookmarkEnd w:id="33"/>
      <w:bookmarkEnd w:id="34"/>
    </w:p>
    <w:p w14:paraId="498832EC" w14:textId="77777777" w:rsidR="001B7421" w:rsidRPr="00BC1613" w:rsidRDefault="001B7421"/>
    <w:p w14:paraId="09165CEE" w14:textId="67FE3279" w:rsidR="001B7421" w:rsidRPr="00BC1613" w:rsidRDefault="00C64EED" w:rsidP="00BC1613">
      <w:pPr>
        <w:pStyle w:val="BodyText"/>
        <w:ind w:firstLine="720"/>
        <w:rPr>
          <w:rFonts w:ascii="Times New Roman" w:hAnsi="Times New Roman" w:cs="Times New Roman"/>
          <w:sz w:val="24"/>
        </w:rPr>
      </w:pPr>
      <w:r w:rsidRPr="00BC1613">
        <w:rPr>
          <w:rFonts w:ascii="Times New Roman" w:hAnsi="Times New Roman" w:cs="Times New Roman"/>
          <w:sz w:val="24"/>
        </w:rPr>
        <w:t xml:space="preserve">Respondents screened for focus group participation will listen to questions and provide answers to </w:t>
      </w:r>
      <w:r w:rsidR="009A121E" w:rsidRPr="00BC1613">
        <w:rPr>
          <w:rFonts w:ascii="Times New Roman" w:hAnsi="Times New Roman" w:cs="Times New Roman"/>
          <w:sz w:val="24"/>
        </w:rPr>
        <w:t xml:space="preserve">those </w:t>
      </w:r>
      <w:r w:rsidRPr="00BC1613">
        <w:rPr>
          <w:rFonts w:ascii="Times New Roman" w:hAnsi="Times New Roman" w:cs="Times New Roman"/>
          <w:sz w:val="24"/>
        </w:rPr>
        <w:t>questions.</w:t>
      </w:r>
      <w:r w:rsidR="009A121E" w:rsidRPr="00BC1613">
        <w:rPr>
          <w:rFonts w:ascii="Times New Roman" w:hAnsi="Times New Roman" w:cs="Times New Roman"/>
          <w:sz w:val="24"/>
        </w:rPr>
        <w:t xml:space="preserve"> Respondents selected to participate in the focus groups </w:t>
      </w:r>
      <w:r w:rsidRPr="00BC1613">
        <w:rPr>
          <w:rFonts w:ascii="Times New Roman" w:hAnsi="Times New Roman" w:cs="Times New Roman"/>
          <w:sz w:val="24"/>
        </w:rPr>
        <w:t>will listen to directions, be presented with materials for discussion, participate in group discussions, and complete forms.</w:t>
      </w:r>
      <w:r w:rsidR="009A121E" w:rsidRPr="00BC1613">
        <w:rPr>
          <w:rFonts w:ascii="Times New Roman" w:hAnsi="Times New Roman" w:cs="Times New Roman"/>
          <w:sz w:val="24"/>
        </w:rPr>
        <w:t xml:space="preserve"> </w:t>
      </w:r>
      <w:r w:rsidRPr="00BC1613">
        <w:rPr>
          <w:rFonts w:ascii="Times New Roman" w:hAnsi="Times New Roman" w:cs="Times New Roman"/>
          <w:sz w:val="24"/>
        </w:rPr>
        <w:t xml:space="preserve">Consumer online survey participants will read directions, answer questions, and submit </w:t>
      </w:r>
      <w:r w:rsidR="009A121E" w:rsidRPr="00BC1613">
        <w:rPr>
          <w:rFonts w:ascii="Times New Roman" w:hAnsi="Times New Roman" w:cs="Times New Roman"/>
          <w:sz w:val="24"/>
        </w:rPr>
        <w:t>the</w:t>
      </w:r>
      <w:r w:rsidR="00BC1613" w:rsidRPr="00BC1613">
        <w:rPr>
          <w:rFonts w:ascii="Times New Roman" w:hAnsi="Times New Roman" w:cs="Times New Roman"/>
          <w:sz w:val="24"/>
        </w:rPr>
        <w:t xml:space="preserve"> online survey.</w:t>
      </w:r>
    </w:p>
    <w:p w14:paraId="3E1C8A9B" w14:textId="77777777" w:rsidR="00BC1613" w:rsidRPr="00BC1613" w:rsidRDefault="00BC1613" w:rsidP="00BC1613">
      <w:pPr>
        <w:pStyle w:val="BodyText"/>
        <w:rPr>
          <w:rFonts w:ascii="Times New Roman" w:hAnsi="Times New Roman" w:cs="Times New Roman"/>
          <w:sz w:val="24"/>
        </w:rPr>
      </w:pPr>
    </w:p>
    <w:p w14:paraId="39F7DE18" w14:textId="77777777" w:rsidR="00572F02" w:rsidRPr="00BC1613" w:rsidRDefault="00572F02" w:rsidP="003615D5"/>
    <w:p w14:paraId="297B5F07" w14:textId="352E5B9F" w:rsidR="001024B8" w:rsidRDefault="001B7421" w:rsidP="008559BE">
      <w:pPr>
        <w:pStyle w:val="Heading1"/>
      </w:pPr>
      <w:r w:rsidRPr="00BC1613">
        <w:rPr>
          <w:lang w:val="en-CA"/>
        </w:rPr>
        <w:fldChar w:fldCharType="begin"/>
      </w:r>
      <w:r w:rsidRPr="00BC1613">
        <w:rPr>
          <w:lang w:val="en-CA"/>
        </w:rPr>
        <w:instrText xml:space="preserve"> SEQ CHAPTER \h \r 1</w:instrText>
      </w:r>
      <w:r w:rsidRPr="00BC1613">
        <w:rPr>
          <w:lang w:val="en-CA"/>
        </w:rPr>
        <w:fldChar w:fldCharType="end"/>
      </w:r>
      <w:bookmarkStart w:id="35" w:name="_Toc227390385"/>
      <w:bookmarkStart w:id="36" w:name="_Toc453944855"/>
      <w:r w:rsidRPr="00BC1613">
        <w:t>5</w:t>
      </w:r>
      <w:r w:rsidR="001E25B1">
        <w:t xml:space="preserve">. </w:t>
      </w:r>
      <w:r w:rsidRPr="00BC1613">
        <w:t xml:space="preserve">    </w:t>
      </w:r>
      <w:r w:rsidRPr="00BC1613">
        <w:tab/>
        <w:t xml:space="preserve">THE INFORMATION COLLECTED </w:t>
      </w:r>
      <w:r w:rsidR="00AB6F64" w:rsidRPr="00BC1613">
        <w:t xml:space="preserve">– AGENCY ACTIVITIES, COLLECTION </w:t>
      </w:r>
    </w:p>
    <w:p w14:paraId="75100B11" w14:textId="05B478A4" w:rsidR="001B7421" w:rsidRPr="00BC1613" w:rsidRDefault="001024B8" w:rsidP="008559BE">
      <w:pPr>
        <w:pStyle w:val="Heading1"/>
      </w:pPr>
      <w:r>
        <w:tab/>
      </w:r>
      <w:r w:rsidR="001B7421" w:rsidRPr="00BC1613">
        <w:t>METHODOLOGY, AND INFORMATION MANAGEMENT</w:t>
      </w:r>
      <w:bookmarkEnd w:id="35"/>
      <w:bookmarkEnd w:id="36"/>
    </w:p>
    <w:p w14:paraId="03858EE7" w14:textId="77777777" w:rsidR="001B7421" w:rsidRPr="00BC1613" w:rsidRDefault="001B7421"/>
    <w:p w14:paraId="35C7F3FC" w14:textId="77777777" w:rsidR="001B7421" w:rsidRPr="00BC1613" w:rsidRDefault="001B7421">
      <w:pPr>
        <w:pStyle w:val="Heading2"/>
        <w:jc w:val="left"/>
        <w:rPr>
          <w:sz w:val="24"/>
          <w:szCs w:val="24"/>
        </w:rPr>
      </w:pPr>
      <w:r w:rsidRPr="00BC1613">
        <w:rPr>
          <w:sz w:val="24"/>
          <w:szCs w:val="24"/>
        </w:rPr>
        <w:tab/>
      </w:r>
      <w:bookmarkStart w:id="37" w:name="_Toc227390386"/>
      <w:bookmarkStart w:id="38" w:name="_Toc453944856"/>
      <w:r w:rsidRPr="00BC1613">
        <w:rPr>
          <w:sz w:val="24"/>
          <w:szCs w:val="24"/>
        </w:rPr>
        <w:t>5(a)</w:t>
      </w:r>
      <w:r w:rsidRPr="00BC1613">
        <w:rPr>
          <w:sz w:val="24"/>
          <w:szCs w:val="24"/>
        </w:rPr>
        <w:tab/>
        <w:t>Agency Activities</w:t>
      </w:r>
      <w:bookmarkEnd w:id="37"/>
      <w:bookmarkEnd w:id="38"/>
    </w:p>
    <w:p w14:paraId="52E7C9A3" w14:textId="77777777" w:rsidR="001B7421" w:rsidRPr="00BC1613" w:rsidRDefault="001B7421"/>
    <w:p w14:paraId="212F49CF" w14:textId="77777777" w:rsidR="001B7421" w:rsidRPr="00BC1613" w:rsidRDefault="009A121E" w:rsidP="00BC1613">
      <w:pPr>
        <w:ind w:firstLine="432"/>
      </w:pPr>
      <w:r w:rsidRPr="00BC1613">
        <w:t>EPA and its contractor will</w:t>
      </w:r>
      <w:r w:rsidR="001B7421" w:rsidRPr="00BC1613">
        <w:t xml:space="preserve"> </w:t>
      </w:r>
      <w:r w:rsidR="00B8224E" w:rsidRPr="00BC1613">
        <w:t>engage</w:t>
      </w:r>
      <w:r w:rsidR="001B7421" w:rsidRPr="00BC1613">
        <w:t xml:space="preserve"> in the following activities related to the </w:t>
      </w:r>
      <w:r w:rsidRPr="00BC1613">
        <w:t>logo redesign survey and focus group process</w:t>
      </w:r>
      <w:r w:rsidR="00FC1F84" w:rsidRPr="00BC1613">
        <w:t>:</w:t>
      </w:r>
    </w:p>
    <w:p w14:paraId="2E2F4AA4" w14:textId="77777777" w:rsidR="001B7421" w:rsidRPr="00BC1613" w:rsidRDefault="001B7421"/>
    <w:p w14:paraId="674F3125" w14:textId="77777777" w:rsidR="00D621B3" w:rsidRPr="00BC1613" w:rsidRDefault="009A121E" w:rsidP="00560290">
      <w:pPr>
        <w:numPr>
          <w:ilvl w:val="0"/>
          <w:numId w:val="4"/>
        </w:numPr>
      </w:pPr>
      <w:r w:rsidRPr="00BC1613">
        <w:t>Prepare and review focus group materials</w:t>
      </w:r>
      <w:r w:rsidR="00D621B3" w:rsidRPr="00BC1613">
        <w:t>;</w:t>
      </w:r>
    </w:p>
    <w:p w14:paraId="641D41CA" w14:textId="77777777" w:rsidR="001B7421" w:rsidRPr="00BC1613" w:rsidRDefault="009A121E" w:rsidP="00560290">
      <w:pPr>
        <w:numPr>
          <w:ilvl w:val="0"/>
          <w:numId w:val="4"/>
        </w:numPr>
      </w:pPr>
      <w:r w:rsidRPr="00BC1613">
        <w:t>Prepare and review screener questionnaires</w:t>
      </w:r>
      <w:r w:rsidR="001B7421" w:rsidRPr="00BC1613">
        <w:t xml:space="preserve">; </w:t>
      </w:r>
    </w:p>
    <w:p w14:paraId="5171CB0F" w14:textId="77777777" w:rsidR="001B7421" w:rsidRPr="00BC1613" w:rsidRDefault="009A121E">
      <w:pPr>
        <w:numPr>
          <w:ilvl w:val="0"/>
          <w:numId w:val="4"/>
        </w:numPr>
      </w:pPr>
      <w:r w:rsidRPr="00BC1613">
        <w:t>Conduct focus group screening</w:t>
      </w:r>
      <w:r w:rsidR="001B7421" w:rsidRPr="00BC1613">
        <w:t xml:space="preserve"> calls;</w:t>
      </w:r>
    </w:p>
    <w:p w14:paraId="1587CEC6" w14:textId="77777777" w:rsidR="001B7421" w:rsidRPr="00BC1613" w:rsidRDefault="009A121E">
      <w:pPr>
        <w:numPr>
          <w:ilvl w:val="0"/>
          <w:numId w:val="4"/>
        </w:numPr>
      </w:pPr>
      <w:r w:rsidRPr="00BC1613">
        <w:t>Conduct focus groups</w:t>
      </w:r>
      <w:r w:rsidR="001B7421" w:rsidRPr="00BC1613">
        <w:t xml:space="preserve">; </w:t>
      </w:r>
    </w:p>
    <w:p w14:paraId="161450FB" w14:textId="77777777" w:rsidR="009A121E" w:rsidRPr="00BC1613" w:rsidRDefault="009A121E">
      <w:pPr>
        <w:numPr>
          <w:ilvl w:val="0"/>
          <w:numId w:val="4"/>
        </w:numPr>
      </w:pPr>
      <w:r w:rsidRPr="00BC1613">
        <w:t>Review and analyze focus group results</w:t>
      </w:r>
      <w:r w:rsidR="003B11AB" w:rsidRPr="00BC1613">
        <w:t>;</w:t>
      </w:r>
    </w:p>
    <w:p w14:paraId="247378DD" w14:textId="77777777" w:rsidR="009A121E" w:rsidRPr="00BC1613" w:rsidRDefault="009A121E">
      <w:pPr>
        <w:numPr>
          <w:ilvl w:val="0"/>
          <w:numId w:val="4"/>
        </w:numPr>
      </w:pPr>
      <w:r w:rsidRPr="00BC1613">
        <w:t>Prepare and review consumer online surveys;</w:t>
      </w:r>
    </w:p>
    <w:p w14:paraId="7CF07B4A" w14:textId="77777777" w:rsidR="009A121E" w:rsidRPr="00BC1613" w:rsidRDefault="009A121E">
      <w:pPr>
        <w:numPr>
          <w:ilvl w:val="0"/>
          <w:numId w:val="4"/>
        </w:numPr>
      </w:pPr>
      <w:r w:rsidRPr="00BC1613">
        <w:t>Conduct consumer online surveys;</w:t>
      </w:r>
    </w:p>
    <w:p w14:paraId="30B6D140" w14:textId="77777777" w:rsidR="009A121E" w:rsidRPr="00BC1613" w:rsidRDefault="009A121E">
      <w:pPr>
        <w:numPr>
          <w:ilvl w:val="0"/>
          <w:numId w:val="4"/>
        </w:numPr>
      </w:pPr>
      <w:r w:rsidRPr="00BC1613">
        <w:t>Review and analyze consumer online surveys; and</w:t>
      </w:r>
    </w:p>
    <w:p w14:paraId="70865864" w14:textId="77777777" w:rsidR="00F5354D" w:rsidRPr="00BC1613" w:rsidRDefault="009A121E" w:rsidP="009A121E">
      <w:pPr>
        <w:numPr>
          <w:ilvl w:val="0"/>
          <w:numId w:val="4"/>
        </w:numPr>
      </w:pPr>
      <w:r w:rsidRPr="00BC1613">
        <w:t>Use focus group and consumer online survey information to evaluate consumer recognition of the redesigned logo and effectiveness of outreach efforts</w:t>
      </w:r>
      <w:r w:rsidR="00F5354D" w:rsidRPr="00BC1613">
        <w:t>.</w:t>
      </w:r>
    </w:p>
    <w:p w14:paraId="6CF9F3DB" w14:textId="77777777" w:rsidR="001B7421" w:rsidRPr="00BC1613" w:rsidRDefault="001B7421"/>
    <w:p w14:paraId="4C0CF864" w14:textId="11BFF343" w:rsidR="001B7421" w:rsidRPr="00BC1613" w:rsidRDefault="001B7421">
      <w:pPr>
        <w:pStyle w:val="Heading2"/>
        <w:jc w:val="left"/>
        <w:rPr>
          <w:sz w:val="24"/>
          <w:szCs w:val="24"/>
        </w:rPr>
      </w:pPr>
      <w:r w:rsidRPr="00BC1613">
        <w:rPr>
          <w:sz w:val="24"/>
          <w:szCs w:val="24"/>
          <w:lang w:val="en-CA"/>
        </w:rPr>
        <w:fldChar w:fldCharType="begin"/>
      </w:r>
      <w:r w:rsidRPr="00BC1613">
        <w:rPr>
          <w:sz w:val="24"/>
          <w:szCs w:val="24"/>
          <w:lang w:val="en-CA"/>
        </w:rPr>
        <w:instrText xml:space="preserve"> SEQ CHAPTER \h \r 1</w:instrText>
      </w:r>
      <w:r w:rsidRPr="00BC1613">
        <w:rPr>
          <w:sz w:val="24"/>
          <w:szCs w:val="24"/>
          <w:lang w:val="en-CA"/>
        </w:rPr>
        <w:fldChar w:fldCharType="end"/>
      </w:r>
      <w:r w:rsidRPr="00BC1613">
        <w:rPr>
          <w:sz w:val="24"/>
          <w:szCs w:val="24"/>
        </w:rPr>
        <w:tab/>
      </w:r>
      <w:bookmarkStart w:id="39" w:name="_Toc227390387"/>
      <w:bookmarkStart w:id="40" w:name="_Toc453944857"/>
      <w:r w:rsidRPr="00BC1613">
        <w:rPr>
          <w:sz w:val="24"/>
          <w:szCs w:val="24"/>
        </w:rPr>
        <w:t>5(b)</w:t>
      </w:r>
      <w:r w:rsidRPr="00BC1613">
        <w:rPr>
          <w:sz w:val="24"/>
          <w:szCs w:val="24"/>
        </w:rPr>
        <w:tab/>
        <w:t>Collection Methodology and Management</w:t>
      </w:r>
      <w:bookmarkEnd w:id="39"/>
      <w:bookmarkEnd w:id="40"/>
    </w:p>
    <w:p w14:paraId="28A1FA75" w14:textId="77777777" w:rsidR="001B7421" w:rsidRPr="00BC1613" w:rsidRDefault="001B7421"/>
    <w:p w14:paraId="69122415" w14:textId="45A9683E" w:rsidR="001B7421" w:rsidRPr="00BC1613" w:rsidRDefault="009A121E" w:rsidP="00BC1613">
      <w:pPr>
        <w:ind w:firstLine="720"/>
      </w:pPr>
      <w:r w:rsidRPr="00BC1613">
        <w:t xml:space="preserve">In collecting and analyzing the information associated with this ICR, EPA and its contractor will use a telephone system and personal computers. The contractor will employ transcription to collect information from focus group participants. The transcriptions will be kept on file but will not be distributed publicly. Personal computers will be used for the consumer online surveys. Detailed information on survey resources is included in </w:t>
      </w:r>
      <w:r w:rsidR="002B3A5B" w:rsidRPr="002B3A5B">
        <w:t xml:space="preserve">Supporting Statement </w:t>
      </w:r>
      <w:r w:rsidR="00C0153B">
        <w:t>Part B</w:t>
      </w:r>
      <w:r w:rsidR="001C33FB" w:rsidRPr="00BC1613">
        <w:t xml:space="preserve">. </w:t>
      </w:r>
    </w:p>
    <w:p w14:paraId="77FF21B4" w14:textId="77777777" w:rsidR="001B7421" w:rsidRPr="00BC1613" w:rsidRDefault="001B7421"/>
    <w:p w14:paraId="11BCDBB2" w14:textId="475A036C" w:rsidR="001B7421" w:rsidRPr="00BC1613" w:rsidRDefault="001B7421">
      <w:pPr>
        <w:pStyle w:val="Heading2"/>
        <w:jc w:val="left"/>
        <w:rPr>
          <w:sz w:val="24"/>
          <w:szCs w:val="24"/>
        </w:rPr>
      </w:pPr>
      <w:r w:rsidRPr="00BC1613">
        <w:rPr>
          <w:sz w:val="24"/>
          <w:szCs w:val="24"/>
          <w:lang w:val="en-CA"/>
        </w:rPr>
        <w:fldChar w:fldCharType="begin"/>
      </w:r>
      <w:r w:rsidRPr="00BC1613">
        <w:rPr>
          <w:sz w:val="24"/>
          <w:szCs w:val="24"/>
          <w:lang w:val="en-CA"/>
        </w:rPr>
        <w:instrText xml:space="preserve"> SEQ CHAPTER \h \r 1</w:instrText>
      </w:r>
      <w:r w:rsidRPr="00BC1613">
        <w:rPr>
          <w:sz w:val="24"/>
          <w:szCs w:val="24"/>
          <w:lang w:val="en-CA"/>
        </w:rPr>
        <w:fldChar w:fldCharType="end"/>
      </w:r>
      <w:r w:rsidRPr="00BC1613">
        <w:rPr>
          <w:sz w:val="24"/>
          <w:szCs w:val="24"/>
        </w:rPr>
        <w:tab/>
      </w:r>
      <w:bookmarkStart w:id="41" w:name="_Toc227390388"/>
      <w:bookmarkStart w:id="42" w:name="_Toc453944858"/>
      <w:r w:rsidRPr="00BC1613">
        <w:rPr>
          <w:sz w:val="24"/>
          <w:szCs w:val="24"/>
        </w:rPr>
        <w:t>5(c)</w:t>
      </w:r>
      <w:r w:rsidRPr="00BC1613">
        <w:rPr>
          <w:sz w:val="24"/>
          <w:szCs w:val="24"/>
        </w:rPr>
        <w:tab/>
        <w:t>Small Entity Flexibility</w:t>
      </w:r>
      <w:bookmarkEnd w:id="41"/>
      <w:bookmarkEnd w:id="42"/>
    </w:p>
    <w:p w14:paraId="15450552" w14:textId="77777777" w:rsidR="001B7421" w:rsidRPr="00BC1613" w:rsidRDefault="001B7421"/>
    <w:p w14:paraId="13E9E379" w14:textId="77777777" w:rsidR="001B7421" w:rsidRPr="00BC1613" w:rsidRDefault="009A121E" w:rsidP="00BC1613">
      <w:pPr>
        <w:ind w:firstLine="720"/>
      </w:pPr>
      <w:r w:rsidRPr="00BC1613">
        <w:t>The intended respondents to the information collection activities addressed in this ICR are individual consumers and not small entities, as defined under the Regulatory Flexibility Act. No information will be collected from small entities during this information collection</w:t>
      </w:r>
      <w:r w:rsidR="001B7421" w:rsidRPr="00BC1613">
        <w:t>.</w:t>
      </w:r>
    </w:p>
    <w:p w14:paraId="0EC853C7" w14:textId="77777777" w:rsidR="00333015" w:rsidRPr="00BC1613" w:rsidRDefault="00333015"/>
    <w:p w14:paraId="3A4C0C50" w14:textId="7C287B4F" w:rsidR="001B7421" w:rsidRPr="00BC1613" w:rsidRDefault="001B7421">
      <w:pPr>
        <w:pStyle w:val="Heading2"/>
        <w:jc w:val="left"/>
        <w:rPr>
          <w:sz w:val="24"/>
          <w:szCs w:val="24"/>
        </w:rPr>
      </w:pPr>
      <w:r w:rsidRPr="00BC1613">
        <w:rPr>
          <w:sz w:val="24"/>
          <w:szCs w:val="24"/>
          <w:lang w:val="en-CA"/>
        </w:rPr>
        <w:fldChar w:fldCharType="begin"/>
      </w:r>
      <w:r w:rsidRPr="00BC1613">
        <w:rPr>
          <w:sz w:val="24"/>
          <w:szCs w:val="24"/>
          <w:lang w:val="en-CA"/>
        </w:rPr>
        <w:instrText xml:space="preserve"> SEQ CHAPTER \h \r 1</w:instrText>
      </w:r>
      <w:r w:rsidRPr="00BC1613">
        <w:rPr>
          <w:sz w:val="24"/>
          <w:szCs w:val="24"/>
          <w:lang w:val="en-CA"/>
        </w:rPr>
        <w:fldChar w:fldCharType="end"/>
      </w:r>
      <w:r w:rsidRPr="00BC1613">
        <w:rPr>
          <w:sz w:val="24"/>
          <w:szCs w:val="24"/>
        </w:rPr>
        <w:tab/>
      </w:r>
      <w:bookmarkStart w:id="43" w:name="_Toc227390389"/>
      <w:bookmarkStart w:id="44" w:name="_Toc453944859"/>
      <w:r w:rsidRPr="00BC1613">
        <w:rPr>
          <w:sz w:val="24"/>
          <w:szCs w:val="24"/>
        </w:rPr>
        <w:t>5(d)</w:t>
      </w:r>
      <w:r w:rsidRPr="00BC1613">
        <w:rPr>
          <w:sz w:val="24"/>
          <w:szCs w:val="24"/>
        </w:rPr>
        <w:tab/>
        <w:t>Collection Schedule</w:t>
      </w:r>
      <w:bookmarkEnd w:id="43"/>
      <w:bookmarkEnd w:id="44"/>
    </w:p>
    <w:p w14:paraId="128125A4" w14:textId="77777777" w:rsidR="001B7421" w:rsidRPr="00BC1613" w:rsidRDefault="001B7421"/>
    <w:p w14:paraId="7F8DD07A" w14:textId="77777777" w:rsidR="009A121E" w:rsidRPr="00BC1613" w:rsidRDefault="009A121E" w:rsidP="00BC1613">
      <w:pPr>
        <w:ind w:firstLine="720"/>
      </w:pPr>
      <w:r w:rsidRPr="00BC1613">
        <w:t>Screening calls</w:t>
      </w:r>
      <w:r w:rsidR="008A3A00" w:rsidRPr="00BC1613">
        <w:t xml:space="preserve">, </w:t>
      </w:r>
      <w:r w:rsidRPr="00BC1613">
        <w:t>focus groups</w:t>
      </w:r>
      <w:r w:rsidR="008A3A00" w:rsidRPr="00BC1613">
        <w:t>, and the online surveys</w:t>
      </w:r>
      <w:r w:rsidRPr="00BC1613">
        <w:t xml:space="preserve"> will be scheduled after this ICR is approved. Up to three consumer online surveys to gauge recognition of the new logo will be distributed during the course of the three-year approval period. </w:t>
      </w:r>
    </w:p>
    <w:p w14:paraId="7E83D898" w14:textId="77777777" w:rsidR="00FE4AC8" w:rsidRPr="00BC1613" w:rsidRDefault="00FE4AC8"/>
    <w:p w14:paraId="23193E39" w14:textId="51EDBD67" w:rsidR="008353D9" w:rsidRDefault="009A121E" w:rsidP="00BC1613">
      <w:pPr>
        <w:ind w:firstLine="720"/>
      </w:pPr>
      <w:r w:rsidRPr="00BC1613">
        <w:t>A proposed timetable is outlined as follows:</w:t>
      </w:r>
    </w:p>
    <w:p w14:paraId="2887E944" w14:textId="77777777" w:rsidR="008353D9" w:rsidRDefault="008353D9">
      <w:r>
        <w:br w:type="page"/>
      </w:r>
    </w:p>
    <w:tbl>
      <w:tblPr>
        <w:tblStyle w:val="TableGrid"/>
        <w:tblW w:w="0" w:type="auto"/>
        <w:tblLook w:val="04A0" w:firstRow="1" w:lastRow="0" w:firstColumn="1" w:lastColumn="0" w:noHBand="0" w:noVBand="1"/>
      </w:tblPr>
      <w:tblGrid>
        <w:gridCol w:w="5755"/>
        <w:gridCol w:w="3595"/>
      </w:tblGrid>
      <w:tr w:rsidR="009A121E" w14:paraId="4EBD3F5B" w14:textId="77777777" w:rsidTr="002B3A5B">
        <w:tc>
          <w:tcPr>
            <w:tcW w:w="5755" w:type="dxa"/>
            <w:vAlign w:val="center"/>
          </w:tcPr>
          <w:p w14:paraId="1A74E60E" w14:textId="7784E858" w:rsidR="009A121E" w:rsidRPr="009A121E" w:rsidRDefault="009A121E" w:rsidP="001E25B1">
            <w:pPr>
              <w:rPr>
                <w:b/>
                <w:bCs/>
                <w:sz w:val="22"/>
              </w:rPr>
            </w:pPr>
            <w:r w:rsidRPr="00FF6CFA">
              <w:rPr>
                <w:b/>
                <w:bCs/>
                <w:sz w:val="22"/>
              </w:rPr>
              <w:t>Activity</w:t>
            </w:r>
          </w:p>
        </w:tc>
        <w:tc>
          <w:tcPr>
            <w:tcW w:w="3595" w:type="dxa"/>
            <w:vAlign w:val="center"/>
          </w:tcPr>
          <w:p w14:paraId="11AA564B" w14:textId="77777777" w:rsidR="009A121E" w:rsidRPr="009A121E" w:rsidRDefault="009A121E" w:rsidP="001E25B1">
            <w:pPr>
              <w:rPr>
                <w:b/>
                <w:bCs/>
                <w:sz w:val="22"/>
              </w:rPr>
            </w:pPr>
            <w:r>
              <w:rPr>
                <w:b/>
                <w:bCs/>
                <w:sz w:val="22"/>
              </w:rPr>
              <w:t>Time Frame</w:t>
            </w:r>
          </w:p>
        </w:tc>
      </w:tr>
      <w:tr w:rsidR="009A121E" w14:paraId="5B56D45C" w14:textId="77777777" w:rsidTr="002B3A5B">
        <w:tc>
          <w:tcPr>
            <w:tcW w:w="5755" w:type="dxa"/>
            <w:vAlign w:val="center"/>
          </w:tcPr>
          <w:p w14:paraId="4C90AEEA" w14:textId="77777777" w:rsidR="009A121E" w:rsidRPr="00FF6CFA" w:rsidRDefault="009A121E" w:rsidP="001E25B1">
            <w:pPr>
              <w:rPr>
                <w:bCs/>
                <w:sz w:val="22"/>
              </w:rPr>
            </w:pPr>
            <w:r>
              <w:rPr>
                <w:bCs/>
                <w:sz w:val="22"/>
              </w:rPr>
              <w:t>Conduct focus group sessions</w:t>
            </w:r>
          </w:p>
        </w:tc>
        <w:tc>
          <w:tcPr>
            <w:tcW w:w="3595" w:type="dxa"/>
            <w:vAlign w:val="center"/>
          </w:tcPr>
          <w:p w14:paraId="659334A0" w14:textId="5BFDC233" w:rsidR="009A121E" w:rsidRPr="00FF6CFA" w:rsidRDefault="00CC07AD" w:rsidP="001E25B1">
            <w:pPr>
              <w:rPr>
                <w:bCs/>
                <w:sz w:val="22"/>
              </w:rPr>
            </w:pPr>
            <w:r>
              <w:rPr>
                <w:bCs/>
                <w:sz w:val="22"/>
              </w:rPr>
              <w:t>TBD</w:t>
            </w:r>
          </w:p>
        </w:tc>
      </w:tr>
      <w:tr w:rsidR="00A81985" w14:paraId="1CF915DC" w14:textId="77777777" w:rsidTr="002B3A5B">
        <w:tc>
          <w:tcPr>
            <w:tcW w:w="5755" w:type="dxa"/>
            <w:vAlign w:val="center"/>
          </w:tcPr>
          <w:p w14:paraId="1F346B38" w14:textId="087315CE" w:rsidR="00A81985" w:rsidRDefault="00A81985" w:rsidP="001E25B1">
            <w:pPr>
              <w:rPr>
                <w:bCs/>
                <w:sz w:val="22"/>
              </w:rPr>
            </w:pPr>
            <w:r>
              <w:rPr>
                <w:bCs/>
                <w:sz w:val="22"/>
              </w:rPr>
              <w:t>Field survey and conduct focus group to test consumer recognition and perception of new design and effectiveness of outreach efforts</w:t>
            </w:r>
          </w:p>
        </w:tc>
        <w:tc>
          <w:tcPr>
            <w:tcW w:w="3595" w:type="dxa"/>
            <w:vAlign w:val="center"/>
          </w:tcPr>
          <w:p w14:paraId="3902014F" w14:textId="55D77C81" w:rsidR="00A81985" w:rsidDel="00CC07AD" w:rsidRDefault="00A81985" w:rsidP="001E25B1">
            <w:pPr>
              <w:rPr>
                <w:bCs/>
                <w:sz w:val="22"/>
              </w:rPr>
            </w:pPr>
            <w:r>
              <w:rPr>
                <w:bCs/>
                <w:sz w:val="22"/>
              </w:rPr>
              <w:t>Early 2020</w:t>
            </w:r>
          </w:p>
        </w:tc>
      </w:tr>
      <w:tr w:rsidR="00D775C6" w14:paraId="634EAE73" w14:textId="77777777" w:rsidTr="002B3A5B">
        <w:tc>
          <w:tcPr>
            <w:tcW w:w="5755" w:type="dxa"/>
            <w:vAlign w:val="center"/>
          </w:tcPr>
          <w:p w14:paraId="40A7DB84" w14:textId="77777777" w:rsidR="00D775C6" w:rsidRDefault="00D775C6" w:rsidP="001E25B1">
            <w:pPr>
              <w:rPr>
                <w:bCs/>
                <w:sz w:val="22"/>
              </w:rPr>
            </w:pPr>
            <w:r>
              <w:rPr>
                <w:bCs/>
                <w:sz w:val="22"/>
              </w:rPr>
              <w:t>Field survey and conduct focus group to test consumer recognition and perception of new design and effectiveness of outreach efforts</w:t>
            </w:r>
          </w:p>
        </w:tc>
        <w:tc>
          <w:tcPr>
            <w:tcW w:w="3595" w:type="dxa"/>
            <w:vAlign w:val="center"/>
          </w:tcPr>
          <w:p w14:paraId="029D3032" w14:textId="3997D58A" w:rsidR="00D775C6" w:rsidRDefault="00CC07AD" w:rsidP="001E25B1">
            <w:pPr>
              <w:rPr>
                <w:bCs/>
                <w:sz w:val="22"/>
              </w:rPr>
            </w:pPr>
            <w:r>
              <w:rPr>
                <w:bCs/>
                <w:sz w:val="22"/>
              </w:rPr>
              <w:t>Early 2021</w:t>
            </w:r>
          </w:p>
        </w:tc>
      </w:tr>
      <w:tr w:rsidR="00D775C6" w14:paraId="56968EC6" w14:textId="77777777" w:rsidTr="002B3A5B">
        <w:tc>
          <w:tcPr>
            <w:tcW w:w="5755" w:type="dxa"/>
            <w:vAlign w:val="center"/>
          </w:tcPr>
          <w:p w14:paraId="5C876C23" w14:textId="77777777" w:rsidR="00D775C6" w:rsidRDefault="00D775C6" w:rsidP="001E25B1">
            <w:pPr>
              <w:rPr>
                <w:bCs/>
                <w:sz w:val="22"/>
              </w:rPr>
            </w:pPr>
            <w:r>
              <w:rPr>
                <w:bCs/>
                <w:sz w:val="22"/>
              </w:rPr>
              <w:t>Field survey and conduct focus group to test consumer recognition and perception of new design and effectiveness of outreach efforts</w:t>
            </w:r>
          </w:p>
        </w:tc>
        <w:tc>
          <w:tcPr>
            <w:tcW w:w="3595" w:type="dxa"/>
            <w:vAlign w:val="center"/>
          </w:tcPr>
          <w:p w14:paraId="524C5CF2" w14:textId="10E7F051" w:rsidR="00D775C6" w:rsidRDefault="00CC07AD" w:rsidP="001E25B1">
            <w:pPr>
              <w:rPr>
                <w:bCs/>
                <w:sz w:val="22"/>
              </w:rPr>
            </w:pPr>
            <w:r>
              <w:rPr>
                <w:bCs/>
                <w:sz w:val="22"/>
              </w:rPr>
              <w:t>Early 2022</w:t>
            </w:r>
          </w:p>
        </w:tc>
      </w:tr>
    </w:tbl>
    <w:p w14:paraId="68F01A1E" w14:textId="77777777" w:rsidR="00FE4AC8" w:rsidRDefault="00FE4AC8" w:rsidP="00BC1613">
      <w:pPr>
        <w:pStyle w:val="NoSpacing"/>
      </w:pPr>
    </w:p>
    <w:p w14:paraId="5E26E915" w14:textId="77777777" w:rsidR="00FE4AC8" w:rsidRDefault="00FE4AC8" w:rsidP="00BC1613">
      <w:pPr>
        <w:pStyle w:val="NoSpacing"/>
      </w:pPr>
    </w:p>
    <w:p w14:paraId="15C8B1F5" w14:textId="485CABF9" w:rsidR="001B7421" w:rsidRPr="00BC1613" w:rsidRDefault="001B7421" w:rsidP="001B7421">
      <w:pPr>
        <w:pStyle w:val="Heading1"/>
      </w:pPr>
      <w:r w:rsidRPr="00BC1613">
        <w:rPr>
          <w:lang w:val="en-CA"/>
        </w:rPr>
        <w:fldChar w:fldCharType="begin"/>
      </w:r>
      <w:r w:rsidRPr="00BC1613">
        <w:rPr>
          <w:lang w:val="en-CA"/>
        </w:rPr>
        <w:instrText xml:space="preserve"> SEQ CHAPTER \h \r 1</w:instrText>
      </w:r>
      <w:r w:rsidRPr="00BC1613">
        <w:rPr>
          <w:lang w:val="en-CA"/>
        </w:rPr>
        <w:fldChar w:fldCharType="end"/>
      </w:r>
      <w:bookmarkStart w:id="45" w:name="_Toc160347328"/>
      <w:bookmarkStart w:id="46" w:name="_Toc227390390"/>
      <w:bookmarkStart w:id="47" w:name="_Toc453944860"/>
      <w:r w:rsidRPr="00BC1613">
        <w:t>6.</w:t>
      </w:r>
      <w:r w:rsidRPr="00BC1613">
        <w:tab/>
        <w:t>ESTIMATING THE BURDEN AND COST OF THE COLLECTION</w:t>
      </w:r>
      <w:bookmarkEnd w:id="45"/>
      <w:bookmarkEnd w:id="46"/>
      <w:bookmarkEnd w:id="47"/>
    </w:p>
    <w:p w14:paraId="4F5FC9FC" w14:textId="77777777" w:rsidR="001B7421" w:rsidRPr="00BC1613" w:rsidRDefault="001B7421" w:rsidP="001B7421"/>
    <w:p w14:paraId="28D4BB6A" w14:textId="77777777" w:rsidR="001B7421" w:rsidRPr="00BC1613" w:rsidRDefault="001B7421" w:rsidP="001B7421">
      <w:pPr>
        <w:pStyle w:val="Heading2"/>
        <w:jc w:val="left"/>
        <w:rPr>
          <w:sz w:val="24"/>
          <w:szCs w:val="24"/>
        </w:rPr>
      </w:pPr>
      <w:r w:rsidRPr="00BC1613">
        <w:rPr>
          <w:sz w:val="24"/>
          <w:szCs w:val="24"/>
        </w:rPr>
        <w:tab/>
      </w:r>
      <w:bookmarkStart w:id="48" w:name="_Toc160347329"/>
      <w:bookmarkStart w:id="49" w:name="_Toc227390391"/>
      <w:bookmarkStart w:id="50" w:name="_Toc453944861"/>
      <w:r w:rsidRPr="00BC1613">
        <w:rPr>
          <w:sz w:val="24"/>
          <w:szCs w:val="24"/>
        </w:rPr>
        <w:t>6(a)</w:t>
      </w:r>
      <w:r w:rsidRPr="00BC1613">
        <w:rPr>
          <w:sz w:val="24"/>
          <w:szCs w:val="24"/>
        </w:rPr>
        <w:tab/>
        <w:t>Estimating Respondent Burden</w:t>
      </w:r>
      <w:bookmarkEnd w:id="48"/>
      <w:bookmarkEnd w:id="49"/>
      <w:bookmarkEnd w:id="50"/>
    </w:p>
    <w:p w14:paraId="04269672" w14:textId="77777777" w:rsidR="001B7421" w:rsidRPr="00BC1613" w:rsidRDefault="001B7421" w:rsidP="001B7421"/>
    <w:p w14:paraId="57664B16" w14:textId="25D69688" w:rsidR="00F054AE" w:rsidRPr="00BC1613" w:rsidRDefault="001B7421" w:rsidP="00BC1613">
      <w:pPr>
        <w:pStyle w:val="BodyText"/>
        <w:ind w:firstLine="720"/>
        <w:rPr>
          <w:rFonts w:ascii="Times New Roman" w:hAnsi="Times New Roman" w:cs="Times New Roman"/>
          <w:sz w:val="24"/>
        </w:rPr>
      </w:pPr>
      <w:r w:rsidRPr="00BC1613">
        <w:rPr>
          <w:rFonts w:ascii="Times New Roman" w:hAnsi="Times New Roman" w:cs="Times New Roman"/>
          <w:sz w:val="24"/>
        </w:rPr>
        <w:t xml:space="preserve">The average respondent burden is estimated to be </w:t>
      </w:r>
      <w:r w:rsidR="00D775C6" w:rsidRPr="00BC1613">
        <w:rPr>
          <w:rFonts w:ascii="Times New Roman" w:hAnsi="Times New Roman" w:cs="Times New Roman"/>
          <w:sz w:val="24"/>
        </w:rPr>
        <w:t xml:space="preserve">10 minutes or 0.17 </w:t>
      </w:r>
      <w:r w:rsidRPr="00BC1613">
        <w:rPr>
          <w:rFonts w:ascii="Times New Roman" w:hAnsi="Times New Roman" w:cs="Times New Roman"/>
          <w:sz w:val="24"/>
        </w:rPr>
        <w:t xml:space="preserve">hours for </w:t>
      </w:r>
      <w:r w:rsidR="00D775C6" w:rsidRPr="00BC1613">
        <w:rPr>
          <w:rFonts w:ascii="Times New Roman" w:hAnsi="Times New Roman" w:cs="Times New Roman"/>
          <w:sz w:val="24"/>
        </w:rPr>
        <w:t>respondents screened for the focus groups. This estimate is based on the length of time needed to complete a screening questionnaire</w:t>
      </w:r>
      <w:r w:rsidR="001E25B1">
        <w:rPr>
          <w:rFonts w:ascii="Times New Roman" w:hAnsi="Times New Roman" w:cs="Times New Roman"/>
          <w:sz w:val="24"/>
        </w:rPr>
        <w:t xml:space="preserve">. </w:t>
      </w:r>
      <w:r w:rsidR="00F054AE" w:rsidRPr="00BC1613">
        <w:rPr>
          <w:rFonts w:ascii="Times New Roman" w:hAnsi="Times New Roman" w:cs="Times New Roman"/>
          <w:sz w:val="24"/>
        </w:rPr>
        <w:t xml:space="preserve">There will be two sets of screening questions used for this information collection, one for general adult consumers and one for adult consumers that lean towards the purchase and use of green products. For each focus group, 90 people will be screened using the respective questionnaire. A total of 900 people will be screened as part of this information collection. There is an estimated total respondent </w:t>
      </w:r>
      <w:r w:rsidR="005969D2" w:rsidRPr="00BC1613">
        <w:rPr>
          <w:rFonts w:ascii="Times New Roman" w:hAnsi="Times New Roman" w:cs="Times New Roman"/>
          <w:sz w:val="24"/>
        </w:rPr>
        <w:t>burden</w:t>
      </w:r>
      <w:r w:rsidR="00F054AE" w:rsidRPr="00BC1613">
        <w:rPr>
          <w:rFonts w:ascii="Times New Roman" w:hAnsi="Times New Roman" w:cs="Times New Roman"/>
          <w:sz w:val="24"/>
        </w:rPr>
        <w:t xml:space="preserve"> of 150 hours for the ten focus group screenings. </w:t>
      </w:r>
    </w:p>
    <w:p w14:paraId="0A5B6343" w14:textId="77777777" w:rsidR="00F054AE" w:rsidRPr="00BC1613" w:rsidRDefault="00F054AE" w:rsidP="001B7421">
      <w:pPr>
        <w:pStyle w:val="BodyText"/>
        <w:rPr>
          <w:rFonts w:ascii="Times New Roman" w:hAnsi="Times New Roman" w:cs="Times New Roman"/>
          <w:sz w:val="24"/>
        </w:rPr>
      </w:pPr>
    </w:p>
    <w:p w14:paraId="6EFBB3C4" w14:textId="6DCEBDF7" w:rsidR="001B7421" w:rsidRPr="00BC1613" w:rsidRDefault="00F054AE" w:rsidP="00BC1613">
      <w:pPr>
        <w:pStyle w:val="BodyText"/>
        <w:ind w:firstLine="720"/>
        <w:rPr>
          <w:rFonts w:ascii="Times New Roman" w:hAnsi="Times New Roman" w:cs="Times New Roman"/>
          <w:sz w:val="24"/>
        </w:rPr>
      </w:pPr>
      <w:r w:rsidRPr="00BC1613">
        <w:rPr>
          <w:rFonts w:ascii="Times New Roman" w:hAnsi="Times New Roman" w:cs="Times New Roman"/>
          <w:sz w:val="24"/>
        </w:rPr>
        <w:t xml:space="preserve">The average respondent </w:t>
      </w:r>
      <w:r w:rsidR="005969D2" w:rsidRPr="00BC1613">
        <w:rPr>
          <w:rFonts w:ascii="Times New Roman" w:hAnsi="Times New Roman" w:cs="Times New Roman"/>
          <w:sz w:val="24"/>
        </w:rPr>
        <w:t>burden</w:t>
      </w:r>
      <w:r w:rsidRPr="00BC1613">
        <w:rPr>
          <w:rFonts w:ascii="Times New Roman" w:hAnsi="Times New Roman" w:cs="Times New Roman"/>
          <w:sz w:val="24"/>
        </w:rPr>
        <w:t xml:space="preserve"> is estimated to be 2 hours for focus group participants. This estimate is based on the length of time designated for each focus group session. There will be ten focus groups conducted during this information collection, five for general adult consumers and five for adult consumers that lean towards the purchase and use of green products. Each focus group will have between 8 to 10 participants and we expect a no-show rate of no more than 2 participants per focus group. For the purpose of calculating burden, we assume that each focus group will have 9 participants. A total of 90 people will participate in the focus groups conducted as part of this information collection. For the ten focus groups, there is an estimated total respondent burden of 180 hours</w:t>
      </w:r>
      <w:r w:rsidR="001E25B1">
        <w:rPr>
          <w:rFonts w:ascii="Times New Roman" w:hAnsi="Times New Roman" w:cs="Times New Roman"/>
          <w:sz w:val="24"/>
        </w:rPr>
        <w:t xml:space="preserve">. </w:t>
      </w:r>
    </w:p>
    <w:p w14:paraId="492C4968" w14:textId="77777777" w:rsidR="001B7421" w:rsidRPr="00BC1613" w:rsidRDefault="001B7421" w:rsidP="001B7421"/>
    <w:p w14:paraId="43090781" w14:textId="77777777" w:rsidR="00F054AE" w:rsidRPr="00BC1613" w:rsidRDefault="00F054AE" w:rsidP="00BC1613">
      <w:pPr>
        <w:pStyle w:val="BodyText"/>
        <w:ind w:firstLine="720"/>
        <w:rPr>
          <w:rFonts w:ascii="Times New Roman" w:hAnsi="Times New Roman" w:cs="Times New Roman"/>
          <w:sz w:val="24"/>
        </w:rPr>
      </w:pPr>
      <w:r w:rsidRPr="00BC1613">
        <w:rPr>
          <w:rFonts w:ascii="Times New Roman" w:hAnsi="Times New Roman" w:cs="Times New Roman"/>
          <w:sz w:val="24"/>
        </w:rPr>
        <w:t xml:space="preserve">The average respondent burden is estimated to be 20 minutes or 0.33 </w:t>
      </w:r>
      <w:r w:rsidR="00446FBD" w:rsidRPr="00BC1613">
        <w:rPr>
          <w:rFonts w:ascii="Times New Roman" w:hAnsi="Times New Roman" w:cs="Times New Roman"/>
          <w:sz w:val="24"/>
        </w:rPr>
        <w:t>hours for the consumer online survey to gauge consumer recognition of the redesigned logo and outreach efforts. This estimate is based on the length of time needed to complete the survey. There will be three iterations of the consumer online survey conducted during this information collection, each of which will use the same set of questions. The same survey will be administered to all respondents. Each consumer online survey will have 2,000 respondents. A total of 6,000 people will complete the consumer online survey as part of this information collection, resulting in an estimated total respondent burden of 2,000 hours</w:t>
      </w:r>
      <w:r w:rsidRPr="00BC1613">
        <w:rPr>
          <w:rFonts w:ascii="Times New Roman" w:hAnsi="Times New Roman" w:cs="Times New Roman"/>
          <w:sz w:val="24"/>
        </w:rPr>
        <w:t xml:space="preserve">. </w:t>
      </w:r>
    </w:p>
    <w:p w14:paraId="4C71A8D8" w14:textId="1F020348" w:rsidR="001B7421" w:rsidRDefault="001B7421" w:rsidP="001B7421">
      <w:bookmarkStart w:id="51" w:name="_Toc160347330"/>
    </w:p>
    <w:p w14:paraId="2B4492FC" w14:textId="77777777" w:rsidR="00B160DE" w:rsidRPr="00E42F38" w:rsidRDefault="00B160DE" w:rsidP="001B7421"/>
    <w:p w14:paraId="3F673D29" w14:textId="77777777" w:rsidR="001B7421" w:rsidRPr="00BC1613" w:rsidRDefault="001B7421" w:rsidP="001B7421">
      <w:pPr>
        <w:pStyle w:val="Heading2"/>
        <w:ind w:firstLine="720"/>
        <w:jc w:val="left"/>
        <w:rPr>
          <w:sz w:val="24"/>
          <w:szCs w:val="24"/>
        </w:rPr>
      </w:pPr>
      <w:bookmarkStart w:id="52" w:name="_Toc227390392"/>
      <w:bookmarkStart w:id="53" w:name="_Toc453944862"/>
      <w:r w:rsidRPr="00BC1613">
        <w:rPr>
          <w:sz w:val="24"/>
          <w:szCs w:val="24"/>
        </w:rPr>
        <w:t>6(b)</w:t>
      </w:r>
      <w:r w:rsidRPr="00BC1613">
        <w:rPr>
          <w:sz w:val="24"/>
          <w:szCs w:val="24"/>
        </w:rPr>
        <w:tab/>
        <w:t>Estimating Respondent Costs</w:t>
      </w:r>
      <w:bookmarkEnd w:id="51"/>
      <w:bookmarkEnd w:id="52"/>
      <w:bookmarkEnd w:id="53"/>
    </w:p>
    <w:p w14:paraId="76A22DCD" w14:textId="77777777" w:rsidR="001B7421" w:rsidRPr="00BC1613" w:rsidRDefault="001B7421" w:rsidP="001B7421"/>
    <w:p w14:paraId="46C3FE7E" w14:textId="77777777" w:rsidR="001B7421" w:rsidRPr="00BC1613" w:rsidRDefault="00446FBD" w:rsidP="00BC1613">
      <w:pPr>
        <w:pStyle w:val="BodyText"/>
        <w:ind w:firstLine="720"/>
        <w:rPr>
          <w:rFonts w:ascii="Times New Roman" w:hAnsi="Times New Roman" w:cs="Times New Roman"/>
          <w:sz w:val="24"/>
        </w:rPr>
      </w:pPr>
      <w:r w:rsidRPr="00BC1613">
        <w:rPr>
          <w:rFonts w:ascii="Times New Roman" w:hAnsi="Times New Roman" w:cs="Times New Roman"/>
          <w:sz w:val="24"/>
        </w:rPr>
        <w:t xml:space="preserve">To value the respondents’ time, </w:t>
      </w:r>
      <w:r w:rsidR="001B7421" w:rsidRPr="00BC1613">
        <w:rPr>
          <w:rFonts w:ascii="Times New Roman" w:hAnsi="Times New Roman" w:cs="Times New Roman"/>
          <w:sz w:val="24"/>
        </w:rPr>
        <w:t>EPA estimates an average loaded hourly labor rate (base hourly rate plus fringe and overhead) of $</w:t>
      </w:r>
      <w:r w:rsidR="00F420FF" w:rsidRPr="00BC1613">
        <w:rPr>
          <w:rFonts w:ascii="Times New Roman" w:hAnsi="Times New Roman" w:cs="Times New Roman"/>
          <w:sz w:val="24"/>
        </w:rPr>
        <w:t>38</w:t>
      </w:r>
      <w:r w:rsidRPr="00BC1613">
        <w:rPr>
          <w:rFonts w:ascii="Times New Roman" w:hAnsi="Times New Roman" w:cs="Times New Roman"/>
          <w:sz w:val="24"/>
        </w:rPr>
        <w:t xml:space="preserve"> </w:t>
      </w:r>
      <w:r w:rsidR="001B7421" w:rsidRPr="00BC1613">
        <w:rPr>
          <w:rFonts w:ascii="Times New Roman" w:hAnsi="Times New Roman" w:cs="Times New Roman"/>
          <w:sz w:val="24"/>
        </w:rPr>
        <w:t xml:space="preserve">for </w:t>
      </w:r>
      <w:r w:rsidRPr="00BC1613">
        <w:rPr>
          <w:rFonts w:ascii="Times New Roman" w:hAnsi="Times New Roman" w:cs="Times New Roman"/>
          <w:sz w:val="24"/>
        </w:rPr>
        <w:t xml:space="preserve">a civilian worker, which includes private industry and state and local government workers, </w:t>
      </w:r>
      <w:r w:rsidR="001B7421" w:rsidRPr="00BC1613">
        <w:rPr>
          <w:rFonts w:ascii="Times New Roman" w:hAnsi="Times New Roman" w:cs="Times New Roman"/>
          <w:sz w:val="24"/>
        </w:rPr>
        <w:t xml:space="preserve">based upon wage data from the Bureau of Labor Statistics (BLS) </w:t>
      </w:r>
      <w:r w:rsidR="001B7421" w:rsidRPr="00BC1613">
        <w:rPr>
          <w:rFonts w:ascii="Times New Roman" w:hAnsi="Times New Roman" w:cs="Times New Roman"/>
          <w:i/>
          <w:iCs/>
          <w:sz w:val="24"/>
        </w:rPr>
        <w:t>Employer Costs for Employee Compensation</w:t>
      </w:r>
      <w:r w:rsidR="001B7421" w:rsidRPr="00BC1613">
        <w:rPr>
          <w:rFonts w:ascii="Times New Roman" w:hAnsi="Times New Roman" w:cs="Times New Roman"/>
          <w:sz w:val="24"/>
        </w:rPr>
        <w:t xml:space="preserve"> from </w:t>
      </w:r>
      <w:r w:rsidRPr="00BC1613">
        <w:rPr>
          <w:rFonts w:ascii="Times New Roman" w:hAnsi="Times New Roman" w:cs="Times New Roman"/>
          <w:sz w:val="24"/>
        </w:rPr>
        <w:t xml:space="preserve">December </w:t>
      </w:r>
      <w:r w:rsidR="00B21230" w:rsidRPr="00BC1613">
        <w:rPr>
          <w:rFonts w:ascii="Times New Roman" w:hAnsi="Times New Roman" w:cs="Times New Roman"/>
          <w:sz w:val="24"/>
        </w:rPr>
        <w:t>2015</w:t>
      </w:r>
      <w:r w:rsidR="001B7421" w:rsidRPr="00BC1613">
        <w:rPr>
          <w:rFonts w:ascii="Times New Roman" w:hAnsi="Times New Roman" w:cs="Times New Roman"/>
          <w:sz w:val="24"/>
        </w:rPr>
        <w:t xml:space="preserve">. The hourly labor rates include a 17% overhead; this overhead rate is used for consistency with OPPT economic analyses for two major rulemakings: </w:t>
      </w:r>
      <w:r w:rsidR="001B7421" w:rsidRPr="00BC1613">
        <w:rPr>
          <w:rFonts w:ascii="Times New Roman" w:hAnsi="Times New Roman" w:cs="Times New Roman"/>
          <w:i/>
          <w:iCs/>
          <w:sz w:val="24"/>
        </w:rPr>
        <w:t>Wage Rates for Economic Analyses of the Toxics Release Inventory Program</w:t>
      </w:r>
      <w:r w:rsidR="00CC63E9" w:rsidRPr="00BC1613">
        <w:rPr>
          <w:rStyle w:val="FootnoteReference"/>
          <w:rFonts w:ascii="Times New Roman" w:hAnsi="Times New Roman" w:cs="Times New Roman"/>
          <w:i/>
          <w:iCs/>
          <w:sz w:val="24"/>
        </w:rPr>
        <w:footnoteReference w:id="1"/>
      </w:r>
      <w:r w:rsidR="001B7421" w:rsidRPr="00BC1613">
        <w:rPr>
          <w:rFonts w:ascii="Times New Roman" w:hAnsi="Times New Roman" w:cs="Times New Roman"/>
          <w:sz w:val="24"/>
        </w:rPr>
        <w:t xml:space="preserve"> and the</w:t>
      </w:r>
      <w:r w:rsidR="001B7421" w:rsidRPr="00BC1613">
        <w:rPr>
          <w:rFonts w:ascii="Times New Roman" w:hAnsi="Times New Roman" w:cs="Times New Roman"/>
          <w:i/>
          <w:iCs/>
          <w:sz w:val="24"/>
        </w:rPr>
        <w:t xml:space="preserve"> Revised Economic Analysis for the Amended Inventory Update Rule: Final Report</w:t>
      </w:r>
      <w:r w:rsidR="001B7421" w:rsidRPr="00BC1613">
        <w:rPr>
          <w:rFonts w:ascii="Times New Roman" w:hAnsi="Times New Roman" w:cs="Times New Roman"/>
          <w:sz w:val="24"/>
        </w:rPr>
        <w:t>.</w:t>
      </w:r>
      <w:r w:rsidR="00CC63E9" w:rsidRPr="00BC1613">
        <w:rPr>
          <w:rStyle w:val="FootnoteReference"/>
          <w:rFonts w:ascii="Times New Roman" w:hAnsi="Times New Roman" w:cs="Times New Roman"/>
          <w:sz w:val="24"/>
        </w:rPr>
        <w:footnoteReference w:id="2"/>
      </w:r>
      <w:r w:rsidR="001B7421" w:rsidRPr="00BC1613">
        <w:rPr>
          <w:rFonts w:ascii="Times New Roman" w:hAnsi="Times New Roman" w:cs="Times New Roman"/>
          <w:sz w:val="24"/>
        </w:rPr>
        <w:t xml:space="preserve">  In addition, the hourly labor rates have been rounded for the purposes of this ICR</w:t>
      </w:r>
      <w:r w:rsidR="006654B2" w:rsidRPr="00BC1613">
        <w:rPr>
          <w:rFonts w:ascii="Times New Roman" w:hAnsi="Times New Roman" w:cs="Times New Roman"/>
          <w:sz w:val="24"/>
        </w:rPr>
        <w:t xml:space="preserve">. </w:t>
      </w:r>
      <w:r w:rsidR="001B7421" w:rsidRPr="00BC1613">
        <w:rPr>
          <w:rFonts w:ascii="Times New Roman" w:hAnsi="Times New Roman" w:cs="Times New Roman"/>
          <w:sz w:val="24"/>
        </w:rPr>
        <w:t xml:space="preserve">The derivation of </w:t>
      </w:r>
      <w:r w:rsidR="006654B2" w:rsidRPr="00BC1613">
        <w:rPr>
          <w:rFonts w:ascii="Times New Roman" w:hAnsi="Times New Roman" w:cs="Times New Roman"/>
          <w:sz w:val="24"/>
        </w:rPr>
        <w:t xml:space="preserve">the </w:t>
      </w:r>
      <w:r w:rsidR="001B7421" w:rsidRPr="00BC1613">
        <w:rPr>
          <w:rFonts w:ascii="Times New Roman" w:hAnsi="Times New Roman" w:cs="Times New Roman"/>
          <w:sz w:val="24"/>
        </w:rPr>
        <w:t xml:space="preserve">labor rate for </w:t>
      </w:r>
      <w:r w:rsidR="006654B2" w:rsidRPr="00BC1613">
        <w:rPr>
          <w:rFonts w:ascii="Times New Roman" w:hAnsi="Times New Roman" w:cs="Times New Roman"/>
          <w:sz w:val="24"/>
        </w:rPr>
        <w:t>a civilian worker is</w:t>
      </w:r>
      <w:r w:rsidR="001B7421" w:rsidRPr="00BC1613">
        <w:rPr>
          <w:rFonts w:ascii="Times New Roman" w:hAnsi="Times New Roman" w:cs="Times New Roman"/>
          <w:sz w:val="24"/>
        </w:rPr>
        <w:t xml:space="preserve"> shown in Exhibit 6.1.</w:t>
      </w:r>
    </w:p>
    <w:p w14:paraId="68070CB3" w14:textId="77777777" w:rsidR="001B7421" w:rsidRDefault="001B7421" w:rsidP="001B7421">
      <w:pPr>
        <w:rPr>
          <w:sz w:val="22"/>
          <w:lang w:val="en-CA"/>
        </w:rPr>
      </w:pPr>
    </w:p>
    <w:p w14:paraId="717F2290" w14:textId="311E8B53" w:rsidR="001B7421" w:rsidRPr="00BC1613" w:rsidRDefault="001B7421" w:rsidP="00FF6CFA">
      <w:pPr>
        <w:keepNext/>
        <w:rPr>
          <w:b/>
          <w:bCs/>
        </w:rPr>
      </w:pPr>
      <w:r w:rsidRPr="00BC1613">
        <w:rPr>
          <w:lang w:val="en-CA"/>
        </w:rPr>
        <w:fldChar w:fldCharType="begin"/>
      </w:r>
      <w:r w:rsidRPr="00BC1613">
        <w:rPr>
          <w:lang w:val="en-CA"/>
        </w:rPr>
        <w:instrText xml:space="preserve"> SEQ CHAPTER \h \r 1</w:instrText>
      </w:r>
      <w:r w:rsidRPr="00BC1613">
        <w:rPr>
          <w:lang w:val="en-CA"/>
        </w:rPr>
        <w:fldChar w:fldCharType="end"/>
      </w:r>
      <w:r w:rsidRPr="00BC1613">
        <w:rPr>
          <w:b/>
          <w:bCs/>
        </w:rPr>
        <w:t>Exhibit 6.1</w:t>
      </w:r>
      <w:r w:rsidR="001E25B1">
        <w:rPr>
          <w:b/>
          <w:bCs/>
        </w:rPr>
        <w:t xml:space="preserve">. </w:t>
      </w:r>
      <w:r w:rsidRPr="00BC1613">
        <w:rPr>
          <w:b/>
          <w:bCs/>
        </w:rPr>
        <w:t>Derivation of Loaded Wage Rates</w:t>
      </w:r>
      <w:r w:rsidR="00152356" w:rsidRPr="00BC1613">
        <w:rPr>
          <w:b/>
          <w:bCs/>
        </w:rPr>
        <w:t xml:space="preserve"> in </w:t>
      </w:r>
      <w:r w:rsidR="006A06AB" w:rsidRPr="00BC1613">
        <w:rPr>
          <w:b/>
          <w:bCs/>
        </w:rPr>
        <w:t>2015</w:t>
      </w:r>
      <w:r w:rsidR="00152356" w:rsidRPr="00BC1613">
        <w:rPr>
          <w:b/>
          <w:bCs/>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170"/>
        <w:gridCol w:w="1080"/>
        <w:gridCol w:w="1080"/>
        <w:gridCol w:w="1080"/>
        <w:gridCol w:w="1260"/>
        <w:gridCol w:w="1170"/>
        <w:gridCol w:w="990"/>
      </w:tblGrid>
      <w:tr w:rsidR="001024B8" w:rsidRPr="00C20E73" w14:paraId="59A5D44D" w14:textId="77777777" w:rsidTr="001024B8">
        <w:tc>
          <w:tcPr>
            <w:tcW w:w="1525" w:type="dxa"/>
            <w:vMerge w:val="restart"/>
            <w:shd w:val="clear" w:color="auto" w:fill="BFBFBF" w:themeFill="background1" w:themeFillShade="BF"/>
            <w:vAlign w:val="center"/>
          </w:tcPr>
          <w:p w14:paraId="355DF1F6" w14:textId="77777777" w:rsidR="001B7421" w:rsidRPr="00FF6CFA" w:rsidRDefault="001B7421" w:rsidP="00FF6CFA">
            <w:pPr>
              <w:pStyle w:val="BodyText"/>
              <w:keepNext/>
              <w:jc w:val="center"/>
              <w:rPr>
                <w:rFonts w:ascii="Times New Roman" w:hAnsi="Times New Roman" w:cs="Times New Roman"/>
                <w:b/>
                <w:sz w:val="18"/>
                <w:szCs w:val="18"/>
              </w:rPr>
            </w:pPr>
            <w:r w:rsidRPr="00FF6CFA">
              <w:rPr>
                <w:rFonts w:ascii="Times New Roman" w:hAnsi="Times New Roman" w:cs="Times New Roman"/>
                <w:b/>
                <w:sz w:val="18"/>
                <w:szCs w:val="18"/>
              </w:rPr>
              <w:t>Labor category</w:t>
            </w:r>
          </w:p>
        </w:tc>
        <w:tc>
          <w:tcPr>
            <w:tcW w:w="1170" w:type="dxa"/>
            <w:shd w:val="clear" w:color="auto" w:fill="BFBFBF" w:themeFill="background1" w:themeFillShade="BF"/>
            <w:vAlign w:val="center"/>
          </w:tcPr>
          <w:p w14:paraId="701849C0" w14:textId="77777777" w:rsidR="001B7421" w:rsidRPr="00FF6CFA" w:rsidRDefault="001B7421" w:rsidP="00FF6CFA">
            <w:pPr>
              <w:pStyle w:val="BodyText"/>
              <w:keepNext/>
              <w:jc w:val="center"/>
              <w:rPr>
                <w:rFonts w:ascii="Times New Roman" w:hAnsi="Times New Roman" w:cs="Times New Roman"/>
                <w:b/>
                <w:sz w:val="18"/>
                <w:szCs w:val="18"/>
              </w:rPr>
            </w:pPr>
            <w:r w:rsidRPr="00FF6CFA">
              <w:rPr>
                <w:rFonts w:ascii="Times New Roman" w:hAnsi="Times New Roman" w:cs="Times New Roman"/>
                <w:b/>
                <w:sz w:val="18"/>
                <w:szCs w:val="18"/>
              </w:rPr>
              <w:t>Wage</w:t>
            </w:r>
          </w:p>
        </w:tc>
        <w:tc>
          <w:tcPr>
            <w:tcW w:w="1080" w:type="dxa"/>
            <w:shd w:val="clear" w:color="auto" w:fill="BFBFBF" w:themeFill="background1" w:themeFillShade="BF"/>
            <w:vAlign w:val="center"/>
          </w:tcPr>
          <w:p w14:paraId="6ED22D5A" w14:textId="77777777" w:rsidR="001B7421" w:rsidRPr="00FF6CFA" w:rsidRDefault="001B7421" w:rsidP="00FF6CFA">
            <w:pPr>
              <w:pStyle w:val="BodyText"/>
              <w:keepNext/>
              <w:jc w:val="center"/>
              <w:rPr>
                <w:rFonts w:ascii="Times New Roman" w:hAnsi="Times New Roman" w:cs="Times New Roman"/>
                <w:b/>
                <w:sz w:val="18"/>
                <w:szCs w:val="18"/>
              </w:rPr>
            </w:pPr>
            <w:r w:rsidRPr="00FF6CFA">
              <w:rPr>
                <w:rFonts w:ascii="Times New Roman" w:hAnsi="Times New Roman" w:cs="Times New Roman"/>
                <w:b/>
                <w:sz w:val="18"/>
                <w:szCs w:val="18"/>
              </w:rPr>
              <w:t>Fringe Benefit</w:t>
            </w:r>
          </w:p>
        </w:tc>
        <w:tc>
          <w:tcPr>
            <w:tcW w:w="1080" w:type="dxa"/>
            <w:shd w:val="clear" w:color="auto" w:fill="BFBFBF" w:themeFill="background1" w:themeFillShade="BF"/>
            <w:vAlign w:val="center"/>
          </w:tcPr>
          <w:p w14:paraId="1022D766" w14:textId="77777777" w:rsidR="001B7421" w:rsidRPr="00FF6CFA" w:rsidRDefault="001B7421" w:rsidP="00FF6CFA">
            <w:pPr>
              <w:keepNext/>
              <w:autoSpaceDE w:val="0"/>
              <w:autoSpaceDN w:val="0"/>
              <w:adjustRightInd w:val="0"/>
              <w:jc w:val="center"/>
              <w:rPr>
                <w:b/>
                <w:bCs/>
                <w:color w:val="000000"/>
                <w:sz w:val="18"/>
                <w:szCs w:val="18"/>
              </w:rPr>
            </w:pPr>
            <w:r w:rsidRPr="00FF6CFA">
              <w:rPr>
                <w:b/>
                <w:bCs/>
                <w:color w:val="000000"/>
                <w:sz w:val="18"/>
                <w:szCs w:val="18"/>
              </w:rPr>
              <w:t>Fringes as % wage</w:t>
            </w:r>
          </w:p>
        </w:tc>
        <w:tc>
          <w:tcPr>
            <w:tcW w:w="1080" w:type="dxa"/>
            <w:shd w:val="clear" w:color="auto" w:fill="BFBFBF" w:themeFill="background1" w:themeFillShade="BF"/>
            <w:vAlign w:val="center"/>
          </w:tcPr>
          <w:p w14:paraId="23AE27B8" w14:textId="77777777" w:rsidR="001B7421" w:rsidRPr="00FF6CFA" w:rsidRDefault="001B7421" w:rsidP="00FF6CFA">
            <w:pPr>
              <w:keepNext/>
              <w:autoSpaceDE w:val="0"/>
              <w:autoSpaceDN w:val="0"/>
              <w:adjustRightInd w:val="0"/>
              <w:jc w:val="center"/>
              <w:rPr>
                <w:b/>
                <w:bCs/>
                <w:color w:val="000000"/>
                <w:sz w:val="18"/>
                <w:szCs w:val="18"/>
                <w:vertAlign w:val="superscript"/>
              </w:rPr>
            </w:pPr>
            <w:r w:rsidRPr="00FF6CFA">
              <w:rPr>
                <w:b/>
                <w:bCs/>
                <w:color w:val="000000"/>
                <w:sz w:val="18"/>
                <w:szCs w:val="18"/>
              </w:rPr>
              <w:t>Overhead % wage</w:t>
            </w:r>
          </w:p>
        </w:tc>
        <w:tc>
          <w:tcPr>
            <w:tcW w:w="1260" w:type="dxa"/>
            <w:shd w:val="clear" w:color="auto" w:fill="BFBFBF" w:themeFill="background1" w:themeFillShade="BF"/>
            <w:vAlign w:val="center"/>
          </w:tcPr>
          <w:p w14:paraId="6B367224" w14:textId="77777777" w:rsidR="001B7421" w:rsidRPr="00FF6CFA" w:rsidRDefault="001B7421" w:rsidP="00FF6CFA">
            <w:pPr>
              <w:keepNext/>
              <w:autoSpaceDE w:val="0"/>
              <w:autoSpaceDN w:val="0"/>
              <w:adjustRightInd w:val="0"/>
              <w:jc w:val="center"/>
              <w:rPr>
                <w:b/>
                <w:bCs/>
                <w:color w:val="000000"/>
                <w:sz w:val="18"/>
                <w:szCs w:val="18"/>
              </w:rPr>
            </w:pPr>
            <w:r w:rsidRPr="00FF6CFA">
              <w:rPr>
                <w:b/>
                <w:bCs/>
                <w:color w:val="000000"/>
                <w:sz w:val="18"/>
                <w:szCs w:val="18"/>
              </w:rPr>
              <w:t>Fringe + overhead factor</w:t>
            </w:r>
          </w:p>
        </w:tc>
        <w:tc>
          <w:tcPr>
            <w:tcW w:w="1170" w:type="dxa"/>
            <w:shd w:val="clear" w:color="auto" w:fill="BFBFBF" w:themeFill="background1" w:themeFillShade="BF"/>
            <w:vAlign w:val="center"/>
          </w:tcPr>
          <w:p w14:paraId="22C5C70A" w14:textId="77777777" w:rsidR="001B7421" w:rsidRPr="00FF6CFA" w:rsidRDefault="001B7421" w:rsidP="00FF6CFA">
            <w:pPr>
              <w:keepNext/>
              <w:autoSpaceDE w:val="0"/>
              <w:autoSpaceDN w:val="0"/>
              <w:adjustRightInd w:val="0"/>
              <w:jc w:val="center"/>
              <w:rPr>
                <w:b/>
                <w:bCs/>
                <w:color w:val="000000"/>
                <w:sz w:val="18"/>
                <w:szCs w:val="18"/>
              </w:rPr>
            </w:pPr>
            <w:r w:rsidRPr="00FF6CFA">
              <w:rPr>
                <w:b/>
                <w:bCs/>
                <w:color w:val="000000"/>
                <w:sz w:val="18"/>
                <w:szCs w:val="18"/>
              </w:rPr>
              <w:t>Loaded Wages</w:t>
            </w:r>
          </w:p>
        </w:tc>
        <w:tc>
          <w:tcPr>
            <w:tcW w:w="990" w:type="dxa"/>
            <w:vMerge w:val="restart"/>
            <w:shd w:val="clear" w:color="auto" w:fill="BFBFBF" w:themeFill="background1" w:themeFillShade="BF"/>
            <w:vAlign w:val="center"/>
          </w:tcPr>
          <w:p w14:paraId="18719D22" w14:textId="77777777" w:rsidR="001B7421" w:rsidRPr="00FF6CFA" w:rsidRDefault="001B7421" w:rsidP="00FF6CFA">
            <w:pPr>
              <w:keepNext/>
              <w:autoSpaceDE w:val="0"/>
              <w:autoSpaceDN w:val="0"/>
              <w:adjustRightInd w:val="0"/>
              <w:jc w:val="center"/>
              <w:rPr>
                <w:b/>
                <w:bCs/>
                <w:color w:val="000000"/>
                <w:sz w:val="18"/>
                <w:szCs w:val="18"/>
              </w:rPr>
            </w:pPr>
            <w:r w:rsidRPr="00FF6CFA">
              <w:rPr>
                <w:b/>
                <w:bCs/>
                <w:color w:val="000000"/>
                <w:sz w:val="18"/>
                <w:szCs w:val="18"/>
              </w:rPr>
              <w:t>Loaded Wages (rounded)</w:t>
            </w:r>
          </w:p>
        </w:tc>
      </w:tr>
      <w:tr w:rsidR="001024B8" w:rsidRPr="00C20E73" w14:paraId="678E88DD" w14:textId="77777777" w:rsidTr="001024B8">
        <w:tc>
          <w:tcPr>
            <w:tcW w:w="1525" w:type="dxa"/>
            <w:vMerge/>
            <w:shd w:val="clear" w:color="auto" w:fill="F3F3F3"/>
          </w:tcPr>
          <w:p w14:paraId="49CE7B98" w14:textId="77777777" w:rsidR="001B7421" w:rsidRPr="00FF6CFA" w:rsidRDefault="001B7421" w:rsidP="00FF6CFA">
            <w:pPr>
              <w:pStyle w:val="BodyText"/>
              <w:keepNext/>
              <w:rPr>
                <w:rFonts w:ascii="Times New Roman" w:hAnsi="Times New Roman" w:cs="Times New Roman"/>
                <w:b/>
                <w:sz w:val="18"/>
                <w:szCs w:val="18"/>
              </w:rPr>
            </w:pPr>
          </w:p>
        </w:tc>
        <w:tc>
          <w:tcPr>
            <w:tcW w:w="1170" w:type="dxa"/>
            <w:shd w:val="clear" w:color="auto" w:fill="BFBFBF" w:themeFill="background1" w:themeFillShade="BF"/>
            <w:vAlign w:val="center"/>
          </w:tcPr>
          <w:p w14:paraId="11684618" w14:textId="77777777" w:rsidR="001B7421" w:rsidRPr="00FF6CFA" w:rsidRDefault="001B7421" w:rsidP="00FF6CFA">
            <w:pPr>
              <w:pStyle w:val="BodyText"/>
              <w:keepNext/>
              <w:jc w:val="center"/>
              <w:rPr>
                <w:rFonts w:ascii="Times New Roman" w:hAnsi="Times New Roman" w:cs="Times New Roman"/>
                <w:b/>
                <w:sz w:val="18"/>
                <w:szCs w:val="18"/>
              </w:rPr>
            </w:pPr>
            <w:r w:rsidRPr="00FF6CFA">
              <w:rPr>
                <w:rFonts w:ascii="Times New Roman" w:hAnsi="Times New Roman" w:cs="Times New Roman"/>
                <w:b/>
                <w:sz w:val="18"/>
                <w:szCs w:val="18"/>
              </w:rPr>
              <w:t>(a)</w:t>
            </w:r>
          </w:p>
        </w:tc>
        <w:tc>
          <w:tcPr>
            <w:tcW w:w="1080" w:type="dxa"/>
            <w:shd w:val="clear" w:color="auto" w:fill="BFBFBF" w:themeFill="background1" w:themeFillShade="BF"/>
            <w:vAlign w:val="center"/>
          </w:tcPr>
          <w:p w14:paraId="6855D252" w14:textId="77777777" w:rsidR="001B7421" w:rsidRPr="00FF6CFA" w:rsidRDefault="001B7421" w:rsidP="00FF6CFA">
            <w:pPr>
              <w:pStyle w:val="BodyText"/>
              <w:keepNext/>
              <w:jc w:val="center"/>
              <w:rPr>
                <w:rFonts w:ascii="Times New Roman" w:hAnsi="Times New Roman" w:cs="Times New Roman"/>
                <w:b/>
                <w:sz w:val="18"/>
                <w:szCs w:val="18"/>
              </w:rPr>
            </w:pPr>
            <w:r w:rsidRPr="00FF6CFA">
              <w:rPr>
                <w:rFonts w:ascii="Times New Roman" w:hAnsi="Times New Roman" w:cs="Times New Roman"/>
                <w:b/>
                <w:sz w:val="18"/>
                <w:szCs w:val="18"/>
              </w:rPr>
              <w:t>(b)</w:t>
            </w:r>
          </w:p>
        </w:tc>
        <w:tc>
          <w:tcPr>
            <w:tcW w:w="1080" w:type="dxa"/>
            <w:shd w:val="clear" w:color="auto" w:fill="BFBFBF" w:themeFill="background1" w:themeFillShade="BF"/>
            <w:vAlign w:val="center"/>
          </w:tcPr>
          <w:p w14:paraId="3F727831" w14:textId="77777777" w:rsidR="001B7421" w:rsidRPr="00FF6CFA" w:rsidRDefault="001B7421" w:rsidP="00FF6CFA">
            <w:pPr>
              <w:keepNext/>
              <w:autoSpaceDE w:val="0"/>
              <w:autoSpaceDN w:val="0"/>
              <w:adjustRightInd w:val="0"/>
              <w:jc w:val="center"/>
              <w:rPr>
                <w:b/>
                <w:color w:val="000000"/>
                <w:sz w:val="18"/>
                <w:szCs w:val="18"/>
              </w:rPr>
            </w:pPr>
            <w:r w:rsidRPr="00FF6CFA">
              <w:rPr>
                <w:b/>
                <w:color w:val="000000"/>
                <w:sz w:val="18"/>
                <w:szCs w:val="18"/>
              </w:rPr>
              <w:t>(c)=(b)/(a)</w:t>
            </w:r>
          </w:p>
        </w:tc>
        <w:tc>
          <w:tcPr>
            <w:tcW w:w="1080" w:type="dxa"/>
            <w:shd w:val="clear" w:color="auto" w:fill="BFBFBF" w:themeFill="background1" w:themeFillShade="BF"/>
            <w:vAlign w:val="center"/>
          </w:tcPr>
          <w:p w14:paraId="2579D8ED" w14:textId="77777777" w:rsidR="001B7421" w:rsidRPr="00FF6CFA" w:rsidRDefault="001B7421" w:rsidP="00FF6CFA">
            <w:pPr>
              <w:keepNext/>
              <w:autoSpaceDE w:val="0"/>
              <w:autoSpaceDN w:val="0"/>
              <w:adjustRightInd w:val="0"/>
              <w:jc w:val="center"/>
              <w:rPr>
                <w:b/>
                <w:color w:val="000000"/>
                <w:sz w:val="18"/>
                <w:szCs w:val="18"/>
              </w:rPr>
            </w:pPr>
            <w:r w:rsidRPr="00FF6CFA">
              <w:rPr>
                <w:b/>
                <w:color w:val="000000"/>
                <w:sz w:val="18"/>
                <w:szCs w:val="18"/>
              </w:rPr>
              <w:t>(d)</w:t>
            </w:r>
          </w:p>
        </w:tc>
        <w:tc>
          <w:tcPr>
            <w:tcW w:w="1260" w:type="dxa"/>
            <w:shd w:val="clear" w:color="auto" w:fill="BFBFBF" w:themeFill="background1" w:themeFillShade="BF"/>
            <w:vAlign w:val="center"/>
          </w:tcPr>
          <w:p w14:paraId="4E83CFDE" w14:textId="77777777" w:rsidR="001B7421" w:rsidRPr="007F0210" w:rsidRDefault="001B7421" w:rsidP="00FF6CFA">
            <w:pPr>
              <w:keepNext/>
              <w:autoSpaceDE w:val="0"/>
              <w:autoSpaceDN w:val="0"/>
              <w:adjustRightInd w:val="0"/>
              <w:jc w:val="center"/>
              <w:rPr>
                <w:b/>
                <w:color w:val="000000"/>
                <w:sz w:val="18"/>
                <w:szCs w:val="18"/>
              </w:rPr>
            </w:pPr>
            <w:r w:rsidRPr="007F0210">
              <w:rPr>
                <w:b/>
                <w:color w:val="000000"/>
                <w:sz w:val="18"/>
                <w:szCs w:val="18"/>
              </w:rPr>
              <w:t>(e)=(c)+(d)+1</w:t>
            </w:r>
          </w:p>
        </w:tc>
        <w:tc>
          <w:tcPr>
            <w:tcW w:w="1170" w:type="dxa"/>
            <w:shd w:val="clear" w:color="auto" w:fill="BFBFBF" w:themeFill="background1" w:themeFillShade="BF"/>
            <w:vAlign w:val="center"/>
          </w:tcPr>
          <w:p w14:paraId="31CA5456" w14:textId="77777777" w:rsidR="001B7421" w:rsidRPr="00FF6CFA" w:rsidRDefault="001B7421" w:rsidP="00FF6CFA">
            <w:pPr>
              <w:keepNext/>
              <w:autoSpaceDE w:val="0"/>
              <w:autoSpaceDN w:val="0"/>
              <w:adjustRightInd w:val="0"/>
              <w:jc w:val="center"/>
              <w:rPr>
                <w:b/>
                <w:color w:val="000000"/>
                <w:sz w:val="18"/>
                <w:szCs w:val="18"/>
              </w:rPr>
            </w:pPr>
            <w:r w:rsidRPr="00FF6CFA">
              <w:rPr>
                <w:b/>
                <w:color w:val="000000"/>
                <w:sz w:val="18"/>
                <w:szCs w:val="18"/>
              </w:rPr>
              <w:t xml:space="preserve">(f)=(a) </w:t>
            </w:r>
            <w:r w:rsidRPr="00FF6CFA">
              <w:rPr>
                <w:rFonts w:ascii="Symbol" w:hAnsi="Symbol"/>
                <w:b/>
                <w:color w:val="000000"/>
                <w:sz w:val="18"/>
                <w:szCs w:val="18"/>
              </w:rPr>
              <w:t></w:t>
            </w:r>
            <w:r w:rsidRPr="00FF6CFA">
              <w:rPr>
                <w:b/>
                <w:color w:val="000000"/>
                <w:sz w:val="18"/>
                <w:szCs w:val="18"/>
              </w:rPr>
              <w:t xml:space="preserve"> (e)</w:t>
            </w:r>
          </w:p>
        </w:tc>
        <w:tc>
          <w:tcPr>
            <w:tcW w:w="990" w:type="dxa"/>
            <w:vMerge/>
            <w:shd w:val="clear" w:color="auto" w:fill="F3F3F3"/>
            <w:vAlign w:val="center"/>
          </w:tcPr>
          <w:p w14:paraId="3A12352B" w14:textId="77777777" w:rsidR="001B7421" w:rsidRPr="00FF6CFA" w:rsidRDefault="001B7421" w:rsidP="00FF6CFA">
            <w:pPr>
              <w:keepNext/>
              <w:autoSpaceDE w:val="0"/>
              <w:autoSpaceDN w:val="0"/>
              <w:adjustRightInd w:val="0"/>
              <w:jc w:val="center"/>
              <w:rPr>
                <w:b/>
                <w:color w:val="000000"/>
                <w:sz w:val="18"/>
                <w:szCs w:val="18"/>
              </w:rPr>
            </w:pPr>
          </w:p>
        </w:tc>
      </w:tr>
      <w:tr w:rsidR="00B8224E" w:rsidRPr="00C20E73" w14:paraId="507AA379" w14:textId="77777777" w:rsidTr="001024B8">
        <w:trPr>
          <w:trHeight w:val="459"/>
        </w:trPr>
        <w:tc>
          <w:tcPr>
            <w:tcW w:w="1525" w:type="dxa"/>
            <w:shd w:val="clear" w:color="auto" w:fill="auto"/>
            <w:vAlign w:val="center"/>
          </w:tcPr>
          <w:p w14:paraId="622562BF" w14:textId="77777777" w:rsidR="001B7421" w:rsidRPr="00FF6CFA" w:rsidRDefault="00F5477D" w:rsidP="00FF6CFA">
            <w:pPr>
              <w:keepNext/>
              <w:autoSpaceDE w:val="0"/>
              <w:autoSpaceDN w:val="0"/>
              <w:adjustRightInd w:val="0"/>
              <w:jc w:val="center"/>
              <w:rPr>
                <w:b/>
                <w:bCs/>
                <w:color w:val="000000"/>
                <w:sz w:val="18"/>
                <w:szCs w:val="18"/>
              </w:rPr>
            </w:pPr>
            <w:r w:rsidRPr="00FF6CFA">
              <w:rPr>
                <w:b/>
                <w:bCs/>
                <w:color w:val="000000"/>
                <w:sz w:val="18"/>
                <w:szCs w:val="18"/>
              </w:rPr>
              <w:t>Civilian</w:t>
            </w:r>
            <w:r w:rsidR="001B7421" w:rsidRPr="00FF6CFA">
              <w:rPr>
                <w:rStyle w:val="FootnoteReference"/>
                <w:b/>
                <w:bCs/>
                <w:color w:val="000000"/>
                <w:sz w:val="18"/>
                <w:szCs w:val="18"/>
              </w:rPr>
              <w:footnoteReference w:id="3"/>
            </w:r>
          </w:p>
        </w:tc>
        <w:tc>
          <w:tcPr>
            <w:tcW w:w="1170" w:type="dxa"/>
            <w:shd w:val="clear" w:color="auto" w:fill="auto"/>
            <w:vAlign w:val="center"/>
          </w:tcPr>
          <w:p w14:paraId="4F4A18C5" w14:textId="77777777" w:rsidR="001B7421" w:rsidRPr="00FF6CFA" w:rsidRDefault="001B7421" w:rsidP="00FF6CFA">
            <w:pPr>
              <w:keepNext/>
              <w:autoSpaceDE w:val="0"/>
              <w:autoSpaceDN w:val="0"/>
              <w:adjustRightInd w:val="0"/>
              <w:jc w:val="center"/>
              <w:rPr>
                <w:color w:val="000000"/>
                <w:sz w:val="18"/>
                <w:szCs w:val="18"/>
              </w:rPr>
            </w:pPr>
            <w:r w:rsidRPr="00FF6CFA">
              <w:rPr>
                <w:color w:val="000000"/>
                <w:sz w:val="18"/>
                <w:szCs w:val="18"/>
              </w:rPr>
              <w:t>$</w:t>
            </w:r>
            <w:r w:rsidR="00F5477D" w:rsidRPr="00FF6CFA">
              <w:rPr>
                <w:color w:val="000000"/>
                <w:sz w:val="18"/>
                <w:szCs w:val="18"/>
              </w:rPr>
              <w:t>23.06</w:t>
            </w:r>
          </w:p>
        </w:tc>
        <w:tc>
          <w:tcPr>
            <w:tcW w:w="1080" w:type="dxa"/>
            <w:shd w:val="clear" w:color="auto" w:fill="auto"/>
            <w:vAlign w:val="center"/>
          </w:tcPr>
          <w:p w14:paraId="68A5202B" w14:textId="77777777" w:rsidR="001B7421" w:rsidRPr="00FF6CFA" w:rsidRDefault="001B7421" w:rsidP="00FF6CFA">
            <w:pPr>
              <w:keepNext/>
              <w:autoSpaceDE w:val="0"/>
              <w:autoSpaceDN w:val="0"/>
              <w:adjustRightInd w:val="0"/>
              <w:jc w:val="center"/>
              <w:rPr>
                <w:color w:val="000000"/>
                <w:sz w:val="18"/>
                <w:szCs w:val="18"/>
              </w:rPr>
            </w:pPr>
            <w:r w:rsidRPr="00FF6CFA">
              <w:rPr>
                <w:color w:val="000000"/>
                <w:sz w:val="18"/>
                <w:szCs w:val="18"/>
              </w:rPr>
              <w:t>$</w:t>
            </w:r>
            <w:r w:rsidR="00F5477D" w:rsidRPr="00FF6CFA">
              <w:rPr>
                <w:color w:val="000000"/>
                <w:sz w:val="18"/>
                <w:szCs w:val="18"/>
              </w:rPr>
              <w:t>10.52</w:t>
            </w:r>
          </w:p>
        </w:tc>
        <w:tc>
          <w:tcPr>
            <w:tcW w:w="1080" w:type="dxa"/>
            <w:shd w:val="clear" w:color="auto" w:fill="auto"/>
            <w:vAlign w:val="center"/>
          </w:tcPr>
          <w:p w14:paraId="21D01353" w14:textId="77777777" w:rsidR="001B7421" w:rsidRPr="00FF6CFA" w:rsidRDefault="00F5477D" w:rsidP="00FF6CFA">
            <w:pPr>
              <w:keepNext/>
              <w:autoSpaceDE w:val="0"/>
              <w:autoSpaceDN w:val="0"/>
              <w:adjustRightInd w:val="0"/>
              <w:jc w:val="center"/>
              <w:rPr>
                <w:color w:val="000000"/>
                <w:sz w:val="18"/>
                <w:szCs w:val="18"/>
              </w:rPr>
            </w:pPr>
            <w:r w:rsidRPr="00FF6CFA">
              <w:rPr>
                <w:color w:val="000000"/>
                <w:sz w:val="18"/>
                <w:szCs w:val="18"/>
              </w:rPr>
              <w:t>45</w:t>
            </w:r>
            <w:r w:rsidR="00AA0302" w:rsidRPr="00FF6CFA">
              <w:rPr>
                <w:color w:val="000000"/>
                <w:sz w:val="18"/>
                <w:szCs w:val="18"/>
              </w:rPr>
              <w:t>.62</w:t>
            </w:r>
            <w:r w:rsidR="001B7421" w:rsidRPr="00FF6CFA">
              <w:rPr>
                <w:color w:val="000000"/>
                <w:sz w:val="18"/>
                <w:szCs w:val="18"/>
              </w:rPr>
              <w:t>%</w:t>
            </w:r>
          </w:p>
        </w:tc>
        <w:tc>
          <w:tcPr>
            <w:tcW w:w="1080" w:type="dxa"/>
            <w:shd w:val="clear" w:color="auto" w:fill="auto"/>
            <w:vAlign w:val="center"/>
          </w:tcPr>
          <w:p w14:paraId="46821ABD" w14:textId="77777777" w:rsidR="001B7421" w:rsidRPr="00FF6CFA" w:rsidRDefault="001B7421" w:rsidP="00FF6CFA">
            <w:pPr>
              <w:keepNext/>
              <w:autoSpaceDE w:val="0"/>
              <w:autoSpaceDN w:val="0"/>
              <w:adjustRightInd w:val="0"/>
              <w:jc w:val="center"/>
              <w:rPr>
                <w:color w:val="000000"/>
                <w:sz w:val="18"/>
                <w:szCs w:val="18"/>
              </w:rPr>
            </w:pPr>
            <w:r w:rsidRPr="00FF6CFA">
              <w:rPr>
                <w:color w:val="000000"/>
                <w:sz w:val="18"/>
                <w:szCs w:val="18"/>
              </w:rPr>
              <w:t>17%</w:t>
            </w:r>
          </w:p>
        </w:tc>
        <w:tc>
          <w:tcPr>
            <w:tcW w:w="1260" w:type="dxa"/>
            <w:shd w:val="clear" w:color="auto" w:fill="auto"/>
            <w:vAlign w:val="center"/>
          </w:tcPr>
          <w:p w14:paraId="0848985C" w14:textId="77777777" w:rsidR="001B7421" w:rsidRPr="00FF6CFA" w:rsidRDefault="001B7421" w:rsidP="00FF6CFA">
            <w:pPr>
              <w:keepNext/>
              <w:autoSpaceDE w:val="0"/>
              <w:autoSpaceDN w:val="0"/>
              <w:adjustRightInd w:val="0"/>
              <w:jc w:val="center"/>
              <w:rPr>
                <w:color w:val="000000"/>
                <w:sz w:val="18"/>
                <w:szCs w:val="18"/>
              </w:rPr>
            </w:pPr>
            <w:r w:rsidRPr="00FF6CFA">
              <w:rPr>
                <w:color w:val="000000"/>
                <w:sz w:val="18"/>
                <w:szCs w:val="18"/>
              </w:rPr>
              <w:t>1.</w:t>
            </w:r>
            <w:r w:rsidR="00F5477D" w:rsidRPr="00FF6CFA">
              <w:rPr>
                <w:color w:val="000000"/>
                <w:sz w:val="18"/>
                <w:szCs w:val="18"/>
              </w:rPr>
              <w:t>63</w:t>
            </w:r>
          </w:p>
        </w:tc>
        <w:tc>
          <w:tcPr>
            <w:tcW w:w="1170" w:type="dxa"/>
            <w:shd w:val="clear" w:color="auto" w:fill="auto"/>
            <w:vAlign w:val="center"/>
          </w:tcPr>
          <w:p w14:paraId="6409B0C6" w14:textId="77777777" w:rsidR="001B7421" w:rsidRPr="00FF6CFA" w:rsidRDefault="001B7421" w:rsidP="00FF6CFA">
            <w:pPr>
              <w:keepNext/>
              <w:autoSpaceDE w:val="0"/>
              <w:autoSpaceDN w:val="0"/>
              <w:adjustRightInd w:val="0"/>
              <w:jc w:val="center"/>
              <w:rPr>
                <w:color w:val="000000"/>
                <w:sz w:val="18"/>
                <w:szCs w:val="18"/>
              </w:rPr>
            </w:pPr>
            <w:r w:rsidRPr="00FF6CFA">
              <w:rPr>
                <w:color w:val="000000"/>
                <w:sz w:val="18"/>
                <w:szCs w:val="18"/>
              </w:rPr>
              <w:t>$</w:t>
            </w:r>
            <w:r w:rsidR="00F5477D" w:rsidRPr="00FF6CFA">
              <w:rPr>
                <w:color w:val="000000"/>
                <w:sz w:val="18"/>
                <w:szCs w:val="18"/>
              </w:rPr>
              <w:t>37.50</w:t>
            </w:r>
          </w:p>
        </w:tc>
        <w:tc>
          <w:tcPr>
            <w:tcW w:w="990" w:type="dxa"/>
            <w:shd w:val="clear" w:color="auto" w:fill="auto"/>
            <w:vAlign w:val="center"/>
          </w:tcPr>
          <w:p w14:paraId="62CF9456" w14:textId="77777777" w:rsidR="001B7421" w:rsidRPr="00FF6CFA" w:rsidRDefault="001B7421" w:rsidP="00FF6CFA">
            <w:pPr>
              <w:keepNext/>
              <w:autoSpaceDE w:val="0"/>
              <w:autoSpaceDN w:val="0"/>
              <w:adjustRightInd w:val="0"/>
              <w:jc w:val="center"/>
              <w:rPr>
                <w:color w:val="000000"/>
                <w:sz w:val="18"/>
                <w:szCs w:val="18"/>
              </w:rPr>
            </w:pPr>
            <w:r w:rsidRPr="00FF6CFA">
              <w:rPr>
                <w:color w:val="000000"/>
                <w:sz w:val="18"/>
                <w:szCs w:val="18"/>
              </w:rPr>
              <w:t>$</w:t>
            </w:r>
            <w:r w:rsidR="00F5477D" w:rsidRPr="00FF6CFA">
              <w:rPr>
                <w:color w:val="000000"/>
                <w:sz w:val="18"/>
                <w:szCs w:val="18"/>
              </w:rPr>
              <w:t>38</w:t>
            </w:r>
            <w:r w:rsidRPr="00FF6CFA">
              <w:rPr>
                <w:color w:val="000000"/>
                <w:sz w:val="18"/>
                <w:szCs w:val="18"/>
              </w:rPr>
              <w:t>.00</w:t>
            </w:r>
          </w:p>
        </w:tc>
      </w:tr>
    </w:tbl>
    <w:p w14:paraId="0BDE38F2" w14:textId="77777777" w:rsidR="001B7421" w:rsidRPr="00000CB5" w:rsidRDefault="001B7421" w:rsidP="001B7421">
      <w:pPr>
        <w:pStyle w:val="BodyText"/>
        <w:rPr>
          <w:rFonts w:ascii="Times New Roman" w:hAnsi="Times New Roman" w:cs="Times New Roman"/>
          <w:szCs w:val="22"/>
        </w:rPr>
      </w:pPr>
    </w:p>
    <w:p w14:paraId="673B432D" w14:textId="77777777" w:rsidR="001B7421" w:rsidRPr="00BC1613" w:rsidRDefault="006654B2" w:rsidP="00BC1613">
      <w:pPr>
        <w:ind w:firstLine="720"/>
      </w:pPr>
      <w:r w:rsidRPr="00BC1613">
        <w:t xml:space="preserve">Providing monetary incentives is a standard market research practice (usually a cash or check payment at the close of their research session) for ensuring an acceptable level of participation. An incentive may significantly improve validity and reliability to the extent beyond what is possible through other means. For example, an incentive will help in the recruitment of participants with diverse views and levels of interest in the topic area. EPA is particularly interested in a balanced group of consumers and believes that providing an incentive will improve the quality of the effort. The total incentive/travel reimbursement offered to each focus group participant will be $75 for 2 hours, which includes time for participating in the focus group and travel to and from the focus group. It is important to note that most of the research on incentives has been based on vehicles other than focus groups, typically large-scale household surveys conducted by mail, internet, or interview. Focus groups involve a higher respondent burden, largely attributable to the time, expense, and inconvenience of getting to and from and being at the focus group site. Given the very real barriers to participation, the incentive must be sufficient to overcome them and increased compensation is a proven means to that end. </w:t>
      </w:r>
    </w:p>
    <w:p w14:paraId="25C94A37" w14:textId="77777777" w:rsidR="006654B2" w:rsidRPr="00BC1613" w:rsidRDefault="006654B2" w:rsidP="00BC1613">
      <w:pPr>
        <w:ind w:firstLine="720"/>
      </w:pPr>
      <w:r w:rsidRPr="00BC1613">
        <w:t xml:space="preserve">Survey participants receive an incentive for participating in the </w:t>
      </w:r>
      <w:r w:rsidR="005969D2" w:rsidRPr="00BC1613">
        <w:t>panel</w:t>
      </w:r>
      <w:r w:rsidRPr="00BC1613">
        <w:t xml:space="preserve">. They receive points for completion of the survey, and the points can be redeemed for cash or prizes. Offering points for taking online surveys is standard practice that Ipsos, the survey vendor for this research, follows. </w:t>
      </w:r>
      <w:r w:rsidR="005969D2" w:rsidRPr="00BC1613">
        <w:t>Ipsos</w:t>
      </w:r>
      <w:r w:rsidRPr="00BC1613">
        <w:t xml:space="preserve"> stipulates this practice in its agreement </w:t>
      </w:r>
      <w:r w:rsidR="00355091" w:rsidRPr="00BC1613">
        <w:t xml:space="preserve">with participants. </w:t>
      </w:r>
    </w:p>
    <w:p w14:paraId="3630D781" w14:textId="77777777" w:rsidR="006654B2" w:rsidRPr="00BC1613" w:rsidRDefault="006654B2" w:rsidP="001B7421"/>
    <w:p w14:paraId="0AC83A32" w14:textId="21A5191E" w:rsidR="001B7421" w:rsidRPr="00BC1613" w:rsidRDefault="001B7421" w:rsidP="00BC1613">
      <w:pPr>
        <w:ind w:firstLine="720"/>
      </w:pPr>
      <w:r w:rsidRPr="00BC1613">
        <w:t xml:space="preserve">In </w:t>
      </w:r>
      <w:r w:rsidR="00751C26" w:rsidRPr="00BC1613">
        <w:t>E</w:t>
      </w:r>
      <w:r w:rsidRPr="00BC1613">
        <w:t xml:space="preserve">xhibit 6.2 we show the breakdown of burden costs, assuming </w:t>
      </w:r>
      <w:r w:rsidR="00751C26" w:rsidRPr="00BC1613">
        <w:t xml:space="preserve">0.17 </w:t>
      </w:r>
      <w:r w:rsidRPr="00BC1613">
        <w:t xml:space="preserve">hours for </w:t>
      </w:r>
      <w:r w:rsidR="00751C26" w:rsidRPr="00BC1613">
        <w:t>completing the consumer focus group screening</w:t>
      </w:r>
      <w:r w:rsidR="00A715C5" w:rsidRPr="00BC1613">
        <w:t xml:space="preserve">, </w:t>
      </w:r>
      <w:r w:rsidR="00751C26" w:rsidRPr="00BC1613">
        <w:t>2 hours for participating in consumer focus group interviews, and 0.33 hours for completing the consumer online survey. Note that the 2 hours for participating in consumer focus group interviews includes 1.5 hours for the focus group sessions and 0.5 hours for travel. A total of 900 respondents are expected to complete the screening for consumer focus groups, along with 90 respondents who will then be selected to participate in the consumer focus group interviews. An additional 6,000 respondents are expected to complete the consumer online survey</w:t>
      </w:r>
      <w:r w:rsidR="001E25B1">
        <w:t xml:space="preserve">. </w:t>
      </w:r>
      <w:r w:rsidRPr="00BC1613">
        <w:t xml:space="preserve">No capital or </w:t>
      </w:r>
      <w:r w:rsidR="00751C26" w:rsidRPr="00BC1613">
        <w:t>operating and maintenance</w:t>
      </w:r>
      <w:r w:rsidRPr="00BC1613">
        <w:t xml:space="preserve"> costs are incurred by respondents under this ICR.</w:t>
      </w:r>
    </w:p>
    <w:p w14:paraId="3E6D4AD5" w14:textId="77777777" w:rsidR="001B7421" w:rsidRDefault="001B7421" w:rsidP="001B7421">
      <w:pPr>
        <w:rPr>
          <w:sz w:val="22"/>
        </w:rPr>
      </w:pPr>
    </w:p>
    <w:p w14:paraId="01DCAFD7" w14:textId="038B2FB6" w:rsidR="001B7421" w:rsidRPr="00BC1613" w:rsidRDefault="001B7421" w:rsidP="001B7421">
      <w:pPr>
        <w:rPr>
          <w:b/>
          <w:bCs/>
        </w:rPr>
      </w:pPr>
      <w:r w:rsidRPr="00BC1613">
        <w:rPr>
          <w:lang w:val="en-CA"/>
        </w:rPr>
        <w:fldChar w:fldCharType="begin"/>
      </w:r>
      <w:r w:rsidRPr="00BC1613">
        <w:rPr>
          <w:lang w:val="en-CA"/>
        </w:rPr>
        <w:instrText xml:space="preserve"> SEQ CHAPTER \h \r 1</w:instrText>
      </w:r>
      <w:r w:rsidRPr="00BC1613">
        <w:rPr>
          <w:lang w:val="en-CA"/>
        </w:rPr>
        <w:fldChar w:fldCharType="end"/>
      </w:r>
      <w:r w:rsidRPr="00BC1613">
        <w:rPr>
          <w:b/>
          <w:bCs/>
        </w:rPr>
        <w:t>Exhibit 6.2</w:t>
      </w:r>
      <w:r w:rsidR="001E25B1">
        <w:rPr>
          <w:b/>
          <w:bCs/>
        </w:rPr>
        <w:t xml:space="preserve">. </w:t>
      </w:r>
      <w:r w:rsidRPr="00BC1613">
        <w:rPr>
          <w:b/>
          <w:bCs/>
        </w:rPr>
        <w:t>Estimated Burden and Costs to Respondents</w:t>
      </w:r>
      <w:r w:rsidR="00FF6CFA" w:rsidRPr="00BC1613">
        <w:rPr>
          <w:b/>
          <w:bCs/>
        </w:rPr>
        <w:t xml:space="preserve"> (Over Three Years)</w:t>
      </w:r>
    </w:p>
    <w:tbl>
      <w:tblPr>
        <w:tblStyle w:val="TableGrid"/>
        <w:tblW w:w="9180" w:type="dxa"/>
        <w:tblInd w:w="108" w:type="dxa"/>
        <w:tblLook w:val="04A0" w:firstRow="1" w:lastRow="0" w:firstColumn="1" w:lastColumn="0" w:noHBand="0" w:noVBand="1"/>
      </w:tblPr>
      <w:tblGrid>
        <w:gridCol w:w="3060"/>
        <w:gridCol w:w="1260"/>
        <w:gridCol w:w="1260"/>
        <w:gridCol w:w="1080"/>
        <w:gridCol w:w="1170"/>
        <w:gridCol w:w="1350"/>
      </w:tblGrid>
      <w:tr w:rsidR="00751C26" w:rsidRPr="005969D2" w14:paraId="47269081" w14:textId="77777777" w:rsidTr="005954F4">
        <w:tc>
          <w:tcPr>
            <w:tcW w:w="3060" w:type="dxa"/>
            <w:shd w:val="clear" w:color="auto" w:fill="BFBFBF" w:themeFill="background1" w:themeFillShade="BF"/>
            <w:vAlign w:val="center"/>
          </w:tcPr>
          <w:p w14:paraId="0A527226" w14:textId="77777777" w:rsidR="00355091" w:rsidRPr="00FF6CFA" w:rsidRDefault="00355091" w:rsidP="005954F4">
            <w:pPr>
              <w:ind w:right="-90"/>
              <w:jc w:val="center"/>
              <w:rPr>
                <w:b/>
                <w:sz w:val="20"/>
                <w:szCs w:val="18"/>
              </w:rPr>
            </w:pPr>
            <w:r w:rsidRPr="00FF6CFA">
              <w:rPr>
                <w:b/>
                <w:sz w:val="20"/>
                <w:szCs w:val="18"/>
              </w:rPr>
              <w:t>Collection Activity</w:t>
            </w:r>
          </w:p>
        </w:tc>
        <w:tc>
          <w:tcPr>
            <w:tcW w:w="1260" w:type="dxa"/>
            <w:shd w:val="clear" w:color="auto" w:fill="BFBFBF" w:themeFill="background1" w:themeFillShade="BF"/>
            <w:vAlign w:val="center"/>
          </w:tcPr>
          <w:p w14:paraId="17F1C146" w14:textId="77777777" w:rsidR="00355091" w:rsidRPr="00FF6CFA" w:rsidRDefault="00355091" w:rsidP="005954F4">
            <w:pPr>
              <w:ind w:right="-90"/>
              <w:jc w:val="center"/>
              <w:rPr>
                <w:b/>
                <w:sz w:val="20"/>
                <w:szCs w:val="18"/>
              </w:rPr>
            </w:pPr>
            <w:r w:rsidRPr="00FF6CFA">
              <w:rPr>
                <w:b/>
                <w:sz w:val="20"/>
                <w:szCs w:val="18"/>
              </w:rPr>
              <w:t>Number of Respondents</w:t>
            </w:r>
          </w:p>
        </w:tc>
        <w:tc>
          <w:tcPr>
            <w:tcW w:w="1260" w:type="dxa"/>
            <w:shd w:val="clear" w:color="auto" w:fill="BFBFBF" w:themeFill="background1" w:themeFillShade="BF"/>
            <w:vAlign w:val="center"/>
          </w:tcPr>
          <w:p w14:paraId="30905E02" w14:textId="77777777" w:rsidR="00355091" w:rsidRPr="00FF6CFA" w:rsidRDefault="00355091" w:rsidP="005954F4">
            <w:pPr>
              <w:ind w:right="-90"/>
              <w:jc w:val="center"/>
              <w:rPr>
                <w:b/>
                <w:sz w:val="20"/>
                <w:szCs w:val="18"/>
              </w:rPr>
            </w:pPr>
            <w:r w:rsidRPr="00FF6CFA">
              <w:rPr>
                <w:b/>
                <w:sz w:val="20"/>
                <w:szCs w:val="18"/>
              </w:rPr>
              <w:t>Frequency of Response</w:t>
            </w:r>
          </w:p>
        </w:tc>
        <w:tc>
          <w:tcPr>
            <w:tcW w:w="1080" w:type="dxa"/>
            <w:shd w:val="clear" w:color="auto" w:fill="BFBFBF" w:themeFill="background1" w:themeFillShade="BF"/>
            <w:vAlign w:val="center"/>
          </w:tcPr>
          <w:p w14:paraId="2D73372D" w14:textId="77777777" w:rsidR="00355091" w:rsidRPr="00FF6CFA" w:rsidRDefault="00355091" w:rsidP="005954F4">
            <w:pPr>
              <w:ind w:right="-90"/>
              <w:jc w:val="center"/>
              <w:rPr>
                <w:b/>
                <w:sz w:val="20"/>
                <w:szCs w:val="18"/>
              </w:rPr>
            </w:pPr>
            <w:r w:rsidRPr="00FF6CFA">
              <w:rPr>
                <w:b/>
                <w:sz w:val="20"/>
                <w:szCs w:val="18"/>
              </w:rPr>
              <w:t>Hours Per Response</w:t>
            </w:r>
          </w:p>
        </w:tc>
        <w:tc>
          <w:tcPr>
            <w:tcW w:w="1170" w:type="dxa"/>
            <w:shd w:val="clear" w:color="auto" w:fill="BFBFBF" w:themeFill="background1" w:themeFillShade="BF"/>
            <w:vAlign w:val="center"/>
          </w:tcPr>
          <w:p w14:paraId="38187D45" w14:textId="77777777" w:rsidR="00355091" w:rsidRPr="00FF6CFA" w:rsidRDefault="00355091" w:rsidP="005954F4">
            <w:pPr>
              <w:ind w:right="-90"/>
              <w:jc w:val="center"/>
              <w:rPr>
                <w:b/>
                <w:sz w:val="20"/>
                <w:szCs w:val="18"/>
              </w:rPr>
            </w:pPr>
            <w:r w:rsidRPr="00FF6CFA">
              <w:rPr>
                <w:b/>
                <w:sz w:val="20"/>
                <w:szCs w:val="18"/>
              </w:rPr>
              <w:t>Total Burden Hours</w:t>
            </w:r>
          </w:p>
        </w:tc>
        <w:tc>
          <w:tcPr>
            <w:tcW w:w="1350" w:type="dxa"/>
            <w:shd w:val="clear" w:color="auto" w:fill="BFBFBF" w:themeFill="background1" w:themeFillShade="BF"/>
            <w:vAlign w:val="center"/>
          </w:tcPr>
          <w:p w14:paraId="1E8A9FF1" w14:textId="77777777" w:rsidR="00355091" w:rsidRPr="00FF6CFA" w:rsidRDefault="00355091" w:rsidP="005954F4">
            <w:pPr>
              <w:ind w:right="-90"/>
              <w:jc w:val="center"/>
              <w:rPr>
                <w:b/>
                <w:sz w:val="20"/>
                <w:szCs w:val="18"/>
              </w:rPr>
            </w:pPr>
            <w:r w:rsidRPr="00FF6CFA">
              <w:rPr>
                <w:b/>
                <w:sz w:val="20"/>
                <w:szCs w:val="18"/>
              </w:rPr>
              <w:t>Total Cost</w:t>
            </w:r>
          </w:p>
        </w:tc>
      </w:tr>
      <w:tr w:rsidR="00751C26" w:rsidRPr="005969D2" w14:paraId="7267BB97" w14:textId="77777777" w:rsidTr="00FF6CFA">
        <w:tc>
          <w:tcPr>
            <w:tcW w:w="3060" w:type="dxa"/>
            <w:vAlign w:val="center"/>
          </w:tcPr>
          <w:p w14:paraId="2D82884B" w14:textId="2917FFD6" w:rsidR="00355091" w:rsidRPr="00FF6CFA" w:rsidRDefault="00355091" w:rsidP="00440F5A">
            <w:pPr>
              <w:ind w:right="-90"/>
              <w:rPr>
                <w:sz w:val="20"/>
                <w:szCs w:val="18"/>
              </w:rPr>
            </w:pPr>
            <w:r w:rsidRPr="00FF6CFA">
              <w:rPr>
                <w:sz w:val="20"/>
                <w:szCs w:val="18"/>
              </w:rPr>
              <w:t>Screening for Consumer Focus Groups</w:t>
            </w:r>
          </w:p>
        </w:tc>
        <w:tc>
          <w:tcPr>
            <w:tcW w:w="1260" w:type="dxa"/>
            <w:vAlign w:val="center"/>
          </w:tcPr>
          <w:p w14:paraId="03B38083" w14:textId="77777777" w:rsidR="00355091" w:rsidRPr="00FF6CFA" w:rsidRDefault="00355091" w:rsidP="00FF6CFA">
            <w:pPr>
              <w:ind w:right="-90"/>
              <w:jc w:val="center"/>
              <w:rPr>
                <w:sz w:val="20"/>
                <w:szCs w:val="18"/>
              </w:rPr>
            </w:pPr>
            <w:r w:rsidRPr="00FF6CFA">
              <w:rPr>
                <w:sz w:val="20"/>
                <w:szCs w:val="18"/>
              </w:rPr>
              <w:t>900</w:t>
            </w:r>
          </w:p>
        </w:tc>
        <w:tc>
          <w:tcPr>
            <w:tcW w:w="1260" w:type="dxa"/>
            <w:vAlign w:val="center"/>
          </w:tcPr>
          <w:p w14:paraId="1855DE36" w14:textId="77777777" w:rsidR="00355091" w:rsidRPr="00FF6CFA" w:rsidRDefault="00355091" w:rsidP="00FF6CFA">
            <w:pPr>
              <w:ind w:right="-90"/>
              <w:jc w:val="center"/>
              <w:rPr>
                <w:sz w:val="20"/>
                <w:szCs w:val="18"/>
              </w:rPr>
            </w:pPr>
            <w:r w:rsidRPr="00FF6CFA">
              <w:rPr>
                <w:sz w:val="20"/>
                <w:szCs w:val="18"/>
              </w:rPr>
              <w:t>1</w:t>
            </w:r>
          </w:p>
        </w:tc>
        <w:tc>
          <w:tcPr>
            <w:tcW w:w="1080" w:type="dxa"/>
            <w:vAlign w:val="center"/>
          </w:tcPr>
          <w:p w14:paraId="313A6F12" w14:textId="77777777" w:rsidR="00355091" w:rsidRPr="00FF6CFA" w:rsidRDefault="00355091" w:rsidP="00FF6CFA">
            <w:pPr>
              <w:ind w:right="-90"/>
              <w:jc w:val="center"/>
              <w:rPr>
                <w:sz w:val="20"/>
                <w:szCs w:val="18"/>
              </w:rPr>
            </w:pPr>
            <w:r w:rsidRPr="00FF6CFA">
              <w:rPr>
                <w:sz w:val="20"/>
                <w:szCs w:val="18"/>
              </w:rPr>
              <w:t>0.17</w:t>
            </w:r>
          </w:p>
        </w:tc>
        <w:tc>
          <w:tcPr>
            <w:tcW w:w="1170" w:type="dxa"/>
            <w:vAlign w:val="center"/>
          </w:tcPr>
          <w:p w14:paraId="29C3DAE2" w14:textId="77777777" w:rsidR="00355091" w:rsidRPr="00FF6CFA" w:rsidRDefault="00355091" w:rsidP="00FF6CFA">
            <w:pPr>
              <w:ind w:right="-90"/>
              <w:jc w:val="center"/>
              <w:rPr>
                <w:sz w:val="20"/>
                <w:szCs w:val="18"/>
              </w:rPr>
            </w:pPr>
            <w:r w:rsidRPr="00FF6CFA">
              <w:rPr>
                <w:sz w:val="20"/>
                <w:szCs w:val="18"/>
              </w:rPr>
              <w:t>150</w:t>
            </w:r>
          </w:p>
        </w:tc>
        <w:tc>
          <w:tcPr>
            <w:tcW w:w="1350" w:type="dxa"/>
            <w:vAlign w:val="center"/>
          </w:tcPr>
          <w:p w14:paraId="59B0E5AB" w14:textId="77777777" w:rsidR="00355091" w:rsidRPr="00FF6CFA" w:rsidRDefault="00355091" w:rsidP="00FF6CFA">
            <w:pPr>
              <w:ind w:right="-90"/>
              <w:jc w:val="right"/>
              <w:rPr>
                <w:sz w:val="20"/>
                <w:szCs w:val="18"/>
              </w:rPr>
            </w:pPr>
            <w:r w:rsidRPr="00FF6CFA">
              <w:rPr>
                <w:sz w:val="20"/>
                <w:szCs w:val="18"/>
              </w:rPr>
              <w:t>$5,</w:t>
            </w:r>
            <w:r w:rsidR="00964ACD" w:rsidRPr="00FF6CFA">
              <w:rPr>
                <w:sz w:val="20"/>
                <w:szCs w:val="18"/>
              </w:rPr>
              <w:t>700</w:t>
            </w:r>
          </w:p>
        </w:tc>
      </w:tr>
      <w:tr w:rsidR="00751C26" w:rsidRPr="005969D2" w14:paraId="32CB1284" w14:textId="77777777" w:rsidTr="00FF6CFA">
        <w:tc>
          <w:tcPr>
            <w:tcW w:w="3060" w:type="dxa"/>
            <w:vAlign w:val="center"/>
          </w:tcPr>
          <w:p w14:paraId="10949455" w14:textId="77777777" w:rsidR="00355091" w:rsidRPr="00FF6CFA" w:rsidRDefault="00355091" w:rsidP="00355091">
            <w:pPr>
              <w:ind w:right="-90"/>
              <w:rPr>
                <w:sz w:val="20"/>
                <w:szCs w:val="18"/>
              </w:rPr>
            </w:pPr>
            <w:r w:rsidRPr="00FF6CFA">
              <w:rPr>
                <w:sz w:val="20"/>
                <w:szCs w:val="18"/>
              </w:rPr>
              <w:t>Consumer Focus Group Interviews</w:t>
            </w:r>
          </w:p>
        </w:tc>
        <w:tc>
          <w:tcPr>
            <w:tcW w:w="1260" w:type="dxa"/>
            <w:vAlign w:val="center"/>
          </w:tcPr>
          <w:p w14:paraId="2F0B39C0" w14:textId="77777777" w:rsidR="00355091" w:rsidRPr="00FF6CFA" w:rsidRDefault="00355091" w:rsidP="00FF6CFA">
            <w:pPr>
              <w:ind w:right="-90"/>
              <w:jc w:val="center"/>
              <w:rPr>
                <w:sz w:val="20"/>
                <w:szCs w:val="18"/>
              </w:rPr>
            </w:pPr>
            <w:r w:rsidRPr="00FF6CFA">
              <w:rPr>
                <w:sz w:val="20"/>
                <w:szCs w:val="18"/>
              </w:rPr>
              <w:t>90</w:t>
            </w:r>
          </w:p>
        </w:tc>
        <w:tc>
          <w:tcPr>
            <w:tcW w:w="1260" w:type="dxa"/>
            <w:vAlign w:val="center"/>
          </w:tcPr>
          <w:p w14:paraId="5CB34F6B" w14:textId="77777777" w:rsidR="00355091" w:rsidRPr="00FF6CFA" w:rsidRDefault="00355091" w:rsidP="00FF6CFA">
            <w:pPr>
              <w:ind w:right="-90"/>
              <w:jc w:val="center"/>
              <w:rPr>
                <w:sz w:val="20"/>
                <w:szCs w:val="18"/>
              </w:rPr>
            </w:pPr>
            <w:r w:rsidRPr="00FF6CFA">
              <w:rPr>
                <w:sz w:val="20"/>
                <w:szCs w:val="18"/>
              </w:rPr>
              <w:t>1</w:t>
            </w:r>
          </w:p>
        </w:tc>
        <w:tc>
          <w:tcPr>
            <w:tcW w:w="1080" w:type="dxa"/>
            <w:vAlign w:val="center"/>
          </w:tcPr>
          <w:p w14:paraId="65FA9F73" w14:textId="77777777" w:rsidR="00355091" w:rsidRPr="00FF6CFA" w:rsidRDefault="00355091" w:rsidP="00FF6CFA">
            <w:pPr>
              <w:ind w:right="-90"/>
              <w:jc w:val="center"/>
              <w:rPr>
                <w:sz w:val="20"/>
                <w:szCs w:val="18"/>
              </w:rPr>
            </w:pPr>
            <w:r w:rsidRPr="00FF6CFA">
              <w:rPr>
                <w:sz w:val="20"/>
                <w:szCs w:val="18"/>
              </w:rPr>
              <w:t>2</w:t>
            </w:r>
          </w:p>
        </w:tc>
        <w:tc>
          <w:tcPr>
            <w:tcW w:w="1170" w:type="dxa"/>
            <w:vAlign w:val="center"/>
          </w:tcPr>
          <w:p w14:paraId="5AC3E7FA" w14:textId="77777777" w:rsidR="00355091" w:rsidRPr="00FF6CFA" w:rsidRDefault="00355091" w:rsidP="00FF6CFA">
            <w:pPr>
              <w:ind w:right="-90"/>
              <w:jc w:val="center"/>
              <w:rPr>
                <w:sz w:val="20"/>
                <w:szCs w:val="18"/>
              </w:rPr>
            </w:pPr>
            <w:r w:rsidRPr="00FF6CFA">
              <w:rPr>
                <w:sz w:val="20"/>
                <w:szCs w:val="18"/>
              </w:rPr>
              <w:t>180</w:t>
            </w:r>
          </w:p>
        </w:tc>
        <w:tc>
          <w:tcPr>
            <w:tcW w:w="1350" w:type="dxa"/>
            <w:vAlign w:val="center"/>
          </w:tcPr>
          <w:p w14:paraId="28A73C8F" w14:textId="77777777" w:rsidR="00355091" w:rsidRPr="00FF6CFA" w:rsidRDefault="00355091" w:rsidP="00FF6CFA">
            <w:pPr>
              <w:ind w:right="-90"/>
              <w:jc w:val="right"/>
              <w:rPr>
                <w:sz w:val="20"/>
                <w:szCs w:val="18"/>
              </w:rPr>
            </w:pPr>
            <w:r w:rsidRPr="00FF6CFA">
              <w:rPr>
                <w:sz w:val="20"/>
                <w:szCs w:val="18"/>
              </w:rPr>
              <w:t>$6</w:t>
            </w:r>
            <w:r w:rsidR="00964ACD" w:rsidRPr="00FF6CFA">
              <w:rPr>
                <w:sz w:val="20"/>
                <w:szCs w:val="18"/>
              </w:rPr>
              <w:t>,840</w:t>
            </w:r>
          </w:p>
        </w:tc>
      </w:tr>
      <w:tr w:rsidR="00751C26" w:rsidRPr="005969D2" w14:paraId="72A9A748" w14:textId="77777777" w:rsidTr="00FF6CFA">
        <w:tc>
          <w:tcPr>
            <w:tcW w:w="3060" w:type="dxa"/>
            <w:vAlign w:val="center"/>
          </w:tcPr>
          <w:p w14:paraId="33922041" w14:textId="77777777" w:rsidR="00355091" w:rsidRPr="00FF6CFA" w:rsidRDefault="00355091" w:rsidP="00355091">
            <w:pPr>
              <w:ind w:right="-90"/>
              <w:rPr>
                <w:sz w:val="20"/>
                <w:szCs w:val="18"/>
              </w:rPr>
            </w:pPr>
            <w:r w:rsidRPr="00FF6CFA">
              <w:rPr>
                <w:sz w:val="20"/>
                <w:szCs w:val="18"/>
              </w:rPr>
              <w:t>Consumer Online Survey</w:t>
            </w:r>
          </w:p>
        </w:tc>
        <w:tc>
          <w:tcPr>
            <w:tcW w:w="1260" w:type="dxa"/>
            <w:vAlign w:val="center"/>
          </w:tcPr>
          <w:p w14:paraId="07EC3056" w14:textId="77777777" w:rsidR="00355091" w:rsidRPr="00FF6CFA" w:rsidRDefault="00355091" w:rsidP="00FF6CFA">
            <w:pPr>
              <w:ind w:right="-90"/>
              <w:jc w:val="center"/>
              <w:rPr>
                <w:sz w:val="20"/>
                <w:szCs w:val="18"/>
              </w:rPr>
            </w:pPr>
            <w:r w:rsidRPr="00FF6CFA">
              <w:rPr>
                <w:sz w:val="20"/>
                <w:szCs w:val="18"/>
              </w:rPr>
              <w:t>6,000</w:t>
            </w:r>
          </w:p>
        </w:tc>
        <w:tc>
          <w:tcPr>
            <w:tcW w:w="1260" w:type="dxa"/>
            <w:vAlign w:val="center"/>
          </w:tcPr>
          <w:p w14:paraId="0B071B1A" w14:textId="77777777" w:rsidR="00355091" w:rsidRPr="00FF6CFA" w:rsidRDefault="00355091" w:rsidP="00FF6CFA">
            <w:pPr>
              <w:ind w:right="-90"/>
              <w:jc w:val="center"/>
              <w:rPr>
                <w:sz w:val="20"/>
                <w:szCs w:val="18"/>
              </w:rPr>
            </w:pPr>
            <w:r w:rsidRPr="00FF6CFA">
              <w:rPr>
                <w:sz w:val="20"/>
                <w:szCs w:val="18"/>
              </w:rPr>
              <w:t>1</w:t>
            </w:r>
          </w:p>
        </w:tc>
        <w:tc>
          <w:tcPr>
            <w:tcW w:w="1080" w:type="dxa"/>
            <w:vAlign w:val="center"/>
          </w:tcPr>
          <w:p w14:paraId="2AA76F57" w14:textId="77777777" w:rsidR="00355091" w:rsidRPr="00FF6CFA" w:rsidRDefault="00355091" w:rsidP="00FF6CFA">
            <w:pPr>
              <w:ind w:right="-90"/>
              <w:jc w:val="center"/>
              <w:rPr>
                <w:sz w:val="20"/>
                <w:szCs w:val="18"/>
              </w:rPr>
            </w:pPr>
            <w:r w:rsidRPr="00FF6CFA">
              <w:rPr>
                <w:sz w:val="20"/>
                <w:szCs w:val="18"/>
              </w:rPr>
              <w:t>0.33</w:t>
            </w:r>
          </w:p>
        </w:tc>
        <w:tc>
          <w:tcPr>
            <w:tcW w:w="1170" w:type="dxa"/>
            <w:vAlign w:val="center"/>
          </w:tcPr>
          <w:p w14:paraId="74672D9A" w14:textId="77777777" w:rsidR="00355091" w:rsidRPr="00FF6CFA" w:rsidRDefault="00355091" w:rsidP="00FF6CFA">
            <w:pPr>
              <w:ind w:right="-90"/>
              <w:jc w:val="center"/>
              <w:rPr>
                <w:sz w:val="20"/>
                <w:szCs w:val="18"/>
              </w:rPr>
            </w:pPr>
            <w:r w:rsidRPr="00FF6CFA">
              <w:rPr>
                <w:sz w:val="20"/>
                <w:szCs w:val="18"/>
              </w:rPr>
              <w:t>2000</w:t>
            </w:r>
          </w:p>
        </w:tc>
        <w:tc>
          <w:tcPr>
            <w:tcW w:w="1350" w:type="dxa"/>
            <w:vAlign w:val="center"/>
          </w:tcPr>
          <w:p w14:paraId="354D5459" w14:textId="77777777" w:rsidR="00355091" w:rsidRPr="00FF6CFA" w:rsidRDefault="00355091" w:rsidP="00FF6CFA">
            <w:pPr>
              <w:ind w:right="-90"/>
              <w:jc w:val="right"/>
              <w:rPr>
                <w:sz w:val="20"/>
                <w:szCs w:val="18"/>
              </w:rPr>
            </w:pPr>
            <w:r w:rsidRPr="00FF6CFA">
              <w:rPr>
                <w:sz w:val="20"/>
                <w:szCs w:val="18"/>
              </w:rPr>
              <w:t>$</w:t>
            </w:r>
            <w:r w:rsidR="00964ACD" w:rsidRPr="00FF6CFA">
              <w:rPr>
                <w:sz w:val="20"/>
                <w:szCs w:val="18"/>
              </w:rPr>
              <w:t>76,000</w:t>
            </w:r>
          </w:p>
        </w:tc>
      </w:tr>
      <w:tr w:rsidR="00751C26" w:rsidRPr="005969D2" w14:paraId="6D13F392" w14:textId="77777777" w:rsidTr="00FF6CFA">
        <w:tc>
          <w:tcPr>
            <w:tcW w:w="3060" w:type="dxa"/>
            <w:vAlign w:val="center"/>
          </w:tcPr>
          <w:p w14:paraId="718363E6" w14:textId="77777777" w:rsidR="00355091" w:rsidRPr="00FF6CFA" w:rsidRDefault="00355091" w:rsidP="00355091">
            <w:pPr>
              <w:ind w:right="-90"/>
              <w:rPr>
                <w:b/>
                <w:sz w:val="20"/>
                <w:szCs w:val="18"/>
              </w:rPr>
            </w:pPr>
            <w:r w:rsidRPr="00FF6CFA">
              <w:rPr>
                <w:b/>
                <w:sz w:val="20"/>
                <w:szCs w:val="18"/>
              </w:rPr>
              <w:t>Total</w:t>
            </w:r>
          </w:p>
        </w:tc>
        <w:tc>
          <w:tcPr>
            <w:tcW w:w="1260" w:type="dxa"/>
            <w:vAlign w:val="center"/>
          </w:tcPr>
          <w:p w14:paraId="589C5A60" w14:textId="77777777" w:rsidR="00355091" w:rsidRPr="00FF6CFA" w:rsidRDefault="00355091" w:rsidP="00FF6CFA">
            <w:pPr>
              <w:ind w:right="-90"/>
              <w:jc w:val="center"/>
              <w:rPr>
                <w:b/>
                <w:sz w:val="20"/>
                <w:szCs w:val="18"/>
              </w:rPr>
            </w:pPr>
            <w:r w:rsidRPr="00FF6CFA">
              <w:rPr>
                <w:b/>
                <w:sz w:val="20"/>
                <w:szCs w:val="18"/>
              </w:rPr>
              <w:t>6,990</w:t>
            </w:r>
          </w:p>
        </w:tc>
        <w:tc>
          <w:tcPr>
            <w:tcW w:w="1260" w:type="dxa"/>
            <w:vAlign w:val="center"/>
          </w:tcPr>
          <w:p w14:paraId="0143FD67" w14:textId="77777777" w:rsidR="00355091" w:rsidRPr="00FF6CFA" w:rsidRDefault="00355091" w:rsidP="00FF6CFA">
            <w:pPr>
              <w:ind w:right="-90"/>
              <w:jc w:val="center"/>
              <w:rPr>
                <w:sz w:val="20"/>
                <w:szCs w:val="18"/>
              </w:rPr>
            </w:pPr>
            <w:r w:rsidRPr="00FF6CFA">
              <w:rPr>
                <w:sz w:val="20"/>
                <w:szCs w:val="18"/>
              </w:rPr>
              <w:t>--</w:t>
            </w:r>
          </w:p>
        </w:tc>
        <w:tc>
          <w:tcPr>
            <w:tcW w:w="1080" w:type="dxa"/>
            <w:vAlign w:val="center"/>
          </w:tcPr>
          <w:p w14:paraId="285D1ACE" w14:textId="77777777" w:rsidR="00355091" w:rsidRPr="00FF6CFA" w:rsidRDefault="00355091" w:rsidP="00FF6CFA">
            <w:pPr>
              <w:ind w:right="-90"/>
              <w:jc w:val="center"/>
              <w:rPr>
                <w:sz w:val="20"/>
                <w:szCs w:val="18"/>
              </w:rPr>
            </w:pPr>
            <w:r w:rsidRPr="00FF6CFA">
              <w:rPr>
                <w:sz w:val="20"/>
                <w:szCs w:val="18"/>
              </w:rPr>
              <w:t>--</w:t>
            </w:r>
          </w:p>
        </w:tc>
        <w:tc>
          <w:tcPr>
            <w:tcW w:w="1170" w:type="dxa"/>
            <w:vAlign w:val="center"/>
          </w:tcPr>
          <w:p w14:paraId="16DA2822" w14:textId="77777777" w:rsidR="00355091" w:rsidRPr="00FF6CFA" w:rsidRDefault="00355091" w:rsidP="00FF6CFA">
            <w:pPr>
              <w:ind w:right="-90"/>
              <w:jc w:val="center"/>
              <w:rPr>
                <w:b/>
                <w:sz w:val="20"/>
                <w:szCs w:val="18"/>
              </w:rPr>
            </w:pPr>
            <w:r w:rsidRPr="00FF6CFA">
              <w:rPr>
                <w:b/>
                <w:sz w:val="20"/>
                <w:szCs w:val="18"/>
              </w:rPr>
              <w:t>2,330</w:t>
            </w:r>
          </w:p>
        </w:tc>
        <w:tc>
          <w:tcPr>
            <w:tcW w:w="1350" w:type="dxa"/>
            <w:vAlign w:val="center"/>
          </w:tcPr>
          <w:p w14:paraId="4A42506B" w14:textId="77777777" w:rsidR="00355091" w:rsidRPr="00FF6CFA" w:rsidRDefault="00355091" w:rsidP="00FF6CFA">
            <w:pPr>
              <w:ind w:right="-90"/>
              <w:jc w:val="right"/>
              <w:rPr>
                <w:b/>
                <w:sz w:val="20"/>
                <w:szCs w:val="18"/>
              </w:rPr>
            </w:pPr>
            <w:r w:rsidRPr="00FF6CFA">
              <w:rPr>
                <w:b/>
                <w:sz w:val="20"/>
                <w:szCs w:val="18"/>
              </w:rPr>
              <w:t>$</w:t>
            </w:r>
            <w:r w:rsidR="00964ACD" w:rsidRPr="00FF6CFA">
              <w:rPr>
                <w:b/>
                <w:sz w:val="20"/>
                <w:szCs w:val="18"/>
              </w:rPr>
              <w:t>88,540</w:t>
            </w:r>
          </w:p>
        </w:tc>
      </w:tr>
    </w:tbl>
    <w:p w14:paraId="31741057" w14:textId="77777777" w:rsidR="00751C26" w:rsidRPr="00E42F38" w:rsidRDefault="00751C26" w:rsidP="004E7B0B">
      <w:pPr>
        <w:ind w:left="-90" w:right="-90"/>
        <w:rPr>
          <w:sz w:val="18"/>
          <w:szCs w:val="18"/>
        </w:rPr>
      </w:pPr>
    </w:p>
    <w:p w14:paraId="4CA3AD73" w14:textId="77777777" w:rsidR="001B7421" w:rsidRPr="00BC1613" w:rsidRDefault="001B7421" w:rsidP="001B7421">
      <w:pPr>
        <w:pStyle w:val="Heading2"/>
        <w:ind w:firstLine="720"/>
        <w:jc w:val="left"/>
        <w:rPr>
          <w:sz w:val="24"/>
          <w:szCs w:val="24"/>
        </w:rPr>
      </w:pPr>
      <w:bookmarkStart w:id="54" w:name="_Toc453944863"/>
      <w:bookmarkStart w:id="55" w:name="_Toc160347331"/>
      <w:bookmarkStart w:id="56" w:name="_Toc227390393"/>
      <w:r w:rsidRPr="00BC1613">
        <w:rPr>
          <w:sz w:val="24"/>
          <w:szCs w:val="24"/>
        </w:rPr>
        <w:t>6(c)</w:t>
      </w:r>
      <w:r w:rsidRPr="00BC1613">
        <w:rPr>
          <w:sz w:val="24"/>
          <w:szCs w:val="24"/>
        </w:rPr>
        <w:tab/>
        <w:t>Estimating Agency Burden</w:t>
      </w:r>
      <w:bookmarkEnd w:id="54"/>
      <w:r w:rsidRPr="00BC1613">
        <w:rPr>
          <w:sz w:val="24"/>
          <w:szCs w:val="24"/>
        </w:rPr>
        <w:t xml:space="preserve"> </w:t>
      </w:r>
      <w:bookmarkEnd w:id="55"/>
      <w:bookmarkEnd w:id="56"/>
    </w:p>
    <w:p w14:paraId="3E41F86F" w14:textId="77777777" w:rsidR="001B7421" w:rsidRPr="00BC1613" w:rsidRDefault="001B7421" w:rsidP="001B7421"/>
    <w:p w14:paraId="03E48422" w14:textId="04AADD19" w:rsidR="0064134E" w:rsidRPr="00BC1613" w:rsidRDefault="0064134E" w:rsidP="00BC1613">
      <w:pPr>
        <w:ind w:firstLine="720"/>
      </w:pPr>
      <w:r w:rsidRPr="00BC1613">
        <w:rPr>
          <w:lang w:val="en-CA"/>
        </w:rPr>
        <w:fldChar w:fldCharType="begin"/>
      </w:r>
      <w:r w:rsidRPr="00BC1613">
        <w:rPr>
          <w:lang w:val="en-CA"/>
        </w:rPr>
        <w:instrText xml:space="preserve"> SEQ CHAPTER \h \r 1</w:instrText>
      </w:r>
      <w:r w:rsidRPr="00BC1613">
        <w:rPr>
          <w:lang w:val="en-CA"/>
        </w:rPr>
        <w:fldChar w:fldCharType="end"/>
      </w:r>
      <w:r w:rsidRPr="00BC1613">
        <w:t>Exhibit 6.3 presents the estimated Agency burden hours and costs associated with the information collection activities under this ICR</w:t>
      </w:r>
      <w:r w:rsidR="001E25B1">
        <w:t xml:space="preserve">. </w:t>
      </w:r>
      <w:r w:rsidRPr="00BC1613">
        <w:t xml:space="preserve">EPA based its burden estimates on </w:t>
      </w:r>
      <w:r w:rsidR="00DB762E" w:rsidRPr="00BC1613">
        <w:t>the costs of conducting focus groups and online surveys that occurred under the previous ICR (OMB no. 2070-0819).</w:t>
      </w:r>
    </w:p>
    <w:p w14:paraId="70ADBC9A" w14:textId="77777777" w:rsidR="0064134E" w:rsidRPr="00BC1613" w:rsidRDefault="0064134E" w:rsidP="0064134E">
      <w:pPr>
        <w:pStyle w:val="BodyText"/>
        <w:rPr>
          <w:rFonts w:ascii="Times New Roman" w:hAnsi="Times New Roman" w:cs="Times New Roman"/>
          <w:sz w:val="24"/>
        </w:rPr>
      </w:pPr>
    </w:p>
    <w:p w14:paraId="54295F3F" w14:textId="77777777" w:rsidR="007D439C" w:rsidRPr="00BC1613" w:rsidRDefault="00751C26" w:rsidP="00BC1613">
      <w:pPr>
        <w:pStyle w:val="BodyText"/>
        <w:ind w:firstLine="720"/>
        <w:rPr>
          <w:rFonts w:ascii="Times New Roman" w:hAnsi="Times New Roman" w:cs="Times New Roman"/>
          <w:sz w:val="24"/>
        </w:rPr>
      </w:pPr>
      <w:r w:rsidRPr="00BC1613">
        <w:rPr>
          <w:rFonts w:ascii="Times New Roman" w:hAnsi="Times New Roman" w:cs="Times New Roman"/>
          <w:sz w:val="24"/>
        </w:rPr>
        <w:t>The cost to prepare, organize, and conduct the ten focus groups is $35,750. This fixed amount includes facility rental, recruiting costs, and transcription. This fixed amount also includes the $75 incentive paid to each of the focus group participants. Although the contractor will make the focus group screening calls, prepare the focus group materials, and conduct the focus groups, Agency staff will need to review the focus group materials, the screening questionnaires, and the focus group results. EPA expects that review of the focus gro</w:t>
      </w:r>
      <w:r w:rsidR="007D439C" w:rsidRPr="00BC1613">
        <w:rPr>
          <w:rFonts w:ascii="Times New Roman" w:hAnsi="Times New Roman" w:cs="Times New Roman"/>
          <w:sz w:val="24"/>
        </w:rPr>
        <w:t>up materials will take about 2.5</w:t>
      </w:r>
      <w:r w:rsidRPr="00BC1613">
        <w:rPr>
          <w:rFonts w:ascii="Times New Roman" w:hAnsi="Times New Roman" w:cs="Times New Roman"/>
          <w:sz w:val="24"/>
        </w:rPr>
        <w:t xml:space="preserve"> hours (0.5 managerial, 2 technical). Reviewing the focus group screening questionnaires will take about 2.5 hours (0.5 managerial, 2 technical). Reviewing the focus group results will take about 25 hours (5 managerial, 20 technical). </w:t>
      </w:r>
    </w:p>
    <w:p w14:paraId="5237E51A" w14:textId="77777777" w:rsidR="007D439C" w:rsidRPr="00BC1613" w:rsidRDefault="007D439C" w:rsidP="00AB02D4">
      <w:pPr>
        <w:pStyle w:val="BodyText"/>
        <w:rPr>
          <w:rFonts w:ascii="Times New Roman" w:hAnsi="Times New Roman" w:cs="Times New Roman"/>
          <w:sz w:val="24"/>
        </w:rPr>
      </w:pPr>
    </w:p>
    <w:p w14:paraId="41278D02" w14:textId="4DFDC849" w:rsidR="00333015" w:rsidRDefault="007D439C" w:rsidP="00BC1613">
      <w:pPr>
        <w:pStyle w:val="BodyText"/>
        <w:ind w:firstLine="720"/>
        <w:rPr>
          <w:rFonts w:ascii="Times New Roman" w:hAnsi="Times New Roman" w:cs="Times New Roman"/>
        </w:rPr>
      </w:pPr>
      <w:r w:rsidRPr="00BC1613">
        <w:rPr>
          <w:rFonts w:ascii="Times New Roman" w:hAnsi="Times New Roman" w:cs="Times New Roman"/>
          <w:sz w:val="24"/>
        </w:rPr>
        <w:t>The cost to prepare and conduct the three consumer online surveys is $23,625. This fixed amount includes questionnaire development, programming, online fielding, results reporting, and the rewards points that consumers receive upon completing the survey. Although the contractor will prepare and conduct the consumer online surveys, Agency staff will need to review the survey content, design, and results. EPA expects that review of the survey content and design will take about 5 hours (1 managerial, 4 technical). Reviewing survey results will take about 10 hours (2 managerial, 8 technical).</w:t>
      </w:r>
    </w:p>
    <w:p w14:paraId="25596F9A" w14:textId="00C79F5F" w:rsidR="0064134E" w:rsidRDefault="0064134E" w:rsidP="001B7421">
      <w:pPr>
        <w:rPr>
          <w:sz w:val="22"/>
          <w:lang w:val="en-CA"/>
        </w:rPr>
      </w:pPr>
    </w:p>
    <w:p w14:paraId="0539C07A" w14:textId="3A0BD534" w:rsidR="00B160DE" w:rsidRDefault="00B160DE" w:rsidP="001B7421">
      <w:pPr>
        <w:rPr>
          <w:sz w:val="22"/>
          <w:lang w:val="en-CA"/>
        </w:rPr>
      </w:pPr>
    </w:p>
    <w:p w14:paraId="72FEEE41" w14:textId="77777777" w:rsidR="00B160DE" w:rsidRDefault="00B160DE" w:rsidP="001B7421">
      <w:pPr>
        <w:rPr>
          <w:sz w:val="22"/>
          <w:lang w:val="en-CA"/>
        </w:rPr>
      </w:pPr>
    </w:p>
    <w:p w14:paraId="731B33AB" w14:textId="77777777" w:rsidR="0064134E" w:rsidRPr="00BC1613" w:rsidRDefault="0064134E" w:rsidP="0064134E">
      <w:pPr>
        <w:pStyle w:val="Heading2"/>
        <w:ind w:firstLine="720"/>
        <w:jc w:val="left"/>
        <w:rPr>
          <w:sz w:val="24"/>
          <w:szCs w:val="24"/>
        </w:rPr>
      </w:pPr>
      <w:bookmarkStart w:id="57" w:name="_Toc453944864"/>
      <w:r w:rsidRPr="00BC1613">
        <w:rPr>
          <w:sz w:val="24"/>
          <w:szCs w:val="24"/>
        </w:rPr>
        <w:t>6(d)</w:t>
      </w:r>
      <w:r w:rsidRPr="00BC1613">
        <w:rPr>
          <w:sz w:val="24"/>
          <w:szCs w:val="24"/>
        </w:rPr>
        <w:tab/>
        <w:t>Estimating Agency Costs</w:t>
      </w:r>
      <w:bookmarkEnd w:id="57"/>
    </w:p>
    <w:p w14:paraId="759A2752" w14:textId="77777777" w:rsidR="001B7421" w:rsidRPr="00BC1613" w:rsidRDefault="001B7421" w:rsidP="001B7421"/>
    <w:p w14:paraId="35E36CE6" w14:textId="080139FB" w:rsidR="001B7421" w:rsidRPr="00BC1613" w:rsidRDefault="001B7421" w:rsidP="00BC1613">
      <w:pPr>
        <w:ind w:firstLine="720"/>
      </w:pPr>
      <w:r w:rsidRPr="00BC1613">
        <w:t xml:space="preserve">Agency labor costs are calculated based on hourly basic rates for federal employees in the Washington-Baltimore area published by the Office of Personnel Management effective January </w:t>
      </w:r>
      <w:r w:rsidR="000F0371" w:rsidRPr="00BC1613">
        <w:t>2016</w:t>
      </w:r>
      <w:r w:rsidRPr="00BC1613">
        <w:rPr>
          <w:rStyle w:val="FootnoteReference"/>
        </w:rPr>
        <w:footnoteReference w:id="4"/>
      </w:r>
      <w:r w:rsidR="001E25B1">
        <w:t xml:space="preserve">. </w:t>
      </w:r>
      <w:r w:rsidRPr="00BC1613">
        <w:t>The average hourly labor rate for managerial staff is estimated as the rate for a GS-13 Step 5 employee, for technical staff as a GS-10 Step 10 employee, and for clerical staff as GS-5 Step 1</w:t>
      </w:r>
      <w:r w:rsidR="001E25B1">
        <w:t xml:space="preserve">. </w:t>
      </w:r>
      <w:r w:rsidRPr="00BC1613">
        <w:t>These GS-level assumptions are consistent with those used in past EPA OPPT ICRs</w:t>
      </w:r>
      <w:r w:rsidR="001E25B1">
        <w:t xml:space="preserve">. </w:t>
      </w:r>
      <w:r w:rsidRPr="00BC1613">
        <w:t>The hourly rates were multiplied by an assumed loading factor of 1.6 to reflect Federal fringe benefits and overhead</w:t>
      </w:r>
      <w:r w:rsidR="001E25B1">
        <w:t xml:space="preserve">. </w:t>
      </w:r>
      <w:r w:rsidRPr="00BC1613">
        <w:t xml:space="preserve">This loading factor is from an EPA guide, </w:t>
      </w:r>
      <w:r w:rsidRPr="00BC1613">
        <w:rPr>
          <w:i/>
          <w:iCs/>
        </w:rPr>
        <w:t xml:space="preserve">Instructions for Preparing Information Collection Requests (ICRs) </w:t>
      </w:r>
      <w:r w:rsidRPr="00BC1613">
        <w:t>(OPPE, 1992, page 30, footnote 9)</w:t>
      </w:r>
      <w:r w:rsidR="001E25B1">
        <w:t xml:space="preserve">. </w:t>
      </w:r>
    </w:p>
    <w:p w14:paraId="70D593FC" w14:textId="77777777" w:rsidR="001B7421" w:rsidRPr="00BC1613" w:rsidRDefault="001B7421" w:rsidP="001B7421"/>
    <w:p w14:paraId="4C9B21FB" w14:textId="0D0EC467" w:rsidR="001B7421" w:rsidRPr="00BC1613" w:rsidRDefault="001B7421" w:rsidP="00BC1613">
      <w:pPr>
        <w:ind w:firstLine="720"/>
      </w:pPr>
      <w:r w:rsidRPr="00BC1613">
        <w:t>The resulting average hourly labor rates, rounded to the nearest dollar amount, are $</w:t>
      </w:r>
      <w:r w:rsidR="005773CD" w:rsidRPr="00BC1613">
        <w:t xml:space="preserve">80 </w:t>
      </w:r>
      <w:r w:rsidRPr="00BC1613">
        <w:t>for managerial staff, $</w:t>
      </w:r>
      <w:r w:rsidR="005773CD" w:rsidRPr="00BC1613">
        <w:t xml:space="preserve">59 </w:t>
      </w:r>
      <w:r w:rsidRPr="00BC1613">
        <w:t>for technical staff, and $</w:t>
      </w:r>
      <w:r w:rsidR="005773CD" w:rsidRPr="00BC1613">
        <w:t xml:space="preserve">27 </w:t>
      </w:r>
      <w:r w:rsidRPr="00BC1613">
        <w:t>for clerical staff</w:t>
      </w:r>
      <w:r w:rsidR="001E25B1">
        <w:t xml:space="preserve">. </w:t>
      </w:r>
      <w:r w:rsidRPr="00BC1613">
        <w:t>The Agency expects most activities related to this ICR to be performed by managerial staff (</w:t>
      </w:r>
      <w:r w:rsidR="00964ACD" w:rsidRPr="00BC1613">
        <w:t xml:space="preserve">20 </w:t>
      </w:r>
      <w:r w:rsidRPr="00BC1613">
        <w:t>percent) and technical staff (</w:t>
      </w:r>
      <w:r w:rsidR="00941A3F" w:rsidRPr="00BC1613">
        <w:t>8</w:t>
      </w:r>
      <w:r w:rsidR="00964ACD" w:rsidRPr="00BC1613">
        <w:t>0</w:t>
      </w:r>
      <w:r w:rsidRPr="00BC1613">
        <w:t xml:space="preserve"> percent)</w:t>
      </w:r>
      <w:r w:rsidR="001E25B1">
        <w:t xml:space="preserve">. </w:t>
      </w:r>
    </w:p>
    <w:p w14:paraId="767388B3" w14:textId="77777777" w:rsidR="00824DB9" w:rsidRPr="00BC1613" w:rsidRDefault="00824DB9" w:rsidP="001B7421">
      <w:pPr>
        <w:rPr>
          <w:b/>
          <w:bCs/>
        </w:rPr>
      </w:pPr>
    </w:p>
    <w:p w14:paraId="49503828" w14:textId="056059A0" w:rsidR="001B7421" w:rsidRPr="00BC1613" w:rsidRDefault="001B7421" w:rsidP="00AB6F64">
      <w:pPr>
        <w:rPr>
          <w:b/>
          <w:bCs/>
        </w:rPr>
      </w:pPr>
      <w:r w:rsidRPr="00BC1613">
        <w:rPr>
          <w:b/>
          <w:bCs/>
        </w:rPr>
        <w:t>Exhibit 6.3</w:t>
      </w:r>
      <w:r w:rsidR="001E25B1">
        <w:rPr>
          <w:b/>
          <w:bCs/>
        </w:rPr>
        <w:t xml:space="preserve">. </w:t>
      </w:r>
      <w:r w:rsidR="00D1678E" w:rsidRPr="00BC1613">
        <w:rPr>
          <w:b/>
          <w:bCs/>
        </w:rPr>
        <w:t xml:space="preserve">Estimated </w:t>
      </w:r>
      <w:r w:rsidRPr="00BC1613">
        <w:rPr>
          <w:b/>
          <w:bCs/>
        </w:rPr>
        <w:t xml:space="preserve">Agency Burden/Cost </w:t>
      </w:r>
      <w:r w:rsidR="00FF6CFA" w:rsidRPr="00BC1613">
        <w:rPr>
          <w:b/>
          <w:bCs/>
        </w:rPr>
        <w:t>(Over Three Years)</w:t>
      </w:r>
    </w:p>
    <w:tbl>
      <w:tblPr>
        <w:tblW w:w="9478" w:type="dxa"/>
        <w:tblInd w:w="-10" w:type="dxa"/>
        <w:tblLook w:val="04A0" w:firstRow="1" w:lastRow="0" w:firstColumn="1" w:lastColumn="0" w:noHBand="0" w:noVBand="1"/>
      </w:tblPr>
      <w:tblGrid>
        <w:gridCol w:w="2740"/>
        <w:gridCol w:w="960"/>
        <w:gridCol w:w="1050"/>
        <w:gridCol w:w="960"/>
        <w:gridCol w:w="2058"/>
        <w:gridCol w:w="1710"/>
      </w:tblGrid>
      <w:tr w:rsidR="00D6626C" w14:paraId="465F8924" w14:textId="77777777" w:rsidTr="001024B8">
        <w:trPr>
          <w:trHeight w:val="315"/>
        </w:trPr>
        <w:tc>
          <w:tcPr>
            <w:tcW w:w="274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25873D8F" w14:textId="77777777" w:rsidR="00D6626C" w:rsidRDefault="00D6626C" w:rsidP="005954F4">
            <w:pPr>
              <w:jc w:val="center"/>
              <w:rPr>
                <w:b/>
                <w:bCs/>
                <w:color w:val="000000"/>
                <w:sz w:val="20"/>
                <w:szCs w:val="20"/>
              </w:rPr>
            </w:pPr>
            <w:r>
              <w:rPr>
                <w:b/>
                <w:bCs/>
                <w:color w:val="000000"/>
                <w:sz w:val="20"/>
                <w:szCs w:val="20"/>
              </w:rPr>
              <w:t>Collection Activity</w:t>
            </w:r>
          </w:p>
        </w:tc>
        <w:tc>
          <w:tcPr>
            <w:tcW w:w="2970" w:type="dxa"/>
            <w:gridSpan w:val="3"/>
            <w:tcBorders>
              <w:top w:val="single" w:sz="8" w:space="0" w:color="auto"/>
              <w:left w:val="nil"/>
              <w:bottom w:val="single" w:sz="8" w:space="0" w:color="auto"/>
              <w:right w:val="single" w:sz="8" w:space="0" w:color="000000"/>
            </w:tcBorders>
            <w:shd w:val="clear" w:color="000000" w:fill="BFBFBF"/>
            <w:vAlign w:val="center"/>
            <w:hideMark/>
          </w:tcPr>
          <w:p w14:paraId="5051676C" w14:textId="77777777" w:rsidR="00D6626C" w:rsidRDefault="00D6626C">
            <w:pPr>
              <w:jc w:val="center"/>
              <w:rPr>
                <w:b/>
                <w:bCs/>
                <w:color w:val="000000"/>
                <w:sz w:val="20"/>
                <w:szCs w:val="20"/>
              </w:rPr>
            </w:pPr>
            <w:r>
              <w:rPr>
                <w:b/>
                <w:bCs/>
                <w:color w:val="000000"/>
                <w:sz w:val="20"/>
                <w:szCs w:val="20"/>
              </w:rPr>
              <w:t>EPA Burden Hours</w:t>
            </w:r>
          </w:p>
        </w:tc>
        <w:tc>
          <w:tcPr>
            <w:tcW w:w="3768" w:type="dxa"/>
            <w:gridSpan w:val="2"/>
            <w:tcBorders>
              <w:top w:val="single" w:sz="8" w:space="0" w:color="auto"/>
              <w:left w:val="nil"/>
              <w:bottom w:val="single" w:sz="8" w:space="0" w:color="auto"/>
              <w:right w:val="single" w:sz="8" w:space="0" w:color="000000"/>
            </w:tcBorders>
            <w:shd w:val="clear" w:color="000000" w:fill="BFBFBF"/>
            <w:vAlign w:val="center"/>
            <w:hideMark/>
          </w:tcPr>
          <w:p w14:paraId="5DF97738" w14:textId="77777777" w:rsidR="00D6626C" w:rsidRDefault="00D6626C">
            <w:pPr>
              <w:jc w:val="center"/>
              <w:rPr>
                <w:b/>
                <w:bCs/>
                <w:color w:val="000000"/>
                <w:sz w:val="20"/>
                <w:szCs w:val="20"/>
              </w:rPr>
            </w:pPr>
            <w:r>
              <w:rPr>
                <w:b/>
                <w:bCs/>
                <w:color w:val="000000"/>
                <w:sz w:val="20"/>
                <w:szCs w:val="20"/>
              </w:rPr>
              <w:t>EPA Costs</w:t>
            </w:r>
          </w:p>
        </w:tc>
      </w:tr>
      <w:tr w:rsidR="00D6626C" w14:paraId="28B57FE2" w14:textId="77777777" w:rsidTr="001024B8">
        <w:trPr>
          <w:trHeight w:val="300"/>
        </w:trPr>
        <w:tc>
          <w:tcPr>
            <w:tcW w:w="2740" w:type="dxa"/>
            <w:vMerge/>
            <w:tcBorders>
              <w:top w:val="single" w:sz="8" w:space="0" w:color="auto"/>
              <w:left w:val="single" w:sz="8" w:space="0" w:color="auto"/>
              <w:bottom w:val="single" w:sz="8" w:space="0" w:color="000000"/>
              <w:right w:val="single" w:sz="8" w:space="0" w:color="auto"/>
            </w:tcBorders>
            <w:vAlign w:val="center"/>
            <w:hideMark/>
          </w:tcPr>
          <w:p w14:paraId="5A1D1633" w14:textId="77777777" w:rsidR="00D6626C" w:rsidRDefault="00D6626C">
            <w:pPr>
              <w:rPr>
                <w:b/>
                <w:bCs/>
                <w:color w:val="000000"/>
                <w:sz w:val="20"/>
                <w:szCs w:val="20"/>
              </w:rPr>
            </w:pPr>
          </w:p>
        </w:tc>
        <w:tc>
          <w:tcPr>
            <w:tcW w:w="960" w:type="dxa"/>
            <w:tcBorders>
              <w:top w:val="nil"/>
              <w:left w:val="nil"/>
              <w:bottom w:val="nil"/>
              <w:right w:val="single" w:sz="8" w:space="0" w:color="auto"/>
            </w:tcBorders>
            <w:shd w:val="clear" w:color="000000" w:fill="BFBFBF"/>
            <w:vAlign w:val="center"/>
            <w:hideMark/>
          </w:tcPr>
          <w:p w14:paraId="28E9807D" w14:textId="77777777" w:rsidR="00D6626C" w:rsidRDefault="00D6626C">
            <w:pPr>
              <w:jc w:val="center"/>
              <w:rPr>
                <w:b/>
                <w:bCs/>
                <w:color w:val="000000"/>
                <w:sz w:val="20"/>
                <w:szCs w:val="20"/>
              </w:rPr>
            </w:pPr>
            <w:r>
              <w:rPr>
                <w:b/>
                <w:bCs/>
                <w:color w:val="000000"/>
                <w:sz w:val="20"/>
                <w:szCs w:val="20"/>
              </w:rPr>
              <w:t>Mgr.</w:t>
            </w:r>
          </w:p>
        </w:tc>
        <w:tc>
          <w:tcPr>
            <w:tcW w:w="1050" w:type="dxa"/>
            <w:tcBorders>
              <w:top w:val="nil"/>
              <w:left w:val="nil"/>
              <w:bottom w:val="nil"/>
              <w:right w:val="single" w:sz="8" w:space="0" w:color="auto"/>
            </w:tcBorders>
            <w:shd w:val="clear" w:color="000000" w:fill="BFBFBF"/>
            <w:vAlign w:val="center"/>
            <w:hideMark/>
          </w:tcPr>
          <w:p w14:paraId="20F30CB6" w14:textId="77777777" w:rsidR="00D6626C" w:rsidRDefault="00D6626C">
            <w:pPr>
              <w:jc w:val="center"/>
              <w:rPr>
                <w:b/>
                <w:bCs/>
                <w:color w:val="000000"/>
                <w:sz w:val="20"/>
                <w:szCs w:val="20"/>
              </w:rPr>
            </w:pPr>
            <w:r>
              <w:rPr>
                <w:b/>
                <w:bCs/>
                <w:color w:val="000000"/>
                <w:sz w:val="20"/>
                <w:szCs w:val="20"/>
              </w:rPr>
              <w:t>Technical</w:t>
            </w:r>
          </w:p>
        </w:tc>
        <w:tc>
          <w:tcPr>
            <w:tcW w:w="960"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273B58AB" w14:textId="77777777" w:rsidR="00D6626C" w:rsidRDefault="00D6626C">
            <w:pPr>
              <w:jc w:val="center"/>
              <w:rPr>
                <w:b/>
                <w:bCs/>
                <w:color w:val="000000"/>
                <w:sz w:val="20"/>
                <w:szCs w:val="20"/>
              </w:rPr>
            </w:pPr>
            <w:r>
              <w:rPr>
                <w:b/>
                <w:bCs/>
                <w:color w:val="000000"/>
                <w:sz w:val="20"/>
                <w:szCs w:val="20"/>
              </w:rPr>
              <w:t>Total EPA Hours</w:t>
            </w:r>
          </w:p>
        </w:tc>
        <w:tc>
          <w:tcPr>
            <w:tcW w:w="2058"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2AC55497" w14:textId="77777777" w:rsidR="00D6626C" w:rsidRDefault="00D6626C">
            <w:pPr>
              <w:jc w:val="center"/>
              <w:rPr>
                <w:b/>
                <w:bCs/>
                <w:color w:val="000000"/>
                <w:sz w:val="20"/>
                <w:szCs w:val="20"/>
              </w:rPr>
            </w:pPr>
            <w:r>
              <w:rPr>
                <w:b/>
                <w:bCs/>
                <w:color w:val="000000"/>
                <w:sz w:val="20"/>
                <w:szCs w:val="20"/>
              </w:rPr>
              <w:t>Contractor Cost</w:t>
            </w:r>
            <w:r w:rsidR="00964ACD">
              <w:rPr>
                <w:b/>
                <w:bCs/>
                <w:color w:val="000000"/>
                <w:sz w:val="20"/>
                <w:szCs w:val="20"/>
              </w:rPr>
              <w:t>*</w:t>
            </w:r>
          </w:p>
        </w:tc>
        <w:tc>
          <w:tcPr>
            <w:tcW w:w="1710"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6F4AEEBB" w14:textId="77777777" w:rsidR="00D6626C" w:rsidRDefault="00D6626C">
            <w:pPr>
              <w:jc w:val="center"/>
              <w:rPr>
                <w:b/>
                <w:bCs/>
                <w:color w:val="000000"/>
                <w:sz w:val="20"/>
                <w:szCs w:val="20"/>
              </w:rPr>
            </w:pPr>
            <w:r>
              <w:rPr>
                <w:b/>
                <w:bCs/>
                <w:color w:val="000000"/>
                <w:sz w:val="20"/>
                <w:szCs w:val="20"/>
              </w:rPr>
              <w:t>EPA Cost</w:t>
            </w:r>
          </w:p>
        </w:tc>
      </w:tr>
      <w:tr w:rsidR="00D6626C" w14:paraId="5F53835E" w14:textId="77777777" w:rsidTr="001024B8">
        <w:trPr>
          <w:trHeight w:val="315"/>
        </w:trPr>
        <w:tc>
          <w:tcPr>
            <w:tcW w:w="2740" w:type="dxa"/>
            <w:vMerge/>
            <w:tcBorders>
              <w:top w:val="single" w:sz="8" w:space="0" w:color="auto"/>
              <w:left w:val="single" w:sz="8" w:space="0" w:color="auto"/>
              <w:bottom w:val="single" w:sz="8" w:space="0" w:color="000000"/>
              <w:right w:val="single" w:sz="8" w:space="0" w:color="auto"/>
            </w:tcBorders>
            <w:vAlign w:val="center"/>
            <w:hideMark/>
          </w:tcPr>
          <w:p w14:paraId="55F7D5FF" w14:textId="77777777" w:rsidR="00D6626C" w:rsidRDefault="00D6626C">
            <w:pPr>
              <w:rPr>
                <w:b/>
                <w:bCs/>
                <w:color w:val="000000"/>
                <w:sz w:val="20"/>
                <w:szCs w:val="20"/>
              </w:rPr>
            </w:pPr>
          </w:p>
        </w:tc>
        <w:tc>
          <w:tcPr>
            <w:tcW w:w="960" w:type="dxa"/>
            <w:tcBorders>
              <w:top w:val="nil"/>
              <w:left w:val="nil"/>
              <w:bottom w:val="single" w:sz="8" w:space="0" w:color="auto"/>
              <w:right w:val="single" w:sz="8" w:space="0" w:color="auto"/>
            </w:tcBorders>
            <w:shd w:val="clear" w:color="000000" w:fill="BFBFBF"/>
            <w:vAlign w:val="center"/>
            <w:hideMark/>
          </w:tcPr>
          <w:p w14:paraId="1FD969C3" w14:textId="77777777" w:rsidR="00D6626C" w:rsidRDefault="00D6626C">
            <w:pPr>
              <w:jc w:val="center"/>
              <w:rPr>
                <w:b/>
                <w:bCs/>
                <w:color w:val="000000"/>
                <w:sz w:val="20"/>
                <w:szCs w:val="20"/>
              </w:rPr>
            </w:pPr>
            <w:r>
              <w:rPr>
                <w:b/>
                <w:bCs/>
                <w:color w:val="000000"/>
                <w:sz w:val="20"/>
                <w:szCs w:val="20"/>
              </w:rPr>
              <w:t>$80/Hr</w:t>
            </w:r>
          </w:p>
        </w:tc>
        <w:tc>
          <w:tcPr>
            <w:tcW w:w="1050" w:type="dxa"/>
            <w:tcBorders>
              <w:top w:val="nil"/>
              <w:left w:val="nil"/>
              <w:bottom w:val="single" w:sz="8" w:space="0" w:color="auto"/>
              <w:right w:val="single" w:sz="8" w:space="0" w:color="auto"/>
            </w:tcBorders>
            <w:shd w:val="clear" w:color="000000" w:fill="BFBFBF"/>
            <w:vAlign w:val="center"/>
            <w:hideMark/>
          </w:tcPr>
          <w:p w14:paraId="72BB144F" w14:textId="77777777" w:rsidR="00D6626C" w:rsidRDefault="00D6626C">
            <w:pPr>
              <w:jc w:val="center"/>
              <w:rPr>
                <w:b/>
                <w:bCs/>
                <w:color w:val="000000"/>
                <w:sz w:val="20"/>
                <w:szCs w:val="20"/>
              </w:rPr>
            </w:pPr>
            <w:r>
              <w:rPr>
                <w:b/>
                <w:bCs/>
                <w:color w:val="000000"/>
                <w:sz w:val="20"/>
                <w:szCs w:val="20"/>
              </w:rPr>
              <w:t>$59/Hr</w:t>
            </w:r>
          </w:p>
        </w:tc>
        <w:tc>
          <w:tcPr>
            <w:tcW w:w="960" w:type="dxa"/>
            <w:vMerge/>
            <w:tcBorders>
              <w:top w:val="nil"/>
              <w:left w:val="single" w:sz="8" w:space="0" w:color="auto"/>
              <w:bottom w:val="single" w:sz="8" w:space="0" w:color="000000"/>
              <w:right w:val="single" w:sz="8" w:space="0" w:color="auto"/>
            </w:tcBorders>
            <w:vAlign w:val="center"/>
            <w:hideMark/>
          </w:tcPr>
          <w:p w14:paraId="0E071CEE" w14:textId="77777777" w:rsidR="00D6626C" w:rsidRDefault="00D6626C">
            <w:pPr>
              <w:rPr>
                <w:b/>
                <w:bCs/>
                <w:color w:val="000000"/>
                <w:sz w:val="20"/>
                <w:szCs w:val="20"/>
              </w:rPr>
            </w:pPr>
          </w:p>
        </w:tc>
        <w:tc>
          <w:tcPr>
            <w:tcW w:w="2058" w:type="dxa"/>
            <w:vMerge/>
            <w:tcBorders>
              <w:top w:val="nil"/>
              <w:left w:val="single" w:sz="8" w:space="0" w:color="auto"/>
              <w:bottom w:val="single" w:sz="8" w:space="0" w:color="000000"/>
              <w:right w:val="single" w:sz="8" w:space="0" w:color="auto"/>
            </w:tcBorders>
            <w:vAlign w:val="center"/>
            <w:hideMark/>
          </w:tcPr>
          <w:p w14:paraId="41ED7E40" w14:textId="77777777" w:rsidR="00D6626C" w:rsidRDefault="00D6626C">
            <w:pPr>
              <w:rPr>
                <w:b/>
                <w:bCs/>
                <w:color w:val="000000"/>
                <w:sz w:val="20"/>
                <w:szCs w:val="20"/>
              </w:rPr>
            </w:pPr>
          </w:p>
        </w:tc>
        <w:tc>
          <w:tcPr>
            <w:tcW w:w="1710" w:type="dxa"/>
            <w:vMerge/>
            <w:tcBorders>
              <w:top w:val="nil"/>
              <w:left w:val="single" w:sz="8" w:space="0" w:color="auto"/>
              <w:bottom w:val="single" w:sz="8" w:space="0" w:color="000000"/>
              <w:right w:val="single" w:sz="8" w:space="0" w:color="auto"/>
            </w:tcBorders>
            <w:vAlign w:val="center"/>
            <w:hideMark/>
          </w:tcPr>
          <w:p w14:paraId="4F112209" w14:textId="77777777" w:rsidR="00D6626C" w:rsidRDefault="00D6626C">
            <w:pPr>
              <w:rPr>
                <w:b/>
                <w:bCs/>
                <w:color w:val="000000"/>
                <w:sz w:val="20"/>
                <w:szCs w:val="20"/>
              </w:rPr>
            </w:pPr>
          </w:p>
        </w:tc>
      </w:tr>
      <w:tr w:rsidR="00D6626C" w14:paraId="31BE3E13" w14:textId="77777777" w:rsidTr="001024B8">
        <w:trPr>
          <w:trHeight w:val="315"/>
        </w:trPr>
        <w:tc>
          <w:tcPr>
            <w:tcW w:w="9478" w:type="dxa"/>
            <w:gridSpan w:val="6"/>
            <w:tcBorders>
              <w:top w:val="nil"/>
              <w:left w:val="single" w:sz="8" w:space="0" w:color="auto"/>
              <w:bottom w:val="single" w:sz="8" w:space="0" w:color="auto"/>
              <w:right w:val="single" w:sz="8" w:space="0" w:color="000000"/>
            </w:tcBorders>
            <w:shd w:val="clear" w:color="auto" w:fill="auto"/>
            <w:vAlign w:val="center"/>
            <w:hideMark/>
          </w:tcPr>
          <w:p w14:paraId="21E38DA9" w14:textId="77777777" w:rsidR="00D6626C" w:rsidRDefault="00D6626C">
            <w:pPr>
              <w:rPr>
                <w:b/>
                <w:bCs/>
                <w:i/>
                <w:iCs/>
                <w:color w:val="000000"/>
                <w:sz w:val="20"/>
                <w:szCs w:val="20"/>
              </w:rPr>
            </w:pPr>
            <w:r>
              <w:rPr>
                <w:b/>
                <w:bCs/>
                <w:i/>
                <w:iCs/>
                <w:color w:val="000000"/>
                <w:sz w:val="20"/>
                <w:szCs w:val="20"/>
              </w:rPr>
              <w:t>Consumer Focus Groups</w:t>
            </w:r>
          </w:p>
        </w:tc>
      </w:tr>
      <w:tr w:rsidR="00D6626C" w14:paraId="414EC549" w14:textId="77777777" w:rsidTr="001024B8">
        <w:trPr>
          <w:trHeight w:val="315"/>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6A6022C9" w14:textId="77777777" w:rsidR="00D6626C" w:rsidRDefault="00D6626C">
            <w:pPr>
              <w:rPr>
                <w:color w:val="000000"/>
                <w:sz w:val="20"/>
                <w:szCs w:val="20"/>
              </w:rPr>
            </w:pPr>
            <w:r>
              <w:rPr>
                <w:color w:val="000000"/>
                <w:sz w:val="20"/>
                <w:szCs w:val="20"/>
              </w:rPr>
              <w:t>Prepare focus group materials</w:t>
            </w:r>
          </w:p>
        </w:tc>
        <w:tc>
          <w:tcPr>
            <w:tcW w:w="960" w:type="dxa"/>
            <w:tcBorders>
              <w:top w:val="nil"/>
              <w:left w:val="nil"/>
              <w:bottom w:val="single" w:sz="8" w:space="0" w:color="auto"/>
              <w:right w:val="single" w:sz="8" w:space="0" w:color="auto"/>
            </w:tcBorders>
            <w:shd w:val="clear" w:color="auto" w:fill="auto"/>
            <w:noWrap/>
            <w:vAlign w:val="center"/>
            <w:hideMark/>
          </w:tcPr>
          <w:p w14:paraId="05236897" w14:textId="77777777" w:rsidR="00D6626C" w:rsidRDefault="00D6626C">
            <w:pPr>
              <w:jc w:val="right"/>
              <w:rPr>
                <w:color w:val="000000"/>
                <w:sz w:val="20"/>
                <w:szCs w:val="20"/>
              </w:rPr>
            </w:pPr>
            <w:r>
              <w:rPr>
                <w:color w:val="000000"/>
                <w:sz w:val="20"/>
                <w:szCs w:val="20"/>
              </w:rPr>
              <w:t>0.5</w:t>
            </w:r>
          </w:p>
        </w:tc>
        <w:tc>
          <w:tcPr>
            <w:tcW w:w="1050" w:type="dxa"/>
            <w:tcBorders>
              <w:top w:val="nil"/>
              <w:left w:val="nil"/>
              <w:bottom w:val="single" w:sz="8" w:space="0" w:color="auto"/>
              <w:right w:val="single" w:sz="8" w:space="0" w:color="auto"/>
            </w:tcBorders>
            <w:shd w:val="clear" w:color="auto" w:fill="auto"/>
            <w:noWrap/>
            <w:vAlign w:val="center"/>
            <w:hideMark/>
          </w:tcPr>
          <w:p w14:paraId="3A702E17" w14:textId="77777777" w:rsidR="00D6626C" w:rsidRDefault="00D6626C">
            <w:pPr>
              <w:jc w:val="right"/>
              <w:rPr>
                <w:color w:val="000000"/>
                <w:sz w:val="20"/>
                <w:szCs w:val="20"/>
              </w:rPr>
            </w:pPr>
            <w:r>
              <w:rPr>
                <w:color w:val="000000"/>
                <w:sz w:val="20"/>
                <w:szCs w:val="20"/>
              </w:rPr>
              <w:t>2</w:t>
            </w:r>
          </w:p>
        </w:tc>
        <w:tc>
          <w:tcPr>
            <w:tcW w:w="960" w:type="dxa"/>
            <w:tcBorders>
              <w:top w:val="nil"/>
              <w:left w:val="nil"/>
              <w:bottom w:val="single" w:sz="8" w:space="0" w:color="000000"/>
              <w:right w:val="single" w:sz="8" w:space="0" w:color="auto"/>
            </w:tcBorders>
            <w:shd w:val="clear" w:color="auto" w:fill="auto"/>
            <w:vAlign w:val="center"/>
            <w:hideMark/>
          </w:tcPr>
          <w:p w14:paraId="7CA4FBE6" w14:textId="77777777" w:rsidR="00D6626C" w:rsidRDefault="00D6626C">
            <w:pPr>
              <w:jc w:val="right"/>
              <w:rPr>
                <w:color w:val="000000"/>
                <w:sz w:val="20"/>
                <w:szCs w:val="20"/>
              </w:rPr>
            </w:pPr>
            <w:r>
              <w:rPr>
                <w:color w:val="000000"/>
                <w:sz w:val="20"/>
                <w:szCs w:val="20"/>
              </w:rPr>
              <w:t>2.5</w:t>
            </w:r>
          </w:p>
        </w:tc>
        <w:tc>
          <w:tcPr>
            <w:tcW w:w="205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6094B3" w14:textId="77777777" w:rsidR="00D6626C" w:rsidRDefault="00D6626C">
            <w:pPr>
              <w:jc w:val="center"/>
              <w:rPr>
                <w:color w:val="000000"/>
                <w:sz w:val="20"/>
                <w:szCs w:val="20"/>
              </w:rPr>
            </w:pPr>
            <w:r>
              <w:rPr>
                <w:color w:val="000000"/>
                <w:sz w:val="20"/>
                <w:szCs w:val="20"/>
              </w:rPr>
              <w:t xml:space="preserve">$35,750 for ten focus groups </w:t>
            </w:r>
          </w:p>
        </w:tc>
        <w:tc>
          <w:tcPr>
            <w:tcW w:w="1710" w:type="dxa"/>
            <w:tcBorders>
              <w:top w:val="nil"/>
              <w:left w:val="nil"/>
              <w:bottom w:val="single" w:sz="8" w:space="0" w:color="auto"/>
              <w:right w:val="single" w:sz="8" w:space="0" w:color="auto"/>
            </w:tcBorders>
            <w:shd w:val="clear" w:color="auto" w:fill="auto"/>
            <w:noWrap/>
            <w:vAlign w:val="center"/>
            <w:hideMark/>
          </w:tcPr>
          <w:p w14:paraId="74357177" w14:textId="77777777" w:rsidR="00D6626C" w:rsidRDefault="00D6626C">
            <w:pPr>
              <w:jc w:val="right"/>
              <w:rPr>
                <w:color w:val="000000"/>
                <w:sz w:val="20"/>
                <w:szCs w:val="20"/>
              </w:rPr>
            </w:pPr>
            <w:r>
              <w:rPr>
                <w:color w:val="000000"/>
                <w:sz w:val="20"/>
                <w:szCs w:val="20"/>
              </w:rPr>
              <w:t xml:space="preserve">$158.00 </w:t>
            </w:r>
          </w:p>
        </w:tc>
      </w:tr>
      <w:tr w:rsidR="00D6626C" w14:paraId="7320BEBB" w14:textId="77777777" w:rsidTr="001024B8">
        <w:trPr>
          <w:trHeight w:val="315"/>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05F36075" w14:textId="77777777" w:rsidR="00D6626C" w:rsidRDefault="00D6626C">
            <w:pPr>
              <w:rPr>
                <w:color w:val="000000"/>
                <w:sz w:val="20"/>
                <w:szCs w:val="20"/>
              </w:rPr>
            </w:pPr>
            <w:r>
              <w:rPr>
                <w:color w:val="000000"/>
                <w:sz w:val="20"/>
                <w:szCs w:val="20"/>
              </w:rPr>
              <w:t>Prepare screener questionnaires</w:t>
            </w:r>
          </w:p>
        </w:tc>
        <w:tc>
          <w:tcPr>
            <w:tcW w:w="960" w:type="dxa"/>
            <w:tcBorders>
              <w:top w:val="nil"/>
              <w:left w:val="nil"/>
              <w:bottom w:val="single" w:sz="8" w:space="0" w:color="auto"/>
              <w:right w:val="single" w:sz="8" w:space="0" w:color="auto"/>
            </w:tcBorders>
            <w:shd w:val="clear" w:color="auto" w:fill="auto"/>
            <w:noWrap/>
            <w:vAlign w:val="center"/>
            <w:hideMark/>
          </w:tcPr>
          <w:p w14:paraId="64C8214C" w14:textId="77777777" w:rsidR="00D6626C" w:rsidRDefault="00D6626C">
            <w:pPr>
              <w:jc w:val="right"/>
              <w:rPr>
                <w:color w:val="000000"/>
                <w:sz w:val="20"/>
                <w:szCs w:val="20"/>
              </w:rPr>
            </w:pPr>
            <w:r>
              <w:rPr>
                <w:color w:val="000000"/>
                <w:sz w:val="20"/>
                <w:szCs w:val="20"/>
              </w:rPr>
              <w:t>0.5</w:t>
            </w:r>
          </w:p>
        </w:tc>
        <w:tc>
          <w:tcPr>
            <w:tcW w:w="1050" w:type="dxa"/>
            <w:tcBorders>
              <w:top w:val="nil"/>
              <w:left w:val="nil"/>
              <w:bottom w:val="single" w:sz="8" w:space="0" w:color="auto"/>
              <w:right w:val="single" w:sz="8" w:space="0" w:color="auto"/>
            </w:tcBorders>
            <w:shd w:val="clear" w:color="auto" w:fill="auto"/>
            <w:noWrap/>
            <w:vAlign w:val="center"/>
            <w:hideMark/>
          </w:tcPr>
          <w:p w14:paraId="6CB254AC" w14:textId="77777777" w:rsidR="00D6626C" w:rsidRDefault="00D6626C">
            <w:pPr>
              <w:jc w:val="right"/>
              <w:rPr>
                <w:color w:val="000000"/>
                <w:sz w:val="20"/>
                <w:szCs w:val="20"/>
              </w:rPr>
            </w:pPr>
            <w:r>
              <w:rPr>
                <w:color w:val="000000"/>
                <w:sz w:val="20"/>
                <w:szCs w:val="20"/>
              </w:rPr>
              <w:t>2</w:t>
            </w:r>
          </w:p>
        </w:tc>
        <w:tc>
          <w:tcPr>
            <w:tcW w:w="960" w:type="dxa"/>
            <w:tcBorders>
              <w:top w:val="nil"/>
              <w:left w:val="nil"/>
              <w:bottom w:val="single" w:sz="8" w:space="0" w:color="000000"/>
              <w:right w:val="single" w:sz="8" w:space="0" w:color="auto"/>
            </w:tcBorders>
            <w:shd w:val="clear" w:color="auto" w:fill="auto"/>
            <w:vAlign w:val="center"/>
            <w:hideMark/>
          </w:tcPr>
          <w:p w14:paraId="10673230" w14:textId="77777777" w:rsidR="00D6626C" w:rsidRDefault="00D6626C">
            <w:pPr>
              <w:jc w:val="right"/>
              <w:rPr>
                <w:color w:val="000000"/>
                <w:sz w:val="20"/>
                <w:szCs w:val="20"/>
              </w:rPr>
            </w:pPr>
            <w:r>
              <w:rPr>
                <w:color w:val="000000"/>
                <w:sz w:val="20"/>
                <w:szCs w:val="20"/>
              </w:rPr>
              <w:t>2.5</w:t>
            </w:r>
          </w:p>
        </w:tc>
        <w:tc>
          <w:tcPr>
            <w:tcW w:w="2058" w:type="dxa"/>
            <w:vMerge/>
            <w:tcBorders>
              <w:top w:val="nil"/>
              <w:left w:val="single" w:sz="8" w:space="0" w:color="auto"/>
              <w:bottom w:val="single" w:sz="8" w:space="0" w:color="000000"/>
              <w:right w:val="single" w:sz="8" w:space="0" w:color="auto"/>
            </w:tcBorders>
            <w:vAlign w:val="center"/>
            <w:hideMark/>
          </w:tcPr>
          <w:p w14:paraId="61FD1DE6" w14:textId="77777777" w:rsidR="00D6626C" w:rsidRDefault="00D6626C">
            <w:pPr>
              <w:rPr>
                <w:color w:val="000000"/>
                <w:sz w:val="20"/>
                <w:szCs w:val="20"/>
              </w:rPr>
            </w:pPr>
          </w:p>
        </w:tc>
        <w:tc>
          <w:tcPr>
            <w:tcW w:w="1710" w:type="dxa"/>
            <w:tcBorders>
              <w:top w:val="nil"/>
              <w:left w:val="nil"/>
              <w:bottom w:val="single" w:sz="8" w:space="0" w:color="auto"/>
              <w:right w:val="single" w:sz="8" w:space="0" w:color="auto"/>
            </w:tcBorders>
            <w:shd w:val="clear" w:color="auto" w:fill="auto"/>
            <w:noWrap/>
            <w:vAlign w:val="center"/>
            <w:hideMark/>
          </w:tcPr>
          <w:p w14:paraId="4670DED0" w14:textId="77777777" w:rsidR="00D6626C" w:rsidRDefault="00D6626C">
            <w:pPr>
              <w:jc w:val="right"/>
              <w:rPr>
                <w:color w:val="000000"/>
                <w:sz w:val="20"/>
                <w:szCs w:val="20"/>
              </w:rPr>
            </w:pPr>
            <w:r>
              <w:rPr>
                <w:color w:val="000000"/>
                <w:sz w:val="20"/>
                <w:szCs w:val="20"/>
              </w:rPr>
              <w:t xml:space="preserve">$158.00 </w:t>
            </w:r>
          </w:p>
        </w:tc>
      </w:tr>
      <w:tr w:rsidR="00D6626C" w14:paraId="38CF4C04" w14:textId="77777777" w:rsidTr="001024B8">
        <w:trPr>
          <w:trHeight w:val="525"/>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4A41FEB9" w14:textId="77777777" w:rsidR="00D6626C" w:rsidRDefault="00D6626C">
            <w:pPr>
              <w:rPr>
                <w:color w:val="000000"/>
                <w:sz w:val="20"/>
                <w:szCs w:val="20"/>
              </w:rPr>
            </w:pPr>
            <w:r>
              <w:rPr>
                <w:color w:val="000000"/>
                <w:sz w:val="20"/>
                <w:szCs w:val="20"/>
              </w:rPr>
              <w:t>Organize and conduct focus groups</w:t>
            </w:r>
          </w:p>
        </w:tc>
        <w:tc>
          <w:tcPr>
            <w:tcW w:w="960" w:type="dxa"/>
            <w:tcBorders>
              <w:top w:val="nil"/>
              <w:left w:val="nil"/>
              <w:bottom w:val="single" w:sz="8" w:space="0" w:color="auto"/>
              <w:right w:val="single" w:sz="8" w:space="0" w:color="auto"/>
            </w:tcBorders>
            <w:shd w:val="clear" w:color="auto" w:fill="auto"/>
            <w:noWrap/>
            <w:vAlign w:val="center"/>
            <w:hideMark/>
          </w:tcPr>
          <w:p w14:paraId="60D5E389" w14:textId="77777777" w:rsidR="00D6626C" w:rsidRDefault="00D6626C">
            <w:pPr>
              <w:jc w:val="right"/>
              <w:rPr>
                <w:color w:val="000000"/>
                <w:sz w:val="20"/>
                <w:szCs w:val="20"/>
              </w:rPr>
            </w:pPr>
            <w:r>
              <w:rPr>
                <w:color w:val="000000"/>
                <w:sz w:val="20"/>
                <w:szCs w:val="20"/>
              </w:rPr>
              <w:t>0</w:t>
            </w:r>
          </w:p>
        </w:tc>
        <w:tc>
          <w:tcPr>
            <w:tcW w:w="1050" w:type="dxa"/>
            <w:tcBorders>
              <w:top w:val="nil"/>
              <w:left w:val="nil"/>
              <w:bottom w:val="single" w:sz="8" w:space="0" w:color="auto"/>
              <w:right w:val="single" w:sz="8" w:space="0" w:color="auto"/>
            </w:tcBorders>
            <w:shd w:val="clear" w:color="auto" w:fill="auto"/>
            <w:noWrap/>
            <w:vAlign w:val="center"/>
            <w:hideMark/>
          </w:tcPr>
          <w:p w14:paraId="0886E0EE" w14:textId="77777777" w:rsidR="00D6626C" w:rsidRDefault="00D6626C">
            <w:pPr>
              <w:jc w:val="right"/>
              <w:rPr>
                <w:color w:val="000000"/>
                <w:sz w:val="20"/>
                <w:szCs w:val="20"/>
              </w:rPr>
            </w:pPr>
            <w:r>
              <w:rPr>
                <w:color w:val="000000"/>
                <w:sz w:val="20"/>
                <w:szCs w:val="20"/>
              </w:rPr>
              <w:t>0</w:t>
            </w:r>
          </w:p>
        </w:tc>
        <w:tc>
          <w:tcPr>
            <w:tcW w:w="960" w:type="dxa"/>
            <w:tcBorders>
              <w:top w:val="nil"/>
              <w:left w:val="nil"/>
              <w:bottom w:val="single" w:sz="8" w:space="0" w:color="000000"/>
              <w:right w:val="single" w:sz="8" w:space="0" w:color="auto"/>
            </w:tcBorders>
            <w:shd w:val="clear" w:color="auto" w:fill="auto"/>
            <w:vAlign w:val="center"/>
            <w:hideMark/>
          </w:tcPr>
          <w:p w14:paraId="396FBBFD" w14:textId="77777777" w:rsidR="00D6626C" w:rsidRDefault="00D6626C">
            <w:pPr>
              <w:jc w:val="right"/>
              <w:rPr>
                <w:color w:val="000000"/>
                <w:sz w:val="20"/>
                <w:szCs w:val="20"/>
              </w:rPr>
            </w:pPr>
            <w:r>
              <w:rPr>
                <w:color w:val="000000"/>
                <w:sz w:val="20"/>
                <w:szCs w:val="20"/>
              </w:rPr>
              <w:t>0</w:t>
            </w:r>
          </w:p>
        </w:tc>
        <w:tc>
          <w:tcPr>
            <w:tcW w:w="2058" w:type="dxa"/>
            <w:vMerge/>
            <w:tcBorders>
              <w:top w:val="nil"/>
              <w:left w:val="single" w:sz="8" w:space="0" w:color="auto"/>
              <w:bottom w:val="single" w:sz="8" w:space="0" w:color="000000"/>
              <w:right w:val="single" w:sz="8" w:space="0" w:color="auto"/>
            </w:tcBorders>
            <w:vAlign w:val="center"/>
            <w:hideMark/>
          </w:tcPr>
          <w:p w14:paraId="0E8BB53A" w14:textId="77777777" w:rsidR="00D6626C" w:rsidRDefault="00D6626C">
            <w:pPr>
              <w:rPr>
                <w:color w:val="000000"/>
                <w:sz w:val="20"/>
                <w:szCs w:val="20"/>
              </w:rPr>
            </w:pPr>
          </w:p>
        </w:tc>
        <w:tc>
          <w:tcPr>
            <w:tcW w:w="1710" w:type="dxa"/>
            <w:tcBorders>
              <w:top w:val="nil"/>
              <w:left w:val="nil"/>
              <w:bottom w:val="single" w:sz="8" w:space="0" w:color="auto"/>
              <w:right w:val="single" w:sz="8" w:space="0" w:color="auto"/>
            </w:tcBorders>
            <w:shd w:val="clear" w:color="auto" w:fill="auto"/>
            <w:noWrap/>
            <w:vAlign w:val="center"/>
            <w:hideMark/>
          </w:tcPr>
          <w:p w14:paraId="20B41D28" w14:textId="77777777" w:rsidR="00D6626C" w:rsidRDefault="00D6626C">
            <w:pPr>
              <w:jc w:val="right"/>
              <w:rPr>
                <w:color w:val="000000"/>
                <w:sz w:val="20"/>
                <w:szCs w:val="20"/>
              </w:rPr>
            </w:pPr>
            <w:r>
              <w:rPr>
                <w:color w:val="000000"/>
                <w:sz w:val="20"/>
                <w:szCs w:val="20"/>
              </w:rPr>
              <w:t xml:space="preserve">$0.00 </w:t>
            </w:r>
          </w:p>
        </w:tc>
      </w:tr>
      <w:tr w:rsidR="00D6626C" w14:paraId="3498CC0C" w14:textId="77777777" w:rsidTr="001024B8">
        <w:trPr>
          <w:trHeight w:val="315"/>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03A4100C" w14:textId="77777777" w:rsidR="00D6626C" w:rsidRDefault="00D6626C">
            <w:pPr>
              <w:rPr>
                <w:color w:val="000000"/>
                <w:sz w:val="20"/>
                <w:szCs w:val="20"/>
              </w:rPr>
            </w:pPr>
            <w:r>
              <w:rPr>
                <w:color w:val="000000"/>
                <w:sz w:val="20"/>
                <w:szCs w:val="20"/>
              </w:rPr>
              <w:t>Review focus group results</w:t>
            </w:r>
          </w:p>
        </w:tc>
        <w:tc>
          <w:tcPr>
            <w:tcW w:w="960" w:type="dxa"/>
            <w:tcBorders>
              <w:top w:val="nil"/>
              <w:left w:val="nil"/>
              <w:bottom w:val="single" w:sz="8" w:space="0" w:color="auto"/>
              <w:right w:val="single" w:sz="8" w:space="0" w:color="auto"/>
            </w:tcBorders>
            <w:shd w:val="clear" w:color="auto" w:fill="auto"/>
            <w:noWrap/>
            <w:vAlign w:val="center"/>
            <w:hideMark/>
          </w:tcPr>
          <w:p w14:paraId="480840A0" w14:textId="77777777" w:rsidR="00D6626C" w:rsidRDefault="00D6626C">
            <w:pPr>
              <w:jc w:val="right"/>
              <w:rPr>
                <w:color w:val="000000"/>
                <w:sz w:val="20"/>
                <w:szCs w:val="20"/>
              </w:rPr>
            </w:pPr>
            <w:r>
              <w:rPr>
                <w:color w:val="000000"/>
                <w:sz w:val="20"/>
                <w:szCs w:val="20"/>
              </w:rPr>
              <w:t>5</w:t>
            </w:r>
          </w:p>
        </w:tc>
        <w:tc>
          <w:tcPr>
            <w:tcW w:w="1050" w:type="dxa"/>
            <w:tcBorders>
              <w:top w:val="nil"/>
              <w:left w:val="nil"/>
              <w:bottom w:val="single" w:sz="8" w:space="0" w:color="auto"/>
              <w:right w:val="single" w:sz="8" w:space="0" w:color="auto"/>
            </w:tcBorders>
            <w:shd w:val="clear" w:color="auto" w:fill="auto"/>
            <w:noWrap/>
            <w:vAlign w:val="center"/>
            <w:hideMark/>
          </w:tcPr>
          <w:p w14:paraId="7FA410AA" w14:textId="77777777" w:rsidR="00D6626C" w:rsidRDefault="00D6626C">
            <w:pPr>
              <w:jc w:val="right"/>
              <w:rPr>
                <w:color w:val="000000"/>
                <w:sz w:val="20"/>
                <w:szCs w:val="20"/>
              </w:rPr>
            </w:pPr>
            <w:r>
              <w:rPr>
                <w:color w:val="000000"/>
                <w:sz w:val="20"/>
                <w:szCs w:val="20"/>
              </w:rPr>
              <w:t>20</w:t>
            </w:r>
          </w:p>
        </w:tc>
        <w:tc>
          <w:tcPr>
            <w:tcW w:w="960" w:type="dxa"/>
            <w:tcBorders>
              <w:top w:val="nil"/>
              <w:left w:val="nil"/>
              <w:bottom w:val="single" w:sz="8" w:space="0" w:color="000000"/>
              <w:right w:val="single" w:sz="8" w:space="0" w:color="auto"/>
            </w:tcBorders>
            <w:shd w:val="clear" w:color="auto" w:fill="auto"/>
            <w:vAlign w:val="center"/>
            <w:hideMark/>
          </w:tcPr>
          <w:p w14:paraId="54204217" w14:textId="77777777" w:rsidR="00D6626C" w:rsidRDefault="00D6626C">
            <w:pPr>
              <w:jc w:val="right"/>
              <w:rPr>
                <w:color w:val="000000"/>
                <w:sz w:val="20"/>
                <w:szCs w:val="20"/>
              </w:rPr>
            </w:pPr>
            <w:r>
              <w:rPr>
                <w:color w:val="000000"/>
                <w:sz w:val="20"/>
                <w:szCs w:val="20"/>
              </w:rPr>
              <w:t>25</w:t>
            </w:r>
          </w:p>
        </w:tc>
        <w:tc>
          <w:tcPr>
            <w:tcW w:w="2058" w:type="dxa"/>
            <w:vMerge/>
            <w:tcBorders>
              <w:top w:val="nil"/>
              <w:left w:val="single" w:sz="8" w:space="0" w:color="auto"/>
              <w:bottom w:val="single" w:sz="8" w:space="0" w:color="000000"/>
              <w:right w:val="single" w:sz="8" w:space="0" w:color="auto"/>
            </w:tcBorders>
            <w:vAlign w:val="center"/>
            <w:hideMark/>
          </w:tcPr>
          <w:p w14:paraId="749461C4" w14:textId="77777777" w:rsidR="00D6626C" w:rsidRDefault="00D6626C">
            <w:pPr>
              <w:rPr>
                <w:color w:val="000000"/>
                <w:sz w:val="20"/>
                <w:szCs w:val="20"/>
              </w:rPr>
            </w:pPr>
          </w:p>
        </w:tc>
        <w:tc>
          <w:tcPr>
            <w:tcW w:w="1710" w:type="dxa"/>
            <w:tcBorders>
              <w:top w:val="nil"/>
              <w:left w:val="nil"/>
              <w:bottom w:val="single" w:sz="8" w:space="0" w:color="auto"/>
              <w:right w:val="single" w:sz="8" w:space="0" w:color="auto"/>
            </w:tcBorders>
            <w:shd w:val="clear" w:color="auto" w:fill="auto"/>
            <w:noWrap/>
            <w:vAlign w:val="center"/>
            <w:hideMark/>
          </w:tcPr>
          <w:p w14:paraId="7B778E3E" w14:textId="77777777" w:rsidR="00D6626C" w:rsidRDefault="00D6626C">
            <w:pPr>
              <w:jc w:val="right"/>
              <w:rPr>
                <w:color w:val="000000"/>
                <w:sz w:val="20"/>
                <w:szCs w:val="20"/>
              </w:rPr>
            </w:pPr>
            <w:r>
              <w:rPr>
                <w:color w:val="000000"/>
                <w:sz w:val="20"/>
                <w:szCs w:val="20"/>
              </w:rPr>
              <w:t xml:space="preserve">$1,580.00 </w:t>
            </w:r>
          </w:p>
        </w:tc>
      </w:tr>
      <w:tr w:rsidR="00D6626C" w14:paraId="0D02540C" w14:textId="77777777" w:rsidTr="001024B8">
        <w:trPr>
          <w:trHeight w:val="315"/>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64D8B502" w14:textId="77777777" w:rsidR="00D6626C" w:rsidRDefault="00D6626C">
            <w:pPr>
              <w:rPr>
                <w:i/>
                <w:iCs/>
                <w:color w:val="000000"/>
                <w:sz w:val="20"/>
                <w:szCs w:val="20"/>
              </w:rPr>
            </w:pPr>
            <w:r>
              <w:rPr>
                <w:i/>
                <w:iCs/>
                <w:color w:val="000000"/>
                <w:sz w:val="20"/>
                <w:szCs w:val="20"/>
              </w:rPr>
              <w:t>Subtotal</w:t>
            </w:r>
          </w:p>
        </w:tc>
        <w:tc>
          <w:tcPr>
            <w:tcW w:w="960" w:type="dxa"/>
            <w:tcBorders>
              <w:top w:val="nil"/>
              <w:left w:val="nil"/>
              <w:bottom w:val="single" w:sz="8" w:space="0" w:color="auto"/>
              <w:right w:val="single" w:sz="8" w:space="0" w:color="auto"/>
            </w:tcBorders>
            <w:shd w:val="clear" w:color="auto" w:fill="auto"/>
            <w:noWrap/>
            <w:vAlign w:val="center"/>
            <w:hideMark/>
          </w:tcPr>
          <w:p w14:paraId="68A506F5" w14:textId="77777777" w:rsidR="00D6626C" w:rsidRDefault="00D6626C">
            <w:pPr>
              <w:jc w:val="right"/>
              <w:rPr>
                <w:i/>
                <w:iCs/>
                <w:color w:val="000000"/>
                <w:sz w:val="20"/>
                <w:szCs w:val="20"/>
              </w:rPr>
            </w:pPr>
            <w:r>
              <w:rPr>
                <w:i/>
                <w:iCs/>
                <w:color w:val="000000"/>
                <w:sz w:val="20"/>
                <w:szCs w:val="20"/>
              </w:rPr>
              <w:t>6</w:t>
            </w:r>
          </w:p>
        </w:tc>
        <w:tc>
          <w:tcPr>
            <w:tcW w:w="1050" w:type="dxa"/>
            <w:tcBorders>
              <w:top w:val="nil"/>
              <w:left w:val="nil"/>
              <w:bottom w:val="single" w:sz="8" w:space="0" w:color="auto"/>
              <w:right w:val="single" w:sz="8" w:space="0" w:color="auto"/>
            </w:tcBorders>
            <w:shd w:val="clear" w:color="auto" w:fill="auto"/>
            <w:noWrap/>
            <w:vAlign w:val="center"/>
            <w:hideMark/>
          </w:tcPr>
          <w:p w14:paraId="1E08E12A" w14:textId="77777777" w:rsidR="00D6626C" w:rsidRDefault="00D6626C">
            <w:pPr>
              <w:jc w:val="right"/>
              <w:rPr>
                <w:i/>
                <w:iCs/>
                <w:color w:val="000000"/>
                <w:sz w:val="20"/>
                <w:szCs w:val="20"/>
              </w:rPr>
            </w:pPr>
            <w:r>
              <w:rPr>
                <w:i/>
                <w:iCs/>
                <w:color w:val="000000"/>
                <w:sz w:val="20"/>
                <w:szCs w:val="20"/>
              </w:rPr>
              <w:t>24</w:t>
            </w:r>
          </w:p>
        </w:tc>
        <w:tc>
          <w:tcPr>
            <w:tcW w:w="960" w:type="dxa"/>
            <w:tcBorders>
              <w:top w:val="nil"/>
              <w:left w:val="nil"/>
              <w:bottom w:val="single" w:sz="8" w:space="0" w:color="000000"/>
              <w:right w:val="single" w:sz="8" w:space="0" w:color="auto"/>
            </w:tcBorders>
            <w:shd w:val="clear" w:color="auto" w:fill="auto"/>
            <w:vAlign w:val="center"/>
            <w:hideMark/>
          </w:tcPr>
          <w:p w14:paraId="55B2BAE9" w14:textId="77777777" w:rsidR="00D6626C" w:rsidRDefault="00D6626C">
            <w:pPr>
              <w:jc w:val="right"/>
              <w:rPr>
                <w:i/>
                <w:iCs/>
                <w:color w:val="000000"/>
                <w:sz w:val="20"/>
                <w:szCs w:val="20"/>
              </w:rPr>
            </w:pPr>
            <w:r>
              <w:rPr>
                <w:i/>
                <w:iCs/>
                <w:color w:val="000000"/>
                <w:sz w:val="20"/>
                <w:szCs w:val="20"/>
              </w:rPr>
              <w:t>30</w:t>
            </w:r>
          </w:p>
        </w:tc>
        <w:tc>
          <w:tcPr>
            <w:tcW w:w="2058" w:type="dxa"/>
            <w:tcBorders>
              <w:top w:val="nil"/>
              <w:left w:val="nil"/>
              <w:bottom w:val="single" w:sz="8" w:space="0" w:color="auto"/>
              <w:right w:val="single" w:sz="8" w:space="0" w:color="auto"/>
            </w:tcBorders>
            <w:shd w:val="clear" w:color="auto" w:fill="auto"/>
            <w:noWrap/>
            <w:vAlign w:val="center"/>
            <w:hideMark/>
          </w:tcPr>
          <w:p w14:paraId="44B94E64" w14:textId="77777777" w:rsidR="00D6626C" w:rsidRDefault="00D6626C">
            <w:pPr>
              <w:jc w:val="right"/>
              <w:rPr>
                <w:i/>
                <w:iCs/>
                <w:color w:val="000000"/>
                <w:sz w:val="20"/>
                <w:szCs w:val="20"/>
              </w:rPr>
            </w:pPr>
            <w:r>
              <w:rPr>
                <w:i/>
                <w:iCs/>
                <w:color w:val="000000"/>
                <w:sz w:val="20"/>
                <w:szCs w:val="20"/>
              </w:rPr>
              <w:t xml:space="preserve">$35,750 </w:t>
            </w:r>
          </w:p>
        </w:tc>
        <w:tc>
          <w:tcPr>
            <w:tcW w:w="1710" w:type="dxa"/>
            <w:tcBorders>
              <w:top w:val="nil"/>
              <w:left w:val="nil"/>
              <w:bottom w:val="single" w:sz="8" w:space="0" w:color="auto"/>
              <w:right w:val="single" w:sz="8" w:space="0" w:color="auto"/>
            </w:tcBorders>
            <w:shd w:val="clear" w:color="auto" w:fill="auto"/>
            <w:noWrap/>
            <w:vAlign w:val="center"/>
            <w:hideMark/>
          </w:tcPr>
          <w:p w14:paraId="140132B0" w14:textId="77777777" w:rsidR="00D6626C" w:rsidRDefault="00D6626C">
            <w:pPr>
              <w:jc w:val="right"/>
              <w:rPr>
                <w:i/>
                <w:iCs/>
                <w:color w:val="000000"/>
                <w:sz w:val="20"/>
                <w:szCs w:val="20"/>
              </w:rPr>
            </w:pPr>
            <w:r>
              <w:rPr>
                <w:i/>
                <w:iCs/>
                <w:color w:val="000000"/>
                <w:sz w:val="20"/>
                <w:szCs w:val="20"/>
              </w:rPr>
              <w:t xml:space="preserve">$1,896.00 </w:t>
            </w:r>
          </w:p>
        </w:tc>
      </w:tr>
      <w:tr w:rsidR="00D6626C" w14:paraId="2F14F215" w14:textId="77777777" w:rsidTr="001024B8">
        <w:trPr>
          <w:trHeight w:val="315"/>
        </w:trPr>
        <w:tc>
          <w:tcPr>
            <w:tcW w:w="9478" w:type="dxa"/>
            <w:gridSpan w:val="6"/>
            <w:tcBorders>
              <w:top w:val="nil"/>
              <w:left w:val="single" w:sz="8" w:space="0" w:color="auto"/>
              <w:bottom w:val="single" w:sz="8" w:space="0" w:color="auto"/>
              <w:right w:val="single" w:sz="8" w:space="0" w:color="000000"/>
            </w:tcBorders>
            <w:shd w:val="clear" w:color="auto" w:fill="auto"/>
            <w:vAlign w:val="center"/>
            <w:hideMark/>
          </w:tcPr>
          <w:p w14:paraId="2D5EF620" w14:textId="77777777" w:rsidR="00D6626C" w:rsidRDefault="00D6626C">
            <w:pPr>
              <w:rPr>
                <w:b/>
                <w:bCs/>
                <w:i/>
                <w:iCs/>
                <w:color w:val="000000"/>
                <w:sz w:val="20"/>
                <w:szCs w:val="20"/>
              </w:rPr>
            </w:pPr>
            <w:r>
              <w:rPr>
                <w:b/>
                <w:bCs/>
                <w:i/>
                <w:iCs/>
                <w:color w:val="000000"/>
                <w:sz w:val="20"/>
                <w:szCs w:val="20"/>
              </w:rPr>
              <w:t>Consumer Online Surveys</w:t>
            </w:r>
          </w:p>
        </w:tc>
      </w:tr>
      <w:tr w:rsidR="00D6626C" w14:paraId="77067901" w14:textId="77777777" w:rsidTr="001024B8">
        <w:trPr>
          <w:trHeight w:val="315"/>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5197DBE8" w14:textId="77777777" w:rsidR="00D6626C" w:rsidRDefault="00D6626C">
            <w:pPr>
              <w:rPr>
                <w:color w:val="000000"/>
                <w:sz w:val="20"/>
                <w:szCs w:val="20"/>
              </w:rPr>
            </w:pPr>
            <w:r>
              <w:rPr>
                <w:color w:val="000000"/>
                <w:sz w:val="20"/>
                <w:szCs w:val="20"/>
              </w:rPr>
              <w:t>Prepare consumer online surveys</w:t>
            </w:r>
          </w:p>
        </w:tc>
        <w:tc>
          <w:tcPr>
            <w:tcW w:w="960" w:type="dxa"/>
            <w:tcBorders>
              <w:top w:val="nil"/>
              <w:left w:val="nil"/>
              <w:bottom w:val="single" w:sz="8" w:space="0" w:color="auto"/>
              <w:right w:val="single" w:sz="8" w:space="0" w:color="auto"/>
            </w:tcBorders>
            <w:shd w:val="clear" w:color="auto" w:fill="auto"/>
            <w:noWrap/>
            <w:vAlign w:val="center"/>
            <w:hideMark/>
          </w:tcPr>
          <w:p w14:paraId="49DC29AC" w14:textId="77777777" w:rsidR="00D6626C" w:rsidRDefault="00D6626C">
            <w:pPr>
              <w:jc w:val="right"/>
              <w:rPr>
                <w:color w:val="000000"/>
                <w:sz w:val="20"/>
                <w:szCs w:val="20"/>
              </w:rPr>
            </w:pPr>
            <w:r>
              <w:rPr>
                <w:color w:val="000000"/>
                <w:sz w:val="20"/>
                <w:szCs w:val="20"/>
              </w:rPr>
              <w:t>1</w:t>
            </w:r>
          </w:p>
        </w:tc>
        <w:tc>
          <w:tcPr>
            <w:tcW w:w="1050" w:type="dxa"/>
            <w:tcBorders>
              <w:top w:val="nil"/>
              <w:left w:val="nil"/>
              <w:bottom w:val="single" w:sz="8" w:space="0" w:color="auto"/>
              <w:right w:val="single" w:sz="8" w:space="0" w:color="auto"/>
            </w:tcBorders>
            <w:shd w:val="clear" w:color="auto" w:fill="auto"/>
            <w:noWrap/>
            <w:vAlign w:val="center"/>
            <w:hideMark/>
          </w:tcPr>
          <w:p w14:paraId="1E3795E3" w14:textId="77777777" w:rsidR="00D6626C" w:rsidRDefault="00D6626C">
            <w:pPr>
              <w:jc w:val="right"/>
              <w:rPr>
                <w:color w:val="000000"/>
                <w:sz w:val="20"/>
                <w:szCs w:val="20"/>
              </w:rPr>
            </w:pPr>
            <w:r>
              <w:rPr>
                <w:color w:val="000000"/>
                <w:sz w:val="20"/>
                <w:szCs w:val="20"/>
              </w:rPr>
              <w:t>4</w:t>
            </w:r>
          </w:p>
        </w:tc>
        <w:tc>
          <w:tcPr>
            <w:tcW w:w="960" w:type="dxa"/>
            <w:tcBorders>
              <w:top w:val="nil"/>
              <w:left w:val="nil"/>
              <w:bottom w:val="single" w:sz="8" w:space="0" w:color="auto"/>
              <w:right w:val="single" w:sz="8" w:space="0" w:color="auto"/>
            </w:tcBorders>
            <w:shd w:val="clear" w:color="auto" w:fill="auto"/>
            <w:noWrap/>
            <w:vAlign w:val="center"/>
            <w:hideMark/>
          </w:tcPr>
          <w:p w14:paraId="557DD63E" w14:textId="77777777" w:rsidR="00D6626C" w:rsidRDefault="00D6626C">
            <w:pPr>
              <w:jc w:val="right"/>
              <w:rPr>
                <w:color w:val="000000"/>
                <w:sz w:val="20"/>
                <w:szCs w:val="20"/>
              </w:rPr>
            </w:pPr>
            <w:r>
              <w:rPr>
                <w:color w:val="000000"/>
                <w:sz w:val="20"/>
                <w:szCs w:val="20"/>
              </w:rPr>
              <w:t>5</w:t>
            </w:r>
          </w:p>
        </w:tc>
        <w:tc>
          <w:tcPr>
            <w:tcW w:w="205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790EBE1" w14:textId="77777777" w:rsidR="00D6626C" w:rsidRDefault="00D6626C" w:rsidP="00D6626C">
            <w:pPr>
              <w:jc w:val="center"/>
              <w:rPr>
                <w:color w:val="000000"/>
                <w:sz w:val="20"/>
                <w:szCs w:val="20"/>
              </w:rPr>
            </w:pPr>
            <w:r>
              <w:rPr>
                <w:color w:val="000000"/>
                <w:sz w:val="20"/>
                <w:szCs w:val="20"/>
              </w:rPr>
              <w:t>$23,625 for three consumer online surveys</w:t>
            </w:r>
          </w:p>
        </w:tc>
        <w:tc>
          <w:tcPr>
            <w:tcW w:w="1710" w:type="dxa"/>
            <w:tcBorders>
              <w:top w:val="nil"/>
              <w:left w:val="nil"/>
              <w:bottom w:val="single" w:sz="8" w:space="0" w:color="auto"/>
              <w:right w:val="single" w:sz="8" w:space="0" w:color="auto"/>
            </w:tcBorders>
            <w:shd w:val="clear" w:color="auto" w:fill="auto"/>
            <w:noWrap/>
            <w:vAlign w:val="center"/>
            <w:hideMark/>
          </w:tcPr>
          <w:p w14:paraId="6DB5EB08" w14:textId="77777777" w:rsidR="00D6626C" w:rsidRDefault="00D6626C">
            <w:pPr>
              <w:jc w:val="right"/>
              <w:rPr>
                <w:color w:val="000000"/>
                <w:sz w:val="20"/>
                <w:szCs w:val="20"/>
              </w:rPr>
            </w:pPr>
            <w:r>
              <w:rPr>
                <w:color w:val="000000"/>
                <w:sz w:val="20"/>
                <w:szCs w:val="20"/>
              </w:rPr>
              <w:t xml:space="preserve">$316.00 </w:t>
            </w:r>
          </w:p>
        </w:tc>
      </w:tr>
      <w:tr w:rsidR="00D6626C" w14:paraId="3D73C75F" w14:textId="77777777" w:rsidTr="001024B8">
        <w:trPr>
          <w:trHeight w:val="525"/>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4E5D192B" w14:textId="77777777" w:rsidR="00D6626C" w:rsidRDefault="00D6626C">
            <w:pPr>
              <w:rPr>
                <w:color w:val="000000"/>
                <w:sz w:val="20"/>
                <w:szCs w:val="20"/>
              </w:rPr>
            </w:pPr>
            <w:r>
              <w:rPr>
                <w:color w:val="000000"/>
                <w:sz w:val="20"/>
                <w:szCs w:val="20"/>
              </w:rPr>
              <w:t>Review consumer online survey results</w:t>
            </w:r>
          </w:p>
        </w:tc>
        <w:tc>
          <w:tcPr>
            <w:tcW w:w="960" w:type="dxa"/>
            <w:tcBorders>
              <w:top w:val="nil"/>
              <w:left w:val="nil"/>
              <w:bottom w:val="single" w:sz="8" w:space="0" w:color="auto"/>
              <w:right w:val="single" w:sz="8" w:space="0" w:color="auto"/>
            </w:tcBorders>
            <w:shd w:val="clear" w:color="auto" w:fill="auto"/>
            <w:noWrap/>
            <w:vAlign w:val="center"/>
            <w:hideMark/>
          </w:tcPr>
          <w:p w14:paraId="649B5F8F" w14:textId="77777777" w:rsidR="00D6626C" w:rsidRDefault="00D6626C">
            <w:pPr>
              <w:jc w:val="right"/>
              <w:rPr>
                <w:color w:val="000000"/>
                <w:sz w:val="20"/>
                <w:szCs w:val="20"/>
              </w:rPr>
            </w:pPr>
            <w:r>
              <w:rPr>
                <w:color w:val="000000"/>
                <w:sz w:val="20"/>
                <w:szCs w:val="20"/>
              </w:rPr>
              <w:t>2</w:t>
            </w:r>
          </w:p>
        </w:tc>
        <w:tc>
          <w:tcPr>
            <w:tcW w:w="1050" w:type="dxa"/>
            <w:tcBorders>
              <w:top w:val="nil"/>
              <w:left w:val="nil"/>
              <w:bottom w:val="single" w:sz="8" w:space="0" w:color="auto"/>
              <w:right w:val="single" w:sz="8" w:space="0" w:color="auto"/>
            </w:tcBorders>
            <w:shd w:val="clear" w:color="auto" w:fill="auto"/>
            <w:noWrap/>
            <w:vAlign w:val="center"/>
            <w:hideMark/>
          </w:tcPr>
          <w:p w14:paraId="37ADE217" w14:textId="77777777" w:rsidR="00D6626C" w:rsidRDefault="00D6626C">
            <w:pPr>
              <w:jc w:val="right"/>
              <w:rPr>
                <w:color w:val="000000"/>
                <w:sz w:val="20"/>
                <w:szCs w:val="20"/>
              </w:rPr>
            </w:pPr>
            <w:r>
              <w:rPr>
                <w:color w:val="000000"/>
                <w:sz w:val="20"/>
                <w:szCs w:val="20"/>
              </w:rPr>
              <w:t>8</w:t>
            </w:r>
          </w:p>
        </w:tc>
        <w:tc>
          <w:tcPr>
            <w:tcW w:w="960" w:type="dxa"/>
            <w:tcBorders>
              <w:top w:val="nil"/>
              <w:left w:val="nil"/>
              <w:bottom w:val="single" w:sz="8" w:space="0" w:color="auto"/>
              <w:right w:val="single" w:sz="8" w:space="0" w:color="auto"/>
            </w:tcBorders>
            <w:shd w:val="clear" w:color="auto" w:fill="auto"/>
            <w:noWrap/>
            <w:vAlign w:val="center"/>
            <w:hideMark/>
          </w:tcPr>
          <w:p w14:paraId="24C770D6" w14:textId="77777777" w:rsidR="00D6626C" w:rsidRDefault="00D6626C">
            <w:pPr>
              <w:jc w:val="right"/>
              <w:rPr>
                <w:color w:val="000000"/>
                <w:sz w:val="20"/>
                <w:szCs w:val="20"/>
              </w:rPr>
            </w:pPr>
            <w:r>
              <w:rPr>
                <w:color w:val="000000"/>
                <w:sz w:val="20"/>
                <w:szCs w:val="20"/>
              </w:rPr>
              <w:t>10</w:t>
            </w:r>
          </w:p>
        </w:tc>
        <w:tc>
          <w:tcPr>
            <w:tcW w:w="2058" w:type="dxa"/>
            <w:vMerge/>
            <w:tcBorders>
              <w:top w:val="nil"/>
              <w:left w:val="single" w:sz="8" w:space="0" w:color="auto"/>
              <w:bottom w:val="single" w:sz="8" w:space="0" w:color="000000"/>
              <w:right w:val="single" w:sz="8" w:space="0" w:color="auto"/>
            </w:tcBorders>
            <w:vAlign w:val="center"/>
            <w:hideMark/>
          </w:tcPr>
          <w:p w14:paraId="12408B7A" w14:textId="77777777" w:rsidR="00D6626C" w:rsidRDefault="00D6626C">
            <w:pPr>
              <w:rPr>
                <w:color w:val="000000"/>
                <w:sz w:val="20"/>
                <w:szCs w:val="20"/>
              </w:rPr>
            </w:pPr>
          </w:p>
        </w:tc>
        <w:tc>
          <w:tcPr>
            <w:tcW w:w="1710" w:type="dxa"/>
            <w:tcBorders>
              <w:top w:val="nil"/>
              <w:left w:val="nil"/>
              <w:bottom w:val="single" w:sz="8" w:space="0" w:color="auto"/>
              <w:right w:val="single" w:sz="8" w:space="0" w:color="auto"/>
            </w:tcBorders>
            <w:shd w:val="clear" w:color="auto" w:fill="auto"/>
            <w:noWrap/>
            <w:vAlign w:val="center"/>
            <w:hideMark/>
          </w:tcPr>
          <w:p w14:paraId="5133709B" w14:textId="77777777" w:rsidR="00D6626C" w:rsidRDefault="00D6626C">
            <w:pPr>
              <w:jc w:val="right"/>
              <w:rPr>
                <w:color w:val="000000"/>
                <w:sz w:val="20"/>
                <w:szCs w:val="20"/>
              </w:rPr>
            </w:pPr>
            <w:r>
              <w:rPr>
                <w:color w:val="000000"/>
                <w:sz w:val="20"/>
                <w:szCs w:val="20"/>
              </w:rPr>
              <w:t xml:space="preserve">$632.00 </w:t>
            </w:r>
          </w:p>
        </w:tc>
      </w:tr>
      <w:tr w:rsidR="00D6626C" w14:paraId="3F25DE00" w14:textId="77777777" w:rsidTr="001024B8">
        <w:trPr>
          <w:trHeight w:val="315"/>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1DB451EB" w14:textId="77777777" w:rsidR="00D6626C" w:rsidRDefault="00D6626C">
            <w:pPr>
              <w:rPr>
                <w:i/>
                <w:iCs/>
                <w:color w:val="000000"/>
                <w:sz w:val="20"/>
                <w:szCs w:val="20"/>
              </w:rPr>
            </w:pPr>
            <w:r>
              <w:rPr>
                <w:i/>
                <w:iCs/>
                <w:color w:val="000000"/>
                <w:sz w:val="20"/>
                <w:szCs w:val="20"/>
              </w:rPr>
              <w:t>Subtotal</w:t>
            </w:r>
          </w:p>
        </w:tc>
        <w:tc>
          <w:tcPr>
            <w:tcW w:w="960" w:type="dxa"/>
            <w:tcBorders>
              <w:top w:val="nil"/>
              <w:left w:val="nil"/>
              <w:bottom w:val="single" w:sz="8" w:space="0" w:color="auto"/>
              <w:right w:val="single" w:sz="8" w:space="0" w:color="auto"/>
            </w:tcBorders>
            <w:shd w:val="clear" w:color="auto" w:fill="auto"/>
            <w:noWrap/>
            <w:vAlign w:val="center"/>
            <w:hideMark/>
          </w:tcPr>
          <w:p w14:paraId="29B76603" w14:textId="77777777" w:rsidR="00D6626C" w:rsidRDefault="00D6626C">
            <w:pPr>
              <w:jc w:val="right"/>
              <w:rPr>
                <w:i/>
                <w:iCs/>
                <w:color w:val="000000"/>
                <w:sz w:val="20"/>
                <w:szCs w:val="20"/>
              </w:rPr>
            </w:pPr>
            <w:r>
              <w:rPr>
                <w:i/>
                <w:iCs/>
                <w:color w:val="000000"/>
                <w:sz w:val="20"/>
                <w:szCs w:val="20"/>
              </w:rPr>
              <w:t>3</w:t>
            </w:r>
          </w:p>
        </w:tc>
        <w:tc>
          <w:tcPr>
            <w:tcW w:w="1050" w:type="dxa"/>
            <w:tcBorders>
              <w:top w:val="nil"/>
              <w:left w:val="nil"/>
              <w:bottom w:val="single" w:sz="8" w:space="0" w:color="auto"/>
              <w:right w:val="single" w:sz="8" w:space="0" w:color="auto"/>
            </w:tcBorders>
            <w:shd w:val="clear" w:color="auto" w:fill="auto"/>
            <w:noWrap/>
            <w:vAlign w:val="center"/>
            <w:hideMark/>
          </w:tcPr>
          <w:p w14:paraId="7BD1390F" w14:textId="77777777" w:rsidR="00D6626C" w:rsidRDefault="00D6626C">
            <w:pPr>
              <w:jc w:val="right"/>
              <w:rPr>
                <w:i/>
                <w:iCs/>
                <w:color w:val="000000"/>
                <w:sz w:val="20"/>
                <w:szCs w:val="20"/>
              </w:rPr>
            </w:pPr>
            <w:r>
              <w:rPr>
                <w:i/>
                <w:iCs/>
                <w:color w:val="000000"/>
                <w:sz w:val="20"/>
                <w:szCs w:val="20"/>
              </w:rPr>
              <w:t>12</w:t>
            </w:r>
          </w:p>
        </w:tc>
        <w:tc>
          <w:tcPr>
            <w:tcW w:w="960" w:type="dxa"/>
            <w:tcBorders>
              <w:top w:val="nil"/>
              <w:left w:val="nil"/>
              <w:bottom w:val="single" w:sz="8" w:space="0" w:color="auto"/>
              <w:right w:val="single" w:sz="8" w:space="0" w:color="auto"/>
            </w:tcBorders>
            <w:shd w:val="clear" w:color="auto" w:fill="auto"/>
            <w:noWrap/>
            <w:vAlign w:val="center"/>
            <w:hideMark/>
          </w:tcPr>
          <w:p w14:paraId="2486E897" w14:textId="77777777" w:rsidR="00D6626C" w:rsidRDefault="00D6626C">
            <w:pPr>
              <w:jc w:val="right"/>
              <w:rPr>
                <w:i/>
                <w:iCs/>
                <w:color w:val="000000"/>
                <w:sz w:val="20"/>
                <w:szCs w:val="20"/>
              </w:rPr>
            </w:pPr>
            <w:r>
              <w:rPr>
                <w:i/>
                <w:iCs/>
                <w:color w:val="000000"/>
                <w:sz w:val="20"/>
                <w:szCs w:val="20"/>
              </w:rPr>
              <w:t>15</w:t>
            </w:r>
          </w:p>
        </w:tc>
        <w:tc>
          <w:tcPr>
            <w:tcW w:w="2058" w:type="dxa"/>
            <w:tcBorders>
              <w:top w:val="nil"/>
              <w:left w:val="nil"/>
              <w:bottom w:val="single" w:sz="8" w:space="0" w:color="auto"/>
              <w:right w:val="single" w:sz="8" w:space="0" w:color="auto"/>
            </w:tcBorders>
            <w:shd w:val="clear" w:color="auto" w:fill="auto"/>
            <w:noWrap/>
            <w:vAlign w:val="center"/>
            <w:hideMark/>
          </w:tcPr>
          <w:p w14:paraId="6695B14F" w14:textId="77777777" w:rsidR="00D6626C" w:rsidRDefault="00D6626C">
            <w:pPr>
              <w:jc w:val="right"/>
              <w:rPr>
                <w:i/>
                <w:iCs/>
                <w:color w:val="000000"/>
                <w:sz w:val="20"/>
                <w:szCs w:val="20"/>
              </w:rPr>
            </w:pPr>
            <w:r>
              <w:rPr>
                <w:i/>
                <w:iCs/>
                <w:color w:val="000000"/>
                <w:sz w:val="20"/>
                <w:szCs w:val="20"/>
              </w:rPr>
              <w:t xml:space="preserve">$23,625 </w:t>
            </w:r>
          </w:p>
        </w:tc>
        <w:tc>
          <w:tcPr>
            <w:tcW w:w="1710" w:type="dxa"/>
            <w:tcBorders>
              <w:top w:val="nil"/>
              <w:left w:val="nil"/>
              <w:bottom w:val="single" w:sz="8" w:space="0" w:color="auto"/>
              <w:right w:val="single" w:sz="8" w:space="0" w:color="auto"/>
            </w:tcBorders>
            <w:shd w:val="clear" w:color="auto" w:fill="auto"/>
            <w:noWrap/>
            <w:vAlign w:val="center"/>
            <w:hideMark/>
          </w:tcPr>
          <w:p w14:paraId="17C01658" w14:textId="77777777" w:rsidR="00D6626C" w:rsidRDefault="00D6626C">
            <w:pPr>
              <w:jc w:val="right"/>
              <w:rPr>
                <w:i/>
                <w:iCs/>
                <w:color w:val="000000"/>
                <w:sz w:val="20"/>
                <w:szCs w:val="20"/>
              </w:rPr>
            </w:pPr>
            <w:r>
              <w:rPr>
                <w:i/>
                <w:iCs/>
                <w:color w:val="000000"/>
                <w:sz w:val="20"/>
                <w:szCs w:val="20"/>
              </w:rPr>
              <w:t xml:space="preserve">$948.00 </w:t>
            </w:r>
          </w:p>
        </w:tc>
      </w:tr>
      <w:tr w:rsidR="00D6626C" w14:paraId="3D6567B3" w14:textId="77777777" w:rsidTr="001024B8">
        <w:trPr>
          <w:trHeight w:val="315"/>
        </w:trPr>
        <w:tc>
          <w:tcPr>
            <w:tcW w:w="2740" w:type="dxa"/>
            <w:tcBorders>
              <w:top w:val="nil"/>
              <w:left w:val="single" w:sz="8" w:space="0" w:color="auto"/>
              <w:bottom w:val="single" w:sz="8" w:space="0" w:color="auto"/>
              <w:right w:val="single" w:sz="8" w:space="0" w:color="auto"/>
            </w:tcBorders>
            <w:shd w:val="clear" w:color="auto" w:fill="auto"/>
            <w:vAlign w:val="center"/>
            <w:hideMark/>
          </w:tcPr>
          <w:p w14:paraId="2AC26A09" w14:textId="77777777" w:rsidR="00D6626C" w:rsidRDefault="00D6626C">
            <w:pPr>
              <w:rPr>
                <w:b/>
                <w:bCs/>
                <w:color w:val="000000"/>
                <w:sz w:val="20"/>
                <w:szCs w:val="20"/>
              </w:rPr>
            </w:pPr>
            <w:r>
              <w:rPr>
                <w:b/>
                <w:bCs/>
                <w:color w:val="000000"/>
                <w:sz w:val="20"/>
                <w:szCs w:val="20"/>
              </w:rPr>
              <w:t>Total</w:t>
            </w:r>
          </w:p>
        </w:tc>
        <w:tc>
          <w:tcPr>
            <w:tcW w:w="960" w:type="dxa"/>
            <w:tcBorders>
              <w:top w:val="nil"/>
              <w:left w:val="nil"/>
              <w:bottom w:val="single" w:sz="8" w:space="0" w:color="auto"/>
              <w:right w:val="single" w:sz="8" w:space="0" w:color="auto"/>
            </w:tcBorders>
            <w:shd w:val="clear" w:color="auto" w:fill="auto"/>
            <w:noWrap/>
            <w:vAlign w:val="center"/>
            <w:hideMark/>
          </w:tcPr>
          <w:p w14:paraId="7F6AB268" w14:textId="77777777" w:rsidR="00D6626C" w:rsidRDefault="00D6626C">
            <w:pPr>
              <w:jc w:val="right"/>
              <w:rPr>
                <w:b/>
                <w:bCs/>
                <w:color w:val="000000"/>
                <w:sz w:val="20"/>
                <w:szCs w:val="20"/>
              </w:rPr>
            </w:pPr>
            <w:r>
              <w:rPr>
                <w:b/>
                <w:bCs/>
                <w:color w:val="000000"/>
                <w:sz w:val="20"/>
                <w:szCs w:val="20"/>
              </w:rPr>
              <w:t>9</w:t>
            </w:r>
          </w:p>
        </w:tc>
        <w:tc>
          <w:tcPr>
            <w:tcW w:w="1050" w:type="dxa"/>
            <w:tcBorders>
              <w:top w:val="nil"/>
              <w:left w:val="nil"/>
              <w:bottom w:val="single" w:sz="8" w:space="0" w:color="auto"/>
              <w:right w:val="single" w:sz="8" w:space="0" w:color="auto"/>
            </w:tcBorders>
            <w:shd w:val="clear" w:color="auto" w:fill="auto"/>
            <w:noWrap/>
            <w:vAlign w:val="center"/>
            <w:hideMark/>
          </w:tcPr>
          <w:p w14:paraId="3B4B4980" w14:textId="77777777" w:rsidR="00D6626C" w:rsidRDefault="00D6626C">
            <w:pPr>
              <w:jc w:val="right"/>
              <w:rPr>
                <w:b/>
                <w:bCs/>
                <w:color w:val="000000"/>
                <w:sz w:val="20"/>
                <w:szCs w:val="20"/>
              </w:rPr>
            </w:pPr>
            <w:r>
              <w:rPr>
                <w:b/>
                <w:bCs/>
                <w:color w:val="000000"/>
                <w:sz w:val="20"/>
                <w:szCs w:val="20"/>
              </w:rPr>
              <w:t>36</w:t>
            </w:r>
          </w:p>
        </w:tc>
        <w:tc>
          <w:tcPr>
            <w:tcW w:w="960" w:type="dxa"/>
            <w:tcBorders>
              <w:top w:val="nil"/>
              <w:left w:val="nil"/>
              <w:bottom w:val="single" w:sz="8" w:space="0" w:color="auto"/>
              <w:right w:val="single" w:sz="8" w:space="0" w:color="auto"/>
            </w:tcBorders>
            <w:shd w:val="clear" w:color="auto" w:fill="auto"/>
            <w:noWrap/>
            <w:vAlign w:val="center"/>
            <w:hideMark/>
          </w:tcPr>
          <w:p w14:paraId="524F87F2" w14:textId="77777777" w:rsidR="00D6626C" w:rsidRDefault="00D6626C">
            <w:pPr>
              <w:jc w:val="right"/>
              <w:rPr>
                <w:b/>
                <w:bCs/>
                <w:color w:val="000000"/>
                <w:sz w:val="20"/>
                <w:szCs w:val="20"/>
              </w:rPr>
            </w:pPr>
            <w:r>
              <w:rPr>
                <w:b/>
                <w:bCs/>
                <w:color w:val="000000"/>
                <w:sz w:val="20"/>
                <w:szCs w:val="20"/>
              </w:rPr>
              <w:t>45</w:t>
            </w:r>
          </w:p>
        </w:tc>
        <w:tc>
          <w:tcPr>
            <w:tcW w:w="2058" w:type="dxa"/>
            <w:tcBorders>
              <w:top w:val="nil"/>
              <w:left w:val="nil"/>
              <w:bottom w:val="single" w:sz="8" w:space="0" w:color="auto"/>
              <w:right w:val="single" w:sz="8" w:space="0" w:color="auto"/>
            </w:tcBorders>
            <w:shd w:val="clear" w:color="auto" w:fill="auto"/>
            <w:noWrap/>
            <w:vAlign w:val="center"/>
            <w:hideMark/>
          </w:tcPr>
          <w:p w14:paraId="501F1D97" w14:textId="77777777" w:rsidR="00D6626C" w:rsidRDefault="00D6626C">
            <w:pPr>
              <w:jc w:val="right"/>
              <w:rPr>
                <w:b/>
                <w:bCs/>
                <w:color w:val="000000"/>
                <w:sz w:val="20"/>
                <w:szCs w:val="20"/>
              </w:rPr>
            </w:pPr>
            <w:r>
              <w:rPr>
                <w:b/>
                <w:bCs/>
                <w:color w:val="000000"/>
                <w:sz w:val="20"/>
                <w:szCs w:val="20"/>
              </w:rPr>
              <w:t xml:space="preserve">$59,375 </w:t>
            </w:r>
          </w:p>
        </w:tc>
        <w:tc>
          <w:tcPr>
            <w:tcW w:w="1710" w:type="dxa"/>
            <w:tcBorders>
              <w:top w:val="nil"/>
              <w:left w:val="nil"/>
              <w:bottom w:val="single" w:sz="8" w:space="0" w:color="auto"/>
              <w:right w:val="single" w:sz="8" w:space="0" w:color="auto"/>
            </w:tcBorders>
            <w:shd w:val="clear" w:color="auto" w:fill="auto"/>
            <w:noWrap/>
            <w:vAlign w:val="center"/>
            <w:hideMark/>
          </w:tcPr>
          <w:p w14:paraId="54BEF90E" w14:textId="77777777" w:rsidR="00D6626C" w:rsidRDefault="00D6626C">
            <w:pPr>
              <w:jc w:val="right"/>
              <w:rPr>
                <w:b/>
                <w:bCs/>
                <w:color w:val="000000"/>
                <w:sz w:val="20"/>
                <w:szCs w:val="20"/>
              </w:rPr>
            </w:pPr>
            <w:r>
              <w:rPr>
                <w:b/>
                <w:bCs/>
                <w:color w:val="000000"/>
                <w:sz w:val="20"/>
                <w:szCs w:val="20"/>
              </w:rPr>
              <w:t xml:space="preserve">$2,844.00 </w:t>
            </w:r>
          </w:p>
        </w:tc>
      </w:tr>
    </w:tbl>
    <w:p w14:paraId="76482128" w14:textId="77777777" w:rsidR="00964ACD" w:rsidRDefault="00AB6F64" w:rsidP="00AB6F64">
      <w:pPr>
        <w:rPr>
          <w:sz w:val="18"/>
          <w:szCs w:val="18"/>
        </w:rPr>
      </w:pPr>
      <w:r>
        <w:rPr>
          <w:rFonts w:cs="Courier"/>
          <w:color w:val="000000"/>
          <w:sz w:val="20"/>
          <w:szCs w:val="20"/>
        </w:rPr>
        <w:t xml:space="preserve"> </w:t>
      </w:r>
      <w:r w:rsidR="001B7421" w:rsidRPr="00FE4AC8">
        <w:rPr>
          <w:rFonts w:cs="Courier"/>
          <w:color w:val="000000"/>
          <w:sz w:val="20"/>
          <w:szCs w:val="20"/>
        </w:rPr>
        <w:t>*</w:t>
      </w:r>
      <w:r w:rsidR="00964ACD">
        <w:rPr>
          <w:rFonts w:cs="Courier"/>
          <w:color w:val="000000"/>
          <w:sz w:val="18"/>
          <w:szCs w:val="18"/>
        </w:rPr>
        <w:t>Contractor cost includes facility rental, recruiting, incentives and rewards points, and transcription</w:t>
      </w:r>
      <w:r w:rsidR="00F03EAD">
        <w:rPr>
          <w:sz w:val="18"/>
          <w:szCs w:val="18"/>
        </w:rPr>
        <w:t xml:space="preserve"> </w:t>
      </w:r>
    </w:p>
    <w:p w14:paraId="482CE149" w14:textId="77777777" w:rsidR="001B7421" w:rsidRDefault="001B7421" w:rsidP="00AB6F64">
      <w:pPr>
        <w:rPr>
          <w:lang w:val="en-CA"/>
        </w:rPr>
      </w:pPr>
      <w:r w:rsidRPr="00E3118C">
        <w:rPr>
          <w:sz w:val="18"/>
          <w:szCs w:val="18"/>
        </w:rPr>
        <w:t xml:space="preserve">  </w:t>
      </w:r>
    </w:p>
    <w:p w14:paraId="68F68864" w14:textId="77777777" w:rsidR="001024B8" w:rsidRDefault="001024B8">
      <w:pPr>
        <w:rPr>
          <w:b/>
          <w:bCs/>
          <w:i/>
          <w:iCs/>
          <w:sz w:val="22"/>
          <w:szCs w:val="22"/>
          <w:lang w:val="en-CA"/>
        </w:rPr>
      </w:pPr>
      <w:r>
        <w:rPr>
          <w:i/>
          <w:iCs/>
          <w:lang w:val="en-CA"/>
        </w:rPr>
        <w:br w:type="page"/>
      </w:r>
    </w:p>
    <w:p w14:paraId="7CCB7AC4" w14:textId="149FDFE2" w:rsidR="001B7421" w:rsidRPr="00BC1613" w:rsidRDefault="001B7421" w:rsidP="001B7421">
      <w:pPr>
        <w:pStyle w:val="Heading2"/>
        <w:jc w:val="left"/>
        <w:rPr>
          <w:sz w:val="24"/>
          <w:szCs w:val="24"/>
        </w:rPr>
      </w:pPr>
      <w:r w:rsidRPr="00A81CEB">
        <w:rPr>
          <w:i/>
          <w:iCs/>
          <w:lang w:val="en-CA"/>
        </w:rPr>
        <w:fldChar w:fldCharType="begin"/>
      </w:r>
      <w:r w:rsidRPr="00A81CEB">
        <w:rPr>
          <w:i/>
          <w:iCs/>
          <w:lang w:val="en-CA"/>
        </w:rPr>
        <w:instrText xml:space="preserve"> SEQ CHAPTER \h \r 1</w:instrText>
      </w:r>
      <w:r w:rsidRPr="00A81CEB">
        <w:rPr>
          <w:i/>
          <w:iCs/>
          <w:lang w:val="en-CA"/>
        </w:rPr>
        <w:fldChar w:fldCharType="end"/>
      </w:r>
      <w:r w:rsidRPr="00A81CEB">
        <w:tab/>
      </w:r>
      <w:bookmarkStart w:id="58" w:name="_Toc160347333"/>
      <w:bookmarkStart w:id="59" w:name="_Toc227390395"/>
      <w:bookmarkStart w:id="60" w:name="_Toc453944865"/>
      <w:r w:rsidRPr="00BC1613">
        <w:rPr>
          <w:sz w:val="24"/>
          <w:szCs w:val="24"/>
        </w:rPr>
        <w:t>6(</w:t>
      </w:r>
      <w:r w:rsidR="00964ACD" w:rsidRPr="00BC1613">
        <w:rPr>
          <w:sz w:val="24"/>
          <w:szCs w:val="24"/>
        </w:rPr>
        <w:t>e</w:t>
      </w:r>
      <w:r w:rsidRPr="00BC1613">
        <w:rPr>
          <w:sz w:val="24"/>
          <w:szCs w:val="24"/>
        </w:rPr>
        <w:t>)</w:t>
      </w:r>
      <w:r w:rsidRPr="00BC1613">
        <w:rPr>
          <w:sz w:val="24"/>
          <w:szCs w:val="24"/>
        </w:rPr>
        <w:tab/>
        <w:t>Bottom Line Burden Hours and Cost Tables</w:t>
      </w:r>
      <w:bookmarkEnd w:id="58"/>
      <w:bookmarkEnd w:id="59"/>
      <w:bookmarkEnd w:id="60"/>
    </w:p>
    <w:p w14:paraId="2531BBD3" w14:textId="77777777" w:rsidR="001B7421" w:rsidRPr="00BC1613" w:rsidRDefault="001B7421" w:rsidP="001B7421"/>
    <w:p w14:paraId="7FFF42A0" w14:textId="77777777" w:rsidR="001B7421" w:rsidRPr="00BC1613" w:rsidRDefault="001B7421" w:rsidP="001B7421">
      <w:pPr>
        <w:ind w:firstLine="720"/>
      </w:pPr>
      <w:r w:rsidRPr="00BC1613">
        <w:t>a.</w:t>
      </w:r>
      <w:r w:rsidRPr="00BC1613">
        <w:tab/>
        <w:t>Respondent Tally</w:t>
      </w:r>
    </w:p>
    <w:p w14:paraId="7EABDE12" w14:textId="77777777" w:rsidR="001B7421" w:rsidRPr="00BC1613" w:rsidRDefault="001B7421" w:rsidP="001B7421"/>
    <w:p w14:paraId="227352C0" w14:textId="2A57616E" w:rsidR="001B7421" w:rsidRPr="00BC1613" w:rsidRDefault="001B7421" w:rsidP="00BC1613">
      <w:pPr>
        <w:ind w:firstLine="720"/>
      </w:pPr>
      <w:r w:rsidRPr="00BC1613">
        <w:t>Exhibit 6.4 below summarizes the total annual estimated respondent burden and cost</w:t>
      </w:r>
      <w:r w:rsidR="001E25B1">
        <w:t xml:space="preserve">. </w:t>
      </w:r>
      <w:r w:rsidRPr="00BC1613">
        <w:t>These estimates represent the average burden in any given year over the three years covered by this ICR.</w:t>
      </w:r>
      <w:r w:rsidR="00964ACD" w:rsidRPr="00BC1613">
        <w:t xml:space="preserve"> However, the ten focus groups, and their respective screening calls, and the consumer online surveys will only be conducted once over the three-year period. </w:t>
      </w:r>
    </w:p>
    <w:p w14:paraId="3D3A4D1E" w14:textId="77777777" w:rsidR="001B7421" w:rsidRPr="00BC1613" w:rsidRDefault="001B7421" w:rsidP="001B7421"/>
    <w:p w14:paraId="12C9C0FC" w14:textId="6CBE35C4" w:rsidR="001B7421" w:rsidRDefault="001B7421" w:rsidP="001B7421">
      <w:pPr>
        <w:rPr>
          <w:sz w:val="22"/>
        </w:rPr>
      </w:pPr>
      <w:r w:rsidRPr="00BC1613">
        <w:rPr>
          <w:b/>
          <w:bCs/>
        </w:rPr>
        <w:t>Exhibit 6.4</w:t>
      </w:r>
      <w:r w:rsidR="001E25B1">
        <w:rPr>
          <w:b/>
          <w:bCs/>
        </w:rPr>
        <w:t xml:space="preserve">. </w:t>
      </w:r>
      <w:r w:rsidRPr="00BC1613">
        <w:rPr>
          <w:b/>
          <w:bCs/>
        </w:rPr>
        <w:t>Total Annual Estimated Respondent Burden and Cost Summary</w:t>
      </w:r>
    </w:p>
    <w:tbl>
      <w:tblPr>
        <w:tblW w:w="9468" w:type="dxa"/>
        <w:tblInd w:w="-8" w:type="dxa"/>
        <w:tblLayout w:type="fixed"/>
        <w:tblCellMar>
          <w:left w:w="100" w:type="dxa"/>
          <w:right w:w="100" w:type="dxa"/>
        </w:tblCellMar>
        <w:tblLook w:val="0000" w:firstRow="0" w:lastRow="0" w:firstColumn="0" w:lastColumn="0" w:noHBand="0" w:noVBand="0"/>
      </w:tblPr>
      <w:tblGrid>
        <w:gridCol w:w="3228"/>
        <w:gridCol w:w="3120"/>
        <w:gridCol w:w="3120"/>
      </w:tblGrid>
      <w:tr w:rsidR="001B7421" w14:paraId="3831BB9A" w14:textId="77777777" w:rsidTr="001024B8">
        <w:trPr>
          <w:cantSplit/>
        </w:trPr>
        <w:tc>
          <w:tcPr>
            <w:tcW w:w="3228" w:type="dxa"/>
            <w:tcBorders>
              <w:top w:val="single" w:sz="6" w:space="0" w:color="000000"/>
              <w:left w:val="single" w:sz="6" w:space="0" w:color="000000"/>
            </w:tcBorders>
          </w:tcPr>
          <w:p w14:paraId="60FD367F" w14:textId="77777777" w:rsidR="001B7421" w:rsidRDefault="001B7421" w:rsidP="001B7421">
            <w:pPr>
              <w:spacing w:before="100" w:after="48"/>
              <w:jc w:val="center"/>
              <w:rPr>
                <w:sz w:val="22"/>
                <w:szCs w:val="21"/>
              </w:rPr>
            </w:pPr>
            <w:r>
              <w:rPr>
                <w:b/>
                <w:bCs/>
                <w:sz w:val="22"/>
                <w:szCs w:val="21"/>
              </w:rPr>
              <w:t>Total # of Respondents</w:t>
            </w:r>
          </w:p>
        </w:tc>
        <w:tc>
          <w:tcPr>
            <w:tcW w:w="3120" w:type="dxa"/>
            <w:tcBorders>
              <w:top w:val="single" w:sz="6" w:space="0" w:color="000000"/>
              <w:left w:val="single" w:sz="6" w:space="0" w:color="000000"/>
            </w:tcBorders>
          </w:tcPr>
          <w:p w14:paraId="6D209F42" w14:textId="77777777" w:rsidR="001B7421" w:rsidRDefault="00A841C7" w:rsidP="001B7421">
            <w:pPr>
              <w:spacing w:before="100" w:after="48"/>
              <w:jc w:val="center"/>
              <w:rPr>
                <w:sz w:val="22"/>
                <w:szCs w:val="21"/>
              </w:rPr>
            </w:pPr>
            <w:r>
              <w:rPr>
                <w:b/>
                <w:bCs/>
                <w:sz w:val="22"/>
                <w:szCs w:val="21"/>
              </w:rPr>
              <w:t xml:space="preserve">Total </w:t>
            </w:r>
            <w:r w:rsidR="001B7421">
              <w:rPr>
                <w:b/>
                <w:bCs/>
                <w:sz w:val="22"/>
                <w:szCs w:val="21"/>
              </w:rPr>
              <w:t>Burden Hours</w:t>
            </w:r>
          </w:p>
        </w:tc>
        <w:tc>
          <w:tcPr>
            <w:tcW w:w="3120" w:type="dxa"/>
            <w:tcBorders>
              <w:top w:val="single" w:sz="6" w:space="0" w:color="000000"/>
              <w:left w:val="single" w:sz="6" w:space="0" w:color="000000"/>
              <w:right w:val="single" w:sz="6" w:space="0" w:color="000000"/>
            </w:tcBorders>
          </w:tcPr>
          <w:p w14:paraId="178A858A" w14:textId="77777777" w:rsidR="001B7421" w:rsidRDefault="001B7421" w:rsidP="001B7421">
            <w:pPr>
              <w:spacing w:before="100" w:after="48"/>
              <w:jc w:val="center"/>
              <w:rPr>
                <w:sz w:val="22"/>
                <w:szCs w:val="21"/>
              </w:rPr>
            </w:pPr>
            <w:r>
              <w:rPr>
                <w:b/>
                <w:bCs/>
                <w:sz w:val="22"/>
                <w:szCs w:val="21"/>
              </w:rPr>
              <w:t>Annual Cost</w:t>
            </w:r>
          </w:p>
        </w:tc>
      </w:tr>
      <w:tr w:rsidR="001B7421" w14:paraId="5CA8D856" w14:textId="77777777" w:rsidTr="001024B8">
        <w:trPr>
          <w:cantSplit/>
        </w:trPr>
        <w:tc>
          <w:tcPr>
            <w:tcW w:w="3228" w:type="dxa"/>
            <w:tcBorders>
              <w:top w:val="single" w:sz="6" w:space="0" w:color="000000"/>
              <w:left w:val="single" w:sz="6" w:space="0" w:color="000000"/>
              <w:bottom w:val="single" w:sz="6" w:space="0" w:color="000000"/>
            </w:tcBorders>
          </w:tcPr>
          <w:p w14:paraId="66F6CCD3" w14:textId="4D6C626F" w:rsidR="001B7421" w:rsidRPr="00C50047" w:rsidRDefault="000D0104" w:rsidP="001B7421">
            <w:pPr>
              <w:spacing w:before="100" w:after="48"/>
              <w:jc w:val="center"/>
              <w:rPr>
                <w:sz w:val="22"/>
                <w:szCs w:val="21"/>
              </w:rPr>
            </w:pPr>
            <w:r>
              <w:rPr>
                <w:sz w:val="22"/>
                <w:szCs w:val="21"/>
              </w:rPr>
              <w:t>6,990</w:t>
            </w:r>
          </w:p>
        </w:tc>
        <w:tc>
          <w:tcPr>
            <w:tcW w:w="3120" w:type="dxa"/>
            <w:tcBorders>
              <w:top w:val="single" w:sz="6" w:space="0" w:color="000000"/>
              <w:left w:val="single" w:sz="6" w:space="0" w:color="000000"/>
              <w:bottom w:val="single" w:sz="6" w:space="0" w:color="000000"/>
            </w:tcBorders>
          </w:tcPr>
          <w:p w14:paraId="251C983D" w14:textId="02837CF2" w:rsidR="001B7421" w:rsidRPr="00C50047" w:rsidRDefault="000D0104" w:rsidP="00A841C7">
            <w:pPr>
              <w:spacing w:before="100" w:after="48"/>
              <w:jc w:val="center"/>
              <w:rPr>
                <w:sz w:val="22"/>
                <w:szCs w:val="21"/>
              </w:rPr>
            </w:pPr>
            <w:r w:rsidRPr="000D0104">
              <w:rPr>
                <w:sz w:val="22"/>
                <w:szCs w:val="21"/>
              </w:rPr>
              <w:t>2,330</w:t>
            </w:r>
          </w:p>
        </w:tc>
        <w:tc>
          <w:tcPr>
            <w:tcW w:w="3120" w:type="dxa"/>
            <w:tcBorders>
              <w:top w:val="single" w:sz="6" w:space="0" w:color="000000"/>
              <w:left w:val="single" w:sz="6" w:space="0" w:color="000000"/>
              <w:bottom w:val="single" w:sz="6" w:space="0" w:color="000000"/>
              <w:right w:val="single" w:sz="6" w:space="0" w:color="000000"/>
            </w:tcBorders>
          </w:tcPr>
          <w:p w14:paraId="550930FA" w14:textId="77777777" w:rsidR="001B7421" w:rsidRPr="00C50047" w:rsidRDefault="00D1678E" w:rsidP="00964ACD">
            <w:pPr>
              <w:spacing w:before="100" w:after="48"/>
              <w:jc w:val="center"/>
              <w:rPr>
                <w:sz w:val="22"/>
                <w:szCs w:val="22"/>
              </w:rPr>
            </w:pPr>
            <w:r>
              <w:rPr>
                <w:bCs/>
                <w:sz w:val="22"/>
                <w:szCs w:val="22"/>
              </w:rPr>
              <w:t>$29,513</w:t>
            </w:r>
          </w:p>
        </w:tc>
      </w:tr>
    </w:tbl>
    <w:p w14:paraId="54803C33" w14:textId="77777777" w:rsidR="001B7421" w:rsidRDefault="001B7421" w:rsidP="001B7421">
      <w:pPr>
        <w:rPr>
          <w:sz w:val="22"/>
        </w:rPr>
      </w:pPr>
    </w:p>
    <w:p w14:paraId="56924C04" w14:textId="77777777" w:rsidR="001B7421" w:rsidRPr="00BC1613" w:rsidRDefault="001B7421" w:rsidP="001B7421">
      <w:pPr>
        <w:ind w:firstLine="720"/>
      </w:pPr>
      <w:r w:rsidRPr="00BC1613">
        <w:t>b.</w:t>
      </w:r>
      <w:r w:rsidRPr="00BC1613">
        <w:tab/>
        <w:t>Agency Tally</w:t>
      </w:r>
    </w:p>
    <w:p w14:paraId="457B06FA" w14:textId="77777777" w:rsidR="001B7421" w:rsidRPr="00BC1613" w:rsidRDefault="001B7421" w:rsidP="001B7421"/>
    <w:p w14:paraId="1BC77047" w14:textId="77777777" w:rsidR="001B7421" w:rsidRPr="00BC1613" w:rsidRDefault="001B7421" w:rsidP="00BC1613">
      <w:pPr>
        <w:ind w:firstLine="720"/>
      </w:pPr>
      <w:r w:rsidRPr="00BC1613">
        <w:t xml:space="preserve">Exhibit 6.5 below summarizes the total annual estimated </w:t>
      </w:r>
      <w:r w:rsidR="005747A5" w:rsidRPr="00BC1613">
        <w:t>A</w:t>
      </w:r>
      <w:r w:rsidRPr="00BC1613">
        <w:t>gency burden and cost</w:t>
      </w:r>
      <w:r w:rsidR="005747A5" w:rsidRPr="00BC1613">
        <w:t xml:space="preserve"> (including contractor cost)</w:t>
      </w:r>
      <w:r w:rsidRPr="00BC1613">
        <w:t>. These estimates represent the average burden in any given year over the three years covered by this ICR.</w:t>
      </w:r>
      <w:r w:rsidR="005747A5" w:rsidRPr="00BC1613">
        <w:t xml:space="preserve"> However, the ten focus groups, their respective screening calls, and the consumer online surveys will only be conducted once over the three-year period.</w:t>
      </w:r>
    </w:p>
    <w:p w14:paraId="4D2B03E5" w14:textId="77777777" w:rsidR="001B7421" w:rsidRDefault="001B7421" w:rsidP="001B7421">
      <w:pPr>
        <w:rPr>
          <w:sz w:val="22"/>
        </w:rPr>
      </w:pPr>
      <w:r>
        <w:rPr>
          <w:sz w:val="22"/>
        </w:rPr>
        <w:tab/>
      </w:r>
      <w:r>
        <w:rPr>
          <w:sz w:val="22"/>
        </w:rPr>
        <w:tab/>
      </w:r>
      <w:r>
        <w:rPr>
          <w:sz w:val="22"/>
        </w:rPr>
        <w:tab/>
      </w:r>
      <w:r>
        <w:rPr>
          <w:sz w:val="22"/>
        </w:rPr>
        <w:tab/>
      </w:r>
      <w:r>
        <w:rPr>
          <w:sz w:val="22"/>
        </w:rPr>
        <w:tab/>
      </w:r>
      <w:r>
        <w:rPr>
          <w:sz w:val="22"/>
        </w:rPr>
        <w:tab/>
      </w:r>
      <w:r>
        <w:rPr>
          <w:sz w:val="22"/>
        </w:rPr>
        <w:tab/>
      </w:r>
    </w:p>
    <w:p w14:paraId="141595F9" w14:textId="1CA08CB4" w:rsidR="001B7421" w:rsidRDefault="001B7421" w:rsidP="001B7421">
      <w:pPr>
        <w:rPr>
          <w:sz w:val="22"/>
        </w:rPr>
      </w:pPr>
      <w:r w:rsidRPr="00BC1613">
        <w:rPr>
          <w:b/>
          <w:bCs/>
        </w:rPr>
        <w:t>Exhibit 6.5</w:t>
      </w:r>
      <w:r w:rsidR="001E25B1">
        <w:rPr>
          <w:b/>
          <w:bCs/>
        </w:rPr>
        <w:t xml:space="preserve">. </w:t>
      </w:r>
      <w:r w:rsidRPr="00BC1613">
        <w:rPr>
          <w:b/>
          <w:bCs/>
        </w:rPr>
        <w:t>Total Annual Estimated Agency Burden and Cost Summary</w:t>
      </w:r>
    </w:p>
    <w:tbl>
      <w:tblPr>
        <w:tblW w:w="9468" w:type="dxa"/>
        <w:tblInd w:w="-8" w:type="dxa"/>
        <w:tblLayout w:type="fixed"/>
        <w:tblCellMar>
          <w:left w:w="100" w:type="dxa"/>
          <w:right w:w="100" w:type="dxa"/>
        </w:tblCellMar>
        <w:tblLook w:val="0000" w:firstRow="0" w:lastRow="0" w:firstColumn="0" w:lastColumn="0" w:noHBand="0" w:noVBand="0"/>
      </w:tblPr>
      <w:tblGrid>
        <w:gridCol w:w="4788"/>
        <w:gridCol w:w="4680"/>
      </w:tblGrid>
      <w:tr w:rsidR="001B7421" w14:paraId="23749919" w14:textId="77777777" w:rsidTr="008C4D25">
        <w:trPr>
          <w:cantSplit/>
        </w:trPr>
        <w:tc>
          <w:tcPr>
            <w:tcW w:w="4788" w:type="dxa"/>
            <w:tcBorders>
              <w:top w:val="single" w:sz="6" w:space="0" w:color="000000"/>
              <w:left w:val="single" w:sz="6" w:space="0" w:color="000000"/>
            </w:tcBorders>
          </w:tcPr>
          <w:p w14:paraId="1B272ED3" w14:textId="77777777" w:rsidR="001B7421" w:rsidRDefault="001B7421" w:rsidP="001B7421">
            <w:pPr>
              <w:spacing w:before="100" w:after="48"/>
              <w:jc w:val="center"/>
              <w:rPr>
                <w:sz w:val="22"/>
                <w:szCs w:val="21"/>
              </w:rPr>
            </w:pPr>
            <w:r>
              <w:rPr>
                <w:b/>
                <w:bCs/>
                <w:sz w:val="22"/>
                <w:szCs w:val="21"/>
              </w:rPr>
              <w:t>Burden Hours</w:t>
            </w:r>
          </w:p>
        </w:tc>
        <w:tc>
          <w:tcPr>
            <w:tcW w:w="4680" w:type="dxa"/>
            <w:tcBorders>
              <w:top w:val="single" w:sz="6" w:space="0" w:color="000000"/>
              <w:left w:val="single" w:sz="6" w:space="0" w:color="000000"/>
              <w:right w:val="single" w:sz="6" w:space="0" w:color="000000"/>
            </w:tcBorders>
          </w:tcPr>
          <w:p w14:paraId="493C256D" w14:textId="77777777" w:rsidR="001B7421" w:rsidRDefault="001B7421" w:rsidP="001B7421">
            <w:pPr>
              <w:spacing w:before="100" w:after="48"/>
              <w:jc w:val="center"/>
              <w:rPr>
                <w:sz w:val="22"/>
                <w:szCs w:val="21"/>
              </w:rPr>
            </w:pPr>
            <w:r>
              <w:rPr>
                <w:b/>
                <w:bCs/>
                <w:sz w:val="22"/>
                <w:szCs w:val="21"/>
              </w:rPr>
              <w:t>Annual Cost</w:t>
            </w:r>
          </w:p>
        </w:tc>
      </w:tr>
      <w:tr w:rsidR="001B7421" w14:paraId="5DE529EA" w14:textId="77777777" w:rsidTr="008C4D25">
        <w:trPr>
          <w:cantSplit/>
        </w:trPr>
        <w:tc>
          <w:tcPr>
            <w:tcW w:w="4788" w:type="dxa"/>
            <w:tcBorders>
              <w:top w:val="single" w:sz="6" w:space="0" w:color="000000"/>
              <w:left w:val="single" w:sz="6" w:space="0" w:color="000000"/>
              <w:bottom w:val="single" w:sz="6" w:space="0" w:color="000000"/>
            </w:tcBorders>
          </w:tcPr>
          <w:p w14:paraId="4B220708" w14:textId="77777777" w:rsidR="001B7421" w:rsidRPr="00390692" w:rsidRDefault="00D1678E" w:rsidP="001B7421">
            <w:pPr>
              <w:spacing w:before="100" w:after="48"/>
              <w:jc w:val="center"/>
              <w:rPr>
                <w:sz w:val="22"/>
                <w:szCs w:val="21"/>
              </w:rPr>
            </w:pPr>
            <w:r>
              <w:rPr>
                <w:sz w:val="22"/>
                <w:szCs w:val="21"/>
              </w:rPr>
              <w:t>15</w:t>
            </w:r>
          </w:p>
        </w:tc>
        <w:tc>
          <w:tcPr>
            <w:tcW w:w="4680" w:type="dxa"/>
            <w:tcBorders>
              <w:top w:val="single" w:sz="6" w:space="0" w:color="000000"/>
              <w:left w:val="single" w:sz="6" w:space="0" w:color="000000"/>
              <w:bottom w:val="single" w:sz="6" w:space="0" w:color="000000"/>
              <w:right w:val="single" w:sz="6" w:space="0" w:color="000000"/>
            </w:tcBorders>
          </w:tcPr>
          <w:p w14:paraId="7374AB86" w14:textId="77777777" w:rsidR="001B7421" w:rsidRPr="00390692" w:rsidRDefault="001B7421" w:rsidP="00D1678E">
            <w:pPr>
              <w:spacing w:before="100" w:after="48"/>
              <w:jc w:val="center"/>
              <w:rPr>
                <w:sz w:val="22"/>
                <w:szCs w:val="21"/>
              </w:rPr>
            </w:pPr>
            <w:r w:rsidRPr="00390692">
              <w:rPr>
                <w:sz w:val="22"/>
                <w:szCs w:val="21"/>
              </w:rPr>
              <w:t>$</w:t>
            </w:r>
            <w:r w:rsidR="00D1678E">
              <w:rPr>
                <w:sz w:val="22"/>
                <w:szCs w:val="21"/>
              </w:rPr>
              <w:t>20,740</w:t>
            </w:r>
          </w:p>
        </w:tc>
      </w:tr>
    </w:tbl>
    <w:p w14:paraId="3B85E820" w14:textId="77777777" w:rsidR="001B7421" w:rsidRDefault="001B7421" w:rsidP="001B7421">
      <w:pPr>
        <w:rPr>
          <w:sz w:val="22"/>
        </w:rPr>
      </w:pPr>
    </w:p>
    <w:p w14:paraId="1B26DF9B" w14:textId="77777777" w:rsidR="001B7421" w:rsidRPr="00BC1613" w:rsidRDefault="001B7421" w:rsidP="001B7421">
      <w:pPr>
        <w:pStyle w:val="Heading2"/>
        <w:jc w:val="left"/>
        <w:rPr>
          <w:sz w:val="24"/>
          <w:szCs w:val="24"/>
        </w:rPr>
      </w:pPr>
      <w:r>
        <w:tab/>
      </w:r>
      <w:bookmarkStart w:id="61" w:name="_Toc160347334"/>
      <w:bookmarkStart w:id="62" w:name="_Toc227390396"/>
      <w:bookmarkStart w:id="63" w:name="_Toc453944866"/>
      <w:r w:rsidRPr="00BC1613">
        <w:rPr>
          <w:sz w:val="24"/>
          <w:szCs w:val="24"/>
        </w:rPr>
        <w:t>6(</w:t>
      </w:r>
      <w:r w:rsidR="00964ACD" w:rsidRPr="00BC1613">
        <w:rPr>
          <w:sz w:val="24"/>
          <w:szCs w:val="24"/>
        </w:rPr>
        <w:t>f</w:t>
      </w:r>
      <w:r w:rsidRPr="00BC1613">
        <w:rPr>
          <w:sz w:val="24"/>
          <w:szCs w:val="24"/>
        </w:rPr>
        <w:t>)</w:t>
      </w:r>
      <w:r w:rsidRPr="00BC1613">
        <w:rPr>
          <w:sz w:val="24"/>
          <w:szCs w:val="24"/>
        </w:rPr>
        <w:tab/>
      </w:r>
      <w:r w:rsidRPr="00D60B17">
        <w:rPr>
          <w:sz w:val="24"/>
          <w:szCs w:val="24"/>
        </w:rPr>
        <w:t>Reasons for Change in Burden</w:t>
      </w:r>
      <w:bookmarkEnd w:id="61"/>
      <w:bookmarkEnd w:id="62"/>
      <w:bookmarkEnd w:id="63"/>
    </w:p>
    <w:p w14:paraId="3D5CF7D4" w14:textId="77777777" w:rsidR="001B7421" w:rsidRPr="00BC1613" w:rsidRDefault="001B7421" w:rsidP="001B7421"/>
    <w:p w14:paraId="52947057" w14:textId="45B1BC90" w:rsidR="00D05C52" w:rsidRPr="00BC1613" w:rsidRDefault="00D05C52" w:rsidP="00D05C52">
      <w:pPr>
        <w:ind w:firstLine="720"/>
      </w:pPr>
      <w:r>
        <w:t>There is a</w:t>
      </w:r>
      <w:r w:rsidR="000D0104">
        <w:t>n</w:t>
      </w:r>
      <w:r>
        <w:t xml:space="preserve"> </w:t>
      </w:r>
      <w:r w:rsidR="000D0104">
        <w:t>in</w:t>
      </w:r>
      <w:r>
        <w:t xml:space="preserve">crease of </w:t>
      </w:r>
      <w:r w:rsidR="000D0104">
        <w:t>333</w:t>
      </w:r>
      <w:r>
        <w:t xml:space="preserve"> hours in the estimate of respondent burden hours compared with that identified in the information collection most recently approved by OMB (</w:t>
      </w:r>
      <w:r w:rsidRPr="00D60B17">
        <w:t xml:space="preserve">from </w:t>
      </w:r>
      <w:r w:rsidR="00D60B17" w:rsidRPr="00D60B17">
        <w:t>1,997</w:t>
      </w:r>
      <w:r w:rsidRPr="00D60B17">
        <w:t xml:space="preserve"> hours to </w:t>
      </w:r>
      <w:r w:rsidR="000D0104" w:rsidRPr="000D0104">
        <w:t>2,330</w:t>
      </w:r>
      <w:r w:rsidR="000D0104">
        <w:t xml:space="preserve"> </w:t>
      </w:r>
      <w:r w:rsidRPr="00D60B17">
        <w:t>hours</w:t>
      </w:r>
      <w:r>
        <w:t>)</w:t>
      </w:r>
      <w:r w:rsidR="001E25B1">
        <w:t xml:space="preserve">. </w:t>
      </w:r>
      <w:r>
        <w:t xml:space="preserve">This </w:t>
      </w:r>
      <w:r w:rsidR="000D0104">
        <w:t>in</w:t>
      </w:r>
      <w:r>
        <w:t xml:space="preserve">crease reflects </w:t>
      </w:r>
      <w:r w:rsidR="000D0104" w:rsidRPr="000D0104">
        <w:t>an increase in per-response burden estimates for completing the consumer online survey based on experience from the previous ICR</w:t>
      </w:r>
      <w:r w:rsidR="00D60B17" w:rsidRPr="00D60B17">
        <w:t xml:space="preserve">. </w:t>
      </w:r>
      <w:r w:rsidR="00435293">
        <w:t xml:space="preserve"> However, there was an overall decrease in the number of response</w:t>
      </w:r>
      <w:r w:rsidR="00CC07AD">
        <w:t>s</w:t>
      </w:r>
      <w:r w:rsidR="000D0104" w:rsidRPr="00D60B17">
        <w:t xml:space="preserve"> because EPA will conduct fewer consumer online surveys (three versus four surveys over the course of three years)</w:t>
      </w:r>
      <w:r w:rsidRPr="00D05C52">
        <w:t xml:space="preserve">. </w:t>
      </w:r>
      <w:r w:rsidR="00435293">
        <w:t xml:space="preserve">The overall result was an increase in the burden hours and a decrease in the number of respondents. </w:t>
      </w:r>
    </w:p>
    <w:p w14:paraId="3263E16A" w14:textId="77777777" w:rsidR="001B7421" w:rsidRPr="00BC1613" w:rsidRDefault="001B7421" w:rsidP="001B7421"/>
    <w:p w14:paraId="3CCB6A96" w14:textId="77777777" w:rsidR="001B7421" w:rsidRPr="00BC1613" w:rsidRDefault="001B7421" w:rsidP="003A2C70">
      <w:pPr>
        <w:pStyle w:val="Heading2"/>
        <w:jc w:val="left"/>
        <w:rPr>
          <w:sz w:val="24"/>
          <w:szCs w:val="24"/>
        </w:rPr>
      </w:pPr>
      <w:r w:rsidRPr="00BC1613">
        <w:rPr>
          <w:sz w:val="24"/>
          <w:szCs w:val="24"/>
        </w:rPr>
        <w:tab/>
      </w:r>
      <w:bookmarkStart w:id="64" w:name="_Toc160347335"/>
      <w:bookmarkStart w:id="65" w:name="_Toc227390397"/>
      <w:bookmarkStart w:id="66" w:name="_Toc453944867"/>
      <w:r w:rsidRPr="00BC1613">
        <w:rPr>
          <w:sz w:val="24"/>
          <w:szCs w:val="24"/>
        </w:rPr>
        <w:t>6(</w:t>
      </w:r>
      <w:r w:rsidR="00964ACD" w:rsidRPr="00BC1613">
        <w:rPr>
          <w:sz w:val="24"/>
          <w:szCs w:val="24"/>
        </w:rPr>
        <w:t>g</w:t>
      </w:r>
      <w:r w:rsidRPr="00BC1613">
        <w:rPr>
          <w:sz w:val="24"/>
          <w:szCs w:val="24"/>
        </w:rPr>
        <w:t>)</w:t>
      </w:r>
      <w:r w:rsidRPr="00BC1613">
        <w:rPr>
          <w:sz w:val="24"/>
          <w:szCs w:val="24"/>
        </w:rPr>
        <w:tab/>
        <w:t>Burden Statement</w:t>
      </w:r>
      <w:bookmarkEnd w:id="64"/>
      <w:bookmarkEnd w:id="65"/>
      <w:bookmarkEnd w:id="66"/>
    </w:p>
    <w:p w14:paraId="62C4D67B" w14:textId="77777777" w:rsidR="001B7421" w:rsidRPr="00BC1613" w:rsidRDefault="001B7421" w:rsidP="00980EF5">
      <w:pPr>
        <w:keepNext/>
      </w:pPr>
    </w:p>
    <w:p w14:paraId="34650C4B" w14:textId="32DD128D" w:rsidR="001B7421" w:rsidRPr="00BC1613" w:rsidRDefault="001B7421" w:rsidP="00BC1613">
      <w:pPr>
        <w:ind w:firstLine="720"/>
      </w:pPr>
      <w:r w:rsidRPr="00BC1613">
        <w:t>The annual public burden for this collection of information</w:t>
      </w:r>
      <w:r w:rsidR="006140DB">
        <w:t xml:space="preserve">, </w:t>
      </w:r>
      <w:r w:rsidR="006140DB" w:rsidRPr="006140DB">
        <w:t>which is approved under OMB Control No. 2070-0</w:t>
      </w:r>
      <w:r w:rsidR="006140DB">
        <w:t>189</w:t>
      </w:r>
      <w:r w:rsidR="006140DB" w:rsidRPr="006140DB">
        <w:t xml:space="preserve">, </w:t>
      </w:r>
      <w:r w:rsidRPr="00BC1613">
        <w:t xml:space="preserve">is estimated </w:t>
      </w:r>
      <w:r w:rsidR="006140DB">
        <w:t>to range between</w:t>
      </w:r>
      <w:r w:rsidRPr="00BC1613">
        <w:t xml:space="preserve"> </w:t>
      </w:r>
      <w:r w:rsidR="005747A5" w:rsidRPr="00BC1613">
        <w:t xml:space="preserve">0.17 hours </w:t>
      </w:r>
      <w:r w:rsidR="006140DB">
        <w:t xml:space="preserve">and 2.0 hours </w:t>
      </w:r>
      <w:r w:rsidR="005747A5" w:rsidRPr="00BC1613">
        <w:t xml:space="preserve">per response </w:t>
      </w:r>
      <w:r w:rsidR="006140DB">
        <w:t>depending upon the nature of the respondent.</w:t>
      </w:r>
      <w:r w:rsidR="005747A5" w:rsidRPr="00BC1613">
        <w:t xml:space="preserve"> </w:t>
      </w:r>
      <w:r w:rsidR="00801580" w:rsidRPr="00801580">
        <w:t xml:space="preserve">Burden </w:t>
      </w:r>
      <w:r w:rsidR="00801580">
        <w:t xml:space="preserve">is defined in 5 CFR 1320.3(b). </w:t>
      </w:r>
      <w:r w:rsidR="00801580" w:rsidRPr="00801580">
        <w:t>An agency may not conduct or sponsor, and a person is not required to respond to a collection of information unless it displays a current and valid OMB control number. The OMB control numbers for EPA’s regulations in title 40 of the CFR, after appearing in the Federal Register, are listed in 40 CFR part 9 and included on the related collection instrument or form, if applicable.</w:t>
      </w:r>
    </w:p>
    <w:p w14:paraId="23956A65" w14:textId="77777777" w:rsidR="001B7421" w:rsidRPr="00BC1613" w:rsidRDefault="001B7421" w:rsidP="001B7421"/>
    <w:p w14:paraId="361F73AB" w14:textId="11D4292C" w:rsidR="001B7421" w:rsidRPr="00BC1613" w:rsidRDefault="001B7421" w:rsidP="00BC1613">
      <w:pPr>
        <w:ind w:firstLine="720"/>
      </w:pPr>
      <w:r w:rsidRPr="00BC1613">
        <w:t>The Agency has established a public docket for this ICR under Docket ID No. EPA–HQ–OPPT–20</w:t>
      </w:r>
      <w:r w:rsidR="00BC1613" w:rsidRPr="00BC1613">
        <w:t>16</w:t>
      </w:r>
      <w:r w:rsidRPr="00BC1613">
        <w:t>–0</w:t>
      </w:r>
      <w:r w:rsidR="00BC1613" w:rsidRPr="00BC1613">
        <w:t>111</w:t>
      </w:r>
      <w:r w:rsidRPr="00BC1613">
        <w:t xml:space="preserve">, </w:t>
      </w:r>
      <w:r w:rsidR="00801580" w:rsidRPr="00801580">
        <w:t xml:space="preserve">which is available for online viewing at </w:t>
      </w:r>
      <w:hyperlink r:id="rId9" w:history="1">
        <w:r w:rsidR="006140DB" w:rsidRPr="005064B7">
          <w:rPr>
            <w:rStyle w:val="Hyperlink"/>
          </w:rPr>
          <w:t>http://www.regulations.gov</w:t>
        </w:r>
      </w:hyperlink>
      <w:r w:rsidR="006140DB">
        <w:t xml:space="preserve">, </w:t>
      </w:r>
      <w:r w:rsidR="00801580" w:rsidRPr="00801580">
        <w:t>or in person viewing at the EPA Docket Center (EPA/DC), EPA West, Room 3334, 1301 Constitution Ave., NW, Washington, DC</w:t>
      </w:r>
      <w:r w:rsidR="001E25B1">
        <w:t xml:space="preserve">. </w:t>
      </w:r>
      <w:r w:rsidR="00801580" w:rsidRPr="00801580">
        <w:t>The EPA Docket Center Public Reading Room is open from 8:30 a.m. to 4:30 p.m., Monday through Fri</w:t>
      </w:r>
      <w:r w:rsidR="00801580">
        <w:t xml:space="preserve">day, excluding legal holidays. </w:t>
      </w:r>
      <w:r w:rsidR="00801580" w:rsidRPr="00801580">
        <w:t>The telephone number for the Reading Room is (202) 566-1744, and the telephone number for the Pollution Prevention and To</w:t>
      </w:r>
      <w:r w:rsidR="00801580">
        <w:t xml:space="preserve">xics Docket is (202) 566-0280. </w:t>
      </w:r>
      <w:r w:rsidR="00801580" w:rsidRPr="00801580">
        <w:t>You may submit comments regarding the Agency's need for this information, the accuracy of the provided burden estimates and any suggested methods for minimizing respondent burden, including the use of automated collection techniques.</w:t>
      </w:r>
    </w:p>
    <w:p w14:paraId="6FA52BD4" w14:textId="77777777" w:rsidR="001B7421" w:rsidRPr="00BC1613" w:rsidRDefault="001B7421" w:rsidP="001B7421">
      <w:pPr>
        <w:ind w:firstLine="720"/>
      </w:pPr>
    </w:p>
    <w:p w14:paraId="3FE07E56" w14:textId="77777777" w:rsidR="00801580" w:rsidRDefault="00801580" w:rsidP="00801580">
      <w:pPr>
        <w:ind w:firstLine="720"/>
      </w:pPr>
      <w:r w:rsidRPr="00801580">
        <w:t>You may submit comments regarding the Agency's need for this information, the accuracy of the provided burden estimates and any suggested methods for minimizing respondent burden, including the use of automated collection techniques. Submit your comments, referencing</w:t>
      </w:r>
      <w:r>
        <w:t xml:space="preserve"> </w:t>
      </w:r>
      <w:r w:rsidR="001B7421" w:rsidRPr="00BC1613">
        <w:t>Docket ID No. EPA–HQ–OPPT–20</w:t>
      </w:r>
      <w:r>
        <w:t>16</w:t>
      </w:r>
      <w:r w:rsidR="001B7421" w:rsidRPr="00BC1613">
        <w:t>–0</w:t>
      </w:r>
      <w:r>
        <w:t>111</w:t>
      </w:r>
      <w:r w:rsidR="001B7421" w:rsidRPr="00BC1613">
        <w:t xml:space="preserve"> and OMB Control No. 2070-</w:t>
      </w:r>
      <w:r>
        <w:t>0189</w:t>
      </w:r>
      <w:r w:rsidR="001B7421" w:rsidRPr="00BC1613">
        <w:t xml:space="preserve">, </w:t>
      </w:r>
      <w:r>
        <w:t>to both EPA and OMB as follows:</w:t>
      </w:r>
    </w:p>
    <w:p w14:paraId="225B8050" w14:textId="77777777" w:rsidR="00801580" w:rsidRDefault="00801580" w:rsidP="00801580">
      <w:pPr>
        <w:ind w:firstLine="720"/>
      </w:pPr>
    </w:p>
    <w:p w14:paraId="2B563316" w14:textId="36C14B2F" w:rsidR="00801580" w:rsidRDefault="00801580" w:rsidP="00801580">
      <w:pPr>
        <w:ind w:firstLine="720"/>
      </w:pPr>
      <w:r>
        <w:t xml:space="preserve">- To EPA online using </w:t>
      </w:r>
      <w:hyperlink r:id="rId10" w:history="1">
        <w:r w:rsidRPr="005064B7">
          <w:rPr>
            <w:rStyle w:val="Hyperlink"/>
          </w:rPr>
          <w:t>http://www.regulations.gov</w:t>
        </w:r>
      </w:hyperlink>
      <w:r>
        <w:t xml:space="preserve"> (our preferred method), or by mail to: Pollution Prevention and Toxics Docket, Environmental Protection Agency Docket Center (EPA/DC), Mailcode: 28221T, 1200 Pennsylvania Ave., NW., Washington, DC 20460, and </w:t>
      </w:r>
    </w:p>
    <w:p w14:paraId="24F2AB69" w14:textId="77777777" w:rsidR="00801580" w:rsidRDefault="00801580" w:rsidP="00801580">
      <w:pPr>
        <w:ind w:firstLine="720"/>
      </w:pPr>
    </w:p>
    <w:p w14:paraId="2E8F5383" w14:textId="647284BB" w:rsidR="001B7421" w:rsidRPr="00A81CEB" w:rsidRDefault="00801580" w:rsidP="00801580">
      <w:pPr>
        <w:ind w:firstLine="720"/>
        <w:rPr>
          <w:sz w:val="22"/>
          <w:szCs w:val="22"/>
        </w:rPr>
      </w:pPr>
      <w:r>
        <w:t xml:space="preserve">- To OMB by e-mail to: </w:t>
      </w:r>
      <w:hyperlink r:id="rId11" w:history="1">
        <w:r w:rsidRPr="005064B7">
          <w:rPr>
            <w:rStyle w:val="Hyperlink"/>
          </w:rPr>
          <w:t>oira_submission@omb.eop.gov</w:t>
        </w:r>
      </w:hyperlink>
      <w:r>
        <w:t>. Address comments to OMB Desk Officer for EPA.</w:t>
      </w:r>
    </w:p>
    <w:p w14:paraId="4B8386DB" w14:textId="77777777" w:rsidR="001B7421" w:rsidRPr="008E3495" w:rsidRDefault="00ED2B4B">
      <w:pPr>
        <w:rPr>
          <w:sz w:val="22"/>
          <w:szCs w:val="22"/>
        </w:rPr>
      </w:pPr>
      <w:r>
        <w:rPr>
          <w:sz w:val="22"/>
          <w:szCs w:val="22"/>
        </w:rPr>
        <w:br w:type="page"/>
      </w:r>
    </w:p>
    <w:p w14:paraId="0FD9573A" w14:textId="77777777" w:rsidR="001B7421" w:rsidRPr="009C3E4D" w:rsidRDefault="001B7421" w:rsidP="001B7421">
      <w:pPr>
        <w:jc w:val="center"/>
        <w:rPr>
          <w:b/>
        </w:rPr>
      </w:pPr>
      <w:r w:rsidRPr="009C3E4D">
        <w:rPr>
          <w:b/>
        </w:rPr>
        <w:t>ATTACHMENTS TO THE SUPPORTING STATEMENT</w:t>
      </w:r>
    </w:p>
    <w:p w14:paraId="1FF4137B" w14:textId="77777777" w:rsidR="001B7421" w:rsidRPr="009C3E4D" w:rsidRDefault="001B7421" w:rsidP="001B7421"/>
    <w:p w14:paraId="719C0D21" w14:textId="347FBDE9" w:rsidR="001B7421" w:rsidRPr="00C6296E" w:rsidRDefault="001B7421" w:rsidP="009C3E4D">
      <w:pPr>
        <w:ind w:firstLine="720"/>
        <w:rPr>
          <w:sz w:val="22"/>
          <w:szCs w:val="22"/>
        </w:rPr>
      </w:pPr>
      <w:r w:rsidRPr="009C3E4D">
        <w:t>Attachments to the supporting statement are available in the public docket established for this ICR under docket identification number EPA–HQ–OPPT–20</w:t>
      </w:r>
      <w:r w:rsidR="00C0153B">
        <w:t>16</w:t>
      </w:r>
      <w:r w:rsidRPr="009C3E4D">
        <w:t>–0</w:t>
      </w:r>
      <w:r w:rsidR="00C0153B">
        <w:t>111</w:t>
      </w:r>
      <w:r w:rsidR="001E25B1">
        <w:t xml:space="preserve">. </w:t>
      </w:r>
      <w:r w:rsidRPr="009C3E4D">
        <w:t xml:space="preserve">These attachments are available for online viewing at </w:t>
      </w:r>
      <w:hyperlink r:id="rId12" w:history="1">
        <w:r w:rsidR="006140DB" w:rsidRPr="005064B7">
          <w:rPr>
            <w:rStyle w:val="Hyperlink"/>
          </w:rPr>
          <w:t>http://www.regulations.gov</w:t>
        </w:r>
      </w:hyperlink>
      <w:r w:rsidR="006140DB">
        <w:t xml:space="preserve"> </w:t>
      </w:r>
      <w:r w:rsidRPr="009C3E4D">
        <w:t xml:space="preserve">or otherwise accessed as described in section 6(g) of the </w:t>
      </w:r>
      <w:r w:rsidR="006140DB">
        <w:t>Supporting S</w:t>
      </w:r>
      <w:r w:rsidRPr="009C3E4D">
        <w:t>tatement.</w:t>
      </w:r>
    </w:p>
    <w:p w14:paraId="0AB094B7" w14:textId="7D415481" w:rsidR="001B7421" w:rsidRPr="00C6296E" w:rsidRDefault="001B7421" w:rsidP="001B7421">
      <w:r w:rsidRPr="00C6296E">
        <w:rPr>
          <w:lang w:val="en-CA"/>
        </w:rPr>
        <w:fldChar w:fldCharType="begin"/>
      </w:r>
      <w:r w:rsidRPr="00C6296E">
        <w:rPr>
          <w:lang w:val="en-CA"/>
        </w:rPr>
        <w:instrText xml:space="preserve"> SEQ CHAPTER \h \r 1</w:instrText>
      </w:r>
      <w:r w:rsidRPr="00C6296E">
        <w:rPr>
          <w:lang w:val="en-CA"/>
        </w:rPr>
        <w:fldChar w:fldCharType="end"/>
      </w:r>
    </w:p>
    <w:p w14:paraId="0D8A2AE8" w14:textId="1E03F973" w:rsidR="003A2C70" w:rsidRDefault="009C3E4D" w:rsidP="004731F0">
      <w:pPr>
        <w:pStyle w:val="NoSpacing"/>
        <w:rPr>
          <w:rStyle w:val="Hyperlink"/>
          <w:rFonts w:ascii="Times New Roman" w:hAnsi="Times New Roman"/>
          <w:sz w:val="24"/>
          <w:szCs w:val="24"/>
          <w:u w:val="none"/>
        </w:rPr>
      </w:pPr>
      <w:r w:rsidRPr="009C3E4D">
        <w:rPr>
          <w:rFonts w:ascii="Times New Roman" w:hAnsi="Times New Roman"/>
          <w:b/>
          <w:sz w:val="24"/>
          <w:szCs w:val="24"/>
          <w:lang w:val="en-CA"/>
        </w:rPr>
        <w:t>Attachment A:</w:t>
      </w:r>
      <w:r w:rsidRPr="009C3E4D">
        <w:rPr>
          <w:rFonts w:ascii="Times New Roman" w:hAnsi="Times New Roman"/>
          <w:sz w:val="24"/>
          <w:szCs w:val="24"/>
          <w:lang w:val="en-CA"/>
        </w:rPr>
        <w:tab/>
      </w:r>
      <w:r w:rsidRPr="009C3E4D">
        <w:rPr>
          <w:rFonts w:ascii="Times New Roman" w:hAnsi="Times New Roman"/>
          <w:b/>
          <w:sz w:val="24"/>
          <w:szCs w:val="24"/>
        </w:rPr>
        <w:t>42 USC 13103 - Pollution Prevention Act Section 6604</w:t>
      </w:r>
      <w:r w:rsidRPr="009C3E4D">
        <w:rPr>
          <w:rFonts w:ascii="Times New Roman" w:hAnsi="Times New Roman"/>
          <w:sz w:val="24"/>
          <w:szCs w:val="24"/>
        </w:rPr>
        <w:t>.</w:t>
      </w:r>
    </w:p>
    <w:p w14:paraId="2DD2D8C7" w14:textId="77777777" w:rsidR="009C3E4D" w:rsidRDefault="009C3E4D" w:rsidP="009C3E4D">
      <w:pPr>
        <w:pStyle w:val="NoSpacing"/>
        <w:rPr>
          <w:rStyle w:val="Hyperlink"/>
          <w:rFonts w:ascii="Times New Roman" w:hAnsi="Times New Roman"/>
          <w:sz w:val="24"/>
          <w:szCs w:val="24"/>
          <w:u w:val="none"/>
        </w:rPr>
      </w:pPr>
    </w:p>
    <w:p w14:paraId="3921D7A8" w14:textId="77777777" w:rsidR="009C3E4D" w:rsidRDefault="009C3E4D" w:rsidP="009C3E4D">
      <w:pPr>
        <w:rPr>
          <w:b/>
          <w:lang w:val="en-CA"/>
        </w:rPr>
      </w:pPr>
      <w:r>
        <w:rPr>
          <w:b/>
          <w:lang w:val="en-CA"/>
        </w:rPr>
        <w:t>Attachment B:</w:t>
      </w:r>
      <w:r>
        <w:rPr>
          <w:b/>
          <w:lang w:val="en-CA"/>
        </w:rPr>
        <w:tab/>
      </w:r>
      <w:r>
        <w:rPr>
          <w:b/>
          <w:sz w:val="22"/>
          <w:szCs w:val="22"/>
        </w:rPr>
        <w:t>Screening Questionnaire for General Adult Consumer Focus Group</w:t>
      </w:r>
      <w:r w:rsidDel="005747A5">
        <w:rPr>
          <w:b/>
          <w:sz w:val="22"/>
        </w:rPr>
        <w:t xml:space="preserve"> </w:t>
      </w:r>
    </w:p>
    <w:p w14:paraId="625B16DB" w14:textId="77777777" w:rsidR="009C3E4D" w:rsidRDefault="009C3E4D" w:rsidP="009C3E4D">
      <w:pPr>
        <w:pStyle w:val="NoSpacing"/>
        <w:rPr>
          <w:rFonts w:ascii="Times New Roman" w:hAnsi="Times New Roman"/>
          <w:b/>
          <w:sz w:val="24"/>
          <w:szCs w:val="24"/>
          <w:lang w:val="en-CA"/>
        </w:rPr>
      </w:pPr>
    </w:p>
    <w:p w14:paraId="5B88ACB1" w14:textId="77777777" w:rsidR="009C3E4D" w:rsidRDefault="009C3E4D" w:rsidP="009C3E4D">
      <w:pPr>
        <w:rPr>
          <w:b/>
          <w:lang w:val="en-CA"/>
        </w:rPr>
      </w:pPr>
      <w:r>
        <w:rPr>
          <w:b/>
          <w:lang w:val="en-CA"/>
        </w:rPr>
        <w:t xml:space="preserve">Attachment C: </w:t>
      </w:r>
      <w:r>
        <w:rPr>
          <w:b/>
          <w:lang w:val="en-CA"/>
        </w:rPr>
        <w:tab/>
      </w:r>
      <w:r>
        <w:rPr>
          <w:b/>
          <w:sz w:val="22"/>
        </w:rPr>
        <w:t>Screening Questionnaire for “Leaning Green” Consumer Focus Group</w:t>
      </w:r>
    </w:p>
    <w:p w14:paraId="2555FA0A" w14:textId="77777777" w:rsidR="009C3E4D" w:rsidRDefault="009C3E4D" w:rsidP="009C3E4D">
      <w:pPr>
        <w:pStyle w:val="NoSpacing"/>
        <w:rPr>
          <w:rFonts w:ascii="Times New Roman" w:hAnsi="Times New Roman"/>
          <w:b/>
          <w:sz w:val="24"/>
          <w:szCs w:val="24"/>
          <w:lang w:val="en-CA"/>
        </w:rPr>
      </w:pPr>
    </w:p>
    <w:p w14:paraId="6E660F25" w14:textId="77777777" w:rsidR="009C3E4D" w:rsidRDefault="009C3E4D" w:rsidP="009C3E4D">
      <w:pPr>
        <w:pStyle w:val="NoSpacing"/>
        <w:rPr>
          <w:rFonts w:ascii="Times New Roman" w:hAnsi="Times New Roman"/>
          <w:b/>
          <w:sz w:val="24"/>
          <w:szCs w:val="24"/>
          <w:lang w:val="en-CA"/>
        </w:rPr>
      </w:pPr>
      <w:r>
        <w:rPr>
          <w:rFonts w:ascii="Times New Roman" w:hAnsi="Times New Roman"/>
          <w:b/>
          <w:sz w:val="24"/>
          <w:szCs w:val="24"/>
          <w:lang w:val="en-CA"/>
        </w:rPr>
        <w:t>Attachment D:</w:t>
      </w:r>
      <w:r>
        <w:rPr>
          <w:rFonts w:ascii="Times New Roman" w:hAnsi="Times New Roman"/>
          <w:b/>
          <w:sz w:val="24"/>
          <w:szCs w:val="24"/>
          <w:lang w:val="en-CA"/>
        </w:rPr>
        <w:tab/>
      </w:r>
      <w:r w:rsidRPr="009C3E4D">
        <w:rPr>
          <w:rFonts w:ascii="Times New Roman" w:hAnsi="Times New Roman"/>
          <w:b/>
        </w:rPr>
        <w:t>Moderator’s Guide for Consumer Focus Group</w:t>
      </w:r>
    </w:p>
    <w:p w14:paraId="5C600383" w14:textId="77777777" w:rsidR="009C3E4D" w:rsidRDefault="009C3E4D" w:rsidP="009C3E4D">
      <w:pPr>
        <w:pStyle w:val="NoSpacing"/>
        <w:rPr>
          <w:rFonts w:ascii="Times New Roman" w:hAnsi="Times New Roman"/>
          <w:b/>
          <w:sz w:val="24"/>
          <w:szCs w:val="24"/>
          <w:lang w:val="en-CA"/>
        </w:rPr>
      </w:pPr>
    </w:p>
    <w:p w14:paraId="6A73A934" w14:textId="77777777" w:rsidR="009C3E4D" w:rsidRDefault="009C3E4D" w:rsidP="009C3E4D">
      <w:pPr>
        <w:rPr>
          <w:b/>
          <w:sz w:val="22"/>
        </w:rPr>
      </w:pPr>
      <w:r>
        <w:rPr>
          <w:b/>
          <w:lang w:val="en-CA"/>
        </w:rPr>
        <w:t>Attachment E:</w:t>
      </w:r>
      <w:r>
        <w:rPr>
          <w:b/>
          <w:lang w:val="en-CA"/>
        </w:rPr>
        <w:tab/>
      </w:r>
      <w:r w:rsidRPr="007A1778">
        <w:rPr>
          <w:b/>
          <w:sz w:val="22"/>
        </w:rPr>
        <w:t xml:space="preserve">Survey </w:t>
      </w:r>
      <w:r>
        <w:rPr>
          <w:b/>
          <w:sz w:val="22"/>
        </w:rPr>
        <w:t>to Test Awareness and Perceptions of EPA’s Safer Choice Label:</w:t>
      </w:r>
    </w:p>
    <w:p w14:paraId="722F3051" w14:textId="0842F45B" w:rsidR="009C3E4D" w:rsidRDefault="009C3E4D" w:rsidP="009C3E4D">
      <w:pPr>
        <w:pStyle w:val="NoSpacing"/>
        <w:ind w:left="1440" w:firstLine="720"/>
        <w:rPr>
          <w:rFonts w:ascii="Times New Roman" w:hAnsi="Times New Roman"/>
          <w:b/>
          <w:sz w:val="24"/>
          <w:szCs w:val="24"/>
        </w:rPr>
      </w:pPr>
      <w:r w:rsidRPr="009C3E4D">
        <w:rPr>
          <w:rFonts w:ascii="Times New Roman" w:hAnsi="Times New Roman"/>
          <w:b/>
          <w:sz w:val="24"/>
          <w:szCs w:val="24"/>
        </w:rPr>
        <w:t>General Adult Population Survey</w:t>
      </w:r>
    </w:p>
    <w:p w14:paraId="6A3AE2CF" w14:textId="79D937D8" w:rsidR="001E25B1" w:rsidRDefault="001E25B1">
      <w:pPr>
        <w:rPr>
          <w:b/>
          <w:bCs/>
          <w:sz w:val="22"/>
          <w:lang w:val="en-CA"/>
        </w:rPr>
      </w:pPr>
    </w:p>
    <w:sectPr w:rsidR="001E25B1" w:rsidSect="00FF6CFA">
      <w:headerReference w:type="default" r:id="rId13"/>
      <w:footerReference w:type="default" r:id="rId14"/>
      <w:pgSz w:w="12240" w:h="15840" w:code="1"/>
      <w:pgMar w:top="1440" w:right="1440" w:bottom="1440" w:left="1440" w:header="18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D2C18" w14:textId="77777777" w:rsidR="00CC795E" w:rsidRDefault="00CC795E">
      <w:r>
        <w:separator/>
      </w:r>
    </w:p>
  </w:endnote>
  <w:endnote w:type="continuationSeparator" w:id="0">
    <w:p w14:paraId="3C16135E" w14:textId="77777777" w:rsidR="00CC795E" w:rsidRDefault="00CC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691290"/>
      <w:docPartObj>
        <w:docPartGallery w:val="Page Numbers (Bottom of Page)"/>
        <w:docPartUnique/>
      </w:docPartObj>
    </w:sdtPr>
    <w:sdtEndPr>
      <w:rPr>
        <w:noProof/>
      </w:rPr>
    </w:sdtEndPr>
    <w:sdtContent>
      <w:p w14:paraId="3A07F9DF" w14:textId="1A7CF35C" w:rsidR="001024B8" w:rsidRDefault="001024B8">
        <w:pPr>
          <w:pStyle w:val="Footer"/>
          <w:jc w:val="center"/>
        </w:pPr>
        <w:r>
          <w:fldChar w:fldCharType="begin"/>
        </w:r>
        <w:r>
          <w:instrText xml:space="preserve"> PAGE   \* MERGEFORMAT </w:instrText>
        </w:r>
        <w:r>
          <w:fldChar w:fldCharType="separate"/>
        </w:r>
        <w:r w:rsidR="00E75DD1">
          <w:rPr>
            <w:noProof/>
          </w:rPr>
          <w:t>1</w:t>
        </w:r>
        <w:r>
          <w:rPr>
            <w:noProof/>
          </w:rPr>
          <w:fldChar w:fldCharType="end"/>
        </w:r>
      </w:p>
    </w:sdtContent>
  </w:sdt>
  <w:p w14:paraId="1EDC2D68" w14:textId="77777777" w:rsidR="001024B8" w:rsidRDefault="001024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A0C4C" w14:textId="77777777" w:rsidR="00CC795E" w:rsidRDefault="00CC795E">
      <w:r>
        <w:separator/>
      </w:r>
    </w:p>
  </w:footnote>
  <w:footnote w:type="continuationSeparator" w:id="0">
    <w:p w14:paraId="62E06FD4" w14:textId="77777777" w:rsidR="00CC795E" w:rsidRDefault="00CC795E">
      <w:r>
        <w:continuationSeparator/>
      </w:r>
    </w:p>
  </w:footnote>
  <w:footnote w:id="1">
    <w:p w14:paraId="42611553" w14:textId="77777777" w:rsidR="001024B8" w:rsidRPr="00CC63E9" w:rsidRDefault="001024B8" w:rsidP="00355091">
      <w:pPr>
        <w:keepLines/>
        <w:ind w:right="288"/>
        <w:jc w:val="both"/>
        <w:rPr>
          <w:sz w:val="20"/>
          <w:szCs w:val="20"/>
        </w:rPr>
      </w:pPr>
      <w:r w:rsidRPr="001E64AF">
        <w:rPr>
          <w:rStyle w:val="FootnoteReference"/>
          <w:sz w:val="20"/>
          <w:szCs w:val="20"/>
        </w:rPr>
        <w:footnoteRef/>
      </w:r>
      <w:r w:rsidRPr="001E64AF">
        <w:rPr>
          <w:sz w:val="20"/>
          <w:szCs w:val="20"/>
        </w:rPr>
        <w:t xml:space="preserve"> </w:t>
      </w:r>
      <w:r w:rsidRPr="001E64AF">
        <w:rPr>
          <w:spacing w:val="-2"/>
          <w:sz w:val="20"/>
          <w:szCs w:val="20"/>
        </w:rPr>
        <w:t xml:space="preserve">EPA, 2002b. </w:t>
      </w:r>
      <w:r w:rsidRPr="001E64AF">
        <w:rPr>
          <w:sz w:val="20"/>
          <w:szCs w:val="20"/>
        </w:rPr>
        <w:t xml:space="preserve">U.S. EPA, Office of Pollution Prevention and Toxics, Economic and Policy Analysis Branch, </w:t>
      </w:r>
      <w:r w:rsidRPr="001E64AF">
        <w:rPr>
          <w:i/>
          <w:spacing w:val="-2"/>
          <w:sz w:val="20"/>
          <w:szCs w:val="20"/>
        </w:rPr>
        <w:t xml:space="preserve">Wage Rates for Economic Analysis of the Toxics Release Inventory Program. </w:t>
      </w:r>
      <w:r w:rsidRPr="001E64AF">
        <w:rPr>
          <w:sz w:val="20"/>
          <w:szCs w:val="20"/>
        </w:rPr>
        <w:t>Washington, DC: June 10, 2002.</w:t>
      </w:r>
    </w:p>
  </w:footnote>
  <w:footnote w:id="2">
    <w:p w14:paraId="217BD6C3" w14:textId="77777777" w:rsidR="001024B8" w:rsidRPr="001E64AF" w:rsidRDefault="001024B8" w:rsidP="00355091">
      <w:pPr>
        <w:keepLines/>
        <w:ind w:right="288"/>
        <w:jc w:val="both"/>
        <w:rPr>
          <w:sz w:val="20"/>
          <w:szCs w:val="20"/>
        </w:rPr>
      </w:pPr>
      <w:r>
        <w:rPr>
          <w:rStyle w:val="FootnoteReference"/>
        </w:rPr>
        <w:footnoteRef/>
      </w:r>
      <w:r>
        <w:t xml:space="preserve"> </w:t>
      </w:r>
      <w:r w:rsidRPr="00CC63E9">
        <w:rPr>
          <w:spacing w:val="-2"/>
          <w:sz w:val="20"/>
          <w:szCs w:val="20"/>
        </w:rPr>
        <w:t>EPA, 2002</w:t>
      </w:r>
      <w:r w:rsidRPr="00796209">
        <w:rPr>
          <w:spacing w:val="-2"/>
          <w:sz w:val="20"/>
          <w:szCs w:val="20"/>
        </w:rPr>
        <w:t>. U.S. EPA, Office of Pollution Prevention and Toxics, Economic and Policy Analysis</w:t>
      </w:r>
      <w:r w:rsidRPr="00796209">
        <w:rPr>
          <w:sz w:val="20"/>
          <w:szCs w:val="20"/>
        </w:rPr>
        <w:t xml:space="preserve"> Branch. </w:t>
      </w:r>
      <w:r w:rsidRPr="00796209">
        <w:rPr>
          <w:i/>
          <w:sz w:val="20"/>
          <w:szCs w:val="20"/>
        </w:rPr>
        <w:t xml:space="preserve">Revised Economic Analysis for the Amended Inventory Update Rule: Final Report. </w:t>
      </w:r>
      <w:r w:rsidRPr="00796209">
        <w:rPr>
          <w:sz w:val="20"/>
          <w:szCs w:val="20"/>
        </w:rPr>
        <w:t>Washington, DC. August 2002.</w:t>
      </w:r>
    </w:p>
  </w:footnote>
  <w:footnote w:id="3">
    <w:p w14:paraId="26EAC6DD" w14:textId="45F7DE70" w:rsidR="001024B8" w:rsidRPr="00E832FA" w:rsidRDefault="001024B8" w:rsidP="001B7421">
      <w:pPr>
        <w:autoSpaceDE w:val="0"/>
        <w:autoSpaceDN w:val="0"/>
        <w:adjustRightInd w:val="0"/>
        <w:rPr>
          <w:rFonts w:ascii="Courier" w:hAnsi="Courier" w:cs="Courier"/>
          <w:color w:val="000000"/>
          <w:sz w:val="20"/>
          <w:szCs w:val="20"/>
        </w:rPr>
      </w:pPr>
      <w:r w:rsidRPr="001E64AF">
        <w:rPr>
          <w:rStyle w:val="FootnoteReference"/>
          <w:sz w:val="20"/>
          <w:szCs w:val="20"/>
        </w:rPr>
        <w:footnoteRef/>
      </w:r>
      <w:r w:rsidRPr="001E64AF">
        <w:rPr>
          <w:sz w:val="20"/>
          <w:szCs w:val="20"/>
        </w:rPr>
        <w:t xml:space="preserve"> </w:t>
      </w:r>
      <w:r w:rsidRPr="00CC63E9">
        <w:rPr>
          <w:sz w:val="20"/>
          <w:szCs w:val="20"/>
        </w:rPr>
        <w:t xml:space="preserve">Bureau of Labor Statistics (BLS) </w:t>
      </w:r>
      <w:r w:rsidRPr="00CC63E9">
        <w:rPr>
          <w:i/>
          <w:iCs/>
          <w:sz w:val="20"/>
          <w:szCs w:val="20"/>
        </w:rPr>
        <w:t>Employer Costs for Employee</w:t>
      </w:r>
      <w:r w:rsidRPr="00E832FA">
        <w:rPr>
          <w:i/>
          <w:iCs/>
          <w:sz w:val="20"/>
          <w:szCs w:val="20"/>
        </w:rPr>
        <w:t xml:space="preserve"> Compensation</w:t>
      </w:r>
      <w:r>
        <w:rPr>
          <w:i/>
          <w:iCs/>
          <w:sz w:val="20"/>
          <w:szCs w:val="20"/>
        </w:rPr>
        <w:t xml:space="preserve">. </w:t>
      </w:r>
      <w:r w:rsidRPr="00E832FA">
        <w:rPr>
          <w:color w:val="000000"/>
          <w:sz w:val="20"/>
          <w:szCs w:val="20"/>
        </w:rPr>
        <w:t xml:space="preserve">Employer costs per hour worked for employee compensation and costs as a percent of total compensation: </w:t>
      </w:r>
      <w:r>
        <w:rPr>
          <w:color w:val="000000"/>
          <w:sz w:val="20"/>
          <w:szCs w:val="20"/>
        </w:rPr>
        <w:t>Civilian workers, by major occupational and industry group</w:t>
      </w:r>
      <w:r w:rsidRPr="00E832FA">
        <w:rPr>
          <w:color w:val="000000"/>
          <w:sz w:val="20"/>
          <w:szCs w:val="20"/>
        </w:rPr>
        <w:t xml:space="preserve">, </w:t>
      </w:r>
      <w:r>
        <w:rPr>
          <w:color w:val="000000"/>
          <w:sz w:val="20"/>
          <w:szCs w:val="20"/>
        </w:rPr>
        <w:t xml:space="preserve">December 2015. </w:t>
      </w:r>
      <w:r>
        <w:rPr>
          <w:iCs/>
          <w:sz w:val="20"/>
          <w:szCs w:val="20"/>
        </w:rPr>
        <w:t>A</w:t>
      </w:r>
      <w:r w:rsidRPr="00E832FA">
        <w:rPr>
          <w:iCs/>
          <w:sz w:val="20"/>
          <w:szCs w:val="20"/>
        </w:rPr>
        <w:t xml:space="preserve">vailable at: </w:t>
      </w:r>
      <w:hyperlink r:id="rId1" w:history="1">
        <w:r w:rsidRPr="005064B7">
          <w:rPr>
            <w:rStyle w:val="Hyperlink"/>
            <w:iCs/>
            <w:sz w:val="20"/>
            <w:szCs w:val="20"/>
          </w:rPr>
          <w:t>http://www.bls.gov/news.release/archives/ecec_03102016.pdf</w:t>
        </w:r>
      </w:hyperlink>
      <w:r>
        <w:rPr>
          <w:iCs/>
          <w:sz w:val="20"/>
          <w:szCs w:val="20"/>
        </w:rPr>
        <w:t>.</w:t>
      </w:r>
    </w:p>
  </w:footnote>
  <w:footnote w:id="4">
    <w:p w14:paraId="17DBE5D4" w14:textId="4598FB8D" w:rsidR="001024B8" w:rsidRPr="00DC223F" w:rsidRDefault="001024B8">
      <w:pPr>
        <w:pStyle w:val="FootnoteText"/>
      </w:pPr>
      <w:r>
        <w:rPr>
          <w:rStyle w:val="FootnoteReference"/>
        </w:rPr>
        <w:footnoteRef/>
      </w:r>
      <w:r>
        <w:t xml:space="preserve"> OPM, 2016. Salary Table 2016-DCB</w:t>
      </w:r>
      <w:r w:rsidRPr="001A2B70">
        <w:rPr>
          <w:i/>
        </w:rPr>
        <w:t>, Washington Baltimore</w:t>
      </w:r>
      <w:r>
        <w:rPr>
          <w:i/>
        </w:rPr>
        <w:t xml:space="preserve"> </w:t>
      </w:r>
      <w:r w:rsidRPr="001A2B70">
        <w:rPr>
          <w:i/>
        </w:rPr>
        <w:t>Northern Virginia, DC-MD-PA-VA-WV</w:t>
      </w:r>
      <w:r>
        <w:t xml:space="preserve">. Available at </w:t>
      </w:r>
      <w:hyperlink r:id="rId2" w:history="1">
        <w:r w:rsidRPr="005064B7">
          <w:rPr>
            <w:rStyle w:val="Hyperlink"/>
          </w:rPr>
          <w:t>http://www.opm.gov/oca/16tables/pdf/dcb_h.pdf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725E5" w14:textId="77777777" w:rsidR="000E01E7" w:rsidRDefault="000E01E7" w:rsidP="001B7421">
    <w:pPr>
      <w:pStyle w:val="Header"/>
      <w:jc w:val="right"/>
    </w:pPr>
  </w:p>
  <w:p w14:paraId="52A0C25A" w14:textId="77777777" w:rsidR="000E01E7" w:rsidRDefault="000E01E7" w:rsidP="001B7421">
    <w:pPr>
      <w:pStyle w:val="Header"/>
      <w:jc w:val="right"/>
    </w:pPr>
  </w:p>
  <w:p w14:paraId="7F9592C1" w14:textId="04C8651E" w:rsidR="001024B8" w:rsidRPr="00003FA4" w:rsidRDefault="00495E16" w:rsidP="001B7421">
    <w:pPr>
      <w:pStyle w:val="Header"/>
      <w:jc w:val="right"/>
    </w:pPr>
    <w:r>
      <w:t>November 7,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5"/>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1E97701"/>
    <w:multiLevelType w:val="hybridMultilevel"/>
    <w:tmpl w:val="87AEA17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1F4190C"/>
    <w:multiLevelType w:val="hybridMultilevel"/>
    <w:tmpl w:val="0BA89794"/>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5A20B1"/>
    <w:multiLevelType w:val="hybridMultilevel"/>
    <w:tmpl w:val="BD5C0E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413184"/>
    <w:multiLevelType w:val="hybridMultilevel"/>
    <w:tmpl w:val="9A682B1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5611428"/>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5A37E2D"/>
    <w:multiLevelType w:val="hybridMultilevel"/>
    <w:tmpl w:val="D5407ECA"/>
    <w:lvl w:ilvl="0" w:tplc="BAD4FD2E">
      <w:numFmt w:val="bullet"/>
      <w:lvlText w:val="-"/>
      <w:lvlJc w:val="left"/>
      <w:pPr>
        <w:ind w:left="720" w:hanging="360"/>
      </w:pPr>
      <w:rPr>
        <w:rFonts w:ascii="Times New Roman" w:eastAsia="Times New Roman" w:hAnsi="Times New Roman" w:cs="Times New Roman" w:hint="default"/>
        <w:color w:val="1515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2F2988"/>
    <w:multiLevelType w:val="hybridMultilevel"/>
    <w:tmpl w:val="B09A7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4E7AF9"/>
    <w:multiLevelType w:val="hybridMultilevel"/>
    <w:tmpl w:val="23A010C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6C2FD9"/>
    <w:multiLevelType w:val="hybridMultilevel"/>
    <w:tmpl w:val="85B6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926EF2"/>
    <w:multiLevelType w:val="hybridMultilevel"/>
    <w:tmpl w:val="F8AEEEF6"/>
    <w:lvl w:ilvl="0" w:tplc="F9B06254">
      <w:start w:val="1"/>
      <w:numFmt w:val="decimal"/>
      <w:lvlText w:val="%1."/>
      <w:lvlJc w:val="left"/>
      <w:pPr>
        <w:ind w:left="360" w:hanging="360"/>
      </w:pPr>
      <w:rPr>
        <w:rFonts w:hint="default"/>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CCE63F7"/>
    <w:multiLevelType w:val="hybridMultilevel"/>
    <w:tmpl w:val="EF6457D4"/>
    <w:lvl w:ilvl="0" w:tplc="0409000F">
      <w:start w:val="1"/>
      <w:numFmt w:val="decimal"/>
      <w:lvlText w:val="%1."/>
      <w:lvlJc w:val="left"/>
      <w:pPr>
        <w:ind w:left="360" w:hanging="360"/>
      </w:pPr>
      <w:rPr>
        <w:rFonts w:hint="default"/>
      </w:rPr>
    </w:lvl>
    <w:lvl w:ilvl="1" w:tplc="BBCE85CA">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E0A39E3"/>
    <w:multiLevelType w:val="hybridMultilevel"/>
    <w:tmpl w:val="64B63096"/>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335240"/>
    <w:multiLevelType w:val="hybridMultilevel"/>
    <w:tmpl w:val="852201EA"/>
    <w:lvl w:ilvl="0" w:tplc="DD76BC2C">
      <w:start w:val="4"/>
      <w:numFmt w:val="decimal"/>
      <w:lvlText w:val="%1."/>
      <w:lvlJc w:val="left"/>
      <w:pPr>
        <w:tabs>
          <w:tab w:val="num" w:pos="360"/>
        </w:tabs>
        <w:ind w:left="360" w:hanging="360"/>
      </w:pPr>
      <w:rPr>
        <w:rFonts w:hint="default"/>
      </w:rPr>
    </w:lvl>
    <w:lvl w:ilvl="1" w:tplc="542EDB00">
      <w:numFmt w:val="none"/>
      <w:lvlText w:val=""/>
      <w:lvlJc w:val="left"/>
      <w:pPr>
        <w:tabs>
          <w:tab w:val="num" w:pos="360"/>
        </w:tabs>
      </w:pPr>
    </w:lvl>
    <w:lvl w:ilvl="2" w:tplc="12688A1E">
      <w:numFmt w:val="none"/>
      <w:lvlText w:val=""/>
      <w:lvlJc w:val="left"/>
      <w:pPr>
        <w:tabs>
          <w:tab w:val="num" w:pos="360"/>
        </w:tabs>
      </w:pPr>
    </w:lvl>
    <w:lvl w:ilvl="3" w:tplc="0DCE1116">
      <w:numFmt w:val="none"/>
      <w:lvlText w:val=""/>
      <w:lvlJc w:val="left"/>
      <w:pPr>
        <w:tabs>
          <w:tab w:val="num" w:pos="360"/>
        </w:tabs>
      </w:pPr>
    </w:lvl>
    <w:lvl w:ilvl="4" w:tplc="CB7CED72">
      <w:numFmt w:val="none"/>
      <w:lvlText w:val=""/>
      <w:lvlJc w:val="left"/>
      <w:pPr>
        <w:tabs>
          <w:tab w:val="num" w:pos="360"/>
        </w:tabs>
      </w:pPr>
    </w:lvl>
    <w:lvl w:ilvl="5" w:tplc="B03C97A8">
      <w:numFmt w:val="none"/>
      <w:lvlText w:val=""/>
      <w:lvlJc w:val="left"/>
      <w:pPr>
        <w:tabs>
          <w:tab w:val="num" w:pos="360"/>
        </w:tabs>
      </w:pPr>
    </w:lvl>
    <w:lvl w:ilvl="6" w:tplc="A0ECF294">
      <w:numFmt w:val="none"/>
      <w:lvlText w:val=""/>
      <w:lvlJc w:val="left"/>
      <w:pPr>
        <w:tabs>
          <w:tab w:val="num" w:pos="360"/>
        </w:tabs>
      </w:pPr>
    </w:lvl>
    <w:lvl w:ilvl="7" w:tplc="A372F33A">
      <w:numFmt w:val="none"/>
      <w:lvlText w:val=""/>
      <w:lvlJc w:val="left"/>
      <w:pPr>
        <w:tabs>
          <w:tab w:val="num" w:pos="360"/>
        </w:tabs>
      </w:pPr>
    </w:lvl>
    <w:lvl w:ilvl="8" w:tplc="998ADA20">
      <w:numFmt w:val="none"/>
      <w:lvlText w:val=""/>
      <w:lvlJc w:val="left"/>
      <w:pPr>
        <w:tabs>
          <w:tab w:val="num" w:pos="360"/>
        </w:tabs>
      </w:pPr>
    </w:lvl>
  </w:abstractNum>
  <w:abstractNum w:abstractNumId="15">
    <w:nsid w:val="0FB3046A"/>
    <w:multiLevelType w:val="hybridMultilevel"/>
    <w:tmpl w:val="2DF0B27A"/>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02E753C"/>
    <w:multiLevelType w:val="hybridMultilevel"/>
    <w:tmpl w:val="8CAC37FE"/>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14716CA1"/>
    <w:multiLevelType w:val="hybridMultilevel"/>
    <w:tmpl w:val="31304F2E"/>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8D16D0"/>
    <w:multiLevelType w:val="hybridMultilevel"/>
    <w:tmpl w:val="ACFA962A"/>
    <w:lvl w:ilvl="0" w:tplc="42401E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3047F9"/>
    <w:multiLevelType w:val="hybridMultilevel"/>
    <w:tmpl w:val="E2D21BAE"/>
    <w:lvl w:ilvl="0" w:tplc="4D2AAED4">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7B24A71"/>
    <w:multiLevelType w:val="hybridMultilevel"/>
    <w:tmpl w:val="3AB239CC"/>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888600B"/>
    <w:multiLevelType w:val="hybridMultilevel"/>
    <w:tmpl w:val="C5E20E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A2373EA"/>
    <w:multiLevelType w:val="hybridMultilevel"/>
    <w:tmpl w:val="FE92C02E"/>
    <w:lvl w:ilvl="0" w:tplc="41B4215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B8A35A2"/>
    <w:multiLevelType w:val="hybridMultilevel"/>
    <w:tmpl w:val="F0081F5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226F3EAE"/>
    <w:multiLevelType w:val="hybridMultilevel"/>
    <w:tmpl w:val="C7E4EF40"/>
    <w:lvl w:ilvl="0" w:tplc="4D2AAED4">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34A7994"/>
    <w:multiLevelType w:val="hybridMultilevel"/>
    <w:tmpl w:val="0AB8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36D3C93"/>
    <w:multiLevelType w:val="hybridMultilevel"/>
    <w:tmpl w:val="8BD03B8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3C507AE"/>
    <w:multiLevelType w:val="hybridMultilevel"/>
    <w:tmpl w:val="9050F032"/>
    <w:lvl w:ilvl="0" w:tplc="FDF67E2C">
      <w:start w:val="1"/>
      <w:numFmt w:val="bullet"/>
      <w:lvlText w:val=""/>
      <w:lvlJc w:val="left"/>
      <w:pPr>
        <w:tabs>
          <w:tab w:val="num" w:pos="1440"/>
        </w:tabs>
        <w:ind w:left="1440" w:hanging="360"/>
      </w:pPr>
      <w:rPr>
        <w:rFonts w:ascii="Symbol" w:hAnsi="Symbol" w:cs="NewCenturySchlbk-Roman"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6C64698"/>
    <w:multiLevelType w:val="hybridMultilevel"/>
    <w:tmpl w:val="DFD80DD2"/>
    <w:lvl w:ilvl="0" w:tplc="B582CED8">
      <w:numFmt w:val="bullet"/>
      <w:lvlText w:val="-"/>
      <w:lvlJc w:val="left"/>
      <w:pPr>
        <w:tabs>
          <w:tab w:val="num" w:pos="360"/>
        </w:tabs>
        <w:ind w:left="360" w:hanging="360"/>
      </w:pPr>
      <w:rPr>
        <w:rFonts w:ascii="Arial" w:eastAsia="Arial Unicode MS" w:hAnsi="Arial" w:cs="Arial Unicode MS" w:hint="default"/>
      </w:rPr>
    </w:lvl>
    <w:lvl w:ilvl="1" w:tplc="04090003">
      <w:start w:val="1"/>
      <w:numFmt w:val="bullet"/>
      <w:lvlText w:val="o"/>
      <w:lvlJc w:val="left"/>
      <w:pPr>
        <w:tabs>
          <w:tab w:val="num" w:pos="1080"/>
        </w:tabs>
        <w:ind w:left="1080" w:hanging="360"/>
      </w:pPr>
      <w:rPr>
        <w:rFonts w:ascii="Courier New" w:hAnsi="Courier New" w:cs="Arial Unicode M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Unicode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Unicode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28BE494D"/>
    <w:multiLevelType w:val="hybridMultilevel"/>
    <w:tmpl w:val="FBA23F84"/>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9B06E32"/>
    <w:multiLevelType w:val="hybridMultilevel"/>
    <w:tmpl w:val="5E88F940"/>
    <w:lvl w:ilvl="0" w:tplc="C9DCAC80">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2C4101F3"/>
    <w:multiLevelType w:val="hybridMultilevel"/>
    <w:tmpl w:val="D640E1E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2DAE21C1"/>
    <w:multiLevelType w:val="hybridMultilevel"/>
    <w:tmpl w:val="276E0094"/>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03811D3"/>
    <w:multiLevelType w:val="hybridMultilevel"/>
    <w:tmpl w:val="083E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8800CD"/>
    <w:multiLevelType w:val="hybridMultilevel"/>
    <w:tmpl w:val="42B47D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36134836"/>
    <w:multiLevelType w:val="hybridMultilevel"/>
    <w:tmpl w:val="36EC68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65C2225"/>
    <w:multiLevelType w:val="hybridMultilevel"/>
    <w:tmpl w:val="44FA7A0E"/>
    <w:lvl w:ilvl="0" w:tplc="4D2AAE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Arial"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Arial"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Arial"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7">
    <w:nsid w:val="3728354A"/>
    <w:multiLevelType w:val="hybridMultilevel"/>
    <w:tmpl w:val="0AC8F8EC"/>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7BC64C5"/>
    <w:multiLevelType w:val="hybridMultilevel"/>
    <w:tmpl w:val="54387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8567D32"/>
    <w:multiLevelType w:val="hybridMultilevel"/>
    <w:tmpl w:val="583452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87D63CB"/>
    <w:multiLevelType w:val="hybridMultilevel"/>
    <w:tmpl w:val="4420FFE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9F52C19"/>
    <w:multiLevelType w:val="hybridMultilevel"/>
    <w:tmpl w:val="B10249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3EB603EC"/>
    <w:multiLevelType w:val="hybridMultilevel"/>
    <w:tmpl w:val="420C38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3F9F024E"/>
    <w:multiLevelType w:val="hybridMultilevel"/>
    <w:tmpl w:val="268ACDD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1DA0101"/>
    <w:multiLevelType w:val="hybridMultilevel"/>
    <w:tmpl w:val="62408B0E"/>
    <w:lvl w:ilvl="0" w:tplc="B582CED8">
      <w:numFmt w:val="bullet"/>
      <w:lvlText w:val="-"/>
      <w:lvlJc w:val="left"/>
      <w:pPr>
        <w:tabs>
          <w:tab w:val="num" w:pos="720"/>
        </w:tabs>
        <w:ind w:left="720" w:hanging="360"/>
      </w:pPr>
      <w:rPr>
        <w:rFonts w:ascii="Arial" w:eastAsia="Arial Unicode MS" w:hAnsi="Arial" w:cs="Arial Unicode MS"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4A40354"/>
    <w:multiLevelType w:val="hybridMultilevel"/>
    <w:tmpl w:val="CD221A68"/>
    <w:lvl w:ilvl="0" w:tplc="F35EFB1E">
      <w:start w:val="1"/>
      <w:numFmt w:val="bullet"/>
      <w:pStyle w:val="Level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52B5253"/>
    <w:multiLevelType w:val="hybridMultilevel"/>
    <w:tmpl w:val="FC54E93E"/>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63065AD"/>
    <w:multiLevelType w:val="hybridMultilevel"/>
    <w:tmpl w:val="B622A3C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46740FF7"/>
    <w:multiLevelType w:val="hybridMultilevel"/>
    <w:tmpl w:val="4184C4C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Arial"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Arial"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Arial"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9">
    <w:nsid w:val="46E57269"/>
    <w:multiLevelType w:val="hybridMultilevel"/>
    <w:tmpl w:val="D9BE03D6"/>
    <w:lvl w:ilvl="0" w:tplc="FDF67E2C">
      <w:start w:val="1"/>
      <w:numFmt w:val="bullet"/>
      <w:lvlText w:val=""/>
      <w:lvlJc w:val="left"/>
      <w:pPr>
        <w:tabs>
          <w:tab w:val="num" w:pos="1440"/>
        </w:tabs>
        <w:ind w:left="1440" w:hanging="360"/>
      </w:pPr>
      <w:rPr>
        <w:rFonts w:ascii="Symbol" w:hAnsi="Symbol" w:cs="NewCenturySchlbk-Roman"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480A7A6C"/>
    <w:multiLevelType w:val="hybridMultilevel"/>
    <w:tmpl w:val="BBCE71E8"/>
    <w:lvl w:ilvl="0" w:tplc="073E32BC">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92307E2"/>
    <w:multiLevelType w:val="hybridMultilevel"/>
    <w:tmpl w:val="587C274E"/>
    <w:lvl w:ilvl="0" w:tplc="C292D36C">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94358C3"/>
    <w:multiLevelType w:val="hybridMultilevel"/>
    <w:tmpl w:val="D792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9EF1103"/>
    <w:multiLevelType w:val="hybridMultilevel"/>
    <w:tmpl w:val="502898B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4A6C5EF3"/>
    <w:multiLevelType w:val="hybridMultilevel"/>
    <w:tmpl w:val="C3EE13BA"/>
    <w:lvl w:ilvl="0" w:tplc="4D2AAED4">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728"/>
        </w:tabs>
        <w:ind w:left="1728" w:hanging="360"/>
      </w:pPr>
      <w:rPr>
        <w:rFonts w:ascii="Courier New" w:hAnsi="Courier New" w:hint="default"/>
      </w:rPr>
    </w:lvl>
    <w:lvl w:ilvl="2" w:tplc="FDF67E2C">
      <w:start w:val="1"/>
      <w:numFmt w:val="bullet"/>
      <w:lvlText w:val=""/>
      <w:lvlJc w:val="left"/>
      <w:pPr>
        <w:tabs>
          <w:tab w:val="num" w:pos="2448"/>
        </w:tabs>
        <w:ind w:left="2448" w:hanging="360"/>
      </w:pPr>
      <w:rPr>
        <w:rFonts w:ascii="Symbol" w:hAnsi="Symbol" w:cs="NewCenturySchlbk-Roman" w:hint="default"/>
        <w:color w:val="auto"/>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5">
    <w:nsid w:val="4C471667"/>
    <w:multiLevelType w:val="hybridMultilevel"/>
    <w:tmpl w:val="3BBE6A50"/>
    <w:lvl w:ilvl="0" w:tplc="39EEAE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E304BCB"/>
    <w:multiLevelType w:val="hybridMultilevel"/>
    <w:tmpl w:val="FD52BF92"/>
    <w:lvl w:ilvl="0" w:tplc="AA8E98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4EA31997"/>
    <w:multiLevelType w:val="hybridMultilevel"/>
    <w:tmpl w:val="0950C2E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4F844F83"/>
    <w:multiLevelType w:val="hybridMultilevel"/>
    <w:tmpl w:val="4812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01F6D55"/>
    <w:multiLevelType w:val="hybridMultilevel"/>
    <w:tmpl w:val="2954E574"/>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51237048"/>
    <w:multiLevelType w:val="hybridMultilevel"/>
    <w:tmpl w:val="EF36724C"/>
    <w:lvl w:ilvl="0" w:tplc="0409000F">
      <w:start w:val="1"/>
      <w:numFmt w:val="decimal"/>
      <w:lvlText w:val="%1."/>
      <w:lvlJc w:val="left"/>
      <w:pPr>
        <w:ind w:left="1080" w:hanging="360"/>
      </w:pPr>
      <w:rPr>
        <w:rFonts w:hint="default"/>
      </w:rPr>
    </w:lvl>
    <w:lvl w:ilvl="1" w:tplc="C9066854">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52AA7A2B"/>
    <w:multiLevelType w:val="hybridMultilevel"/>
    <w:tmpl w:val="248C785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2">
    <w:nsid w:val="54FE6243"/>
    <w:multiLevelType w:val="hybridMultilevel"/>
    <w:tmpl w:val="DBECA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5A000821"/>
    <w:multiLevelType w:val="singleLevel"/>
    <w:tmpl w:val="F2E844AC"/>
    <w:lvl w:ilvl="0">
      <w:start w:val="1"/>
      <w:numFmt w:val="upperLetter"/>
      <w:lvlText w:val="%1."/>
      <w:lvlJc w:val="left"/>
      <w:pPr>
        <w:tabs>
          <w:tab w:val="num" w:pos="1440"/>
        </w:tabs>
        <w:ind w:left="1440" w:hanging="720"/>
      </w:pPr>
      <w:rPr>
        <w:rFonts w:hint="default"/>
      </w:rPr>
    </w:lvl>
  </w:abstractNum>
  <w:abstractNum w:abstractNumId="64">
    <w:nsid w:val="5AD55407"/>
    <w:multiLevelType w:val="hybridMultilevel"/>
    <w:tmpl w:val="2D5C7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5F2C6799"/>
    <w:multiLevelType w:val="hybridMultilevel"/>
    <w:tmpl w:val="B232B2E6"/>
    <w:lvl w:ilvl="0" w:tplc="4D2AAE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Arial"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Arial"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Arial"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66">
    <w:nsid w:val="6129335C"/>
    <w:multiLevelType w:val="hybridMultilevel"/>
    <w:tmpl w:val="FD04367E"/>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61B70669"/>
    <w:multiLevelType w:val="hybridMultilevel"/>
    <w:tmpl w:val="CF1AC0EA"/>
    <w:lvl w:ilvl="0" w:tplc="D668046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26D2D4F"/>
    <w:multiLevelType w:val="singleLevel"/>
    <w:tmpl w:val="F2E844AC"/>
    <w:lvl w:ilvl="0">
      <w:start w:val="1"/>
      <w:numFmt w:val="upperLetter"/>
      <w:lvlText w:val="%1."/>
      <w:lvlJc w:val="left"/>
      <w:pPr>
        <w:tabs>
          <w:tab w:val="num" w:pos="1440"/>
        </w:tabs>
        <w:ind w:left="1440" w:hanging="720"/>
      </w:pPr>
      <w:rPr>
        <w:rFonts w:hint="default"/>
      </w:rPr>
    </w:lvl>
  </w:abstractNum>
  <w:abstractNum w:abstractNumId="69">
    <w:nsid w:val="63B27853"/>
    <w:multiLevelType w:val="hybridMultilevel"/>
    <w:tmpl w:val="0DB437AA"/>
    <w:lvl w:ilvl="0" w:tplc="FDF67E2C">
      <w:start w:val="1"/>
      <w:numFmt w:val="bullet"/>
      <w:lvlText w:val=""/>
      <w:lvlJc w:val="left"/>
      <w:pPr>
        <w:tabs>
          <w:tab w:val="num" w:pos="1440"/>
        </w:tabs>
        <w:ind w:left="1440" w:hanging="360"/>
      </w:pPr>
      <w:rPr>
        <w:rFonts w:ascii="Symbol" w:hAnsi="Symbol" w:cs="NewCenturySchlbk-Roman" w:hint="default"/>
        <w:color w:val="auto"/>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0">
    <w:nsid w:val="645D22AE"/>
    <w:multiLevelType w:val="hybridMultilevel"/>
    <w:tmpl w:val="4470C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61049E7"/>
    <w:multiLevelType w:val="multilevel"/>
    <w:tmpl w:val="DE78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90538B4"/>
    <w:multiLevelType w:val="hybridMultilevel"/>
    <w:tmpl w:val="A5ECD71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nsid w:val="69133EB4"/>
    <w:multiLevelType w:val="hybridMultilevel"/>
    <w:tmpl w:val="E35030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5">
    <w:nsid w:val="6A1C0174"/>
    <w:multiLevelType w:val="hybridMultilevel"/>
    <w:tmpl w:val="1248A32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715764AA"/>
    <w:multiLevelType w:val="hybridMultilevel"/>
    <w:tmpl w:val="4106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1662D52"/>
    <w:multiLevelType w:val="hybridMultilevel"/>
    <w:tmpl w:val="C8D66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751741D4"/>
    <w:multiLevelType w:val="hybridMultilevel"/>
    <w:tmpl w:val="58FAE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76415C46"/>
    <w:multiLevelType w:val="hybridMultilevel"/>
    <w:tmpl w:val="6C8A6C3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nsid w:val="764B5C9E"/>
    <w:multiLevelType w:val="hybridMultilevel"/>
    <w:tmpl w:val="F4A28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6921E7C"/>
    <w:multiLevelType w:val="hybridMultilevel"/>
    <w:tmpl w:val="6BBEF636"/>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77787B0A"/>
    <w:multiLevelType w:val="hybridMultilevel"/>
    <w:tmpl w:val="03427BC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Arial"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Arial"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Arial"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3">
    <w:nsid w:val="7887244B"/>
    <w:multiLevelType w:val="multilevel"/>
    <w:tmpl w:val="24D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8E1303D"/>
    <w:multiLevelType w:val="hybridMultilevel"/>
    <w:tmpl w:val="6BA4118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794F2EB9"/>
    <w:multiLevelType w:val="hybridMultilevel"/>
    <w:tmpl w:val="E4F0595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6">
    <w:nsid w:val="79D24AFE"/>
    <w:multiLevelType w:val="hybridMultilevel"/>
    <w:tmpl w:val="EEDAE064"/>
    <w:lvl w:ilvl="0" w:tplc="0409000F">
      <w:start w:val="1"/>
      <w:numFmt w:val="decimal"/>
      <w:lvlText w:val="%1."/>
      <w:lvlJc w:val="left"/>
      <w:pPr>
        <w:ind w:left="1080" w:hanging="360"/>
      </w:pPr>
      <w:rPr>
        <w:rFonts w:hint="default"/>
      </w:rPr>
    </w:lvl>
    <w:lvl w:ilvl="1" w:tplc="BBCE85CA">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BDF60B2"/>
    <w:multiLevelType w:val="hybridMultilevel"/>
    <w:tmpl w:val="44A24A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7DA57DC6"/>
    <w:multiLevelType w:val="hybridMultilevel"/>
    <w:tmpl w:val="45204F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9">
    <w:nsid w:val="7E252A25"/>
    <w:multiLevelType w:val="hybridMultilevel"/>
    <w:tmpl w:val="5B403F54"/>
    <w:lvl w:ilvl="0" w:tplc="EE6A06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54"/>
  </w:num>
  <w:num w:numId="3">
    <w:abstractNumId w:val="19"/>
  </w:num>
  <w:num w:numId="4">
    <w:abstractNumId w:val="24"/>
  </w:num>
  <w:num w:numId="5">
    <w:abstractNumId w:val="45"/>
  </w:num>
  <w:num w:numId="6">
    <w:abstractNumId w:val="38"/>
  </w:num>
  <w:num w:numId="7">
    <w:abstractNumId w:val="71"/>
  </w:num>
  <w:num w:numId="8">
    <w:abstractNumId w:val="48"/>
  </w:num>
  <w:num w:numId="9">
    <w:abstractNumId w:val="36"/>
  </w:num>
  <w:num w:numId="10">
    <w:abstractNumId w:val="65"/>
  </w:num>
  <w:num w:numId="11">
    <w:abstractNumId w:val="73"/>
  </w:num>
  <w:num w:numId="12">
    <w:abstractNumId w:val="14"/>
  </w:num>
  <w:num w:numId="13">
    <w:abstractNumId w:val="42"/>
  </w:num>
  <w:num w:numId="14">
    <w:abstractNumId w:val="9"/>
  </w:num>
  <w:num w:numId="15">
    <w:abstractNumId w:val="43"/>
  </w:num>
  <w:num w:numId="16">
    <w:abstractNumId w:val="4"/>
  </w:num>
  <w:num w:numId="17">
    <w:abstractNumId w:val="35"/>
  </w:num>
  <w:num w:numId="18">
    <w:abstractNumId w:val="75"/>
  </w:num>
  <w:num w:numId="19">
    <w:abstractNumId w:val="26"/>
  </w:num>
  <w:num w:numId="20">
    <w:abstractNumId w:val="79"/>
  </w:num>
  <w:num w:numId="21">
    <w:abstractNumId w:val="87"/>
  </w:num>
  <w:num w:numId="22">
    <w:abstractNumId w:val="82"/>
  </w:num>
  <w:num w:numId="23">
    <w:abstractNumId w:val="77"/>
  </w:num>
  <w:num w:numId="24">
    <w:abstractNumId w:val="22"/>
  </w:num>
  <w:num w:numId="25">
    <w:abstractNumId w:val="56"/>
  </w:num>
  <w:num w:numId="26">
    <w:abstractNumId w:val="69"/>
  </w:num>
  <w:num w:numId="27">
    <w:abstractNumId w:val="27"/>
  </w:num>
  <w:num w:numId="28">
    <w:abstractNumId w:val="49"/>
  </w:num>
  <w:num w:numId="29">
    <w:abstractNumId w:val="34"/>
  </w:num>
  <w:num w:numId="30">
    <w:abstractNumId w:val="86"/>
  </w:num>
  <w:num w:numId="31">
    <w:abstractNumId w:val="60"/>
  </w:num>
  <w:num w:numId="32">
    <w:abstractNumId w:val="53"/>
  </w:num>
  <w:num w:numId="33">
    <w:abstractNumId w:val="21"/>
  </w:num>
  <w:num w:numId="34">
    <w:abstractNumId w:val="39"/>
  </w:num>
  <w:num w:numId="35">
    <w:abstractNumId w:val="12"/>
  </w:num>
  <w:num w:numId="36">
    <w:abstractNumId w:val="78"/>
  </w:num>
  <w:num w:numId="37">
    <w:abstractNumId w:val="55"/>
  </w:num>
  <w:num w:numId="38">
    <w:abstractNumId w:val="18"/>
  </w:num>
  <w:num w:numId="39">
    <w:abstractNumId w:val="89"/>
  </w:num>
  <w:num w:numId="40">
    <w:abstractNumId w:val="58"/>
  </w:num>
  <w:num w:numId="4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abstractNumId w:val="0"/>
  </w:num>
  <w:num w:numId="43">
    <w:abstractNumId w:val="6"/>
  </w:num>
  <w:num w:numId="44">
    <w:abstractNumId w:val="72"/>
  </w:num>
  <w:num w:numId="45">
    <w:abstractNumId w:val="52"/>
  </w:num>
  <w:num w:numId="46">
    <w:abstractNumId w:val="70"/>
  </w:num>
  <w:num w:numId="47">
    <w:abstractNumId w:val="64"/>
  </w:num>
  <w:num w:numId="48">
    <w:abstractNumId w:val="74"/>
  </w:num>
  <w:num w:numId="49">
    <w:abstractNumId w:val="62"/>
  </w:num>
  <w:num w:numId="50">
    <w:abstractNumId w:val="13"/>
  </w:num>
  <w:num w:numId="51">
    <w:abstractNumId w:val="50"/>
  </w:num>
  <w:num w:numId="52">
    <w:abstractNumId w:val="32"/>
  </w:num>
  <w:num w:numId="53">
    <w:abstractNumId w:val="46"/>
  </w:num>
  <w:num w:numId="54">
    <w:abstractNumId w:val="37"/>
  </w:num>
  <w:num w:numId="55">
    <w:abstractNumId w:val="15"/>
  </w:num>
  <w:num w:numId="56">
    <w:abstractNumId w:val="59"/>
  </w:num>
  <w:num w:numId="57">
    <w:abstractNumId w:val="5"/>
  </w:num>
  <w:num w:numId="58">
    <w:abstractNumId w:val="57"/>
  </w:num>
  <w:num w:numId="59">
    <w:abstractNumId w:val="41"/>
  </w:num>
  <w:num w:numId="60">
    <w:abstractNumId w:val="23"/>
  </w:num>
  <w:num w:numId="61">
    <w:abstractNumId w:val="88"/>
  </w:num>
  <w:num w:numId="62">
    <w:abstractNumId w:val="85"/>
  </w:num>
  <w:num w:numId="63">
    <w:abstractNumId w:val="83"/>
  </w:num>
  <w:num w:numId="64">
    <w:abstractNumId w:val="80"/>
  </w:num>
  <w:num w:numId="65">
    <w:abstractNumId w:val="68"/>
  </w:num>
  <w:num w:numId="66">
    <w:abstractNumId w:val="63"/>
  </w:num>
  <w:num w:numId="67">
    <w:abstractNumId w:val="44"/>
  </w:num>
  <w:num w:numId="68">
    <w:abstractNumId w:val="28"/>
  </w:num>
  <w:num w:numId="69">
    <w:abstractNumId w:val="84"/>
  </w:num>
  <w:num w:numId="70">
    <w:abstractNumId w:val="29"/>
  </w:num>
  <w:num w:numId="71">
    <w:abstractNumId w:val="66"/>
  </w:num>
  <w:num w:numId="72">
    <w:abstractNumId w:val="2"/>
  </w:num>
  <w:num w:numId="73">
    <w:abstractNumId w:val="47"/>
  </w:num>
  <w:num w:numId="74">
    <w:abstractNumId w:val="40"/>
  </w:num>
  <w:num w:numId="75">
    <w:abstractNumId w:val="20"/>
  </w:num>
  <w:num w:numId="76">
    <w:abstractNumId w:val="31"/>
  </w:num>
  <w:num w:numId="77">
    <w:abstractNumId w:val="81"/>
  </w:num>
  <w:num w:numId="78">
    <w:abstractNumId w:val="11"/>
  </w:num>
  <w:num w:numId="79">
    <w:abstractNumId w:val="3"/>
  </w:num>
  <w:num w:numId="80">
    <w:abstractNumId w:val="7"/>
  </w:num>
  <w:num w:numId="81">
    <w:abstractNumId w:val="17"/>
  </w:num>
  <w:num w:numId="82">
    <w:abstractNumId w:val="61"/>
  </w:num>
  <w:num w:numId="83">
    <w:abstractNumId w:val="33"/>
  </w:num>
  <w:num w:numId="84">
    <w:abstractNumId w:val="25"/>
  </w:num>
  <w:num w:numId="85">
    <w:abstractNumId w:val="76"/>
  </w:num>
  <w:num w:numId="86">
    <w:abstractNumId w:val="16"/>
  </w:num>
  <w:num w:numId="87">
    <w:abstractNumId w:val="51"/>
  </w:num>
  <w:num w:numId="88">
    <w:abstractNumId w:val="8"/>
  </w:num>
  <w:num w:numId="89">
    <w:abstractNumId w:val="67"/>
  </w:num>
  <w:num w:numId="90">
    <w:abstractNumId w:val="1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509"/>
    <w:rsid w:val="000012C0"/>
    <w:rsid w:val="000261CF"/>
    <w:rsid w:val="000510EB"/>
    <w:rsid w:val="00063787"/>
    <w:rsid w:val="00082F84"/>
    <w:rsid w:val="00082FC7"/>
    <w:rsid w:val="00090D4C"/>
    <w:rsid w:val="000B0B0C"/>
    <w:rsid w:val="000B1DB6"/>
    <w:rsid w:val="000B7CA1"/>
    <w:rsid w:val="000D0104"/>
    <w:rsid w:val="000E01E7"/>
    <w:rsid w:val="000F0371"/>
    <w:rsid w:val="000F3F6E"/>
    <w:rsid w:val="001024B8"/>
    <w:rsid w:val="001138EC"/>
    <w:rsid w:val="0012009A"/>
    <w:rsid w:val="0012491C"/>
    <w:rsid w:val="00124C9D"/>
    <w:rsid w:val="001411E3"/>
    <w:rsid w:val="00152356"/>
    <w:rsid w:val="00153C5E"/>
    <w:rsid w:val="0018784E"/>
    <w:rsid w:val="00197E41"/>
    <w:rsid w:val="001A24C3"/>
    <w:rsid w:val="001B7421"/>
    <w:rsid w:val="001C0061"/>
    <w:rsid w:val="001C33FB"/>
    <w:rsid w:val="001C7D7E"/>
    <w:rsid w:val="001C7DE1"/>
    <w:rsid w:val="001E25B1"/>
    <w:rsid w:val="001E64AF"/>
    <w:rsid w:val="001F46F2"/>
    <w:rsid w:val="001F5715"/>
    <w:rsid w:val="00214F4F"/>
    <w:rsid w:val="002216E5"/>
    <w:rsid w:val="00221CD8"/>
    <w:rsid w:val="0022588F"/>
    <w:rsid w:val="002267DF"/>
    <w:rsid w:val="00235217"/>
    <w:rsid w:val="002376DB"/>
    <w:rsid w:val="00240634"/>
    <w:rsid w:val="0024161C"/>
    <w:rsid w:val="00242E77"/>
    <w:rsid w:val="00253537"/>
    <w:rsid w:val="00266B67"/>
    <w:rsid w:val="0028108F"/>
    <w:rsid w:val="002A62BD"/>
    <w:rsid w:val="002B3A5B"/>
    <w:rsid w:val="002C2B58"/>
    <w:rsid w:val="002D2F02"/>
    <w:rsid w:val="00303FE1"/>
    <w:rsid w:val="003178C8"/>
    <w:rsid w:val="00330137"/>
    <w:rsid w:val="00333015"/>
    <w:rsid w:val="003423C4"/>
    <w:rsid w:val="003441CE"/>
    <w:rsid w:val="00355091"/>
    <w:rsid w:val="00361104"/>
    <w:rsid w:val="003615D5"/>
    <w:rsid w:val="0036525D"/>
    <w:rsid w:val="00390059"/>
    <w:rsid w:val="003A1D20"/>
    <w:rsid w:val="003A2C70"/>
    <w:rsid w:val="003A55AF"/>
    <w:rsid w:val="003B11AB"/>
    <w:rsid w:val="003B554C"/>
    <w:rsid w:val="003B5AE0"/>
    <w:rsid w:val="003C7F24"/>
    <w:rsid w:val="003D028D"/>
    <w:rsid w:val="003D1156"/>
    <w:rsid w:val="003D65A1"/>
    <w:rsid w:val="0040049E"/>
    <w:rsid w:val="00412D0A"/>
    <w:rsid w:val="00415C24"/>
    <w:rsid w:val="00435293"/>
    <w:rsid w:val="00435F22"/>
    <w:rsid w:val="00440F5A"/>
    <w:rsid w:val="004439BF"/>
    <w:rsid w:val="00445D35"/>
    <w:rsid w:val="00446FBD"/>
    <w:rsid w:val="004514F6"/>
    <w:rsid w:val="00455E32"/>
    <w:rsid w:val="00457BFA"/>
    <w:rsid w:val="0046330F"/>
    <w:rsid w:val="004731F0"/>
    <w:rsid w:val="00473431"/>
    <w:rsid w:val="00481D82"/>
    <w:rsid w:val="00486124"/>
    <w:rsid w:val="00487B84"/>
    <w:rsid w:val="00495E16"/>
    <w:rsid w:val="004A2A50"/>
    <w:rsid w:val="004B4B70"/>
    <w:rsid w:val="004C068F"/>
    <w:rsid w:val="004C5575"/>
    <w:rsid w:val="004D5A24"/>
    <w:rsid w:val="004E44BB"/>
    <w:rsid w:val="004E4C46"/>
    <w:rsid w:val="004E7B0B"/>
    <w:rsid w:val="00502E5D"/>
    <w:rsid w:val="00505A83"/>
    <w:rsid w:val="005074E7"/>
    <w:rsid w:val="00515C95"/>
    <w:rsid w:val="00527210"/>
    <w:rsid w:val="005274E1"/>
    <w:rsid w:val="00533779"/>
    <w:rsid w:val="00535A37"/>
    <w:rsid w:val="005464D9"/>
    <w:rsid w:val="00560290"/>
    <w:rsid w:val="00572F02"/>
    <w:rsid w:val="005747A5"/>
    <w:rsid w:val="005773CD"/>
    <w:rsid w:val="00580619"/>
    <w:rsid w:val="005954F4"/>
    <w:rsid w:val="005969D2"/>
    <w:rsid w:val="005977D9"/>
    <w:rsid w:val="005A0705"/>
    <w:rsid w:val="005B500C"/>
    <w:rsid w:val="005C0018"/>
    <w:rsid w:val="005C1EF0"/>
    <w:rsid w:val="005D3282"/>
    <w:rsid w:val="005D60E1"/>
    <w:rsid w:val="005D6E41"/>
    <w:rsid w:val="00603CD6"/>
    <w:rsid w:val="006140DB"/>
    <w:rsid w:val="0062417D"/>
    <w:rsid w:val="0064134E"/>
    <w:rsid w:val="006558CF"/>
    <w:rsid w:val="00655D4B"/>
    <w:rsid w:val="006654B2"/>
    <w:rsid w:val="00680F0E"/>
    <w:rsid w:val="00686749"/>
    <w:rsid w:val="006940FF"/>
    <w:rsid w:val="006A06AB"/>
    <w:rsid w:val="006B1485"/>
    <w:rsid w:val="006C2E5A"/>
    <w:rsid w:val="006D1951"/>
    <w:rsid w:val="006D3125"/>
    <w:rsid w:val="0070078C"/>
    <w:rsid w:val="007105A2"/>
    <w:rsid w:val="007263E9"/>
    <w:rsid w:val="00732E1A"/>
    <w:rsid w:val="00751B4D"/>
    <w:rsid w:val="00751C26"/>
    <w:rsid w:val="00755DC4"/>
    <w:rsid w:val="007941FE"/>
    <w:rsid w:val="00795FF4"/>
    <w:rsid w:val="007A5A11"/>
    <w:rsid w:val="007A61B7"/>
    <w:rsid w:val="007A6465"/>
    <w:rsid w:val="007A7F88"/>
    <w:rsid w:val="007B14E8"/>
    <w:rsid w:val="007D439C"/>
    <w:rsid w:val="007E011B"/>
    <w:rsid w:val="007E7C9B"/>
    <w:rsid w:val="007F0210"/>
    <w:rsid w:val="007F28BC"/>
    <w:rsid w:val="00801580"/>
    <w:rsid w:val="00803A3D"/>
    <w:rsid w:val="00805CE6"/>
    <w:rsid w:val="00824DB9"/>
    <w:rsid w:val="008353D9"/>
    <w:rsid w:val="00835CE6"/>
    <w:rsid w:val="00843393"/>
    <w:rsid w:val="00845705"/>
    <w:rsid w:val="0085108B"/>
    <w:rsid w:val="008559BE"/>
    <w:rsid w:val="00874ED2"/>
    <w:rsid w:val="00881E8F"/>
    <w:rsid w:val="00885FEF"/>
    <w:rsid w:val="008A0602"/>
    <w:rsid w:val="008A0854"/>
    <w:rsid w:val="008A3A00"/>
    <w:rsid w:val="008B6BE0"/>
    <w:rsid w:val="008C4D25"/>
    <w:rsid w:val="008D1B62"/>
    <w:rsid w:val="008D4C79"/>
    <w:rsid w:val="008E10E8"/>
    <w:rsid w:val="008E1F30"/>
    <w:rsid w:val="008F18B3"/>
    <w:rsid w:val="008F58BE"/>
    <w:rsid w:val="008F60D3"/>
    <w:rsid w:val="0090250B"/>
    <w:rsid w:val="0090416D"/>
    <w:rsid w:val="00910F36"/>
    <w:rsid w:val="00914B2D"/>
    <w:rsid w:val="00923C91"/>
    <w:rsid w:val="00934181"/>
    <w:rsid w:val="009379B6"/>
    <w:rsid w:val="00941A3F"/>
    <w:rsid w:val="0094313E"/>
    <w:rsid w:val="00943705"/>
    <w:rsid w:val="00952F19"/>
    <w:rsid w:val="00956A3C"/>
    <w:rsid w:val="00963D30"/>
    <w:rsid w:val="00964ACD"/>
    <w:rsid w:val="00965949"/>
    <w:rsid w:val="00980EF5"/>
    <w:rsid w:val="00985520"/>
    <w:rsid w:val="009A1017"/>
    <w:rsid w:val="009A121E"/>
    <w:rsid w:val="009A26AD"/>
    <w:rsid w:val="009A2FC6"/>
    <w:rsid w:val="009C0CCB"/>
    <w:rsid w:val="009C3E4D"/>
    <w:rsid w:val="009D26F3"/>
    <w:rsid w:val="009D726C"/>
    <w:rsid w:val="009E036C"/>
    <w:rsid w:val="009E7463"/>
    <w:rsid w:val="009E7694"/>
    <w:rsid w:val="009F5C4C"/>
    <w:rsid w:val="00A06262"/>
    <w:rsid w:val="00A467D5"/>
    <w:rsid w:val="00A46ACB"/>
    <w:rsid w:val="00A500F0"/>
    <w:rsid w:val="00A54AED"/>
    <w:rsid w:val="00A566B5"/>
    <w:rsid w:val="00A715C5"/>
    <w:rsid w:val="00A721EB"/>
    <w:rsid w:val="00A81985"/>
    <w:rsid w:val="00A81CEB"/>
    <w:rsid w:val="00A82A79"/>
    <w:rsid w:val="00A839D5"/>
    <w:rsid w:val="00A841C7"/>
    <w:rsid w:val="00A867B8"/>
    <w:rsid w:val="00A946B8"/>
    <w:rsid w:val="00AA0302"/>
    <w:rsid w:val="00AA37CC"/>
    <w:rsid w:val="00AA42D8"/>
    <w:rsid w:val="00AB02D4"/>
    <w:rsid w:val="00AB6641"/>
    <w:rsid w:val="00AB6F64"/>
    <w:rsid w:val="00AE37D3"/>
    <w:rsid w:val="00AF6F6C"/>
    <w:rsid w:val="00B05509"/>
    <w:rsid w:val="00B10C9A"/>
    <w:rsid w:val="00B132E2"/>
    <w:rsid w:val="00B160DE"/>
    <w:rsid w:val="00B21230"/>
    <w:rsid w:val="00B23CFE"/>
    <w:rsid w:val="00B27828"/>
    <w:rsid w:val="00B441FA"/>
    <w:rsid w:val="00B47012"/>
    <w:rsid w:val="00B622AC"/>
    <w:rsid w:val="00B8224E"/>
    <w:rsid w:val="00B836A8"/>
    <w:rsid w:val="00B95C5D"/>
    <w:rsid w:val="00B968E9"/>
    <w:rsid w:val="00BB7696"/>
    <w:rsid w:val="00BC1613"/>
    <w:rsid w:val="00BD2CD6"/>
    <w:rsid w:val="00BD3C01"/>
    <w:rsid w:val="00C0153B"/>
    <w:rsid w:val="00C030F2"/>
    <w:rsid w:val="00C05807"/>
    <w:rsid w:val="00C2784A"/>
    <w:rsid w:val="00C306CE"/>
    <w:rsid w:val="00C36989"/>
    <w:rsid w:val="00C6296E"/>
    <w:rsid w:val="00C64EED"/>
    <w:rsid w:val="00C706AB"/>
    <w:rsid w:val="00CC07AD"/>
    <w:rsid w:val="00CC63E9"/>
    <w:rsid w:val="00CC795E"/>
    <w:rsid w:val="00CD112D"/>
    <w:rsid w:val="00CE33ED"/>
    <w:rsid w:val="00CF669D"/>
    <w:rsid w:val="00D0565E"/>
    <w:rsid w:val="00D05C52"/>
    <w:rsid w:val="00D06646"/>
    <w:rsid w:val="00D10834"/>
    <w:rsid w:val="00D12B74"/>
    <w:rsid w:val="00D146C4"/>
    <w:rsid w:val="00D1520F"/>
    <w:rsid w:val="00D1678E"/>
    <w:rsid w:val="00D27F25"/>
    <w:rsid w:val="00D5107E"/>
    <w:rsid w:val="00D51A22"/>
    <w:rsid w:val="00D54345"/>
    <w:rsid w:val="00D5715B"/>
    <w:rsid w:val="00D60B17"/>
    <w:rsid w:val="00D61473"/>
    <w:rsid w:val="00D621B3"/>
    <w:rsid w:val="00D6626C"/>
    <w:rsid w:val="00D740F1"/>
    <w:rsid w:val="00D775C6"/>
    <w:rsid w:val="00D87028"/>
    <w:rsid w:val="00D972B8"/>
    <w:rsid w:val="00DA31E1"/>
    <w:rsid w:val="00DA4877"/>
    <w:rsid w:val="00DB64F4"/>
    <w:rsid w:val="00DB762E"/>
    <w:rsid w:val="00DC047D"/>
    <w:rsid w:val="00DC4D17"/>
    <w:rsid w:val="00DE3C2B"/>
    <w:rsid w:val="00DE6FA3"/>
    <w:rsid w:val="00DF093A"/>
    <w:rsid w:val="00E069B1"/>
    <w:rsid w:val="00E216A6"/>
    <w:rsid w:val="00E261BE"/>
    <w:rsid w:val="00E3048D"/>
    <w:rsid w:val="00E34991"/>
    <w:rsid w:val="00E40794"/>
    <w:rsid w:val="00E4115E"/>
    <w:rsid w:val="00E50B5A"/>
    <w:rsid w:val="00E75DD1"/>
    <w:rsid w:val="00E914E3"/>
    <w:rsid w:val="00EB4D63"/>
    <w:rsid w:val="00EC73D4"/>
    <w:rsid w:val="00ED2B4B"/>
    <w:rsid w:val="00EE089E"/>
    <w:rsid w:val="00F03EAD"/>
    <w:rsid w:val="00F054AE"/>
    <w:rsid w:val="00F420FF"/>
    <w:rsid w:val="00F5354D"/>
    <w:rsid w:val="00F5477D"/>
    <w:rsid w:val="00F6109C"/>
    <w:rsid w:val="00F61CD2"/>
    <w:rsid w:val="00F637D8"/>
    <w:rsid w:val="00FA06C2"/>
    <w:rsid w:val="00FA2EBA"/>
    <w:rsid w:val="00FB0684"/>
    <w:rsid w:val="00FB3320"/>
    <w:rsid w:val="00FC1F84"/>
    <w:rsid w:val="00FE4AC8"/>
    <w:rsid w:val="00FF6CFA"/>
    <w:rsid w:val="00FF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0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00C"/>
    <w:rPr>
      <w:sz w:val="24"/>
      <w:szCs w:val="24"/>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22"/>
      <w:szCs w:val="22"/>
    </w:rPr>
  </w:style>
  <w:style w:type="paragraph" w:styleId="Heading3">
    <w:name w:val="heading 3"/>
    <w:basedOn w:val="Normal"/>
    <w:next w:val="Normal"/>
    <w:link w:val="Heading3Char"/>
    <w:uiPriority w:val="9"/>
    <w:qFormat/>
    <w:pPr>
      <w:keepNext/>
      <w:outlineLvl w:val="2"/>
    </w:pPr>
    <w:rPr>
      <w:b/>
      <w:bCs/>
      <w:sz w:val="22"/>
      <w:szCs w:val="22"/>
    </w:rPr>
  </w:style>
  <w:style w:type="paragraph" w:styleId="Heading4">
    <w:name w:val="heading 4"/>
    <w:basedOn w:val="Normal"/>
    <w:next w:val="Normal"/>
    <w:link w:val="Heading4Char"/>
    <w:uiPriority w:val="9"/>
    <w:qFormat/>
    <w:pPr>
      <w:keepNext/>
      <w:outlineLvl w:val="3"/>
    </w:pPr>
    <w:rPr>
      <w:b/>
      <w:bCs/>
      <w:sz w:val="22"/>
      <w:szCs w:val="22"/>
    </w:rPr>
  </w:style>
  <w:style w:type="paragraph" w:styleId="Heading5">
    <w:name w:val="heading 5"/>
    <w:basedOn w:val="Normal"/>
    <w:next w:val="Normal"/>
    <w:link w:val="Heading5Char"/>
    <w:uiPriority w:val="9"/>
    <w:qFormat/>
    <w:pPr>
      <w:keepNext/>
      <w:jc w:val="center"/>
      <w:outlineLvl w:val="4"/>
    </w:pPr>
    <w:rPr>
      <w:b/>
      <w:u w:val="single"/>
    </w:rPr>
  </w:style>
  <w:style w:type="paragraph" w:styleId="Heading6">
    <w:name w:val="heading 6"/>
    <w:basedOn w:val="Normal"/>
    <w:next w:val="Normal"/>
    <w:link w:val="Heading6Char"/>
    <w:uiPriority w:val="9"/>
    <w:qFormat/>
    <w:pPr>
      <w:keepNext/>
      <w:jc w:val="center"/>
      <w:outlineLvl w:val="5"/>
    </w:pPr>
    <w:rPr>
      <w:b/>
      <w:bCs/>
      <w:sz w:val="20"/>
    </w:rPr>
  </w:style>
  <w:style w:type="paragraph" w:styleId="Heading7">
    <w:name w:val="heading 7"/>
    <w:basedOn w:val="Normal"/>
    <w:next w:val="Normal"/>
    <w:link w:val="Heading7Char"/>
    <w:uiPriority w:val="9"/>
    <w:qFormat/>
    <w:pPr>
      <w:keepNext/>
      <w:spacing w:line="288" w:lineRule="auto"/>
      <w:jc w:val="center"/>
      <w:outlineLvl w:val="6"/>
    </w:pPr>
    <w:rPr>
      <w:b/>
      <w:bCs/>
    </w:rPr>
  </w:style>
  <w:style w:type="paragraph" w:styleId="Heading8">
    <w:name w:val="heading 8"/>
    <w:basedOn w:val="Normal"/>
    <w:next w:val="Normal"/>
    <w:link w:val="Heading8Char"/>
    <w:uiPriority w:val="9"/>
    <w:qFormat/>
    <w:pPr>
      <w:keepNext/>
      <w:outlineLvl w:val="7"/>
    </w:pPr>
    <w:rPr>
      <w:b/>
      <w:bCs/>
      <w:sz w:val="20"/>
    </w:rPr>
  </w:style>
  <w:style w:type="paragraph" w:styleId="Heading9">
    <w:name w:val="heading 9"/>
    <w:basedOn w:val="Normal"/>
    <w:next w:val="Normal"/>
    <w:link w:val="Heading9Char"/>
    <w:uiPriority w:val="9"/>
    <w:qFormat/>
    <w:pPr>
      <w:keepNext/>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Arial" w:hAnsi="Arial" w:cs="Arial"/>
      <w:color w:val="000000"/>
      <w:sz w:val="20"/>
      <w:szCs w:val="20"/>
    </w:rPr>
  </w:style>
  <w:style w:type="character" w:styleId="Hyperlink">
    <w:name w:val="Hyperlink"/>
    <w:uiPriority w:val="99"/>
    <w:rPr>
      <w:color w:val="0000FF"/>
      <w:u w:val="single"/>
    </w:rPr>
  </w:style>
  <w:style w:type="paragraph" w:styleId="BodyText">
    <w:name w:val="Body Text"/>
    <w:basedOn w:val="Normal"/>
    <w:link w:val="BodyTextChar1"/>
    <w:rPr>
      <w:rFonts w:ascii="Arial" w:hAnsi="Arial" w:cs="Arial"/>
      <w:sz w:val="22"/>
    </w:rPr>
  </w:style>
  <w:style w:type="paragraph" w:styleId="FootnoteText">
    <w:name w:val="footnote text"/>
    <w:basedOn w:val="Normal"/>
    <w:link w:val="FootnoteTextChar"/>
    <w:semiHidden/>
    <w:rPr>
      <w:sz w:val="20"/>
      <w:szCs w:val="20"/>
    </w:rPr>
  </w:style>
  <w:style w:type="character" w:styleId="FootnoteReference">
    <w:name w:val="footnote reference"/>
    <w:rPr>
      <w:vertAlign w:val="superscript"/>
    </w:rPr>
  </w:style>
  <w:style w:type="paragraph" w:styleId="CommentText">
    <w:name w:val="annotation text"/>
    <w:basedOn w:val="Normal"/>
    <w:link w:val="CommentTextChar"/>
    <w:semiHidden/>
    <w:rPr>
      <w:sz w:val="20"/>
      <w:szCs w:val="20"/>
    </w:rPr>
  </w:style>
  <w:style w:type="character" w:styleId="FollowedHyperlink">
    <w:name w:val="FollowedHyperlink"/>
    <w:rPr>
      <w:color w:val="800080"/>
      <w:u w:val="single"/>
    </w:rPr>
  </w:style>
  <w:style w:type="paragraph" w:styleId="Header">
    <w:name w:val="header"/>
    <w:basedOn w:val="Normal"/>
    <w:link w:val="HeaderChar"/>
    <w:pPr>
      <w:tabs>
        <w:tab w:val="center" w:pos="4320"/>
        <w:tab w:val="right" w:pos="8640"/>
      </w:tabs>
    </w:pPr>
  </w:style>
  <w:style w:type="paragraph" w:customStyle="1" w:styleId="TableCaption">
    <w:name w:val="TableCaption"/>
    <w:basedOn w:val="Normal"/>
    <w:autoRedefine/>
    <w:rsid w:val="00AB5503"/>
    <w:rPr>
      <w:rFonts w:ascii="Bookman Old Style" w:hAnsi="Bookman Old Style"/>
      <w:bCs/>
      <w:color w:val="000000"/>
    </w:rPr>
  </w:style>
  <w:style w:type="character" w:customStyle="1" w:styleId="TableCaptionChar">
    <w:name w:val="TableCaption Char"/>
    <w:rPr>
      <w:rFonts w:ascii="Bookman Old Style" w:hAnsi="Bookman Old Style"/>
      <w:color w:val="333399"/>
      <w:sz w:val="24"/>
      <w:szCs w:val="24"/>
      <w:lang w:val="en-US" w:eastAsia="en-US" w:bidi="ar-SA"/>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semiHidden/>
    <w:rPr>
      <w:sz w:val="16"/>
      <w:szCs w:val="16"/>
    </w:rPr>
  </w:style>
  <w:style w:type="paragraph" w:customStyle="1" w:styleId="Level1">
    <w:name w:val="Level 1"/>
    <w:basedOn w:val="Normal"/>
    <w:pPr>
      <w:numPr>
        <w:numId w:val="5"/>
      </w:numPr>
    </w:pPr>
  </w:style>
  <w:style w:type="paragraph" w:styleId="BlockText">
    <w:name w:val="Block Text"/>
    <w:basedOn w:val="Normal"/>
    <w:pPr>
      <w:ind w:left="113" w:right="113"/>
      <w:jc w:val="center"/>
    </w:pPr>
    <w:rPr>
      <w:sz w:val="18"/>
    </w:rPr>
  </w:style>
  <w:style w:type="paragraph" w:styleId="BodyTextIndent">
    <w:name w:val="Body Text Indent"/>
    <w:basedOn w:val="Normal"/>
    <w:link w:val="BodyTextIndentChar"/>
    <w:uiPriority w:val="99"/>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paragraph" w:styleId="BalloonText">
    <w:name w:val="Balloon Text"/>
    <w:basedOn w:val="Normal"/>
    <w:link w:val="BalloonTextChar"/>
    <w:semiHidden/>
    <w:rsid w:val="002F0F70"/>
    <w:rPr>
      <w:rFonts w:ascii="Tahoma" w:hAnsi="Tahoma" w:cs="Tahoma"/>
      <w:sz w:val="16"/>
      <w:szCs w:val="16"/>
    </w:rPr>
  </w:style>
  <w:style w:type="paragraph" w:styleId="CommentSubject">
    <w:name w:val="annotation subject"/>
    <w:basedOn w:val="CommentText"/>
    <w:next w:val="CommentText"/>
    <w:link w:val="CommentSubjectChar"/>
    <w:semiHidden/>
    <w:rsid w:val="003A62DE"/>
    <w:rPr>
      <w:b/>
      <w:bCs/>
    </w:rPr>
  </w:style>
  <w:style w:type="paragraph" w:styleId="BodyText2">
    <w:name w:val="Body Text 2"/>
    <w:basedOn w:val="Normal"/>
    <w:rsid w:val="005622BB"/>
    <w:pPr>
      <w:spacing w:after="120" w:line="480" w:lineRule="auto"/>
    </w:pPr>
  </w:style>
  <w:style w:type="paragraph" w:customStyle="1" w:styleId="Default">
    <w:name w:val="Default"/>
    <w:uiPriority w:val="99"/>
    <w:rsid w:val="005622BB"/>
    <w:pPr>
      <w:widowControl w:val="0"/>
      <w:autoSpaceDE w:val="0"/>
      <w:autoSpaceDN w:val="0"/>
      <w:adjustRightInd w:val="0"/>
    </w:pPr>
    <w:rPr>
      <w:rFonts w:ascii="Arial" w:hAnsi="Arial" w:cs="Arial"/>
      <w:color w:val="000000"/>
      <w:sz w:val="24"/>
      <w:szCs w:val="24"/>
    </w:rPr>
  </w:style>
  <w:style w:type="paragraph" w:customStyle="1" w:styleId="CM7">
    <w:name w:val="CM7"/>
    <w:basedOn w:val="Default"/>
    <w:next w:val="Default"/>
    <w:rsid w:val="005622BB"/>
    <w:pPr>
      <w:spacing w:after="250"/>
    </w:pPr>
    <w:rPr>
      <w:rFonts w:cs="Times New Roman"/>
      <w:color w:val="auto"/>
      <w:sz w:val="20"/>
    </w:rPr>
  </w:style>
  <w:style w:type="paragraph" w:customStyle="1" w:styleId="CM4">
    <w:name w:val="CM4"/>
    <w:basedOn w:val="Default"/>
    <w:next w:val="Default"/>
    <w:rsid w:val="005622BB"/>
    <w:pPr>
      <w:spacing w:line="253" w:lineRule="atLeast"/>
    </w:pPr>
    <w:rPr>
      <w:rFonts w:cs="Times New Roman"/>
      <w:color w:val="auto"/>
      <w:sz w:val="20"/>
    </w:rPr>
  </w:style>
  <w:style w:type="paragraph" w:customStyle="1" w:styleId="CM3">
    <w:name w:val="CM3"/>
    <w:basedOn w:val="Default"/>
    <w:next w:val="Default"/>
    <w:rsid w:val="00F415DD"/>
    <w:pPr>
      <w:widowControl/>
      <w:spacing w:after="273"/>
    </w:pPr>
    <w:rPr>
      <w:rFonts w:ascii="Times New Roman" w:hAnsi="Times New Roman" w:cs="Times New Roman"/>
      <w:color w:val="auto"/>
    </w:rPr>
  </w:style>
  <w:style w:type="table" w:styleId="TableGrid">
    <w:name w:val="Table Grid"/>
    <w:basedOn w:val="TableNormal"/>
    <w:uiPriority w:val="59"/>
    <w:rsid w:val="00F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59480F"/>
    <w:pPr>
      <w:spacing w:after="120" w:line="480" w:lineRule="auto"/>
      <w:ind w:left="360"/>
    </w:pPr>
  </w:style>
  <w:style w:type="paragraph" w:styleId="Title">
    <w:name w:val="Title"/>
    <w:basedOn w:val="Normal"/>
    <w:link w:val="TitleChar"/>
    <w:uiPriority w:val="10"/>
    <w:qFormat/>
    <w:rsid w:val="0059480F"/>
    <w:pPr>
      <w:jc w:val="center"/>
    </w:pPr>
    <w:rPr>
      <w:b/>
      <w:sz w:val="28"/>
    </w:rPr>
  </w:style>
  <w:style w:type="character" w:customStyle="1" w:styleId="SYSHYPERTEXT">
    <w:name w:val="SYS_HYPERTEXT"/>
    <w:rsid w:val="00F527CC"/>
    <w:rPr>
      <w:color w:val="0000FF"/>
      <w:u w:val="single"/>
    </w:rPr>
  </w:style>
  <w:style w:type="character" w:styleId="Strong">
    <w:name w:val="Strong"/>
    <w:uiPriority w:val="22"/>
    <w:qFormat/>
    <w:rsid w:val="005F77B3"/>
    <w:rPr>
      <w:b/>
      <w:bCs/>
    </w:rPr>
  </w:style>
  <w:style w:type="paragraph" w:styleId="Revision">
    <w:name w:val="Revision"/>
    <w:hidden/>
    <w:uiPriority w:val="71"/>
    <w:rsid w:val="00C706AB"/>
    <w:rPr>
      <w:sz w:val="24"/>
      <w:szCs w:val="24"/>
    </w:rPr>
  </w:style>
  <w:style w:type="paragraph" w:styleId="NoSpacing">
    <w:name w:val="No Spacing"/>
    <w:uiPriority w:val="1"/>
    <w:qFormat/>
    <w:rsid w:val="005274E1"/>
    <w:rPr>
      <w:rFonts w:ascii="Calibri" w:eastAsia="Calibri" w:hAnsi="Calibri"/>
      <w:sz w:val="22"/>
      <w:szCs w:val="22"/>
    </w:rPr>
  </w:style>
  <w:style w:type="paragraph" w:styleId="ListParagraph">
    <w:name w:val="List Paragraph"/>
    <w:basedOn w:val="Normal"/>
    <w:uiPriority w:val="34"/>
    <w:qFormat/>
    <w:rsid w:val="005274E1"/>
    <w:pPr>
      <w:spacing w:after="200" w:line="276" w:lineRule="auto"/>
      <w:ind w:left="720"/>
      <w:contextualSpacing/>
    </w:pPr>
    <w:rPr>
      <w:rFonts w:ascii="Arial" w:eastAsia="Calibri" w:hAnsi="Arial" w:cs="Arial"/>
      <w:sz w:val="20"/>
      <w:szCs w:val="20"/>
    </w:rPr>
  </w:style>
  <w:style w:type="character" w:customStyle="1" w:styleId="FooterChar">
    <w:name w:val="Footer Char"/>
    <w:link w:val="Footer"/>
    <w:uiPriority w:val="99"/>
    <w:rsid w:val="005274E1"/>
    <w:rPr>
      <w:sz w:val="24"/>
      <w:szCs w:val="24"/>
      <w:lang w:val="en-US" w:eastAsia="en-US"/>
    </w:rPr>
  </w:style>
  <w:style w:type="character" w:customStyle="1" w:styleId="HeaderChar">
    <w:name w:val="Header Char"/>
    <w:link w:val="Header"/>
    <w:rsid w:val="00B23CFE"/>
    <w:rPr>
      <w:sz w:val="24"/>
      <w:szCs w:val="24"/>
    </w:rPr>
  </w:style>
  <w:style w:type="character" w:customStyle="1" w:styleId="Heading1Char">
    <w:name w:val="Heading 1 Char"/>
    <w:basedOn w:val="DefaultParagraphFont"/>
    <w:link w:val="Heading1"/>
    <w:uiPriority w:val="9"/>
    <w:rsid w:val="004439BF"/>
    <w:rPr>
      <w:b/>
      <w:bCs/>
      <w:sz w:val="24"/>
      <w:szCs w:val="24"/>
    </w:rPr>
  </w:style>
  <w:style w:type="character" w:customStyle="1" w:styleId="Heading2Char">
    <w:name w:val="Heading 2 Char"/>
    <w:basedOn w:val="DefaultParagraphFont"/>
    <w:link w:val="Heading2"/>
    <w:uiPriority w:val="9"/>
    <w:rsid w:val="004439BF"/>
    <w:rPr>
      <w:b/>
      <w:bCs/>
      <w:sz w:val="22"/>
      <w:szCs w:val="22"/>
    </w:rPr>
  </w:style>
  <w:style w:type="character" w:customStyle="1" w:styleId="Heading3Char">
    <w:name w:val="Heading 3 Char"/>
    <w:basedOn w:val="DefaultParagraphFont"/>
    <w:link w:val="Heading3"/>
    <w:uiPriority w:val="9"/>
    <w:rsid w:val="004439BF"/>
    <w:rPr>
      <w:b/>
      <w:bCs/>
      <w:sz w:val="22"/>
      <w:szCs w:val="22"/>
    </w:rPr>
  </w:style>
  <w:style w:type="character" w:customStyle="1" w:styleId="BalloonTextChar">
    <w:name w:val="Balloon Text Char"/>
    <w:basedOn w:val="DefaultParagraphFont"/>
    <w:link w:val="BalloonText"/>
    <w:semiHidden/>
    <w:rsid w:val="004439BF"/>
    <w:rPr>
      <w:rFonts w:ascii="Tahoma" w:hAnsi="Tahoma" w:cs="Tahoma"/>
      <w:sz w:val="16"/>
      <w:szCs w:val="16"/>
    </w:rPr>
  </w:style>
  <w:style w:type="character" w:customStyle="1" w:styleId="Heading4Char">
    <w:name w:val="Heading 4 Char"/>
    <w:basedOn w:val="DefaultParagraphFont"/>
    <w:link w:val="Heading4"/>
    <w:uiPriority w:val="9"/>
    <w:rsid w:val="004439BF"/>
    <w:rPr>
      <w:b/>
      <w:bCs/>
      <w:sz w:val="22"/>
      <w:szCs w:val="22"/>
    </w:rPr>
  </w:style>
  <w:style w:type="character" w:customStyle="1" w:styleId="Heading5Char">
    <w:name w:val="Heading 5 Char"/>
    <w:basedOn w:val="DefaultParagraphFont"/>
    <w:link w:val="Heading5"/>
    <w:uiPriority w:val="9"/>
    <w:rsid w:val="004439BF"/>
    <w:rPr>
      <w:b/>
      <w:sz w:val="24"/>
      <w:szCs w:val="24"/>
      <w:u w:val="single"/>
    </w:rPr>
  </w:style>
  <w:style w:type="character" w:customStyle="1" w:styleId="Heading6Char">
    <w:name w:val="Heading 6 Char"/>
    <w:basedOn w:val="DefaultParagraphFont"/>
    <w:link w:val="Heading6"/>
    <w:uiPriority w:val="9"/>
    <w:rsid w:val="004439BF"/>
    <w:rPr>
      <w:b/>
      <w:bCs/>
      <w:szCs w:val="24"/>
    </w:rPr>
  </w:style>
  <w:style w:type="character" w:customStyle="1" w:styleId="Heading7Char">
    <w:name w:val="Heading 7 Char"/>
    <w:basedOn w:val="DefaultParagraphFont"/>
    <w:link w:val="Heading7"/>
    <w:uiPriority w:val="9"/>
    <w:rsid w:val="004439BF"/>
    <w:rPr>
      <w:b/>
      <w:bCs/>
      <w:sz w:val="24"/>
      <w:szCs w:val="24"/>
    </w:rPr>
  </w:style>
  <w:style w:type="character" w:customStyle="1" w:styleId="Heading8Char">
    <w:name w:val="Heading 8 Char"/>
    <w:basedOn w:val="DefaultParagraphFont"/>
    <w:link w:val="Heading8"/>
    <w:uiPriority w:val="9"/>
    <w:rsid w:val="004439BF"/>
    <w:rPr>
      <w:b/>
      <w:bCs/>
      <w:szCs w:val="24"/>
    </w:rPr>
  </w:style>
  <w:style w:type="character" w:customStyle="1" w:styleId="Heading9Char">
    <w:name w:val="Heading 9 Char"/>
    <w:basedOn w:val="DefaultParagraphFont"/>
    <w:link w:val="Heading9"/>
    <w:uiPriority w:val="9"/>
    <w:rsid w:val="004439BF"/>
    <w:rPr>
      <w:b/>
      <w:bCs/>
      <w:sz w:val="18"/>
      <w:szCs w:val="24"/>
    </w:rPr>
  </w:style>
  <w:style w:type="character" w:customStyle="1" w:styleId="Hypertext">
    <w:name w:val="Hypertext"/>
    <w:rsid w:val="004439BF"/>
    <w:rPr>
      <w:color w:val="0000FF"/>
      <w:u w:val="single"/>
    </w:rPr>
  </w:style>
  <w:style w:type="paragraph" w:styleId="ListBullet2">
    <w:name w:val="List Bullet 2"/>
    <w:basedOn w:val="Normal"/>
    <w:rsid w:val="004439BF"/>
    <w:pPr>
      <w:numPr>
        <w:numId w:val="42"/>
      </w:numPr>
    </w:pPr>
    <w:rPr>
      <w:rFonts w:eastAsiaTheme="minorEastAsia" w:cstheme="minorBidi"/>
      <w:sz w:val="20"/>
      <w:szCs w:val="20"/>
      <w:lang w:bidi="en-US"/>
    </w:rPr>
  </w:style>
  <w:style w:type="character" w:customStyle="1" w:styleId="BodyTextChar">
    <w:name w:val="Body Text Char"/>
    <w:basedOn w:val="DefaultParagraphFont"/>
    <w:rsid w:val="004439BF"/>
    <w:rPr>
      <w:rFonts w:ascii="Arial" w:eastAsiaTheme="minorEastAsia" w:hAnsi="Arial"/>
      <w:sz w:val="24"/>
      <w:lang w:bidi="en-US"/>
    </w:rPr>
  </w:style>
  <w:style w:type="paragraph" w:styleId="BodyTextFirstIndent">
    <w:name w:val="Body Text First Indent"/>
    <w:basedOn w:val="BodyText"/>
    <w:link w:val="BodyTextFirstIndentChar"/>
    <w:rsid w:val="004439BF"/>
    <w:pPr>
      <w:spacing w:after="120"/>
      <w:ind w:firstLine="210"/>
    </w:pPr>
    <w:rPr>
      <w:rFonts w:ascii="Times New Roman" w:eastAsiaTheme="minorEastAsia" w:hAnsi="Times New Roman" w:cstheme="minorBidi"/>
      <w:sz w:val="24"/>
      <w:szCs w:val="20"/>
      <w:lang w:bidi="en-US"/>
    </w:rPr>
  </w:style>
  <w:style w:type="character" w:customStyle="1" w:styleId="BodyTextChar1">
    <w:name w:val="Body Text Char1"/>
    <w:basedOn w:val="DefaultParagraphFont"/>
    <w:link w:val="BodyText"/>
    <w:rsid w:val="004439BF"/>
    <w:rPr>
      <w:rFonts w:ascii="Arial" w:hAnsi="Arial" w:cs="Arial"/>
      <w:sz w:val="22"/>
      <w:szCs w:val="24"/>
    </w:rPr>
  </w:style>
  <w:style w:type="character" w:customStyle="1" w:styleId="BodyTextFirstIndentChar">
    <w:name w:val="Body Text First Indent Char"/>
    <w:basedOn w:val="BodyTextChar1"/>
    <w:link w:val="BodyTextFirstIndent"/>
    <w:rsid w:val="004439BF"/>
    <w:rPr>
      <w:rFonts w:ascii="Arial" w:eastAsiaTheme="minorEastAsia" w:hAnsi="Arial" w:cstheme="minorBidi"/>
      <w:sz w:val="24"/>
      <w:szCs w:val="24"/>
      <w:lang w:bidi="en-US"/>
    </w:rPr>
  </w:style>
  <w:style w:type="character" w:customStyle="1" w:styleId="FootnoteTextChar">
    <w:name w:val="Footnote Text Char"/>
    <w:basedOn w:val="DefaultParagraphFont"/>
    <w:link w:val="FootnoteText"/>
    <w:semiHidden/>
    <w:rsid w:val="004439BF"/>
  </w:style>
  <w:style w:type="paragraph" w:styleId="HTMLPreformatted">
    <w:name w:val="HTML Preformatted"/>
    <w:basedOn w:val="Normal"/>
    <w:link w:val="HTMLPreformattedChar"/>
    <w:rsid w:val="00443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4439BF"/>
    <w:rPr>
      <w:rFonts w:ascii="Courier New" w:eastAsiaTheme="minorEastAsia" w:hAnsi="Courier New" w:cs="Courier New"/>
      <w:color w:val="000000"/>
      <w:lang w:bidi="en-US"/>
    </w:rPr>
  </w:style>
  <w:style w:type="paragraph" w:styleId="EndnoteText">
    <w:name w:val="endnote text"/>
    <w:basedOn w:val="Normal"/>
    <w:link w:val="EndnoteTextChar"/>
    <w:rsid w:val="004439BF"/>
    <w:rPr>
      <w:rFonts w:ascii="Arial" w:eastAsiaTheme="minorEastAsia" w:hAnsi="Arial" w:cstheme="minorBidi"/>
      <w:sz w:val="20"/>
      <w:szCs w:val="20"/>
      <w:lang w:bidi="en-US"/>
    </w:rPr>
  </w:style>
  <w:style w:type="character" w:customStyle="1" w:styleId="EndnoteTextChar">
    <w:name w:val="Endnote Text Char"/>
    <w:basedOn w:val="DefaultParagraphFont"/>
    <w:link w:val="EndnoteText"/>
    <w:rsid w:val="004439BF"/>
    <w:rPr>
      <w:rFonts w:ascii="Arial" w:eastAsiaTheme="minorEastAsia" w:hAnsi="Arial" w:cstheme="minorBidi"/>
      <w:lang w:bidi="en-US"/>
    </w:rPr>
  </w:style>
  <w:style w:type="character" w:styleId="EndnoteReference">
    <w:name w:val="endnote reference"/>
    <w:rsid w:val="004439BF"/>
    <w:rPr>
      <w:vertAlign w:val="superscript"/>
    </w:rPr>
  </w:style>
  <w:style w:type="character" w:customStyle="1" w:styleId="CommentTextChar">
    <w:name w:val="Comment Text Char"/>
    <w:basedOn w:val="DefaultParagraphFont"/>
    <w:link w:val="CommentText"/>
    <w:semiHidden/>
    <w:rsid w:val="004439BF"/>
  </w:style>
  <w:style w:type="character" w:customStyle="1" w:styleId="CommentSubjectChar">
    <w:name w:val="Comment Subject Char"/>
    <w:basedOn w:val="CommentTextChar"/>
    <w:link w:val="CommentSubject"/>
    <w:semiHidden/>
    <w:rsid w:val="004439BF"/>
    <w:rPr>
      <w:b/>
      <w:bCs/>
    </w:rPr>
  </w:style>
  <w:style w:type="paragraph" w:styleId="List2">
    <w:name w:val="List 2"/>
    <w:basedOn w:val="Normal"/>
    <w:link w:val="List2Char"/>
    <w:rsid w:val="004439BF"/>
    <w:pPr>
      <w:ind w:left="720" w:hanging="360"/>
    </w:pPr>
    <w:rPr>
      <w:rFonts w:eastAsiaTheme="minorEastAsia" w:cstheme="minorBidi"/>
      <w:sz w:val="20"/>
      <w:szCs w:val="20"/>
      <w:lang w:bidi="en-US"/>
    </w:rPr>
  </w:style>
  <w:style w:type="character" w:customStyle="1" w:styleId="List2Char">
    <w:name w:val="List 2 Char"/>
    <w:link w:val="List2"/>
    <w:rsid w:val="004439BF"/>
    <w:rPr>
      <w:rFonts w:eastAsiaTheme="minorEastAsia" w:cstheme="minorBidi"/>
      <w:lang w:bidi="en-US"/>
    </w:rPr>
  </w:style>
  <w:style w:type="numbering" w:customStyle="1" w:styleId="NoList1">
    <w:name w:val="No List1"/>
    <w:next w:val="NoList"/>
    <w:semiHidden/>
    <w:rsid w:val="004439BF"/>
  </w:style>
  <w:style w:type="table" w:customStyle="1" w:styleId="TableGrid1">
    <w:name w:val="Table Grid1"/>
    <w:basedOn w:val="TableNormal"/>
    <w:next w:val="TableGrid"/>
    <w:rsid w:val="004439BF"/>
    <w:pPr>
      <w:spacing w:after="200" w:line="276" w:lineRule="auto"/>
    </w:pPr>
    <w:rPr>
      <w:rFonts w:asciiTheme="minorHAnsi" w:eastAsiaTheme="minorEastAsia" w:hAnsiTheme="minorHAnsi" w:cstheme="minorBid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4">
    <w:name w:val="CM34"/>
    <w:basedOn w:val="Default"/>
    <w:next w:val="Default"/>
    <w:uiPriority w:val="99"/>
    <w:rsid w:val="004439BF"/>
    <w:pPr>
      <w:spacing w:after="278" w:line="276" w:lineRule="auto"/>
    </w:pPr>
    <w:rPr>
      <w:rFonts w:eastAsiaTheme="minorEastAsia" w:cstheme="minorBidi"/>
      <w:color w:val="auto"/>
      <w:sz w:val="22"/>
      <w:szCs w:val="22"/>
      <w:lang w:bidi="en-US"/>
    </w:rPr>
  </w:style>
  <w:style w:type="paragraph" w:customStyle="1" w:styleId="CM33">
    <w:name w:val="CM33"/>
    <w:basedOn w:val="Default"/>
    <w:next w:val="Default"/>
    <w:uiPriority w:val="99"/>
    <w:rsid w:val="004439BF"/>
    <w:pPr>
      <w:spacing w:after="110" w:line="276" w:lineRule="auto"/>
    </w:pPr>
    <w:rPr>
      <w:rFonts w:eastAsiaTheme="minorEastAsia" w:cstheme="minorBidi"/>
      <w:color w:val="auto"/>
      <w:sz w:val="22"/>
      <w:szCs w:val="22"/>
      <w:lang w:bidi="en-US"/>
    </w:rPr>
  </w:style>
  <w:style w:type="paragraph" w:styleId="Caption">
    <w:name w:val="caption"/>
    <w:basedOn w:val="Normal"/>
    <w:next w:val="Normal"/>
    <w:uiPriority w:val="35"/>
    <w:semiHidden/>
    <w:unhideWhenUsed/>
    <w:qFormat/>
    <w:rsid w:val="004439BF"/>
    <w:rPr>
      <w:rFonts w:ascii="Arial" w:eastAsiaTheme="minorEastAsia" w:hAnsi="Arial" w:cstheme="minorBidi"/>
      <w:b/>
      <w:bCs/>
      <w:color w:val="4F81BD" w:themeColor="accent1"/>
      <w:sz w:val="18"/>
      <w:szCs w:val="18"/>
      <w:lang w:bidi="en-US"/>
    </w:rPr>
  </w:style>
  <w:style w:type="character" w:customStyle="1" w:styleId="TitleChar">
    <w:name w:val="Title Char"/>
    <w:basedOn w:val="DefaultParagraphFont"/>
    <w:link w:val="Title"/>
    <w:uiPriority w:val="10"/>
    <w:rsid w:val="004439BF"/>
    <w:rPr>
      <w:b/>
      <w:sz w:val="28"/>
      <w:szCs w:val="24"/>
    </w:rPr>
  </w:style>
  <w:style w:type="paragraph" w:styleId="Subtitle">
    <w:name w:val="Subtitle"/>
    <w:basedOn w:val="Normal"/>
    <w:next w:val="Normal"/>
    <w:link w:val="SubtitleChar"/>
    <w:uiPriority w:val="11"/>
    <w:qFormat/>
    <w:rsid w:val="004439BF"/>
    <w:pPr>
      <w:numPr>
        <w:ilvl w:val="1"/>
      </w:numPr>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4439BF"/>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4439BF"/>
    <w:rPr>
      <w:i/>
      <w:iCs/>
    </w:rPr>
  </w:style>
  <w:style w:type="paragraph" w:styleId="Quote">
    <w:name w:val="Quote"/>
    <w:basedOn w:val="Normal"/>
    <w:next w:val="Normal"/>
    <w:link w:val="QuoteChar"/>
    <w:uiPriority w:val="29"/>
    <w:qFormat/>
    <w:rsid w:val="004439BF"/>
    <w:rPr>
      <w:rFonts w:ascii="Arial" w:eastAsiaTheme="minorEastAsia" w:hAnsi="Arial" w:cstheme="minorBidi"/>
      <w:i/>
      <w:iCs/>
      <w:color w:val="000000" w:themeColor="text1"/>
      <w:szCs w:val="22"/>
      <w:lang w:bidi="en-US"/>
    </w:rPr>
  </w:style>
  <w:style w:type="character" w:customStyle="1" w:styleId="QuoteChar">
    <w:name w:val="Quote Char"/>
    <w:basedOn w:val="DefaultParagraphFont"/>
    <w:link w:val="Quote"/>
    <w:uiPriority w:val="29"/>
    <w:rsid w:val="004439BF"/>
    <w:rPr>
      <w:rFonts w:ascii="Arial" w:eastAsiaTheme="minorEastAsia" w:hAnsi="Arial" w:cstheme="minorBidi"/>
      <w:i/>
      <w:iCs/>
      <w:color w:val="000000" w:themeColor="text1"/>
      <w:sz w:val="24"/>
      <w:szCs w:val="22"/>
      <w:lang w:bidi="en-US"/>
    </w:rPr>
  </w:style>
  <w:style w:type="paragraph" w:styleId="IntenseQuote">
    <w:name w:val="Intense Quote"/>
    <w:basedOn w:val="Normal"/>
    <w:next w:val="Normal"/>
    <w:link w:val="IntenseQuoteChar"/>
    <w:uiPriority w:val="30"/>
    <w:qFormat/>
    <w:rsid w:val="004439BF"/>
    <w:pPr>
      <w:pBdr>
        <w:bottom w:val="single" w:sz="4" w:space="4" w:color="4F81BD" w:themeColor="accent1"/>
      </w:pBdr>
      <w:spacing w:before="200" w:after="280"/>
      <w:ind w:left="936" w:right="936"/>
    </w:pPr>
    <w:rPr>
      <w:rFonts w:ascii="Arial" w:eastAsiaTheme="minorEastAsia" w:hAnsi="Arial" w:cstheme="minorBidi"/>
      <w:b/>
      <w:bCs/>
      <w:i/>
      <w:iCs/>
      <w:color w:val="4F81BD" w:themeColor="accent1"/>
      <w:szCs w:val="22"/>
      <w:lang w:bidi="en-US"/>
    </w:rPr>
  </w:style>
  <w:style w:type="character" w:customStyle="1" w:styleId="IntenseQuoteChar">
    <w:name w:val="Intense Quote Char"/>
    <w:basedOn w:val="DefaultParagraphFont"/>
    <w:link w:val="IntenseQuote"/>
    <w:uiPriority w:val="30"/>
    <w:rsid w:val="004439BF"/>
    <w:rPr>
      <w:rFonts w:ascii="Arial" w:eastAsiaTheme="minorEastAsia" w:hAnsi="Arial" w:cstheme="minorBidi"/>
      <w:b/>
      <w:bCs/>
      <w:i/>
      <w:iCs/>
      <w:color w:val="4F81BD" w:themeColor="accent1"/>
      <w:sz w:val="24"/>
      <w:szCs w:val="22"/>
      <w:lang w:bidi="en-US"/>
    </w:rPr>
  </w:style>
  <w:style w:type="character" w:styleId="SubtleEmphasis">
    <w:name w:val="Subtle Emphasis"/>
    <w:basedOn w:val="DefaultParagraphFont"/>
    <w:uiPriority w:val="19"/>
    <w:qFormat/>
    <w:rsid w:val="004439BF"/>
    <w:rPr>
      <w:i/>
      <w:iCs/>
      <w:color w:val="808080" w:themeColor="text1" w:themeTint="7F"/>
    </w:rPr>
  </w:style>
  <w:style w:type="character" w:styleId="IntenseEmphasis">
    <w:name w:val="Intense Emphasis"/>
    <w:basedOn w:val="DefaultParagraphFont"/>
    <w:uiPriority w:val="21"/>
    <w:qFormat/>
    <w:rsid w:val="004439BF"/>
    <w:rPr>
      <w:b/>
      <w:bCs/>
      <w:i/>
      <w:iCs/>
      <w:color w:val="4F81BD" w:themeColor="accent1"/>
    </w:rPr>
  </w:style>
  <w:style w:type="character" w:styleId="SubtleReference">
    <w:name w:val="Subtle Reference"/>
    <w:basedOn w:val="DefaultParagraphFont"/>
    <w:uiPriority w:val="31"/>
    <w:qFormat/>
    <w:rsid w:val="004439BF"/>
    <w:rPr>
      <w:smallCaps/>
      <w:color w:val="C0504D" w:themeColor="accent2"/>
      <w:u w:val="single"/>
    </w:rPr>
  </w:style>
  <w:style w:type="character" w:styleId="IntenseReference">
    <w:name w:val="Intense Reference"/>
    <w:basedOn w:val="DefaultParagraphFont"/>
    <w:uiPriority w:val="32"/>
    <w:qFormat/>
    <w:rsid w:val="004439BF"/>
    <w:rPr>
      <w:b/>
      <w:bCs/>
      <w:smallCaps/>
      <w:color w:val="C0504D" w:themeColor="accent2"/>
      <w:spacing w:val="5"/>
      <w:u w:val="single"/>
    </w:rPr>
  </w:style>
  <w:style w:type="character" w:styleId="BookTitle">
    <w:name w:val="Book Title"/>
    <w:basedOn w:val="DefaultParagraphFont"/>
    <w:uiPriority w:val="33"/>
    <w:qFormat/>
    <w:rsid w:val="004439BF"/>
    <w:rPr>
      <w:b/>
      <w:bCs/>
      <w:smallCaps/>
      <w:spacing w:val="5"/>
    </w:rPr>
  </w:style>
  <w:style w:type="paragraph" w:styleId="TOCHeading">
    <w:name w:val="TOC Heading"/>
    <w:basedOn w:val="Heading1"/>
    <w:next w:val="Normal"/>
    <w:uiPriority w:val="39"/>
    <w:semiHidden/>
    <w:unhideWhenUsed/>
    <w:qFormat/>
    <w:rsid w:val="004439BF"/>
    <w:pPr>
      <w:keepLines/>
      <w:ind w:left="432" w:hanging="432"/>
      <w:outlineLvl w:val="9"/>
    </w:pPr>
    <w:rPr>
      <w:rFonts w:ascii="Arial" w:eastAsiaTheme="majorEastAsia" w:hAnsi="Arial" w:cstheme="majorBidi"/>
      <w:sz w:val="32"/>
      <w:szCs w:val="28"/>
      <w:lang w:bidi="en-US"/>
    </w:rPr>
  </w:style>
  <w:style w:type="paragraph" w:customStyle="1" w:styleId="GPOAGENCY">
    <w:name w:val="GPO AGENCY"/>
    <w:basedOn w:val="Normal"/>
    <w:link w:val="GPOAGENCYChar"/>
    <w:rsid w:val="004439BF"/>
    <w:pPr>
      <w:widowControl w:val="0"/>
      <w:autoSpaceDE w:val="0"/>
      <w:autoSpaceDN w:val="0"/>
      <w:adjustRightInd w:val="0"/>
    </w:pPr>
    <w:rPr>
      <w:b/>
      <w:bCs/>
      <w:szCs w:val="20"/>
    </w:rPr>
  </w:style>
  <w:style w:type="character" w:customStyle="1" w:styleId="GPOAGENCYChar">
    <w:name w:val="GPO AGENCY Char"/>
    <w:basedOn w:val="DefaultParagraphFont"/>
    <w:link w:val="GPOAGENCY"/>
    <w:locked/>
    <w:rsid w:val="004439BF"/>
    <w:rPr>
      <w:b/>
      <w:bCs/>
      <w:sz w:val="24"/>
    </w:rPr>
  </w:style>
  <w:style w:type="character" w:styleId="PlaceholderText">
    <w:name w:val="Placeholder Text"/>
    <w:basedOn w:val="DefaultParagraphFont"/>
    <w:uiPriority w:val="99"/>
    <w:semiHidden/>
    <w:rsid w:val="004439BF"/>
    <w:rPr>
      <w:color w:val="808080"/>
    </w:rPr>
  </w:style>
  <w:style w:type="paragraph" w:customStyle="1" w:styleId="a">
    <w:name w:val=""/>
    <w:rsid w:val="004439BF"/>
    <w:pPr>
      <w:autoSpaceDE w:val="0"/>
      <w:autoSpaceDN w:val="0"/>
      <w:adjustRightInd w:val="0"/>
      <w:ind w:left="-1440"/>
    </w:pPr>
    <w:rPr>
      <w:sz w:val="24"/>
      <w:szCs w:val="24"/>
    </w:rPr>
  </w:style>
  <w:style w:type="character" w:customStyle="1" w:styleId="BodyTextIndentChar">
    <w:name w:val="Body Text Indent Char"/>
    <w:basedOn w:val="DefaultParagraphFont"/>
    <w:link w:val="BodyTextIndent"/>
    <w:uiPriority w:val="99"/>
    <w:rsid w:val="004439BF"/>
    <w:rPr>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00C"/>
    <w:rPr>
      <w:sz w:val="24"/>
      <w:szCs w:val="24"/>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22"/>
      <w:szCs w:val="22"/>
    </w:rPr>
  </w:style>
  <w:style w:type="paragraph" w:styleId="Heading3">
    <w:name w:val="heading 3"/>
    <w:basedOn w:val="Normal"/>
    <w:next w:val="Normal"/>
    <w:link w:val="Heading3Char"/>
    <w:uiPriority w:val="9"/>
    <w:qFormat/>
    <w:pPr>
      <w:keepNext/>
      <w:outlineLvl w:val="2"/>
    </w:pPr>
    <w:rPr>
      <w:b/>
      <w:bCs/>
      <w:sz w:val="22"/>
      <w:szCs w:val="22"/>
    </w:rPr>
  </w:style>
  <w:style w:type="paragraph" w:styleId="Heading4">
    <w:name w:val="heading 4"/>
    <w:basedOn w:val="Normal"/>
    <w:next w:val="Normal"/>
    <w:link w:val="Heading4Char"/>
    <w:uiPriority w:val="9"/>
    <w:qFormat/>
    <w:pPr>
      <w:keepNext/>
      <w:outlineLvl w:val="3"/>
    </w:pPr>
    <w:rPr>
      <w:b/>
      <w:bCs/>
      <w:sz w:val="22"/>
      <w:szCs w:val="22"/>
    </w:rPr>
  </w:style>
  <w:style w:type="paragraph" w:styleId="Heading5">
    <w:name w:val="heading 5"/>
    <w:basedOn w:val="Normal"/>
    <w:next w:val="Normal"/>
    <w:link w:val="Heading5Char"/>
    <w:uiPriority w:val="9"/>
    <w:qFormat/>
    <w:pPr>
      <w:keepNext/>
      <w:jc w:val="center"/>
      <w:outlineLvl w:val="4"/>
    </w:pPr>
    <w:rPr>
      <w:b/>
      <w:u w:val="single"/>
    </w:rPr>
  </w:style>
  <w:style w:type="paragraph" w:styleId="Heading6">
    <w:name w:val="heading 6"/>
    <w:basedOn w:val="Normal"/>
    <w:next w:val="Normal"/>
    <w:link w:val="Heading6Char"/>
    <w:uiPriority w:val="9"/>
    <w:qFormat/>
    <w:pPr>
      <w:keepNext/>
      <w:jc w:val="center"/>
      <w:outlineLvl w:val="5"/>
    </w:pPr>
    <w:rPr>
      <w:b/>
      <w:bCs/>
      <w:sz w:val="20"/>
    </w:rPr>
  </w:style>
  <w:style w:type="paragraph" w:styleId="Heading7">
    <w:name w:val="heading 7"/>
    <w:basedOn w:val="Normal"/>
    <w:next w:val="Normal"/>
    <w:link w:val="Heading7Char"/>
    <w:uiPriority w:val="9"/>
    <w:qFormat/>
    <w:pPr>
      <w:keepNext/>
      <w:spacing w:line="288" w:lineRule="auto"/>
      <w:jc w:val="center"/>
      <w:outlineLvl w:val="6"/>
    </w:pPr>
    <w:rPr>
      <w:b/>
      <w:bCs/>
    </w:rPr>
  </w:style>
  <w:style w:type="paragraph" w:styleId="Heading8">
    <w:name w:val="heading 8"/>
    <w:basedOn w:val="Normal"/>
    <w:next w:val="Normal"/>
    <w:link w:val="Heading8Char"/>
    <w:uiPriority w:val="9"/>
    <w:qFormat/>
    <w:pPr>
      <w:keepNext/>
      <w:outlineLvl w:val="7"/>
    </w:pPr>
    <w:rPr>
      <w:b/>
      <w:bCs/>
      <w:sz w:val="20"/>
    </w:rPr>
  </w:style>
  <w:style w:type="paragraph" w:styleId="Heading9">
    <w:name w:val="heading 9"/>
    <w:basedOn w:val="Normal"/>
    <w:next w:val="Normal"/>
    <w:link w:val="Heading9Char"/>
    <w:uiPriority w:val="9"/>
    <w:qFormat/>
    <w:pPr>
      <w:keepNext/>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Arial" w:hAnsi="Arial" w:cs="Arial"/>
      <w:color w:val="000000"/>
      <w:sz w:val="20"/>
      <w:szCs w:val="20"/>
    </w:rPr>
  </w:style>
  <w:style w:type="character" w:styleId="Hyperlink">
    <w:name w:val="Hyperlink"/>
    <w:uiPriority w:val="99"/>
    <w:rPr>
      <w:color w:val="0000FF"/>
      <w:u w:val="single"/>
    </w:rPr>
  </w:style>
  <w:style w:type="paragraph" w:styleId="BodyText">
    <w:name w:val="Body Text"/>
    <w:basedOn w:val="Normal"/>
    <w:link w:val="BodyTextChar1"/>
    <w:rPr>
      <w:rFonts w:ascii="Arial" w:hAnsi="Arial" w:cs="Arial"/>
      <w:sz w:val="22"/>
    </w:rPr>
  </w:style>
  <w:style w:type="paragraph" w:styleId="FootnoteText">
    <w:name w:val="footnote text"/>
    <w:basedOn w:val="Normal"/>
    <w:link w:val="FootnoteTextChar"/>
    <w:semiHidden/>
    <w:rPr>
      <w:sz w:val="20"/>
      <w:szCs w:val="20"/>
    </w:rPr>
  </w:style>
  <w:style w:type="character" w:styleId="FootnoteReference">
    <w:name w:val="footnote reference"/>
    <w:rPr>
      <w:vertAlign w:val="superscript"/>
    </w:rPr>
  </w:style>
  <w:style w:type="paragraph" w:styleId="CommentText">
    <w:name w:val="annotation text"/>
    <w:basedOn w:val="Normal"/>
    <w:link w:val="CommentTextChar"/>
    <w:semiHidden/>
    <w:rPr>
      <w:sz w:val="20"/>
      <w:szCs w:val="20"/>
    </w:rPr>
  </w:style>
  <w:style w:type="character" w:styleId="FollowedHyperlink">
    <w:name w:val="FollowedHyperlink"/>
    <w:rPr>
      <w:color w:val="800080"/>
      <w:u w:val="single"/>
    </w:rPr>
  </w:style>
  <w:style w:type="paragraph" w:styleId="Header">
    <w:name w:val="header"/>
    <w:basedOn w:val="Normal"/>
    <w:link w:val="HeaderChar"/>
    <w:pPr>
      <w:tabs>
        <w:tab w:val="center" w:pos="4320"/>
        <w:tab w:val="right" w:pos="8640"/>
      </w:tabs>
    </w:pPr>
  </w:style>
  <w:style w:type="paragraph" w:customStyle="1" w:styleId="TableCaption">
    <w:name w:val="TableCaption"/>
    <w:basedOn w:val="Normal"/>
    <w:autoRedefine/>
    <w:rsid w:val="00AB5503"/>
    <w:rPr>
      <w:rFonts w:ascii="Bookman Old Style" w:hAnsi="Bookman Old Style"/>
      <w:bCs/>
      <w:color w:val="000000"/>
    </w:rPr>
  </w:style>
  <w:style w:type="character" w:customStyle="1" w:styleId="TableCaptionChar">
    <w:name w:val="TableCaption Char"/>
    <w:rPr>
      <w:rFonts w:ascii="Bookman Old Style" w:hAnsi="Bookman Old Style"/>
      <w:color w:val="333399"/>
      <w:sz w:val="24"/>
      <w:szCs w:val="24"/>
      <w:lang w:val="en-US" w:eastAsia="en-US" w:bidi="ar-SA"/>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semiHidden/>
    <w:rPr>
      <w:sz w:val="16"/>
      <w:szCs w:val="16"/>
    </w:rPr>
  </w:style>
  <w:style w:type="paragraph" w:customStyle="1" w:styleId="Level1">
    <w:name w:val="Level 1"/>
    <w:basedOn w:val="Normal"/>
    <w:pPr>
      <w:numPr>
        <w:numId w:val="5"/>
      </w:numPr>
    </w:pPr>
  </w:style>
  <w:style w:type="paragraph" w:styleId="BlockText">
    <w:name w:val="Block Text"/>
    <w:basedOn w:val="Normal"/>
    <w:pPr>
      <w:ind w:left="113" w:right="113"/>
      <w:jc w:val="center"/>
    </w:pPr>
    <w:rPr>
      <w:sz w:val="18"/>
    </w:rPr>
  </w:style>
  <w:style w:type="paragraph" w:styleId="BodyTextIndent">
    <w:name w:val="Body Text Indent"/>
    <w:basedOn w:val="Normal"/>
    <w:link w:val="BodyTextIndentChar"/>
    <w:uiPriority w:val="99"/>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paragraph" w:styleId="BalloonText">
    <w:name w:val="Balloon Text"/>
    <w:basedOn w:val="Normal"/>
    <w:link w:val="BalloonTextChar"/>
    <w:semiHidden/>
    <w:rsid w:val="002F0F70"/>
    <w:rPr>
      <w:rFonts w:ascii="Tahoma" w:hAnsi="Tahoma" w:cs="Tahoma"/>
      <w:sz w:val="16"/>
      <w:szCs w:val="16"/>
    </w:rPr>
  </w:style>
  <w:style w:type="paragraph" w:styleId="CommentSubject">
    <w:name w:val="annotation subject"/>
    <w:basedOn w:val="CommentText"/>
    <w:next w:val="CommentText"/>
    <w:link w:val="CommentSubjectChar"/>
    <w:semiHidden/>
    <w:rsid w:val="003A62DE"/>
    <w:rPr>
      <w:b/>
      <w:bCs/>
    </w:rPr>
  </w:style>
  <w:style w:type="paragraph" w:styleId="BodyText2">
    <w:name w:val="Body Text 2"/>
    <w:basedOn w:val="Normal"/>
    <w:rsid w:val="005622BB"/>
    <w:pPr>
      <w:spacing w:after="120" w:line="480" w:lineRule="auto"/>
    </w:pPr>
  </w:style>
  <w:style w:type="paragraph" w:customStyle="1" w:styleId="Default">
    <w:name w:val="Default"/>
    <w:uiPriority w:val="99"/>
    <w:rsid w:val="005622BB"/>
    <w:pPr>
      <w:widowControl w:val="0"/>
      <w:autoSpaceDE w:val="0"/>
      <w:autoSpaceDN w:val="0"/>
      <w:adjustRightInd w:val="0"/>
    </w:pPr>
    <w:rPr>
      <w:rFonts w:ascii="Arial" w:hAnsi="Arial" w:cs="Arial"/>
      <w:color w:val="000000"/>
      <w:sz w:val="24"/>
      <w:szCs w:val="24"/>
    </w:rPr>
  </w:style>
  <w:style w:type="paragraph" w:customStyle="1" w:styleId="CM7">
    <w:name w:val="CM7"/>
    <w:basedOn w:val="Default"/>
    <w:next w:val="Default"/>
    <w:rsid w:val="005622BB"/>
    <w:pPr>
      <w:spacing w:after="250"/>
    </w:pPr>
    <w:rPr>
      <w:rFonts w:cs="Times New Roman"/>
      <w:color w:val="auto"/>
      <w:sz w:val="20"/>
    </w:rPr>
  </w:style>
  <w:style w:type="paragraph" w:customStyle="1" w:styleId="CM4">
    <w:name w:val="CM4"/>
    <w:basedOn w:val="Default"/>
    <w:next w:val="Default"/>
    <w:rsid w:val="005622BB"/>
    <w:pPr>
      <w:spacing w:line="253" w:lineRule="atLeast"/>
    </w:pPr>
    <w:rPr>
      <w:rFonts w:cs="Times New Roman"/>
      <w:color w:val="auto"/>
      <w:sz w:val="20"/>
    </w:rPr>
  </w:style>
  <w:style w:type="paragraph" w:customStyle="1" w:styleId="CM3">
    <w:name w:val="CM3"/>
    <w:basedOn w:val="Default"/>
    <w:next w:val="Default"/>
    <w:rsid w:val="00F415DD"/>
    <w:pPr>
      <w:widowControl/>
      <w:spacing w:after="273"/>
    </w:pPr>
    <w:rPr>
      <w:rFonts w:ascii="Times New Roman" w:hAnsi="Times New Roman" w:cs="Times New Roman"/>
      <w:color w:val="auto"/>
    </w:rPr>
  </w:style>
  <w:style w:type="table" w:styleId="TableGrid">
    <w:name w:val="Table Grid"/>
    <w:basedOn w:val="TableNormal"/>
    <w:uiPriority w:val="59"/>
    <w:rsid w:val="00F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59480F"/>
    <w:pPr>
      <w:spacing w:after="120" w:line="480" w:lineRule="auto"/>
      <w:ind w:left="360"/>
    </w:pPr>
  </w:style>
  <w:style w:type="paragraph" w:styleId="Title">
    <w:name w:val="Title"/>
    <w:basedOn w:val="Normal"/>
    <w:link w:val="TitleChar"/>
    <w:uiPriority w:val="10"/>
    <w:qFormat/>
    <w:rsid w:val="0059480F"/>
    <w:pPr>
      <w:jc w:val="center"/>
    </w:pPr>
    <w:rPr>
      <w:b/>
      <w:sz w:val="28"/>
    </w:rPr>
  </w:style>
  <w:style w:type="character" w:customStyle="1" w:styleId="SYSHYPERTEXT">
    <w:name w:val="SYS_HYPERTEXT"/>
    <w:rsid w:val="00F527CC"/>
    <w:rPr>
      <w:color w:val="0000FF"/>
      <w:u w:val="single"/>
    </w:rPr>
  </w:style>
  <w:style w:type="character" w:styleId="Strong">
    <w:name w:val="Strong"/>
    <w:uiPriority w:val="22"/>
    <w:qFormat/>
    <w:rsid w:val="005F77B3"/>
    <w:rPr>
      <w:b/>
      <w:bCs/>
    </w:rPr>
  </w:style>
  <w:style w:type="paragraph" w:styleId="Revision">
    <w:name w:val="Revision"/>
    <w:hidden/>
    <w:uiPriority w:val="71"/>
    <w:rsid w:val="00C706AB"/>
    <w:rPr>
      <w:sz w:val="24"/>
      <w:szCs w:val="24"/>
    </w:rPr>
  </w:style>
  <w:style w:type="paragraph" w:styleId="NoSpacing">
    <w:name w:val="No Spacing"/>
    <w:uiPriority w:val="1"/>
    <w:qFormat/>
    <w:rsid w:val="005274E1"/>
    <w:rPr>
      <w:rFonts w:ascii="Calibri" w:eastAsia="Calibri" w:hAnsi="Calibri"/>
      <w:sz w:val="22"/>
      <w:szCs w:val="22"/>
    </w:rPr>
  </w:style>
  <w:style w:type="paragraph" w:styleId="ListParagraph">
    <w:name w:val="List Paragraph"/>
    <w:basedOn w:val="Normal"/>
    <w:uiPriority w:val="34"/>
    <w:qFormat/>
    <w:rsid w:val="005274E1"/>
    <w:pPr>
      <w:spacing w:after="200" w:line="276" w:lineRule="auto"/>
      <w:ind w:left="720"/>
      <w:contextualSpacing/>
    </w:pPr>
    <w:rPr>
      <w:rFonts w:ascii="Arial" w:eastAsia="Calibri" w:hAnsi="Arial" w:cs="Arial"/>
      <w:sz w:val="20"/>
      <w:szCs w:val="20"/>
    </w:rPr>
  </w:style>
  <w:style w:type="character" w:customStyle="1" w:styleId="FooterChar">
    <w:name w:val="Footer Char"/>
    <w:link w:val="Footer"/>
    <w:uiPriority w:val="99"/>
    <w:rsid w:val="005274E1"/>
    <w:rPr>
      <w:sz w:val="24"/>
      <w:szCs w:val="24"/>
      <w:lang w:val="en-US" w:eastAsia="en-US"/>
    </w:rPr>
  </w:style>
  <w:style w:type="character" w:customStyle="1" w:styleId="HeaderChar">
    <w:name w:val="Header Char"/>
    <w:link w:val="Header"/>
    <w:rsid w:val="00B23CFE"/>
    <w:rPr>
      <w:sz w:val="24"/>
      <w:szCs w:val="24"/>
    </w:rPr>
  </w:style>
  <w:style w:type="character" w:customStyle="1" w:styleId="Heading1Char">
    <w:name w:val="Heading 1 Char"/>
    <w:basedOn w:val="DefaultParagraphFont"/>
    <w:link w:val="Heading1"/>
    <w:uiPriority w:val="9"/>
    <w:rsid w:val="004439BF"/>
    <w:rPr>
      <w:b/>
      <w:bCs/>
      <w:sz w:val="24"/>
      <w:szCs w:val="24"/>
    </w:rPr>
  </w:style>
  <w:style w:type="character" w:customStyle="1" w:styleId="Heading2Char">
    <w:name w:val="Heading 2 Char"/>
    <w:basedOn w:val="DefaultParagraphFont"/>
    <w:link w:val="Heading2"/>
    <w:uiPriority w:val="9"/>
    <w:rsid w:val="004439BF"/>
    <w:rPr>
      <w:b/>
      <w:bCs/>
      <w:sz w:val="22"/>
      <w:szCs w:val="22"/>
    </w:rPr>
  </w:style>
  <w:style w:type="character" w:customStyle="1" w:styleId="Heading3Char">
    <w:name w:val="Heading 3 Char"/>
    <w:basedOn w:val="DefaultParagraphFont"/>
    <w:link w:val="Heading3"/>
    <w:uiPriority w:val="9"/>
    <w:rsid w:val="004439BF"/>
    <w:rPr>
      <w:b/>
      <w:bCs/>
      <w:sz w:val="22"/>
      <w:szCs w:val="22"/>
    </w:rPr>
  </w:style>
  <w:style w:type="character" w:customStyle="1" w:styleId="BalloonTextChar">
    <w:name w:val="Balloon Text Char"/>
    <w:basedOn w:val="DefaultParagraphFont"/>
    <w:link w:val="BalloonText"/>
    <w:semiHidden/>
    <w:rsid w:val="004439BF"/>
    <w:rPr>
      <w:rFonts w:ascii="Tahoma" w:hAnsi="Tahoma" w:cs="Tahoma"/>
      <w:sz w:val="16"/>
      <w:szCs w:val="16"/>
    </w:rPr>
  </w:style>
  <w:style w:type="character" w:customStyle="1" w:styleId="Heading4Char">
    <w:name w:val="Heading 4 Char"/>
    <w:basedOn w:val="DefaultParagraphFont"/>
    <w:link w:val="Heading4"/>
    <w:uiPriority w:val="9"/>
    <w:rsid w:val="004439BF"/>
    <w:rPr>
      <w:b/>
      <w:bCs/>
      <w:sz w:val="22"/>
      <w:szCs w:val="22"/>
    </w:rPr>
  </w:style>
  <w:style w:type="character" w:customStyle="1" w:styleId="Heading5Char">
    <w:name w:val="Heading 5 Char"/>
    <w:basedOn w:val="DefaultParagraphFont"/>
    <w:link w:val="Heading5"/>
    <w:uiPriority w:val="9"/>
    <w:rsid w:val="004439BF"/>
    <w:rPr>
      <w:b/>
      <w:sz w:val="24"/>
      <w:szCs w:val="24"/>
      <w:u w:val="single"/>
    </w:rPr>
  </w:style>
  <w:style w:type="character" w:customStyle="1" w:styleId="Heading6Char">
    <w:name w:val="Heading 6 Char"/>
    <w:basedOn w:val="DefaultParagraphFont"/>
    <w:link w:val="Heading6"/>
    <w:uiPriority w:val="9"/>
    <w:rsid w:val="004439BF"/>
    <w:rPr>
      <w:b/>
      <w:bCs/>
      <w:szCs w:val="24"/>
    </w:rPr>
  </w:style>
  <w:style w:type="character" w:customStyle="1" w:styleId="Heading7Char">
    <w:name w:val="Heading 7 Char"/>
    <w:basedOn w:val="DefaultParagraphFont"/>
    <w:link w:val="Heading7"/>
    <w:uiPriority w:val="9"/>
    <w:rsid w:val="004439BF"/>
    <w:rPr>
      <w:b/>
      <w:bCs/>
      <w:sz w:val="24"/>
      <w:szCs w:val="24"/>
    </w:rPr>
  </w:style>
  <w:style w:type="character" w:customStyle="1" w:styleId="Heading8Char">
    <w:name w:val="Heading 8 Char"/>
    <w:basedOn w:val="DefaultParagraphFont"/>
    <w:link w:val="Heading8"/>
    <w:uiPriority w:val="9"/>
    <w:rsid w:val="004439BF"/>
    <w:rPr>
      <w:b/>
      <w:bCs/>
      <w:szCs w:val="24"/>
    </w:rPr>
  </w:style>
  <w:style w:type="character" w:customStyle="1" w:styleId="Heading9Char">
    <w:name w:val="Heading 9 Char"/>
    <w:basedOn w:val="DefaultParagraphFont"/>
    <w:link w:val="Heading9"/>
    <w:uiPriority w:val="9"/>
    <w:rsid w:val="004439BF"/>
    <w:rPr>
      <w:b/>
      <w:bCs/>
      <w:sz w:val="18"/>
      <w:szCs w:val="24"/>
    </w:rPr>
  </w:style>
  <w:style w:type="character" w:customStyle="1" w:styleId="Hypertext">
    <w:name w:val="Hypertext"/>
    <w:rsid w:val="004439BF"/>
    <w:rPr>
      <w:color w:val="0000FF"/>
      <w:u w:val="single"/>
    </w:rPr>
  </w:style>
  <w:style w:type="paragraph" w:styleId="ListBullet2">
    <w:name w:val="List Bullet 2"/>
    <w:basedOn w:val="Normal"/>
    <w:rsid w:val="004439BF"/>
    <w:pPr>
      <w:numPr>
        <w:numId w:val="42"/>
      </w:numPr>
    </w:pPr>
    <w:rPr>
      <w:rFonts w:eastAsiaTheme="minorEastAsia" w:cstheme="minorBidi"/>
      <w:sz w:val="20"/>
      <w:szCs w:val="20"/>
      <w:lang w:bidi="en-US"/>
    </w:rPr>
  </w:style>
  <w:style w:type="character" w:customStyle="1" w:styleId="BodyTextChar">
    <w:name w:val="Body Text Char"/>
    <w:basedOn w:val="DefaultParagraphFont"/>
    <w:rsid w:val="004439BF"/>
    <w:rPr>
      <w:rFonts w:ascii="Arial" w:eastAsiaTheme="minorEastAsia" w:hAnsi="Arial"/>
      <w:sz w:val="24"/>
      <w:lang w:bidi="en-US"/>
    </w:rPr>
  </w:style>
  <w:style w:type="paragraph" w:styleId="BodyTextFirstIndent">
    <w:name w:val="Body Text First Indent"/>
    <w:basedOn w:val="BodyText"/>
    <w:link w:val="BodyTextFirstIndentChar"/>
    <w:rsid w:val="004439BF"/>
    <w:pPr>
      <w:spacing w:after="120"/>
      <w:ind w:firstLine="210"/>
    </w:pPr>
    <w:rPr>
      <w:rFonts w:ascii="Times New Roman" w:eastAsiaTheme="minorEastAsia" w:hAnsi="Times New Roman" w:cstheme="minorBidi"/>
      <w:sz w:val="24"/>
      <w:szCs w:val="20"/>
      <w:lang w:bidi="en-US"/>
    </w:rPr>
  </w:style>
  <w:style w:type="character" w:customStyle="1" w:styleId="BodyTextChar1">
    <w:name w:val="Body Text Char1"/>
    <w:basedOn w:val="DefaultParagraphFont"/>
    <w:link w:val="BodyText"/>
    <w:rsid w:val="004439BF"/>
    <w:rPr>
      <w:rFonts w:ascii="Arial" w:hAnsi="Arial" w:cs="Arial"/>
      <w:sz w:val="22"/>
      <w:szCs w:val="24"/>
    </w:rPr>
  </w:style>
  <w:style w:type="character" w:customStyle="1" w:styleId="BodyTextFirstIndentChar">
    <w:name w:val="Body Text First Indent Char"/>
    <w:basedOn w:val="BodyTextChar1"/>
    <w:link w:val="BodyTextFirstIndent"/>
    <w:rsid w:val="004439BF"/>
    <w:rPr>
      <w:rFonts w:ascii="Arial" w:eastAsiaTheme="minorEastAsia" w:hAnsi="Arial" w:cstheme="minorBidi"/>
      <w:sz w:val="24"/>
      <w:szCs w:val="24"/>
      <w:lang w:bidi="en-US"/>
    </w:rPr>
  </w:style>
  <w:style w:type="character" w:customStyle="1" w:styleId="FootnoteTextChar">
    <w:name w:val="Footnote Text Char"/>
    <w:basedOn w:val="DefaultParagraphFont"/>
    <w:link w:val="FootnoteText"/>
    <w:semiHidden/>
    <w:rsid w:val="004439BF"/>
  </w:style>
  <w:style w:type="paragraph" w:styleId="HTMLPreformatted">
    <w:name w:val="HTML Preformatted"/>
    <w:basedOn w:val="Normal"/>
    <w:link w:val="HTMLPreformattedChar"/>
    <w:rsid w:val="00443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4439BF"/>
    <w:rPr>
      <w:rFonts w:ascii="Courier New" w:eastAsiaTheme="minorEastAsia" w:hAnsi="Courier New" w:cs="Courier New"/>
      <w:color w:val="000000"/>
      <w:lang w:bidi="en-US"/>
    </w:rPr>
  </w:style>
  <w:style w:type="paragraph" w:styleId="EndnoteText">
    <w:name w:val="endnote text"/>
    <w:basedOn w:val="Normal"/>
    <w:link w:val="EndnoteTextChar"/>
    <w:rsid w:val="004439BF"/>
    <w:rPr>
      <w:rFonts w:ascii="Arial" w:eastAsiaTheme="minorEastAsia" w:hAnsi="Arial" w:cstheme="minorBidi"/>
      <w:sz w:val="20"/>
      <w:szCs w:val="20"/>
      <w:lang w:bidi="en-US"/>
    </w:rPr>
  </w:style>
  <w:style w:type="character" w:customStyle="1" w:styleId="EndnoteTextChar">
    <w:name w:val="Endnote Text Char"/>
    <w:basedOn w:val="DefaultParagraphFont"/>
    <w:link w:val="EndnoteText"/>
    <w:rsid w:val="004439BF"/>
    <w:rPr>
      <w:rFonts w:ascii="Arial" w:eastAsiaTheme="minorEastAsia" w:hAnsi="Arial" w:cstheme="minorBidi"/>
      <w:lang w:bidi="en-US"/>
    </w:rPr>
  </w:style>
  <w:style w:type="character" w:styleId="EndnoteReference">
    <w:name w:val="endnote reference"/>
    <w:rsid w:val="004439BF"/>
    <w:rPr>
      <w:vertAlign w:val="superscript"/>
    </w:rPr>
  </w:style>
  <w:style w:type="character" w:customStyle="1" w:styleId="CommentTextChar">
    <w:name w:val="Comment Text Char"/>
    <w:basedOn w:val="DefaultParagraphFont"/>
    <w:link w:val="CommentText"/>
    <w:semiHidden/>
    <w:rsid w:val="004439BF"/>
  </w:style>
  <w:style w:type="character" w:customStyle="1" w:styleId="CommentSubjectChar">
    <w:name w:val="Comment Subject Char"/>
    <w:basedOn w:val="CommentTextChar"/>
    <w:link w:val="CommentSubject"/>
    <w:semiHidden/>
    <w:rsid w:val="004439BF"/>
    <w:rPr>
      <w:b/>
      <w:bCs/>
    </w:rPr>
  </w:style>
  <w:style w:type="paragraph" w:styleId="List2">
    <w:name w:val="List 2"/>
    <w:basedOn w:val="Normal"/>
    <w:link w:val="List2Char"/>
    <w:rsid w:val="004439BF"/>
    <w:pPr>
      <w:ind w:left="720" w:hanging="360"/>
    </w:pPr>
    <w:rPr>
      <w:rFonts w:eastAsiaTheme="minorEastAsia" w:cstheme="minorBidi"/>
      <w:sz w:val="20"/>
      <w:szCs w:val="20"/>
      <w:lang w:bidi="en-US"/>
    </w:rPr>
  </w:style>
  <w:style w:type="character" w:customStyle="1" w:styleId="List2Char">
    <w:name w:val="List 2 Char"/>
    <w:link w:val="List2"/>
    <w:rsid w:val="004439BF"/>
    <w:rPr>
      <w:rFonts w:eastAsiaTheme="minorEastAsia" w:cstheme="minorBidi"/>
      <w:lang w:bidi="en-US"/>
    </w:rPr>
  </w:style>
  <w:style w:type="numbering" w:customStyle="1" w:styleId="NoList1">
    <w:name w:val="No List1"/>
    <w:next w:val="NoList"/>
    <w:semiHidden/>
    <w:rsid w:val="004439BF"/>
  </w:style>
  <w:style w:type="table" w:customStyle="1" w:styleId="TableGrid1">
    <w:name w:val="Table Grid1"/>
    <w:basedOn w:val="TableNormal"/>
    <w:next w:val="TableGrid"/>
    <w:rsid w:val="004439BF"/>
    <w:pPr>
      <w:spacing w:after="200" w:line="276" w:lineRule="auto"/>
    </w:pPr>
    <w:rPr>
      <w:rFonts w:asciiTheme="minorHAnsi" w:eastAsiaTheme="minorEastAsia" w:hAnsiTheme="minorHAnsi" w:cstheme="minorBid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4">
    <w:name w:val="CM34"/>
    <w:basedOn w:val="Default"/>
    <w:next w:val="Default"/>
    <w:uiPriority w:val="99"/>
    <w:rsid w:val="004439BF"/>
    <w:pPr>
      <w:spacing w:after="278" w:line="276" w:lineRule="auto"/>
    </w:pPr>
    <w:rPr>
      <w:rFonts w:eastAsiaTheme="minorEastAsia" w:cstheme="minorBidi"/>
      <w:color w:val="auto"/>
      <w:sz w:val="22"/>
      <w:szCs w:val="22"/>
      <w:lang w:bidi="en-US"/>
    </w:rPr>
  </w:style>
  <w:style w:type="paragraph" w:customStyle="1" w:styleId="CM33">
    <w:name w:val="CM33"/>
    <w:basedOn w:val="Default"/>
    <w:next w:val="Default"/>
    <w:uiPriority w:val="99"/>
    <w:rsid w:val="004439BF"/>
    <w:pPr>
      <w:spacing w:after="110" w:line="276" w:lineRule="auto"/>
    </w:pPr>
    <w:rPr>
      <w:rFonts w:eastAsiaTheme="minorEastAsia" w:cstheme="minorBidi"/>
      <w:color w:val="auto"/>
      <w:sz w:val="22"/>
      <w:szCs w:val="22"/>
      <w:lang w:bidi="en-US"/>
    </w:rPr>
  </w:style>
  <w:style w:type="paragraph" w:styleId="Caption">
    <w:name w:val="caption"/>
    <w:basedOn w:val="Normal"/>
    <w:next w:val="Normal"/>
    <w:uiPriority w:val="35"/>
    <w:semiHidden/>
    <w:unhideWhenUsed/>
    <w:qFormat/>
    <w:rsid w:val="004439BF"/>
    <w:rPr>
      <w:rFonts w:ascii="Arial" w:eastAsiaTheme="minorEastAsia" w:hAnsi="Arial" w:cstheme="minorBidi"/>
      <w:b/>
      <w:bCs/>
      <w:color w:val="4F81BD" w:themeColor="accent1"/>
      <w:sz w:val="18"/>
      <w:szCs w:val="18"/>
      <w:lang w:bidi="en-US"/>
    </w:rPr>
  </w:style>
  <w:style w:type="character" w:customStyle="1" w:styleId="TitleChar">
    <w:name w:val="Title Char"/>
    <w:basedOn w:val="DefaultParagraphFont"/>
    <w:link w:val="Title"/>
    <w:uiPriority w:val="10"/>
    <w:rsid w:val="004439BF"/>
    <w:rPr>
      <w:b/>
      <w:sz w:val="28"/>
      <w:szCs w:val="24"/>
    </w:rPr>
  </w:style>
  <w:style w:type="paragraph" w:styleId="Subtitle">
    <w:name w:val="Subtitle"/>
    <w:basedOn w:val="Normal"/>
    <w:next w:val="Normal"/>
    <w:link w:val="SubtitleChar"/>
    <w:uiPriority w:val="11"/>
    <w:qFormat/>
    <w:rsid w:val="004439BF"/>
    <w:pPr>
      <w:numPr>
        <w:ilvl w:val="1"/>
      </w:numPr>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4439BF"/>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4439BF"/>
    <w:rPr>
      <w:i/>
      <w:iCs/>
    </w:rPr>
  </w:style>
  <w:style w:type="paragraph" w:styleId="Quote">
    <w:name w:val="Quote"/>
    <w:basedOn w:val="Normal"/>
    <w:next w:val="Normal"/>
    <w:link w:val="QuoteChar"/>
    <w:uiPriority w:val="29"/>
    <w:qFormat/>
    <w:rsid w:val="004439BF"/>
    <w:rPr>
      <w:rFonts w:ascii="Arial" w:eastAsiaTheme="minorEastAsia" w:hAnsi="Arial" w:cstheme="minorBidi"/>
      <w:i/>
      <w:iCs/>
      <w:color w:val="000000" w:themeColor="text1"/>
      <w:szCs w:val="22"/>
      <w:lang w:bidi="en-US"/>
    </w:rPr>
  </w:style>
  <w:style w:type="character" w:customStyle="1" w:styleId="QuoteChar">
    <w:name w:val="Quote Char"/>
    <w:basedOn w:val="DefaultParagraphFont"/>
    <w:link w:val="Quote"/>
    <w:uiPriority w:val="29"/>
    <w:rsid w:val="004439BF"/>
    <w:rPr>
      <w:rFonts w:ascii="Arial" w:eastAsiaTheme="minorEastAsia" w:hAnsi="Arial" w:cstheme="minorBidi"/>
      <w:i/>
      <w:iCs/>
      <w:color w:val="000000" w:themeColor="text1"/>
      <w:sz w:val="24"/>
      <w:szCs w:val="22"/>
      <w:lang w:bidi="en-US"/>
    </w:rPr>
  </w:style>
  <w:style w:type="paragraph" w:styleId="IntenseQuote">
    <w:name w:val="Intense Quote"/>
    <w:basedOn w:val="Normal"/>
    <w:next w:val="Normal"/>
    <w:link w:val="IntenseQuoteChar"/>
    <w:uiPriority w:val="30"/>
    <w:qFormat/>
    <w:rsid w:val="004439BF"/>
    <w:pPr>
      <w:pBdr>
        <w:bottom w:val="single" w:sz="4" w:space="4" w:color="4F81BD" w:themeColor="accent1"/>
      </w:pBdr>
      <w:spacing w:before="200" w:after="280"/>
      <w:ind w:left="936" w:right="936"/>
    </w:pPr>
    <w:rPr>
      <w:rFonts w:ascii="Arial" w:eastAsiaTheme="minorEastAsia" w:hAnsi="Arial" w:cstheme="minorBidi"/>
      <w:b/>
      <w:bCs/>
      <w:i/>
      <w:iCs/>
      <w:color w:val="4F81BD" w:themeColor="accent1"/>
      <w:szCs w:val="22"/>
      <w:lang w:bidi="en-US"/>
    </w:rPr>
  </w:style>
  <w:style w:type="character" w:customStyle="1" w:styleId="IntenseQuoteChar">
    <w:name w:val="Intense Quote Char"/>
    <w:basedOn w:val="DefaultParagraphFont"/>
    <w:link w:val="IntenseQuote"/>
    <w:uiPriority w:val="30"/>
    <w:rsid w:val="004439BF"/>
    <w:rPr>
      <w:rFonts w:ascii="Arial" w:eastAsiaTheme="minorEastAsia" w:hAnsi="Arial" w:cstheme="minorBidi"/>
      <w:b/>
      <w:bCs/>
      <w:i/>
      <w:iCs/>
      <w:color w:val="4F81BD" w:themeColor="accent1"/>
      <w:sz w:val="24"/>
      <w:szCs w:val="22"/>
      <w:lang w:bidi="en-US"/>
    </w:rPr>
  </w:style>
  <w:style w:type="character" w:styleId="SubtleEmphasis">
    <w:name w:val="Subtle Emphasis"/>
    <w:basedOn w:val="DefaultParagraphFont"/>
    <w:uiPriority w:val="19"/>
    <w:qFormat/>
    <w:rsid w:val="004439BF"/>
    <w:rPr>
      <w:i/>
      <w:iCs/>
      <w:color w:val="808080" w:themeColor="text1" w:themeTint="7F"/>
    </w:rPr>
  </w:style>
  <w:style w:type="character" w:styleId="IntenseEmphasis">
    <w:name w:val="Intense Emphasis"/>
    <w:basedOn w:val="DefaultParagraphFont"/>
    <w:uiPriority w:val="21"/>
    <w:qFormat/>
    <w:rsid w:val="004439BF"/>
    <w:rPr>
      <w:b/>
      <w:bCs/>
      <w:i/>
      <w:iCs/>
      <w:color w:val="4F81BD" w:themeColor="accent1"/>
    </w:rPr>
  </w:style>
  <w:style w:type="character" w:styleId="SubtleReference">
    <w:name w:val="Subtle Reference"/>
    <w:basedOn w:val="DefaultParagraphFont"/>
    <w:uiPriority w:val="31"/>
    <w:qFormat/>
    <w:rsid w:val="004439BF"/>
    <w:rPr>
      <w:smallCaps/>
      <w:color w:val="C0504D" w:themeColor="accent2"/>
      <w:u w:val="single"/>
    </w:rPr>
  </w:style>
  <w:style w:type="character" w:styleId="IntenseReference">
    <w:name w:val="Intense Reference"/>
    <w:basedOn w:val="DefaultParagraphFont"/>
    <w:uiPriority w:val="32"/>
    <w:qFormat/>
    <w:rsid w:val="004439BF"/>
    <w:rPr>
      <w:b/>
      <w:bCs/>
      <w:smallCaps/>
      <w:color w:val="C0504D" w:themeColor="accent2"/>
      <w:spacing w:val="5"/>
      <w:u w:val="single"/>
    </w:rPr>
  </w:style>
  <w:style w:type="character" w:styleId="BookTitle">
    <w:name w:val="Book Title"/>
    <w:basedOn w:val="DefaultParagraphFont"/>
    <w:uiPriority w:val="33"/>
    <w:qFormat/>
    <w:rsid w:val="004439BF"/>
    <w:rPr>
      <w:b/>
      <w:bCs/>
      <w:smallCaps/>
      <w:spacing w:val="5"/>
    </w:rPr>
  </w:style>
  <w:style w:type="paragraph" w:styleId="TOCHeading">
    <w:name w:val="TOC Heading"/>
    <w:basedOn w:val="Heading1"/>
    <w:next w:val="Normal"/>
    <w:uiPriority w:val="39"/>
    <w:semiHidden/>
    <w:unhideWhenUsed/>
    <w:qFormat/>
    <w:rsid w:val="004439BF"/>
    <w:pPr>
      <w:keepLines/>
      <w:ind w:left="432" w:hanging="432"/>
      <w:outlineLvl w:val="9"/>
    </w:pPr>
    <w:rPr>
      <w:rFonts w:ascii="Arial" w:eastAsiaTheme="majorEastAsia" w:hAnsi="Arial" w:cstheme="majorBidi"/>
      <w:sz w:val="32"/>
      <w:szCs w:val="28"/>
      <w:lang w:bidi="en-US"/>
    </w:rPr>
  </w:style>
  <w:style w:type="paragraph" w:customStyle="1" w:styleId="GPOAGENCY">
    <w:name w:val="GPO AGENCY"/>
    <w:basedOn w:val="Normal"/>
    <w:link w:val="GPOAGENCYChar"/>
    <w:rsid w:val="004439BF"/>
    <w:pPr>
      <w:widowControl w:val="0"/>
      <w:autoSpaceDE w:val="0"/>
      <w:autoSpaceDN w:val="0"/>
      <w:adjustRightInd w:val="0"/>
    </w:pPr>
    <w:rPr>
      <w:b/>
      <w:bCs/>
      <w:szCs w:val="20"/>
    </w:rPr>
  </w:style>
  <w:style w:type="character" w:customStyle="1" w:styleId="GPOAGENCYChar">
    <w:name w:val="GPO AGENCY Char"/>
    <w:basedOn w:val="DefaultParagraphFont"/>
    <w:link w:val="GPOAGENCY"/>
    <w:locked/>
    <w:rsid w:val="004439BF"/>
    <w:rPr>
      <w:b/>
      <w:bCs/>
      <w:sz w:val="24"/>
    </w:rPr>
  </w:style>
  <w:style w:type="character" w:styleId="PlaceholderText">
    <w:name w:val="Placeholder Text"/>
    <w:basedOn w:val="DefaultParagraphFont"/>
    <w:uiPriority w:val="99"/>
    <w:semiHidden/>
    <w:rsid w:val="004439BF"/>
    <w:rPr>
      <w:color w:val="808080"/>
    </w:rPr>
  </w:style>
  <w:style w:type="paragraph" w:customStyle="1" w:styleId="a">
    <w:name w:val=""/>
    <w:rsid w:val="004439BF"/>
    <w:pPr>
      <w:autoSpaceDE w:val="0"/>
      <w:autoSpaceDN w:val="0"/>
      <w:adjustRightInd w:val="0"/>
      <w:ind w:left="-1440"/>
    </w:pPr>
    <w:rPr>
      <w:sz w:val="24"/>
      <w:szCs w:val="24"/>
    </w:rPr>
  </w:style>
  <w:style w:type="character" w:customStyle="1" w:styleId="BodyTextIndentChar">
    <w:name w:val="Body Text Indent Char"/>
    <w:basedOn w:val="DefaultParagraphFont"/>
    <w:link w:val="BodyTextIndent"/>
    <w:uiPriority w:val="99"/>
    <w:rsid w:val="004439BF"/>
    <w:rPr>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9252">
      <w:bodyDiv w:val="1"/>
      <w:marLeft w:val="0"/>
      <w:marRight w:val="0"/>
      <w:marTop w:val="0"/>
      <w:marBottom w:val="0"/>
      <w:divBdr>
        <w:top w:val="none" w:sz="0" w:space="0" w:color="auto"/>
        <w:left w:val="none" w:sz="0" w:space="0" w:color="auto"/>
        <w:bottom w:val="none" w:sz="0" w:space="0" w:color="auto"/>
        <w:right w:val="none" w:sz="0" w:space="0" w:color="auto"/>
      </w:divBdr>
    </w:div>
    <w:div w:id="135071262">
      <w:bodyDiv w:val="1"/>
      <w:marLeft w:val="0"/>
      <w:marRight w:val="0"/>
      <w:marTop w:val="0"/>
      <w:marBottom w:val="0"/>
      <w:divBdr>
        <w:top w:val="none" w:sz="0" w:space="0" w:color="auto"/>
        <w:left w:val="none" w:sz="0" w:space="0" w:color="auto"/>
        <w:bottom w:val="none" w:sz="0" w:space="0" w:color="auto"/>
        <w:right w:val="none" w:sz="0" w:space="0" w:color="auto"/>
      </w:divBdr>
    </w:div>
    <w:div w:id="243295575">
      <w:bodyDiv w:val="1"/>
      <w:marLeft w:val="0"/>
      <w:marRight w:val="0"/>
      <w:marTop w:val="0"/>
      <w:marBottom w:val="0"/>
      <w:divBdr>
        <w:top w:val="none" w:sz="0" w:space="0" w:color="auto"/>
        <w:left w:val="none" w:sz="0" w:space="0" w:color="auto"/>
        <w:bottom w:val="none" w:sz="0" w:space="0" w:color="auto"/>
        <w:right w:val="none" w:sz="0" w:space="0" w:color="auto"/>
      </w:divBdr>
    </w:div>
    <w:div w:id="866916416">
      <w:bodyDiv w:val="1"/>
      <w:marLeft w:val="0"/>
      <w:marRight w:val="0"/>
      <w:marTop w:val="0"/>
      <w:marBottom w:val="0"/>
      <w:divBdr>
        <w:top w:val="none" w:sz="0" w:space="0" w:color="auto"/>
        <w:left w:val="none" w:sz="0" w:space="0" w:color="auto"/>
        <w:bottom w:val="none" w:sz="0" w:space="0" w:color="auto"/>
        <w:right w:val="none" w:sz="0" w:space="0" w:color="auto"/>
      </w:divBdr>
    </w:div>
    <w:div w:id="915632880">
      <w:bodyDiv w:val="1"/>
      <w:marLeft w:val="0"/>
      <w:marRight w:val="0"/>
      <w:marTop w:val="0"/>
      <w:marBottom w:val="0"/>
      <w:divBdr>
        <w:top w:val="none" w:sz="0" w:space="0" w:color="auto"/>
        <w:left w:val="none" w:sz="0" w:space="0" w:color="auto"/>
        <w:bottom w:val="none" w:sz="0" w:space="0" w:color="auto"/>
        <w:right w:val="none" w:sz="0" w:space="0" w:color="auto"/>
      </w:divBdr>
    </w:div>
    <w:div w:id="1000766920">
      <w:bodyDiv w:val="1"/>
      <w:marLeft w:val="0"/>
      <w:marRight w:val="0"/>
      <w:marTop w:val="0"/>
      <w:marBottom w:val="0"/>
      <w:divBdr>
        <w:top w:val="none" w:sz="0" w:space="0" w:color="auto"/>
        <w:left w:val="none" w:sz="0" w:space="0" w:color="auto"/>
        <w:bottom w:val="none" w:sz="0" w:space="0" w:color="auto"/>
        <w:right w:val="none" w:sz="0" w:space="0" w:color="auto"/>
      </w:divBdr>
    </w:div>
    <w:div w:id="1071191926">
      <w:bodyDiv w:val="1"/>
      <w:marLeft w:val="0"/>
      <w:marRight w:val="0"/>
      <w:marTop w:val="0"/>
      <w:marBottom w:val="0"/>
      <w:divBdr>
        <w:top w:val="none" w:sz="0" w:space="0" w:color="auto"/>
        <w:left w:val="none" w:sz="0" w:space="0" w:color="auto"/>
        <w:bottom w:val="none" w:sz="0" w:space="0" w:color="auto"/>
        <w:right w:val="none" w:sz="0" w:space="0" w:color="auto"/>
      </w:divBdr>
      <w:divsChild>
        <w:div w:id="1306815307">
          <w:marLeft w:val="0"/>
          <w:marRight w:val="0"/>
          <w:marTop w:val="0"/>
          <w:marBottom w:val="0"/>
          <w:divBdr>
            <w:top w:val="none" w:sz="0" w:space="0" w:color="auto"/>
            <w:left w:val="none" w:sz="0" w:space="0" w:color="auto"/>
            <w:bottom w:val="none" w:sz="0" w:space="0" w:color="auto"/>
            <w:right w:val="none" w:sz="0" w:space="0" w:color="auto"/>
          </w:divBdr>
        </w:div>
      </w:divsChild>
    </w:div>
    <w:div w:id="1303579055">
      <w:bodyDiv w:val="1"/>
      <w:marLeft w:val="0"/>
      <w:marRight w:val="0"/>
      <w:marTop w:val="0"/>
      <w:marBottom w:val="0"/>
      <w:divBdr>
        <w:top w:val="none" w:sz="0" w:space="0" w:color="auto"/>
        <w:left w:val="none" w:sz="0" w:space="0" w:color="auto"/>
        <w:bottom w:val="none" w:sz="0" w:space="0" w:color="auto"/>
        <w:right w:val="none" w:sz="0" w:space="0" w:color="auto"/>
      </w:divBdr>
    </w:div>
    <w:div w:id="1386441971">
      <w:bodyDiv w:val="1"/>
      <w:marLeft w:val="0"/>
      <w:marRight w:val="0"/>
      <w:marTop w:val="0"/>
      <w:marBottom w:val="0"/>
      <w:divBdr>
        <w:top w:val="none" w:sz="0" w:space="0" w:color="auto"/>
        <w:left w:val="none" w:sz="0" w:space="0" w:color="auto"/>
        <w:bottom w:val="none" w:sz="0" w:space="0" w:color="auto"/>
        <w:right w:val="none" w:sz="0" w:space="0" w:color="auto"/>
      </w:divBdr>
    </w:div>
    <w:div w:id="1397897650">
      <w:bodyDiv w:val="1"/>
      <w:marLeft w:val="0"/>
      <w:marRight w:val="0"/>
      <w:marTop w:val="0"/>
      <w:marBottom w:val="0"/>
      <w:divBdr>
        <w:top w:val="none" w:sz="0" w:space="0" w:color="auto"/>
        <w:left w:val="none" w:sz="0" w:space="0" w:color="auto"/>
        <w:bottom w:val="none" w:sz="0" w:space="0" w:color="auto"/>
        <w:right w:val="none" w:sz="0" w:space="0" w:color="auto"/>
      </w:divBdr>
    </w:div>
    <w:div w:id="1518496550">
      <w:bodyDiv w:val="1"/>
      <w:marLeft w:val="0"/>
      <w:marRight w:val="0"/>
      <w:marTop w:val="0"/>
      <w:marBottom w:val="0"/>
      <w:divBdr>
        <w:top w:val="none" w:sz="0" w:space="0" w:color="auto"/>
        <w:left w:val="none" w:sz="0" w:space="0" w:color="auto"/>
        <w:bottom w:val="none" w:sz="0" w:space="0" w:color="auto"/>
        <w:right w:val="none" w:sz="0" w:space="0" w:color="auto"/>
      </w:divBdr>
    </w:div>
    <w:div w:id="1525051737">
      <w:bodyDiv w:val="1"/>
      <w:marLeft w:val="0"/>
      <w:marRight w:val="0"/>
      <w:marTop w:val="0"/>
      <w:marBottom w:val="0"/>
      <w:divBdr>
        <w:top w:val="none" w:sz="0" w:space="0" w:color="auto"/>
        <w:left w:val="none" w:sz="0" w:space="0" w:color="auto"/>
        <w:bottom w:val="none" w:sz="0" w:space="0" w:color="auto"/>
        <w:right w:val="none" w:sz="0" w:space="0" w:color="auto"/>
      </w:divBdr>
    </w:div>
    <w:div w:id="1550072358">
      <w:bodyDiv w:val="1"/>
      <w:marLeft w:val="0"/>
      <w:marRight w:val="0"/>
      <w:marTop w:val="0"/>
      <w:marBottom w:val="0"/>
      <w:divBdr>
        <w:top w:val="none" w:sz="0" w:space="0" w:color="auto"/>
        <w:left w:val="none" w:sz="0" w:space="0" w:color="auto"/>
        <w:bottom w:val="none" w:sz="0" w:space="0" w:color="auto"/>
        <w:right w:val="none" w:sz="0" w:space="0" w:color="auto"/>
      </w:divBdr>
    </w:div>
    <w:div w:id="1784300503">
      <w:bodyDiv w:val="1"/>
      <w:marLeft w:val="0"/>
      <w:marRight w:val="0"/>
      <w:marTop w:val="0"/>
      <w:marBottom w:val="0"/>
      <w:divBdr>
        <w:top w:val="none" w:sz="0" w:space="0" w:color="auto"/>
        <w:left w:val="none" w:sz="0" w:space="0" w:color="auto"/>
        <w:bottom w:val="none" w:sz="0" w:space="0" w:color="auto"/>
        <w:right w:val="none" w:sz="0" w:space="0" w:color="auto"/>
      </w:divBdr>
    </w:div>
    <w:div w:id="1921794829">
      <w:bodyDiv w:val="1"/>
      <w:marLeft w:val="0"/>
      <w:marRight w:val="0"/>
      <w:marTop w:val="0"/>
      <w:marBottom w:val="0"/>
      <w:divBdr>
        <w:top w:val="none" w:sz="0" w:space="0" w:color="auto"/>
        <w:left w:val="none" w:sz="0" w:space="0" w:color="auto"/>
        <w:bottom w:val="none" w:sz="0" w:space="0" w:color="auto"/>
        <w:right w:val="none" w:sz="0" w:space="0" w:color="auto"/>
      </w:divBdr>
    </w:div>
    <w:div w:id="197089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ulation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ira_submission@omb.eop.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opm.gov/oca/16tables/pdf/dcb_h.pdf" TargetMode="External"/><Relationship Id="rId1" Type="http://schemas.openxmlformats.org/officeDocument/2006/relationships/hyperlink" Target="http://www.bls.gov/news.release/archives/ecec_0310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0511A-BA2B-44D2-BF5E-E9D84B4EA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4040</Words>
  <Characters>23033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Abt Associates Inc.</Company>
  <LinksUpToDate>false</LinksUpToDate>
  <CharactersWithSpaces>27019</CharactersWithSpaces>
  <SharedDoc>false</SharedDoc>
  <HLinks>
    <vt:vector size="222" baseType="variant">
      <vt:variant>
        <vt:i4>3407995</vt:i4>
      </vt:variant>
      <vt:variant>
        <vt:i4>266</vt:i4>
      </vt:variant>
      <vt:variant>
        <vt:i4>0</vt:i4>
      </vt:variant>
      <vt:variant>
        <vt:i4>5</vt:i4>
      </vt:variant>
      <vt:variant>
        <vt:lpwstr>http://uscode.house.gov/uscode-cgi/fastweb.exe?getdoc+uscview+t41t42+7517+0++%28%29%20%20AND%20%28%2842%29%20ADJ%20USC%29%3ACITE%20AND%20%28USC%20w%2F10%20%2813103%29%29%3ACITE%20%20%20%20%20%20%20%20%20</vt:lpwstr>
      </vt:variant>
      <vt:variant>
        <vt:lpwstr/>
      </vt:variant>
      <vt:variant>
        <vt:i4>1966128</vt:i4>
      </vt:variant>
      <vt:variant>
        <vt:i4>215</vt:i4>
      </vt:variant>
      <vt:variant>
        <vt:i4>0</vt:i4>
      </vt:variant>
      <vt:variant>
        <vt:i4>5</vt:i4>
      </vt:variant>
      <vt:variant>
        <vt:lpwstr/>
      </vt:variant>
      <vt:variant>
        <vt:lpwstr>_Toc442977131</vt:lpwstr>
      </vt:variant>
      <vt:variant>
        <vt:i4>1966128</vt:i4>
      </vt:variant>
      <vt:variant>
        <vt:i4>209</vt:i4>
      </vt:variant>
      <vt:variant>
        <vt:i4>0</vt:i4>
      </vt:variant>
      <vt:variant>
        <vt:i4>5</vt:i4>
      </vt:variant>
      <vt:variant>
        <vt:lpwstr/>
      </vt:variant>
      <vt:variant>
        <vt:lpwstr>_Toc442977130</vt:lpwstr>
      </vt:variant>
      <vt:variant>
        <vt:i4>2031664</vt:i4>
      </vt:variant>
      <vt:variant>
        <vt:i4>203</vt:i4>
      </vt:variant>
      <vt:variant>
        <vt:i4>0</vt:i4>
      </vt:variant>
      <vt:variant>
        <vt:i4>5</vt:i4>
      </vt:variant>
      <vt:variant>
        <vt:lpwstr/>
      </vt:variant>
      <vt:variant>
        <vt:lpwstr>_Toc442977129</vt:lpwstr>
      </vt:variant>
      <vt:variant>
        <vt:i4>2031664</vt:i4>
      </vt:variant>
      <vt:variant>
        <vt:i4>197</vt:i4>
      </vt:variant>
      <vt:variant>
        <vt:i4>0</vt:i4>
      </vt:variant>
      <vt:variant>
        <vt:i4>5</vt:i4>
      </vt:variant>
      <vt:variant>
        <vt:lpwstr/>
      </vt:variant>
      <vt:variant>
        <vt:lpwstr>_Toc442977128</vt:lpwstr>
      </vt:variant>
      <vt:variant>
        <vt:i4>2031664</vt:i4>
      </vt:variant>
      <vt:variant>
        <vt:i4>191</vt:i4>
      </vt:variant>
      <vt:variant>
        <vt:i4>0</vt:i4>
      </vt:variant>
      <vt:variant>
        <vt:i4>5</vt:i4>
      </vt:variant>
      <vt:variant>
        <vt:lpwstr/>
      </vt:variant>
      <vt:variant>
        <vt:lpwstr>_Toc442977127</vt:lpwstr>
      </vt:variant>
      <vt:variant>
        <vt:i4>2031664</vt:i4>
      </vt:variant>
      <vt:variant>
        <vt:i4>185</vt:i4>
      </vt:variant>
      <vt:variant>
        <vt:i4>0</vt:i4>
      </vt:variant>
      <vt:variant>
        <vt:i4>5</vt:i4>
      </vt:variant>
      <vt:variant>
        <vt:lpwstr/>
      </vt:variant>
      <vt:variant>
        <vt:lpwstr>_Toc442977126</vt:lpwstr>
      </vt:variant>
      <vt:variant>
        <vt:i4>2031664</vt:i4>
      </vt:variant>
      <vt:variant>
        <vt:i4>179</vt:i4>
      </vt:variant>
      <vt:variant>
        <vt:i4>0</vt:i4>
      </vt:variant>
      <vt:variant>
        <vt:i4>5</vt:i4>
      </vt:variant>
      <vt:variant>
        <vt:lpwstr/>
      </vt:variant>
      <vt:variant>
        <vt:lpwstr>_Toc442977125</vt:lpwstr>
      </vt:variant>
      <vt:variant>
        <vt:i4>2031664</vt:i4>
      </vt:variant>
      <vt:variant>
        <vt:i4>173</vt:i4>
      </vt:variant>
      <vt:variant>
        <vt:i4>0</vt:i4>
      </vt:variant>
      <vt:variant>
        <vt:i4>5</vt:i4>
      </vt:variant>
      <vt:variant>
        <vt:lpwstr/>
      </vt:variant>
      <vt:variant>
        <vt:lpwstr>_Toc442977124</vt:lpwstr>
      </vt:variant>
      <vt:variant>
        <vt:i4>2031664</vt:i4>
      </vt:variant>
      <vt:variant>
        <vt:i4>167</vt:i4>
      </vt:variant>
      <vt:variant>
        <vt:i4>0</vt:i4>
      </vt:variant>
      <vt:variant>
        <vt:i4>5</vt:i4>
      </vt:variant>
      <vt:variant>
        <vt:lpwstr/>
      </vt:variant>
      <vt:variant>
        <vt:lpwstr>_Toc442977123</vt:lpwstr>
      </vt:variant>
      <vt:variant>
        <vt:i4>2031664</vt:i4>
      </vt:variant>
      <vt:variant>
        <vt:i4>161</vt:i4>
      </vt:variant>
      <vt:variant>
        <vt:i4>0</vt:i4>
      </vt:variant>
      <vt:variant>
        <vt:i4>5</vt:i4>
      </vt:variant>
      <vt:variant>
        <vt:lpwstr/>
      </vt:variant>
      <vt:variant>
        <vt:lpwstr>_Toc442977122</vt:lpwstr>
      </vt:variant>
      <vt:variant>
        <vt:i4>2031664</vt:i4>
      </vt:variant>
      <vt:variant>
        <vt:i4>155</vt:i4>
      </vt:variant>
      <vt:variant>
        <vt:i4>0</vt:i4>
      </vt:variant>
      <vt:variant>
        <vt:i4>5</vt:i4>
      </vt:variant>
      <vt:variant>
        <vt:lpwstr/>
      </vt:variant>
      <vt:variant>
        <vt:lpwstr>_Toc442977121</vt:lpwstr>
      </vt:variant>
      <vt:variant>
        <vt:i4>2031664</vt:i4>
      </vt:variant>
      <vt:variant>
        <vt:i4>149</vt:i4>
      </vt:variant>
      <vt:variant>
        <vt:i4>0</vt:i4>
      </vt:variant>
      <vt:variant>
        <vt:i4>5</vt:i4>
      </vt:variant>
      <vt:variant>
        <vt:lpwstr/>
      </vt:variant>
      <vt:variant>
        <vt:lpwstr>_Toc442977120</vt:lpwstr>
      </vt:variant>
      <vt:variant>
        <vt:i4>1835056</vt:i4>
      </vt:variant>
      <vt:variant>
        <vt:i4>143</vt:i4>
      </vt:variant>
      <vt:variant>
        <vt:i4>0</vt:i4>
      </vt:variant>
      <vt:variant>
        <vt:i4>5</vt:i4>
      </vt:variant>
      <vt:variant>
        <vt:lpwstr/>
      </vt:variant>
      <vt:variant>
        <vt:lpwstr>_Toc442977119</vt:lpwstr>
      </vt:variant>
      <vt:variant>
        <vt:i4>1835056</vt:i4>
      </vt:variant>
      <vt:variant>
        <vt:i4>137</vt:i4>
      </vt:variant>
      <vt:variant>
        <vt:i4>0</vt:i4>
      </vt:variant>
      <vt:variant>
        <vt:i4>5</vt:i4>
      </vt:variant>
      <vt:variant>
        <vt:lpwstr/>
      </vt:variant>
      <vt:variant>
        <vt:lpwstr>_Toc442977118</vt:lpwstr>
      </vt:variant>
      <vt:variant>
        <vt:i4>1835056</vt:i4>
      </vt:variant>
      <vt:variant>
        <vt:i4>131</vt:i4>
      </vt:variant>
      <vt:variant>
        <vt:i4>0</vt:i4>
      </vt:variant>
      <vt:variant>
        <vt:i4>5</vt:i4>
      </vt:variant>
      <vt:variant>
        <vt:lpwstr/>
      </vt:variant>
      <vt:variant>
        <vt:lpwstr>_Toc442977117</vt:lpwstr>
      </vt:variant>
      <vt:variant>
        <vt:i4>1835056</vt:i4>
      </vt:variant>
      <vt:variant>
        <vt:i4>125</vt:i4>
      </vt:variant>
      <vt:variant>
        <vt:i4>0</vt:i4>
      </vt:variant>
      <vt:variant>
        <vt:i4>5</vt:i4>
      </vt:variant>
      <vt:variant>
        <vt:lpwstr/>
      </vt:variant>
      <vt:variant>
        <vt:lpwstr>_Toc442977116</vt:lpwstr>
      </vt:variant>
      <vt:variant>
        <vt:i4>1835056</vt:i4>
      </vt:variant>
      <vt:variant>
        <vt:i4>119</vt:i4>
      </vt:variant>
      <vt:variant>
        <vt:i4>0</vt:i4>
      </vt:variant>
      <vt:variant>
        <vt:i4>5</vt:i4>
      </vt:variant>
      <vt:variant>
        <vt:lpwstr/>
      </vt:variant>
      <vt:variant>
        <vt:lpwstr>_Toc442977115</vt:lpwstr>
      </vt:variant>
      <vt:variant>
        <vt:i4>1835056</vt:i4>
      </vt:variant>
      <vt:variant>
        <vt:i4>113</vt:i4>
      </vt:variant>
      <vt:variant>
        <vt:i4>0</vt:i4>
      </vt:variant>
      <vt:variant>
        <vt:i4>5</vt:i4>
      </vt:variant>
      <vt:variant>
        <vt:lpwstr/>
      </vt:variant>
      <vt:variant>
        <vt:lpwstr>_Toc442977114</vt:lpwstr>
      </vt:variant>
      <vt:variant>
        <vt:i4>1835056</vt:i4>
      </vt:variant>
      <vt:variant>
        <vt:i4>107</vt:i4>
      </vt:variant>
      <vt:variant>
        <vt:i4>0</vt:i4>
      </vt:variant>
      <vt:variant>
        <vt:i4>5</vt:i4>
      </vt:variant>
      <vt:variant>
        <vt:lpwstr/>
      </vt:variant>
      <vt:variant>
        <vt:lpwstr>_Toc442977113</vt:lpwstr>
      </vt:variant>
      <vt:variant>
        <vt:i4>1835056</vt:i4>
      </vt:variant>
      <vt:variant>
        <vt:i4>101</vt:i4>
      </vt:variant>
      <vt:variant>
        <vt:i4>0</vt:i4>
      </vt:variant>
      <vt:variant>
        <vt:i4>5</vt:i4>
      </vt:variant>
      <vt:variant>
        <vt:lpwstr/>
      </vt:variant>
      <vt:variant>
        <vt:lpwstr>_Toc442977112</vt:lpwstr>
      </vt:variant>
      <vt:variant>
        <vt:i4>1835056</vt:i4>
      </vt:variant>
      <vt:variant>
        <vt:i4>95</vt:i4>
      </vt:variant>
      <vt:variant>
        <vt:i4>0</vt:i4>
      </vt:variant>
      <vt:variant>
        <vt:i4>5</vt:i4>
      </vt:variant>
      <vt:variant>
        <vt:lpwstr/>
      </vt:variant>
      <vt:variant>
        <vt:lpwstr>_Toc442977111</vt:lpwstr>
      </vt:variant>
      <vt:variant>
        <vt:i4>1835056</vt:i4>
      </vt:variant>
      <vt:variant>
        <vt:i4>89</vt:i4>
      </vt:variant>
      <vt:variant>
        <vt:i4>0</vt:i4>
      </vt:variant>
      <vt:variant>
        <vt:i4>5</vt:i4>
      </vt:variant>
      <vt:variant>
        <vt:lpwstr/>
      </vt:variant>
      <vt:variant>
        <vt:lpwstr>_Toc442977110</vt:lpwstr>
      </vt:variant>
      <vt:variant>
        <vt:i4>1900592</vt:i4>
      </vt:variant>
      <vt:variant>
        <vt:i4>83</vt:i4>
      </vt:variant>
      <vt:variant>
        <vt:i4>0</vt:i4>
      </vt:variant>
      <vt:variant>
        <vt:i4>5</vt:i4>
      </vt:variant>
      <vt:variant>
        <vt:lpwstr/>
      </vt:variant>
      <vt:variant>
        <vt:lpwstr>_Toc442977109</vt:lpwstr>
      </vt:variant>
      <vt:variant>
        <vt:i4>1900592</vt:i4>
      </vt:variant>
      <vt:variant>
        <vt:i4>77</vt:i4>
      </vt:variant>
      <vt:variant>
        <vt:i4>0</vt:i4>
      </vt:variant>
      <vt:variant>
        <vt:i4>5</vt:i4>
      </vt:variant>
      <vt:variant>
        <vt:lpwstr/>
      </vt:variant>
      <vt:variant>
        <vt:lpwstr>_Toc442977108</vt:lpwstr>
      </vt:variant>
      <vt:variant>
        <vt:i4>1900592</vt:i4>
      </vt:variant>
      <vt:variant>
        <vt:i4>71</vt:i4>
      </vt:variant>
      <vt:variant>
        <vt:i4>0</vt:i4>
      </vt:variant>
      <vt:variant>
        <vt:i4>5</vt:i4>
      </vt:variant>
      <vt:variant>
        <vt:lpwstr/>
      </vt:variant>
      <vt:variant>
        <vt:lpwstr>_Toc442977107</vt:lpwstr>
      </vt:variant>
      <vt:variant>
        <vt:i4>1900592</vt:i4>
      </vt:variant>
      <vt:variant>
        <vt:i4>65</vt:i4>
      </vt:variant>
      <vt:variant>
        <vt:i4>0</vt:i4>
      </vt:variant>
      <vt:variant>
        <vt:i4>5</vt:i4>
      </vt:variant>
      <vt:variant>
        <vt:lpwstr/>
      </vt:variant>
      <vt:variant>
        <vt:lpwstr>_Toc442977106</vt:lpwstr>
      </vt:variant>
      <vt:variant>
        <vt:i4>1900592</vt:i4>
      </vt:variant>
      <vt:variant>
        <vt:i4>59</vt:i4>
      </vt:variant>
      <vt:variant>
        <vt:i4>0</vt:i4>
      </vt:variant>
      <vt:variant>
        <vt:i4>5</vt:i4>
      </vt:variant>
      <vt:variant>
        <vt:lpwstr/>
      </vt:variant>
      <vt:variant>
        <vt:lpwstr>_Toc442977105</vt:lpwstr>
      </vt:variant>
      <vt:variant>
        <vt:i4>1900592</vt:i4>
      </vt:variant>
      <vt:variant>
        <vt:i4>53</vt:i4>
      </vt:variant>
      <vt:variant>
        <vt:i4>0</vt:i4>
      </vt:variant>
      <vt:variant>
        <vt:i4>5</vt:i4>
      </vt:variant>
      <vt:variant>
        <vt:lpwstr/>
      </vt:variant>
      <vt:variant>
        <vt:lpwstr>_Toc442977104</vt:lpwstr>
      </vt:variant>
      <vt:variant>
        <vt:i4>1900592</vt:i4>
      </vt:variant>
      <vt:variant>
        <vt:i4>47</vt:i4>
      </vt:variant>
      <vt:variant>
        <vt:i4>0</vt:i4>
      </vt:variant>
      <vt:variant>
        <vt:i4>5</vt:i4>
      </vt:variant>
      <vt:variant>
        <vt:lpwstr/>
      </vt:variant>
      <vt:variant>
        <vt:lpwstr>_Toc442977103</vt:lpwstr>
      </vt:variant>
      <vt:variant>
        <vt:i4>1900592</vt:i4>
      </vt:variant>
      <vt:variant>
        <vt:i4>41</vt:i4>
      </vt:variant>
      <vt:variant>
        <vt:i4>0</vt:i4>
      </vt:variant>
      <vt:variant>
        <vt:i4>5</vt:i4>
      </vt:variant>
      <vt:variant>
        <vt:lpwstr/>
      </vt:variant>
      <vt:variant>
        <vt:lpwstr>_Toc442977102</vt:lpwstr>
      </vt:variant>
      <vt:variant>
        <vt:i4>1900592</vt:i4>
      </vt:variant>
      <vt:variant>
        <vt:i4>35</vt:i4>
      </vt:variant>
      <vt:variant>
        <vt:i4>0</vt:i4>
      </vt:variant>
      <vt:variant>
        <vt:i4>5</vt:i4>
      </vt:variant>
      <vt:variant>
        <vt:lpwstr/>
      </vt:variant>
      <vt:variant>
        <vt:lpwstr>_Toc442977101</vt:lpwstr>
      </vt:variant>
      <vt:variant>
        <vt:i4>1900592</vt:i4>
      </vt:variant>
      <vt:variant>
        <vt:i4>29</vt:i4>
      </vt:variant>
      <vt:variant>
        <vt:i4>0</vt:i4>
      </vt:variant>
      <vt:variant>
        <vt:i4>5</vt:i4>
      </vt:variant>
      <vt:variant>
        <vt:lpwstr/>
      </vt:variant>
      <vt:variant>
        <vt:lpwstr>_Toc442977100</vt:lpwstr>
      </vt:variant>
      <vt:variant>
        <vt:i4>1310769</vt:i4>
      </vt:variant>
      <vt:variant>
        <vt:i4>23</vt:i4>
      </vt:variant>
      <vt:variant>
        <vt:i4>0</vt:i4>
      </vt:variant>
      <vt:variant>
        <vt:i4>5</vt:i4>
      </vt:variant>
      <vt:variant>
        <vt:lpwstr/>
      </vt:variant>
      <vt:variant>
        <vt:lpwstr>_Toc442977099</vt:lpwstr>
      </vt:variant>
      <vt:variant>
        <vt:i4>1310769</vt:i4>
      </vt:variant>
      <vt:variant>
        <vt:i4>17</vt:i4>
      </vt:variant>
      <vt:variant>
        <vt:i4>0</vt:i4>
      </vt:variant>
      <vt:variant>
        <vt:i4>5</vt:i4>
      </vt:variant>
      <vt:variant>
        <vt:lpwstr/>
      </vt:variant>
      <vt:variant>
        <vt:lpwstr>_Toc442977098</vt:lpwstr>
      </vt:variant>
      <vt:variant>
        <vt:i4>1310769</vt:i4>
      </vt:variant>
      <vt:variant>
        <vt:i4>11</vt:i4>
      </vt:variant>
      <vt:variant>
        <vt:i4>0</vt:i4>
      </vt:variant>
      <vt:variant>
        <vt:i4>5</vt:i4>
      </vt:variant>
      <vt:variant>
        <vt:lpwstr/>
      </vt:variant>
      <vt:variant>
        <vt:lpwstr>_Toc442977097</vt:lpwstr>
      </vt:variant>
      <vt:variant>
        <vt:i4>1310769</vt:i4>
      </vt:variant>
      <vt:variant>
        <vt:i4>5</vt:i4>
      </vt:variant>
      <vt:variant>
        <vt:i4>0</vt:i4>
      </vt:variant>
      <vt:variant>
        <vt:i4>5</vt:i4>
      </vt:variant>
      <vt:variant>
        <vt:lpwstr/>
      </vt:variant>
      <vt:variant>
        <vt:lpwstr>_Toc442977096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creator>Abt Associates</dc:creator>
  <cp:lastModifiedBy>SYSTEM</cp:lastModifiedBy>
  <cp:revision>2</cp:revision>
  <cp:lastPrinted>2017-02-16T15:35:00Z</cp:lastPrinted>
  <dcterms:created xsi:type="dcterms:W3CDTF">2019-11-07T17:39:00Z</dcterms:created>
  <dcterms:modified xsi:type="dcterms:W3CDTF">2019-11-07T17:39:00Z</dcterms:modified>
</cp:coreProperties>
</file>