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0868D" w14:textId="77777777" w:rsidR="00D86C22" w:rsidRDefault="00D86C22" w:rsidP="00877886">
      <w:pPr>
        <w:widowControl/>
        <w:tabs>
          <w:tab w:val="center" w:pos="5040"/>
        </w:tabs>
        <w:jc w:val="center"/>
        <w:rPr>
          <w:sz w:val="26"/>
          <w:szCs w:val="26"/>
        </w:rPr>
      </w:pPr>
      <w:bookmarkStart w:id="0" w:name="_GoBack"/>
      <w:bookmarkEnd w:id="0"/>
    </w:p>
    <w:p w14:paraId="26FB3905" w14:textId="77777777" w:rsidR="00877886" w:rsidRPr="007576AF" w:rsidRDefault="00877886" w:rsidP="00877886">
      <w:pPr>
        <w:widowControl/>
        <w:tabs>
          <w:tab w:val="center" w:pos="5040"/>
        </w:tabs>
        <w:jc w:val="center"/>
        <w:rPr>
          <w:sz w:val="26"/>
          <w:szCs w:val="26"/>
        </w:rPr>
      </w:pPr>
      <w:r w:rsidRPr="007576AF">
        <w:rPr>
          <w:sz w:val="26"/>
          <w:szCs w:val="26"/>
        </w:rPr>
        <w:t>Supporting Statement for</w:t>
      </w:r>
    </w:p>
    <w:p w14:paraId="0EC72FB7" w14:textId="5476266D" w:rsidR="006D6EF4" w:rsidRPr="007576AF" w:rsidRDefault="00C700E1" w:rsidP="00877886">
      <w:pPr>
        <w:widowControl/>
        <w:tabs>
          <w:tab w:val="center" w:pos="5040"/>
        </w:tabs>
        <w:jc w:val="center"/>
        <w:rPr>
          <w:b/>
          <w:sz w:val="26"/>
          <w:szCs w:val="26"/>
        </w:rPr>
      </w:pPr>
      <w:r w:rsidRPr="007576AF">
        <w:rPr>
          <w:b/>
          <w:sz w:val="26"/>
          <w:szCs w:val="26"/>
        </w:rPr>
        <w:t>FERC-516G</w:t>
      </w:r>
      <w:r w:rsidR="00877886" w:rsidRPr="007576AF">
        <w:rPr>
          <w:b/>
          <w:sz w:val="26"/>
          <w:szCs w:val="26"/>
        </w:rPr>
        <w:t xml:space="preserve"> Electric Rates Schedules and Tariff Filings, </w:t>
      </w:r>
    </w:p>
    <w:p w14:paraId="0A7E411F" w14:textId="2DEE0A16" w:rsidR="00877886" w:rsidRPr="007576AF" w:rsidRDefault="00133A0B" w:rsidP="00877886">
      <w:pPr>
        <w:widowControl/>
        <w:tabs>
          <w:tab w:val="center" w:pos="5040"/>
        </w:tabs>
        <w:jc w:val="center"/>
        <w:rPr>
          <w:sz w:val="26"/>
          <w:szCs w:val="26"/>
        </w:rPr>
      </w:pPr>
      <w:r w:rsidRPr="007576AF">
        <w:rPr>
          <w:b/>
          <w:sz w:val="26"/>
          <w:szCs w:val="26"/>
        </w:rPr>
        <w:t>Modifications</w:t>
      </w:r>
      <w:r w:rsidR="00CE379B" w:rsidRPr="007576AF">
        <w:rPr>
          <w:b/>
          <w:sz w:val="26"/>
          <w:szCs w:val="26"/>
        </w:rPr>
        <w:t xml:space="preserve"> </w:t>
      </w:r>
      <w:r w:rsidR="00396476" w:rsidRPr="007576AF">
        <w:rPr>
          <w:b/>
          <w:sz w:val="26"/>
          <w:szCs w:val="26"/>
        </w:rPr>
        <w:t xml:space="preserve">Proposed </w:t>
      </w:r>
      <w:r w:rsidR="00571DB7" w:rsidRPr="007576AF">
        <w:rPr>
          <w:b/>
          <w:sz w:val="26"/>
          <w:szCs w:val="26"/>
        </w:rPr>
        <w:t xml:space="preserve">in the </w:t>
      </w:r>
      <w:r w:rsidR="006D6EF4" w:rsidRPr="007576AF">
        <w:rPr>
          <w:b/>
          <w:sz w:val="26"/>
          <w:szCs w:val="26"/>
        </w:rPr>
        <w:t xml:space="preserve">NOPR in </w:t>
      </w:r>
      <w:r w:rsidR="00C700E1" w:rsidRPr="007576AF">
        <w:rPr>
          <w:b/>
          <w:sz w:val="26"/>
          <w:szCs w:val="26"/>
        </w:rPr>
        <w:t>RM17-2</w:t>
      </w:r>
      <w:r w:rsidR="00877886" w:rsidRPr="007576AF">
        <w:rPr>
          <w:b/>
          <w:sz w:val="26"/>
          <w:szCs w:val="26"/>
        </w:rPr>
        <w:t>-000</w:t>
      </w:r>
    </w:p>
    <w:p w14:paraId="2894FA3C" w14:textId="77777777" w:rsidR="00877886" w:rsidRPr="007576AF" w:rsidRDefault="00877886" w:rsidP="00877886">
      <w:pPr>
        <w:widowControl/>
        <w:tabs>
          <w:tab w:val="center" w:pos="5040"/>
        </w:tabs>
        <w:jc w:val="center"/>
        <w:rPr>
          <w:sz w:val="26"/>
          <w:szCs w:val="26"/>
        </w:rPr>
      </w:pPr>
    </w:p>
    <w:p w14:paraId="76509D92" w14:textId="0DD49DF8" w:rsidR="00877886" w:rsidRPr="007576AF" w:rsidRDefault="00877886" w:rsidP="00877886">
      <w:pPr>
        <w:widowControl/>
        <w:rPr>
          <w:sz w:val="26"/>
          <w:szCs w:val="26"/>
        </w:rPr>
      </w:pPr>
      <w:r w:rsidRPr="007576AF">
        <w:rPr>
          <w:sz w:val="26"/>
          <w:szCs w:val="26"/>
        </w:rPr>
        <w:t xml:space="preserve">The Federal Energy Regulatory Commission (FERC or Commission) requests that the Office of Management and Budget (OMB) review the </w:t>
      </w:r>
      <w:r w:rsidR="00C700E1" w:rsidRPr="007576AF">
        <w:rPr>
          <w:sz w:val="26"/>
          <w:szCs w:val="26"/>
        </w:rPr>
        <w:t>FERC-516G</w:t>
      </w:r>
      <w:r w:rsidRPr="007576AF">
        <w:rPr>
          <w:sz w:val="26"/>
          <w:szCs w:val="26"/>
        </w:rPr>
        <w:t xml:space="preserve"> </w:t>
      </w:r>
      <w:r w:rsidR="006D6567" w:rsidRPr="007576AF">
        <w:rPr>
          <w:sz w:val="26"/>
          <w:szCs w:val="26"/>
        </w:rPr>
        <w:t xml:space="preserve">as </w:t>
      </w:r>
      <w:r w:rsidR="003A78A0" w:rsidRPr="007576AF">
        <w:rPr>
          <w:sz w:val="26"/>
          <w:szCs w:val="26"/>
        </w:rPr>
        <w:t>propos</w:t>
      </w:r>
      <w:r w:rsidR="005A13AA" w:rsidRPr="007576AF">
        <w:rPr>
          <w:sz w:val="26"/>
          <w:szCs w:val="26"/>
        </w:rPr>
        <w:t>ed in</w:t>
      </w:r>
      <w:r w:rsidR="006D6567" w:rsidRPr="007576AF">
        <w:rPr>
          <w:sz w:val="26"/>
          <w:szCs w:val="26"/>
        </w:rPr>
        <w:t xml:space="preserve"> </w:t>
      </w:r>
      <w:r w:rsidR="006D6EF4" w:rsidRPr="007576AF">
        <w:rPr>
          <w:sz w:val="26"/>
          <w:szCs w:val="26"/>
        </w:rPr>
        <w:t xml:space="preserve">the </w:t>
      </w:r>
      <w:r w:rsidR="006D6567" w:rsidRPr="007576AF">
        <w:rPr>
          <w:sz w:val="26"/>
          <w:szCs w:val="26"/>
        </w:rPr>
        <w:t>Notice of Proposed Rulemaking (</w:t>
      </w:r>
      <w:r w:rsidR="006D6EF4" w:rsidRPr="007576AF">
        <w:rPr>
          <w:sz w:val="26"/>
          <w:szCs w:val="26"/>
        </w:rPr>
        <w:t>NOPR</w:t>
      </w:r>
      <w:r w:rsidR="006D6567" w:rsidRPr="007576AF">
        <w:rPr>
          <w:sz w:val="26"/>
          <w:szCs w:val="26"/>
        </w:rPr>
        <w:t>)</w:t>
      </w:r>
      <w:r w:rsidR="006D6EF4" w:rsidRPr="007576AF">
        <w:rPr>
          <w:sz w:val="26"/>
          <w:szCs w:val="26"/>
        </w:rPr>
        <w:t xml:space="preserve"> in </w:t>
      </w:r>
      <w:r w:rsidRPr="007576AF">
        <w:rPr>
          <w:sz w:val="26"/>
          <w:szCs w:val="26"/>
        </w:rPr>
        <w:t xml:space="preserve">Docket No. </w:t>
      </w:r>
      <w:r w:rsidR="00454550" w:rsidRPr="007576AF">
        <w:rPr>
          <w:sz w:val="26"/>
          <w:szCs w:val="26"/>
        </w:rPr>
        <w:t>RM17</w:t>
      </w:r>
      <w:r w:rsidRPr="007576AF">
        <w:rPr>
          <w:sz w:val="26"/>
          <w:szCs w:val="26"/>
        </w:rPr>
        <w:t>-</w:t>
      </w:r>
      <w:r w:rsidR="00C700E1" w:rsidRPr="007576AF">
        <w:rPr>
          <w:sz w:val="26"/>
          <w:szCs w:val="26"/>
        </w:rPr>
        <w:t>2</w:t>
      </w:r>
      <w:r w:rsidRPr="007576AF">
        <w:rPr>
          <w:sz w:val="26"/>
          <w:szCs w:val="26"/>
        </w:rPr>
        <w:t>.</w:t>
      </w:r>
    </w:p>
    <w:p w14:paraId="0DB9D8B6" w14:textId="77777777" w:rsidR="00877886" w:rsidRPr="007576AF" w:rsidRDefault="00877886" w:rsidP="00877886">
      <w:pPr>
        <w:widowControl/>
        <w:rPr>
          <w:sz w:val="26"/>
          <w:szCs w:val="26"/>
        </w:rPr>
      </w:pPr>
    </w:p>
    <w:p w14:paraId="2DBB7C89" w14:textId="77777777" w:rsidR="00877886" w:rsidRPr="007576AF" w:rsidRDefault="00877886" w:rsidP="00877886">
      <w:pPr>
        <w:widowControl/>
        <w:rPr>
          <w:b/>
          <w:sz w:val="26"/>
          <w:szCs w:val="26"/>
        </w:rPr>
      </w:pPr>
      <w:r w:rsidRPr="007576AF">
        <w:rPr>
          <w:b/>
          <w:sz w:val="26"/>
          <w:szCs w:val="26"/>
        </w:rPr>
        <w:t>1.</w:t>
      </w:r>
      <w:r w:rsidRPr="007576AF">
        <w:rPr>
          <w:b/>
          <w:sz w:val="26"/>
          <w:szCs w:val="26"/>
        </w:rPr>
        <w:tab/>
        <w:t>CIRCUMSTANCES THAT MAKE THE COLLECTION OF INFORMATION NECESSARY</w:t>
      </w:r>
    </w:p>
    <w:p w14:paraId="0CA55303" w14:textId="77777777" w:rsidR="00877886" w:rsidRPr="007576AF" w:rsidRDefault="00877886" w:rsidP="00877886">
      <w:pPr>
        <w:widowControl/>
        <w:ind w:left="1440"/>
        <w:rPr>
          <w:b/>
          <w:sz w:val="26"/>
          <w:szCs w:val="26"/>
        </w:rPr>
      </w:pPr>
    </w:p>
    <w:p w14:paraId="28C3DBD9" w14:textId="78974603" w:rsidR="009B0227" w:rsidRPr="007576AF" w:rsidRDefault="009B0227" w:rsidP="00877886">
      <w:pPr>
        <w:rPr>
          <w:sz w:val="26"/>
          <w:szCs w:val="26"/>
        </w:rPr>
      </w:pPr>
      <w:r w:rsidRPr="007576AF">
        <w:rPr>
          <w:sz w:val="26"/>
          <w:szCs w:val="26"/>
        </w:rPr>
        <w:t xml:space="preserve">In June 2014, the Commission initiated a proceeding, in Docket No. AD14-14-000, Price Formation in Energy and Ancillary Services Markets in Regional Transmission Organizations and Independent System Operators, to evaluate issues regarding price formation in the energy and ancillary </w:t>
      </w:r>
      <w:r w:rsidR="00D8311E" w:rsidRPr="007576AF">
        <w:rPr>
          <w:sz w:val="26"/>
          <w:szCs w:val="26"/>
        </w:rPr>
        <w:t>services markets operated by Regional Transmission Operator</w:t>
      </w:r>
      <w:r w:rsidRPr="007576AF">
        <w:rPr>
          <w:sz w:val="26"/>
          <w:szCs w:val="26"/>
        </w:rPr>
        <w:t>s/I</w:t>
      </w:r>
      <w:r w:rsidR="00D8311E" w:rsidRPr="007576AF">
        <w:rPr>
          <w:sz w:val="26"/>
          <w:szCs w:val="26"/>
        </w:rPr>
        <w:t xml:space="preserve">ndependent Service </w:t>
      </w:r>
      <w:r w:rsidRPr="007576AF">
        <w:rPr>
          <w:sz w:val="26"/>
          <w:szCs w:val="26"/>
        </w:rPr>
        <w:t>O</w:t>
      </w:r>
      <w:r w:rsidR="00D8311E" w:rsidRPr="007576AF">
        <w:rPr>
          <w:sz w:val="26"/>
          <w:szCs w:val="26"/>
        </w:rPr>
        <w:t>perator</w:t>
      </w:r>
      <w:r w:rsidRPr="007576AF">
        <w:rPr>
          <w:sz w:val="26"/>
          <w:szCs w:val="26"/>
        </w:rPr>
        <w:t>s</w:t>
      </w:r>
      <w:r w:rsidR="00D8311E" w:rsidRPr="007576AF">
        <w:rPr>
          <w:rStyle w:val="FootnoteReference"/>
          <w:sz w:val="26"/>
          <w:szCs w:val="26"/>
          <w:vertAlign w:val="superscript"/>
        </w:rPr>
        <w:footnoteReference w:id="2"/>
      </w:r>
      <w:r w:rsidRPr="007576AF">
        <w:rPr>
          <w:sz w:val="26"/>
          <w:szCs w:val="26"/>
        </w:rPr>
        <w:t xml:space="preserve"> (Price Formation Proceeding).  The notice initiating that proceeding stated that there may be opportunities for the RTOs/ISOs to improve the price formation process in the energy and ancillary services markets.  As set forth in the notice, prices used in energy and ancillary services markets ideally “would reflect the true marginal cost of production, taking into account all physical system constraints, and these prices would fully compensate all resources for the variable cost of providing service.”</w:t>
      </w:r>
      <w:r w:rsidRPr="007576AF">
        <w:rPr>
          <w:b/>
          <w:sz w:val="26"/>
          <w:szCs w:val="26"/>
          <w:vertAlign w:val="superscript"/>
        </w:rPr>
        <w:footnoteReference w:id="3"/>
      </w:r>
      <w:r w:rsidRPr="007576AF">
        <w:rPr>
          <w:sz w:val="26"/>
          <w:szCs w:val="26"/>
        </w:rPr>
        <w:t xml:space="preserve">  Pursuant to the notice, staff conducted outreach and convened technical workshops on the </w:t>
      </w:r>
      <w:r w:rsidR="00D8311E" w:rsidRPr="007576AF">
        <w:rPr>
          <w:sz w:val="26"/>
          <w:szCs w:val="26"/>
        </w:rPr>
        <w:t xml:space="preserve">following four general issues: </w:t>
      </w:r>
      <w:r w:rsidRPr="007576AF">
        <w:rPr>
          <w:sz w:val="26"/>
          <w:szCs w:val="26"/>
        </w:rPr>
        <w:t>(1) use of uplift payments; (2) offer price mitigation and offer price caps; (3) scarcity and shortage pricing; and (4) operator actions that affect prices.</w:t>
      </w:r>
      <w:r w:rsidRPr="007576AF">
        <w:rPr>
          <w:b/>
          <w:sz w:val="26"/>
          <w:szCs w:val="26"/>
          <w:vertAlign w:val="superscript"/>
        </w:rPr>
        <w:footnoteReference w:id="4"/>
      </w:r>
    </w:p>
    <w:p w14:paraId="32B317B2" w14:textId="77777777" w:rsidR="009B0227" w:rsidRPr="007576AF" w:rsidRDefault="009B0227" w:rsidP="00877886">
      <w:pPr>
        <w:rPr>
          <w:sz w:val="26"/>
          <w:szCs w:val="26"/>
        </w:rPr>
      </w:pPr>
    </w:p>
    <w:p w14:paraId="1BA0E181" w14:textId="56EAB411" w:rsidR="009B0227" w:rsidRPr="007576AF" w:rsidRDefault="00605300" w:rsidP="00877886">
      <w:pPr>
        <w:rPr>
          <w:sz w:val="26"/>
          <w:szCs w:val="26"/>
        </w:rPr>
      </w:pPr>
      <w:r w:rsidRPr="007576AF">
        <w:rPr>
          <w:sz w:val="26"/>
          <w:szCs w:val="26"/>
        </w:rPr>
        <w:t>In January 2015, the Commission requested comments on questions that arose from the price formation technical workshops.</w:t>
      </w:r>
      <w:r w:rsidRPr="007576AF">
        <w:rPr>
          <w:b/>
          <w:sz w:val="26"/>
          <w:szCs w:val="26"/>
          <w:vertAlign w:val="superscript"/>
        </w:rPr>
        <w:footnoteReference w:id="5"/>
      </w:r>
      <w:r w:rsidRPr="007576AF">
        <w:rPr>
          <w:sz w:val="26"/>
          <w:szCs w:val="26"/>
        </w:rPr>
        <w:t xml:space="preserve">  As a result of these comments, the Commission identified, among other things, five topics with potential for reform to improve price formation, but for which further information was needed.</w:t>
      </w:r>
    </w:p>
    <w:p w14:paraId="5BB2EB9A" w14:textId="77777777" w:rsidR="00605300" w:rsidRPr="007576AF" w:rsidRDefault="00605300" w:rsidP="00877886">
      <w:pPr>
        <w:rPr>
          <w:sz w:val="26"/>
          <w:szCs w:val="26"/>
        </w:rPr>
      </w:pPr>
    </w:p>
    <w:p w14:paraId="7A055B18" w14:textId="36183F41" w:rsidR="00605300" w:rsidRPr="007576AF" w:rsidRDefault="00605300" w:rsidP="00877886">
      <w:pPr>
        <w:rPr>
          <w:sz w:val="26"/>
          <w:szCs w:val="26"/>
        </w:rPr>
      </w:pPr>
      <w:r w:rsidRPr="007576AF">
        <w:rPr>
          <w:sz w:val="26"/>
          <w:szCs w:val="26"/>
        </w:rPr>
        <w:t>In November 2015, the Commission issued an order that directed each RTO/ISO to report on these five price formation topics:  fast-start pricing; managing multiple contingencies; look-ahead modeling; uplift allocation; and transparency.</w:t>
      </w:r>
      <w:r w:rsidRPr="007576AF">
        <w:rPr>
          <w:b/>
          <w:sz w:val="26"/>
          <w:szCs w:val="26"/>
          <w:vertAlign w:val="superscript"/>
        </w:rPr>
        <w:footnoteReference w:id="6"/>
      </w:r>
      <w:r w:rsidRPr="007576AF">
        <w:rPr>
          <w:sz w:val="26"/>
          <w:szCs w:val="26"/>
        </w:rPr>
        <w:t xml:space="preserve">  Specifically, the order </w:t>
      </w:r>
      <w:r w:rsidRPr="007576AF">
        <w:rPr>
          <w:sz w:val="26"/>
          <w:szCs w:val="26"/>
        </w:rPr>
        <w:lastRenderedPageBreak/>
        <w:t>directed each RTO/ISO to file a report providing an update on its current practices in the five topic areas, outlining the status of its efforts (if any) to address issues in each of the five topic areas, and responding to specific questions contained in the order.  In the reports filed and the subsequent comments, RTOs/ISOs and other commenters addressed the issues of uplift cost allocation and transparency,</w:t>
      </w:r>
      <w:r w:rsidRPr="007576AF">
        <w:rPr>
          <w:b/>
          <w:sz w:val="26"/>
          <w:szCs w:val="26"/>
          <w:vertAlign w:val="superscript"/>
        </w:rPr>
        <w:footnoteReference w:id="7"/>
      </w:r>
      <w:r w:rsidRPr="007576AF">
        <w:rPr>
          <w:sz w:val="26"/>
          <w:szCs w:val="26"/>
        </w:rPr>
        <w:t xml:space="preserve"> which are the subject of this NOPR.</w:t>
      </w:r>
    </w:p>
    <w:p w14:paraId="72F1E710" w14:textId="77777777" w:rsidR="00877886" w:rsidRPr="000B07EB" w:rsidRDefault="00877886" w:rsidP="00CC428D">
      <w:pPr>
        <w:rPr>
          <w:sz w:val="26"/>
        </w:rPr>
      </w:pPr>
    </w:p>
    <w:p w14:paraId="453A36A4" w14:textId="77777777" w:rsidR="00877886" w:rsidRPr="007576AF" w:rsidRDefault="00877886" w:rsidP="00877886">
      <w:pPr>
        <w:pStyle w:val="FERCparanumber"/>
        <w:numPr>
          <w:ilvl w:val="0"/>
          <w:numId w:val="2"/>
        </w:numPr>
        <w:tabs>
          <w:tab w:val="left" w:pos="720"/>
          <w:tab w:val="left" w:pos="4860"/>
        </w:tabs>
        <w:rPr>
          <w:szCs w:val="26"/>
        </w:rPr>
      </w:pPr>
      <w:r w:rsidRPr="007576AF">
        <w:rPr>
          <w:b/>
          <w:szCs w:val="26"/>
        </w:rPr>
        <w:t>HOW, BY WHOM AND FOR WHAT PURPOSE IS THE INFORMATION USED AND THE CONSEQUENCES OF NOT COLLECTING THE INFORMATION</w:t>
      </w:r>
    </w:p>
    <w:p w14:paraId="654F05B8" w14:textId="77777777" w:rsidR="00877886" w:rsidRPr="007576AF" w:rsidRDefault="00877886" w:rsidP="00877886">
      <w:pPr>
        <w:pStyle w:val="FERCparanumber"/>
        <w:numPr>
          <w:ilvl w:val="0"/>
          <w:numId w:val="0"/>
        </w:numPr>
        <w:tabs>
          <w:tab w:val="left" w:pos="720"/>
          <w:tab w:val="left" w:pos="4860"/>
        </w:tabs>
        <w:rPr>
          <w:szCs w:val="26"/>
        </w:rPr>
      </w:pPr>
    </w:p>
    <w:p w14:paraId="028541B1" w14:textId="75D13832" w:rsidR="007A2C65" w:rsidRPr="007576AF" w:rsidRDefault="00877886">
      <w:pPr>
        <w:pStyle w:val="FERCparanumber"/>
        <w:numPr>
          <w:ilvl w:val="0"/>
          <w:numId w:val="0"/>
        </w:numPr>
        <w:tabs>
          <w:tab w:val="left" w:pos="720"/>
          <w:tab w:val="left" w:pos="4860"/>
        </w:tabs>
        <w:rPr>
          <w:szCs w:val="26"/>
        </w:rPr>
      </w:pPr>
      <w:r w:rsidRPr="007576AF">
        <w:rPr>
          <w:szCs w:val="26"/>
        </w:rPr>
        <w:t xml:space="preserve">In this </w:t>
      </w:r>
      <w:r w:rsidR="00195494" w:rsidRPr="007576AF">
        <w:rPr>
          <w:szCs w:val="26"/>
        </w:rPr>
        <w:t>NOPR</w:t>
      </w:r>
      <w:r w:rsidR="00383A7C" w:rsidRPr="007576AF">
        <w:rPr>
          <w:szCs w:val="26"/>
        </w:rPr>
        <w:t xml:space="preserve"> in RM</w:t>
      </w:r>
      <w:r w:rsidR="00AC0D7D" w:rsidRPr="007576AF">
        <w:rPr>
          <w:szCs w:val="26"/>
        </w:rPr>
        <w:t>17-</w:t>
      </w:r>
      <w:r w:rsidR="004942DD" w:rsidRPr="007576AF">
        <w:rPr>
          <w:szCs w:val="26"/>
        </w:rPr>
        <w:t xml:space="preserve">2, the Commission </w:t>
      </w:r>
      <w:r w:rsidR="002761D3" w:rsidRPr="007576AF">
        <w:rPr>
          <w:szCs w:val="26"/>
        </w:rPr>
        <w:t>seeks to remedy potential unjust and u</w:t>
      </w:r>
      <w:r w:rsidR="007A2C65" w:rsidRPr="007576AF">
        <w:rPr>
          <w:szCs w:val="26"/>
        </w:rPr>
        <w:t>nreasonable rates by proposing</w:t>
      </w:r>
      <w:r w:rsidR="002761D3" w:rsidRPr="007576AF">
        <w:rPr>
          <w:szCs w:val="26"/>
        </w:rPr>
        <w:t xml:space="preserve"> that, pursuant to Section 206 of the Federal Power Act</w:t>
      </w:r>
      <w:r w:rsidR="002761D3" w:rsidRPr="007576AF">
        <w:rPr>
          <w:rStyle w:val="FootnoteReference"/>
          <w:szCs w:val="26"/>
          <w:vertAlign w:val="superscript"/>
        </w:rPr>
        <w:footnoteReference w:id="8"/>
      </w:r>
      <w:r w:rsidR="002761D3" w:rsidRPr="007576AF">
        <w:rPr>
          <w:szCs w:val="26"/>
        </w:rPr>
        <w:t>, each</w:t>
      </w:r>
      <w:r w:rsidR="007A2C65" w:rsidRPr="007576AF">
        <w:rPr>
          <w:szCs w:val="26"/>
        </w:rPr>
        <w:t xml:space="preserve"> RTO/ISO:</w:t>
      </w:r>
    </w:p>
    <w:p w14:paraId="64535229" w14:textId="692EF8FE" w:rsidR="007A2C65" w:rsidRPr="007576AF" w:rsidRDefault="007A2C65" w:rsidP="00CC428D">
      <w:pPr>
        <w:pStyle w:val="FERCparanumber"/>
        <w:numPr>
          <w:ilvl w:val="0"/>
          <w:numId w:val="6"/>
        </w:numPr>
        <w:tabs>
          <w:tab w:val="left" w:pos="720"/>
          <w:tab w:val="left" w:pos="4860"/>
        </w:tabs>
        <w:rPr>
          <w:szCs w:val="26"/>
        </w:rPr>
      </w:pPr>
      <w:r w:rsidRPr="007576AF">
        <w:rPr>
          <w:szCs w:val="26"/>
        </w:rPr>
        <w:t>Report total uplift payments for each transmission zone on a monthly basis, broken out by day and uplift category;</w:t>
      </w:r>
    </w:p>
    <w:p w14:paraId="345F6BDD" w14:textId="1C16642C" w:rsidR="007A2C65" w:rsidRPr="007576AF" w:rsidRDefault="007A2C65" w:rsidP="00CC428D">
      <w:pPr>
        <w:pStyle w:val="FERCparanumber"/>
        <w:numPr>
          <w:ilvl w:val="0"/>
          <w:numId w:val="6"/>
        </w:numPr>
        <w:tabs>
          <w:tab w:val="left" w:pos="720"/>
          <w:tab w:val="left" w:pos="4860"/>
        </w:tabs>
        <w:rPr>
          <w:szCs w:val="26"/>
        </w:rPr>
      </w:pPr>
      <w:r w:rsidRPr="007576AF">
        <w:rPr>
          <w:szCs w:val="26"/>
        </w:rPr>
        <w:t>Report total uplift payments for each resources on a monthly basis;</w:t>
      </w:r>
    </w:p>
    <w:p w14:paraId="181C9896" w14:textId="5ED4C9EB" w:rsidR="007A2C65" w:rsidRPr="007576AF" w:rsidRDefault="007A2C65" w:rsidP="00CC428D">
      <w:pPr>
        <w:pStyle w:val="FERCparanumber"/>
        <w:numPr>
          <w:ilvl w:val="0"/>
          <w:numId w:val="6"/>
        </w:numPr>
        <w:tabs>
          <w:tab w:val="left" w:pos="720"/>
          <w:tab w:val="left" w:pos="4860"/>
        </w:tabs>
        <w:rPr>
          <w:szCs w:val="26"/>
        </w:rPr>
      </w:pPr>
      <w:r w:rsidRPr="007576AF">
        <w:rPr>
          <w:szCs w:val="26"/>
        </w:rPr>
        <w:t>Report the megawatts of operator-initiated commitments in or near real-time and after the close of the day-ahead market (broken out by zone and commitment reason); and</w:t>
      </w:r>
    </w:p>
    <w:p w14:paraId="220DAFDF" w14:textId="0417FCC5" w:rsidR="007A2C65" w:rsidRPr="007576AF" w:rsidRDefault="007A2C65" w:rsidP="00CC428D">
      <w:pPr>
        <w:pStyle w:val="FERCparanumber"/>
        <w:numPr>
          <w:ilvl w:val="0"/>
          <w:numId w:val="6"/>
        </w:numPr>
        <w:tabs>
          <w:tab w:val="left" w:pos="720"/>
          <w:tab w:val="left" w:pos="4860"/>
        </w:tabs>
        <w:rPr>
          <w:szCs w:val="26"/>
        </w:rPr>
      </w:pPr>
      <w:r w:rsidRPr="007576AF">
        <w:rPr>
          <w:szCs w:val="26"/>
        </w:rPr>
        <w:t>And list in its tariff the transmission penalty factors, the circumstances under which they can set LMPs</w:t>
      </w:r>
      <w:r w:rsidR="00D8311E" w:rsidRPr="007576AF">
        <w:rPr>
          <w:rStyle w:val="FootnoteReference"/>
          <w:szCs w:val="26"/>
          <w:vertAlign w:val="superscript"/>
        </w:rPr>
        <w:footnoteReference w:id="9"/>
      </w:r>
      <w:r w:rsidRPr="007576AF">
        <w:rPr>
          <w:szCs w:val="26"/>
        </w:rPr>
        <w:t>, and the procedure by which they can be temporarily changed.</w:t>
      </w:r>
    </w:p>
    <w:p w14:paraId="245320ED" w14:textId="77777777" w:rsidR="007A2C65" w:rsidRPr="007576AF" w:rsidRDefault="007A2C65" w:rsidP="007A2C65">
      <w:pPr>
        <w:pStyle w:val="FERCparanumber"/>
        <w:numPr>
          <w:ilvl w:val="0"/>
          <w:numId w:val="0"/>
        </w:numPr>
        <w:tabs>
          <w:tab w:val="left" w:pos="720"/>
          <w:tab w:val="left" w:pos="4860"/>
        </w:tabs>
        <w:rPr>
          <w:szCs w:val="26"/>
        </w:rPr>
      </w:pPr>
    </w:p>
    <w:p w14:paraId="2422F4CC" w14:textId="2349A7A7" w:rsidR="007A2C65" w:rsidRPr="007576AF" w:rsidRDefault="007A2C65" w:rsidP="007A2C65">
      <w:pPr>
        <w:pStyle w:val="FERCparanumber"/>
        <w:numPr>
          <w:ilvl w:val="0"/>
          <w:numId w:val="0"/>
        </w:numPr>
        <w:tabs>
          <w:tab w:val="left" w:pos="720"/>
          <w:tab w:val="left" w:pos="4860"/>
        </w:tabs>
        <w:rPr>
          <w:szCs w:val="26"/>
          <w:u w:val="single"/>
        </w:rPr>
      </w:pPr>
      <w:r w:rsidRPr="007576AF">
        <w:rPr>
          <w:szCs w:val="26"/>
          <w:u w:val="single"/>
        </w:rPr>
        <w:t>Uplift Reporting</w:t>
      </w:r>
    </w:p>
    <w:p w14:paraId="6C1601A2" w14:textId="1143661F" w:rsidR="007A2C65" w:rsidRPr="007576AF" w:rsidRDefault="007A2C65" w:rsidP="007A2C65">
      <w:pPr>
        <w:pStyle w:val="FERCparanumber"/>
        <w:numPr>
          <w:ilvl w:val="0"/>
          <w:numId w:val="0"/>
        </w:numPr>
        <w:tabs>
          <w:tab w:val="left" w:pos="720"/>
          <w:tab w:val="left" w:pos="4860"/>
        </w:tabs>
        <w:rPr>
          <w:szCs w:val="26"/>
        </w:rPr>
      </w:pPr>
      <w:r w:rsidRPr="007576AF">
        <w:rPr>
          <w:szCs w:val="26"/>
        </w:rPr>
        <w:t xml:space="preserve">The Commission proposes to require that, within 20 days of the end of each month, each RTO/ISO post on its website two reports, at a minimum, regarding uplift payments. </w:t>
      </w:r>
      <w:r w:rsidR="004E4597" w:rsidRPr="007576AF">
        <w:rPr>
          <w:szCs w:val="26"/>
        </w:rPr>
        <w:t xml:space="preserve"> Each RTO/ISO must post the total amount of uplift in</w:t>
      </w:r>
      <w:r w:rsidR="007B4EA7" w:rsidRPr="007576AF">
        <w:rPr>
          <w:szCs w:val="26"/>
        </w:rPr>
        <w:t xml:space="preserve"> dollars in each category (e.g.</w:t>
      </w:r>
      <w:r w:rsidR="004E4597" w:rsidRPr="007576AF">
        <w:rPr>
          <w:szCs w:val="26"/>
        </w:rPr>
        <w:t xml:space="preserve"> day-ahead, real-time, voltage</w:t>
      </w:r>
      <w:r w:rsidR="007B4EA7" w:rsidRPr="007576AF">
        <w:rPr>
          <w:szCs w:val="26"/>
        </w:rPr>
        <w:t>,</w:t>
      </w:r>
      <w:r w:rsidR="004E4597" w:rsidRPr="007576AF">
        <w:rPr>
          <w:szCs w:val="26"/>
        </w:rPr>
        <w:t xml:space="preserve"> and local reliability) paid to resources in each transmission zone for each day within the calendar month.  The Commission proposes to require that each RTO/ISO post uplift payment amounts based on its specific uplift categories to allow market participants to distinguish between different types of uplift. Second, each RTO/ISO must post the resource name and the total amount of uplift paid in dollars aggregated across the month to each resource that received uplift payments within the calendar month.</w:t>
      </w:r>
    </w:p>
    <w:p w14:paraId="461B6A0F" w14:textId="77777777" w:rsidR="004E4597" w:rsidRPr="007576AF" w:rsidRDefault="004E4597" w:rsidP="007A2C65">
      <w:pPr>
        <w:pStyle w:val="FERCparanumber"/>
        <w:numPr>
          <w:ilvl w:val="0"/>
          <w:numId w:val="0"/>
        </w:numPr>
        <w:tabs>
          <w:tab w:val="left" w:pos="720"/>
          <w:tab w:val="left" w:pos="4860"/>
        </w:tabs>
        <w:rPr>
          <w:szCs w:val="26"/>
        </w:rPr>
      </w:pPr>
    </w:p>
    <w:p w14:paraId="6A9B1B77" w14:textId="18D69A1A" w:rsidR="008A13DD" w:rsidRPr="007576AF" w:rsidRDefault="00CA14F6" w:rsidP="008A13DD">
      <w:pPr>
        <w:rPr>
          <w:sz w:val="26"/>
          <w:szCs w:val="26"/>
        </w:rPr>
      </w:pPr>
      <w:r w:rsidRPr="007576AF">
        <w:rPr>
          <w:sz w:val="26"/>
          <w:szCs w:val="26"/>
        </w:rPr>
        <w:lastRenderedPageBreak/>
        <w:t>In t</w:t>
      </w:r>
      <w:r w:rsidR="004E4597" w:rsidRPr="007576AF">
        <w:rPr>
          <w:sz w:val="26"/>
          <w:szCs w:val="26"/>
        </w:rPr>
        <w:t>his</w:t>
      </w:r>
      <w:r w:rsidR="004E4597" w:rsidRPr="000B07EB">
        <w:rPr>
          <w:sz w:val="26"/>
        </w:rPr>
        <w:t xml:space="preserve"> NOPR</w:t>
      </w:r>
      <w:r w:rsidRPr="007576AF">
        <w:rPr>
          <w:sz w:val="26"/>
          <w:szCs w:val="26"/>
        </w:rPr>
        <w:t>, the Commission</w:t>
      </w:r>
      <w:r w:rsidR="004E4597" w:rsidRPr="000B07EB">
        <w:rPr>
          <w:sz w:val="26"/>
        </w:rPr>
        <w:t xml:space="preserve"> proposes that information on uplift payments should be posted in a machine readable format on a publicly accessible portion of the RTO’s/ISO’s website. </w:t>
      </w:r>
      <w:r w:rsidR="008A13DD" w:rsidRPr="007576AF">
        <w:rPr>
          <w:sz w:val="26"/>
          <w:szCs w:val="26"/>
        </w:rPr>
        <w:t xml:space="preserve">The </w:t>
      </w:r>
      <w:r w:rsidRPr="007576AF">
        <w:rPr>
          <w:sz w:val="26"/>
          <w:szCs w:val="26"/>
        </w:rPr>
        <w:t>Commission</w:t>
      </w:r>
      <w:r w:rsidR="008A13DD" w:rsidRPr="007576AF">
        <w:rPr>
          <w:sz w:val="26"/>
          <w:szCs w:val="26"/>
        </w:rPr>
        <w:t xml:space="preserve"> does not prescribe how RTOs/ISOs generate the proposed uplift reports.  </w:t>
      </w:r>
    </w:p>
    <w:p w14:paraId="3F9B60A5" w14:textId="77777777" w:rsidR="00AA1B5C" w:rsidRDefault="00AA1B5C" w:rsidP="007A2C65">
      <w:pPr>
        <w:pStyle w:val="FERCparanumber"/>
        <w:numPr>
          <w:ilvl w:val="0"/>
          <w:numId w:val="0"/>
        </w:numPr>
        <w:tabs>
          <w:tab w:val="left" w:pos="720"/>
          <w:tab w:val="left" w:pos="4860"/>
        </w:tabs>
        <w:rPr>
          <w:szCs w:val="26"/>
        </w:rPr>
      </w:pPr>
    </w:p>
    <w:p w14:paraId="24C0A5DB" w14:textId="388E13B0" w:rsidR="004E4597" w:rsidRPr="007576AF" w:rsidRDefault="00AA1B5C" w:rsidP="007A2C65">
      <w:pPr>
        <w:pStyle w:val="FERCparanumber"/>
        <w:numPr>
          <w:ilvl w:val="0"/>
          <w:numId w:val="0"/>
        </w:numPr>
        <w:tabs>
          <w:tab w:val="left" w:pos="720"/>
          <w:tab w:val="left" w:pos="4860"/>
        </w:tabs>
        <w:rPr>
          <w:szCs w:val="26"/>
        </w:rPr>
      </w:pPr>
      <w:r>
        <w:rPr>
          <w:szCs w:val="26"/>
        </w:rPr>
        <w:t xml:space="preserve">As noted in the NOPR, the lack of this information will hinder market participants’ ability to plan and efficiently respond to system needs.  Requiring the RTOs/ISOs to report </w:t>
      </w:r>
      <w:r w:rsidR="004E4597" w:rsidRPr="007576AF">
        <w:rPr>
          <w:szCs w:val="26"/>
        </w:rPr>
        <w:t xml:space="preserve">this information </w:t>
      </w:r>
      <w:r>
        <w:rPr>
          <w:szCs w:val="26"/>
        </w:rPr>
        <w:t xml:space="preserve">will facilitate </w:t>
      </w:r>
      <w:r w:rsidR="004E4597" w:rsidRPr="007576AF">
        <w:rPr>
          <w:szCs w:val="26"/>
        </w:rPr>
        <w:t>market participants</w:t>
      </w:r>
      <w:r>
        <w:rPr>
          <w:szCs w:val="26"/>
        </w:rPr>
        <w:t>’</w:t>
      </w:r>
      <w:r w:rsidR="004E4597" w:rsidRPr="007576AF">
        <w:rPr>
          <w:szCs w:val="26"/>
        </w:rPr>
        <w:t xml:space="preserve"> </w:t>
      </w:r>
      <w:r>
        <w:rPr>
          <w:szCs w:val="26"/>
        </w:rPr>
        <w:t>ability</w:t>
      </w:r>
      <w:r w:rsidR="004E4597" w:rsidRPr="007576AF">
        <w:rPr>
          <w:szCs w:val="26"/>
        </w:rPr>
        <w:t xml:space="preserve"> to evaluate possible solutions to reduce the incurrence of uplift. For example, with more granular information on the location, amounts, and types of uplift, market participants can better evaluate the benefits of additional transmission upgrades that could reduce the need for unit commitments</w:t>
      </w:r>
      <w:r w:rsidR="006118A5" w:rsidRPr="007576AF">
        <w:rPr>
          <w:szCs w:val="26"/>
        </w:rPr>
        <w:t>.</w:t>
      </w:r>
      <w:r>
        <w:rPr>
          <w:szCs w:val="26"/>
        </w:rPr>
        <w:t xml:space="preserve">  Market participants can also use the information to raise issues of concern in the relevant stakeholder process. </w:t>
      </w:r>
    </w:p>
    <w:p w14:paraId="0F3EE548" w14:textId="77777777" w:rsidR="004E4597" w:rsidRPr="007576AF" w:rsidRDefault="004E4597" w:rsidP="007A2C65">
      <w:pPr>
        <w:pStyle w:val="FERCparanumber"/>
        <w:numPr>
          <w:ilvl w:val="0"/>
          <w:numId w:val="0"/>
        </w:numPr>
        <w:tabs>
          <w:tab w:val="left" w:pos="720"/>
          <w:tab w:val="left" w:pos="4860"/>
        </w:tabs>
        <w:rPr>
          <w:szCs w:val="26"/>
        </w:rPr>
      </w:pPr>
    </w:p>
    <w:p w14:paraId="0512B57E" w14:textId="4CA5DF6B" w:rsidR="00D30C30" w:rsidRPr="007576AF" w:rsidRDefault="00D30C30" w:rsidP="004E026A">
      <w:pPr>
        <w:rPr>
          <w:i/>
          <w:sz w:val="26"/>
          <w:szCs w:val="26"/>
        </w:rPr>
      </w:pPr>
      <w:r w:rsidRPr="007576AF">
        <w:rPr>
          <w:i/>
          <w:sz w:val="26"/>
          <w:szCs w:val="26"/>
        </w:rPr>
        <w:t>20-day timeline</w:t>
      </w:r>
      <w:r w:rsidR="004E026A" w:rsidRPr="007576AF">
        <w:rPr>
          <w:i/>
          <w:sz w:val="26"/>
          <w:szCs w:val="26"/>
        </w:rPr>
        <w:t xml:space="preserve"> for uplift reports</w:t>
      </w:r>
    </w:p>
    <w:p w14:paraId="2CE697B9" w14:textId="77777777" w:rsidR="006D0041" w:rsidRPr="007576AF" w:rsidRDefault="006D0041">
      <w:pPr>
        <w:rPr>
          <w:sz w:val="26"/>
          <w:szCs w:val="26"/>
        </w:rPr>
      </w:pPr>
      <w:r w:rsidRPr="007576AF">
        <w:rPr>
          <w:sz w:val="26"/>
          <w:szCs w:val="26"/>
        </w:rPr>
        <w:t>While each of the six jurisdictional Regional Transmission Operators (RTOs) and Independent System Operators (ISOs) currently provide monthly uplift reports on their websites, each does so on a different timeline.  Most RTOs/ISOs provide these reports within the month following the reporting period.  Prior to the NOPR, some commenters suggested that having this information earlier would improve the transparency of uplift payments and charges.  As explained in the NOPR, such transparency supports the efficient functioning of RTO/ISO markets by improving market participants' understanding of how uplift is calculated, how uplift relates to system needs, and the predictability of uplift payments and charges going forward.</w:t>
      </w:r>
    </w:p>
    <w:p w14:paraId="034F7A42" w14:textId="77777777" w:rsidR="006D0041" w:rsidRPr="007576AF" w:rsidRDefault="006D0041" w:rsidP="006D0041">
      <w:pPr>
        <w:rPr>
          <w:sz w:val="26"/>
          <w:szCs w:val="26"/>
        </w:rPr>
      </w:pPr>
    </w:p>
    <w:p w14:paraId="25575985" w14:textId="53F1B5D4" w:rsidR="006D0041" w:rsidRPr="007576AF" w:rsidRDefault="00CA14F6" w:rsidP="006D0041">
      <w:pPr>
        <w:rPr>
          <w:sz w:val="26"/>
          <w:szCs w:val="26"/>
        </w:rPr>
      </w:pPr>
      <w:r w:rsidRPr="007576AF">
        <w:rPr>
          <w:sz w:val="26"/>
          <w:szCs w:val="26"/>
        </w:rPr>
        <w:t>In t</w:t>
      </w:r>
      <w:r w:rsidR="006D0041" w:rsidRPr="007576AF">
        <w:rPr>
          <w:sz w:val="26"/>
          <w:szCs w:val="26"/>
        </w:rPr>
        <w:t>he NOPR</w:t>
      </w:r>
      <w:r w:rsidRPr="007576AF">
        <w:rPr>
          <w:sz w:val="26"/>
          <w:szCs w:val="26"/>
        </w:rPr>
        <w:t>, the Commission</w:t>
      </w:r>
      <w:r w:rsidR="006D0041" w:rsidRPr="007576AF">
        <w:rPr>
          <w:sz w:val="26"/>
          <w:szCs w:val="26"/>
        </w:rPr>
        <w:t xml:space="preserve"> recognize</w:t>
      </w:r>
      <w:r w:rsidRPr="007576AF">
        <w:rPr>
          <w:sz w:val="26"/>
          <w:szCs w:val="26"/>
        </w:rPr>
        <w:t>s</w:t>
      </w:r>
      <w:r w:rsidR="006D0041" w:rsidRPr="007576AF">
        <w:rPr>
          <w:sz w:val="26"/>
          <w:szCs w:val="26"/>
        </w:rPr>
        <w:t xml:space="preserve"> that the timing of uplift reporting is driven, in part, by each individual RTO's/ISO's market settlement process, which needs to be completed before an uplift report can be compiled.  The Commission propose</w:t>
      </w:r>
      <w:r w:rsidRPr="007576AF">
        <w:rPr>
          <w:sz w:val="26"/>
          <w:szCs w:val="26"/>
        </w:rPr>
        <w:t>s</w:t>
      </w:r>
      <w:r w:rsidR="006D0041" w:rsidRPr="007576AF">
        <w:rPr>
          <w:sz w:val="26"/>
          <w:szCs w:val="26"/>
        </w:rPr>
        <w:t xml:space="preserve"> requiring uplift reports within 20 days to allow a cushion for RTOs/ISOs to take any additional steps needed to process and provide the uplift information, while providing a baseline level of transp</w:t>
      </w:r>
      <w:r w:rsidR="007576AF" w:rsidRPr="007576AF">
        <w:rPr>
          <w:sz w:val="26"/>
          <w:szCs w:val="26"/>
        </w:rPr>
        <w:t>arency for market participants.</w:t>
      </w:r>
      <w:r w:rsidR="006D0041" w:rsidRPr="007576AF">
        <w:rPr>
          <w:sz w:val="26"/>
          <w:szCs w:val="26"/>
        </w:rPr>
        <w:t xml:space="preserve"> </w:t>
      </w:r>
      <w:r w:rsidR="007576AF" w:rsidRPr="007576AF">
        <w:rPr>
          <w:sz w:val="26"/>
          <w:szCs w:val="26"/>
        </w:rPr>
        <w:t xml:space="preserve"> </w:t>
      </w:r>
      <w:r w:rsidR="006118A5" w:rsidRPr="007576AF" w:rsidDel="008A13DD">
        <w:rPr>
          <w:sz w:val="26"/>
          <w:szCs w:val="26"/>
        </w:rPr>
        <w:t>RTOs/ISOs each produce a variety of public reports daily, monthly, and over longer time intervals. </w:t>
      </w:r>
      <w:r w:rsidR="006118A5" w:rsidRPr="007576AF">
        <w:rPr>
          <w:sz w:val="26"/>
          <w:szCs w:val="26"/>
        </w:rPr>
        <w:t xml:space="preserve"> </w:t>
      </w:r>
      <w:r w:rsidR="006118A5" w:rsidRPr="007576AF" w:rsidDel="008A13DD">
        <w:rPr>
          <w:sz w:val="26"/>
          <w:szCs w:val="26"/>
        </w:rPr>
        <w:t xml:space="preserve">If the Commission determines that 20 days is the appropriate deadline in a Final Rule, each RTO/ISO </w:t>
      </w:r>
      <w:r w:rsidR="00AA1B5C">
        <w:rPr>
          <w:sz w:val="26"/>
          <w:szCs w:val="26"/>
        </w:rPr>
        <w:t>has the flexibility</w:t>
      </w:r>
      <w:r w:rsidR="006118A5" w:rsidRPr="007576AF" w:rsidDel="008A13DD">
        <w:rPr>
          <w:sz w:val="26"/>
          <w:szCs w:val="26"/>
        </w:rPr>
        <w:t xml:space="preserve"> to </w:t>
      </w:r>
      <w:r w:rsidR="00AA1B5C">
        <w:rPr>
          <w:sz w:val="26"/>
          <w:szCs w:val="26"/>
        </w:rPr>
        <w:t>align</w:t>
      </w:r>
      <w:r w:rsidR="006118A5" w:rsidRPr="007576AF" w:rsidDel="008A13DD">
        <w:rPr>
          <w:sz w:val="26"/>
          <w:szCs w:val="26"/>
        </w:rPr>
        <w:t xml:space="preserve"> the production of the uplift report with any other </w:t>
      </w:r>
      <w:r w:rsidR="00AA1B5C">
        <w:rPr>
          <w:sz w:val="26"/>
          <w:szCs w:val="26"/>
        </w:rPr>
        <w:t xml:space="preserve">public </w:t>
      </w:r>
      <w:r w:rsidR="006118A5" w:rsidRPr="007576AF" w:rsidDel="008A13DD">
        <w:rPr>
          <w:sz w:val="26"/>
          <w:szCs w:val="26"/>
        </w:rPr>
        <w:t xml:space="preserve">report </w:t>
      </w:r>
      <w:r w:rsidR="00AA1B5C">
        <w:rPr>
          <w:sz w:val="26"/>
          <w:szCs w:val="26"/>
        </w:rPr>
        <w:t>it generates</w:t>
      </w:r>
      <w:r w:rsidR="0092736B">
        <w:rPr>
          <w:sz w:val="26"/>
          <w:szCs w:val="26"/>
        </w:rPr>
        <w:t xml:space="preserve"> </w:t>
      </w:r>
      <w:r w:rsidR="006118A5" w:rsidRPr="007576AF" w:rsidDel="008A13DD">
        <w:rPr>
          <w:sz w:val="26"/>
          <w:szCs w:val="26"/>
        </w:rPr>
        <w:t xml:space="preserve">in order to reduce </w:t>
      </w:r>
      <w:r w:rsidR="00735466">
        <w:rPr>
          <w:sz w:val="26"/>
          <w:szCs w:val="26"/>
        </w:rPr>
        <w:t>its</w:t>
      </w:r>
      <w:r w:rsidR="006118A5" w:rsidRPr="007576AF" w:rsidDel="008A13DD">
        <w:rPr>
          <w:sz w:val="26"/>
          <w:szCs w:val="26"/>
        </w:rPr>
        <w:t xml:space="preserve"> burd</w:t>
      </w:r>
      <w:r w:rsidR="006118A5" w:rsidRPr="007576AF">
        <w:rPr>
          <w:sz w:val="26"/>
          <w:szCs w:val="26"/>
        </w:rPr>
        <w:t xml:space="preserve">en.  </w:t>
      </w:r>
      <w:r w:rsidR="006D0041" w:rsidRPr="007576AF">
        <w:rPr>
          <w:sz w:val="26"/>
          <w:szCs w:val="26"/>
        </w:rPr>
        <w:t xml:space="preserve">The Commission </w:t>
      </w:r>
      <w:r w:rsidRPr="007576AF">
        <w:rPr>
          <w:sz w:val="26"/>
          <w:szCs w:val="26"/>
        </w:rPr>
        <w:t>s</w:t>
      </w:r>
      <w:r w:rsidR="00AA1B5C">
        <w:rPr>
          <w:sz w:val="26"/>
          <w:szCs w:val="26"/>
        </w:rPr>
        <w:t>ought</w:t>
      </w:r>
      <w:r w:rsidR="006D0041" w:rsidRPr="007576AF">
        <w:rPr>
          <w:sz w:val="26"/>
          <w:szCs w:val="26"/>
        </w:rPr>
        <w:t xml:space="preserve"> comment on whether 20 days is an appropriate and feasible amount of time.</w:t>
      </w:r>
    </w:p>
    <w:p w14:paraId="19557765" w14:textId="77777777" w:rsidR="006D0041" w:rsidRPr="007576AF" w:rsidRDefault="006D0041" w:rsidP="006D0041">
      <w:pPr>
        <w:rPr>
          <w:sz w:val="26"/>
          <w:szCs w:val="26"/>
        </w:rPr>
      </w:pPr>
    </w:p>
    <w:p w14:paraId="327D4537" w14:textId="374D3D56" w:rsidR="004E4597" w:rsidRPr="007576AF" w:rsidRDefault="004E4597" w:rsidP="006118A5">
      <w:pPr>
        <w:rPr>
          <w:sz w:val="26"/>
          <w:szCs w:val="26"/>
        </w:rPr>
      </w:pPr>
    </w:p>
    <w:p w14:paraId="7B050F26" w14:textId="38BA6D38" w:rsidR="004E026A" w:rsidRPr="007576AF" w:rsidRDefault="004E026A" w:rsidP="007B7323">
      <w:pPr>
        <w:rPr>
          <w:i/>
          <w:sz w:val="26"/>
          <w:szCs w:val="26"/>
        </w:rPr>
      </w:pPr>
      <w:r w:rsidRPr="007576AF">
        <w:rPr>
          <w:i/>
          <w:sz w:val="26"/>
          <w:szCs w:val="26"/>
        </w:rPr>
        <w:t>Transmission Zones</w:t>
      </w:r>
    </w:p>
    <w:p w14:paraId="0D2F6ABF" w14:textId="009E01F8" w:rsidR="004E026A" w:rsidRPr="007576AF" w:rsidRDefault="004E026A" w:rsidP="007B7323">
      <w:pPr>
        <w:rPr>
          <w:sz w:val="26"/>
          <w:szCs w:val="26"/>
        </w:rPr>
      </w:pPr>
      <w:r w:rsidRPr="007576AF">
        <w:rPr>
          <w:sz w:val="26"/>
          <w:szCs w:val="26"/>
        </w:rPr>
        <w:t xml:space="preserve">Prior to the NOPR, many commenters argued that understanding </w:t>
      </w:r>
      <w:r w:rsidR="00232B32">
        <w:rPr>
          <w:sz w:val="26"/>
          <w:szCs w:val="26"/>
        </w:rPr>
        <w:t>the origin of each</w:t>
      </w:r>
      <w:r w:rsidRPr="007576AF">
        <w:rPr>
          <w:sz w:val="26"/>
          <w:szCs w:val="26"/>
        </w:rPr>
        <w:t xml:space="preserve"> RTO</w:t>
      </w:r>
      <w:r w:rsidR="00232B32">
        <w:rPr>
          <w:sz w:val="26"/>
          <w:szCs w:val="26"/>
        </w:rPr>
        <w:t>’s</w:t>
      </w:r>
      <w:r w:rsidRPr="007576AF">
        <w:rPr>
          <w:sz w:val="26"/>
          <w:szCs w:val="26"/>
        </w:rPr>
        <w:t>/ISO</w:t>
      </w:r>
      <w:r w:rsidR="00232B32">
        <w:rPr>
          <w:sz w:val="26"/>
          <w:szCs w:val="26"/>
        </w:rPr>
        <w:t>’s</w:t>
      </w:r>
      <w:r w:rsidRPr="007576AF">
        <w:rPr>
          <w:sz w:val="26"/>
          <w:szCs w:val="26"/>
        </w:rPr>
        <w:t xml:space="preserve"> uplift charges would improve market participants</w:t>
      </w:r>
      <w:r w:rsidR="00232B32">
        <w:rPr>
          <w:sz w:val="26"/>
          <w:szCs w:val="26"/>
        </w:rPr>
        <w:t>’</w:t>
      </w:r>
      <w:r w:rsidRPr="007576AF">
        <w:rPr>
          <w:sz w:val="26"/>
          <w:szCs w:val="26"/>
        </w:rPr>
        <w:t xml:space="preserve"> ability to reduce the need for uplift.  </w:t>
      </w:r>
      <w:r w:rsidR="00CA14F6" w:rsidRPr="007576AF">
        <w:rPr>
          <w:sz w:val="26"/>
          <w:szCs w:val="26"/>
        </w:rPr>
        <w:t>In t</w:t>
      </w:r>
      <w:r w:rsidRPr="007576AF">
        <w:rPr>
          <w:sz w:val="26"/>
          <w:szCs w:val="26"/>
        </w:rPr>
        <w:t>he NOPR</w:t>
      </w:r>
      <w:r w:rsidR="00CA14F6" w:rsidRPr="007576AF">
        <w:rPr>
          <w:sz w:val="26"/>
          <w:szCs w:val="26"/>
        </w:rPr>
        <w:t>, the Commission</w:t>
      </w:r>
      <w:r w:rsidRPr="007576AF">
        <w:rPr>
          <w:sz w:val="26"/>
          <w:szCs w:val="26"/>
        </w:rPr>
        <w:t xml:space="preserve"> </w:t>
      </w:r>
      <w:r w:rsidR="006118A5" w:rsidRPr="007576AF">
        <w:rPr>
          <w:sz w:val="26"/>
          <w:szCs w:val="26"/>
        </w:rPr>
        <w:t>seeks</w:t>
      </w:r>
      <w:r w:rsidRPr="007576AF">
        <w:rPr>
          <w:sz w:val="26"/>
          <w:szCs w:val="26"/>
        </w:rPr>
        <w:t xml:space="preserve"> to identify the appropriate level of geographic granularity that would balance the improved transparency that comes from more geographically granular information with </w:t>
      </w:r>
      <w:r w:rsidR="00B2796A">
        <w:rPr>
          <w:sz w:val="26"/>
          <w:szCs w:val="26"/>
        </w:rPr>
        <w:t xml:space="preserve">protecting confidential information such as </w:t>
      </w:r>
      <w:r w:rsidRPr="007576AF">
        <w:rPr>
          <w:sz w:val="26"/>
          <w:szCs w:val="26"/>
        </w:rPr>
        <w:t xml:space="preserve">sensitive market participant information.  All RTOs/ISOs have several types of zones within their footprint, each with different terminology and definitions.  "Transmission zone" is not a universal term among RTOs/ISOs; for the purposes of reporting uplift the </w:t>
      </w:r>
      <w:r w:rsidR="006118A5" w:rsidRPr="007576AF">
        <w:rPr>
          <w:sz w:val="26"/>
          <w:szCs w:val="26"/>
        </w:rPr>
        <w:t>Commission</w:t>
      </w:r>
      <w:r w:rsidRPr="007576AF">
        <w:rPr>
          <w:sz w:val="26"/>
          <w:szCs w:val="26"/>
        </w:rPr>
        <w:t xml:space="preserve"> propose</w:t>
      </w:r>
      <w:r w:rsidR="006118A5" w:rsidRPr="007576AF">
        <w:rPr>
          <w:sz w:val="26"/>
          <w:szCs w:val="26"/>
        </w:rPr>
        <w:t>s</w:t>
      </w:r>
      <w:r w:rsidRPr="007576AF">
        <w:rPr>
          <w:sz w:val="26"/>
          <w:szCs w:val="26"/>
        </w:rPr>
        <w:t xml:space="preserve"> to define a "transmission zone" as a geographic area that is used for the local allocation of charges.  By proposing this definition, the </w:t>
      </w:r>
      <w:r w:rsidR="006118A5" w:rsidRPr="007576AF">
        <w:rPr>
          <w:sz w:val="26"/>
          <w:szCs w:val="26"/>
        </w:rPr>
        <w:t>Commission</w:t>
      </w:r>
      <w:r w:rsidRPr="007576AF">
        <w:rPr>
          <w:sz w:val="26"/>
          <w:szCs w:val="26"/>
        </w:rPr>
        <w:t xml:space="preserve"> aim</w:t>
      </w:r>
      <w:r w:rsidR="006118A5" w:rsidRPr="007576AF">
        <w:rPr>
          <w:sz w:val="26"/>
          <w:szCs w:val="26"/>
        </w:rPr>
        <w:t>s</w:t>
      </w:r>
      <w:r w:rsidRPr="007576AF">
        <w:rPr>
          <w:sz w:val="26"/>
          <w:szCs w:val="26"/>
        </w:rPr>
        <w:t xml:space="preserve"> to ease the reporting burden on RTOs/ISOs by allowing them to use existing zones, rather than requiring them to adjust data and the geographic level of their reporting to fit a new prescribed level of geographic granularity.</w:t>
      </w:r>
    </w:p>
    <w:p w14:paraId="6F1EE4D2" w14:textId="77777777" w:rsidR="004E026A" w:rsidRPr="007576AF" w:rsidRDefault="004E026A" w:rsidP="000B07EB">
      <w:pPr>
        <w:ind w:left="720"/>
      </w:pPr>
    </w:p>
    <w:p w14:paraId="64A799B4" w14:textId="3BC6F72B" w:rsidR="00D30C30" w:rsidRPr="007576AF" w:rsidRDefault="00D30C30" w:rsidP="007A2C65">
      <w:pPr>
        <w:pStyle w:val="FERCparanumber"/>
        <w:numPr>
          <w:ilvl w:val="0"/>
          <w:numId w:val="0"/>
        </w:numPr>
        <w:tabs>
          <w:tab w:val="left" w:pos="720"/>
          <w:tab w:val="left" w:pos="4860"/>
        </w:tabs>
        <w:rPr>
          <w:szCs w:val="26"/>
        </w:rPr>
      </w:pPr>
    </w:p>
    <w:p w14:paraId="087ACA0E" w14:textId="77777777" w:rsidR="004E4597" w:rsidRPr="007576AF" w:rsidRDefault="004E4597">
      <w:pPr>
        <w:pStyle w:val="FERCparanumber"/>
        <w:numPr>
          <w:ilvl w:val="0"/>
          <w:numId w:val="0"/>
        </w:numPr>
        <w:tabs>
          <w:tab w:val="left" w:pos="720"/>
          <w:tab w:val="left" w:pos="4860"/>
        </w:tabs>
        <w:rPr>
          <w:szCs w:val="26"/>
          <w:u w:val="single"/>
        </w:rPr>
      </w:pPr>
      <w:r w:rsidRPr="007576AF">
        <w:rPr>
          <w:szCs w:val="26"/>
          <w:u w:val="single"/>
        </w:rPr>
        <w:t>Reporting Operator-Initiated Commitments</w:t>
      </w:r>
    </w:p>
    <w:p w14:paraId="07597C27" w14:textId="4682D2CB" w:rsidR="004E4597" w:rsidRPr="007576AF" w:rsidRDefault="004E4597">
      <w:pPr>
        <w:pStyle w:val="FERCparanumber"/>
        <w:numPr>
          <w:ilvl w:val="0"/>
          <w:numId w:val="0"/>
        </w:numPr>
        <w:tabs>
          <w:tab w:val="left" w:pos="720"/>
          <w:tab w:val="left" w:pos="4860"/>
        </w:tabs>
        <w:rPr>
          <w:szCs w:val="26"/>
        </w:rPr>
      </w:pPr>
      <w:r w:rsidRPr="007576AF">
        <w:rPr>
          <w:szCs w:val="26"/>
        </w:rPr>
        <w:t xml:space="preserve">The Commission also proposes to require that each RTO/ISO post all operator-initiated commitments on its website. For the purposes of this NOPR, we propose to define operator-initiated commitments as a commitment that is not associated with a resource clearing the day-ahead or real-time market on the basis of economics and that is not self-scheduled.  This definition would include any commitment (whether manual or automated) made after the execution of the day-ahead market that is made outside of the real-time market. Such commitments include those made through a residual unit commitment processes after the execution of the day-ahead market, commitments made through look-ahead commitment processes, and manual commitments made in real-time. </w:t>
      </w:r>
    </w:p>
    <w:p w14:paraId="23DD97AE" w14:textId="77777777" w:rsidR="004E4597" w:rsidRPr="007576AF" w:rsidRDefault="004E4597">
      <w:pPr>
        <w:pStyle w:val="FERCparanumber"/>
        <w:numPr>
          <w:ilvl w:val="0"/>
          <w:numId w:val="0"/>
        </w:numPr>
        <w:tabs>
          <w:tab w:val="left" w:pos="720"/>
          <w:tab w:val="left" w:pos="4860"/>
        </w:tabs>
        <w:rPr>
          <w:szCs w:val="26"/>
        </w:rPr>
      </w:pPr>
    </w:p>
    <w:p w14:paraId="0A16C780" w14:textId="77777777" w:rsidR="004E4597" w:rsidRPr="007576AF" w:rsidRDefault="004E4597">
      <w:pPr>
        <w:pStyle w:val="FERCparanumber"/>
        <w:numPr>
          <w:ilvl w:val="0"/>
          <w:numId w:val="0"/>
        </w:numPr>
        <w:tabs>
          <w:tab w:val="left" w:pos="720"/>
          <w:tab w:val="left" w:pos="4860"/>
        </w:tabs>
        <w:rPr>
          <w:szCs w:val="26"/>
        </w:rPr>
      </w:pPr>
      <w:r w:rsidRPr="007576AF">
        <w:rPr>
          <w:szCs w:val="26"/>
        </w:rPr>
        <w:t>The report posted on each RTO’s/ISO’s website would include the following:</w:t>
      </w:r>
    </w:p>
    <w:p w14:paraId="37B6E339" w14:textId="12932BB6" w:rsidR="004E4597" w:rsidRPr="007576AF" w:rsidRDefault="004E4597" w:rsidP="00CC428D">
      <w:pPr>
        <w:pStyle w:val="FERCparanumber"/>
        <w:numPr>
          <w:ilvl w:val="0"/>
          <w:numId w:val="7"/>
        </w:numPr>
        <w:tabs>
          <w:tab w:val="left" w:pos="720"/>
          <w:tab w:val="left" w:pos="4860"/>
        </w:tabs>
        <w:rPr>
          <w:szCs w:val="26"/>
        </w:rPr>
      </w:pPr>
      <w:r w:rsidRPr="007576AF">
        <w:rPr>
          <w:szCs w:val="26"/>
        </w:rPr>
        <w:t>The upper economic operating limit of the committed resource in megawatts (i.e. its economic maximum);</w:t>
      </w:r>
    </w:p>
    <w:p w14:paraId="24DE0B02" w14:textId="2FADA292" w:rsidR="004E4597" w:rsidRPr="007576AF" w:rsidRDefault="004E4597" w:rsidP="00CC428D">
      <w:pPr>
        <w:pStyle w:val="FERCparanumber"/>
        <w:numPr>
          <w:ilvl w:val="0"/>
          <w:numId w:val="7"/>
        </w:numPr>
        <w:tabs>
          <w:tab w:val="left" w:pos="720"/>
          <w:tab w:val="left" w:pos="4860"/>
        </w:tabs>
        <w:rPr>
          <w:szCs w:val="26"/>
        </w:rPr>
      </w:pPr>
      <w:r w:rsidRPr="007576AF">
        <w:rPr>
          <w:szCs w:val="26"/>
        </w:rPr>
        <w:t>The transmission zone in which the resource is located; and</w:t>
      </w:r>
    </w:p>
    <w:p w14:paraId="0710B133" w14:textId="302FE258" w:rsidR="004E4597" w:rsidRPr="007576AF" w:rsidRDefault="004E4597" w:rsidP="00CC428D">
      <w:pPr>
        <w:pStyle w:val="FERCparanumber"/>
        <w:numPr>
          <w:ilvl w:val="0"/>
          <w:numId w:val="7"/>
        </w:numPr>
        <w:tabs>
          <w:tab w:val="left" w:pos="720"/>
          <w:tab w:val="left" w:pos="4860"/>
        </w:tabs>
        <w:rPr>
          <w:szCs w:val="26"/>
        </w:rPr>
      </w:pPr>
      <w:r w:rsidRPr="007576AF">
        <w:rPr>
          <w:szCs w:val="26"/>
        </w:rPr>
        <w:t>The reason for commitment.</w:t>
      </w:r>
    </w:p>
    <w:p w14:paraId="380B1619" w14:textId="77777777" w:rsidR="004E4597" w:rsidRPr="007576AF" w:rsidRDefault="004E4597" w:rsidP="004E4597">
      <w:pPr>
        <w:pStyle w:val="FERCparanumber"/>
        <w:numPr>
          <w:ilvl w:val="0"/>
          <w:numId w:val="0"/>
        </w:numPr>
        <w:tabs>
          <w:tab w:val="left" w:pos="720"/>
          <w:tab w:val="left" w:pos="4860"/>
        </w:tabs>
        <w:rPr>
          <w:szCs w:val="26"/>
        </w:rPr>
      </w:pPr>
    </w:p>
    <w:p w14:paraId="1C5B858A" w14:textId="3AC51B8D" w:rsidR="004E4597" w:rsidRPr="007576AF" w:rsidRDefault="004E4597" w:rsidP="004E4597">
      <w:pPr>
        <w:pStyle w:val="FERCparanumber"/>
        <w:numPr>
          <w:ilvl w:val="0"/>
          <w:numId w:val="0"/>
        </w:numPr>
        <w:tabs>
          <w:tab w:val="left" w:pos="720"/>
          <w:tab w:val="left" w:pos="4860"/>
        </w:tabs>
        <w:rPr>
          <w:szCs w:val="26"/>
          <w:u w:val="single"/>
        </w:rPr>
      </w:pPr>
      <w:r w:rsidRPr="007576AF">
        <w:rPr>
          <w:szCs w:val="26"/>
          <w:u w:val="single"/>
        </w:rPr>
        <w:t>Transmission Constraint Penalty Factors</w:t>
      </w:r>
    </w:p>
    <w:p w14:paraId="3300A4F5" w14:textId="14E6A575" w:rsidR="004E4597" w:rsidRPr="007576AF" w:rsidRDefault="004E4597" w:rsidP="004E4597">
      <w:pPr>
        <w:pStyle w:val="FERCparanumber"/>
        <w:numPr>
          <w:ilvl w:val="0"/>
          <w:numId w:val="0"/>
        </w:numPr>
        <w:tabs>
          <w:tab w:val="left" w:pos="720"/>
          <w:tab w:val="left" w:pos="4860"/>
        </w:tabs>
        <w:rPr>
          <w:szCs w:val="26"/>
        </w:rPr>
      </w:pPr>
      <w:r w:rsidRPr="007576AF">
        <w:rPr>
          <w:szCs w:val="26"/>
        </w:rPr>
        <w:t xml:space="preserve">The Commission proposes to require that all RTOs/ISOs include certain provisions related to transmission constraint penalty factors in their tariffs because transmission constraint penalty factors can significantly impact market clearing prices.  </w:t>
      </w:r>
    </w:p>
    <w:p w14:paraId="6F663418" w14:textId="77777777" w:rsidR="004E4597" w:rsidRPr="007576AF" w:rsidRDefault="004E4597" w:rsidP="004E4597">
      <w:pPr>
        <w:pStyle w:val="FERCparanumber"/>
        <w:numPr>
          <w:ilvl w:val="0"/>
          <w:numId w:val="0"/>
        </w:numPr>
        <w:tabs>
          <w:tab w:val="left" w:pos="720"/>
          <w:tab w:val="left" w:pos="4860"/>
        </w:tabs>
        <w:rPr>
          <w:szCs w:val="26"/>
        </w:rPr>
      </w:pPr>
    </w:p>
    <w:p w14:paraId="3EE97E92" w14:textId="5F190280" w:rsidR="004E4597" w:rsidRPr="007576AF" w:rsidRDefault="004E4597" w:rsidP="004E4597">
      <w:pPr>
        <w:pStyle w:val="FERCparanumber"/>
        <w:numPr>
          <w:ilvl w:val="0"/>
          <w:numId w:val="0"/>
        </w:numPr>
        <w:tabs>
          <w:tab w:val="left" w:pos="720"/>
          <w:tab w:val="left" w:pos="4860"/>
        </w:tabs>
        <w:rPr>
          <w:szCs w:val="26"/>
        </w:rPr>
      </w:pPr>
      <w:r w:rsidRPr="007576AF">
        <w:rPr>
          <w:szCs w:val="26"/>
        </w:rPr>
        <w:t>First, the Commission proposes to require that all RTOs/ISOs include their transmission constraint penalty factor values in their tariffs. This requirement would only apply to penalty factors used for transmission constraints and would not include other penalty factors used in commitment and dispatch algorithms. If the RTO/ISO uses different transmission constraint penalty fac</w:t>
      </w:r>
      <w:r w:rsidR="00A80800" w:rsidRPr="007576AF">
        <w:rPr>
          <w:szCs w:val="26"/>
        </w:rPr>
        <w:t>tors for different processes, the Commission</w:t>
      </w:r>
      <w:r w:rsidRPr="007576AF">
        <w:rPr>
          <w:szCs w:val="26"/>
        </w:rPr>
        <w:t xml:space="preserve"> propose</w:t>
      </w:r>
      <w:r w:rsidR="00A80800" w:rsidRPr="007576AF">
        <w:rPr>
          <w:szCs w:val="26"/>
        </w:rPr>
        <w:t>s</w:t>
      </w:r>
      <w:r w:rsidRPr="007576AF">
        <w:rPr>
          <w:szCs w:val="26"/>
        </w:rPr>
        <w:t xml:space="preserve"> to require that all sets of transmission constraint penalty factors be included in the tariff. </w:t>
      </w:r>
    </w:p>
    <w:p w14:paraId="5D81E255" w14:textId="77777777" w:rsidR="00A80800" w:rsidRPr="007576AF" w:rsidRDefault="00A80800" w:rsidP="004E4597">
      <w:pPr>
        <w:pStyle w:val="FERCparanumber"/>
        <w:numPr>
          <w:ilvl w:val="0"/>
          <w:numId w:val="0"/>
        </w:numPr>
        <w:tabs>
          <w:tab w:val="left" w:pos="720"/>
          <w:tab w:val="left" w:pos="4860"/>
        </w:tabs>
        <w:rPr>
          <w:szCs w:val="26"/>
        </w:rPr>
      </w:pPr>
    </w:p>
    <w:p w14:paraId="5AD4BE0E" w14:textId="70A91EBF" w:rsidR="00A80800" w:rsidRPr="007576AF" w:rsidRDefault="00A80800" w:rsidP="004E4597">
      <w:pPr>
        <w:pStyle w:val="FERCparanumber"/>
        <w:numPr>
          <w:ilvl w:val="0"/>
          <w:numId w:val="0"/>
        </w:numPr>
        <w:tabs>
          <w:tab w:val="left" w:pos="720"/>
          <w:tab w:val="left" w:pos="4860"/>
        </w:tabs>
        <w:rPr>
          <w:szCs w:val="26"/>
        </w:rPr>
      </w:pPr>
      <w:r w:rsidRPr="007576AF">
        <w:rPr>
          <w:szCs w:val="26"/>
        </w:rPr>
        <w:t>Second, the Commission proposes to require that RTOs/ISOs include in their tariffs an explanation regarding if and when transmission constraint penalty factors may be used to set LMPs. If the RTO/ISO has different processes for allowing transmission constraint penalty factors to set LMPs in different circumstances, this should be explained in the tariff. As part of its explanation, the RTO/ISO should also elucidate whether there are any specific restrictions or conditions under which transmission constraint penalty factors are allowed to set LMPs, such as a minimum duration for transmission constraint violations.</w:t>
      </w:r>
    </w:p>
    <w:p w14:paraId="230D7927" w14:textId="77777777" w:rsidR="00A80800" w:rsidRPr="007576AF" w:rsidRDefault="00A80800" w:rsidP="004E4597">
      <w:pPr>
        <w:pStyle w:val="FERCparanumber"/>
        <w:numPr>
          <w:ilvl w:val="0"/>
          <w:numId w:val="0"/>
        </w:numPr>
        <w:tabs>
          <w:tab w:val="left" w:pos="720"/>
          <w:tab w:val="left" w:pos="4860"/>
        </w:tabs>
        <w:rPr>
          <w:szCs w:val="26"/>
        </w:rPr>
      </w:pPr>
    </w:p>
    <w:p w14:paraId="56ED9912" w14:textId="63F80436" w:rsidR="00A80800" w:rsidRPr="007576AF" w:rsidRDefault="00A80800" w:rsidP="004E4597">
      <w:pPr>
        <w:pStyle w:val="FERCparanumber"/>
        <w:numPr>
          <w:ilvl w:val="0"/>
          <w:numId w:val="0"/>
        </w:numPr>
        <w:tabs>
          <w:tab w:val="left" w:pos="720"/>
          <w:tab w:val="left" w:pos="4860"/>
        </w:tabs>
        <w:rPr>
          <w:szCs w:val="26"/>
        </w:rPr>
      </w:pPr>
      <w:r w:rsidRPr="007576AF">
        <w:rPr>
          <w:szCs w:val="26"/>
        </w:rPr>
        <w:t>Finally, if RTOs/ISOs wish to have the flexibility to temporarily change transmission constraint penalty factors to account for changes in system conditions, they must include the procedures for doing so in their tariffs. The Commission also proposes to require these procedures to include a requirement that notice of the temporary change be provided to market participants.</w:t>
      </w:r>
    </w:p>
    <w:p w14:paraId="1DCACC08" w14:textId="6EB9CDFF" w:rsidR="00AC0D7D" w:rsidRPr="007576AF" w:rsidRDefault="00AC0D7D">
      <w:pPr>
        <w:pStyle w:val="FERCparanumber"/>
        <w:numPr>
          <w:ilvl w:val="0"/>
          <w:numId w:val="0"/>
        </w:numPr>
        <w:tabs>
          <w:tab w:val="left" w:pos="720"/>
          <w:tab w:val="left" w:pos="4860"/>
        </w:tabs>
        <w:rPr>
          <w:szCs w:val="26"/>
        </w:rPr>
      </w:pPr>
    </w:p>
    <w:p w14:paraId="08020216" w14:textId="77777777" w:rsidR="00877886" w:rsidRPr="007576AF" w:rsidRDefault="00877886" w:rsidP="00877886">
      <w:pPr>
        <w:pStyle w:val="FERCparanumber"/>
        <w:numPr>
          <w:ilvl w:val="0"/>
          <w:numId w:val="0"/>
        </w:numPr>
        <w:tabs>
          <w:tab w:val="left" w:pos="720"/>
          <w:tab w:val="left" w:pos="4860"/>
        </w:tabs>
        <w:rPr>
          <w:szCs w:val="26"/>
        </w:rPr>
      </w:pPr>
    </w:p>
    <w:p w14:paraId="5016BBCA" w14:textId="77777777" w:rsidR="00877886" w:rsidRPr="007576AF" w:rsidRDefault="00877886" w:rsidP="00877886">
      <w:pPr>
        <w:widowControl/>
        <w:numPr>
          <w:ilvl w:val="0"/>
          <w:numId w:val="2"/>
        </w:numPr>
        <w:rPr>
          <w:sz w:val="26"/>
          <w:szCs w:val="26"/>
        </w:rPr>
      </w:pPr>
      <w:r w:rsidRPr="007576AF">
        <w:rPr>
          <w:b/>
          <w:sz w:val="26"/>
          <w:szCs w:val="26"/>
        </w:rPr>
        <w:t>DESCRIBE ANY CONSIDERATION OF THE USE OF IMPROVED INFORMATION TECHNOLOGY TO REDUCE BURDEN AND THE TECHNICAL OR LEGAL OBSTACLES TO REDUCING BURDEN</w:t>
      </w:r>
    </w:p>
    <w:p w14:paraId="132F1E42" w14:textId="77777777" w:rsidR="00877886" w:rsidRPr="007576AF" w:rsidRDefault="00877886" w:rsidP="00877886">
      <w:pPr>
        <w:rPr>
          <w:sz w:val="26"/>
          <w:szCs w:val="26"/>
        </w:rPr>
      </w:pPr>
    </w:p>
    <w:p w14:paraId="11A896B5" w14:textId="4128812B" w:rsidR="005D6647" w:rsidRPr="007576AF" w:rsidRDefault="005D6647" w:rsidP="005D6647">
      <w:pPr>
        <w:rPr>
          <w:sz w:val="26"/>
          <w:szCs w:val="26"/>
        </w:rPr>
      </w:pPr>
      <w:r w:rsidRPr="007576AF">
        <w:rPr>
          <w:sz w:val="26"/>
          <w:szCs w:val="26"/>
        </w:rPr>
        <w:t xml:space="preserve"> Commission staff expects to receive all filings via eTariff.  In 2010, the Commission fully implemented its eTariff system for the electronic filing of tariffs.  Further, Commission staff does not believe that improved information technology would have a meaningful impact on the burden of this proposed rulemaking on </w:t>
      </w:r>
      <w:r w:rsidR="00D8311E" w:rsidRPr="007576AF">
        <w:rPr>
          <w:sz w:val="26"/>
          <w:szCs w:val="26"/>
        </w:rPr>
        <w:t>RTOs/ISOs</w:t>
      </w:r>
      <w:r w:rsidRPr="007576AF">
        <w:rPr>
          <w:sz w:val="26"/>
          <w:szCs w:val="26"/>
        </w:rPr>
        <w:t>.</w:t>
      </w:r>
    </w:p>
    <w:p w14:paraId="0BAA513C" w14:textId="77777777" w:rsidR="00877886" w:rsidRPr="007576AF" w:rsidRDefault="00877886" w:rsidP="00877886">
      <w:pPr>
        <w:rPr>
          <w:sz w:val="26"/>
          <w:szCs w:val="26"/>
        </w:rPr>
      </w:pPr>
    </w:p>
    <w:p w14:paraId="1FFB161C" w14:textId="77777777" w:rsidR="00877886" w:rsidRPr="007576AF" w:rsidRDefault="00877886" w:rsidP="00877886">
      <w:pPr>
        <w:pStyle w:val="FERCparanumber"/>
        <w:numPr>
          <w:ilvl w:val="0"/>
          <w:numId w:val="2"/>
        </w:numPr>
        <w:rPr>
          <w:szCs w:val="26"/>
        </w:rPr>
      </w:pPr>
      <w:r w:rsidRPr="007576AF">
        <w:rPr>
          <w:b/>
          <w:szCs w:val="26"/>
        </w:rPr>
        <w:t>DESCRIBE EFFORTS TO IDENTIFY DUPLICATON AND SHOW SPECIFICALLY WHY ANY SIMILAR INFORMATION ALREADY AVAILABLE CANNOT BE USED OR MODIFIED FOR USE FOR THE PURPOSE(S) DESCRIBED IN INSTRUCTION NO. 2.</w:t>
      </w:r>
    </w:p>
    <w:p w14:paraId="7E8BE332" w14:textId="77777777" w:rsidR="00877886" w:rsidRPr="007576AF" w:rsidRDefault="00877886" w:rsidP="00877886">
      <w:pPr>
        <w:pStyle w:val="FERCparanumber"/>
        <w:numPr>
          <w:ilvl w:val="0"/>
          <w:numId w:val="0"/>
        </w:numPr>
        <w:rPr>
          <w:b/>
          <w:szCs w:val="26"/>
        </w:rPr>
      </w:pPr>
    </w:p>
    <w:p w14:paraId="5797E9C0" w14:textId="77777777" w:rsidR="00877886" w:rsidRPr="007576AF" w:rsidRDefault="00877886" w:rsidP="00877886">
      <w:pPr>
        <w:rPr>
          <w:sz w:val="26"/>
          <w:szCs w:val="26"/>
        </w:rPr>
      </w:pPr>
      <w:r w:rsidRPr="007576AF">
        <w:rPr>
          <w:sz w:val="26"/>
          <w:szCs w:val="26"/>
        </w:rPr>
        <w:t>The Commission periodically reviews filing requirements concurrent with OMB review or as the Commission deems necessary to eliminate duplicative filing and to minimize the filing burden.  The proposed actions here relate to a Commission jurisdictional tariff</w:t>
      </w:r>
      <w:r w:rsidR="00360DEE" w:rsidRPr="007576AF">
        <w:rPr>
          <w:sz w:val="26"/>
          <w:szCs w:val="26"/>
        </w:rPr>
        <w:t xml:space="preserve"> and the company posting information on its website</w:t>
      </w:r>
      <w:r w:rsidRPr="007576AF">
        <w:rPr>
          <w:sz w:val="26"/>
          <w:szCs w:val="26"/>
        </w:rPr>
        <w:t>.  Therefore, the Commission would be the only entity requiring and collecting this information.</w:t>
      </w:r>
    </w:p>
    <w:p w14:paraId="79EF5CDD" w14:textId="77777777" w:rsidR="00877886" w:rsidRPr="007576AF" w:rsidRDefault="00877886" w:rsidP="00877886">
      <w:pPr>
        <w:pStyle w:val="FERCparanumber"/>
        <w:numPr>
          <w:ilvl w:val="0"/>
          <w:numId w:val="0"/>
        </w:numPr>
        <w:rPr>
          <w:szCs w:val="26"/>
        </w:rPr>
      </w:pPr>
    </w:p>
    <w:p w14:paraId="6ECA7CA0" w14:textId="77777777" w:rsidR="00877886" w:rsidRPr="007576AF" w:rsidRDefault="00877886" w:rsidP="00877886">
      <w:pPr>
        <w:pStyle w:val="FERCparanumber"/>
        <w:numPr>
          <w:ilvl w:val="0"/>
          <w:numId w:val="2"/>
        </w:numPr>
        <w:rPr>
          <w:szCs w:val="26"/>
        </w:rPr>
      </w:pPr>
      <w:r w:rsidRPr="007576AF">
        <w:rPr>
          <w:b/>
          <w:szCs w:val="26"/>
        </w:rPr>
        <w:t>METHODS USED TO MINIMIZE BURDEN IN COLLECTION OF INFORMATION INVOLVING SMALL ENTITIES</w:t>
      </w:r>
    </w:p>
    <w:p w14:paraId="691BE728" w14:textId="77777777" w:rsidR="00877886" w:rsidRPr="007576AF" w:rsidRDefault="00877886" w:rsidP="00877886">
      <w:pPr>
        <w:widowControl/>
        <w:ind w:left="1440"/>
        <w:rPr>
          <w:sz w:val="26"/>
          <w:szCs w:val="26"/>
        </w:rPr>
      </w:pPr>
    </w:p>
    <w:p w14:paraId="58D895D0" w14:textId="77777777" w:rsidR="00CC428D" w:rsidRPr="007576AF" w:rsidRDefault="00CC428D" w:rsidP="00CC428D">
      <w:pPr>
        <w:rPr>
          <w:sz w:val="26"/>
          <w:szCs w:val="26"/>
        </w:rPr>
      </w:pPr>
      <w:r w:rsidRPr="007576AF">
        <w:rPr>
          <w:sz w:val="26"/>
          <w:szCs w:val="26"/>
        </w:rPr>
        <w:t>The Small Business Administration (SBA) classifies an entity as an electric utility if it is primarily engaged in the transmission, generation and/or distribution of electric energy for sale.  Under this definition, the six RTOs/ISOs are considered electric utilities, specifically focused on electric bulk power and control.  The size criterion for a small electric utility is 500 or fewer employees.</w:t>
      </w:r>
      <w:r w:rsidRPr="007576AF">
        <w:rPr>
          <w:b/>
          <w:sz w:val="26"/>
          <w:szCs w:val="26"/>
          <w:vertAlign w:val="superscript"/>
        </w:rPr>
        <w:footnoteReference w:id="10"/>
      </w:r>
      <w:r w:rsidRPr="007576AF">
        <w:rPr>
          <w:sz w:val="26"/>
          <w:szCs w:val="26"/>
        </w:rPr>
        <w:t xml:space="preserve">  Since every RTO/ISO has more than 500 employees, none are considered small entities.  </w:t>
      </w:r>
    </w:p>
    <w:p w14:paraId="6E7FCC0F" w14:textId="49F02576" w:rsidR="00877886" w:rsidRPr="007576AF" w:rsidRDefault="00877886" w:rsidP="00877886">
      <w:pPr>
        <w:pStyle w:val="FERCparanumber"/>
        <w:numPr>
          <w:ilvl w:val="0"/>
          <w:numId w:val="0"/>
        </w:numPr>
        <w:tabs>
          <w:tab w:val="num" w:pos="0"/>
        </w:tabs>
        <w:rPr>
          <w:szCs w:val="26"/>
        </w:rPr>
      </w:pPr>
    </w:p>
    <w:p w14:paraId="37C4562F" w14:textId="77777777" w:rsidR="00877886" w:rsidRPr="007576AF" w:rsidRDefault="00877886" w:rsidP="00877886">
      <w:pPr>
        <w:pStyle w:val="FERCparanumber"/>
        <w:numPr>
          <w:ilvl w:val="0"/>
          <w:numId w:val="0"/>
        </w:numPr>
        <w:tabs>
          <w:tab w:val="num" w:pos="0"/>
        </w:tabs>
        <w:rPr>
          <w:szCs w:val="26"/>
        </w:rPr>
      </w:pPr>
    </w:p>
    <w:p w14:paraId="022B10EF" w14:textId="77777777" w:rsidR="00877886" w:rsidRPr="007576AF" w:rsidRDefault="00877886" w:rsidP="00877886">
      <w:pPr>
        <w:pStyle w:val="FERCparanumber"/>
        <w:numPr>
          <w:ilvl w:val="0"/>
          <w:numId w:val="2"/>
        </w:numPr>
        <w:rPr>
          <w:szCs w:val="26"/>
        </w:rPr>
      </w:pPr>
      <w:r w:rsidRPr="007576AF">
        <w:rPr>
          <w:b/>
          <w:szCs w:val="26"/>
        </w:rPr>
        <w:t>CONSEQUENCE TO FEDERAL PROGRAM IF COLLECTION WERE CONDUCTED LESS FREQUENTLY</w:t>
      </w:r>
    </w:p>
    <w:p w14:paraId="49355BB8" w14:textId="77777777" w:rsidR="00877886" w:rsidRPr="007576AF" w:rsidRDefault="00877886" w:rsidP="00877886">
      <w:pPr>
        <w:rPr>
          <w:sz w:val="26"/>
          <w:szCs w:val="26"/>
        </w:rPr>
      </w:pPr>
    </w:p>
    <w:p w14:paraId="1F0C72D9" w14:textId="1F72A3F0" w:rsidR="005D6647" w:rsidRPr="007576AF" w:rsidRDefault="005D6647" w:rsidP="005D6647">
      <w:pPr>
        <w:rPr>
          <w:sz w:val="26"/>
          <w:szCs w:val="26"/>
        </w:rPr>
      </w:pPr>
      <w:r w:rsidRPr="007576AF">
        <w:rPr>
          <w:sz w:val="26"/>
          <w:szCs w:val="26"/>
        </w:rPr>
        <w:t xml:space="preserve">To conduct these filings less frequently (i.e. not conducting them at all), the Commission would be unable to ensure that rates are just and reasonable and not unduly discriminatory or preferential.  </w:t>
      </w:r>
    </w:p>
    <w:p w14:paraId="3B9EA083" w14:textId="77777777" w:rsidR="00877886" w:rsidRPr="007576AF" w:rsidRDefault="00877886" w:rsidP="00877886">
      <w:pPr>
        <w:pStyle w:val="FERCparanumber"/>
        <w:numPr>
          <w:ilvl w:val="0"/>
          <w:numId w:val="0"/>
        </w:numPr>
        <w:rPr>
          <w:szCs w:val="26"/>
        </w:rPr>
      </w:pPr>
    </w:p>
    <w:p w14:paraId="4F808579" w14:textId="77777777" w:rsidR="00877886" w:rsidRPr="007576AF" w:rsidRDefault="00877886" w:rsidP="00877886">
      <w:pPr>
        <w:pStyle w:val="FERCparanumber"/>
        <w:numPr>
          <w:ilvl w:val="0"/>
          <w:numId w:val="2"/>
        </w:numPr>
        <w:rPr>
          <w:szCs w:val="26"/>
        </w:rPr>
      </w:pPr>
      <w:r w:rsidRPr="007576AF">
        <w:rPr>
          <w:b/>
          <w:szCs w:val="26"/>
        </w:rPr>
        <w:t>EXPLAIN ANY SPECIAL CIRCUMSTANCES RELATING TO THE INFORMATION</w:t>
      </w:r>
    </w:p>
    <w:p w14:paraId="108D6287" w14:textId="77777777" w:rsidR="00877886" w:rsidRPr="007576AF" w:rsidRDefault="00877886" w:rsidP="00877886">
      <w:pPr>
        <w:pStyle w:val="FERCparanumber"/>
        <w:numPr>
          <w:ilvl w:val="0"/>
          <w:numId w:val="0"/>
        </w:numPr>
        <w:rPr>
          <w:b/>
          <w:szCs w:val="26"/>
        </w:rPr>
      </w:pPr>
    </w:p>
    <w:p w14:paraId="1B099A47" w14:textId="77777777" w:rsidR="00877886" w:rsidRPr="007576AF" w:rsidRDefault="00877886" w:rsidP="00877886">
      <w:pPr>
        <w:rPr>
          <w:sz w:val="26"/>
          <w:szCs w:val="26"/>
        </w:rPr>
      </w:pPr>
      <w:r w:rsidRPr="007576AF">
        <w:rPr>
          <w:sz w:val="26"/>
          <w:szCs w:val="26"/>
        </w:rPr>
        <w:t xml:space="preserve">There are no special circumstances. </w:t>
      </w:r>
    </w:p>
    <w:p w14:paraId="5A706956" w14:textId="77777777" w:rsidR="00877886" w:rsidRPr="007576AF" w:rsidRDefault="00877886" w:rsidP="00877886">
      <w:pPr>
        <w:pStyle w:val="FERCparanumber"/>
        <w:numPr>
          <w:ilvl w:val="0"/>
          <w:numId w:val="0"/>
        </w:numPr>
        <w:rPr>
          <w:szCs w:val="26"/>
        </w:rPr>
      </w:pPr>
    </w:p>
    <w:p w14:paraId="2585F664" w14:textId="77777777" w:rsidR="00877886" w:rsidRPr="007576AF" w:rsidRDefault="00877886" w:rsidP="00877886">
      <w:pPr>
        <w:pStyle w:val="FERCparanumber"/>
        <w:numPr>
          <w:ilvl w:val="0"/>
          <w:numId w:val="2"/>
        </w:numPr>
        <w:rPr>
          <w:szCs w:val="26"/>
        </w:rPr>
      </w:pPr>
      <w:r w:rsidRPr="007576AF">
        <w:rPr>
          <w:b/>
          <w:szCs w:val="26"/>
        </w:rPr>
        <w:t>DESCRIBE EFFORTS TO CONSULT OUTSIDE THE AGENCY: SUMMARIZE PUBLIC COMMENTS AND THE AGENCY’S RESPONSE TO THESE COMMENTS</w:t>
      </w:r>
    </w:p>
    <w:p w14:paraId="1F4A0E41" w14:textId="77777777" w:rsidR="00877886" w:rsidRPr="007576AF" w:rsidRDefault="00877886" w:rsidP="00877886">
      <w:pPr>
        <w:pStyle w:val="FERCparanumber"/>
        <w:numPr>
          <w:ilvl w:val="0"/>
          <w:numId w:val="0"/>
        </w:numPr>
        <w:rPr>
          <w:b/>
          <w:szCs w:val="26"/>
        </w:rPr>
      </w:pPr>
    </w:p>
    <w:p w14:paraId="7711A8BB" w14:textId="77777777" w:rsidR="00877886" w:rsidRPr="007576AF" w:rsidRDefault="00877886" w:rsidP="00877886">
      <w:pPr>
        <w:rPr>
          <w:sz w:val="26"/>
          <w:szCs w:val="26"/>
        </w:rPr>
      </w:pPr>
      <w:r w:rsidRPr="007576AF">
        <w:rPr>
          <w:sz w:val="26"/>
          <w:szCs w:val="26"/>
        </w:rPr>
        <w:t xml:space="preserve">Each FERC activity that results in the revision of an information collection is published in the Federal Register thereby providing public utilities and licensees, state commissions, Federal agencies, and other interested parties an opportunity to submit data, views, comments or suggestions concerning the approved collections of data. </w:t>
      </w:r>
    </w:p>
    <w:p w14:paraId="7B82F4F5" w14:textId="77777777" w:rsidR="00877886" w:rsidRPr="007576AF" w:rsidRDefault="00877886" w:rsidP="00877886">
      <w:pPr>
        <w:rPr>
          <w:sz w:val="26"/>
          <w:szCs w:val="26"/>
        </w:rPr>
      </w:pPr>
      <w:r w:rsidRPr="007576AF">
        <w:rPr>
          <w:sz w:val="26"/>
          <w:szCs w:val="26"/>
        </w:rPr>
        <w:t xml:space="preserve"> </w:t>
      </w:r>
    </w:p>
    <w:p w14:paraId="69FC51EA" w14:textId="0F26A145" w:rsidR="00877886" w:rsidRPr="007576AF" w:rsidRDefault="00877886" w:rsidP="00877886">
      <w:pPr>
        <w:rPr>
          <w:sz w:val="26"/>
          <w:szCs w:val="26"/>
        </w:rPr>
      </w:pPr>
      <w:r w:rsidRPr="007576AF">
        <w:rPr>
          <w:sz w:val="26"/>
          <w:szCs w:val="26"/>
        </w:rPr>
        <w:t xml:space="preserve">This NOPR was issued on </w:t>
      </w:r>
      <w:r w:rsidR="00B63FD9" w:rsidRPr="007576AF">
        <w:rPr>
          <w:sz w:val="26"/>
          <w:szCs w:val="26"/>
        </w:rPr>
        <w:t>1/1</w:t>
      </w:r>
      <w:r w:rsidR="00CC428D" w:rsidRPr="007576AF">
        <w:rPr>
          <w:sz w:val="26"/>
          <w:szCs w:val="26"/>
        </w:rPr>
        <w:t>9</w:t>
      </w:r>
      <w:r w:rsidRPr="007576AF">
        <w:rPr>
          <w:sz w:val="26"/>
          <w:szCs w:val="26"/>
        </w:rPr>
        <w:t>/201</w:t>
      </w:r>
      <w:r w:rsidR="00CC428D" w:rsidRPr="007576AF">
        <w:rPr>
          <w:sz w:val="26"/>
          <w:szCs w:val="26"/>
        </w:rPr>
        <w:t>7</w:t>
      </w:r>
      <w:r w:rsidRPr="007576AF">
        <w:rPr>
          <w:sz w:val="26"/>
          <w:szCs w:val="26"/>
        </w:rPr>
        <w:t xml:space="preserve"> and published in the Federal Register </w:t>
      </w:r>
      <w:r w:rsidR="00A10677" w:rsidRPr="007576AF">
        <w:rPr>
          <w:sz w:val="26"/>
          <w:szCs w:val="26"/>
        </w:rPr>
        <w:t xml:space="preserve">on </w:t>
      </w:r>
      <w:r w:rsidR="00CC428D" w:rsidRPr="007576AF">
        <w:rPr>
          <w:sz w:val="26"/>
          <w:szCs w:val="26"/>
        </w:rPr>
        <w:t>2</w:t>
      </w:r>
      <w:r w:rsidR="00A10677" w:rsidRPr="007576AF">
        <w:rPr>
          <w:sz w:val="26"/>
          <w:szCs w:val="26"/>
        </w:rPr>
        <w:t>/</w:t>
      </w:r>
      <w:r w:rsidR="00CC428D" w:rsidRPr="007576AF">
        <w:rPr>
          <w:sz w:val="26"/>
          <w:szCs w:val="26"/>
        </w:rPr>
        <w:t>7</w:t>
      </w:r>
      <w:r w:rsidR="00A10677" w:rsidRPr="007576AF">
        <w:rPr>
          <w:sz w:val="26"/>
          <w:szCs w:val="26"/>
        </w:rPr>
        <w:t>/2017</w:t>
      </w:r>
      <w:r w:rsidR="00CC428D" w:rsidRPr="007576AF">
        <w:rPr>
          <w:rStyle w:val="FootnoteReference"/>
          <w:sz w:val="26"/>
          <w:szCs w:val="26"/>
          <w:vertAlign w:val="superscript"/>
        </w:rPr>
        <w:footnoteReference w:id="11"/>
      </w:r>
      <w:r w:rsidRPr="007576AF">
        <w:rPr>
          <w:sz w:val="26"/>
          <w:szCs w:val="26"/>
        </w:rPr>
        <w:t xml:space="preserve">.  </w:t>
      </w:r>
      <w:r w:rsidR="00D457E3" w:rsidRPr="007576AF">
        <w:rPr>
          <w:sz w:val="26"/>
          <w:szCs w:val="26"/>
        </w:rPr>
        <w:t>Comments will be available in FERC'</w:t>
      </w:r>
      <w:r w:rsidR="00A10677" w:rsidRPr="007576AF">
        <w:rPr>
          <w:sz w:val="26"/>
          <w:szCs w:val="26"/>
        </w:rPr>
        <w:t xml:space="preserve">s eLibrary </w:t>
      </w:r>
      <w:r w:rsidR="00B63FD9" w:rsidRPr="007576AF">
        <w:rPr>
          <w:sz w:val="26"/>
          <w:szCs w:val="26"/>
        </w:rPr>
        <w:t>under Docket No. RM17-</w:t>
      </w:r>
      <w:r w:rsidR="00CC428D" w:rsidRPr="007576AF">
        <w:rPr>
          <w:sz w:val="26"/>
          <w:szCs w:val="26"/>
        </w:rPr>
        <w:t>2</w:t>
      </w:r>
      <w:r w:rsidR="00E60E73" w:rsidRPr="007576AF">
        <w:rPr>
          <w:sz w:val="26"/>
          <w:szCs w:val="26"/>
        </w:rPr>
        <w:t>-000.</w:t>
      </w:r>
    </w:p>
    <w:p w14:paraId="0FDF620A" w14:textId="77777777" w:rsidR="00877886" w:rsidRPr="007576AF" w:rsidRDefault="00877886" w:rsidP="00877886">
      <w:pPr>
        <w:pStyle w:val="FERCparanumber"/>
        <w:numPr>
          <w:ilvl w:val="0"/>
          <w:numId w:val="0"/>
        </w:numPr>
        <w:rPr>
          <w:szCs w:val="26"/>
        </w:rPr>
      </w:pPr>
    </w:p>
    <w:p w14:paraId="07C0DFEB" w14:textId="77777777" w:rsidR="00877886" w:rsidRPr="007576AF" w:rsidRDefault="00877886" w:rsidP="00877886">
      <w:pPr>
        <w:pStyle w:val="FERCparanumber"/>
        <w:numPr>
          <w:ilvl w:val="0"/>
          <w:numId w:val="2"/>
        </w:numPr>
        <w:rPr>
          <w:szCs w:val="26"/>
        </w:rPr>
      </w:pPr>
      <w:r w:rsidRPr="007576AF">
        <w:rPr>
          <w:b/>
          <w:szCs w:val="26"/>
        </w:rPr>
        <w:t>EXPLAIN ANY PAYMENT OR GIFTS TO RESPONDENTS</w:t>
      </w:r>
    </w:p>
    <w:p w14:paraId="0D5AFC63" w14:textId="77777777" w:rsidR="00877886" w:rsidRPr="007576AF" w:rsidRDefault="00877886" w:rsidP="00877886">
      <w:pPr>
        <w:pStyle w:val="FERCparanumber"/>
        <w:numPr>
          <w:ilvl w:val="0"/>
          <w:numId w:val="0"/>
        </w:numPr>
        <w:rPr>
          <w:b/>
          <w:szCs w:val="26"/>
        </w:rPr>
      </w:pPr>
    </w:p>
    <w:p w14:paraId="76911669" w14:textId="77777777" w:rsidR="00877886" w:rsidRPr="007576AF" w:rsidRDefault="00877886" w:rsidP="00877886">
      <w:pPr>
        <w:widowControl/>
        <w:rPr>
          <w:sz w:val="26"/>
          <w:szCs w:val="26"/>
        </w:rPr>
      </w:pPr>
      <w:r w:rsidRPr="007576AF">
        <w:rPr>
          <w:sz w:val="26"/>
          <w:szCs w:val="26"/>
        </w:rPr>
        <w:t>There are no payments or gifts to respondents of this collection.</w:t>
      </w:r>
    </w:p>
    <w:p w14:paraId="3715C00B" w14:textId="77777777" w:rsidR="00877886" w:rsidRPr="007576AF" w:rsidRDefault="00877886" w:rsidP="00877886">
      <w:pPr>
        <w:pStyle w:val="FERCparanumber"/>
        <w:numPr>
          <w:ilvl w:val="0"/>
          <w:numId w:val="0"/>
        </w:numPr>
        <w:rPr>
          <w:b/>
          <w:szCs w:val="26"/>
        </w:rPr>
      </w:pPr>
    </w:p>
    <w:p w14:paraId="58753040" w14:textId="77777777" w:rsidR="00877886" w:rsidRPr="007576AF" w:rsidRDefault="00877886" w:rsidP="00877886">
      <w:pPr>
        <w:pStyle w:val="FERCparanumber"/>
        <w:numPr>
          <w:ilvl w:val="0"/>
          <w:numId w:val="0"/>
        </w:numPr>
        <w:rPr>
          <w:szCs w:val="26"/>
        </w:rPr>
      </w:pPr>
    </w:p>
    <w:p w14:paraId="22C8E151" w14:textId="77777777" w:rsidR="00877886" w:rsidRPr="007576AF" w:rsidRDefault="00877886" w:rsidP="00877886">
      <w:pPr>
        <w:pStyle w:val="FERCparanumber"/>
        <w:numPr>
          <w:ilvl w:val="0"/>
          <w:numId w:val="2"/>
        </w:numPr>
        <w:rPr>
          <w:szCs w:val="26"/>
        </w:rPr>
      </w:pPr>
      <w:r w:rsidRPr="007576AF">
        <w:rPr>
          <w:b/>
          <w:szCs w:val="26"/>
        </w:rPr>
        <w:t>DESCRIBE ANY ASSURANCE OF CONFIDENTIALITY PROVIDED TO RESPONDENTS</w:t>
      </w:r>
    </w:p>
    <w:p w14:paraId="0F78A0A5" w14:textId="77777777" w:rsidR="00877886" w:rsidRPr="007576AF" w:rsidRDefault="00877886" w:rsidP="00877886">
      <w:pPr>
        <w:pStyle w:val="FERCparanumber"/>
        <w:numPr>
          <w:ilvl w:val="0"/>
          <w:numId w:val="0"/>
        </w:numPr>
        <w:rPr>
          <w:b/>
          <w:szCs w:val="26"/>
        </w:rPr>
      </w:pPr>
    </w:p>
    <w:p w14:paraId="21B7809B" w14:textId="77777777" w:rsidR="00877886" w:rsidRPr="007576AF" w:rsidRDefault="00877886" w:rsidP="00877886">
      <w:pPr>
        <w:pStyle w:val="FERCparanumber"/>
        <w:numPr>
          <w:ilvl w:val="0"/>
          <w:numId w:val="0"/>
        </w:numPr>
        <w:rPr>
          <w:szCs w:val="26"/>
        </w:rPr>
      </w:pPr>
      <w:r w:rsidRPr="007576AF">
        <w:rPr>
          <w:szCs w:val="26"/>
        </w:rPr>
        <w:t>The data involved and affected by the revisions proposed in this NOPR is public.  In general, for all submittals to the Commission, filers may submit specific requests for confidential treatment to the extent permitted by law, as set forth</w:t>
      </w:r>
      <w:r w:rsidR="00A10677" w:rsidRPr="007576AF">
        <w:rPr>
          <w:szCs w:val="26"/>
        </w:rPr>
        <w:t xml:space="preserve"> in 18 CFR</w:t>
      </w:r>
      <w:r w:rsidRPr="007576AF">
        <w:rPr>
          <w:szCs w:val="26"/>
        </w:rPr>
        <w:t xml:space="preserve"> Section 388.112.</w:t>
      </w:r>
    </w:p>
    <w:p w14:paraId="17CD89A9" w14:textId="77777777" w:rsidR="00877886" w:rsidRPr="007576AF" w:rsidRDefault="00877886" w:rsidP="00877886">
      <w:pPr>
        <w:pStyle w:val="FERCparanumber"/>
        <w:numPr>
          <w:ilvl w:val="0"/>
          <w:numId w:val="0"/>
        </w:numPr>
        <w:rPr>
          <w:szCs w:val="26"/>
        </w:rPr>
      </w:pPr>
    </w:p>
    <w:p w14:paraId="4326D995" w14:textId="77777777" w:rsidR="00877886" w:rsidRPr="007576AF" w:rsidRDefault="00877886" w:rsidP="00877886">
      <w:pPr>
        <w:pStyle w:val="FERCparanumber"/>
        <w:numPr>
          <w:ilvl w:val="0"/>
          <w:numId w:val="2"/>
        </w:numPr>
        <w:rPr>
          <w:szCs w:val="26"/>
        </w:rPr>
      </w:pPr>
      <w:r w:rsidRPr="007576AF">
        <w:rPr>
          <w:b/>
          <w:szCs w:val="26"/>
        </w:rPr>
        <w:t>PROVIDE ADDITIONAL JUSTIFICATION FOR ANY QUESTIONS OF A SENSITIVE NATURE, SUCH AS SEXUAL BEHAVIOR AND ATTITUDES, RELIGIOUS BELIEFS, AND OTHER MATTERS THAT ARE COMMONLY CONSIDERED PRIVATE</w:t>
      </w:r>
    </w:p>
    <w:p w14:paraId="44760404" w14:textId="77777777" w:rsidR="00877886" w:rsidRPr="007576AF" w:rsidRDefault="00877886" w:rsidP="00877886">
      <w:pPr>
        <w:pStyle w:val="FERCparanumber"/>
        <w:numPr>
          <w:ilvl w:val="0"/>
          <w:numId w:val="0"/>
        </w:numPr>
        <w:rPr>
          <w:b/>
          <w:szCs w:val="26"/>
        </w:rPr>
      </w:pPr>
    </w:p>
    <w:p w14:paraId="7E84F3F4" w14:textId="77777777" w:rsidR="00877886" w:rsidRPr="007576AF" w:rsidRDefault="00877886" w:rsidP="00877886">
      <w:pPr>
        <w:widowControl/>
        <w:rPr>
          <w:b/>
          <w:sz w:val="26"/>
          <w:szCs w:val="26"/>
        </w:rPr>
      </w:pPr>
      <w:r w:rsidRPr="007576AF">
        <w:rPr>
          <w:sz w:val="26"/>
          <w:szCs w:val="26"/>
        </w:rPr>
        <w:t>This collection does not include any questions of a sensitive nature.</w:t>
      </w:r>
    </w:p>
    <w:p w14:paraId="4D8FC410" w14:textId="77777777" w:rsidR="00877886" w:rsidRPr="007576AF" w:rsidRDefault="00877886" w:rsidP="00877886">
      <w:pPr>
        <w:pStyle w:val="FERCparanumber"/>
        <w:numPr>
          <w:ilvl w:val="0"/>
          <w:numId w:val="0"/>
        </w:numPr>
        <w:rPr>
          <w:szCs w:val="26"/>
        </w:rPr>
      </w:pPr>
    </w:p>
    <w:p w14:paraId="1F616D5C" w14:textId="77777777" w:rsidR="00877886" w:rsidRPr="007576AF" w:rsidRDefault="00877886" w:rsidP="00877886">
      <w:pPr>
        <w:pStyle w:val="FERCparanumber"/>
        <w:numPr>
          <w:ilvl w:val="0"/>
          <w:numId w:val="2"/>
        </w:numPr>
        <w:rPr>
          <w:szCs w:val="26"/>
        </w:rPr>
      </w:pPr>
      <w:r w:rsidRPr="007576AF">
        <w:rPr>
          <w:b/>
          <w:szCs w:val="26"/>
        </w:rPr>
        <w:t>ESTIMATED BURDEN COLLECTION OF INFORMATION</w:t>
      </w:r>
    </w:p>
    <w:p w14:paraId="77AD2A33" w14:textId="77777777" w:rsidR="002F5A43" w:rsidRPr="007576AF" w:rsidRDefault="002F5A43" w:rsidP="00E60E73">
      <w:pPr>
        <w:pStyle w:val="FERCparanumber"/>
        <w:numPr>
          <w:ilvl w:val="0"/>
          <w:numId w:val="0"/>
        </w:numPr>
        <w:rPr>
          <w:szCs w:val="26"/>
        </w:rPr>
      </w:pPr>
    </w:p>
    <w:p w14:paraId="4938E72E" w14:textId="6C51CDAB" w:rsidR="002F5A43" w:rsidRPr="007576AF" w:rsidRDefault="002F5A43" w:rsidP="00E60E73">
      <w:pPr>
        <w:pStyle w:val="FERCparanumber"/>
        <w:numPr>
          <w:ilvl w:val="0"/>
          <w:numId w:val="0"/>
        </w:numPr>
        <w:rPr>
          <w:szCs w:val="26"/>
        </w:rPr>
      </w:pPr>
      <w:r w:rsidRPr="007576AF">
        <w:rPr>
          <w:szCs w:val="26"/>
        </w:rPr>
        <w:t>There is no e</w:t>
      </w:r>
      <w:r w:rsidR="00A10EA2" w:rsidRPr="007576AF">
        <w:rPr>
          <w:szCs w:val="26"/>
        </w:rPr>
        <w:t>xisting burden for the FERC-516G</w:t>
      </w:r>
      <w:r w:rsidRPr="007576AF">
        <w:rPr>
          <w:szCs w:val="26"/>
        </w:rPr>
        <w:t xml:space="preserve"> information collection.  It is a temporary information collection </w:t>
      </w:r>
      <w:r w:rsidR="00B25E69" w:rsidRPr="007576AF">
        <w:rPr>
          <w:szCs w:val="26"/>
        </w:rPr>
        <w:t xml:space="preserve">number </w:t>
      </w:r>
      <w:r w:rsidRPr="007576AF">
        <w:rPr>
          <w:szCs w:val="26"/>
        </w:rPr>
        <w:t xml:space="preserve">intended only to allow the timely submission of these requirements to OMB.  These requirements should be submitted to the FERC-516 information collection (OMB Control No. 1902-0096).  </w:t>
      </w:r>
      <w:r w:rsidR="00E55B1D" w:rsidRPr="007576AF">
        <w:rPr>
          <w:szCs w:val="26"/>
        </w:rPr>
        <w:t>However the</w:t>
      </w:r>
      <w:r w:rsidR="00E8612E" w:rsidRPr="007576AF">
        <w:rPr>
          <w:szCs w:val="26"/>
        </w:rPr>
        <w:t>re</w:t>
      </w:r>
      <w:r w:rsidR="00E55B1D" w:rsidRPr="007576AF">
        <w:rPr>
          <w:szCs w:val="26"/>
        </w:rPr>
        <w:t xml:space="preserve"> </w:t>
      </w:r>
      <w:r w:rsidR="00E8612E" w:rsidRPr="007576AF">
        <w:rPr>
          <w:szCs w:val="26"/>
        </w:rPr>
        <w:t>wa</w:t>
      </w:r>
      <w:r w:rsidR="00E55B1D" w:rsidRPr="007576AF">
        <w:rPr>
          <w:szCs w:val="26"/>
        </w:rPr>
        <w:t xml:space="preserve">s another unrelated item under FERC-516 pending OMB review, and only one item per OMB Control No. can be pending OMB review at a time.  </w:t>
      </w:r>
      <w:r w:rsidR="00A10EA2" w:rsidRPr="007576AF">
        <w:rPr>
          <w:szCs w:val="26"/>
        </w:rPr>
        <w:t>Therefore we are using FERC-516G</w:t>
      </w:r>
      <w:r w:rsidR="00E55B1D" w:rsidRPr="007576AF">
        <w:rPr>
          <w:szCs w:val="26"/>
        </w:rPr>
        <w:t xml:space="preserve"> </w:t>
      </w:r>
      <w:r w:rsidR="0036793D" w:rsidRPr="007576AF">
        <w:rPr>
          <w:szCs w:val="26"/>
        </w:rPr>
        <w:t xml:space="preserve">as a ‘placeholder’ </w:t>
      </w:r>
      <w:r w:rsidR="00E55B1D" w:rsidRPr="007576AF">
        <w:rPr>
          <w:szCs w:val="26"/>
        </w:rPr>
        <w:t xml:space="preserve">for this submittal.  </w:t>
      </w:r>
      <w:r w:rsidRPr="007576AF">
        <w:rPr>
          <w:szCs w:val="26"/>
        </w:rPr>
        <w:t xml:space="preserve">Eventually, these requirements will be </w:t>
      </w:r>
      <w:r w:rsidR="0036793D" w:rsidRPr="007576AF">
        <w:rPr>
          <w:szCs w:val="26"/>
        </w:rPr>
        <w:t xml:space="preserve">administratively </w:t>
      </w:r>
      <w:r w:rsidR="00A10EA2" w:rsidRPr="007576AF">
        <w:rPr>
          <w:szCs w:val="26"/>
        </w:rPr>
        <w:t>moved out of the FERC-516G</w:t>
      </w:r>
      <w:r w:rsidRPr="007576AF">
        <w:rPr>
          <w:szCs w:val="26"/>
        </w:rPr>
        <w:t xml:space="preserve"> information collection (along with</w:t>
      </w:r>
      <w:r w:rsidR="00A10EA2" w:rsidRPr="007576AF">
        <w:rPr>
          <w:szCs w:val="26"/>
        </w:rPr>
        <w:t xml:space="preserve"> the discontinuance of FERC-516G</w:t>
      </w:r>
      <w:r w:rsidRPr="007576AF">
        <w:rPr>
          <w:szCs w:val="26"/>
        </w:rPr>
        <w:t>) and submitted into the FERC-516 information collection.</w:t>
      </w:r>
    </w:p>
    <w:p w14:paraId="2ABD205D" w14:textId="77777777" w:rsidR="00877886" w:rsidRPr="007576AF" w:rsidRDefault="00877886" w:rsidP="00877886">
      <w:pPr>
        <w:pStyle w:val="FERCparanumber"/>
        <w:numPr>
          <w:ilvl w:val="0"/>
          <w:numId w:val="0"/>
        </w:numPr>
        <w:rPr>
          <w:b/>
          <w:szCs w:val="26"/>
        </w:rPr>
      </w:pPr>
    </w:p>
    <w:p w14:paraId="56A28D8B" w14:textId="08770212" w:rsidR="00A10EA2" w:rsidRPr="007576AF" w:rsidRDefault="00877886" w:rsidP="00877886">
      <w:pPr>
        <w:pStyle w:val="FERCparanumber"/>
        <w:numPr>
          <w:ilvl w:val="0"/>
          <w:numId w:val="0"/>
        </w:numPr>
        <w:rPr>
          <w:szCs w:val="26"/>
        </w:rPr>
      </w:pPr>
      <w:r w:rsidRPr="007576AF">
        <w:rPr>
          <w:szCs w:val="26"/>
        </w:rPr>
        <w:t>The following table contains the reporting burden related to proposed revisions</w:t>
      </w:r>
      <w:r w:rsidR="00DA1CCE" w:rsidRPr="007576AF">
        <w:rPr>
          <w:szCs w:val="26"/>
        </w:rPr>
        <w:t xml:space="preserve"> in</w:t>
      </w:r>
      <w:r w:rsidRPr="007576AF">
        <w:rPr>
          <w:szCs w:val="26"/>
        </w:rPr>
        <w:t xml:space="preserve"> </w:t>
      </w:r>
      <w:r w:rsidR="00DA1CCE" w:rsidRPr="007576AF">
        <w:rPr>
          <w:szCs w:val="26"/>
        </w:rPr>
        <w:t xml:space="preserve">the NOPR </w:t>
      </w:r>
      <w:r w:rsidR="00A10EA2" w:rsidRPr="007576AF">
        <w:rPr>
          <w:szCs w:val="26"/>
        </w:rPr>
        <w:t>in Docket RM17-2</w:t>
      </w:r>
      <w:r w:rsidR="002F5A43" w:rsidRPr="007576AF">
        <w:rPr>
          <w:szCs w:val="26"/>
        </w:rPr>
        <w:t>-000: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
        <w:gridCol w:w="1339"/>
        <w:gridCol w:w="1272"/>
        <w:gridCol w:w="1507"/>
        <w:gridCol w:w="1434"/>
        <w:gridCol w:w="1348"/>
        <w:gridCol w:w="1299"/>
      </w:tblGrid>
      <w:tr w:rsidR="00A10EA2" w:rsidRPr="007576AF" w14:paraId="656DBCC1" w14:textId="77777777" w:rsidTr="005B4B44">
        <w:trPr>
          <w:cantSplit/>
        </w:trPr>
        <w:tc>
          <w:tcPr>
            <w:tcW w:w="5000" w:type="pct"/>
            <w:gridSpan w:val="7"/>
            <w:tcBorders>
              <w:bottom w:val="single" w:sz="4" w:space="0" w:color="auto"/>
            </w:tcBorders>
            <w:shd w:val="clear" w:color="auto" w:fill="D9D9D9"/>
          </w:tcPr>
          <w:p w14:paraId="0386CCDC" w14:textId="77777777" w:rsidR="00A10EA2" w:rsidRPr="000B07EB" w:rsidRDefault="00A10EA2" w:rsidP="005B4B44">
            <w:pPr>
              <w:keepNext/>
              <w:keepLines/>
              <w:tabs>
                <w:tab w:val="num" w:pos="720"/>
              </w:tabs>
              <w:jc w:val="center"/>
              <w:rPr>
                <w:rFonts w:eastAsia="Calibri"/>
                <w:b/>
                <w:sz w:val="26"/>
              </w:rPr>
            </w:pPr>
            <w:r w:rsidRPr="000B07EB">
              <w:rPr>
                <w:rFonts w:eastAsia="Calibri"/>
                <w:b/>
                <w:sz w:val="26"/>
              </w:rPr>
              <w:t>FERC-516G, as modified by the NOPR in Docket RM17-2-000</w:t>
            </w:r>
          </w:p>
        </w:tc>
      </w:tr>
      <w:tr w:rsidR="00A10EA2" w:rsidRPr="007576AF" w14:paraId="05E5538A" w14:textId="77777777" w:rsidTr="00573F60">
        <w:trPr>
          <w:cantSplit/>
        </w:trPr>
        <w:tc>
          <w:tcPr>
            <w:tcW w:w="719" w:type="pct"/>
            <w:shd w:val="clear" w:color="auto" w:fill="D9D9D9"/>
          </w:tcPr>
          <w:p w14:paraId="3DEF3817" w14:textId="77777777" w:rsidR="00A10EA2" w:rsidRPr="000B07EB" w:rsidRDefault="00A10EA2" w:rsidP="005B4B44">
            <w:pPr>
              <w:keepNext/>
              <w:keepLines/>
              <w:tabs>
                <w:tab w:val="num" w:pos="720"/>
              </w:tabs>
              <w:jc w:val="center"/>
              <w:rPr>
                <w:rFonts w:eastAsia="Calibri"/>
                <w:b/>
                <w:sz w:val="26"/>
              </w:rPr>
            </w:pPr>
          </w:p>
        </w:tc>
        <w:tc>
          <w:tcPr>
            <w:tcW w:w="699" w:type="pct"/>
            <w:shd w:val="clear" w:color="auto" w:fill="D9D9D9"/>
            <w:vAlign w:val="bottom"/>
          </w:tcPr>
          <w:p w14:paraId="1D47AD7D" w14:textId="77777777" w:rsidR="00A10EA2" w:rsidRPr="000B07EB" w:rsidRDefault="00A10EA2" w:rsidP="005B4B44">
            <w:pPr>
              <w:keepNext/>
              <w:keepLines/>
              <w:tabs>
                <w:tab w:val="num" w:pos="720"/>
              </w:tabs>
              <w:jc w:val="center"/>
              <w:rPr>
                <w:rFonts w:eastAsia="Calibri"/>
                <w:b/>
                <w:sz w:val="26"/>
              </w:rPr>
            </w:pPr>
            <w:r w:rsidRPr="000B07EB">
              <w:rPr>
                <w:rFonts w:eastAsia="Calibri"/>
                <w:b/>
                <w:sz w:val="26"/>
              </w:rPr>
              <w:t>Number of Respondents</w:t>
            </w:r>
          </w:p>
          <w:p w14:paraId="61D753CC" w14:textId="77777777" w:rsidR="00A10EA2" w:rsidRPr="000B07EB" w:rsidRDefault="00A10EA2" w:rsidP="005B4B44">
            <w:pPr>
              <w:keepNext/>
              <w:keepLines/>
              <w:tabs>
                <w:tab w:val="num" w:pos="720"/>
              </w:tabs>
              <w:jc w:val="center"/>
              <w:rPr>
                <w:rFonts w:eastAsia="Calibri"/>
                <w:b/>
                <w:sz w:val="26"/>
              </w:rPr>
            </w:pPr>
            <w:r w:rsidRPr="000B07EB">
              <w:rPr>
                <w:rFonts w:eastAsia="Calibri"/>
                <w:b/>
                <w:sz w:val="26"/>
              </w:rPr>
              <w:t>(1)</w:t>
            </w:r>
          </w:p>
        </w:tc>
        <w:tc>
          <w:tcPr>
            <w:tcW w:w="664" w:type="pct"/>
            <w:shd w:val="clear" w:color="auto" w:fill="D9D9D9"/>
            <w:vAlign w:val="bottom"/>
          </w:tcPr>
          <w:p w14:paraId="1CB6AC94" w14:textId="31B84C84" w:rsidR="00A10EA2" w:rsidRPr="000B07EB" w:rsidRDefault="00A10EA2" w:rsidP="005B4B44">
            <w:pPr>
              <w:keepNext/>
              <w:keepLines/>
              <w:tabs>
                <w:tab w:val="num" w:pos="720"/>
              </w:tabs>
              <w:jc w:val="center"/>
              <w:rPr>
                <w:rFonts w:eastAsia="Calibri"/>
                <w:b/>
                <w:sz w:val="26"/>
              </w:rPr>
            </w:pPr>
            <w:r w:rsidRPr="000B07EB">
              <w:rPr>
                <w:rFonts w:eastAsia="Calibri"/>
                <w:b/>
                <w:sz w:val="26"/>
              </w:rPr>
              <w:t>Number of Responses per Respondent</w:t>
            </w:r>
          </w:p>
          <w:p w14:paraId="270759B9" w14:textId="77777777" w:rsidR="00A10EA2" w:rsidRPr="000B07EB" w:rsidRDefault="00A10EA2" w:rsidP="005B4B44">
            <w:pPr>
              <w:keepNext/>
              <w:keepLines/>
              <w:tabs>
                <w:tab w:val="num" w:pos="720"/>
              </w:tabs>
              <w:jc w:val="center"/>
              <w:rPr>
                <w:rFonts w:eastAsia="Calibri"/>
                <w:b/>
                <w:sz w:val="26"/>
              </w:rPr>
            </w:pPr>
            <w:r w:rsidRPr="000B07EB">
              <w:rPr>
                <w:rFonts w:eastAsia="Calibri"/>
                <w:b/>
                <w:sz w:val="26"/>
              </w:rPr>
              <w:t>(2)</w:t>
            </w:r>
          </w:p>
        </w:tc>
        <w:tc>
          <w:tcPr>
            <w:tcW w:w="787" w:type="pct"/>
            <w:shd w:val="clear" w:color="auto" w:fill="D9D9D9"/>
            <w:vAlign w:val="bottom"/>
          </w:tcPr>
          <w:p w14:paraId="6009CB46" w14:textId="77777777" w:rsidR="00A10EA2" w:rsidRPr="000B07EB" w:rsidRDefault="00A10EA2" w:rsidP="005B4B44">
            <w:pPr>
              <w:tabs>
                <w:tab w:val="num" w:pos="720"/>
              </w:tabs>
              <w:jc w:val="center"/>
              <w:rPr>
                <w:rFonts w:eastAsia="Calibri"/>
                <w:b/>
                <w:sz w:val="26"/>
              </w:rPr>
            </w:pPr>
            <w:r w:rsidRPr="000B07EB">
              <w:rPr>
                <w:rFonts w:eastAsia="Calibri"/>
                <w:b/>
                <w:sz w:val="26"/>
              </w:rPr>
              <w:t>Total Number of Responses (1)×(2)=(3)</w:t>
            </w:r>
          </w:p>
        </w:tc>
        <w:tc>
          <w:tcPr>
            <w:tcW w:w="749" w:type="pct"/>
            <w:shd w:val="clear" w:color="auto" w:fill="D9D9D9"/>
            <w:vAlign w:val="bottom"/>
          </w:tcPr>
          <w:p w14:paraId="72C817B1" w14:textId="6CE89566" w:rsidR="00A10EA2" w:rsidRPr="000B07EB" w:rsidRDefault="00573F60" w:rsidP="005B4B44">
            <w:pPr>
              <w:tabs>
                <w:tab w:val="num" w:pos="720"/>
              </w:tabs>
              <w:jc w:val="center"/>
              <w:rPr>
                <w:rFonts w:eastAsia="Calibri"/>
                <w:b/>
                <w:sz w:val="26"/>
              </w:rPr>
            </w:pPr>
            <w:r w:rsidRPr="000B07EB">
              <w:rPr>
                <w:rFonts w:eastAsia="Calibri"/>
                <w:b/>
                <w:sz w:val="26"/>
              </w:rPr>
              <w:t>Average Burden Hours</w:t>
            </w:r>
            <w:r w:rsidR="00A10EA2" w:rsidRPr="000B07EB">
              <w:rPr>
                <w:rFonts w:eastAsia="Calibri"/>
                <w:b/>
                <w:sz w:val="26"/>
              </w:rPr>
              <w:t xml:space="preserve"> &amp; Cost Per Response</w:t>
            </w:r>
            <w:r w:rsidR="00A10EA2" w:rsidRPr="000B07EB">
              <w:rPr>
                <w:rStyle w:val="FootnoteReference"/>
                <w:b/>
                <w:sz w:val="26"/>
                <w:vertAlign w:val="superscript"/>
              </w:rPr>
              <w:footnoteReference w:id="12"/>
            </w:r>
          </w:p>
          <w:p w14:paraId="0141C449" w14:textId="77777777" w:rsidR="00A10EA2" w:rsidRPr="000B07EB" w:rsidRDefault="00A10EA2" w:rsidP="005B4B44">
            <w:pPr>
              <w:tabs>
                <w:tab w:val="num" w:pos="720"/>
              </w:tabs>
              <w:jc w:val="center"/>
              <w:rPr>
                <w:rFonts w:eastAsia="Calibri"/>
                <w:b/>
                <w:sz w:val="26"/>
              </w:rPr>
            </w:pPr>
            <w:r w:rsidRPr="000B07EB">
              <w:rPr>
                <w:rFonts w:eastAsia="Calibri"/>
                <w:b/>
                <w:sz w:val="26"/>
              </w:rPr>
              <w:t>(4)</w:t>
            </w:r>
          </w:p>
        </w:tc>
        <w:tc>
          <w:tcPr>
            <w:tcW w:w="704" w:type="pct"/>
            <w:shd w:val="clear" w:color="auto" w:fill="D9D9D9"/>
            <w:vAlign w:val="bottom"/>
          </w:tcPr>
          <w:p w14:paraId="5313D60C" w14:textId="1793D645" w:rsidR="00A10EA2" w:rsidRPr="000B07EB" w:rsidRDefault="00573F60" w:rsidP="005B4B44">
            <w:pPr>
              <w:tabs>
                <w:tab w:val="num" w:pos="720"/>
              </w:tabs>
              <w:jc w:val="center"/>
              <w:rPr>
                <w:rFonts w:eastAsia="Calibri"/>
                <w:b/>
                <w:sz w:val="26"/>
              </w:rPr>
            </w:pPr>
            <w:r w:rsidRPr="000B07EB">
              <w:rPr>
                <w:rFonts w:eastAsia="Calibri"/>
                <w:b/>
                <w:sz w:val="26"/>
              </w:rPr>
              <w:t>Total Burden Hours &amp; Total</w:t>
            </w:r>
            <w:r w:rsidR="00A10EA2" w:rsidRPr="000B07EB">
              <w:rPr>
                <w:rFonts w:eastAsia="Calibri"/>
                <w:b/>
                <w:sz w:val="26"/>
              </w:rPr>
              <w:t xml:space="preserve"> Cost</w:t>
            </w:r>
          </w:p>
          <w:p w14:paraId="3B0766AC" w14:textId="77777777" w:rsidR="00A10EA2" w:rsidRPr="000B07EB" w:rsidRDefault="00A10EA2" w:rsidP="005B4B44">
            <w:pPr>
              <w:tabs>
                <w:tab w:val="num" w:pos="720"/>
              </w:tabs>
              <w:jc w:val="center"/>
              <w:rPr>
                <w:rFonts w:eastAsia="Calibri"/>
                <w:b/>
                <w:sz w:val="26"/>
              </w:rPr>
            </w:pPr>
            <w:r w:rsidRPr="000B07EB">
              <w:rPr>
                <w:rFonts w:eastAsia="Calibri"/>
                <w:b/>
                <w:sz w:val="26"/>
              </w:rPr>
              <w:t>(3)×(4)=(5)</w:t>
            </w:r>
          </w:p>
        </w:tc>
        <w:tc>
          <w:tcPr>
            <w:tcW w:w="678" w:type="pct"/>
            <w:shd w:val="clear" w:color="auto" w:fill="D9D9D9"/>
            <w:vAlign w:val="bottom"/>
          </w:tcPr>
          <w:p w14:paraId="25FAB166" w14:textId="77777777" w:rsidR="00A10EA2" w:rsidRPr="000B07EB" w:rsidRDefault="00A10EA2" w:rsidP="005B4B44">
            <w:pPr>
              <w:tabs>
                <w:tab w:val="num" w:pos="720"/>
              </w:tabs>
              <w:jc w:val="center"/>
              <w:rPr>
                <w:rFonts w:eastAsia="Calibri"/>
                <w:b/>
                <w:sz w:val="26"/>
              </w:rPr>
            </w:pPr>
            <w:r w:rsidRPr="000B07EB">
              <w:rPr>
                <w:rFonts w:eastAsia="Calibri"/>
                <w:b/>
                <w:sz w:val="26"/>
              </w:rPr>
              <w:t>Cost per Respondent</w:t>
            </w:r>
          </w:p>
          <w:p w14:paraId="1D745286" w14:textId="77777777" w:rsidR="00A10EA2" w:rsidRPr="000B07EB" w:rsidRDefault="00A10EA2" w:rsidP="005B4B44">
            <w:pPr>
              <w:tabs>
                <w:tab w:val="num" w:pos="720"/>
              </w:tabs>
              <w:jc w:val="center"/>
              <w:rPr>
                <w:rFonts w:eastAsia="Calibri"/>
                <w:b/>
                <w:sz w:val="26"/>
              </w:rPr>
            </w:pPr>
            <w:r w:rsidRPr="000B07EB">
              <w:rPr>
                <w:rFonts w:eastAsia="Calibri"/>
                <w:b/>
                <w:sz w:val="26"/>
              </w:rPr>
              <w:t xml:space="preserve"> ($)</w:t>
            </w:r>
          </w:p>
          <w:p w14:paraId="128EA890" w14:textId="77777777" w:rsidR="00A10EA2" w:rsidRPr="000B07EB" w:rsidRDefault="00A10EA2" w:rsidP="005B4B44">
            <w:pPr>
              <w:tabs>
                <w:tab w:val="num" w:pos="720"/>
              </w:tabs>
              <w:jc w:val="center"/>
              <w:rPr>
                <w:rFonts w:eastAsia="Calibri"/>
                <w:b/>
                <w:sz w:val="26"/>
              </w:rPr>
            </w:pPr>
            <w:r w:rsidRPr="000B07EB">
              <w:rPr>
                <w:rFonts w:eastAsia="Calibri"/>
                <w:b/>
                <w:sz w:val="26"/>
              </w:rPr>
              <w:t>(5)÷(1)</w:t>
            </w:r>
          </w:p>
        </w:tc>
      </w:tr>
      <w:tr w:rsidR="00A10EA2" w:rsidRPr="007576AF" w14:paraId="7AEAAF7E" w14:textId="77777777" w:rsidTr="00573F60">
        <w:trPr>
          <w:cantSplit/>
          <w:trHeight w:val="872"/>
        </w:trPr>
        <w:tc>
          <w:tcPr>
            <w:tcW w:w="719" w:type="pct"/>
          </w:tcPr>
          <w:p w14:paraId="6FF1AEFF" w14:textId="25D3546A" w:rsidR="00A10EA2" w:rsidRPr="000B07EB" w:rsidRDefault="00A10EA2" w:rsidP="00A10EA2">
            <w:pPr>
              <w:tabs>
                <w:tab w:val="num" w:pos="720"/>
              </w:tabs>
              <w:rPr>
                <w:rFonts w:eastAsia="Calibri"/>
                <w:sz w:val="26"/>
              </w:rPr>
            </w:pPr>
            <w:r w:rsidRPr="000B07EB">
              <w:rPr>
                <w:rFonts w:eastAsia="Calibri"/>
                <w:sz w:val="26"/>
              </w:rPr>
              <w:t>Uplift</w:t>
            </w:r>
          </w:p>
          <w:p w14:paraId="463F0302" w14:textId="375A3003" w:rsidR="00A10EA2" w:rsidRPr="000B07EB" w:rsidRDefault="00A10EA2" w:rsidP="00A10EA2">
            <w:pPr>
              <w:tabs>
                <w:tab w:val="num" w:pos="720"/>
              </w:tabs>
              <w:rPr>
                <w:rFonts w:eastAsia="Calibri"/>
                <w:sz w:val="26"/>
              </w:rPr>
            </w:pPr>
            <w:r w:rsidRPr="000B07EB">
              <w:rPr>
                <w:rFonts w:eastAsia="Calibri"/>
                <w:sz w:val="26"/>
              </w:rPr>
              <w:t>Allocation</w:t>
            </w:r>
          </w:p>
        </w:tc>
        <w:tc>
          <w:tcPr>
            <w:tcW w:w="699" w:type="pct"/>
            <w:vAlign w:val="bottom"/>
          </w:tcPr>
          <w:p w14:paraId="7A6344AE" w14:textId="77777777" w:rsidR="00A10EA2" w:rsidRPr="000B07EB" w:rsidRDefault="00A10EA2" w:rsidP="005B4B44">
            <w:pPr>
              <w:tabs>
                <w:tab w:val="num" w:pos="720"/>
              </w:tabs>
              <w:jc w:val="right"/>
              <w:rPr>
                <w:rFonts w:eastAsia="Calibri"/>
                <w:sz w:val="26"/>
              </w:rPr>
            </w:pPr>
            <w:r w:rsidRPr="000B07EB">
              <w:rPr>
                <w:rFonts w:eastAsia="Calibri"/>
                <w:sz w:val="26"/>
              </w:rPr>
              <w:t>6</w:t>
            </w:r>
            <w:r w:rsidRPr="000B07EB">
              <w:rPr>
                <w:rStyle w:val="FootnoteReference"/>
                <w:rFonts w:eastAsia="Calibri"/>
                <w:sz w:val="26"/>
                <w:vertAlign w:val="superscript"/>
              </w:rPr>
              <w:footnoteReference w:id="13"/>
            </w:r>
          </w:p>
        </w:tc>
        <w:tc>
          <w:tcPr>
            <w:tcW w:w="664" w:type="pct"/>
            <w:vAlign w:val="bottom"/>
          </w:tcPr>
          <w:p w14:paraId="4D4EC910" w14:textId="77777777" w:rsidR="00A10EA2" w:rsidRPr="000B07EB" w:rsidRDefault="00A10EA2" w:rsidP="005B4B44">
            <w:pPr>
              <w:tabs>
                <w:tab w:val="num" w:pos="720"/>
              </w:tabs>
              <w:jc w:val="right"/>
              <w:rPr>
                <w:rFonts w:eastAsia="Calibri"/>
                <w:sz w:val="26"/>
              </w:rPr>
            </w:pPr>
            <w:r w:rsidRPr="000B07EB">
              <w:rPr>
                <w:rFonts w:eastAsia="Calibri"/>
                <w:sz w:val="26"/>
              </w:rPr>
              <w:t>1</w:t>
            </w:r>
          </w:p>
        </w:tc>
        <w:tc>
          <w:tcPr>
            <w:tcW w:w="787" w:type="pct"/>
            <w:vAlign w:val="bottom"/>
          </w:tcPr>
          <w:p w14:paraId="62843C68" w14:textId="77777777" w:rsidR="00A10EA2" w:rsidRPr="000B07EB" w:rsidRDefault="00A10EA2" w:rsidP="005B4B44">
            <w:pPr>
              <w:tabs>
                <w:tab w:val="num" w:pos="720"/>
              </w:tabs>
              <w:jc w:val="right"/>
              <w:rPr>
                <w:rFonts w:eastAsia="Calibri"/>
                <w:sz w:val="26"/>
              </w:rPr>
            </w:pPr>
            <w:r w:rsidRPr="000B07EB">
              <w:rPr>
                <w:rFonts w:eastAsia="Calibri"/>
                <w:sz w:val="26"/>
              </w:rPr>
              <w:t>6</w:t>
            </w:r>
          </w:p>
        </w:tc>
        <w:tc>
          <w:tcPr>
            <w:tcW w:w="749" w:type="pct"/>
            <w:vAlign w:val="bottom"/>
          </w:tcPr>
          <w:p w14:paraId="060E5A92" w14:textId="5394B922" w:rsidR="00A10EA2" w:rsidRPr="000B07EB" w:rsidRDefault="00A10EA2" w:rsidP="005B4B44">
            <w:pPr>
              <w:tabs>
                <w:tab w:val="num" w:pos="720"/>
              </w:tabs>
              <w:jc w:val="right"/>
              <w:rPr>
                <w:rFonts w:eastAsia="Calibri"/>
                <w:sz w:val="26"/>
              </w:rPr>
            </w:pPr>
            <w:r w:rsidRPr="000B07EB">
              <w:rPr>
                <w:rFonts w:eastAsia="Calibri"/>
                <w:sz w:val="26"/>
              </w:rPr>
              <w:t xml:space="preserve">500 hrs.; </w:t>
            </w:r>
          </w:p>
          <w:p w14:paraId="6FB53F05" w14:textId="1193E9CC" w:rsidR="00A10EA2" w:rsidRPr="000B07EB" w:rsidRDefault="00A10EA2" w:rsidP="005B4B44">
            <w:pPr>
              <w:tabs>
                <w:tab w:val="num" w:pos="720"/>
              </w:tabs>
              <w:jc w:val="right"/>
              <w:rPr>
                <w:rFonts w:eastAsia="Calibri"/>
                <w:sz w:val="26"/>
              </w:rPr>
            </w:pPr>
            <w:r w:rsidRPr="000B07EB">
              <w:rPr>
                <w:rFonts w:eastAsia="Calibri"/>
                <w:sz w:val="26"/>
              </w:rPr>
              <w:t>$36,500</w:t>
            </w:r>
          </w:p>
        </w:tc>
        <w:tc>
          <w:tcPr>
            <w:tcW w:w="704" w:type="pct"/>
            <w:vAlign w:val="bottom"/>
          </w:tcPr>
          <w:p w14:paraId="173F948F" w14:textId="4059AA78" w:rsidR="00A10EA2" w:rsidRPr="000B07EB" w:rsidRDefault="00A10EA2" w:rsidP="005B4B44">
            <w:pPr>
              <w:keepNext/>
              <w:keepLines/>
              <w:tabs>
                <w:tab w:val="num" w:pos="720"/>
              </w:tabs>
              <w:jc w:val="right"/>
              <w:outlineLvl w:val="3"/>
              <w:rPr>
                <w:rFonts w:eastAsia="Calibri"/>
                <w:sz w:val="26"/>
              </w:rPr>
            </w:pPr>
            <w:r w:rsidRPr="000B07EB">
              <w:rPr>
                <w:rFonts w:eastAsia="Calibri"/>
                <w:sz w:val="26"/>
              </w:rPr>
              <w:t xml:space="preserve">3,000 hrs.; </w:t>
            </w:r>
          </w:p>
          <w:p w14:paraId="7D330198" w14:textId="19D1383D" w:rsidR="00A10EA2" w:rsidRPr="000B07EB" w:rsidRDefault="00A10EA2" w:rsidP="005B4B44">
            <w:pPr>
              <w:keepNext/>
              <w:keepLines/>
              <w:tabs>
                <w:tab w:val="num" w:pos="720"/>
              </w:tabs>
              <w:jc w:val="right"/>
              <w:outlineLvl w:val="3"/>
              <w:rPr>
                <w:rFonts w:eastAsia="Calibri"/>
                <w:sz w:val="26"/>
              </w:rPr>
            </w:pPr>
            <w:r w:rsidRPr="000B07EB">
              <w:rPr>
                <w:rFonts w:eastAsia="Calibri"/>
                <w:sz w:val="26"/>
              </w:rPr>
              <w:t>$219,000</w:t>
            </w:r>
          </w:p>
        </w:tc>
        <w:tc>
          <w:tcPr>
            <w:tcW w:w="678" w:type="pct"/>
            <w:vAlign w:val="bottom"/>
          </w:tcPr>
          <w:p w14:paraId="28D127A5" w14:textId="002EAA44" w:rsidR="00A10EA2" w:rsidRPr="000B07EB" w:rsidRDefault="00A10EA2" w:rsidP="005B4B44">
            <w:pPr>
              <w:tabs>
                <w:tab w:val="num" w:pos="720"/>
              </w:tabs>
              <w:jc w:val="right"/>
              <w:rPr>
                <w:rFonts w:eastAsia="Calibri"/>
                <w:sz w:val="26"/>
              </w:rPr>
            </w:pPr>
            <w:r w:rsidRPr="000B07EB">
              <w:rPr>
                <w:rFonts w:eastAsia="Calibri"/>
                <w:sz w:val="26"/>
              </w:rPr>
              <w:t>$36,500</w:t>
            </w:r>
          </w:p>
        </w:tc>
      </w:tr>
      <w:tr w:rsidR="00A10EA2" w:rsidRPr="007576AF" w14:paraId="1B70AA5A" w14:textId="77777777" w:rsidTr="00573F60">
        <w:trPr>
          <w:cantSplit/>
          <w:trHeight w:val="872"/>
        </w:trPr>
        <w:tc>
          <w:tcPr>
            <w:tcW w:w="719" w:type="pct"/>
          </w:tcPr>
          <w:p w14:paraId="0BA2FB1B" w14:textId="4C43FE02" w:rsidR="00A10EA2" w:rsidRPr="000B07EB" w:rsidRDefault="00A10EA2" w:rsidP="00A10EA2">
            <w:pPr>
              <w:tabs>
                <w:tab w:val="num" w:pos="720"/>
              </w:tabs>
              <w:rPr>
                <w:rFonts w:eastAsia="Calibri"/>
                <w:sz w:val="26"/>
              </w:rPr>
            </w:pPr>
            <w:r w:rsidRPr="000B07EB">
              <w:rPr>
                <w:rFonts w:eastAsia="Calibri"/>
                <w:sz w:val="26"/>
              </w:rPr>
              <w:t>Transparency</w:t>
            </w:r>
          </w:p>
        </w:tc>
        <w:tc>
          <w:tcPr>
            <w:tcW w:w="699" w:type="pct"/>
            <w:vAlign w:val="bottom"/>
          </w:tcPr>
          <w:p w14:paraId="0687F495" w14:textId="79677A7B" w:rsidR="00A10EA2" w:rsidRPr="000B07EB" w:rsidRDefault="00A10EA2" w:rsidP="005B4B44">
            <w:pPr>
              <w:tabs>
                <w:tab w:val="num" w:pos="720"/>
              </w:tabs>
              <w:jc w:val="right"/>
              <w:rPr>
                <w:rFonts w:eastAsia="Calibri"/>
                <w:sz w:val="26"/>
              </w:rPr>
            </w:pPr>
            <w:r w:rsidRPr="000B07EB">
              <w:rPr>
                <w:rFonts w:eastAsia="Calibri"/>
                <w:sz w:val="26"/>
              </w:rPr>
              <w:t>6</w:t>
            </w:r>
          </w:p>
        </w:tc>
        <w:tc>
          <w:tcPr>
            <w:tcW w:w="664" w:type="pct"/>
            <w:vAlign w:val="bottom"/>
          </w:tcPr>
          <w:p w14:paraId="28BEAD54" w14:textId="11D2B0A1" w:rsidR="00A10EA2" w:rsidRPr="000B07EB" w:rsidRDefault="00A10EA2" w:rsidP="005B4B44">
            <w:pPr>
              <w:tabs>
                <w:tab w:val="num" w:pos="720"/>
              </w:tabs>
              <w:jc w:val="right"/>
              <w:rPr>
                <w:rFonts w:eastAsia="Calibri"/>
                <w:sz w:val="26"/>
              </w:rPr>
            </w:pPr>
            <w:r w:rsidRPr="000B07EB">
              <w:rPr>
                <w:rFonts w:eastAsia="Calibri"/>
                <w:sz w:val="26"/>
              </w:rPr>
              <w:t>1</w:t>
            </w:r>
          </w:p>
        </w:tc>
        <w:tc>
          <w:tcPr>
            <w:tcW w:w="787" w:type="pct"/>
            <w:vAlign w:val="bottom"/>
          </w:tcPr>
          <w:p w14:paraId="360C4802" w14:textId="5ACED259" w:rsidR="00A10EA2" w:rsidRPr="000B07EB" w:rsidRDefault="00A10EA2" w:rsidP="005B4B44">
            <w:pPr>
              <w:tabs>
                <w:tab w:val="num" w:pos="720"/>
              </w:tabs>
              <w:jc w:val="right"/>
              <w:rPr>
                <w:rFonts w:eastAsia="Calibri"/>
                <w:sz w:val="26"/>
              </w:rPr>
            </w:pPr>
            <w:r w:rsidRPr="000B07EB">
              <w:rPr>
                <w:rFonts w:eastAsia="Calibri"/>
                <w:sz w:val="26"/>
              </w:rPr>
              <w:t>6</w:t>
            </w:r>
          </w:p>
        </w:tc>
        <w:tc>
          <w:tcPr>
            <w:tcW w:w="749" w:type="pct"/>
            <w:vAlign w:val="bottom"/>
          </w:tcPr>
          <w:p w14:paraId="4B689392" w14:textId="0984A39C" w:rsidR="00A10EA2" w:rsidRPr="000B07EB" w:rsidRDefault="00A10EA2" w:rsidP="005B4B44">
            <w:pPr>
              <w:tabs>
                <w:tab w:val="num" w:pos="720"/>
              </w:tabs>
              <w:jc w:val="right"/>
              <w:rPr>
                <w:rFonts w:eastAsia="Calibri"/>
                <w:sz w:val="26"/>
              </w:rPr>
            </w:pPr>
            <w:r w:rsidRPr="000B07EB">
              <w:rPr>
                <w:rFonts w:eastAsia="Calibri"/>
                <w:sz w:val="26"/>
              </w:rPr>
              <w:t>500 hrs</w:t>
            </w:r>
            <w:r w:rsidR="00573F60" w:rsidRPr="000B07EB">
              <w:rPr>
                <w:rFonts w:eastAsia="Calibri"/>
                <w:sz w:val="26"/>
              </w:rPr>
              <w:t>.</w:t>
            </w:r>
            <w:r w:rsidRPr="000B07EB">
              <w:rPr>
                <w:rFonts w:eastAsia="Calibri"/>
                <w:sz w:val="26"/>
              </w:rPr>
              <w:t>;</w:t>
            </w:r>
          </w:p>
          <w:p w14:paraId="10333C10" w14:textId="37212E5B" w:rsidR="00A10EA2" w:rsidRPr="000B07EB" w:rsidRDefault="00A10EA2" w:rsidP="005B4B44">
            <w:pPr>
              <w:tabs>
                <w:tab w:val="num" w:pos="720"/>
              </w:tabs>
              <w:jc w:val="right"/>
              <w:rPr>
                <w:rFonts w:eastAsia="Calibri"/>
                <w:sz w:val="26"/>
              </w:rPr>
            </w:pPr>
            <w:r w:rsidRPr="000B07EB">
              <w:rPr>
                <w:rFonts w:eastAsia="Calibri"/>
                <w:sz w:val="26"/>
              </w:rPr>
              <w:t>$36,500</w:t>
            </w:r>
          </w:p>
        </w:tc>
        <w:tc>
          <w:tcPr>
            <w:tcW w:w="704" w:type="pct"/>
            <w:vAlign w:val="bottom"/>
          </w:tcPr>
          <w:p w14:paraId="0EFC3333" w14:textId="4085514B" w:rsidR="00A10EA2" w:rsidRPr="000B07EB" w:rsidRDefault="00A10EA2" w:rsidP="005B4B44">
            <w:pPr>
              <w:keepNext/>
              <w:keepLines/>
              <w:tabs>
                <w:tab w:val="num" w:pos="720"/>
              </w:tabs>
              <w:jc w:val="right"/>
              <w:outlineLvl w:val="3"/>
              <w:rPr>
                <w:rFonts w:eastAsia="Calibri"/>
                <w:sz w:val="26"/>
              </w:rPr>
            </w:pPr>
            <w:r w:rsidRPr="000B07EB">
              <w:rPr>
                <w:rFonts w:eastAsia="Calibri"/>
                <w:sz w:val="26"/>
              </w:rPr>
              <w:t>3,000 hrs</w:t>
            </w:r>
            <w:r w:rsidR="00573F60" w:rsidRPr="000B07EB">
              <w:rPr>
                <w:rFonts w:eastAsia="Calibri"/>
                <w:sz w:val="26"/>
              </w:rPr>
              <w:t>.</w:t>
            </w:r>
            <w:r w:rsidRPr="000B07EB">
              <w:rPr>
                <w:rFonts w:eastAsia="Calibri"/>
                <w:sz w:val="26"/>
              </w:rPr>
              <w:t>;</w:t>
            </w:r>
          </w:p>
          <w:p w14:paraId="1893E24B" w14:textId="7C1FF905" w:rsidR="00A10EA2" w:rsidRPr="000B07EB" w:rsidRDefault="00A10EA2" w:rsidP="005B4B44">
            <w:pPr>
              <w:keepNext/>
              <w:keepLines/>
              <w:tabs>
                <w:tab w:val="num" w:pos="720"/>
              </w:tabs>
              <w:jc w:val="right"/>
              <w:outlineLvl w:val="3"/>
              <w:rPr>
                <w:rFonts w:eastAsia="Calibri"/>
                <w:sz w:val="26"/>
              </w:rPr>
            </w:pPr>
            <w:r w:rsidRPr="000B07EB">
              <w:rPr>
                <w:rFonts w:eastAsia="Calibri"/>
                <w:sz w:val="26"/>
              </w:rPr>
              <w:t>$219,000</w:t>
            </w:r>
          </w:p>
        </w:tc>
        <w:tc>
          <w:tcPr>
            <w:tcW w:w="678" w:type="pct"/>
            <w:vAlign w:val="bottom"/>
          </w:tcPr>
          <w:p w14:paraId="7C5D1EB9" w14:textId="71A12AFA" w:rsidR="00A10EA2" w:rsidRPr="000B07EB" w:rsidRDefault="00A10EA2" w:rsidP="005B4B44">
            <w:pPr>
              <w:tabs>
                <w:tab w:val="num" w:pos="720"/>
              </w:tabs>
              <w:jc w:val="right"/>
              <w:rPr>
                <w:rFonts w:eastAsia="Calibri"/>
                <w:sz w:val="26"/>
              </w:rPr>
            </w:pPr>
            <w:r w:rsidRPr="000B07EB">
              <w:rPr>
                <w:rFonts w:eastAsia="Calibri"/>
                <w:sz w:val="26"/>
              </w:rPr>
              <w:t>$36,500</w:t>
            </w:r>
          </w:p>
        </w:tc>
      </w:tr>
      <w:tr w:rsidR="00573F60" w:rsidRPr="007576AF" w14:paraId="440171FA" w14:textId="77777777" w:rsidTr="00573F60">
        <w:trPr>
          <w:cantSplit/>
          <w:trHeight w:val="872"/>
        </w:trPr>
        <w:tc>
          <w:tcPr>
            <w:tcW w:w="719" w:type="pct"/>
          </w:tcPr>
          <w:p w14:paraId="3FAFAF2E" w14:textId="067E6382" w:rsidR="00573F60" w:rsidRPr="000B07EB" w:rsidRDefault="00573F60" w:rsidP="00A10EA2">
            <w:pPr>
              <w:tabs>
                <w:tab w:val="num" w:pos="720"/>
              </w:tabs>
              <w:rPr>
                <w:rFonts w:eastAsia="Calibri"/>
                <w:b/>
                <w:sz w:val="26"/>
              </w:rPr>
            </w:pPr>
            <w:r w:rsidRPr="000B07EB">
              <w:rPr>
                <w:rFonts w:eastAsia="Calibri"/>
                <w:b/>
                <w:sz w:val="26"/>
              </w:rPr>
              <w:t>TOTAL</w:t>
            </w:r>
          </w:p>
        </w:tc>
        <w:tc>
          <w:tcPr>
            <w:tcW w:w="2150" w:type="pct"/>
            <w:gridSpan w:val="3"/>
            <w:shd w:val="clear" w:color="auto" w:fill="D9D9D9" w:themeFill="background1" w:themeFillShade="D9"/>
            <w:vAlign w:val="bottom"/>
          </w:tcPr>
          <w:p w14:paraId="58A6EA23" w14:textId="77777777" w:rsidR="00573F60" w:rsidRPr="000B07EB" w:rsidRDefault="00573F60" w:rsidP="005B4B44">
            <w:pPr>
              <w:tabs>
                <w:tab w:val="num" w:pos="720"/>
              </w:tabs>
              <w:jc w:val="right"/>
              <w:rPr>
                <w:rFonts w:eastAsia="Calibri"/>
                <w:sz w:val="26"/>
              </w:rPr>
            </w:pPr>
          </w:p>
        </w:tc>
        <w:tc>
          <w:tcPr>
            <w:tcW w:w="749" w:type="pct"/>
            <w:vAlign w:val="bottom"/>
          </w:tcPr>
          <w:p w14:paraId="4E27402B" w14:textId="77777777" w:rsidR="00573F60" w:rsidRPr="000B07EB" w:rsidRDefault="00573F60" w:rsidP="005B4B44">
            <w:pPr>
              <w:tabs>
                <w:tab w:val="num" w:pos="720"/>
              </w:tabs>
              <w:jc w:val="right"/>
              <w:rPr>
                <w:rFonts w:eastAsia="Calibri"/>
                <w:sz w:val="26"/>
              </w:rPr>
            </w:pPr>
            <w:r w:rsidRPr="000B07EB">
              <w:rPr>
                <w:rFonts w:eastAsia="Calibri"/>
                <w:sz w:val="26"/>
              </w:rPr>
              <w:t>1000 hrs.;</w:t>
            </w:r>
          </w:p>
          <w:p w14:paraId="1671153D" w14:textId="63ECAFB4" w:rsidR="00573F60" w:rsidRPr="000B07EB" w:rsidRDefault="00573F60" w:rsidP="005B4B44">
            <w:pPr>
              <w:tabs>
                <w:tab w:val="num" w:pos="720"/>
              </w:tabs>
              <w:jc w:val="right"/>
              <w:rPr>
                <w:rFonts w:eastAsia="Calibri"/>
                <w:sz w:val="26"/>
              </w:rPr>
            </w:pPr>
            <w:r w:rsidRPr="000B07EB">
              <w:rPr>
                <w:rFonts w:eastAsia="Calibri"/>
                <w:sz w:val="26"/>
              </w:rPr>
              <w:t>$73,000</w:t>
            </w:r>
          </w:p>
        </w:tc>
        <w:tc>
          <w:tcPr>
            <w:tcW w:w="704" w:type="pct"/>
            <w:vAlign w:val="bottom"/>
          </w:tcPr>
          <w:p w14:paraId="0A1D7631" w14:textId="77777777" w:rsidR="00573F60" w:rsidRPr="000B07EB" w:rsidRDefault="00573F60" w:rsidP="005B4B44">
            <w:pPr>
              <w:keepNext/>
              <w:keepLines/>
              <w:tabs>
                <w:tab w:val="num" w:pos="720"/>
              </w:tabs>
              <w:jc w:val="right"/>
              <w:outlineLvl w:val="3"/>
              <w:rPr>
                <w:rFonts w:eastAsia="Calibri"/>
                <w:sz w:val="26"/>
              </w:rPr>
            </w:pPr>
            <w:r w:rsidRPr="000B07EB">
              <w:rPr>
                <w:rFonts w:eastAsia="Calibri"/>
                <w:sz w:val="26"/>
              </w:rPr>
              <w:t>6,000 hrs.;</w:t>
            </w:r>
          </w:p>
          <w:p w14:paraId="0B487472" w14:textId="28FE7AE9" w:rsidR="00573F60" w:rsidRPr="000B07EB" w:rsidRDefault="00573F60" w:rsidP="005B4B44">
            <w:pPr>
              <w:keepNext/>
              <w:keepLines/>
              <w:tabs>
                <w:tab w:val="num" w:pos="720"/>
              </w:tabs>
              <w:jc w:val="right"/>
              <w:outlineLvl w:val="3"/>
              <w:rPr>
                <w:rFonts w:eastAsia="Calibri"/>
                <w:sz w:val="26"/>
              </w:rPr>
            </w:pPr>
            <w:r w:rsidRPr="000B07EB">
              <w:rPr>
                <w:rFonts w:eastAsia="Calibri"/>
                <w:sz w:val="26"/>
              </w:rPr>
              <w:t>$438,000</w:t>
            </w:r>
          </w:p>
        </w:tc>
        <w:tc>
          <w:tcPr>
            <w:tcW w:w="678" w:type="pct"/>
            <w:shd w:val="clear" w:color="auto" w:fill="D9D9D9" w:themeFill="background1" w:themeFillShade="D9"/>
            <w:vAlign w:val="bottom"/>
          </w:tcPr>
          <w:p w14:paraId="75A7DE20" w14:textId="77777777" w:rsidR="00573F60" w:rsidRPr="000B07EB" w:rsidRDefault="00573F60" w:rsidP="005B4B44">
            <w:pPr>
              <w:tabs>
                <w:tab w:val="num" w:pos="720"/>
              </w:tabs>
              <w:jc w:val="right"/>
              <w:rPr>
                <w:rFonts w:eastAsia="Calibri"/>
                <w:sz w:val="26"/>
              </w:rPr>
            </w:pPr>
          </w:p>
        </w:tc>
      </w:tr>
    </w:tbl>
    <w:p w14:paraId="799700C6" w14:textId="274BFB90" w:rsidR="00C25F2C" w:rsidRPr="007576AF" w:rsidRDefault="00C25F2C" w:rsidP="00877886">
      <w:pPr>
        <w:rPr>
          <w:sz w:val="26"/>
          <w:szCs w:val="26"/>
        </w:rPr>
      </w:pPr>
    </w:p>
    <w:p w14:paraId="7197AF34" w14:textId="1CD668C0" w:rsidR="00877886" w:rsidRPr="007576AF" w:rsidRDefault="00573F60" w:rsidP="00877886">
      <w:pPr>
        <w:pStyle w:val="FERCparanumber"/>
        <w:numPr>
          <w:ilvl w:val="0"/>
          <w:numId w:val="0"/>
        </w:numPr>
        <w:rPr>
          <w:szCs w:val="26"/>
        </w:rPr>
      </w:pPr>
      <w:r w:rsidRPr="007576AF">
        <w:rPr>
          <w:szCs w:val="26"/>
        </w:rPr>
        <w:t>After Year 1, the proposed requirements in the RM17-2-000 NOPR would not significantly affect ongoing burden imposed on RTOs/ISOs.  As such, the burden estimate here is considered a one-time burden and will be averaged over Years 1-3:</w:t>
      </w:r>
    </w:p>
    <w:p w14:paraId="0D980A78" w14:textId="77777777" w:rsidR="00573F60" w:rsidRPr="007576AF" w:rsidRDefault="00573F60" w:rsidP="00877886">
      <w:pPr>
        <w:pStyle w:val="FERCparanumber"/>
        <w:numPr>
          <w:ilvl w:val="0"/>
          <w:numId w:val="0"/>
        </w:numPr>
        <w:rPr>
          <w:szCs w:val="26"/>
        </w:rPr>
      </w:pPr>
    </w:p>
    <w:p w14:paraId="152C1A82" w14:textId="09CD449B" w:rsidR="00573F60" w:rsidRPr="007576AF" w:rsidRDefault="00573F60" w:rsidP="00877886">
      <w:pPr>
        <w:pStyle w:val="FERCparanumber"/>
        <w:numPr>
          <w:ilvl w:val="0"/>
          <w:numId w:val="0"/>
        </w:numPr>
        <w:rPr>
          <w:szCs w:val="26"/>
        </w:rPr>
      </w:pPr>
      <w:r w:rsidRPr="007576AF">
        <w:rPr>
          <w:szCs w:val="26"/>
        </w:rPr>
        <w:t>6,000 hours (total burden estimate for the RM17-2-000 NOPR) ÷</w:t>
      </w:r>
      <w:r w:rsidR="00360A65" w:rsidRPr="007576AF">
        <w:rPr>
          <w:szCs w:val="26"/>
        </w:rPr>
        <w:t xml:space="preserve"> 3 = 2,000 hours</w:t>
      </w:r>
      <w:r w:rsidR="00360A65" w:rsidRPr="007576AF">
        <w:rPr>
          <w:rStyle w:val="FootnoteReference"/>
          <w:szCs w:val="26"/>
          <w:vertAlign w:val="superscript"/>
        </w:rPr>
        <w:footnoteReference w:id="14"/>
      </w:r>
    </w:p>
    <w:p w14:paraId="4570A5DE" w14:textId="77777777" w:rsidR="00573F60" w:rsidRPr="007576AF" w:rsidRDefault="00573F60" w:rsidP="00877886">
      <w:pPr>
        <w:pStyle w:val="FERCparanumber"/>
        <w:numPr>
          <w:ilvl w:val="0"/>
          <w:numId w:val="0"/>
        </w:numPr>
        <w:rPr>
          <w:b/>
          <w:szCs w:val="26"/>
        </w:rPr>
      </w:pPr>
    </w:p>
    <w:p w14:paraId="63293FD2" w14:textId="77777777" w:rsidR="00877886" w:rsidRPr="007576AF" w:rsidRDefault="00877886" w:rsidP="00877886">
      <w:pPr>
        <w:pStyle w:val="FERCparanumber"/>
        <w:numPr>
          <w:ilvl w:val="0"/>
          <w:numId w:val="2"/>
        </w:numPr>
        <w:rPr>
          <w:szCs w:val="26"/>
        </w:rPr>
      </w:pPr>
      <w:r w:rsidRPr="007576AF">
        <w:rPr>
          <w:b/>
          <w:szCs w:val="26"/>
        </w:rPr>
        <w:t>ESTIMATE OF THE TOTAL ANNUAL COST BURDEN TO RESPONDENTS</w:t>
      </w:r>
    </w:p>
    <w:p w14:paraId="408244B7" w14:textId="77777777" w:rsidR="00877886" w:rsidRPr="007576AF" w:rsidRDefault="00877886" w:rsidP="00877886">
      <w:pPr>
        <w:pStyle w:val="FERCparanumber"/>
        <w:numPr>
          <w:ilvl w:val="0"/>
          <w:numId w:val="0"/>
        </w:numPr>
        <w:rPr>
          <w:b/>
          <w:szCs w:val="26"/>
        </w:rPr>
      </w:pPr>
    </w:p>
    <w:p w14:paraId="6092E9C2" w14:textId="77777777" w:rsidR="00877886" w:rsidRPr="007576AF" w:rsidRDefault="00877886" w:rsidP="00877886">
      <w:pPr>
        <w:widowControl/>
        <w:rPr>
          <w:sz w:val="26"/>
          <w:szCs w:val="26"/>
        </w:rPr>
      </w:pPr>
      <w:r w:rsidRPr="007576AF">
        <w:rPr>
          <w:sz w:val="26"/>
          <w:szCs w:val="26"/>
        </w:rPr>
        <w:t>There are no start-up or other non-labor costs.</w:t>
      </w:r>
    </w:p>
    <w:p w14:paraId="7F1EAA0A" w14:textId="77777777" w:rsidR="00877886" w:rsidRPr="007576AF" w:rsidRDefault="00877886" w:rsidP="00877886">
      <w:pPr>
        <w:widowControl/>
        <w:rPr>
          <w:sz w:val="26"/>
          <w:szCs w:val="26"/>
        </w:rPr>
      </w:pPr>
    </w:p>
    <w:p w14:paraId="566E376B" w14:textId="77777777" w:rsidR="00877886" w:rsidRPr="007576AF" w:rsidRDefault="00877886" w:rsidP="00877886">
      <w:pPr>
        <w:widowControl/>
        <w:rPr>
          <w:sz w:val="26"/>
          <w:szCs w:val="26"/>
        </w:rPr>
      </w:pPr>
      <w:r w:rsidRPr="007576AF">
        <w:rPr>
          <w:sz w:val="26"/>
          <w:szCs w:val="26"/>
        </w:rPr>
        <w:t>Total Capital and Start-up cost: $0</w:t>
      </w:r>
    </w:p>
    <w:p w14:paraId="5D50F264" w14:textId="77777777" w:rsidR="00877886" w:rsidRPr="007576AF" w:rsidRDefault="00877886" w:rsidP="00877886">
      <w:pPr>
        <w:widowControl/>
        <w:rPr>
          <w:sz w:val="26"/>
          <w:szCs w:val="26"/>
        </w:rPr>
      </w:pPr>
      <w:r w:rsidRPr="007576AF">
        <w:rPr>
          <w:sz w:val="26"/>
          <w:szCs w:val="26"/>
        </w:rPr>
        <w:t>Total Operation, Maintenance, and Purchase of Services: $0</w:t>
      </w:r>
    </w:p>
    <w:p w14:paraId="056FBD19" w14:textId="77777777" w:rsidR="00877886" w:rsidRPr="007576AF" w:rsidRDefault="00877886" w:rsidP="00877886">
      <w:pPr>
        <w:widowControl/>
        <w:rPr>
          <w:sz w:val="26"/>
          <w:szCs w:val="26"/>
        </w:rPr>
      </w:pPr>
    </w:p>
    <w:p w14:paraId="2AB62899" w14:textId="77777777" w:rsidR="00877886" w:rsidRPr="007576AF" w:rsidRDefault="00877886" w:rsidP="00877886">
      <w:pPr>
        <w:widowControl/>
        <w:rPr>
          <w:sz w:val="26"/>
          <w:szCs w:val="26"/>
        </w:rPr>
      </w:pPr>
      <w:r w:rsidRPr="007576AF">
        <w:rPr>
          <w:sz w:val="26"/>
          <w:szCs w:val="26"/>
        </w:rPr>
        <w:t>All of the costs in the proposed rule are associated with burden hours (labor) and described in Questions #12 and #15 in this supporting statement.</w:t>
      </w:r>
    </w:p>
    <w:p w14:paraId="2940381F" w14:textId="77777777" w:rsidR="00877886" w:rsidRPr="007576AF" w:rsidRDefault="00877886" w:rsidP="00877886">
      <w:pPr>
        <w:pStyle w:val="FERCparanumber"/>
        <w:numPr>
          <w:ilvl w:val="0"/>
          <w:numId w:val="0"/>
        </w:numPr>
        <w:rPr>
          <w:szCs w:val="26"/>
        </w:rPr>
      </w:pPr>
    </w:p>
    <w:p w14:paraId="1FB5BC21" w14:textId="77777777" w:rsidR="00877886" w:rsidRPr="007576AF" w:rsidRDefault="00877886" w:rsidP="00877886">
      <w:pPr>
        <w:pStyle w:val="FERCparanumber"/>
        <w:numPr>
          <w:ilvl w:val="0"/>
          <w:numId w:val="2"/>
        </w:numPr>
        <w:rPr>
          <w:b/>
          <w:szCs w:val="26"/>
        </w:rPr>
      </w:pPr>
      <w:r w:rsidRPr="007576AF">
        <w:rPr>
          <w:b/>
          <w:szCs w:val="26"/>
        </w:rPr>
        <w:t>ESTIMATED ANNUALIZED COST TO FEDERAL GOVERNMENT</w:t>
      </w:r>
    </w:p>
    <w:p w14:paraId="19FF00AD" w14:textId="77777777" w:rsidR="00877886" w:rsidRPr="007576AF" w:rsidRDefault="00877886" w:rsidP="00877886">
      <w:pPr>
        <w:pStyle w:val="FERCparanumber"/>
        <w:numPr>
          <w:ilvl w:val="0"/>
          <w:numId w:val="0"/>
        </w:numPr>
        <w:rPr>
          <w:b/>
          <w:szCs w:val="26"/>
        </w:rPr>
      </w:pPr>
    </w:p>
    <w:p w14:paraId="66C9B9A6" w14:textId="77777777" w:rsidR="00877886" w:rsidRPr="007576AF" w:rsidRDefault="00877886" w:rsidP="00877886">
      <w:pPr>
        <w:pStyle w:val="ListParagraph"/>
        <w:spacing w:after="0" w:line="240" w:lineRule="auto"/>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16"/>
        <w:gridCol w:w="3097"/>
      </w:tblGrid>
      <w:tr w:rsidR="00877886" w:rsidRPr="007576AF" w14:paraId="66ADF22E" w14:textId="77777777" w:rsidTr="00B63FD9">
        <w:tc>
          <w:tcPr>
            <w:tcW w:w="1756" w:type="pct"/>
            <w:shd w:val="clear" w:color="auto" w:fill="D9D9D9"/>
            <w:vAlign w:val="center"/>
          </w:tcPr>
          <w:p w14:paraId="63E3F61C" w14:textId="77777777" w:rsidR="00877886" w:rsidRPr="007576AF" w:rsidRDefault="00877886" w:rsidP="00B63FD9">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14:paraId="3B658416" w14:textId="77777777" w:rsidR="00877886" w:rsidRPr="007576AF" w:rsidRDefault="00877886" w:rsidP="00B63FD9">
            <w:pPr>
              <w:pStyle w:val="ListParagraph"/>
              <w:spacing w:after="0" w:line="240" w:lineRule="auto"/>
              <w:ind w:left="0"/>
              <w:jc w:val="center"/>
              <w:rPr>
                <w:rFonts w:ascii="Times New Roman" w:hAnsi="Times New Roman"/>
                <w:b/>
                <w:sz w:val="26"/>
                <w:szCs w:val="26"/>
              </w:rPr>
            </w:pPr>
            <w:r w:rsidRPr="007576AF">
              <w:rPr>
                <w:rFonts w:ascii="Times New Roman" w:hAnsi="Times New Roman"/>
                <w:b/>
                <w:sz w:val="26"/>
                <w:szCs w:val="26"/>
              </w:rPr>
              <w:t>Number of Employees (FTE)</w:t>
            </w:r>
          </w:p>
        </w:tc>
        <w:tc>
          <w:tcPr>
            <w:tcW w:w="1617" w:type="pct"/>
            <w:shd w:val="clear" w:color="auto" w:fill="D9D9D9"/>
            <w:vAlign w:val="center"/>
          </w:tcPr>
          <w:p w14:paraId="408919C2" w14:textId="77777777" w:rsidR="00877886" w:rsidRPr="007576AF" w:rsidRDefault="00877886" w:rsidP="00B63FD9">
            <w:pPr>
              <w:pStyle w:val="ListParagraph"/>
              <w:spacing w:after="0" w:line="240" w:lineRule="auto"/>
              <w:ind w:left="0"/>
              <w:jc w:val="center"/>
              <w:rPr>
                <w:rFonts w:ascii="Times New Roman" w:hAnsi="Times New Roman"/>
                <w:b/>
                <w:sz w:val="26"/>
                <w:szCs w:val="26"/>
              </w:rPr>
            </w:pPr>
            <w:r w:rsidRPr="007576AF">
              <w:rPr>
                <w:rFonts w:ascii="Times New Roman" w:hAnsi="Times New Roman"/>
                <w:b/>
                <w:sz w:val="26"/>
                <w:szCs w:val="26"/>
              </w:rPr>
              <w:t>Estimated Annual Federal Cost</w:t>
            </w:r>
          </w:p>
        </w:tc>
      </w:tr>
      <w:tr w:rsidR="00877886" w:rsidRPr="007576AF" w14:paraId="26A10871" w14:textId="77777777" w:rsidTr="00B63FD9">
        <w:tc>
          <w:tcPr>
            <w:tcW w:w="1756" w:type="pct"/>
            <w:shd w:val="clear" w:color="auto" w:fill="auto"/>
            <w:vAlign w:val="center"/>
          </w:tcPr>
          <w:p w14:paraId="3A30AC39" w14:textId="77777777" w:rsidR="00877886" w:rsidRPr="007576AF" w:rsidRDefault="00877886" w:rsidP="00B63FD9">
            <w:pPr>
              <w:pStyle w:val="ListParagraph"/>
              <w:spacing w:after="0" w:line="240" w:lineRule="auto"/>
              <w:ind w:left="0"/>
              <w:rPr>
                <w:rFonts w:ascii="Times New Roman" w:hAnsi="Times New Roman"/>
                <w:sz w:val="26"/>
                <w:szCs w:val="26"/>
              </w:rPr>
            </w:pPr>
            <w:r w:rsidRPr="007576AF">
              <w:rPr>
                <w:rFonts w:ascii="Times New Roman" w:hAnsi="Times New Roman"/>
                <w:sz w:val="26"/>
                <w:szCs w:val="26"/>
              </w:rPr>
              <w:t>Analysis and Processing of Filings</w:t>
            </w:r>
            <w:r w:rsidRPr="007576AF">
              <w:rPr>
                <w:rStyle w:val="FootnoteReference"/>
                <w:rFonts w:ascii="Times New Roman" w:hAnsi="Times New Roman"/>
                <w:sz w:val="26"/>
                <w:szCs w:val="26"/>
                <w:vertAlign w:val="superscript"/>
              </w:rPr>
              <w:footnoteReference w:id="15"/>
            </w:r>
          </w:p>
        </w:tc>
        <w:tc>
          <w:tcPr>
            <w:tcW w:w="1627" w:type="pct"/>
            <w:shd w:val="clear" w:color="auto" w:fill="auto"/>
            <w:vAlign w:val="center"/>
          </w:tcPr>
          <w:p w14:paraId="784BD48E" w14:textId="77777777" w:rsidR="00877886" w:rsidRPr="007576AF" w:rsidRDefault="002F5A43" w:rsidP="00B63FD9">
            <w:pPr>
              <w:pStyle w:val="ListParagraph"/>
              <w:spacing w:after="0" w:line="240" w:lineRule="auto"/>
              <w:ind w:left="0"/>
              <w:jc w:val="right"/>
              <w:rPr>
                <w:rFonts w:ascii="Times New Roman" w:hAnsi="Times New Roman"/>
                <w:sz w:val="26"/>
                <w:szCs w:val="26"/>
              </w:rPr>
            </w:pPr>
            <w:r w:rsidRPr="007576AF">
              <w:rPr>
                <w:rFonts w:ascii="Times New Roman" w:hAnsi="Times New Roman"/>
                <w:sz w:val="26"/>
                <w:szCs w:val="26"/>
              </w:rPr>
              <w:t>0</w:t>
            </w:r>
            <w:r w:rsidR="001D0DDF" w:rsidRPr="007576AF">
              <w:rPr>
                <w:rFonts w:ascii="Times New Roman" w:hAnsi="Times New Roman"/>
                <w:sz w:val="26"/>
                <w:szCs w:val="26"/>
              </w:rPr>
              <w:t>.25</w:t>
            </w:r>
          </w:p>
        </w:tc>
        <w:tc>
          <w:tcPr>
            <w:tcW w:w="1617" w:type="pct"/>
            <w:shd w:val="clear" w:color="auto" w:fill="auto"/>
            <w:vAlign w:val="center"/>
          </w:tcPr>
          <w:p w14:paraId="1026413A" w14:textId="77777777" w:rsidR="00877886" w:rsidRPr="007576AF" w:rsidRDefault="00877886" w:rsidP="0002313D">
            <w:pPr>
              <w:pStyle w:val="ListParagraph"/>
              <w:spacing w:after="0" w:line="240" w:lineRule="auto"/>
              <w:ind w:left="0"/>
              <w:jc w:val="right"/>
              <w:rPr>
                <w:rFonts w:ascii="Times New Roman" w:hAnsi="Times New Roman"/>
                <w:sz w:val="26"/>
                <w:szCs w:val="26"/>
              </w:rPr>
            </w:pPr>
            <w:r w:rsidRPr="007576AF">
              <w:rPr>
                <w:rFonts w:ascii="Times New Roman" w:hAnsi="Times New Roman"/>
                <w:sz w:val="26"/>
                <w:szCs w:val="26"/>
              </w:rPr>
              <w:t>$</w:t>
            </w:r>
            <w:r w:rsidR="0002313D" w:rsidRPr="007576AF">
              <w:rPr>
                <w:rFonts w:ascii="Times New Roman" w:hAnsi="Times New Roman"/>
                <w:sz w:val="26"/>
                <w:szCs w:val="26"/>
              </w:rPr>
              <w:t>38,662</w:t>
            </w:r>
          </w:p>
        </w:tc>
      </w:tr>
      <w:tr w:rsidR="00877886" w:rsidRPr="007576AF" w14:paraId="6AB34BF1" w14:textId="77777777" w:rsidTr="00B63FD9">
        <w:tc>
          <w:tcPr>
            <w:tcW w:w="1756" w:type="pct"/>
            <w:shd w:val="clear" w:color="auto" w:fill="auto"/>
            <w:vAlign w:val="center"/>
          </w:tcPr>
          <w:p w14:paraId="0ACD9DA3" w14:textId="77777777" w:rsidR="00877886" w:rsidRPr="000B07EB" w:rsidRDefault="00877886" w:rsidP="00B63FD9">
            <w:pPr>
              <w:pStyle w:val="ListParagraph"/>
              <w:spacing w:after="0" w:line="240" w:lineRule="auto"/>
              <w:ind w:left="0"/>
              <w:rPr>
                <w:rFonts w:ascii="Times New Roman" w:hAnsi="Times New Roman"/>
                <w:sz w:val="26"/>
              </w:rPr>
            </w:pPr>
            <w:r w:rsidRPr="000B07EB">
              <w:rPr>
                <w:rFonts w:ascii="Times New Roman" w:hAnsi="Times New Roman"/>
                <w:sz w:val="26"/>
              </w:rPr>
              <w:t>PRA</w:t>
            </w:r>
            <w:r w:rsidRPr="000B07EB">
              <w:rPr>
                <w:rStyle w:val="FootnoteReference"/>
                <w:rFonts w:ascii="Times New Roman" w:hAnsi="Times New Roman"/>
                <w:sz w:val="26"/>
                <w:vertAlign w:val="superscript"/>
              </w:rPr>
              <w:footnoteReference w:id="16"/>
            </w:r>
            <w:r w:rsidRPr="000B07EB">
              <w:rPr>
                <w:rFonts w:ascii="Times New Roman" w:hAnsi="Times New Roman"/>
                <w:sz w:val="26"/>
              </w:rPr>
              <w:t xml:space="preserve"> Administrative Cost</w:t>
            </w:r>
            <w:r w:rsidRPr="000B07EB">
              <w:rPr>
                <w:rStyle w:val="FootnoteReference"/>
                <w:rFonts w:ascii="Times New Roman" w:hAnsi="Times New Roman"/>
                <w:sz w:val="26"/>
                <w:vertAlign w:val="superscript"/>
              </w:rPr>
              <w:footnoteReference w:id="17"/>
            </w:r>
          </w:p>
        </w:tc>
        <w:tc>
          <w:tcPr>
            <w:tcW w:w="1627" w:type="pct"/>
            <w:shd w:val="clear" w:color="auto" w:fill="D9D9D9"/>
            <w:vAlign w:val="center"/>
          </w:tcPr>
          <w:p w14:paraId="0D252DBD" w14:textId="77777777" w:rsidR="00877886" w:rsidRPr="000B07EB" w:rsidRDefault="00877886" w:rsidP="00B63FD9">
            <w:pPr>
              <w:pStyle w:val="ListParagraph"/>
              <w:spacing w:after="0" w:line="240" w:lineRule="auto"/>
              <w:ind w:left="0"/>
              <w:jc w:val="right"/>
              <w:rPr>
                <w:rFonts w:ascii="Times New Roman" w:hAnsi="Times New Roman"/>
                <w:b/>
                <w:sz w:val="26"/>
              </w:rPr>
            </w:pPr>
          </w:p>
        </w:tc>
        <w:tc>
          <w:tcPr>
            <w:tcW w:w="1617" w:type="pct"/>
            <w:shd w:val="clear" w:color="auto" w:fill="auto"/>
            <w:vAlign w:val="center"/>
          </w:tcPr>
          <w:p w14:paraId="665875FD" w14:textId="77777777" w:rsidR="00877886" w:rsidRPr="000B07EB" w:rsidRDefault="00877886" w:rsidP="00B63FD9">
            <w:pPr>
              <w:pStyle w:val="ListParagraph"/>
              <w:spacing w:after="0" w:line="240" w:lineRule="auto"/>
              <w:ind w:left="0"/>
              <w:jc w:val="right"/>
              <w:rPr>
                <w:rFonts w:ascii="Times New Roman" w:hAnsi="Times New Roman"/>
                <w:sz w:val="26"/>
              </w:rPr>
            </w:pPr>
            <w:r w:rsidRPr="000B07EB">
              <w:rPr>
                <w:rFonts w:ascii="Times New Roman" w:hAnsi="Times New Roman"/>
                <w:sz w:val="26"/>
              </w:rPr>
              <w:t>$5,481</w:t>
            </w:r>
          </w:p>
        </w:tc>
      </w:tr>
      <w:tr w:rsidR="00877886" w:rsidRPr="007576AF" w14:paraId="51AC52BE" w14:textId="77777777" w:rsidTr="00B63FD9">
        <w:tc>
          <w:tcPr>
            <w:tcW w:w="1756" w:type="pct"/>
            <w:shd w:val="clear" w:color="auto" w:fill="auto"/>
            <w:vAlign w:val="center"/>
          </w:tcPr>
          <w:p w14:paraId="7B753F01" w14:textId="77777777" w:rsidR="00877886" w:rsidRPr="000B07EB" w:rsidRDefault="00877886" w:rsidP="00B63FD9">
            <w:pPr>
              <w:pStyle w:val="ListParagraph"/>
              <w:spacing w:after="0" w:line="240" w:lineRule="auto"/>
              <w:ind w:left="0"/>
              <w:rPr>
                <w:rFonts w:ascii="Times New Roman" w:hAnsi="Times New Roman"/>
                <w:sz w:val="26"/>
              </w:rPr>
            </w:pPr>
            <w:r w:rsidRPr="000B07EB">
              <w:rPr>
                <w:rFonts w:ascii="Times New Roman" w:hAnsi="Times New Roman"/>
                <w:sz w:val="26"/>
              </w:rPr>
              <w:t>FERC Total</w:t>
            </w:r>
          </w:p>
        </w:tc>
        <w:tc>
          <w:tcPr>
            <w:tcW w:w="1627" w:type="pct"/>
            <w:shd w:val="clear" w:color="auto" w:fill="D9D9D9"/>
            <w:vAlign w:val="center"/>
          </w:tcPr>
          <w:p w14:paraId="5BFEFD20" w14:textId="77777777" w:rsidR="00877886" w:rsidRPr="000B07EB" w:rsidRDefault="00877886" w:rsidP="00B63FD9">
            <w:pPr>
              <w:pStyle w:val="ListParagraph"/>
              <w:spacing w:after="0" w:line="240" w:lineRule="auto"/>
              <w:ind w:left="0"/>
              <w:jc w:val="right"/>
              <w:rPr>
                <w:rFonts w:ascii="Times New Roman" w:hAnsi="Times New Roman"/>
                <w:b/>
                <w:sz w:val="26"/>
              </w:rPr>
            </w:pPr>
          </w:p>
        </w:tc>
        <w:tc>
          <w:tcPr>
            <w:tcW w:w="1617" w:type="pct"/>
            <w:shd w:val="clear" w:color="auto" w:fill="auto"/>
            <w:vAlign w:val="center"/>
          </w:tcPr>
          <w:p w14:paraId="6041A6E4" w14:textId="77777777" w:rsidR="00877886" w:rsidRPr="000B07EB" w:rsidRDefault="00877886" w:rsidP="0002313D">
            <w:pPr>
              <w:pStyle w:val="ListParagraph"/>
              <w:spacing w:after="0" w:line="240" w:lineRule="auto"/>
              <w:ind w:left="0"/>
              <w:jc w:val="right"/>
              <w:rPr>
                <w:rFonts w:ascii="Times New Roman" w:hAnsi="Times New Roman"/>
                <w:sz w:val="26"/>
              </w:rPr>
            </w:pPr>
            <w:r w:rsidRPr="000B07EB">
              <w:rPr>
                <w:rFonts w:ascii="Times New Roman" w:hAnsi="Times New Roman"/>
                <w:sz w:val="26"/>
              </w:rPr>
              <w:t>$</w:t>
            </w:r>
            <w:r w:rsidR="0002313D" w:rsidRPr="000B07EB">
              <w:rPr>
                <w:rFonts w:ascii="Times New Roman" w:hAnsi="Times New Roman"/>
                <w:sz w:val="26"/>
              </w:rPr>
              <w:t>44,143</w:t>
            </w:r>
          </w:p>
        </w:tc>
      </w:tr>
    </w:tbl>
    <w:p w14:paraId="5AEF1BAA" w14:textId="77777777" w:rsidR="00877886" w:rsidRPr="000B07EB" w:rsidRDefault="00877886" w:rsidP="00877886">
      <w:pPr>
        <w:pStyle w:val="ListParagraph"/>
        <w:spacing w:after="0" w:line="240" w:lineRule="auto"/>
        <w:rPr>
          <w:rFonts w:ascii="Times New Roman" w:hAnsi="Times New Roman"/>
          <w:b/>
          <w:sz w:val="26"/>
        </w:rPr>
      </w:pPr>
    </w:p>
    <w:p w14:paraId="22051E07" w14:textId="77777777" w:rsidR="00877886" w:rsidRPr="007576AF" w:rsidRDefault="00877886" w:rsidP="00877886">
      <w:pPr>
        <w:rPr>
          <w:sz w:val="26"/>
          <w:szCs w:val="26"/>
        </w:rPr>
      </w:pPr>
      <w:r w:rsidRPr="007576AF">
        <w:rPr>
          <w:sz w:val="26"/>
          <w:szCs w:val="26"/>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395DC125" w14:textId="77777777" w:rsidR="00877886" w:rsidRPr="007576AF" w:rsidRDefault="00877886" w:rsidP="00877886">
      <w:pPr>
        <w:pStyle w:val="FERCparanumber"/>
        <w:numPr>
          <w:ilvl w:val="0"/>
          <w:numId w:val="0"/>
        </w:numPr>
        <w:rPr>
          <w:b/>
          <w:szCs w:val="26"/>
        </w:rPr>
      </w:pPr>
    </w:p>
    <w:p w14:paraId="5CC770AC" w14:textId="77777777" w:rsidR="00877886" w:rsidRPr="007576AF" w:rsidRDefault="00877886" w:rsidP="00877886">
      <w:pPr>
        <w:pStyle w:val="FERCparanumber"/>
        <w:numPr>
          <w:ilvl w:val="0"/>
          <w:numId w:val="2"/>
        </w:numPr>
        <w:rPr>
          <w:b/>
          <w:szCs w:val="26"/>
        </w:rPr>
      </w:pPr>
      <w:r w:rsidRPr="007576AF">
        <w:rPr>
          <w:b/>
          <w:szCs w:val="26"/>
        </w:rPr>
        <w:t>REASONS FOR CHANGES IN BURDEN INCLUDING THE NEED FOR ANY INCREASE</w:t>
      </w:r>
    </w:p>
    <w:p w14:paraId="6A3A5438" w14:textId="77777777" w:rsidR="00877886" w:rsidRPr="007576AF" w:rsidRDefault="00877886" w:rsidP="00877886">
      <w:pPr>
        <w:rPr>
          <w:sz w:val="26"/>
          <w:szCs w:val="26"/>
        </w:rPr>
      </w:pPr>
    </w:p>
    <w:p w14:paraId="2CDA1B0C" w14:textId="098C146C" w:rsidR="001A195E" w:rsidRPr="007576AF" w:rsidRDefault="007B4EA7" w:rsidP="001A195E">
      <w:pPr>
        <w:rPr>
          <w:sz w:val="26"/>
          <w:szCs w:val="26"/>
        </w:rPr>
      </w:pPr>
      <w:r w:rsidRPr="007576AF">
        <w:rPr>
          <w:sz w:val="26"/>
          <w:szCs w:val="26"/>
        </w:rPr>
        <w:t>The RM17-2-000 NOPR is imposing a one-time burden increase on RTOs/ISOs due to one-time revisions</w:t>
      </w:r>
      <w:r w:rsidR="001A195E" w:rsidRPr="007576AF">
        <w:rPr>
          <w:sz w:val="26"/>
          <w:szCs w:val="26"/>
        </w:rPr>
        <w:t xml:space="preserve"> requiring that</w:t>
      </w:r>
      <w:r w:rsidRPr="007576AF">
        <w:rPr>
          <w:sz w:val="26"/>
          <w:szCs w:val="26"/>
        </w:rPr>
        <w:t xml:space="preserve"> </w:t>
      </w:r>
      <w:r w:rsidR="001A195E" w:rsidRPr="007576AF">
        <w:rPr>
          <w:sz w:val="26"/>
          <w:szCs w:val="26"/>
        </w:rPr>
        <w:t>each RTO/ISO:</w:t>
      </w:r>
    </w:p>
    <w:p w14:paraId="464C7845" w14:textId="77777777" w:rsidR="001A195E" w:rsidRPr="007576AF" w:rsidRDefault="001A195E" w:rsidP="001A195E">
      <w:pPr>
        <w:numPr>
          <w:ilvl w:val="0"/>
          <w:numId w:val="6"/>
        </w:numPr>
        <w:rPr>
          <w:sz w:val="26"/>
          <w:szCs w:val="26"/>
        </w:rPr>
      </w:pPr>
      <w:r w:rsidRPr="007576AF">
        <w:rPr>
          <w:sz w:val="26"/>
          <w:szCs w:val="26"/>
        </w:rPr>
        <w:t>Report total uplift payments for each transmission zone on a monthly basis, broken out by day and uplift category;</w:t>
      </w:r>
    </w:p>
    <w:p w14:paraId="7EAED1E5" w14:textId="77777777" w:rsidR="001A195E" w:rsidRPr="007576AF" w:rsidRDefault="001A195E" w:rsidP="001A195E">
      <w:pPr>
        <w:numPr>
          <w:ilvl w:val="0"/>
          <w:numId w:val="6"/>
        </w:numPr>
        <w:rPr>
          <w:sz w:val="26"/>
          <w:szCs w:val="26"/>
        </w:rPr>
      </w:pPr>
      <w:r w:rsidRPr="007576AF">
        <w:rPr>
          <w:sz w:val="26"/>
          <w:szCs w:val="26"/>
        </w:rPr>
        <w:t>Report total uplift payments for each resources on a monthly basis;</w:t>
      </w:r>
    </w:p>
    <w:p w14:paraId="1FEEF47A" w14:textId="18CA95ED" w:rsidR="001A195E" w:rsidRPr="007576AF" w:rsidRDefault="001A195E" w:rsidP="001A195E">
      <w:pPr>
        <w:numPr>
          <w:ilvl w:val="0"/>
          <w:numId w:val="6"/>
        </w:numPr>
        <w:rPr>
          <w:sz w:val="26"/>
          <w:szCs w:val="26"/>
        </w:rPr>
      </w:pPr>
      <w:r w:rsidRPr="007576AF">
        <w:rPr>
          <w:sz w:val="26"/>
          <w:szCs w:val="26"/>
        </w:rPr>
        <w:t>Report the megawatts of operator-initiated commitments in or near real-time and after the close of the day-ahead market (broken out by zone and commitment reason); and</w:t>
      </w:r>
    </w:p>
    <w:p w14:paraId="1FA2BF12" w14:textId="04F07BD0" w:rsidR="001A195E" w:rsidRPr="007576AF" w:rsidRDefault="001A195E" w:rsidP="001A195E">
      <w:pPr>
        <w:numPr>
          <w:ilvl w:val="0"/>
          <w:numId w:val="6"/>
        </w:numPr>
        <w:rPr>
          <w:sz w:val="26"/>
          <w:szCs w:val="26"/>
        </w:rPr>
      </w:pPr>
      <w:r w:rsidRPr="007576AF">
        <w:rPr>
          <w:sz w:val="26"/>
          <w:szCs w:val="26"/>
        </w:rPr>
        <w:t>List in its tariff the transmission penalty factors, the circumstances under which they can set LMPs, and the procedure by which they can be temporarily changed.</w:t>
      </w:r>
    </w:p>
    <w:p w14:paraId="7E2A6701" w14:textId="77777777" w:rsidR="001A195E" w:rsidRPr="007576AF" w:rsidRDefault="001A195E" w:rsidP="001A195E">
      <w:pPr>
        <w:rPr>
          <w:sz w:val="26"/>
          <w:szCs w:val="26"/>
        </w:rPr>
      </w:pPr>
    </w:p>
    <w:p w14:paraId="3BBE8055" w14:textId="21D37CC6" w:rsidR="001A195E" w:rsidRPr="007576AF" w:rsidRDefault="001A195E" w:rsidP="001A195E">
      <w:pPr>
        <w:rPr>
          <w:sz w:val="26"/>
          <w:szCs w:val="26"/>
        </w:rPr>
      </w:pPr>
      <w:r w:rsidRPr="007576AF">
        <w:rPr>
          <w:sz w:val="26"/>
          <w:szCs w:val="26"/>
        </w:rPr>
        <w:t>The one-time burden in RM17-2-000 regards changes to reports posted on publically accessible websites and tariffs filed by each of the RTOs/ISOs.  Once these changes are in place (past Year 1), the requirements in RM17-2-000 will impose no significant ongoing burden upon RTOs/ISOs.</w:t>
      </w:r>
    </w:p>
    <w:p w14:paraId="3E25675B" w14:textId="77777777" w:rsidR="00877886" w:rsidRPr="007576AF" w:rsidRDefault="00877886" w:rsidP="00877886">
      <w:pPr>
        <w:pStyle w:val="FERCparanumber"/>
        <w:numPr>
          <w:ilvl w:val="0"/>
          <w:numId w:val="0"/>
        </w:numPr>
        <w:rPr>
          <w:b/>
          <w:szCs w:val="26"/>
        </w:rPr>
      </w:pPr>
    </w:p>
    <w:p w14:paraId="227A22C2" w14:textId="06064966" w:rsidR="003922F8" w:rsidRPr="007576AF" w:rsidRDefault="003922F8" w:rsidP="00877886">
      <w:pPr>
        <w:pStyle w:val="FERCparanumber"/>
        <w:numPr>
          <w:ilvl w:val="0"/>
          <w:numId w:val="0"/>
        </w:numPr>
        <w:rPr>
          <w:szCs w:val="26"/>
        </w:rPr>
      </w:pPr>
      <w:r w:rsidRPr="007576AF">
        <w:rPr>
          <w:szCs w:val="26"/>
        </w:rPr>
        <w:t>For the purposes of ROCIS and reginfo.gov, we are averaging the number of responses and burden hours over Years 1-3 in the table below; the one-time implementation burden will be removed after Year 3.</w:t>
      </w:r>
    </w:p>
    <w:p w14:paraId="3BFAEFC4" w14:textId="77777777" w:rsidR="00877886" w:rsidRPr="007576AF" w:rsidRDefault="00877886" w:rsidP="00877886">
      <w:pPr>
        <w:widowControl/>
        <w:tabs>
          <w:tab w:val="left" w:pos="2394"/>
        </w:tabs>
        <w:rPr>
          <w:sz w:val="26"/>
          <w:szCs w:val="26"/>
        </w:rPr>
      </w:pPr>
      <w:r w:rsidRPr="007576AF">
        <w:rPr>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588"/>
        <w:gridCol w:w="1636"/>
        <w:gridCol w:w="1934"/>
        <w:gridCol w:w="1657"/>
      </w:tblGrid>
      <w:tr w:rsidR="00877886" w:rsidRPr="007576AF" w14:paraId="21BF5DED" w14:textId="77777777" w:rsidTr="00B63FD9">
        <w:trPr>
          <w:trHeight w:val="870"/>
        </w:trPr>
        <w:tc>
          <w:tcPr>
            <w:tcW w:w="1442" w:type="pct"/>
            <w:shd w:val="clear" w:color="auto" w:fill="D9D9D9"/>
            <w:vAlign w:val="bottom"/>
          </w:tcPr>
          <w:p w14:paraId="24CD06A6" w14:textId="7D329869" w:rsidR="00877886" w:rsidRPr="007576AF" w:rsidRDefault="001A195E" w:rsidP="00B63FD9">
            <w:pPr>
              <w:jc w:val="center"/>
              <w:rPr>
                <w:b/>
                <w:sz w:val="26"/>
                <w:szCs w:val="26"/>
              </w:rPr>
            </w:pPr>
            <w:r w:rsidRPr="007576AF">
              <w:rPr>
                <w:b/>
                <w:sz w:val="26"/>
                <w:szCs w:val="26"/>
              </w:rPr>
              <w:t>FERC-516G</w:t>
            </w:r>
          </w:p>
        </w:tc>
        <w:tc>
          <w:tcPr>
            <w:tcW w:w="829" w:type="pct"/>
            <w:shd w:val="clear" w:color="auto" w:fill="D9D9D9"/>
            <w:vAlign w:val="bottom"/>
          </w:tcPr>
          <w:p w14:paraId="6884DCFA" w14:textId="77777777" w:rsidR="00877886" w:rsidRPr="007576AF" w:rsidRDefault="00877886" w:rsidP="00B63FD9">
            <w:pPr>
              <w:jc w:val="center"/>
              <w:rPr>
                <w:b/>
                <w:sz w:val="26"/>
                <w:szCs w:val="26"/>
              </w:rPr>
            </w:pPr>
            <w:r w:rsidRPr="007576AF">
              <w:rPr>
                <w:b/>
                <w:sz w:val="26"/>
                <w:szCs w:val="26"/>
              </w:rPr>
              <w:t>Total Request</w:t>
            </w:r>
          </w:p>
        </w:tc>
        <w:tc>
          <w:tcPr>
            <w:tcW w:w="854" w:type="pct"/>
            <w:shd w:val="clear" w:color="auto" w:fill="D9D9D9"/>
            <w:vAlign w:val="bottom"/>
          </w:tcPr>
          <w:p w14:paraId="4C1E5862" w14:textId="77777777" w:rsidR="00877886" w:rsidRPr="007576AF" w:rsidRDefault="00877886" w:rsidP="00B63FD9">
            <w:pPr>
              <w:jc w:val="center"/>
              <w:rPr>
                <w:b/>
                <w:sz w:val="26"/>
                <w:szCs w:val="26"/>
              </w:rPr>
            </w:pPr>
            <w:r w:rsidRPr="007576AF">
              <w:rPr>
                <w:b/>
                <w:sz w:val="26"/>
                <w:szCs w:val="26"/>
              </w:rPr>
              <w:t>Previously Approved</w:t>
            </w:r>
          </w:p>
        </w:tc>
        <w:tc>
          <w:tcPr>
            <w:tcW w:w="1010" w:type="pct"/>
            <w:shd w:val="clear" w:color="auto" w:fill="D9D9D9"/>
            <w:vAlign w:val="bottom"/>
          </w:tcPr>
          <w:p w14:paraId="43318137" w14:textId="77777777" w:rsidR="00877886" w:rsidRPr="007576AF" w:rsidRDefault="00877886" w:rsidP="00B63FD9">
            <w:pPr>
              <w:jc w:val="center"/>
              <w:rPr>
                <w:b/>
                <w:sz w:val="26"/>
                <w:szCs w:val="26"/>
              </w:rPr>
            </w:pPr>
            <w:r w:rsidRPr="007576AF">
              <w:rPr>
                <w:b/>
                <w:sz w:val="26"/>
                <w:szCs w:val="26"/>
              </w:rPr>
              <w:t xml:space="preserve">Change due to Adjustment in </w:t>
            </w:r>
            <w:r w:rsidR="00FB41AB" w:rsidRPr="007576AF">
              <w:rPr>
                <w:b/>
                <w:sz w:val="26"/>
                <w:szCs w:val="26"/>
              </w:rPr>
              <w:t xml:space="preserve">Agency </w:t>
            </w:r>
            <w:r w:rsidRPr="007576AF">
              <w:rPr>
                <w:b/>
                <w:sz w:val="26"/>
                <w:szCs w:val="26"/>
              </w:rPr>
              <w:t>Estimate</w:t>
            </w:r>
          </w:p>
        </w:tc>
        <w:tc>
          <w:tcPr>
            <w:tcW w:w="865" w:type="pct"/>
            <w:shd w:val="clear" w:color="auto" w:fill="D9D9D9"/>
            <w:vAlign w:val="bottom"/>
          </w:tcPr>
          <w:p w14:paraId="5D36FE1C" w14:textId="77777777" w:rsidR="00877886" w:rsidRPr="007576AF" w:rsidRDefault="00FB41AB" w:rsidP="00B63FD9">
            <w:pPr>
              <w:jc w:val="center"/>
              <w:rPr>
                <w:b/>
                <w:sz w:val="26"/>
                <w:szCs w:val="26"/>
              </w:rPr>
            </w:pPr>
            <w:r w:rsidRPr="007576AF">
              <w:rPr>
                <w:b/>
                <w:sz w:val="26"/>
                <w:szCs w:val="26"/>
              </w:rPr>
              <w:t xml:space="preserve">Program </w:t>
            </w:r>
            <w:r w:rsidR="00877886" w:rsidRPr="007576AF">
              <w:rPr>
                <w:b/>
                <w:sz w:val="26"/>
                <w:szCs w:val="26"/>
              </w:rPr>
              <w:t>Change Due to Agency Discretion</w:t>
            </w:r>
          </w:p>
        </w:tc>
      </w:tr>
      <w:tr w:rsidR="00877886" w:rsidRPr="007576AF" w14:paraId="5B96D319" w14:textId="77777777" w:rsidTr="00B63FD9">
        <w:trPr>
          <w:trHeight w:val="591"/>
        </w:trPr>
        <w:tc>
          <w:tcPr>
            <w:tcW w:w="1442" w:type="pct"/>
            <w:shd w:val="clear" w:color="auto" w:fill="auto"/>
          </w:tcPr>
          <w:p w14:paraId="45831A33" w14:textId="77777777" w:rsidR="00877886" w:rsidRPr="007576AF" w:rsidRDefault="00877886" w:rsidP="00B63FD9">
            <w:pPr>
              <w:jc w:val="center"/>
              <w:rPr>
                <w:sz w:val="26"/>
                <w:szCs w:val="26"/>
              </w:rPr>
            </w:pPr>
            <w:r w:rsidRPr="007576AF">
              <w:rPr>
                <w:sz w:val="26"/>
                <w:szCs w:val="26"/>
              </w:rPr>
              <w:t>Annual Number of Responses</w:t>
            </w:r>
          </w:p>
        </w:tc>
        <w:tc>
          <w:tcPr>
            <w:tcW w:w="829" w:type="pct"/>
            <w:shd w:val="clear" w:color="auto" w:fill="auto"/>
            <w:vAlign w:val="center"/>
          </w:tcPr>
          <w:p w14:paraId="5190ECD8" w14:textId="3A864B8E" w:rsidR="00877886" w:rsidRPr="007576AF" w:rsidRDefault="007B4EA7" w:rsidP="007B4EA7">
            <w:pPr>
              <w:jc w:val="right"/>
              <w:rPr>
                <w:sz w:val="26"/>
                <w:szCs w:val="26"/>
              </w:rPr>
            </w:pPr>
            <w:r w:rsidRPr="007576AF">
              <w:rPr>
                <w:sz w:val="26"/>
                <w:szCs w:val="26"/>
              </w:rPr>
              <w:t>6</w:t>
            </w:r>
          </w:p>
        </w:tc>
        <w:tc>
          <w:tcPr>
            <w:tcW w:w="854" w:type="pct"/>
            <w:shd w:val="clear" w:color="auto" w:fill="auto"/>
            <w:vAlign w:val="center"/>
          </w:tcPr>
          <w:p w14:paraId="3FDAFDE6" w14:textId="77777777" w:rsidR="00877886" w:rsidRPr="007576AF" w:rsidRDefault="00767152" w:rsidP="00B63FD9">
            <w:pPr>
              <w:jc w:val="right"/>
              <w:rPr>
                <w:sz w:val="26"/>
                <w:szCs w:val="26"/>
              </w:rPr>
            </w:pPr>
            <w:r w:rsidRPr="007576AF">
              <w:rPr>
                <w:sz w:val="26"/>
                <w:szCs w:val="26"/>
              </w:rPr>
              <w:t>0</w:t>
            </w:r>
          </w:p>
        </w:tc>
        <w:tc>
          <w:tcPr>
            <w:tcW w:w="1010" w:type="pct"/>
            <w:shd w:val="clear" w:color="auto" w:fill="auto"/>
            <w:vAlign w:val="center"/>
          </w:tcPr>
          <w:p w14:paraId="4F4B3BD1" w14:textId="77777777" w:rsidR="00877886" w:rsidRPr="007576AF" w:rsidRDefault="00397280" w:rsidP="00B63FD9">
            <w:pPr>
              <w:jc w:val="right"/>
              <w:rPr>
                <w:sz w:val="26"/>
                <w:szCs w:val="26"/>
              </w:rPr>
            </w:pPr>
            <w:r w:rsidRPr="007576AF">
              <w:rPr>
                <w:sz w:val="26"/>
                <w:szCs w:val="26"/>
              </w:rPr>
              <w:t>0</w:t>
            </w:r>
          </w:p>
        </w:tc>
        <w:tc>
          <w:tcPr>
            <w:tcW w:w="865" w:type="pct"/>
            <w:shd w:val="clear" w:color="auto" w:fill="auto"/>
            <w:vAlign w:val="center"/>
          </w:tcPr>
          <w:p w14:paraId="1442A3E9" w14:textId="14C60C72" w:rsidR="00877886" w:rsidRPr="007576AF" w:rsidRDefault="007B4EA7" w:rsidP="00B63FD9">
            <w:pPr>
              <w:jc w:val="right"/>
              <w:rPr>
                <w:sz w:val="26"/>
                <w:szCs w:val="26"/>
              </w:rPr>
            </w:pPr>
            <w:r w:rsidRPr="007576AF">
              <w:rPr>
                <w:sz w:val="26"/>
                <w:szCs w:val="26"/>
              </w:rPr>
              <w:t>6</w:t>
            </w:r>
          </w:p>
        </w:tc>
      </w:tr>
      <w:tr w:rsidR="00877886" w:rsidRPr="007576AF" w14:paraId="1CA1C42E" w14:textId="77777777" w:rsidTr="00B63FD9">
        <w:trPr>
          <w:trHeight w:val="575"/>
        </w:trPr>
        <w:tc>
          <w:tcPr>
            <w:tcW w:w="1442" w:type="pct"/>
            <w:shd w:val="clear" w:color="auto" w:fill="auto"/>
          </w:tcPr>
          <w:p w14:paraId="442D3B6D" w14:textId="77777777" w:rsidR="00877886" w:rsidRPr="007576AF" w:rsidRDefault="00877886" w:rsidP="00B63FD9">
            <w:pPr>
              <w:jc w:val="center"/>
              <w:rPr>
                <w:sz w:val="26"/>
                <w:szCs w:val="26"/>
              </w:rPr>
            </w:pPr>
            <w:r w:rsidRPr="007576AF">
              <w:rPr>
                <w:sz w:val="26"/>
                <w:szCs w:val="26"/>
              </w:rPr>
              <w:t>Annual Time Burden (Hours)</w:t>
            </w:r>
          </w:p>
        </w:tc>
        <w:tc>
          <w:tcPr>
            <w:tcW w:w="829" w:type="pct"/>
            <w:shd w:val="clear" w:color="auto" w:fill="auto"/>
            <w:vAlign w:val="center"/>
          </w:tcPr>
          <w:p w14:paraId="164D9A2B" w14:textId="5D0A3BED" w:rsidR="00877886" w:rsidRPr="007576AF" w:rsidRDefault="007B4EA7" w:rsidP="007B4EA7">
            <w:pPr>
              <w:jc w:val="right"/>
              <w:rPr>
                <w:sz w:val="26"/>
                <w:szCs w:val="26"/>
              </w:rPr>
            </w:pPr>
            <w:r w:rsidRPr="007576AF">
              <w:rPr>
                <w:sz w:val="26"/>
                <w:szCs w:val="26"/>
              </w:rPr>
              <w:t>2,000</w:t>
            </w:r>
          </w:p>
        </w:tc>
        <w:tc>
          <w:tcPr>
            <w:tcW w:w="854" w:type="pct"/>
            <w:shd w:val="clear" w:color="auto" w:fill="auto"/>
            <w:vAlign w:val="center"/>
          </w:tcPr>
          <w:p w14:paraId="3A2027BB" w14:textId="77777777" w:rsidR="00877886" w:rsidRPr="007576AF" w:rsidRDefault="00767152" w:rsidP="00B63FD9">
            <w:pPr>
              <w:jc w:val="right"/>
              <w:rPr>
                <w:sz w:val="26"/>
                <w:szCs w:val="26"/>
              </w:rPr>
            </w:pPr>
            <w:r w:rsidRPr="007576AF">
              <w:rPr>
                <w:sz w:val="26"/>
                <w:szCs w:val="26"/>
              </w:rPr>
              <w:t>0</w:t>
            </w:r>
          </w:p>
        </w:tc>
        <w:tc>
          <w:tcPr>
            <w:tcW w:w="1010" w:type="pct"/>
            <w:shd w:val="clear" w:color="auto" w:fill="auto"/>
            <w:vAlign w:val="center"/>
          </w:tcPr>
          <w:p w14:paraId="7EA10F0A" w14:textId="77777777" w:rsidR="00877886" w:rsidRPr="007576AF" w:rsidRDefault="00397280" w:rsidP="00B63FD9">
            <w:pPr>
              <w:jc w:val="right"/>
              <w:rPr>
                <w:sz w:val="26"/>
                <w:szCs w:val="26"/>
              </w:rPr>
            </w:pPr>
            <w:r w:rsidRPr="007576AF">
              <w:rPr>
                <w:sz w:val="26"/>
                <w:szCs w:val="26"/>
              </w:rPr>
              <w:t>0</w:t>
            </w:r>
          </w:p>
        </w:tc>
        <w:tc>
          <w:tcPr>
            <w:tcW w:w="865" w:type="pct"/>
            <w:shd w:val="clear" w:color="auto" w:fill="auto"/>
            <w:vAlign w:val="center"/>
          </w:tcPr>
          <w:p w14:paraId="03CAF83C" w14:textId="3DD7B480" w:rsidR="00877886" w:rsidRPr="007576AF" w:rsidRDefault="007B4EA7" w:rsidP="00B63FD9">
            <w:pPr>
              <w:jc w:val="right"/>
              <w:rPr>
                <w:sz w:val="26"/>
                <w:szCs w:val="26"/>
              </w:rPr>
            </w:pPr>
            <w:r w:rsidRPr="007576AF">
              <w:rPr>
                <w:sz w:val="26"/>
                <w:szCs w:val="26"/>
              </w:rPr>
              <w:t>2,000</w:t>
            </w:r>
          </w:p>
        </w:tc>
      </w:tr>
      <w:tr w:rsidR="00877886" w:rsidRPr="007576AF" w14:paraId="14BCC1BB" w14:textId="77777777" w:rsidTr="00B63FD9">
        <w:trPr>
          <w:trHeight w:val="295"/>
        </w:trPr>
        <w:tc>
          <w:tcPr>
            <w:tcW w:w="1442" w:type="pct"/>
            <w:tcBorders>
              <w:bottom w:val="single" w:sz="4" w:space="0" w:color="auto"/>
            </w:tcBorders>
            <w:shd w:val="clear" w:color="auto" w:fill="auto"/>
          </w:tcPr>
          <w:p w14:paraId="04EFDCE6" w14:textId="77777777" w:rsidR="00877886" w:rsidRPr="007576AF" w:rsidRDefault="00877886" w:rsidP="00B63FD9">
            <w:pPr>
              <w:jc w:val="center"/>
              <w:rPr>
                <w:sz w:val="26"/>
                <w:szCs w:val="26"/>
              </w:rPr>
            </w:pPr>
            <w:r w:rsidRPr="007576AF">
              <w:rPr>
                <w:sz w:val="26"/>
                <w:szCs w:val="26"/>
              </w:rPr>
              <w:t>Annual Cost Burden ($)</w:t>
            </w:r>
          </w:p>
        </w:tc>
        <w:tc>
          <w:tcPr>
            <w:tcW w:w="829" w:type="pct"/>
            <w:tcBorders>
              <w:bottom w:val="single" w:sz="4" w:space="0" w:color="auto"/>
            </w:tcBorders>
            <w:shd w:val="clear" w:color="auto" w:fill="auto"/>
            <w:vAlign w:val="center"/>
          </w:tcPr>
          <w:p w14:paraId="00FA2246" w14:textId="77777777" w:rsidR="00877886" w:rsidRPr="007576AF" w:rsidRDefault="00877886" w:rsidP="00B63FD9">
            <w:pPr>
              <w:jc w:val="right"/>
              <w:rPr>
                <w:sz w:val="26"/>
                <w:szCs w:val="26"/>
              </w:rPr>
            </w:pPr>
            <w:r w:rsidRPr="007576AF">
              <w:rPr>
                <w:sz w:val="26"/>
                <w:szCs w:val="26"/>
              </w:rPr>
              <w:t>$0</w:t>
            </w:r>
          </w:p>
        </w:tc>
        <w:tc>
          <w:tcPr>
            <w:tcW w:w="854" w:type="pct"/>
            <w:tcBorders>
              <w:bottom w:val="single" w:sz="4" w:space="0" w:color="auto"/>
            </w:tcBorders>
            <w:shd w:val="clear" w:color="auto" w:fill="auto"/>
            <w:vAlign w:val="center"/>
          </w:tcPr>
          <w:p w14:paraId="17018C2F" w14:textId="77777777" w:rsidR="00877886" w:rsidRPr="007576AF" w:rsidRDefault="00877886" w:rsidP="00B63FD9">
            <w:pPr>
              <w:jc w:val="right"/>
              <w:rPr>
                <w:sz w:val="26"/>
                <w:szCs w:val="26"/>
              </w:rPr>
            </w:pPr>
            <w:r w:rsidRPr="007576AF">
              <w:rPr>
                <w:sz w:val="26"/>
                <w:szCs w:val="26"/>
              </w:rPr>
              <w:t>$0</w:t>
            </w:r>
          </w:p>
        </w:tc>
        <w:tc>
          <w:tcPr>
            <w:tcW w:w="1010" w:type="pct"/>
            <w:tcBorders>
              <w:bottom w:val="single" w:sz="4" w:space="0" w:color="auto"/>
            </w:tcBorders>
            <w:shd w:val="clear" w:color="auto" w:fill="auto"/>
            <w:vAlign w:val="center"/>
          </w:tcPr>
          <w:p w14:paraId="316B95C2" w14:textId="77777777" w:rsidR="00877886" w:rsidRPr="007576AF" w:rsidRDefault="00877886" w:rsidP="00B63FD9">
            <w:pPr>
              <w:jc w:val="right"/>
              <w:rPr>
                <w:sz w:val="26"/>
                <w:szCs w:val="26"/>
              </w:rPr>
            </w:pPr>
            <w:r w:rsidRPr="007576AF">
              <w:rPr>
                <w:sz w:val="26"/>
                <w:szCs w:val="26"/>
              </w:rPr>
              <w:t>$0</w:t>
            </w:r>
          </w:p>
        </w:tc>
        <w:tc>
          <w:tcPr>
            <w:tcW w:w="865" w:type="pct"/>
            <w:tcBorders>
              <w:bottom w:val="single" w:sz="4" w:space="0" w:color="auto"/>
            </w:tcBorders>
            <w:shd w:val="clear" w:color="auto" w:fill="auto"/>
            <w:vAlign w:val="center"/>
          </w:tcPr>
          <w:p w14:paraId="075CF8AD" w14:textId="77777777" w:rsidR="00877886" w:rsidRPr="007576AF" w:rsidRDefault="00877886" w:rsidP="00B63FD9">
            <w:pPr>
              <w:jc w:val="right"/>
              <w:rPr>
                <w:sz w:val="26"/>
                <w:szCs w:val="26"/>
              </w:rPr>
            </w:pPr>
            <w:r w:rsidRPr="007576AF">
              <w:rPr>
                <w:sz w:val="26"/>
                <w:szCs w:val="26"/>
              </w:rPr>
              <w:t>$0</w:t>
            </w:r>
          </w:p>
        </w:tc>
      </w:tr>
    </w:tbl>
    <w:p w14:paraId="2860D998" w14:textId="77777777" w:rsidR="00877886" w:rsidRPr="007576AF" w:rsidRDefault="00877886" w:rsidP="00877886">
      <w:pPr>
        <w:widowControl/>
        <w:rPr>
          <w:b/>
          <w:sz w:val="26"/>
          <w:szCs w:val="26"/>
        </w:rPr>
      </w:pPr>
    </w:p>
    <w:p w14:paraId="26887652" w14:textId="77777777" w:rsidR="00877886" w:rsidRPr="007576AF" w:rsidRDefault="00877886" w:rsidP="00877886">
      <w:pPr>
        <w:pStyle w:val="FERCparanumber"/>
        <w:numPr>
          <w:ilvl w:val="0"/>
          <w:numId w:val="2"/>
        </w:numPr>
        <w:rPr>
          <w:b/>
          <w:szCs w:val="26"/>
        </w:rPr>
      </w:pPr>
      <w:r w:rsidRPr="007576AF">
        <w:rPr>
          <w:b/>
          <w:szCs w:val="26"/>
        </w:rPr>
        <w:t>TIME SCHEDULE FOR PUBLICATION OF DATA</w:t>
      </w:r>
    </w:p>
    <w:p w14:paraId="5C2FFEAB" w14:textId="77777777" w:rsidR="00877886" w:rsidRPr="007576AF" w:rsidRDefault="00877886" w:rsidP="00877886">
      <w:pPr>
        <w:pStyle w:val="FERCparanumber"/>
        <w:numPr>
          <w:ilvl w:val="0"/>
          <w:numId w:val="0"/>
        </w:numPr>
        <w:rPr>
          <w:b/>
          <w:szCs w:val="26"/>
        </w:rPr>
      </w:pPr>
    </w:p>
    <w:p w14:paraId="3849C445" w14:textId="4E4498C6" w:rsidR="00877886" w:rsidRPr="007576AF" w:rsidRDefault="00877886" w:rsidP="00877886">
      <w:pPr>
        <w:widowControl/>
        <w:rPr>
          <w:sz w:val="26"/>
          <w:szCs w:val="26"/>
        </w:rPr>
      </w:pPr>
      <w:r w:rsidRPr="007576AF">
        <w:rPr>
          <w:sz w:val="26"/>
          <w:szCs w:val="26"/>
        </w:rPr>
        <w:t xml:space="preserve">There are no tabulating, statistical or tabulating analysis or publication plans for </w:t>
      </w:r>
      <w:r w:rsidR="007B4EA7" w:rsidRPr="007576AF">
        <w:rPr>
          <w:sz w:val="26"/>
          <w:szCs w:val="26"/>
        </w:rPr>
        <w:t xml:space="preserve">the collection of information. </w:t>
      </w:r>
    </w:p>
    <w:p w14:paraId="00FB5AA5" w14:textId="77777777" w:rsidR="00877886" w:rsidRPr="007576AF" w:rsidRDefault="00877886" w:rsidP="00877886">
      <w:pPr>
        <w:pStyle w:val="FERCparanumber"/>
        <w:numPr>
          <w:ilvl w:val="0"/>
          <w:numId w:val="0"/>
        </w:numPr>
        <w:rPr>
          <w:b/>
          <w:szCs w:val="26"/>
        </w:rPr>
      </w:pPr>
    </w:p>
    <w:p w14:paraId="45D11BAC" w14:textId="77777777" w:rsidR="00877886" w:rsidRPr="007576AF" w:rsidRDefault="00877886" w:rsidP="00877886">
      <w:pPr>
        <w:pStyle w:val="FERCparanumber"/>
        <w:numPr>
          <w:ilvl w:val="0"/>
          <w:numId w:val="2"/>
        </w:numPr>
        <w:rPr>
          <w:b/>
          <w:szCs w:val="26"/>
        </w:rPr>
      </w:pPr>
      <w:r w:rsidRPr="007576AF">
        <w:rPr>
          <w:b/>
          <w:szCs w:val="26"/>
        </w:rPr>
        <w:t>DISPLAY OF EXPIRATION DATE</w:t>
      </w:r>
    </w:p>
    <w:p w14:paraId="021F6404" w14:textId="77777777" w:rsidR="00877886" w:rsidRPr="007576AF" w:rsidRDefault="00877886" w:rsidP="00877886">
      <w:pPr>
        <w:pStyle w:val="FERCparanumber"/>
        <w:numPr>
          <w:ilvl w:val="0"/>
          <w:numId w:val="0"/>
        </w:numPr>
        <w:rPr>
          <w:b/>
          <w:szCs w:val="26"/>
        </w:rPr>
      </w:pPr>
    </w:p>
    <w:p w14:paraId="094C93D2" w14:textId="77777777" w:rsidR="00877886" w:rsidRPr="007576AF" w:rsidRDefault="00877886" w:rsidP="00877886">
      <w:pPr>
        <w:rPr>
          <w:sz w:val="26"/>
          <w:szCs w:val="26"/>
        </w:rPr>
      </w:pPr>
      <w:r w:rsidRPr="007576AF">
        <w:rPr>
          <w:sz w:val="26"/>
          <w:szCs w:val="26"/>
        </w:rPr>
        <w:t xml:space="preserve">The expiration date is displayed in a table posted on ferc.gov at </w:t>
      </w:r>
      <w:hyperlink r:id="rId14" w:history="1">
        <w:r w:rsidRPr="007576AF">
          <w:rPr>
            <w:rStyle w:val="Hyperlink"/>
            <w:sz w:val="26"/>
            <w:szCs w:val="26"/>
          </w:rPr>
          <w:t>http://www.ferc.gov/docs-filing/info-collections.asp</w:t>
        </w:r>
      </w:hyperlink>
      <w:r w:rsidRPr="007576AF">
        <w:rPr>
          <w:sz w:val="26"/>
          <w:szCs w:val="26"/>
        </w:rPr>
        <w:t>.</w:t>
      </w:r>
    </w:p>
    <w:p w14:paraId="59CF92C4" w14:textId="77777777" w:rsidR="00877886" w:rsidRPr="007576AF" w:rsidRDefault="00877886" w:rsidP="00877886">
      <w:pPr>
        <w:pStyle w:val="FERCparanumber"/>
        <w:numPr>
          <w:ilvl w:val="0"/>
          <w:numId w:val="0"/>
        </w:numPr>
        <w:rPr>
          <w:b/>
          <w:szCs w:val="26"/>
        </w:rPr>
      </w:pPr>
    </w:p>
    <w:p w14:paraId="0B3E51DF" w14:textId="77777777" w:rsidR="00877886" w:rsidRPr="007576AF" w:rsidRDefault="00877886" w:rsidP="00877886">
      <w:pPr>
        <w:widowControl/>
        <w:numPr>
          <w:ilvl w:val="0"/>
          <w:numId w:val="2"/>
        </w:numPr>
        <w:ind w:hanging="720"/>
        <w:rPr>
          <w:b/>
          <w:sz w:val="26"/>
          <w:szCs w:val="26"/>
        </w:rPr>
      </w:pPr>
      <w:r w:rsidRPr="007576AF">
        <w:rPr>
          <w:b/>
          <w:sz w:val="26"/>
          <w:szCs w:val="26"/>
        </w:rPr>
        <w:t>EXCEPTIONS TO THE CERTIFICATION STATEMENT</w:t>
      </w:r>
    </w:p>
    <w:p w14:paraId="70D7990C" w14:textId="77777777" w:rsidR="00877886" w:rsidRPr="007576AF" w:rsidRDefault="00877886" w:rsidP="00877886">
      <w:pPr>
        <w:widowControl/>
        <w:ind w:left="720"/>
        <w:rPr>
          <w:b/>
          <w:sz w:val="26"/>
          <w:szCs w:val="26"/>
        </w:rPr>
      </w:pPr>
    </w:p>
    <w:p w14:paraId="1A1754AD" w14:textId="77777777" w:rsidR="00877886" w:rsidRPr="007576AF" w:rsidRDefault="00877886" w:rsidP="00877886">
      <w:pPr>
        <w:widowControl/>
        <w:rPr>
          <w:sz w:val="26"/>
          <w:szCs w:val="26"/>
        </w:rPr>
      </w:pPr>
      <w:r w:rsidRPr="007576AF">
        <w:rPr>
          <w:sz w:val="26"/>
          <w:szCs w:val="26"/>
        </w:rPr>
        <w:t>There are no exceptions.</w:t>
      </w:r>
    </w:p>
    <w:p w14:paraId="0C18394F" w14:textId="77777777" w:rsidR="00B63FD9" w:rsidRPr="000B07EB" w:rsidRDefault="00B63FD9">
      <w:pPr>
        <w:rPr>
          <w:sz w:val="26"/>
        </w:rPr>
      </w:pPr>
    </w:p>
    <w:sectPr w:rsidR="00B63FD9" w:rsidRPr="000B07EB" w:rsidSect="00B63FD9">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E621B" w14:textId="77777777" w:rsidR="00D618ED" w:rsidRDefault="00D618ED" w:rsidP="00877886">
      <w:r>
        <w:separator/>
      </w:r>
    </w:p>
  </w:endnote>
  <w:endnote w:type="continuationSeparator" w:id="0">
    <w:p w14:paraId="7CE2E8BE" w14:textId="77777777" w:rsidR="00D618ED" w:rsidRDefault="00D618ED" w:rsidP="00877886">
      <w:r>
        <w:continuationSeparator/>
      </w:r>
    </w:p>
  </w:endnote>
  <w:endnote w:type="continuationNotice" w:id="1">
    <w:p w14:paraId="4DFC8F43" w14:textId="77777777" w:rsidR="00D618ED" w:rsidRDefault="00D61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FAAA4" w14:textId="77777777" w:rsidR="005B4B44" w:rsidRDefault="005B4B44">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512D0">
          <w:rPr>
            <w:noProof/>
          </w:rPr>
          <w:t>1</w:t>
        </w:r>
        <w:r>
          <w:rPr>
            <w:noProof/>
          </w:rPr>
          <w:fldChar w:fldCharType="end"/>
        </w:r>
      </w:sdtContent>
    </w:sdt>
  </w:p>
  <w:p w14:paraId="2E8229F3" w14:textId="77777777" w:rsidR="005B4B44" w:rsidRDefault="005B4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3BE83" w14:textId="77777777" w:rsidR="00D618ED" w:rsidRDefault="00D618ED" w:rsidP="00877886">
      <w:r>
        <w:separator/>
      </w:r>
    </w:p>
  </w:footnote>
  <w:footnote w:type="continuationSeparator" w:id="0">
    <w:p w14:paraId="1CDD6E0E" w14:textId="77777777" w:rsidR="00D618ED" w:rsidRDefault="00D618ED" w:rsidP="00877886">
      <w:r>
        <w:continuationSeparator/>
      </w:r>
    </w:p>
  </w:footnote>
  <w:footnote w:type="continuationNotice" w:id="1">
    <w:p w14:paraId="594BCF6E" w14:textId="77777777" w:rsidR="00D618ED" w:rsidRDefault="00D618ED"/>
  </w:footnote>
  <w:footnote w:id="2">
    <w:p w14:paraId="11216BDC" w14:textId="227AF4A7" w:rsidR="005B4B44" w:rsidRDefault="005B4B44">
      <w:pPr>
        <w:pStyle w:val="FootnoteText"/>
      </w:pPr>
      <w:r>
        <w:rPr>
          <w:rStyle w:val="FootnoteReference"/>
        </w:rPr>
        <w:footnoteRef/>
      </w:r>
      <w:r>
        <w:t xml:space="preserve"> RTOs/ISOs</w:t>
      </w:r>
    </w:p>
  </w:footnote>
  <w:footnote w:id="3">
    <w:p w14:paraId="68FD6833" w14:textId="77777777" w:rsidR="005B4B44" w:rsidRPr="00A10EA2" w:rsidRDefault="005B4B44" w:rsidP="00360A65">
      <w:pPr>
        <w:pStyle w:val="FootnoteText"/>
        <w:rPr>
          <w:b/>
        </w:rPr>
      </w:pPr>
      <w:r w:rsidRPr="00A10EA2">
        <w:rPr>
          <w:rStyle w:val="FootnoteReference"/>
        </w:rPr>
        <w:footnoteRef/>
      </w:r>
      <w:r w:rsidRPr="00A10EA2">
        <w:t xml:space="preserve"> Price Formation Notice, Docket No. AD14-14-000, at 2 (June 19, 2014).</w:t>
      </w:r>
    </w:p>
  </w:footnote>
  <w:footnote w:id="4">
    <w:p w14:paraId="5C935367" w14:textId="77777777" w:rsidR="005B4B44" w:rsidRPr="00A10EA2" w:rsidRDefault="005B4B44" w:rsidP="00360A65">
      <w:pPr>
        <w:pStyle w:val="FootnoteText"/>
      </w:pPr>
      <w:r w:rsidRPr="00A10EA2">
        <w:rPr>
          <w:rStyle w:val="FootnoteReference"/>
        </w:rPr>
        <w:footnoteRef/>
      </w:r>
      <w:r w:rsidRPr="00A10EA2">
        <w:t xml:space="preserve"> </w:t>
      </w:r>
      <w:r w:rsidRPr="00A10EA2">
        <w:rPr>
          <w:i/>
        </w:rPr>
        <w:t>Id</w:t>
      </w:r>
      <w:r w:rsidRPr="00A10EA2">
        <w:t>. at 1, 3-4.</w:t>
      </w:r>
    </w:p>
  </w:footnote>
  <w:footnote w:id="5">
    <w:p w14:paraId="5079827A" w14:textId="77777777" w:rsidR="005B4B44" w:rsidRPr="00A10EA2" w:rsidRDefault="005B4B44" w:rsidP="00360A65">
      <w:pPr>
        <w:pStyle w:val="FootnoteText"/>
      </w:pPr>
      <w:r w:rsidRPr="00A10EA2">
        <w:rPr>
          <w:rStyle w:val="FootnoteReference"/>
        </w:rPr>
        <w:footnoteRef/>
      </w:r>
      <w:r w:rsidRPr="00A10EA2">
        <w:t xml:space="preserve"> Notice Inviting Comments, Docket No. AD14-14-000 (Jan. 16, 2015).  </w:t>
      </w:r>
    </w:p>
  </w:footnote>
  <w:footnote w:id="6">
    <w:p w14:paraId="0C91C848" w14:textId="77777777" w:rsidR="005B4B44" w:rsidRPr="00A10EA2" w:rsidRDefault="005B4B44" w:rsidP="00360A65">
      <w:pPr>
        <w:pStyle w:val="FootnoteText"/>
      </w:pPr>
      <w:r w:rsidRPr="00A10EA2">
        <w:rPr>
          <w:rStyle w:val="FootnoteReference"/>
        </w:rPr>
        <w:footnoteRef/>
      </w:r>
      <w:r w:rsidRPr="00A10EA2">
        <w:t xml:space="preserve"> </w:t>
      </w:r>
      <w:r w:rsidRPr="00A10EA2">
        <w:rPr>
          <w:i/>
        </w:rPr>
        <w:t>Price Formation in Energy and Ancillary Services Markets Operated by Regional Transmission Organizations and Independent System Operators</w:t>
      </w:r>
      <w:r w:rsidRPr="00A10EA2">
        <w:t xml:space="preserve">, 153 FERC </w:t>
      </w:r>
      <w:r w:rsidRPr="00A10EA2">
        <w:br/>
        <w:t>¶ 61,221 (2015) (Order Directing Reports).</w:t>
      </w:r>
    </w:p>
  </w:footnote>
  <w:footnote w:id="7">
    <w:p w14:paraId="4FBD1FB6" w14:textId="77777777" w:rsidR="005B4B44" w:rsidRPr="00A10EA2" w:rsidRDefault="005B4B44" w:rsidP="00360A65">
      <w:pPr>
        <w:pStyle w:val="FootnoteText"/>
      </w:pPr>
      <w:r w:rsidRPr="00A10EA2">
        <w:rPr>
          <w:rStyle w:val="FootnoteReference"/>
        </w:rPr>
        <w:footnoteRef/>
      </w:r>
      <w:r w:rsidRPr="00A10EA2">
        <w:t xml:space="preserve"> A list of commenters and the abbreviated names used in this NOPR appears in the Appendix.  </w:t>
      </w:r>
    </w:p>
  </w:footnote>
  <w:footnote w:id="8">
    <w:p w14:paraId="2FAB9D42" w14:textId="2043C95D" w:rsidR="005B4B44" w:rsidRPr="00A10EA2" w:rsidRDefault="005B4B44" w:rsidP="00360A65">
      <w:pPr>
        <w:pStyle w:val="FootnoteText"/>
      </w:pPr>
      <w:r w:rsidRPr="00A10EA2">
        <w:rPr>
          <w:rStyle w:val="FootnoteReference"/>
        </w:rPr>
        <w:footnoteRef/>
      </w:r>
      <w:r w:rsidRPr="00A10EA2">
        <w:t xml:space="preserve"> FERC, </w:t>
      </w:r>
      <w:r w:rsidRPr="00A10EA2">
        <w:rPr>
          <w:i/>
          <w:iCs/>
        </w:rPr>
        <w:t>Staff Analysis of Uplift in RTO and ISO Markets</w:t>
      </w:r>
      <w:r w:rsidRPr="00A10EA2">
        <w:t xml:space="preserve">, Docket No. AD14-14-000, at 5-7  </w:t>
      </w:r>
    </w:p>
  </w:footnote>
  <w:footnote w:id="9">
    <w:p w14:paraId="2748D36E" w14:textId="59D6D3BF" w:rsidR="005B4B44" w:rsidRDefault="005B4B44">
      <w:pPr>
        <w:pStyle w:val="FootnoteText"/>
      </w:pPr>
      <w:r>
        <w:rPr>
          <w:rStyle w:val="FootnoteReference"/>
        </w:rPr>
        <w:footnoteRef/>
      </w:r>
      <w:r>
        <w:t xml:space="preserve"> LMP = locational marginal pricing</w:t>
      </w:r>
    </w:p>
  </w:footnote>
  <w:footnote w:id="10">
    <w:p w14:paraId="07F83325" w14:textId="77777777" w:rsidR="005B4B44" w:rsidRPr="00A10EA2" w:rsidRDefault="005B4B44" w:rsidP="00360A65">
      <w:pPr>
        <w:pStyle w:val="FootnoteText"/>
      </w:pPr>
      <w:r w:rsidRPr="00A10EA2">
        <w:rPr>
          <w:rStyle w:val="FootnoteReference"/>
        </w:rPr>
        <w:footnoteRef/>
      </w:r>
      <w:r w:rsidRPr="00A10EA2">
        <w:t xml:space="preserve"> 13 CFR 121.201 (Sector 22, Utilities).</w:t>
      </w:r>
    </w:p>
  </w:footnote>
  <w:footnote w:id="11">
    <w:p w14:paraId="153E1050" w14:textId="2CB42B7F" w:rsidR="005B4B44" w:rsidRPr="00A10EA2" w:rsidRDefault="005B4B44" w:rsidP="00360A65">
      <w:pPr>
        <w:pStyle w:val="FootnoteText"/>
      </w:pPr>
      <w:r w:rsidRPr="00A10EA2">
        <w:rPr>
          <w:rStyle w:val="FootnoteReference"/>
        </w:rPr>
        <w:footnoteRef/>
      </w:r>
      <w:r w:rsidRPr="00A10EA2">
        <w:t xml:space="preserve"> 82 FR 9539</w:t>
      </w:r>
    </w:p>
  </w:footnote>
  <w:footnote w:id="12">
    <w:p w14:paraId="185B6AB7" w14:textId="77777777" w:rsidR="005B4B44" w:rsidRDefault="005B4B44" w:rsidP="00360A65">
      <w:pPr>
        <w:pStyle w:val="FootnoteText"/>
      </w:pPr>
      <w:r>
        <w:rPr>
          <w:rStyle w:val="FootnoteReference"/>
        </w:rPr>
        <w:footnoteRef/>
      </w:r>
      <w:r>
        <w:t xml:space="preserve"> The estimated hourly cost (salary plus benefits) provided in this section are based on the salary figures for May 2015 posted by the Bureau of Labor Statistics for the Utilities sector (available at http://www.bls.gov/oes/current/naics2_22.htm#00-0000) and scaled to reflect benefits using the relative importance of employer costs in employee compensation from December 2015 (released March 30, 2016 and available at http://www.bls.gov/news.release/ecec.nr0.htm).  The hourly estimates for salary plus benefits are:</w:t>
      </w:r>
    </w:p>
    <w:p w14:paraId="06199E5D" w14:textId="77777777" w:rsidR="005B4B44" w:rsidRDefault="005B4B44" w:rsidP="00360A65">
      <w:pPr>
        <w:pStyle w:val="FootnoteText"/>
        <w:numPr>
          <w:ilvl w:val="0"/>
          <w:numId w:val="11"/>
        </w:numPr>
        <w:ind w:left="0" w:firstLine="0"/>
      </w:pPr>
      <w:r>
        <w:t xml:space="preserve">Legal (code 23-0000), $129.12 </w:t>
      </w:r>
    </w:p>
    <w:p w14:paraId="1FDD0BE3" w14:textId="77777777" w:rsidR="005B4B44" w:rsidRDefault="005B4B44" w:rsidP="00360A65">
      <w:pPr>
        <w:pStyle w:val="FootnoteText"/>
        <w:numPr>
          <w:ilvl w:val="0"/>
          <w:numId w:val="11"/>
        </w:numPr>
        <w:ind w:left="0" w:firstLine="0"/>
      </w:pPr>
      <w:r>
        <w:t xml:space="preserve">Computer and Mathematical (code 15-0000), $60.63 </w:t>
      </w:r>
    </w:p>
    <w:p w14:paraId="7E1DBC7B" w14:textId="77777777" w:rsidR="005B4B44" w:rsidRDefault="005B4B44" w:rsidP="00360A65">
      <w:pPr>
        <w:pStyle w:val="FootnoteText"/>
        <w:numPr>
          <w:ilvl w:val="0"/>
          <w:numId w:val="11"/>
        </w:numPr>
        <w:ind w:left="0" w:firstLine="0"/>
      </w:pPr>
      <w:r>
        <w:t>Information Security Analyst (code 15-1122), $58.08</w:t>
      </w:r>
    </w:p>
    <w:p w14:paraId="55D4C3A7" w14:textId="77777777" w:rsidR="005B4B44" w:rsidRDefault="005B4B44" w:rsidP="00360A65">
      <w:pPr>
        <w:pStyle w:val="FootnoteText"/>
        <w:numPr>
          <w:ilvl w:val="0"/>
          <w:numId w:val="11"/>
        </w:numPr>
        <w:ind w:left="0" w:firstLine="0"/>
      </w:pPr>
      <w:r>
        <w:t>Accountant and Auditor (code 13-2011), $53.86</w:t>
      </w:r>
    </w:p>
    <w:p w14:paraId="5E62B901" w14:textId="77777777" w:rsidR="005B4B44" w:rsidRDefault="005B4B44" w:rsidP="00360A65">
      <w:pPr>
        <w:pStyle w:val="FootnoteText"/>
        <w:numPr>
          <w:ilvl w:val="0"/>
          <w:numId w:val="11"/>
        </w:numPr>
        <w:ind w:left="0" w:firstLine="0"/>
      </w:pPr>
      <w:r>
        <w:t>Information and Record Clerk (code 43-4199), $37.75</w:t>
      </w:r>
    </w:p>
    <w:p w14:paraId="0C604551" w14:textId="77777777" w:rsidR="005B4B44" w:rsidRDefault="005B4B44" w:rsidP="00360A65">
      <w:pPr>
        <w:pStyle w:val="FootnoteText"/>
        <w:numPr>
          <w:ilvl w:val="0"/>
          <w:numId w:val="11"/>
        </w:numPr>
        <w:ind w:left="0" w:firstLine="0"/>
      </w:pPr>
      <w:r>
        <w:t>Electrical Engineer (code 17-2071), $64.29</w:t>
      </w:r>
    </w:p>
    <w:p w14:paraId="644FE1C1" w14:textId="1D32C6A3" w:rsidR="005B4B44" w:rsidRDefault="005B4B44" w:rsidP="00360A65">
      <w:pPr>
        <w:pStyle w:val="FootnoteText"/>
        <w:numPr>
          <w:ilvl w:val="0"/>
          <w:numId w:val="11"/>
        </w:numPr>
        <w:ind w:left="0" w:firstLine="0"/>
      </w:pPr>
      <w:r>
        <w:t>Economist (code 19-3011), $74.53</w:t>
      </w:r>
    </w:p>
    <w:p w14:paraId="6794A531" w14:textId="77777777" w:rsidR="005B4B44" w:rsidRDefault="005B4B44" w:rsidP="00360A65">
      <w:pPr>
        <w:pStyle w:val="FootnoteText"/>
        <w:numPr>
          <w:ilvl w:val="0"/>
          <w:numId w:val="11"/>
        </w:numPr>
        <w:ind w:left="0" w:firstLine="0"/>
      </w:pPr>
      <w:r>
        <w:t>Computer and Information Systems Manager (code 11-3021), $91.76</w:t>
      </w:r>
    </w:p>
    <w:p w14:paraId="4C924136" w14:textId="77777777" w:rsidR="005B4B44" w:rsidRDefault="005B4B44" w:rsidP="00360A65">
      <w:pPr>
        <w:pStyle w:val="FootnoteText"/>
        <w:numPr>
          <w:ilvl w:val="0"/>
          <w:numId w:val="11"/>
        </w:numPr>
        <w:ind w:left="0" w:firstLine="0"/>
      </w:pPr>
      <w:r>
        <w:t>Management (code 11-0000), $89.07</w:t>
      </w:r>
    </w:p>
    <w:p w14:paraId="21DC8A7D" w14:textId="77777777" w:rsidR="005B4B44" w:rsidRDefault="005B4B44" w:rsidP="00360A65">
      <w:pPr>
        <w:pStyle w:val="FootnoteText"/>
      </w:pPr>
      <w:r>
        <w:t>The average hourly cost (salary plus benefits), weighting all of these skill sets evenly, is $73.23.  For the calculations here, the Commission rounds it to $73 per hour.</w:t>
      </w:r>
    </w:p>
  </w:footnote>
  <w:footnote w:id="13">
    <w:p w14:paraId="7EE3DB87" w14:textId="77777777" w:rsidR="005B4B44" w:rsidRDefault="005B4B44" w:rsidP="00360A65">
      <w:pPr>
        <w:pStyle w:val="FootnoteText"/>
      </w:pPr>
      <w:r>
        <w:rPr>
          <w:rStyle w:val="FootnoteReference"/>
        </w:rPr>
        <w:footnoteRef/>
      </w:r>
      <w:r>
        <w:t xml:space="preserve"> Respondent entities are either RTOs or ISOs.</w:t>
      </w:r>
    </w:p>
  </w:footnote>
  <w:footnote w:id="14">
    <w:p w14:paraId="22CD9E1D" w14:textId="6ED45F93" w:rsidR="005B4B44" w:rsidRDefault="005B4B44" w:rsidP="00360A65">
      <w:pPr>
        <w:pStyle w:val="FootnoteText"/>
      </w:pPr>
      <w:r>
        <w:rPr>
          <w:rStyle w:val="FootnoteReference"/>
        </w:rPr>
        <w:footnoteRef/>
      </w:r>
      <w:r>
        <w:t xml:space="preserve"> This figure will be treated as an annual average for submission purposes in ROCIS.</w:t>
      </w:r>
    </w:p>
  </w:footnote>
  <w:footnote w:id="15">
    <w:p w14:paraId="696191EF" w14:textId="77777777" w:rsidR="005B4B44" w:rsidRPr="00A10EA2" w:rsidRDefault="005B4B44" w:rsidP="00360A65">
      <w:pPr>
        <w:rPr>
          <w:sz w:val="20"/>
          <w:szCs w:val="20"/>
        </w:rPr>
      </w:pPr>
      <w:r w:rsidRPr="00A10EA2">
        <w:rPr>
          <w:rStyle w:val="FootnoteReference"/>
          <w:sz w:val="20"/>
          <w:szCs w:val="20"/>
          <w:vertAlign w:val="superscript"/>
        </w:rPr>
        <w:footnoteRef/>
      </w:r>
      <w:r w:rsidRPr="00A10EA2">
        <w:rPr>
          <w:sz w:val="20"/>
          <w:szCs w:val="20"/>
        </w:rPr>
        <w:t xml:space="preserve"> Based upon 2016 FTE average annual salary plus benefits ($154,647).</w:t>
      </w:r>
    </w:p>
  </w:footnote>
  <w:footnote w:id="16">
    <w:p w14:paraId="5F286B98" w14:textId="77777777" w:rsidR="005B4B44" w:rsidRPr="00A10EA2" w:rsidRDefault="005B4B44" w:rsidP="00360A65">
      <w:pPr>
        <w:pStyle w:val="FootnoteText"/>
      </w:pPr>
      <w:r w:rsidRPr="00A10EA2">
        <w:rPr>
          <w:rStyle w:val="FootnoteReference"/>
          <w:vertAlign w:val="superscript"/>
        </w:rPr>
        <w:footnoteRef/>
      </w:r>
      <w:r w:rsidRPr="00A10EA2">
        <w:rPr>
          <w:vertAlign w:val="superscript"/>
        </w:rPr>
        <w:t xml:space="preserve"> </w:t>
      </w:r>
      <w:r w:rsidRPr="00A10EA2">
        <w:t>Paperwork Reduction Act of 1995 (PRA).</w:t>
      </w:r>
    </w:p>
  </w:footnote>
  <w:footnote w:id="17">
    <w:p w14:paraId="2CB48408" w14:textId="77777777" w:rsidR="005B4B44" w:rsidRPr="00A10EA2" w:rsidRDefault="005B4B44" w:rsidP="00360A65">
      <w:pPr>
        <w:pStyle w:val="FootnoteText"/>
      </w:pPr>
      <w:r w:rsidRPr="00A10EA2">
        <w:rPr>
          <w:rStyle w:val="FootnoteReference"/>
          <w:vertAlign w:val="superscript"/>
        </w:rPr>
        <w:footnoteRef/>
      </w:r>
      <w:r w:rsidRPr="00A10EA2">
        <w:rPr>
          <w:vertAlign w:val="superscript"/>
        </w:rPr>
        <w:t xml:space="preserve"> </w:t>
      </w:r>
      <w:r w:rsidRPr="00A10EA2">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DBDB3" w14:textId="3DF70DD2" w:rsidR="005B4B44" w:rsidRDefault="005B4B44">
    <w:pPr>
      <w:pStyle w:val="Header"/>
    </w:pPr>
    <w:r>
      <w:t>FERC-516G (OMB Control No.: TBD)</w:t>
    </w:r>
  </w:p>
  <w:p w14:paraId="6253521E" w14:textId="4FAD8131" w:rsidR="005B4B44" w:rsidRDefault="005B4B44">
    <w:pPr>
      <w:pStyle w:val="Header"/>
    </w:pPr>
    <w:r>
      <w:t>as proposed by the NOPR (issued 1/19/2017) in Docket No. RM17-2-000</w:t>
    </w:r>
  </w:p>
  <w:p w14:paraId="31823DCA" w14:textId="0D5C381A" w:rsidR="005B4B44" w:rsidRDefault="005B4B44">
    <w:pPr>
      <w:pStyle w:val="Header"/>
    </w:pPr>
    <w:r w:rsidRPr="00D97311">
      <w:t>RIN: 1902-AF37</w:t>
    </w:r>
  </w:p>
  <w:p w14:paraId="243E92EF" w14:textId="73BC09FA" w:rsidR="000B07EB" w:rsidRDefault="000B07EB">
    <w:pPr>
      <w:pStyle w:val="Header"/>
    </w:pPr>
    <w:r>
      <w:t>Updated: 7/20/2017</w:t>
    </w:r>
  </w:p>
  <w:p w14:paraId="6C892FA5" w14:textId="77777777" w:rsidR="005B4B44" w:rsidRDefault="005B4B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E94DD" w14:textId="77777777" w:rsidR="005B4B44" w:rsidRDefault="005B4B44">
    <w:pPr>
      <w:pStyle w:val="Header"/>
    </w:pPr>
    <w:r>
      <w:t>FERC Form 730 (OMB Control No. 1902-0239)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8C0"/>
    <w:multiLevelType w:val="hybridMultilevel"/>
    <w:tmpl w:val="BA028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32A8D"/>
    <w:multiLevelType w:val="hybridMultilevel"/>
    <w:tmpl w:val="453EDF0E"/>
    <w:lvl w:ilvl="0" w:tplc="C4128328">
      <w:start w:val="1"/>
      <w:numFmt w:val="bullet"/>
      <w:lvlText w:val=""/>
      <w:lvlJc w:val="left"/>
      <w:pPr>
        <w:ind w:left="1559" w:hanging="361"/>
      </w:pPr>
      <w:rPr>
        <w:rFonts w:ascii="Symbol" w:eastAsia="Symbol" w:hAnsi="Symbol" w:hint="default"/>
        <w:w w:val="99"/>
        <w:sz w:val="26"/>
        <w:szCs w:val="26"/>
      </w:rPr>
    </w:lvl>
    <w:lvl w:ilvl="1" w:tplc="297A75EC">
      <w:start w:val="1"/>
      <w:numFmt w:val="bullet"/>
      <w:lvlText w:val="•"/>
      <w:lvlJc w:val="left"/>
      <w:pPr>
        <w:ind w:left="2361" w:hanging="361"/>
      </w:pPr>
      <w:rPr>
        <w:rFonts w:hint="default"/>
      </w:rPr>
    </w:lvl>
    <w:lvl w:ilvl="2" w:tplc="8174C2EA">
      <w:start w:val="1"/>
      <w:numFmt w:val="bullet"/>
      <w:lvlText w:val="•"/>
      <w:lvlJc w:val="left"/>
      <w:pPr>
        <w:ind w:left="3163" w:hanging="361"/>
      </w:pPr>
      <w:rPr>
        <w:rFonts w:hint="default"/>
      </w:rPr>
    </w:lvl>
    <w:lvl w:ilvl="3" w:tplc="0C1C03F6">
      <w:start w:val="1"/>
      <w:numFmt w:val="bullet"/>
      <w:lvlText w:val="•"/>
      <w:lvlJc w:val="left"/>
      <w:pPr>
        <w:ind w:left="3965" w:hanging="361"/>
      </w:pPr>
      <w:rPr>
        <w:rFonts w:hint="default"/>
      </w:rPr>
    </w:lvl>
    <w:lvl w:ilvl="4" w:tplc="7730F4DC">
      <w:start w:val="1"/>
      <w:numFmt w:val="bullet"/>
      <w:lvlText w:val="•"/>
      <w:lvlJc w:val="left"/>
      <w:pPr>
        <w:ind w:left="4767" w:hanging="361"/>
      </w:pPr>
      <w:rPr>
        <w:rFonts w:hint="default"/>
      </w:rPr>
    </w:lvl>
    <w:lvl w:ilvl="5" w:tplc="4DB0AA84">
      <w:start w:val="1"/>
      <w:numFmt w:val="bullet"/>
      <w:lvlText w:val="•"/>
      <w:lvlJc w:val="left"/>
      <w:pPr>
        <w:ind w:left="5569" w:hanging="361"/>
      </w:pPr>
      <w:rPr>
        <w:rFonts w:hint="default"/>
      </w:rPr>
    </w:lvl>
    <w:lvl w:ilvl="6" w:tplc="F6EAF5E6">
      <w:start w:val="1"/>
      <w:numFmt w:val="bullet"/>
      <w:lvlText w:val="•"/>
      <w:lvlJc w:val="left"/>
      <w:pPr>
        <w:ind w:left="6371" w:hanging="361"/>
      </w:pPr>
      <w:rPr>
        <w:rFonts w:hint="default"/>
      </w:rPr>
    </w:lvl>
    <w:lvl w:ilvl="7" w:tplc="204C4FE4">
      <w:start w:val="1"/>
      <w:numFmt w:val="bullet"/>
      <w:lvlText w:val="•"/>
      <w:lvlJc w:val="left"/>
      <w:pPr>
        <w:ind w:left="7173" w:hanging="361"/>
      </w:pPr>
      <w:rPr>
        <w:rFonts w:hint="default"/>
      </w:rPr>
    </w:lvl>
    <w:lvl w:ilvl="8" w:tplc="636ECD66">
      <w:start w:val="1"/>
      <w:numFmt w:val="bullet"/>
      <w:lvlText w:val="•"/>
      <w:lvlJc w:val="left"/>
      <w:pPr>
        <w:ind w:left="7975" w:hanging="361"/>
      </w:pPr>
      <w:rPr>
        <w:rFonts w:hint="default"/>
      </w:rPr>
    </w:lvl>
  </w:abstractNum>
  <w:abstractNum w:abstractNumId="2">
    <w:nsid w:val="16EB5D80"/>
    <w:multiLevelType w:val="hybridMultilevel"/>
    <w:tmpl w:val="62828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FC27AB"/>
    <w:multiLevelType w:val="hybridMultilevel"/>
    <w:tmpl w:val="F9B8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D15D8"/>
    <w:multiLevelType w:val="hybridMultilevel"/>
    <w:tmpl w:val="674C392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5">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9E71C4"/>
    <w:multiLevelType w:val="hybridMultilevel"/>
    <w:tmpl w:val="5ECA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1649DA"/>
    <w:multiLevelType w:val="hybridMultilevel"/>
    <w:tmpl w:val="F96A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2D6B15"/>
    <w:multiLevelType w:val="hybridMultilevel"/>
    <w:tmpl w:val="82D8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4E4DD3"/>
    <w:multiLevelType w:val="hybridMultilevel"/>
    <w:tmpl w:val="E690D8D0"/>
    <w:lvl w:ilvl="0" w:tplc="D4323D40">
      <w:start w:val="1"/>
      <w:numFmt w:val="decimal"/>
      <w:lvlText w:val="%1."/>
      <w:lvlJc w:val="left"/>
      <w:pPr>
        <w:tabs>
          <w:tab w:val="num" w:pos="720"/>
        </w:tabs>
        <w:ind w:left="0" w:firstLine="0"/>
      </w:pPr>
      <w:rPr>
        <w:rFonts w:hint="default"/>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10"/>
  </w:num>
  <w:num w:numId="4">
    <w:abstractNumId w:val="6"/>
  </w:num>
  <w:num w:numId="5">
    <w:abstractNumId w:val="0"/>
  </w:num>
  <w:num w:numId="6">
    <w:abstractNumId w:val="7"/>
  </w:num>
  <w:num w:numId="7">
    <w:abstractNumId w:val="9"/>
  </w:num>
  <w:num w:numId="8">
    <w:abstractNumId w:val="1"/>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86"/>
    <w:rsid w:val="0001629C"/>
    <w:rsid w:val="0002313D"/>
    <w:rsid w:val="00044364"/>
    <w:rsid w:val="000535E1"/>
    <w:rsid w:val="0008171C"/>
    <w:rsid w:val="0009631A"/>
    <w:rsid w:val="000A584C"/>
    <w:rsid w:val="000B07EB"/>
    <w:rsid w:val="000C62C8"/>
    <w:rsid w:val="000F3F60"/>
    <w:rsid w:val="00110729"/>
    <w:rsid w:val="00133A0B"/>
    <w:rsid w:val="00173CA3"/>
    <w:rsid w:val="001778EF"/>
    <w:rsid w:val="00195494"/>
    <w:rsid w:val="001A195E"/>
    <w:rsid w:val="001A223C"/>
    <w:rsid w:val="001D0DDF"/>
    <w:rsid w:val="001D4E05"/>
    <w:rsid w:val="001E3FFD"/>
    <w:rsid w:val="001E4915"/>
    <w:rsid w:val="00232B32"/>
    <w:rsid w:val="00242C3F"/>
    <w:rsid w:val="00251260"/>
    <w:rsid w:val="002620F6"/>
    <w:rsid w:val="002761D3"/>
    <w:rsid w:val="002B612A"/>
    <w:rsid w:val="002C18D5"/>
    <w:rsid w:val="002F5A43"/>
    <w:rsid w:val="0034627C"/>
    <w:rsid w:val="00360A65"/>
    <w:rsid w:val="00360DEE"/>
    <w:rsid w:val="0036793D"/>
    <w:rsid w:val="003809F5"/>
    <w:rsid w:val="00381448"/>
    <w:rsid w:val="00383A7C"/>
    <w:rsid w:val="003922F8"/>
    <w:rsid w:val="00396476"/>
    <w:rsid w:val="00397280"/>
    <w:rsid w:val="003A642E"/>
    <w:rsid w:val="003A78A0"/>
    <w:rsid w:val="003D5924"/>
    <w:rsid w:val="003E570A"/>
    <w:rsid w:val="003F3ECD"/>
    <w:rsid w:val="003F7F08"/>
    <w:rsid w:val="004106E7"/>
    <w:rsid w:val="0041369E"/>
    <w:rsid w:val="00454550"/>
    <w:rsid w:val="004942DD"/>
    <w:rsid w:val="004C29E7"/>
    <w:rsid w:val="004C4A73"/>
    <w:rsid w:val="004C4BA3"/>
    <w:rsid w:val="004E026A"/>
    <w:rsid w:val="004E4597"/>
    <w:rsid w:val="00517E27"/>
    <w:rsid w:val="005235D1"/>
    <w:rsid w:val="00524C82"/>
    <w:rsid w:val="00524FE8"/>
    <w:rsid w:val="00542938"/>
    <w:rsid w:val="00571DB7"/>
    <w:rsid w:val="00573F60"/>
    <w:rsid w:val="0058263E"/>
    <w:rsid w:val="005A13AA"/>
    <w:rsid w:val="005B4B44"/>
    <w:rsid w:val="005D6647"/>
    <w:rsid w:val="005F417B"/>
    <w:rsid w:val="00605300"/>
    <w:rsid w:val="006118A5"/>
    <w:rsid w:val="0061744F"/>
    <w:rsid w:val="00645648"/>
    <w:rsid w:val="006602EB"/>
    <w:rsid w:val="00667AC6"/>
    <w:rsid w:val="006756A7"/>
    <w:rsid w:val="006938A2"/>
    <w:rsid w:val="006A5940"/>
    <w:rsid w:val="006D0041"/>
    <w:rsid w:val="006D6567"/>
    <w:rsid w:val="006D6EF4"/>
    <w:rsid w:val="00710981"/>
    <w:rsid w:val="00735466"/>
    <w:rsid w:val="00737012"/>
    <w:rsid w:val="007576AF"/>
    <w:rsid w:val="00767152"/>
    <w:rsid w:val="00794B6F"/>
    <w:rsid w:val="007A2C65"/>
    <w:rsid w:val="007A3197"/>
    <w:rsid w:val="007A6B23"/>
    <w:rsid w:val="007B4EA7"/>
    <w:rsid w:val="007B7323"/>
    <w:rsid w:val="008200FA"/>
    <w:rsid w:val="00833313"/>
    <w:rsid w:val="00866036"/>
    <w:rsid w:val="00877886"/>
    <w:rsid w:val="00893A94"/>
    <w:rsid w:val="008A13DD"/>
    <w:rsid w:val="008B63EB"/>
    <w:rsid w:val="008E233A"/>
    <w:rsid w:val="008E62EF"/>
    <w:rsid w:val="0092736B"/>
    <w:rsid w:val="00947CA5"/>
    <w:rsid w:val="00950BA6"/>
    <w:rsid w:val="00952168"/>
    <w:rsid w:val="00962594"/>
    <w:rsid w:val="009657FC"/>
    <w:rsid w:val="0097129C"/>
    <w:rsid w:val="00991EB0"/>
    <w:rsid w:val="009960A2"/>
    <w:rsid w:val="009B0227"/>
    <w:rsid w:val="009E76C7"/>
    <w:rsid w:val="009F1C22"/>
    <w:rsid w:val="00A06F37"/>
    <w:rsid w:val="00A10677"/>
    <w:rsid w:val="00A10EA2"/>
    <w:rsid w:val="00A134E5"/>
    <w:rsid w:val="00A136FE"/>
    <w:rsid w:val="00A1434F"/>
    <w:rsid w:val="00A80800"/>
    <w:rsid w:val="00A82B9E"/>
    <w:rsid w:val="00A91C6B"/>
    <w:rsid w:val="00AA1B5C"/>
    <w:rsid w:val="00AA332B"/>
    <w:rsid w:val="00AB06C6"/>
    <w:rsid w:val="00AC0D7D"/>
    <w:rsid w:val="00AE2838"/>
    <w:rsid w:val="00AE60B9"/>
    <w:rsid w:val="00B06484"/>
    <w:rsid w:val="00B25E69"/>
    <w:rsid w:val="00B2615E"/>
    <w:rsid w:val="00B2796A"/>
    <w:rsid w:val="00B512D0"/>
    <w:rsid w:val="00B63FD9"/>
    <w:rsid w:val="00B71831"/>
    <w:rsid w:val="00B80921"/>
    <w:rsid w:val="00B84CDC"/>
    <w:rsid w:val="00BF403E"/>
    <w:rsid w:val="00C25F2C"/>
    <w:rsid w:val="00C33EB9"/>
    <w:rsid w:val="00C700E1"/>
    <w:rsid w:val="00C77099"/>
    <w:rsid w:val="00C942B6"/>
    <w:rsid w:val="00CA14F6"/>
    <w:rsid w:val="00CC428D"/>
    <w:rsid w:val="00CE379B"/>
    <w:rsid w:val="00CF6191"/>
    <w:rsid w:val="00D06440"/>
    <w:rsid w:val="00D30C30"/>
    <w:rsid w:val="00D375F8"/>
    <w:rsid w:val="00D457E3"/>
    <w:rsid w:val="00D57E8A"/>
    <w:rsid w:val="00D618ED"/>
    <w:rsid w:val="00D821BF"/>
    <w:rsid w:val="00D8311E"/>
    <w:rsid w:val="00D86C22"/>
    <w:rsid w:val="00D97311"/>
    <w:rsid w:val="00DA1CCE"/>
    <w:rsid w:val="00DA3C5C"/>
    <w:rsid w:val="00DD15AB"/>
    <w:rsid w:val="00DF70FE"/>
    <w:rsid w:val="00E36D71"/>
    <w:rsid w:val="00E55B1D"/>
    <w:rsid w:val="00E60E73"/>
    <w:rsid w:val="00E61C68"/>
    <w:rsid w:val="00E711EC"/>
    <w:rsid w:val="00E75C09"/>
    <w:rsid w:val="00E8612E"/>
    <w:rsid w:val="00EA1C3E"/>
    <w:rsid w:val="00EE47B0"/>
    <w:rsid w:val="00EE65E9"/>
    <w:rsid w:val="00EF49AF"/>
    <w:rsid w:val="00EF7C04"/>
    <w:rsid w:val="00F01D92"/>
    <w:rsid w:val="00F15350"/>
    <w:rsid w:val="00F26594"/>
    <w:rsid w:val="00F67769"/>
    <w:rsid w:val="00F77F98"/>
    <w:rsid w:val="00FA674B"/>
    <w:rsid w:val="00FA7A0D"/>
    <w:rsid w:val="00FB41AB"/>
    <w:rsid w:val="00FE2981"/>
    <w:rsid w:val="00FF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7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877886"/>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qFormat/>
    <w:rsid w:val="00877886"/>
    <w:rPr>
      <w:sz w:val="20"/>
      <w:szCs w:val="20"/>
    </w:rPr>
  </w:style>
  <w:style w:type="character" w:customStyle="1" w:styleId="FootnoteTextChar">
    <w:name w:val="Footnote Text Char"/>
    <w:aliases w:val="Footnote Text MRP Char,Footnote Text Char3 Char,ft Char Char,ft Char1,f Char"/>
    <w:basedOn w:val="DefaultParagraphFont"/>
    <w:uiPriority w:val="99"/>
    <w:rsid w:val="00877886"/>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877886"/>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877886"/>
    <w:rPr>
      <w:rFonts w:ascii="Times New Roman" w:eastAsia="Times New Roman" w:hAnsi="Times New Roman" w:cs="Times New Roman"/>
      <w:sz w:val="20"/>
      <w:szCs w:val="20"/>
    </w:rPr>
  </w:style>
  <w:style w:type="character" w:customStyle="1" w:styleId="FERCparanumberChar">
    <w:name w:val="FERC paranumber Char"/>
    <w:link w:val="FERCparanumber"/>
    <w:rsid w:val="00877886"/>
    <w:rPr>
      <w:rFonts w:ascii="Times New Roman" w:eastAsia="Times New Roman" w:hAnsi="Times New Roman" w:cs="Times New Roman"/>
      <w:sz w:val="26"/>
      <w:szCs w:val="24"/>
    </w:rPr>
  </w:style>
  <w:style w:type="character" w:styleId="Hyperlink">
    <w:name w:val="Hyperlink"/>
    <w:rsid w:val="00877886"/>
    <w:rPr>
      <w:color w:val="0000FF"/>
      <w:u w:val="single"/>
    </w:rPr>
  </w:style>
  <w:style w:type="paragraph" w:styleId="ListParagraph">
    <w:name w:val="List Paragraph"/>
    <w:basedOn w:val="Normal"/>
    <w:qFormat/>
    <w:rsid w:val="00877886"/>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877886"/>
    <w:pPr>
      <w:tabs>
        <w:tab w:val="center" w:pos="4680"/>
        <w:tab w:val="right" w:pos="9360"/>
      </w:tabs>
    </w:pPr>
  </w:style>
  <w:style w:type="character" w:customStyle="1" w:styleId="HeaderChar">
    <w:name w:val="Header Char"/>
    <w:basedOn w:val="DefaultParagraphFont"/>
    <w:link w:val="Header"/>
    <w:uiPriority w:val="99"/>
    <w:rsid w:val="008778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886"/>
    <w:pPr>
      <w:tabs>
        <w:tab w:val="center" w:pos="4680"/>
        <w:tab w:val="right" w:pos="9360"/>
      </w:tabs>
    </w:pPr>
  </w:style>
  <w:style w:type="character" w:customStyle="1" w:styleId="FooterChar">
    <w:name w:val="Footer Char"/>
    <w:basedOn w:val="DefaultParagraphFont"/>
    <w:link w:val="Footer"/>
    <w:uiPriority w:val="99"/>
    <w:rsid w:val="0087788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3313"/>
    <w:rPr>
      <w:sz w:val="16"/>
      <w:szCs w:val="16"/>
    </w:rPr>
  </w:style>
  <w:style w:type="paragraph" w:styleId="CommentText">
    <w:name w:val="annotation text"/>
    <w:basedOn w:val="Normal"/>
    <w:link w:val="CommentTextChar"/>
    <w:uiPriority w:val="99"/>
    <w:semiHidden/>
    <w:unhideWhenUsed/>
    <w:rsid w:val="00833313"/>
    <w:rPr>
      <w:sz w:val="20"/>
      <w:szCs w:val="20"/>
    </w:rPr>
  </w:style>
  <w:style w:type="character" w:customStyle="1" w:styleId="CommentTextChar">
    <w:name w:val="Comment Text Char"/>
    <w:basedOn w:val="DefaultParagraphFont"/>
    <w:link w:val="CommentText"/>
    <w:uiPriority w:val="99"/>
    <w:semiHidden/>
    <w:rsid w:val="00833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3313"/>
    <w:rPr>
      <w:b/>
      <w:bCs/>
    </w:rPr>
  </w:style>
  <w:style w:type="character" w:customStyle="1" w:styleId="CommentSubjectChar">
    <w:name w:val="Comment Subject Char"/>
    <w:basedOn w:val="CommentTextChar"/>
    <w:link w:val="CommentSubject"/>
    <w:uiPriority w:val="99"/>
    <w:semiHidden/>
    <w:rsid w:val="00833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3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13"/>
    <w:rPr>
      <w:rFonts w:ascii="Segoe UI" w:eastAsia="Times New Roman" w:hAnsi="Segoe UI" w:cs="Segoe UI"/>
      <w:sz w:val="18"/>
      <w:szCs w:val="18"/>
    </w:rPr>
  </w:style>
  <w:style w:type="paragraph" w:customStyle="1" w:styleId="ParagraphwithoutNumbers">
    <w:name w:val="Paragraph with out Numbers"/>
    <w:basedOn w:val="Normal"/>
    <w:qFormat/>
    <w:rsid w:val="00B63FD9"/>
    <w:pPr>
      <w:widowControl/>
      <w:tabs>
        <w:tab w:val="left" w:pos="720"/>
      </w:tabs>
      <w:autoSpaceDE/>
      <w:autoSpaceDN/>
      <w:adjustRightInd/>
      <w:spacing w:line="480" w:lineRule="auto"/>
      <w:outlineLvl w:val="0"/>
    </w:pPr>
    <w:rPr>
      <w:rFonts w:eastAsia="Arial Unicode MS"/>
      <w:color w:val="000000"/>
      <w:sz w:val="26"/>
      <w:szCs w:val="26"/>
      <w:u w:color="000000"/>
    </w:rPr>
  </w:style>
  <w:style w:type="paragraph" w:customStyle="1" w:styleId="Default">
    <w:name w:val="Default"/>
    <w:rsid w:val="005F41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F77F98"/>
    <w:pPr>
      <w:autoSpaceDE/>
      <w:autoSpaceDN/>
      <w:adjustRightInd/>
    </w:pPr>
    <w:rPr>
      <w:rFonts w:asciiTheme="minorHAnsi" w:eastAsiaTheme="minorHAnsi" w:hAnsiTheme="minorHAnsi" w:cstheme="minorBidi"/>
      <w:sz w:val="22"/>
      <w:szCs w:val="22"/>
    </w:rPr>
  </w:style>
  <w:style w:type="paragraph" w:styleId="TOC2">
    <w:name w:val="toc 2"/>
    <w:basedOn w:val="Normal"/>
    <w:uiPriority w:val="1"/>
    <w:qFormat/>
    <w:rsid w:val="00A10EA2"/>
    <w:pPr>
      <w:autoSpaceDE/>
      <w:autoSpaceDN/>
      <w:adjustRightInd/>
      <w:ind w:left="775" w:hanging="381"/>
    </w:pPr>
    <w:rPr>
      <w:rFonts w:cstheme="minorBidi"/>
      <w:sz w:val="26"/>
      <w:szCs w:val="26"/>
    </w:rPr>
  </w:style>
  <w:style w:type="paragraph" w:styleId="BodyText">
    <w:name w:val="Body Text"/>
    <w:basedOn w:val="Normal"/>
    <w:link w:val="BodyTextChar"/>
    <w:uiPriority w:val="1"/>
    <w:qFormat/>
    <w:rsid w:val="00A10EA2"/>
    <w:pPr>
      <w:autoSpaceDE/>
      <w:autoSpaceDN/>
      <w:adjustRightInd/>
      <w:ind w:left="120"/>
    </w:pPr>
    <w:rPr>
      <w:rFonts w:cstheme="minorBidi"/>
      <w:sz w:val="26"/>
      <w:szCs w:val="26"/>
    </w:rPr>
  </w:style>
  <w:style w:type="character" w:customStyle="1" w:styleId="BodyTextChar">
    <w:name w:val="Body Text Char"/>
    <w:basedOn w:val="DefaultParagraphFont"/>
    <w:link w:val="BodyText"/>
    <w:uiPriority w:val="1"/>
    <w:rsid w:val="00A10EA2"/>
    <w:rPr>
      <w:rFonts w:ascii="Times New Roman" w:eastAsia="Times New Roman" w:hAnsi="Times New Roman"/>
      <w:sz w:val="26"/>
      <w:szCs w:val="26"/>
    </w:rPr>
  </w:style>
  <w:style w:type="paragraph" w:styleId="Revision">
    <w:name w:val="Revision"/>
    <w:hidden/>
    <w:uiPriority w:val="99"/>
    <w:semiHidden/>
    <w:rsid w:val="00FE298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877886"/>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qFormat/>
    <w:rsid w:val="00877886"/>
    <w:rPr>
      <w:sz w:val="20"/>
      <w:szCs w:val="20"/>
    </w:rPr>
  </w:style>
  <w:style w:type="character" w:customStyle="1" w:styleId="FootnoteTextChar">
    <w:name w:val="Footnote Text Char"/>
    <w:aliases w:val="Footnote Text MRP Char,Footnote Text Char3 Char,ft Char Char,ft Char1,f Char"/>
    <w:basedOn w:val="DefaultParagraphFont"/>
    <w:uiPriority w:val="99"/>
    <w:rsid w:val="00877886"/>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877886"/>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877886"/>
    <w:rPr>
      <w:rFonts w:ascii="Times New Roman" w:eastAsia="Times New Roman" w:hAnsi="Times New Roman" w:cs="Times New Roman"/>
      <w:sz w:val="20"/>
      <w:szCs w:val="20"/>
    </w:rPr>
  </w:style>
  <w:style w:type="character" w:customStyle="1" w:styleId="FERCparanumberChar">
    <w:name w:val="FERC paranumber Char"/>
    <w:link w:val="FERCparanumber"/>
    <w:rsid w:val="00877886"/>
    <w:rPr>
      <w:rFonts w:ascii="Times New Roman" w:eastAsia="Times New Roman" w:hAnsi="Times New Roman" w:cs="Times New Roman"/>
      <w:sz w:val="26"/>
      <w:szCs w:val="24"/>
    </w:rPr>
  </w:style>
  <w:style w:type="character" w:styleId="Hyperlink">
    <w:name w:val="Hyperlink"/>
    <w:rsid w:val="00877886"/>
    <w:rPr>
      <w:color w:val="0000FF"/>
      <w:u w:val="single"/>
    </w:rPr>
  </w:style>
  <w:style w:type="paragraph" w:styleId="ListParagraph">
    <w:name w:val="List Paragraph"/>
    <w:basedOn w:val="Normal"/>
    <w:qFormat/>
    <w:rsid w:val="00877886"/>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877886"/>
    <w:pPr>
      <w:tabs>
        <w:tab w:val="center" w:pos="4680"/>
        <w:tab w:val="right" w:pos="9360"/>
      </w:tabs>
    </w:pPr>
  </w:style>
  <w:style w:type="character" w:customStyle="1" w:styleId="HeaderChar">
    <w:name w:val="Header Char"/>
    <w:basedOn w:val="DefaultParagraphFont"/>
    <w:link w:val="Header"/>
    <w:uiPriority w:val="99"/>
    <w:rsid w:val="008778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886"/>
    <w:pPr>
      <w:tabs>
        <w:tab w:val="center" w:pos="4680"/>
        <w:tab w:val="right" w:pos="9360"/>
      </w:tabs>
    </w:pPr>
  </w:style>
  <w:style w:type="character" w:customStyle="1" w:styleId="FooterChar">
    <w:name w:val="Footer Char"/>
    <w:basedOn w:val="DefaultParagraphFont"/>
    <w:link w:val="Footer"/>
    <w:uiPriority w:val="99"/>
    <w:rsid w:val="0087788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3313"/>
    <w:rPr>
      <w:sz w:val="16"/>
      <w:szCs w:val="16"/>
    </w:rPr>
  </w:style>
  <w:style w:type="paragraph" w:styleId="CommentText">
    <w:name w:val="annotation text"/>
    <w:basedOn w:val="Normal"/>
    <w:link w:val="CommentTextChar"/>
    <w:uiPriority w:val="99"/>
    <w:semiHidden/>
    <w:unhideWhenUsed/>
    <w:rsid w:val="00833313"/>
    <w:rPr>
      <w:sz w:val="20"/>
      <w:szCs w:val="20"/>
    </w:rPr>
  </w:style>
  <w:style w:type="character" w:customStyle="1" w:styleId="CommentTextChar">
    <w:name w:val="Comment Text Char"/>
    <w:basedOn w:val="DefaultParagraphFont"/>
    <w:link w:val="CommentText"/>
    <w:uiPriority w:val="99"/>
    <w:semiHidden/>
    <w:rsid w:val="00833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3313"/>
    <w:rPr>
      <w:b/>
      <w:bCs/>
    </w:rPr>
  </w:style>
  <w:style w:type="character" w:customStyle="1" w:styleId="CommentSubjectChar">
    <w:name w:val="Comment Subject Char"/>
    <w:basedOn w:val="CommentTextChar"/>
    <w:link w:val="CommentSubject"/>
    <w:uiPriority w:val="99"/>
    <w:semiHidden/>
    <w:rsid w:val="00833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3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13"/>
    <w:rPr>
      <w:rFonts w:ascii="Segoe UI" w:eastAsia="Times New Roman" w:hAnsi="Segoe UI" w:cs="Segoe UI"/>
      <w:sz w:val="18"/>
      <w:szCs w:val="18"/>
    </w:rPr>
  </w:style>
  <w:style w:type="paragraph" w:customStyle="1" w:styleId="ParagraphwithoutNumbers">
    <w:name w:val="Paragraph with out Numbers"/>
    <w:basedOn w:val="Normal"/>
    <w:qFormat/>
    <w:rsid w:val="00B63FD9"/>
    <w:pPr>
      <w:widowControl/>
      <w:tabs>
        <w:tab w:val="left" w:pos="720"/>
      </w:tabs>
      <w:autoSpaceDE/>
      <w:autoSpaceDN/>
      <w:adjustRightInd/>
      <w:spacing w:line="480" w:lineRule="auto"/>
      <w:outlineLvl w:val="0"/>
    </w:pPr>
    <w:rPr>
      <w:rFonts w:eastAsia="Arial Unicode MS"/>
      <w:color w:val="000000"/>
      <w:sz w:val="26"/>
      <w:szCs w:val="26"/>
      <w:u w:color="000000"/>
    </w:rPr>
  </w:style>
  <w:style w:type="paragraph" w:customStyle="1" w:styleId="Default">
    <w:name w:val="Default"/>
    <w:rsid w:val="005F41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F77F98"/>
    <w:pPr>
      <w:autoSpaceDE/>
      <w:autoSpaceDN/>
      <w:adjustRightInd/>
    </w:pPr>
    <w:rPr>
      <w:rFonts w:asciiTheme="minorHAnsi" w:eastAsiaTheme="minorHAnsi" w:hAnsiTheme="minorHAnsi" w:cstheme="minorBidi"/>
      <w:sz w:val="22"/>
      <w:szCs w:val="22"/>
    </w:rPr>
  </w:style>
  <w:style w:type="paragraph" w:styleId="TOC2">
    <w:name w:val="toc 2"/>
    <w:basedOn w:val="Normal"/>
    <w:uiPriority w:val="1"/>
    <w:qFormat/>
    <w:rsid w:val="00A10EA2"/>
    <w:pPr>
      <w:autoSpaceDE/>
      <w:autoSpaceDN/>
      <w:adjustRightInd/>
      <w:ind w:left="775" w:hanging="381"/>
    </w:pPr>
    <w:rPr>
      <w:rFonts w:cstheme="minorBidi"/>
      <w:sz w:val="26"/>
      <w:szCs w:val="26"/>
    </w:rPr>
  </w:style>
  <w:style w:type="paragraph" w:styleId="BodyText">
    <w:name w:val="Body Text"/>
    <w:basedOn w:val="Normal"/>
    <w:link w:val="BodyTextChar"/>
    <w:uiPriority w:val="1"/>
    <w:qFormat/>
    <w:rsid w:val="00A10EA2"/>
    <w:pPr>
      <w:autoSpaceDE/>
      <w:autoSpaceDN/>
      <w:adjustRightInd/>
      <w:ind w:left="120"/>
    </w:pPr>
    <w:rPr>
      <w:rFonts w:cstheme="minorBidi"/>
      <w:sz w:val="26"/>
      <w:szCs w:val="26"/>
    </w:rPr>
  </w:style>
  <w:style w:type="character" w:customStyle="1" w:styleId="BodyTextChar">
    <w:name w:val="Body Text Char"/>
    <w:basedOn w:val="DefaultParagraphFont"/>
    <w:link w:val="BodyText"/>
    <w:uiPriority w:val="1"/>
    <w:rsid w:val="00A10EA2"/>
    <w:rPr>
      <w:rFonts w:ascii="Times New Roman" w:eastAsia="Times New Roman" w:hAnsi="Times New Roman"/>
      <w:sz w:val="26"/>
      <w:szCs w:val="26"/>
    </w:rPr>
  </w:style>
  <w:style w:type="paragraph" w:styleId="Revision">
    <w:name w:val="Revision"/>
    <w:hidden/>
    <w:uiPriority w:val="99"/>
    <w:semiHidden/>
    <w:rsid w:val="00FE29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516G</_x0031__x002e__x0020_Collection_x0020_Number>
    <Date xmlns="d6eefc7d-9817-4fa6-84d5-3bc009be21b8">2017-07-20T00:00:00-04:00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RM17-2</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38262-32EF-4A62-B598-DD140DEDC063}">
  <ds:schemaRefs>
    <ds:schemaRef ds:uri="Microsoft.SharePoint.Taxonomy.ContentTypeSync"/>
  </ds:schemaRefs>
</ds:datastoreItem>
</file>

<file path=customXml/itemProps2.xml><?xml version="1.0" encoding="utf-8"?>
<ds:datastoreItem xmlns:ds="http://schemas.openxmlformats.org/officeDocument/2006/customXml" ds:itemID="{05E8B662-6654-403F-858C-854D25F77963}">
  <ds:schemaRefs>
    <ds:schemaRef ds:uri="http://schemas.microsoft.com/sharepoint/v3/contenttype/forms"/>
  </ds:schemaRefs>
</ds:datastoreItem>
</file>

<file path=customXml/itemProps3.xml><?xml version="1.0" encoding="utf-8"?>
<ds:datastoreItem xmlns:ds="http://schemas.openxmlformats.org/officeDocument/2006/customXml" ds:itemID="{C5B7279A-9088-4114-ACE4-516DACC125C1}">
  <ds:schemaRefs>
    <ds:schemaRef ds:uri="http://schemas.microsoft.com/office/2006/documentManagement/types"/>
    <ds:schemaRef ds:uri="http://schemas.microsoft.com/office/infopath/2007/PartnerControls"/>
    <ds:schemaRef ds:uri="d6eefc7d-9817-4fa6-84d5-3bc009be21b8"/>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B7670C0-BE95-43AC-A2D9-014591B66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F9C977-192A-4904-A2F9-B26C185FB4B0}">
  <ds:schemaRefs>
    <ds:schemaRef ds:uri="http://schemas.microsoft.com/office/2006/metadata/customXsn"/>
  </ds:schemaRefs>
</ds:datastoreItem>
</file>

<file path=customXml/itemProps6.xml><?xml version="1.0" encoding="utf-8"?>
<ds:datastoreItem xmlns:ds="http://schemas.openxmlformats.org/officeDocument/2006/customXml" ds:itemID="{94DAD807-66AF-4CA4-A563-CADCDEE8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RM17-2-000 Supporting Statement</vt:lpstr>
    </vt:vector>
  </TitlesOfParts>
  <Company>FERC</Company>
  <LinksUpToDate>false</LinksUpToDate>
  <CharactersWithSpaces>18608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RM17-2-000 Supporting Statement</dc:title>
  <dc:creator>Michele Chambers</dc:creator>
  <cp:lastModifiedBy>SYSTEM</cp:lastModifiedBy>
  <cp:revision>2</cp:revision>
  <cp:lastPrinted>2017-07-10T17:43:00Z</cp:lastPrinted>
  <dcterms:created xsi:type="dcterms:W3CDTF">2017-07-20T14:21:00Z</dcterms:created>
  <dcterms:modified xsi:type="dcterms:W3CDTF">2017-07-20T14:21:00Z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