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E58163" w14:textId="77777777" w:rsidR="00BF5553" w:rsidRPr="00386622" w:rsidRDefault="00BF5553" w:rsidP="00BF5553">
      <w:pPr>
        <w:tabs>
          <w:tab w:val="left" w:pos="1800"/>
        </w:tabs>
        <w:spacing w:after="0"/>
        <w:jc w:val="center"/>
        <w:rPr>
          <w:rFonts w:ascii="Times New Roman" w:hAnsi="Times New Roman" w:cs="Times New Roman"/>
          <w:sz w:val="26"/>
          <w:szCs w:val="26"/>
        </w:rPr>
      </w:pPr>
      <w:bookmarkStart w:id="0" w:name="_GoBack"/>
      <w:bookmarkEnd w:id="0"/>
      <w:r w:rsidRPr="00386622">
        <w:rPr>
          <w:rFonts w:ascii="Times New Roman" w:hAnsi="Times New Roman" w:cs="Times New Roman"/>
          <w:sz w:val="26"/>
          <w:szCs w:val="26"/>
        </w:rPr>
        <w:t>Supporting Statement</w:t>
      </w:r>
    </w:p>
    <w:p w14:paraId="2DA16A6A" w14:textId="77777777" w:rsidR="00BF5553" w:rsidRPr="00386622" w:rsidRDefault="00BF5553" w:rsidP="006F7ECE">
      <w:pPr>
        <w:spacing w:after="0"/>
        <w:jc w:val="center"/>
        <w:rPr>
          <w:rFonts w:ascii="Times New Roman" w:hAnsi="Times New Roman" w:cs="Times New Roman"/>
          <w:b/>
          <w:sz w:val="26"/>
          <w:szCs w:val="26"/>
        </w:rPr>
      </w:pPr>
      <w:r w:rsidRPr="00386622">
        <w:rPr>
          <w:rFonts w:ascii="Times New Roman" w:hAnsi="Times New Roman" w:cs="Times New Roman"/>
          <w:b/>
          <w:sz w:val="26"/>
          <w:szCs w:val="26"/>
        </w:rPr>
        <w:t xml:space="preserve">FERC-516E, </w:t>
      </w:r>
      <w:r w:rsidR="002E7681">
        <w:rPr>
          <w:rFonts w:ascii="Times New Roman" w:hAnsi="Times New Roman" w:cs="Times New Roman"/>
          <w:b/>
          <w:sz w:val="26"/>
          <w:szCs w:val="26"/>
        </w:rPr>
        <w:t>(</w:t>
      </w:r>
      <w:r w:rsidR="00E13D66" w:rsidRPr="00386622">
        <w:rPr>
          <w:rFonts w:ascii="Times New Roman" w:hAnsi="Times New Roman" w:cs="Times New Roman"/>
          <w:b/>
          <w:sz w:val="26"/>
          <w:szCs w:val="26"/>
        </w:rPr>
        <w:t>Fast-Start Pricing in Markets Operated by Regional Transmission Organizations and Independent System Operators</w:t>
      </w:r>
      <w:r w:rsidR="002E7681">
        <w:rPr>
          <w:rFonts w:ascii="Times New Roman" w:hAnsi="Times New Roman" w:cs="Times New Roman"/>
          <w:b/>
          <w:sz w:val="26"/>
          <w:szCs w:val="26"/>
        </w:rPr>
        <w:t>)</w:t>
      </w:r>
    </w:p>
    <w:p w14:paraId="247C27DF" w14:textId="77777777" w:rsidR="00BF5553" w:rsidRPr="00386622" w:rsidRDefault="00BF5553" w:rsidP="00BF5553">
      <w:pPr>
        <w:spacing w:after="0"/>
        <w:jc w:val="center"/>
        <w:rPr>
          <w:rFonts w:ascii="Times New Roman" w:hAnsi="Times New Roman" w:cs="Times New Roman"/>
          <w:b/>
          <w:sz w:val="26"/>
          <w:szCs w:val="26"/>
        </w:rPr>
      </w:pPr>
      <w:r w:rsidRPr="00386622">
        <w:rPr>
          <w:rFonts w:ascii="Times New Roman" w:hAnsi="Times New Roman" w:cs="Times New Roman"/>
          <w:b/>
          <w:sz w:val="26"/>
          <w:szCs w:val="26"/>
        </w:rPr>
        <w:t>as modified by the Notice of Proposed Rulemaking (NOPR) in Docket Number RM</w:t>
      </w:r>
      <w:r w:rsidR="006F7ECE" w:rsidRPr="00386622">
        <w:rPr>
          <w:rFonts w:ascii="Times New Roman" w:hAnsi="Times New Roman" w:cs="Times New Roman"/>
          <w:b/>
          <w:sz w:val="26"/>
          <w:szCs w:val="26"/>
        </w:rPr>
        <w:t>17</w:t>
      </w:r>
      <w:r w:rsidR="006F7ECE" w:rsidRPr="000F6B6C">
        <w:rPr>
          <w:rFonts w:ascii="Times New Roman" w:hAnsi="Times New Roman" w:cs="Times New Roman"/>
          <w:b/>
          <w:sz w:val="26"/>
          <w:szCs w:val="26"/>
        </w:rPr>
        <w:t>-3</w:t>
      </w:r>
      <w:r w:rsidR="00BC4031" w:rsidRPr="000F6B6C">
        <w:rPr>
          <w:rStyle w:val="FootnoteReference"/>
          <w:rFonts w:ascii="Times New Roman" w:hAnsi="Times New Roman" w:cs="Times New Roman"/>
          <w:b/>
          <w:sz w:val="26"/>
          <w:szCs w:val="26"/>
          <w:vertAlign w:val="superscript"/>
        </w:rPr>
        <w:footnoteReference w:id="1"/>
      </w:r>
    </w:p>
    <w:p w14:paraId="4A1254CD" w14:textId="77777777" w:rsidR="00BF5553" w:rsidRPr="00386622" w:rsidRDefault="00BF5553" w:rsidP="00BF5553">
      <w:pPr>
        <w:spacing w:after="0"/>
        <w:rPr>
          <w:rFonts w:ascii="Times New Roman" w:hAnsi="Times New Roman" w:cs="Times New Roman"/>
          <w:sz w:val="26"/>
          <w:szCs w:val="26"/>
        </w:rPr>
      </w:pPr>
    </w:p>
    <w:p w14:paraId="3C4C1E8E" w14:textId="77777777" w:rsidR="00EC4AD7" w:rsidRPr="00386622" w:rsidRDefault="00BF5553" w:rsidP="00BF5553">
      <w:pPr>
        <w:spacing w:after="0"/>
        <w:rPr>
          <w:rFonts w:ascii="Times New Roman" w:hAnsi="Times New Roman" w:cs="Times New Roman"/>
          <w:sz w:val="26"/>
          <w:szCs w:val="26"/>
        </w:rPr>
      </w:pPr>
      <w:r w:rsidRPr="00386622">
        <w:rPr>
          <w:rFonts w:ascii="Times New Roman" w:hAnsi="Times New Roman" w:cs="Times New Roman"/>
          <w:sz w:val="26"/>
          <w:szCs w:val="26"/>
        </w:rPr>
        <w:t xml:space="preserve">The Federal Energy Regulatory Commission (Commission or FERC) requests that the Office of Management and Budget (OMB) review </w:t>
      </w:r>
      <w:r w:rsidR="00EC4AD7" w:rsidRPr="00386622">
        <w:rPr>
          <w:rFonts w:ascii="Times New Roman" w:hAnsi="Times New Roman" w:cs="Times New Roman"/>
          <w:sz w:val="26"/>
          <w:szCs w:val="26"/>
        </w:rPr>
        <w:t xml:space="preserve">and approve the information collection in RM17-3 which implements Fast-Start Pricing in Markets Operated by Regional Transmission Organizations and Independent System Operators. </w:t>
      </w:r>
    </w:p>
    <w:p w14:paraId="4F3CFE82" w14:textId="77777777" w:rsidR="00EC4AD7" w:rsidRPr="00386622" w:rsidRDefault="00EC4AD7" w:rsidP="00BF5553">
      <w:pPr>
        <w:spacing w:after="0"/>
        <w:rPr>
          <w:rFonts w:ascii="Times New Roman" w:hAnsi="Times New Roman" w:cs="Times New Roman"/>
          <w:sz w:val="26"/>
          <w:szCs w:val="26"/>
        </w:rPr>
      </w:pPr>
    </w:p>
    <w:p w14:paraId="71FCA1A8" w14:textId="77777777" w:rsidR="009D59B1" w:rsidRPr="00386622" w:rsidRDefault="009D59B1" w:rsidP="009D59B1">
      <w:pPr>
        <w:spacing w:after="0"/>
        <w:rPr>
          <w:rFonts w:ascii="Times New Roman" w:hAnsi="Times New Roman" w:cs="Times New Roman"/>
          <w:i/>
          <w:sz w:val="26"/>
          <w:szCs w:val="26"/>
        </w:rPr>
      </w:pPr>
      <w:r w:rsidRPr="00386622">
        <w:rPr>
          <w:rFonts w:ascii="Times New Roman" w:hAnsi="Times New Roman" w:cs="Times New Roman"/>
          <w:i/>
          <w:sz w:val="26"/>
          <w:szCs w:val="26"/>
        </w:rPr>
        <w:t>FERC-516E</w:t>
      </w:r>
      <w:r w:rsidRPr="00386622">
        <w:rPr>
          <w:rFonts w:ascii="Times New Roman" w:hAnsi="Times New Roman" w:cs="Times New Roman"/>
          <w:sz w:val="26"/>
          <w:szCs w:val="26"/>
          <w:vertAlign w:val="superscript"/>
        </w:rPr>
        <w:footnoteReference w:id="2"/>
      </w:r>
      <w:r w:rsidRPr="00386622">
        <w:rPr>
          <w:rFonts w:ascii="Times New Roman" w:hAnsi="Times New Roman" w:cs="Times New Roman"/>
          <w:sz w:val="26"/>
          <w:szCs w:val="26"/>
          <w:vertAlign w:val="superscript"/>
        </w:rPr>
        <w:t xml:space="preserve"> </w:t>
      </w:r>
      <w:r w:rsidRPr="00386622">
        <w:rPr>
          <w:rFonts w:ascii="Times New Roman" w:hAnsi="Times New Roman" w:cs="Times New Roman"/>
          <w:i/>
          <w:sz w:val="26"/>
          <w:szCs w:val="26"/>
        </w:rPr>
        <w:t>(OMB Control No. TBD) is listed in this Order as a temporary information collection number. FERC-516 was at OMB for review. Because only one item per OMB Control No. can be pending OMB review at a time, we are using a new temporary placeholder or interim collection number FERC-516</w:t>
      </w:r>
      <w:r w:rsidR="00BC4031">
        <w:rPr>
          <w:rFonts w:ascii="Times New Roman" w:hAnsi="Times New Roman" w:cs="Times New Roman"/>
          <w:i/>
          <w:sz w:val="26"/>
          <w:szCs w:val="26"/>
        </w:rPr>
        <w:t>E</w:t>
      </w:r>
      <w:r w:rsidRPr="00386622">
        <w:rPr>
          <w:rFonts w:ascii="Times New Roman" w:hAnsi="Times New Roman" w:cs="Times New Roman"/>
          <w:i/>
          <w:sz w:val="26"/>
          <w:szCs w:val="26"/>
        </w:rPr>
        <w:t xml:space="preserve"> (OMB Control No. TBD) in order to ensure timely submittal of this supporting statement and related materials in RM17-3 to OMB. </w:t>
      </w:r>
    </w:p>
    <w:p w14:paraId="03D2A179" w14:textId="77777777" w:rsidR="009D59B1" w:rsidRDefault="009D59B1" w:rsidP="009D59B1">
      <w:pPr>
        <w:spacing w:after="0"/>
        <w:rPr>
          <w:rFonts w:ascii="Times New Roman" w:hAnsi="Times New Roman" w:cs="Times New Roman"/>
          <w:i/>
          <w:sz w:val="26"/>
          <w:szCs w:val="26"/>
        </w:rPr>
      </w:pPr>
    </w:p>
    <w:p w14:paraId="428940C0" w14:textId="77777777" w:rsidR="00BC4031" w:rsidRDefault="00BC4031" w:rsidP="009D59B1">
      <w:pPr>
        <w:spacing w:after="0"/>
        <w:rPr>
          <w:rFonts w:ascii="Times New Roman" w:hAnsi="Times New Roman" w:cs="Times New Roman"/>
          <w:b/>
          <w:sz w:val="26"/>
          <w:szCs w:val="26"/>
          <w:u w:val="single"/>
        </w:rPr>
      </w:pPr>
      <w:r>
        <w:rPr>
          <w:rFonts w:ascii="Times New Roman" w:hAnsi="Times New Roman" w:cs="Times New Roman"/>
          <w:b/>
          <w:sz w:val="26"/>
          <w:szCs w:val="26"/>
          <w:u w:val="single"/>
        </w:rPr>
        <w:t>Background</w:t>
      </w:r>
    </w:p>
    <w:p w14:paraId="2685DC85" w14:textId="77777777" w:rsidR="00BC4031" w:rsidRDefault="00BC4031" w:rsidP="009D59B1">
      <w:pPr>
        <w:spacing w:after="0"/>
        <w:rPr>
          <w:rFonts w:ascii="Times New Roman" w:hAnsi="Times New Roman" w:cs="Times New Roman"/>
          <w:sz w:val="26"/>
          <w:szCs w:val="26"/>
        </w:rPr>
      </w:pPr>
    </w:p>
    <w:p w14:paraId="78699AD4" w14:textId="77777777" w:rsidR="00BC4031" w:rsidRPr="00BC4031" w:rsidRDefault="00BC4031" w:rsidP="00BC4031">
      <w:pPr>
        <w:spacing w:after="0"/>
        <w:rPr>
          <w:rFonts w:ascii="Times New Roman" w:hAnsi="Times New Roman" w:cs="Times New Roman"/>
          <w:sz w:val="26"/>
          <w:szCs w:val="26"/>
        </w:rPr>
      </w:pPr>
      <w:r w:rsidRPr="00BC4031">
        <w:rPr>
          <w:rFonts w:ascii="Times New Roman" w:hAnsi="Times New Roman" w:cs="Times New Roman"/>
          <w:sz w:val="26"/>
          <w:szCs w:val="26"/>
        </w:rPr>
        <w:t>In June 2014, the Commission initiated a proceeding, in Docket No. AD14-14-000, Price Formation in Energy and Ancillary Services Markets Operated by Regional Transmission Organizations and Independent System Operators, to evaluate issues regarding price formation in the energy and ancillary services markets operated by RTOs/ISOs (Price Formation Proceeding).  The notice initiating that proceeding stated that there may be opportunities for the RTOs/ISOs to improve the price formation process in the energy and ancillary services markets.  As set forth in the notice, prices used in energy and ancillary services markets ideally “would reflect the true marginal cost of production, taking into account all physical system constraints, and these prices would fully compensate all resources for the variable cost of providing service.”</w:t>
      </w:r>
      <w:r w:rsidRPr="00BC4031">
        <w:rPr>
          <w:rFonts w:ascii="Times New Roman" w:hAnsi="Times New Roman" w:cs="Times New Roman"/>
          <w:b/>
          <w:sz w:val="26"/>
          <w:szCs w:val="26"/>
          <w:vertAlign w:val="superscript"/>
        </w:rPr>
        <w:footnoteReference w:id="3"/>
      </w:r>
      <w:r w:rsidRPr="00BC4031">
        <w:rPr>
          <w:rFonts w:ascii="Times New Roman" w:hAnsi="Times New Roman" w:cs="Times New Roman"/>
          <w:sz w:val="26"/>
          <w:szCs w:val="26"/>
        </w:rPr>
        <w:t xml:space="preserve">  Pursuant to the </w:t>
      </w:r>
      <w:r w:rsidRPr="00BC4031">
        <w:rPr>
          <w:rFonts w:ascii="Times New Roman" w:hAnsi="Times New Roman" w:cs="Times New Roman"/>
          <w:sz w:val="26"/>
          <w:szCs w:val="26"/>
        </w:rPr>
        <w:lastRenderedPageBreak/>
        <w:t>notice, staff conducted outreach and convened technical workshops on the following four general issues:  (1) use of uplift payments; (2) offer price mitigation and offer price caps; (3) scarcity and shortage pricing; and (4) operator actions that affect prices.</w:t>
      </w:r>
      <w:r w:rsidRPr="00BC4031">
        <w:rPr>
          <w:rFonts w:ascii="Times New Roman" w:hAnsi="Times New Roman" w:cs="Times New Roman"/>
          <w:b/>
          <w:sz w:val="26"/>
          <w:szCs w:val="26"/>
          <w:vertAlign w:val="superscript"/>
        </w:rPr>
        <w:footnoteReference w:id="4"/>
      </w:r>
      <w:r w:rsidRPr="00BC4031">
        <w:rPr>
          <w:rFonts w:ascii="Times New Roman" w:hAnsi="Times New Roman" w:cs="Times New Roman"/>
          <w:sz w:val="26"/>
          <w:szCs w:val="26"/>
        </w:rPr>
        <w:t xml:space="preserve">    </w:t>
      </w:r>
    </w:p>
    <w:p w14:paraId="06659FEB" w14:textId="77777777" w:rsidR="00BC4031" w:rsidRPr="00BC4031" w:rsidRDefault="00BC4031" w:rsidP="00BC4031">
      <w:pPr>
        <w:spacing w:after="0"/>
        <w:rPr>
          <w:rFonts w:ascii="Times New Roman" w:hAnsi="Times New Roman" w:cs="Times New Roman"/>
          <w:sz w:val="26"/>
          <w:szCs w:val="26"/>
        </w:rPr>
      </w:pPr>
      <w:r w:rsidRPr="00BC4031">
        <w:rPr>
          <w:rFonts w:ascii="Times New Roman" w:hAnsi="Times New Roman" w:cs="Times New Roman"/>
          <w:sz w:val="26"/>
          <w:szCs w:val="26"/>
        </w:rPr>
        <w:t>In January 2015, the Commission requested comments on questions that arose from the price formation technical workshops.</w:t>
      </w:r>
      <w:r w:rsidRPr="00BC4031">
        <w:rPr>
          <w:rFonts w:ascii="Times New Roman" w:hAnsi="Times New Roman" w:cs="Times New Roman"/>
          <w:b/>
          <w:sz w:val="26"/>
          <w:szCs w:val="26"/>
          <w:vertAlign w:val="superscript"/>
        </w:rPr>
        <w:footnoteReference w:id="5"/>
      </w:r>
      <w:r w:rsidRPr="00BC4031">
        <w:rPr>
          <w:rFonts w:ascii="Times New Roman" w:hAnsi="Times New Roman" w:cs="Times New Roman"/>
          <w:sz w:val="26"/>
          <w:szCs w:val="26"/>
        </w:rPr>
        <w:t xml:space="preserve">  As a result of these comments, the Commission identified, among other things, five technical topics with potential for reform to improve price formation, but for which further information was needed.  In November 2015, the Commission issued an order that directed each RTO/ISO to report on these five price formation topics:  fast-start pricing; managing multiple contingencies; look-ahead modeling; uplift allocation; and transparency.</w:t>
      </w:r>
      <w:r w:rsidRPr="00BC4031">
        <w:rPr>
          <w:rFonts w:ascii="Times New Roman" w:hAnsi="Times New Roman" w:cs="Times New Roman"/>
          <w:b/>
          <w:sz w:val="26"/>
          <w:szCs w:val="26"/>
          <w:vertAlign w:val="superscript"/>
        </w:rPr>
        <w:footnoteReference w:id="6"/>
      </w:r>
      <w:r w:rsidRPr="00BC4031">
        <w:rPr>
          <w:rFonts w:ascii="Times New Roman" w:hAnsi="Times New Roman" w:cs="Times New Roman"/>
          <w:sz w:val="26"/>
          <w:szCs w:val="26"/>
        </w:rPr>
        <w:t xml:space="preserve">  The order directed each RTO/ISO to file a report providing an update on its current practices in the topic areas, outlining the status of its efforts (if any) to address issues in each of the five topics, and responding to specific questions contained in the order.  This NOPR addresses the pricing of fast-start resources.</w:t>
      </w:r>
    </w:p>
    <w:p w14:paraId="03B4B93D" w14:textId="77777777" w:rsidR="00BC4031" w:rsidRDefault="00BC4031" w:rsidP="009D59B1">
      <w:pPr>
        <w:spacing w:after="0"/>
        <w:rPr>
          <w:rFonts w:ascii="Times New Roman" w:hAnsi="Times New Roman" w:cs="Times New Roman"/>
          <w:sz w:val="26"/>
          <w:szCs w:val="26"/>
        </w:rPr>
      </w:pPr>
    </w:p>
    <w:p w14:paraId="47331BD9" w14:textId="77777777" w:rsidR="00B07C11" w:rsidRDefault="00B07C11">
      <w:pPr>
        <w:spacing w:after="0"/>
        <w:rPr>
          <w:rFonts w:ascii="Times New Roman" w:hAnsi="Times New Roman" w:cs="Times New Roman"/>
          <w:sz w:val="26"/>
          <w:szCs w:val="26"/>
        </w:rPr>
      </w:pPr>
      <w:r w:rsidRPr="00B07C11">
        <w:rPr>
          <w:rFonts w:ascii="Times New Roman" w:hAnsi="Times New Roman" w:cs="Times New Roman"/>
          <w:b/>
          <w:sz w:val="26"/>
          <w:szCs w:val="26"/>
        </w:rPr>
        <w:t>A.</w:t>
      </w:r>
      <w:r>
        <w:rPr>
          <w:rFonts w:ascii="Times New Roman" w:hAnsi="Times New Roman" w:cs="Times New Roman"/>
          <w:b/>
          <w:sz w:val="26"/>
          <w:szCs w:val="26"/>
        </w:rPr>
        <w:t xml:space="preserve">  </w:t>
      </w:r>
      <w:r>
        <w:rPr>
          <w:rFonts w:ascii="Times New Roman" w:hAnsi="Times New Roman" w:cs="Times New Roman"/>
          <w:b/>
          <w:sz w:val="26"/>
          <w:szCs w:val="26"/>
          <w:u w:val="single"/>
        </w:rPr>
        <w:t>Justification</w:t>
      </w:r>
    </w:p>
    <w:p w14:paraId="0EC020A3" w14:textId="77777777" w:rsidR="00B07C11" w:rsidRPr="00642F3F" w:rsidRDefault="00B07C11">
      <w:pPr>
        <w:spacing w:after="0"/>
        <w:rPr>
          <w:rFonts w:ascii="Times New Roman" w:hAnsi="Times New Roman" w:cs="Times New Roman"/>
          <w:sz w:val="26"/>
          <w:szCs w:val="26"/>
        </w:rPr>
      </w:pPr>
    </w:p>
    <w:p w14:paraId="7BB0C7A8" w14:textId="77777777" w:rsidR="00BF5553" w:rsidRPr="00386622" w:rsidRDefault="00BF5553" w:rsidP="00BF5553">
      <w:pPr>
        <w:pStyle w:val="ListParagraph"/>
        <w:numPr>
          <w:ilvl w:val="0"/>
          <w:numId w:val="1"/>
        </w:numPr>
        <w:spacing w:after="0"/>
        <w:ind w:left="360"/>
        <w:rPr>
          <w:rFonts w:ascii="Times New Roman" w:hAnsi="Times New Roman" w:cs="Times New Roman"/>
          <w:b/>
          <w:sz w:val="26"/>
          <w:szCs w:val="26"/>
        </w:rPr>
      </w:pPr>
      <w:r w:rsidRPr="00386622">
        <w:rPr>
          <w:rFonts w:ascii="Times New Roman" w:hAnsi="Times New Roman" w:cs="Times New Roman"/>
          <w:b/>
          <w:sz w:val="26"/>
          <w:szCs w:val="26"/>
        </w:rPr>
        <w:t>CIRCUMSTANCES THAT MAKE THE COLLECTION OF INFORMATION NECESSARY</w:t>
      </w:r>
    </w:p>
    <w:p w14:paraId="47E86BF2" w14:textId="77777777" w:rsidR="00BF5553" w:rsidRPr="00386622" w:rsidRDefault="00BF5553" w:rsidP="00BF5553">
      <w:pPr>
        <w:spacing w:after="0"/>
        <w:rPr>
          <w:rFonts w:ascii="Times New Roman" w:hAnsi="Times New Roman" w:cs="Times New Roman"/>
          <w:sz w:val="26"/>
          <w:szCs w:val="26"/>
        </w:rPr>
      </w:pPr>
    </w:p>
    <w:p w14:paraId="3A81FCC1" w14:textId="77777777" w:rsidR="009D59B1" w:rsidRPr="00386622" w:rsidRDefault="00BF5553" w:rsidP="009D59B1">
      <w:pPr>
        <w:spacing w:after="0"/>
        <w:rPr>
          <w:rFonts w:ascii="Times New Roman" w:hAnsi="Times New Roman" w:cs="Times New Roman"/>
          <w:sz w:val="26"/>
          <w:szCs w:val="26"/>
        </w:rPr>
      </w:pPr>
      <w:r w:rsidRPr="00386622">
        <w:rPr>
          <w:rFonts w:ascii="Times New Roman" w:hAnsi="Times New Roman" w:cs="Times New Roman"/>
          <w:sz w:val="26"/>
          <w:szCs w:val="26"/>
        </w:rPr>
        <w:t>The Federal Power Act Section 205</w:t>
      </w:r>
      <w:r w:rsidRPr="00386622">
        <w:rPr>
          <w:rStyle w:val="FootnoteReference"/>
          <w:rFonts w:ascii="Times New Roman" w:hAnsi="Times New Roman" w:cs="Times New Roman"/>
          <w:sz w:val="26"/>
          <w:szCs w:val="26"/>
          <w:vertAlign w:val="superscript"/>
        </w:rPr>
        <w:footnoteReference w:id="7"/>
      </w:r>
      <w:r w:rsidRPr="00386622">
        <w:rPr>
          <w:rFonts w:ascii="Times New Roman" w:hAnsi="Times New Roman" w:cs="Times New Roman"/>
          <w:sz w:val="26"/>
          <w:szCs w:val="26"/>
        </w:rPr>
        <w:t xml:space="preserve"> requires the Federal Energy Regulatory Commission to ensure that the rates and charges for the wholesale sale of electric energy are just and reasonable.  Section 205 also requires that the rules and regulations affecting or pertaining to the rates and charges for the wholesale sale of electric energy be just and reasonable.  </w:t>
      </w:r>
      <w:r w:rsidR="00204C3D">
        <w:rPr>
          <w:rFonts w:ascii="Times New Roman" w:hAnsi="Times New Roman" w:cs="Times New Roman"/>
          <w:sz w:val="26"/>
          <w:szCs w:val="26"/>
        </w:rPr>
        <w:t>Federal Power Act Section 206</w:t>
      </w:r>
      <w:r w:rsidR="00FF3168" w:rsidRPr="00204C3D">
        <w:rPr>
          <w:rStyle w:val="FootnoteReference"/>
          <w:rFonts w:ascii="Times New Roman" w:hAnsi="Times New Roman" w:cs="Times New Roman"/>
          <w:sz w:val="26"/>
          <w:szCs w:val="26"/>
          <w:vertAlign w:val="superscript"/>
        </w:rPr>
        <w:footnoteReference w:id="8"/>
      </w:r>
      <w:r w:rsidR="00204C3D">
        <w:rPr>
          <w:rFonts w:ascii="Times New Roman" w:hAnsi="Times New Roman" w:cs="Times New Roman"/>
          <w:sz w:val="26"/>
          <w:szCs w:val="26"/>
        </w:rPr>
        <w:t xml:space="preserve"> provides that if the Commission finds that a rate, charge, rule, or regulation </w:t>
      </w:r>
      <w:r w:rsidR="006417BC">
        <w:rPr>
          <w:rFonts w:ascii="Times New Roman" w:hAnsi="Times New Roman" w:cs="Times New Roman"/>
          <w:sz w:val="26"/>
          <w:szCs w:val="26"/>
        </w:rPr>
        <w:t xml:space="preserve">is </w:t>
      </w:r>
      <w:r w:rsidR="00204C3D">
        <w:rPr>
          <w:rFonts w:ascii="Times New Roman" w:hAnsi="Times New Roman" w:cs="Times New Roman"/>
          <w:sz w:val="26"/>
          <w:szCs w:val="26"/>
        </w:rPr>
        <w:t xml:space="preserve">unjust and unreasonable, </w:t>
      </w:r>
      <w:r w:rsidR="006417BC">
        <w:rPr>
          <w:rFonts w:ascii="Times New Roman" w:hAnsi="Times New Roman" w:cs="Times New Roman"/>
          <w:sz w:val="26"/>
          <w:szCs w:val="26"/>
        </w:rPr>
        <w:t>the Commission</w:t>
      </w:r>
      <w:r w:rsidR="00204C3D">
        <w:rPr>
          <w:rFonts w:ascii="Times New Roman" w:hAnsi="Times New Roman" w:cs="Times New Roman"/>
          <w:sz w:val="26"/>
          <w:szCs w:val="26"/>
        </w:rPr>
        <w:t xml:space="preserve"> shall </w:t>
      </w:r>
      <w:r w:rsidR="006417BC">
        <w:rPr>
          <w:rFonts w:ascii="Times New Roman" w:hAnsi="Times New Roman" w:cs="Times New Roman"/>
          <w:sz w:val="26"/>
          <w:szCs w:val="26"/>
        </w:rPr>
        <w:t>determine and fix</w:t>
      </w:r>
      <w:r w:rsidR="00204C3D">
        <w:rPr>
          <w:rFonts w:ascii="Times New Roman" w:hAnsi="Times New Roman" w:cs="Times New Roman"/>
          <w:sz w:val="26"/>
          <w:szCs w:val="26"/>
        </w:rPr>
        <w:t xml:space="preserve"> the just and reasonable rate, charge, rule, or regulation.  </w:t>
      </w:r>
      <w:r w:rsidR="009D59B1" w:rsidRPr="00386622">
        <w:rPr>
          <w:rFonts w:ascii="Times New Roman" w:hAnsi="Times New Roman" w:cs="Times New Roman"/>
          <w:sz w:val="26"/>
          <w:szCs w:val="26"/>
        </w:rPr>
        <w:t xml:space="preserve">In this NOPR, the Commission proposes to revise its regulations to require that each regional transmission organization (RTO) and independent system operator (ISO) incorporate market rules that meet certain requirements when pricing fast-start resources.  These reforms should lead to prices that more transparently reflect the marginal cost of serving </w:t>
      </w:r>
      <w:r w:rsidR="009D59B1" w:rsidRPr="00386622">
        <w:rPr>
          <w:rFonts w:ascii="Times New Roman" w:hAnsi="Times New Roman" w:cs="Times New Roman"/>
          <w:sz w:val="26"/>
          <w:szCs w:val="26"/>
        </w:rPr>
        <w:lastRenderedPageBreak/>
        <w:t>load, which will reduce uplift costs and thereby improve price signals to support efficient investments.</w:t>
      </w:r>
    </w:p>
    <w:p w14:paraId="27CA49C9" w14:textId="77777777" w:rsidR="009D59B1" w:rsidRPr="00386622" w:rsidRDefault="009D59B1" w:rsidP="00BF5553">
      <w:pPr>
        <w:spacing w:after="0"/>
        <w:rPr>
          <w:rFonts w:ascii="Times New Roman" w:hAnsi="Times New Roman" w:cs="Times New Roman"/>
          <w:sz w:val="26"/>
          <w:szCs w:val="26"/>
        </w:rPr>
      </w:pPr>
    </w:p>
    <w:p w14:paraId="167D7D69" w14:textId="77777777" w:rsidR="00BF5553" w:rsidRPr="00386622" w:rsidRDefault="00BF5553" w:rsidP="00BF5553">
      <w:pPr>
        <w:pStyle w:val="ListParagraph"/>
        <w:numPr>
          <w:ilvl w:val="0"/>
          <w:numId w:val="1"/>
        </w:numPr>
        <w:spacing w:after="0"/>
        <w:ind w:left="360"/>
        <w:rPr>
          <w:rFonts w:ascii="Times New Roman" w:hAnsi="Times New Roman" w:cs="Times New Roman"/>
          <w:b/>
          <w:sz w:val="26"/>
          <w:szCs w:val="26"/>
        </w:rPr>
      </w:pPr>
      <w:r w:rsidRPr="00386622">
        <w:rPr>
          <w:rFonts w:ascii="Times New Roman" w:hAnsi="Times New Roman" w:cs="Times New Roman"/>
          <w:b/>
          <w:sz w:val="26"/>
          <w:szCs w:val="26"/>
        </w:rPr>
        <w:t>HOW, BY WHOM, AND FOR WHAT PURPOSE THE INFORMATION IS TO BE USED AND THE CONSEQUENCES OF NOT COLLECTING THE INFORMATION</w:t>
      </w:r>
    </w:p>
    <w:p w14:paraId="6740F35E" w14:textId="77777777" w:rsidR="00BF5553" w:rsidRPr="00386622" w:rsidRDefault="00BF5553" w:rsidP="00BF5553">
      <w:pPr>
        <w:spacing w:after="0"/>
        <w:rPr>
          <w:rFonts w:ascii="Times New Roman" w:hAnsi="Times New Roman" w:cs="Times New Roman"/>
          <w:sz w:val="26"/>
          <w:szCs w:val="26"/>
        </w:rPr>
      </w:pPr>
    </w:p>
    <w:p w14:paraId="41C54F44" w14:textId="77777777" w:rsidR="00BF5553" w:rsidRPr="00386622" w:rsidRDefault="00BF5553" w:rsidP="00F951CF">
      <w:pPr>
        <w:spacing w:after="0"/>
        <w:rPr>
          <w:rFonts w:ascii="Times New Roman" w:hAnsi="Times New Roman" w:cs="Times New Roman"/>
          <w:sz w:val="26"/>
          <w:szCs w:val="26"/>
        </w:rPr>
      </w:pPr>
      <w:r w:rsidRPr="00386622">
        <w:rPr>
          <w:rFonts w:ascii="Times New Roman" w:hAnsi="Times New Roman" w:cs="Times New Roman"/>
          <w:sz w:val="26"/>
          <w:szCs w:val="26"/>
        </w:rPr>
        <w:t xml:space="preserve">The NOPR proposes to require </w:t>
      </w:r>
      <w:r w:rsidR="00F951CF" w:rsidRPr="00386622">
        <w:rPr>
          <w:rFonts w:ascii="Times New Roman" w:hAnsi="Times New Roman" w:cs="Times New Roman"/>
          <w:sz w:val="26"/>
          <w:szCs w:val="26"/>
        </w:rPr>
        <w:t xml:space="preserve">that each RTO/ISO incorporate the following five requirements for its fast-start pricing.  First, an RTO/ISO must apply fast-start pricing to any resource committed by the RTO/ISO that is able to start up within ten minutes or less, has a minimum run time of one hour or less, and that submits economic energy offers to the market.  Second, when an RTO/ISO makes a decision to commit a fast-start resource, it should incorporate commitment costs, i.e., start-up and no-load costs, of fast-start resources in energy and operating reserve prices, but must do so only during the fast-start resource’s minimum run time.  Third, an RTO/ISO must modify its fast-start pricing to relax the economic minimum operating limit of fast-start resources and treat them as dispatchable from zero to the economic maximum operating limit for the purpose of calculating prices.  Fourth, if an RTO/ISO allows offline fast-start resources to set prices for addressing certain system needs, the resource must be feasible and economic.  Finally, an RTO/ISO must incorporate fast-start pricing in both the day-ahead and real-time markets. The consequences of not collecting this information </w:t>
      </w:r>
      <w:r w:rsidR="008A5A75" w:rsidRPr="00386622">
        <w:rPr>
          <w:rFonts w:ascii="Times New Roman" w:hAnsi="Times New Roman" w:cs="Times New Roman"/>
          <w:sz w:val="26"/>
          <w:szCs w:val="26"/>
        </w:rPr>
        <w:t xml:space="preserve">affects the Commissions ability to </w:t>
      </w:r>
      <w:r w:rsidR="00F951CF" w:rsidRPr="00386622">
        <w:rPr>
          <w:rFonts w:ascii="Times New Roman" w:hAnsi="Times New Roman" w:cs="Times New Roman"/>
          <w:sz w:val="26"/>
          <w:szCs w:val="26"/>
        </w:rPr>
        <w:t xml:space="preserve">ensure prices </w:t>
      </w:r>
      <w:r w:rsidR="008A5A75" w:rsidRPr="00386622">
        <w:rPr>
          <w:rFonts w:ascii="Times New Roman" w:hAnsi="Times New Roman" w:cs="Times New Roman"/>
          <w:sz w:val="26"/>
          <w:szCs w:val="26"/>
        </w:rPr>
        <w:t xml:space="preserve">are </w:t>
      </w:r>
      <w:r w:rsidR="00F951CF" w:rsidRPr="00386622">
        <w:rPr>
          <w:rFonts w:ascii="Times New Roman" w:hAnsi="Times New Roman" w:cs="Times New Roman"/>
          <w:sz w:val="26"/>
          <w:szCs w:val="26"/>
        </w:rPr>
        <w:t>accurately reflect</w:t>
      </w:r>
      <w:r w:rsidR="008A5A75" w:rsidRPr="00386622">
        <w:rPr>
          <w:rFonts w:ascii="Times New Roman" w:hAnsi="Times New Roman" w:cs="Times New Roman"/>
          <w:sz w:val="26"/>
          <w:szCs w:val="26"/>
        </w:rPr>
        <w:t>ed in</w:t>
      </w:r>
      <w:r w:rsidR="00F951CF" w:rsidRPr="00386622">
        <w:rPr>
          <w:rFonts w:ascii="Times New Roman" w:hAnsi="Times New Roman" w:cs="Times New Roman"/>
          <w:sz w:val="26"/>
          <w:szCs w:val="26"/>
        </w:rPr>
        <w:t xml:space="preserve"> the marginal cost of serving load, potentially resulting in prices that do not reflect the value of fast-start resources, potentially creating unnecessary uplift payments, and potentially failing to provide incentives for market participants to make efficient investments. </w:t>
      </w:r>
    </w:p>
    <w:p w14:paraId="497EAFAE" w14:textId="77777777" w:rsidR="00BF5553" w:rsidRPr="00386622" w:rsidRDefault="00BF5553" w:rsidP="00BF5553">
      <w:pPr>
        <w:spacing w:after="0"/>
        <w:rPr>
          <w:rFonts w:ascii="Times New Roman" w:hAnsi="Times New Roman" w:cs="Times New Roman"/>
          <w:sz w:val="26"/>
          <w:szCs w:val="26"/>
        </w:rPr>
      </w:pPr>
    </w:p>
    <w:p w14:paraId="1C268719" w14:textId="77777777" w:rsidR="00BF5553" w:rsidRPr="00386622" w:rsidRDefault="00BF5553" w:rsidP="00BF5553">
      <w:pPr>
        <w:pStyle w:val="ListParagraph"/>
        <w:numPr>
          <w:ilvl w:val="0"/>
          <w:numId w:val="1"/>
        </w:numPr>
        <w:spacing w:after="0"/>
        <w:ind w:left="360"/>
        <w:rPr>
          <w:rFonts w:ascii="Times New Roman" w:hAnsi="Times New Roman" w:cs="Times New Roman"/>
          <w:b/>
          <w:sz w:val="26"/>
          <w:szCs w:val="26"/>
        </w:rPr>
      </w:pPr>
      <w:r w:rsidRPr="00386622">
        <w:rPr>
          <w:rFonts w:ascii="Times New Roman" w:hAnsi="Times New Roman" w:cs="Times New Roman"/>
          <w:b/>
          <w:sz w:val="26"/>
          <w:szCs w:val="26"/>
        </w:rPr>
        <w:t>DESCRIBE ANY CONSIDERATION OF THE USE OF IMPROVED INFORMATION TECHNOLOGY TO REDUCE THE BURDEN AND TECHNICAL OR LEGAL OBSTACLES TO REDUCING BURDEN</w:t>
      </w:r>
    </w:p>
    <w:p w14:paraId="0D19783E" w14:textId="77777777" w:rsidR="00BF5553" w:rsidRPr="00386622" w:rsidRDefault="00BF5553" w:rsidP="00BF5553">
      <w:pPr>
        <w:spacing w:after="0"/>
        <w:rPr>
          <w:rFonts w:ascii="Times New Roman" w:hAnsi="Times New Roman" w:cs="Times New Roman"/>
          <w:sz w:val="26"/>
          <w:szCs w:val="26"/>
        </w:rPr>
      </w:pPr>
    </w:p>
    <w:p w14:paraId="252691CE" w14:textId="77777777" w:rsidR="00693696" w:rsidRDefault="00BF5553" w:rsidP="00BF5553">
      <w:pPr>
        <w:spacing w:after="0"/>
        <w:rPr>
          <w:rFonts w:ascii="Times New Roman" w:hAnsi="Times New Roman" w:cs="Times New Roman"/>
          <w:sz w:val="26"/>
          <w:szCs w:val="26"/>
        </w:rPr>
      </w:pPr>
      <w:r w:rsidRPr="00386622">
        <w:rPr>
          <w:rFonts w:ascii="Times New Roman" w:hAnsi="Times New Roman" w:cs="Times New Roman"/>
          <w:sz w:val="26"/>
          <w:szCs w:val="26"/>
        </w:rPr>
        <w:t>FERC has made no significant changes in information technology use for complying with the FERC-516E as these issues were already addressed by FERC in a rule implementing the Commission’s eTariff system (fully implemented in 2010) for the electronic filing of tariffs</w:t>
      </w:r>
      <w:r w:rsidR="00693696" w:rsidRPr="00386622">
        <w:rPr>
          <w:rFonts w:ascii="Times New Roman" w:hAnsi="Times New Roman" w:cs="Times New Roman"/>
          <w:sz w:val="26"/>
          <w:szCs w:val="26"/>
        </w:rPr>
        <w:t>.</w:t>
      </w:r>
    </w:p>
    <w:p w14:paraId="53B456EA" w14:textId="77777777" w:rsidR="00BF5553" w:rsidRPr="00386622" w:rsidRDefault="00693696" w:rsidP="00BF5553">
      <w:pPr>
        <w:spacing w:after="0"/>
        <w:rPr>
          <w:rFonts w:ascii="Times New Roman" w:hAnsi="Times New Roman" w:cs="Times New Roman"/>
          <w:sz w:val="26"/>
          <w:szCs w:val="26"/>
        </w:rPr>
      </w:pPr>
      <w:r w:rsidRPr="00386622">
        <w:rPr>
          <w:rFonts w:ascii="Times New Roman" w:hAnsi="Times New Roman" w:cs="Times New Roman"/>
          <w:sz w:val="26"/>
          <w:szCs w:val="26"/>
        </w:rPr>
        <w:t xml:space="preserve"> </w:t>
      </w:r>
    </w:p>
    <w:p w14:paraId="487728FF" w14:textId="77777777" w:rsidR="00693696" w:rsidRPr="00693696" w:rsidRDefault="00693696" w:rsidP="00693696">
      <w:pPr>
        <w:spacing w:after="0"/>
        <w:rPr>
          <w:rFonts w:ascii="Times New Roman" w:hAnsi="Times New Roman" w:cs="Times New Roman"/>
          <w:sz w:val="26"/>
          <w:szCs w:val="26"/>
        </w:rPr>
      </w:pPr>
      <w:r w:rsidRPr="00693696">
        <w:rPr>
          <w:rFonts w:ascii="Times New Roman" w:hAnsi="Times New Roman" w:cs="Times New Roman"/>
          <w:sz w:val="26"/>
          <w:szCs w:val="26"/>
        </w:rPr>
        <w:t>In general, the Commission supports the use of information technology to reduce burden.</w:t>
      </w:r>
    </w:p>
    <w:p w14:paraId="1E6C9E3F" w14:textId="77777777" w:rsidR="00BF5553" w:rsidRPr="00386622" w:rsidRDefault="00BF5553" w:rsidP="00BF5553">
      <w:pPr>
        <w:spacing w:after="0"/>
        <w:rPr>
          <w:rFonts w:ascii="Times New Roman" w:hAnsi="Times New Roman" w:cs="Times New Roman"/>
          <w:sz w:val="26"/>
          <w:szCs w:val="26"/>
        </w:rPr>
      </w:pPr>
    </w:p>
    <w:p w14:paraId="47FFA809" w14:textId="77777777" w:rsidR="00BF5553" w:rsidRPr="00386622" w:rsidRDefault="00BF5553" w:rsidP="00BF5553">
      <w:pPr>
        <w:pStyle w:val="ListParagraph"/>
        <w:numPr>
          <w:ilvl w:val="0"/>
          <w:numId w:val="1"/>
        </w:numPr>
        <w:spacing w:after="0"/>
        <w:ind w:left="360"/>
        <w:rPr>
          <w:rFonts w:ascii="Times New Roman" w:hAnsi="Times New Roman" w:cs="Times New Roman"/>
          <w:b/>
          <w:sz w:val="26"/>
          <w:szCs w:val="26"/>
        </w:rPr>
      </w:pPr>
      <w:r w:rsidRPr="00386622">
        <w:rPr>
          <w:rFonts w:ascii="Times New Roman" w:hAnsi="Times New Roman" w:cs="Times New Roman"/>
          <w:b/>
          <w:sz w:val="26"/>
          <w:szCs w:val="26"/>
        </w:rPr>
        <w:t>DESCRIBE EFFORTS TO IDENTIFY DUPLICATION AND SHOW SPECIFICALLY WHY ANY SIMILAR INFORMATION ALREADY AVAILABLE CANNOT BE USED OR MODIFIED FOR USE FOR THE PURPOSE(S) DESCRIBED IN INSTRUCTION NO. 2</w:t>
      </w:r>
    </w:p>
    <w:p w14:paraId="35DE303F" w14:textId="77777777" w:rsidR="00F8397E" w:rsidRPr="00386622" w:rsidRDefault="00F8397E" w:rsidP="00F8397E">
      <w:pPr>
        <w:spacing w:after="0" w:line="240" w:lineRule="auto"/>
        <w:rPr>
          <w:rFonts w:ascii="Times New Roman" w:hAnsi="Times New Roman" w:cs="Times New Roman"/>
          <w:sz w:val="26"/>
          <w:szCs w:val="26"/>
        </w:rPr>
      </w:pPr>
    </w:p>
    <w:p w14:paraId="27EDA599" w14:textId="77777777" w:rsidR="00F8397E" w:rsidRPr="00386622" w:rsidRDefault="00F8397E" w:rsidP="00F8397E">
      <w:pPr>
        <w:spacing w:after="0" w:line="240" w:lineRule="auto"/>
        <w:rPr>
          <w:rFonts w:ascii="Times New Roman" w:hAnsi="Times New Roman" w:cs="Times New Roman"/>
          <w:sz w:val="26"/>
          <w:szCs w:val="26"/>
        </w:rPr>
      </w:pPr>
      <w:r w:rsidRPr="00386622">
        <w:rPr>
          <w:rFonts w:ascii="Times New Roman" w:hAnsi="Times New Roman" w:cs="Times New Roman"/>
          <w:sz w:val="26"/>
          <w:szCs w:val="26"/>
        </w:rPr>
        <w:t>Filing requirements are periodically reviewed as OMB review dates arise or as the Commission may deem necessary in carrying out its regulatory responsibilities</w:t>
      </w:r>
      <w:r w:rsidRPr="00386622">
        <w:rPr>
          <w:rFonts w:ascii="Times New Roman" w:eastAsia="Calibri" w:hAnsi="Times New Roman" w:cs="Times New Roman"/>
          <w:sz w:val="26"/>
          <w:szCs w:val="26"/>
        </w:rPr>
        <w:t xml:space="preserve"> </w:t>
      </w:r>
      <w:r w:rsidRPr="00386622">
        <w:rPr>
          <w:rFonts w:ascii="Times New Roman" w:hAnsi="Times New Roman" w:cs="Times New Roman"/>
          <w:sz w:val="26"/>
          <w:szCs w:val="26"/>
        </w:rPr>
        <w:t xml:space="preserve">under the FPA in order to eliminate duplication and ensure that filing burden is minimized. There are no similar sources for information available that can be used or modified for these reporting purposes. </w:t>
      </w:r>
    </w:p>
    <w:p w14:paraId="62F6A7B6" w14:textId="77777777" w:rsidR="00BF5553" w:rsidRPr="00386622" w:rsidRDefault="00BF5553" w:rsidP="00BF5553">
      <w:pPr>
        <w:spacing w:after="0"/>
        <w:rPr>
          <w:rFonts w:ascii="Times New Roman" w:hAnsi="Times New Roman" w:cs="Times New Roman"/>
          <w:sz w:val="26"/>
          <w:szCs w:val="26"/>
        </w:rPr>
      </w:pPr>
    </w:p>
    <w:p w14:paraId="2B8CD5BF" w14:textId="77777777" w:rsidR="00BF5553" w:rsidRPr="00386622" w:rsidRDefault="00BF5553" w:rsidP="00BF5553">
      <w:pPr>
        <w:pStyle w:val="ListParagraph"/>
        <w:numPr>
          <w:ilvl w:val="0"/>
          <w:numId w:val="1"/>
        </w:numPr>
        <w:spacing w:after="0"/>
        <w:ind w:left="360"/>
        <w:rPr>
          <w:rFonts w:ascii="Times New Roman" w:hAnsi="Times New Roman" w:cs="Times New Roman"/>
          <w:b/>
          <w:sz w:val="26"/>
          <w:szCs w:val="26"/>
        </w:rPr>
      </w:pPr>
      <w:r w:rsidRPr="00386622">
        <w:rPr>
          <w:rFonts w:ascii="Times New Roman" w:hAnsi="Times New Roman" w:cs="Times New Roman"/>
          <w:b/>
          <w:sz w:val="26"/>
          <w:szCs w:val="26"/>
        </w:rPr>
        <w:t>METHODS USED TO MINIMIZE THE BURDEN IN COLLECTION OF INFORMATION INVOLVING SMALL ENTITIES</w:t>
      </w:r>
    </w:p>
    <w:p w14:paraId="54F0D80D" w14:textId="77777777" w:rsidR="00BF5553" w:rsidRPr="00386622" w:rsidRDefault="00BF5553" w:rsidP="00BF5553">
      <w:pPr>
        <w:spacing w:after="0"/>
        <w:rPr>
          <w:rFonts w:ascii="Times New Roman" w:hAnsi="Times New Roman" w:cs="Times New Roman"/>
          <w:sz w:val="26"/>
          <w:szCs w:val="26"/>
        </w:rPr>
      </w:pPr>
    </w:p>
    <w:p w14:paraId="369D587E" w14:textId="77777777" w:rsidR="00BF5553" w:rsidRPr="00386622" w:rsidRDefault="00AF6531" w:rsidP="00BF5553">
      <w:pPr>
        <w:spacing w:after="0"/>
        <w:rPr>
          <w:rFonts w:ascii="Times New Roman" w:hAnsi="Times New Roman" w:cs="Times New Roman"/>
          <w:sz w:val="26"/>
          <w:szCs w:val="26"/>
        </w:rPr>
      </w:pPr>
      <w:r w:rsidRPr="00386622">
        <w:rPr>
          <w:rFonts w:ascii="Times New Roman" w:hAnsi="Times New Roman" w:cs="Times New Roman"/>
          <w:sz w:val="26"/>
          <w:szCs w:val="26"/>
        </w:rPr>
        <w:t>The</w:t>
      </w:r>
      <w:r w:rsidR="00693696">
        <w:rPr>
          <w:rFonts w:ascii="Times New Roman" w:hAnsi="Times New Roman" w:cs="Times New Roman"/>
          <w:sz w:val="26"/>
          <w:szCs w:val="26"/>
        </w:rPr>
        <w:t xml:space="preserve"> Small Business Administration</w:t>
      </w:r>
      <w:r w:rsidRPr="00386622">
        <w:rPr>
          <w:rFonts w:ascii="Times New Roman" w:hAnsi="Times New Roman" w:cs="Times New Roman"/>
          <w:sz w:val="26"/>
          <w:szCs w:val="26"/>
        </w:rPr>
        <w:t xml:space="preserve"> </w:t>
      </w:r>
      <w:r w:rsidR="00693696">
        <w:rPr>
          <w:rFonts w:ascii="Times New Roman" w:hAnsi="Times New Roman" w:cs="Times New Roman"/>
          <w:sz w:val="26"/>
          <w:szCs w:val="26"/>
        </w:rPr>
        <w:t>(</w:t>
      </w:r>
      <w:r w:rsidRPr="00386622">
        <w:rPr>
          <w:rFonts w:ascii="Times New Roman" w:hAnsi="Times New Roman" w:cs="Times New Roman"/>
          <w:sz w:val="26"/>
          <w:szCs w:val="26"/>
        </w:rPr>
        <w:t>SBA</w:t>
      </w:r>
      <w:r w:rsidR="00693696">
        <w:rPr>
          <w:rFonts w:ascii="Times New Roman" w:hAnsi="Times New Roman" w:cs="Times New Roman"/>
          <w:sz w:val="26"/>
          <w:szCs w:val="26"/>
        </w:rPr>
        <w:t>)</w:t>
      </w:r>
      <w:r w:rsidRPr="00386622">
        <w:rPr>
          <w:rFonts w:ascii="Times New Roman" w:hAnsi="Times New Roman" w:cs="Times New Roman"/>
          <w:sz w:val="26"/>
          <w:szCs w:val="26"/>
        </w:rPr>
        <w:t xml:space="preserve"> classifies an entity as an electric utility if it is primarily engaged in the transmission, generation and/or distribution of electric energy for sale.  Under this definition, the six RTOs/ISOs are considered electric utilities, specifically focused on electric bulk power and control.  The size criterion for a small electric utility is 500 or fewer employees.</w:t>
      </w:r>
      <w:r w:rsidRPr="00386622">
        <w:rPr>
          <w:rFonts w:ascii="Times New Roman" w:hAnsi="Times New Roman" w:cs="Times New Roman"/>
          <w:b/>
          <w:sz w:val="26"/>
          <w:szCs w:val="26"/>
          <w:vertAlign w:val="superscript"/>
        </w:rPr>
        <w:footnoteReference w:id="9"/>
      </w:r>
      <w:r w:rsidRPr="00386622">
        <w:rPr>
          <w:rFonts w:ascii="Times New Roman" w:hAnsi="Times New Roman" w:cs="Times New Roman"/>
          <w:sz w:val="26"/>
          <w:szCs w:val="26"/>
        </w:rPr>
        <w:t xml:space="preserve">  Since every RTO/ISO has more than 500 employees, none are considered small entities.  </w:t>
      </w:r>
    </w:p>
    <w:p w14:paraId="4D58B795" w14:textId="77777777" w:rsidR="00BF5553" w:rsidRPr="00386622" w:rsidRDefault="00BF5553" w:rsidP="00BF5553">
      <w:pPr>
        <w:spacing w:after="0"/>
        <w:rPr>
          <w:rFonts w:ascii="Times New Roman" w:hAnsi="Times New Roman" w:cs="Times New Roman"/>
          <w:sz w:val="26"/>
          <w:szCs w:val="26"/>
        </w:rPr>
      </w:pPr>
    </w:p>
    <w:p w14:paraId="5F87B8DA" w14:textId="77777777" w:rsidR="00BF5553" w:rsidRPr="00386622" w:rsidRDefault="00BF5553" w:rsidP="00BF5553">
      <w:pPr>
        <w:pStyle w:val="ListParagraph"/>
        <w:numPr>
          <w:ilvl w:val="0"/>
          <w:numId w:val="1"/>
        </w:numPr>
        <w:spacing w:after="0"/>
        <w:ind w:left="360"/>
        <w:rPr>
          <w:rFonts w:ascii="Times New Roman" w:hAnsi="Times New Roman" w:cs="Times New Roman"/>
          <w:b/>
          <w:sz w:val="26"/>
          <w:szCs w:val="26"/>
        </w:rPr>
      </w:pPr>
      <w:r w:rsidRPr="00386622">
        <w:rPr>
          <w:rFonts w:ascii="Times New Roman" w:hAnsi="Times New Roman" w:cs="Times New Roman"/>
          <w:b/>
          <w:sz w:val="26"/>
          <w:szCs w:val="26"/>
        </w:rPr>
        <w:t>CONSEQUENCE TO FEDERAL PROGRAM IF COLLECTION WERE CONDUCTED LESS FREQUENTLY</w:t>
      </w:r>
    </w:p>
    <w:p w14:paraId="74CB6858" w14:textId="77777777" w:rsidR="00EC4AD7" w:rsidRPr="00386622" w:rsidRDefault="00EC4AD7" w:rsidP="00BF5553">
      <w:pPr>
        <w:spacing w:after="0"/>
        <w:rPr>
          <w:rFonts w:ascii="Times New Roman" w:hAnsi="Times New Roman" w:cs="Times New Roman"/>
          <w:sz w:val="26"/>
          <w:szCs w:val="26"/>
        </w:rPr>
      </w:pPr>
    </w:p>
    <w:p w14:paraId="3A6F006A" w14:textId="77777777" w:rsidR="00BF5553" w:rsidRPr="00386622" w:rsidRDefault="00EC4AD7" w:rsidP="00BF5553">
      <w:pPr>
        <w:spacing w:after="0"/>
        <w:rPr>
          <w:rFonts w:ascii="Times New Roman" w:hAnsi="Times New Roman" w:cs="Times New Roman"/>
          <w:sz w:val="26"/>
          <w:szCs w:val="26"/>
        </w:rPr>
      </w:pPr>
      <w:r w:rsidRPr="00386622">
        <w:rPr>
          <w:rFonts w:ascii="Times New Roman" w:hAnsi="Times New Roman" w:cs="Times New Roman"/>
          <w:sz w:val="26"/>
          <w:szCs w:val="26"/>
        </w:rPr>
        <w:t xml:space="preserve">If collection is done less frequently than requested we are concerned the results in rates may not be just and reasonable for several reasons. We are concerned that some existing practices may not ensure that prices accurately reflect the marginal cost of serving load, potentially resulting in prices that do not reflect the value of fast-start resources, potentially creating unnecessary uplift payments, and potentially failing to provide incentives for market participants to make efficient investments.  </w:t>
      </w:r>
    </w:p>
    <w:p w14:paraId="4F6FB381" w14:textId="77777777" w:rsidR="00BF5553" w:rsidRPr="00386622" w:rsidRDefault="00BF5553" w:rsidP="00BF5553">
      <w:pPr>
        <w:spacing w:after="0"/>
        <w:rPr>
          <w:rFonts w:ascii="Times New Roman" w:hAnsi="Times New Roman" w:cs="Times New Roman"/>
          <w:sz w:val="26"/>
          <w:szCs w:val="26"/>
        </w:rPr>
      </w:pPr>
    </w:p>
    <w:p w14:paraId="0B464345" w14:textId="77777777" w:rsidR="00BF5553" w:rsidRPr="00386622" w:rsidRDefault="00BF5553" w:rsidP="00BF5553">
      <w:pPr>
        <w:pStyle w:val="ListParagraph"/>
        <w:numPr>
          <w:ilvl w:val="0"/>
          <w:numId w:val="1"/>
        </w:numPr>
        <w:spacing w:after="0"/>
        <w:ind w:left="360"/>
        <w:rPr>
          <w:rFonts w:ascii="Times New Roman" w:hAnsi="Times New Roman" w:cs="Times New Roman"/>
          <w:b/>
          <w:sz w:val="26"/>
          <w:szCs w:val="26"/>
        </w:rPr>
      </w:pPr>
      <w:r w:rsidRPr="00386622">
        <w:rPr>
          <w:rFonts w:ascii="Times New Roman" w:hAnsi="Times New Roman" w:cs="Times New Roman"/>
          <w:b/>
          <w:sz w:val="26"/>
          <w:szCs w:val="26"/>
        </w:rPr>
        <w:t>EXPLAIN ANY SPECIAL CIRCUMSTANCES RELATING TO THE INFORMATION COLLECTION</w:t>
      </w:r>
    </w:p>
    <w:p w14:paraId="218F54A8" w14:textId="77777777" w:rsidR="00BF5553" w:rsidRPr="00386622" w:rsidRDefault="00BF5553" w:rsidP="00BF5553">
      <w:pPr>
        <w:spacing w:after="0"/>
        <w:rPr>
          <w:rFonts w:ascii="Times New Roman" w:hAnsi="Times New Roman" w:cs="Times New Roman"/>
          <w:sz w:val="26"/>
          <w:szCs w:val="26"/>
        </w:rPr>
      </w:pPr>
    </w:p>
    <w:p w14:paraId="12AF796A" w14:textId="77777777" w:rsidR="00BF5553" w:rsidRPr="00386622" w:rsidRDefault="00514AF6" w:rsidP="00BF5553">
      <w:pPr>
        <w:spacing w:after="0"/>
        <w:rPr>
          <w:rFonts w:ascii="Times New Roman" w:hAnsi="Times New Roman" w:cs="Times New Roman"/>
          <w:sz w:val="26"/>
          <w:szCs w:val="26"/>
        </w:rPr>
      </w:pPr>
      <w:r w:rsidRPr="00386622">
        <w:rPr>
          <w:rFonts w:ascii="Times New Roman" w:hAnsi="Times New Roman" w:cs="Times New Roman"/>
          <w:sz w:val="26"/>
          <w:szCs w:val="26"/>
        </w:rPr>
        <w:lastRenderedPageBreak/>
        <w:t xml:space="preserve">There is no special circumstances related to </w:t>
      </w:r>
      <w:r w:rsidR="00F8397E" w:rsidRPr="00386622">
        <w:rPr>
          <w:rFonts w:ascii="Times New Roman" w:hAnsi="Times New Roman" w:cs="Times New Roman"/>
          <w:sz w:val="26"/>
          <w:szCs w:val="26"/>
        </w:rPr>
        <w:t xml:space="preserve">this </w:t>
      </w:r>
      <w:r w:rsidRPr="00386622">
        <w:rPr>
          <w:rFonts w:ascii="Times New Roman" w:hAnsi="Times New Roman" w:cs="Times New Roman"/>
          <w:sz w:val="26"/>
          <w:szCs w:val="26"/>
        </w:rPr>
        <w:t>collection.</w:t>
      </w:r>
    </w:p>
    <w:p w14:paraId="70D19CD0" w14:textId="77777777" w:rsidR="00514AF6" w:rsidRPr="00386622" w:rsidRDefault="00514AF6" w:rsidP="00BF5553">
      <w:pPr>
        <w:spacing w:after="0"/>
        <w:rPr>
          <w:rFonts w:ascii="Times New Roman" w:hAnsi="Times New Roman" w:cs="Times New Roman"/>
          <w:sz w:val="26"/>
          <w:szCs w:val="26"/>
        </w:rPr>
      </w:pPr>
    </w:p>
    <w:p w14:paraId="3479D871" w14:textId="77777777" w:rsidR="00BF5553" w:rsidRPr="00386622" w:rsidRDefault="00BF5553" w:rsidP="00BF5553">
      <w:pPr>
        <w:pStyle w:val="ListParagraph"/>
        <w:numPr>
          <w:ilvl w:val="0"/>
          <w:numId w:val="1"/>
        </w:numPr>
        <w:spacing w:after="0"/>
        <w:ind w:left="360"/>
        <w:rPr>
          <w:rFonts w:ascii="Times New Roman" w:hAnsi="Times New Roman" w:cs="Times New Roman"/>
          <w:b/>
          <w:sz w:val="26"/>
          <w:szCs w:val="26"/>
        </w:rPr>
      </w:pPr>
      <w:r w:rsidRPr="00386622">
        <w:rPr>
          <w:rFonts w:ascii="Times New Roman" w:hAnsi="Times New Roman" w:cs="Times New Roman"/>
          <w:b/>
          <w:sz w:val="26"/>
          <w:szCs w:val="26"/>
        </w:rPr>
        <w:t>DESCRIBE EFFORTS TO CONSULT OUTSIDE THE AGENCY: SUMMARIZE PUBLIC COMMENTS AND THE AGENCY’S RESPONSE</w:t>
      </w:r>
    </w:p>
    <w:p w14:paraId="41712AB6" w14:textId="77777777" w:rsidR="00BF5553" w:rsidRDefault="00BF5553" w:rsidP="00BF5553">
      <w:pPr>
        <w:spacing w:after="0"/>
        <w:rPr>
          <w:rFonts w:ascii="Times New Roman" w:hAnsi="Times New Roman" w:cs="Times New Roman"/>
          <w:sz w:val="26"/>
          <w:szCs w:val="26"/>
        </w:rPr>
      </w:pPr>
    </w:p>
    <w:p w14:paraId="2D8062C8" w14:textId="77777777" w:rsidR="006C606F" w:rsidRPr="00386622" w:rsidRDefault="006C606F" w:rsidP="00BF5553">
      <w:pPr>
        <w:spacing w:after="0"/>
        <w:rPr>
          <w:rFonts w:ascii="Times New Roman" w:hAnsi="Times New Roman" w:cs="Times New Roman"/>
          <w:sz w:val="26"/>
          <w:szCs w:val="26"/>
        </w:rPr>
      </w:pPr>
      <w:r w:rsidRPr="006C606F">
        <w:rPr>
          <w:rFonts w:ascii="Times New Roman" w:hAnsi="Times New Roman" w:cs="Times New Roman"/>
          <w:sz w:val="26"/>
          <w:szCs w:val="26"/>
        </w:rPr>
        <w:t>In January 2015, the Commission requested comments on questions that arose from the price formation technical workshops.</w:t>
      </w:r>
      <w:r w:rsidRPr="006C606F">
        <w:rPr>
          <w:rFonts w:ascii="Times New Roman" w:hAnsi="Times New Roman" w:cs="Times New Roman"/>
          <w:b/>
          <w:sz w:val="26"/>
          <w:szCs w:val="26"/>
          <w:vertAlign w:val="superscript"/>
        </w:rPr>
        <w:footnoteReference w:id="10"/>
      </w:r>
      <w:r w:rsidRPr="006C606F">
        <w:rPr>
          <w:rFonts w:ascii="Times New Roman" w:hAnsi="Times New Roman" w:cs="Times New Roman"/>
          <w:sz w:val="26"/>
          <w:szCs w:val="26"/>
        </w:rPr>
        <w:t xml:space="preserve">  As a result of these comments, the Commission identified, among other things, five technical topics with potential for reform to improve price formation, but for which further information was needed.  In November 2015, the Commission issued an order that directed each RTO/ISO to report on these five price formation topics:  fast-start pricing; managing multiple contingencies; look-ahead modeling; uplift allocation; and transparency.</w:t>
      </w:r>
      <w:r w:rsidRPr="006C606F">
        <w:rPr>
          <w:rFonts w:ascii="Times New Roman" w:hAnsi="Times New Roman" w:cs="Times New Roman"/>
          <w:b/>
          <w:sz w:val="26"/>
          <w:szCs w:val="26"/>
          <w:vertAlign w:val="superscript"/>
        </w:rPr>
        <w:footnoteReference w:id="11"/>
      </w:r>
      <w:r w:rsidRPr="006C606F">
        <w:rPr>
          <w:rFonts w:ascii="Times New Roman" w:hAnsi="Times New Roman" w:cs="Times New Roman"/>
          <w:sz w:val="26"/>
          <w:szCs w:val="26"/>
        </w:rPr>
        <w:t xml:space="preserve">  The order directed each RTO/ISO to file a report providing an update on its current practices in the topic areas, outlining the status of its efforts (if any) to address issues in each of the five topics, and responding to specific questions contained in the order.  </w:t>
      </w:r>
    </w:p>
    <w:p w14:paraId="315A6441" w14:textId="77777777" w:rsidR="006C606F" w:rsidRDefault="006C606F" w:rsidP="00E16616">
      <w:pPr>
        <w:spacing w:after="0"/>
        <w:rPr>
          <w:rFonts w:ascii="Times New Roman" w:hAnsi="Times New Roman" w:cs="Times New Roman"/>
          <w:sz w:val="26"/>
          <w:szCs w:val="26"/>
        </w:rPr>
      </w:pPr>
    </w:p>
    <w:p w14:paraId="73C4E408" w14:textId="77777777" w:rsidR="00E56573" w:rsidRPr="00E56573" w:rsidRDefault="00E56573" w:rsidP="00E56573">
      <w:pPr>
        <w:spacing w:after="0"/>
        <w:rPr>
          <w:rFonts w:ascii="Times New Roman" w:hAnsi="Times New Roman" w:cs="Times New Roman"/>
          <w:sz w:val="26"/>
          <w:szCs w:val="26"/>
        </w:rPr>
      </w:pPr>
      <w:r w:rsidRPr="00E56573">
        <w:rPr>
          <w:rFonts w:ascii="Times New Roman" w:hAnsi="Times New Roman" w:cs="Times New Roman"/>
          <w:sz w:val="26"/>
          <w:szCs w:val="26"/>
        </w:rPr>
        <w:t xml:space="preserve">Each FERC activity that results in the revision of an information collection is published in the Federal Register thereby providing public utilities and licensees, state commissions, Federal agencies, and other interested parties an opportunity to submit data, views, comments or suggestions concerning the approved collections of data. </w:t>
      </w:r>
    </w:p>
    <w:p w14:paraId="636CFF9D" w14:textId="77777777" w:rsidR="00E56573" w:rsidRPr="00E56573" w:rsidRDefault="00E56573" w:rsidP="00E56573">
      <w:pPr>
        <w:spacing w:after="0"/>
        <w:rPr>
          <w:rFonts w:ascii="Times New Roman" w:hAnsi="Times New Roman" w:cs="Times New Roman"/>
          <w:sz w:val="26"/>
          <w:szCs w:val="26"/>
        </w:rPr>
      </w:pPr>
      <w:r w:rsidRPr="00E56573">
        <w:rPr>
          <w:rFonts w:ascii="Times New Roman" w:hAnsi="Times New Roman" w:cs="Times New Roman"/>
          <w:sz w:val="26"/>
          <w:szCs w:val="26"/>
        </w:rPr>
        <w:t xml:space="preserve"> </w:t>
      </w:r>
    </w:p>
    <w:p w14:paraId="67971BD9" w14:textId="77777777" w:rsidR="00BF5553" w:rsidRDefault="00E56573" w:rsidP="00BF5553">
      <w:pPr>
        <w:spacing w:after="0"/>
        <w:rPr>
          <w:rFonts w:ascii="Times New Roman" w:hAnsi="Times New Roman" w:cs="Times New Roman"/>
          <w:sz w:val="26"/>
          <w:szCs w:val="26"/>
        </w:rPr>
      </w:pPr>
      <w:r w:rsidRPr="00E56573">
        <w:rPr>
          <w:rFonts w:ascii="Times New Roman" w:hAnsi="Times New Roman" w:cs="Times New Roman"/>
          <w:sz w:val="26"/>
          <w:szCs w:val="26"/>
        </w:rPr>
        <w:t>This NOPR was issued on 12/15/2016 and published</w:t>
      </w:r>
      <w:r w:rsidR="000F6B6C">
        <w:rPr>
          <w:rFonts w:ascii="Times New Roman" w:hAnsi="Times New Roman" w:cs="Times New Roman"/>
          <w:sz w:val="26"/>
          <w:szCs w:val="26"/>
        </w:rPr>
        <w:t xml:space="preserve"> in the Federal Register on 12/30/2016</w:t>
      </w:r>
      <w:r w:rsidR="000F6B6C" w:rsidRPr="0047396C">
        <w:rPr>
          <w:rStyle w:val="FootnoteReference"/>
          <w:rFonts w:ascii="Times New Roman" w:hAnsi="Times New Roman" w:cs="Times New Roman"/>
          <w:sz w:val="26"/>
          <w:szCs w:val="26"/>
          <w:vertAlign w:val="superscript"/>
        </w:rPr>
        <w:footnoteReference w:id="12"/>
      </w:r>
      <w:r w:rsidRPr="00E56573">
        <w:rPr>
          <w:rFonts w:ascii="Times New Roman" w:hAnsi="Times New Roman" w:cs="Times New Roman"/>
          <w:sz w:val="26"/>
          <w:szCs w:val="26"/>
        </w:rPr>
        <w:t xml:space="preserve">.  Comments will be available in FERC's </w:t>
      </w:r>
      <w:r w:rsidR="000F6B6C">
        <w:rPr>
          <w:rFonts w:ascii="Times New Roman" w:hAnsi="Times New Roman" w:cs="Times New Roman"/>
          <w:sz w:val="26"/>
          <w:szCs w:val="26"/>
        </w:rPr>
        <w:t>eLibrary under Docket No. RM17-3</w:t>
      </w:r>
      <w:r w:rsidRPr="00E56573">
        <w:rPr>
          <w:rFonts w:ascii="Times New Roman" w:hAnsi="Times New Roman" w:cs="Times New Roman"/>
          <w:sz w:val="26"/>
          <w:szCs w:val="26"/>
        </w:rPr>
        <w:t>-000.</w:t>
      </w:r>
    </w:p>
    <w:p w14:paraId="2B1450AA" w14:textId="77777777" w:rsidR="00EE35C2" w:rsidRPr="00386622" w:rsidRDefault="00EE35C2" w:rsidP="00BF5553">
      <w:pPr>
        <w:spacing w:after="0"/>
        <w:rPr>
          <w:rFonts w:ascii="Times New Roman" w:hAnsi="Times New Roman" w:cs="Times New Roman"/>
          <w:sz w:val="26"/>
          <w:szCs w:val="26"/>
        </w:rPr>
      </w:pPr>
    </w:p>
    <w:p w14:paraId="456754C3" w14:textId="77777777" w:rsidR="00BF5553" w:rsidRPr="00386622" w:rsidRDefault="00BF5553" w:rsidP="00BF5553">
      <w:pPr>
        <w:pStyle w:val="ListParagraph"/>
        <w:numPr>
          <w:ilvl w:val="0"/>
          <w:numId w:val="1"/>
        </w:numPr>
        <w:spacing w:after="0"/>
        <w:ind w:left="360"/>
        <w:rPr>
          <w:rFonts w:ascii="Times New Roman" w:hAnsi="Times New Roman" w:cs="Times New Roman"/>
          <w:b/>
          <w:sz w:val="26"/>
          <w:szCs w:val="26"/>
        </w:rPr>
      </w:pPr>
      <w:r w:rsidRPr="00386622">
        <w:rPr>
          <w:rFonts w:ascii="Times New Roman" w:hAnsi="Times New Roman" w:cs="Times New Roman"/>
          <w:b/>
          <w:sz w:val="26"/>
          <w:szCs w:val="26"/>
        </w:rPr>
        <w:t>EXPLAIN ANY PAYMENT OR GIFTS TO RESPONDENTS</w:t>
      </w:r>
    </w:p>
    <w:p w14:paraId="282B8FDD" w14:textId="77777777" w:rsidR="00BF5553" w:rsidRPr="00386622" w:rsidRDefault="00BF5553" w:rsidP="00BF5553">
      <w:pPr>
        <w:spacing w:after="0"/>
        <w:rPr>
          <w:rFonts w:ascii="Times New Roman" w:hAnsi="Times New Roman" w:cs="Times New Roman"/>
          <w:sz w:val="26"/>
          <w:szCs w:val="26"/>
        </w:rPr>
      </w:pPr>
    </w:p>
    <w:p w14:paraId="2A3ACEA7" w14:textId="77777777" w:rsidR="0041177D" w:rsidRDefault="00BF5E2A" w:rsidP="00BF5553">
      <w:pPr>
        <w:spacing w:after="0"/>
        <w:rPr>
          <w:rFonts w:ascii="Times New Roman" w:hAnsi="Times New Roman" w:cs="Times New Roman"/>
          <w:sz w:val="26"/>
          <w:szCs w:val="26"/>
        </w:rPr>
      </w:pPr>
      <w:r>
        <w:rPr>
          <w:rFonts w:ascii="Times New Roman" w:hAnsi="Times New Roman" w:cs="Times New Roman"/>
          <w:sz w:val="26"/>
          <w:szCs w:val="26"/>
        </w:rPr>
        <w:t xml:space="preserve">The Commission does not make payments or provide gifts for respondents related to FERC-516E. </w:t>
      </w:r>
    </w:p>
    <w:p w14:paraId="2D16AD71" w14:textId="77777777" w:rsidR="008E752C" w:rsidRDefault="008E752C" w:rsidP="00BF5553">
      <w:pPr>
        <w:spacing w:after="0"/>
        <w:rPr>
          <w:rFonts w:ascii="Times New Roman" w:hAnsi="Times New Roman" w:cs="Times New Roman"/>
          <w:sz w:val="26"/>
          <w:szCs w:val="26"/>
        </w:rPr>
      </w:pPr>
    </w:p>
    <w:p w14:paraId="5A089A8C" w14:textId="77777777" w:rsidR="008E752C" w:rsidRPr="008E752C" w:rsidRDefault="008E752C" w:rsidP="008E752C">
      <w:pPr>
        <w:numPr>
          <w:ilvl w:val="0"/>
          <w:numId w:val="1"/>
        </w:numPr>
        <w:spacing w:after="0"/>
        <w:rPr>
          <w:rFonts w:ascii="Times New Roman" w:hAnsi="Times New Roman" w:cs="Times New Roman"/>
          <w:b/>
          <w:sz w:val="26"/>
          <w:szCs w:val="26"/>
        </w:rPr>
      </w:pPr>
      <w:r w:rsidRPr="008E752C">
        <w:rPr>
          <w:rFonts w:ascii="Times New Roman" w:hAnsi="Times New Roman" w:cs="Times New Roman"/>
          <w:b/>
          <w:sz w:val="26"/>
          <w:szCs w:val="26"/>
        </w:rPr>
        <w:t>DESCRIBE ANY ASSURANCE OF CONFIDENTIALITY PROVIDED TO RESPONDENTS</w:t>
      </w:r>
    </w:p>
    <w:p w14:paraId="171DC62D" w14:textId="77777777" w:rsidR="006C606F" w:rsidRDefault="006C606F" w:rsidP="00BF5553">
      <w:pPr>
        <w:spacing w:after="0"/>
        <w:rPr>
          <w:rFonts w:ascii="Times New Roman" w:hAnsi="Times New Roman" w:cs="Times New Roman"/>
          <w:sz w:val="26"/>
          <w:szCs w:val="26"/>
        </w:rPr>
      </w:pPr>
    </w:p>
    <w:p w14:paraId="6C48739A" w14:textId="77777777" w:rsidR="00BF5E2A" w:rsidRDefault="008E752C">
      <w:pPr>
        <w:spacing w:after="0"/>
        <w:rPr>
          <w:rFonts w:ascii="Times New Roman" w:hAnsi="Times New Roman" w:cs="Times New Roman"/>
          <w:sz w:val="26"/>
          <w:szCs w:val="26"/>
        </w:rPr>
      </w:pPr>
      <w:r>
        <w:rPr>
          <w:rFonts w:ascii="Times New Roman" w:hAnsi="Times New Roman" w:cs="Times New Roman"/>
          <w:sz w:val="26"/>
          <w:szCs w:val="26"/>
        </w:rPr>
        <w:lastRenderedPageBreak/>
        <w:t>FERC provides no specific provisions in order to protect confidentiality.</w:t>
      </w:r>
    </w:p>
    <w:p w14:paraId="3287D12F" w14:textId="77777777" w:rsidR="006C606F" w:rsidRPr="00E56573" w:rsidRDefault="006C606F">
      <w:pPr>
        <w:spacing w:after="0"/>
        <w:rPr>
          <w:rFonts w:ascii="Times New Roman" w:hAnsi="Times New Roman" w:cs="Times New Roman"/>
          <w:sz w:val="26"/>
          <w:szCs w:val="26"/>
        </w:rPr>
      </w:pPr>
    </w:p>
    <w:p w14:paraId="1F70C3D4" w14:textId="77777777" w:rsidR="00BF5553" w:rsidRPr="00386622" w:rsidRDefault="00BF5553" w:rsidP="00BF5553">
      <w:pPr>
        <w:pStyle w:val="ListParagraph"/>
        <w:numPr>
          <w:ilvl w:val="0"/>
          <w:numId w:val="1"/>
        </w:numPr>
        <w:spacing w:after="0"/>
        <w:ind w:left="360"/>
        <w:rPr>
          <w:rFonts w:ascii="Times New Roman" w:hAnsi="Times New Roman" w:cs="Times New Roman"/>
          <w:b/>
          <w:sz w:val="26"/>
          <w:szCs w:val="26"/>
        </w:rPr>
      </w:pPr>
      <w:r w:rsidRPr="00386622">
        <w:rPr>
          <w:rFonts w:ascii="Times New Roman" w:hAnsi="Times New Roman" w:cs="Times New Roman"/>
          <w:b/>
          <w:sz w:val="26"/>
          <w:szCs w:val="26"/>
        </w:rPr>
        <w:t>PROVIDE ADDITIONAL JUSTIFICATION FOR ANY QUESTIONS OF A SENSITIVE NATURE, SUCH AS SEXUAL BEHAVIOR AND ATTITUDES, RELIGIOUS BELIEFS, AND OTHER MATTERS THAT ARE COMMONLY CONSIDERED PRIVATE.</w:t>
      </w:r>
    </w:p>
    <w:p w14:paraId="441567FE" w14:textId="77777777" w:rsidR="00BF5553" w:rsidRPr="00386622" w:rsidRDefault="00BF5553" w:rsidP="00BF5553">
      <w:pPr>
        <w:spacing w:after="0"/>
        <w:rPr>
          <w:rFonts w:ascii="Times New Roman" w:hAnsi="Times New Roman" w:cs="Times New Roman"/>
          <w:sz w:val="26"/>
          <w:szCs w:val="26"/>
        </w:rPr>
      </w:pPr>
    </w:p>
    <w:p w14:paraId="04435C29" w14:textId="77777777" w:rsidR="00BF5553" w:rsidRDefault="006C606F" w:rsidP="00BF5553">
      <w:pPr>
        <w:spacing w:after="0"/>
        <w:rPr>
          <w:rFonts w:ascii="Times New Roman" w:hAnsi="Times New Roman" w:cs="Times New Roman"/>
          <w:sz w:val="26"/>
          <w:szCs w:val="26"/>
        </w:rPr>
      </w:pPr>
      <w:r>
        <w:rPr>
          <w:rFonts w:ascii="Times New Roman" w:hAnsi="Times New Roman" w:cs="Times New Roman"/>
          <w:sz w:val="26"/>
          <w:szCs w:val="26"/>
        </w:rPr>
        <w:t xml:space="preserve">There are no questions of a sensitive nature that are considered private </w:t>
      </w:r>
      <w:r w:rsidR="008E752C">
        <w:rPr>
          <w:rFonts w:ascii="Times New Roman" w:hAnsi="Times New Roman" w:cs="Times New Roman"/>
          <w:sz w:val="26"/>
          <w:szCs w:val="26"/>
        </w:rPr>
        <w:t>that are associated with</w:t>
      </w:r>
      <w:r>
        <w:rPr>
          <w:rFonts w:ascii="Times New Roman" w:hAnsi="Times New Roman" w:cs="Times New Roman"/>
          <w:sz w:val="26"/>
          <w:szCs w:val="26"/>
        </w:rPr>
        <w:t xml:space="preserve"> FERC-516E</w:t>
      </w:r>
      <w:r w:rsidR="008E752C">
        <w:rPr>
          <w:rFonts w:ascii="Times New Roman" w:hAnsi="Times New Roman" w:cs="Times New Roman"/>
          <w:sz w:val="26"/>
          <w:szCs w:val="26"/>
        </w:rPr>
        <w:t xml:space="preserve"> reporting requirements</w:t>
      </w:r>
      <w:r>
        <w:rPr>
          <w:rFonts w:ascii="Times New Roman" w:hAnsi="Times New Roman" w:cs="Times New Roman"/>
          <w:sz w:val="26"/>
          <w:szCs w:val="26"/>
        </w:rPr>
        <w:t xml:space="preserve">. </w:t>
      </w:r>
    </w:p>
    <w:p w14:paraId="27333F0D" w14:textId="77777777" w:rsidR="006C606F" w:rsidRPr="00386622" w:rsidRDefault="006C606F" w:rsidP="00BF5553">
      <w:pPr>
        <w:spacing w:after="0"/>
        <w:rPr>
          <w:rFonts w:ascii="Times New Roman" w:hAnsi="Times New Roman" w:cs="Times New Roman"/>
          <w:sz w:val="26"/>
          <w:szCs w:val="26"/>
        </w:rPr>
      </w:pPr>
    </w:p>
    <w:p w14:paraId="7406AB5D" w14:textId="77777777" w:rsidR="00BF5553" w:rsidRPr="00386622" w:rsidRDefault="00BF5553" w:rsidP="00BF5553">
      <w:pPr>
        <w:pStyle w:val="ListParagraph"/>
        <w:numPr>
          <w:ilvl w:val="0"/>
          <w:numId w:val="1"/>
        </w:numPr>
        <w:spacing w:after="0"/>
        <w:ind w:left="360"/>
        <w:rPr>
          <w:rFonts w:ascii="Times New Roman" w:hAnsi="Times New Roman" w:cs="Times New Roman"/>
          <w:b/>
          <w:sz w:val="26"/>
          <w:szCs w:val="26"/>
        </w:rPr>
      </w:pPr>
      <w:r w:rsidRPr="00386622">
        <w:rPr>
          <w:rFonts w:ascii="Times New Roman" w:hAnsi="Times New Roman" w:cs="Times New Roman"/>
          <w:b/>
          <w:sz w:val="26"/>
          <w:szCs w:val="26"/>
        </w:rPr>
        <w:t>ESTIMATED BURDEN OF COLLECTION OF INFORMATION</w:t>
      </w:r>
    </w:p>
    <w:p w14:paraId="3EE9003A" w14:textId="77777777" w:rsidR="00BF5553" w:rsidRPr="00386622" w:rsidRDefault="00BF5553" w:rsidP="00BF5553">
      <w:pPr>
        <w:spacing w:after="0"/>
        <w:rPr>
          <w:rFonts w:ascii="Times New Roman" w:hAnsi="Times New Roman" w:cs="Times New Roman"/>
          <w:sz w:val="26"/>
          <w:szCs w:val="26"/>
        </w:rPr>
      </w:pPr>
    </w:p>
    <w:p w14:paraId="0BBA8B36" w14:textId="214210AD" w:rsidR="00BF5553" w:rsidRDefault="00057608" w:rsidP="00BF5553">
      <w:pPr>
        <w:spacing w:after="0"/>
        <w:rPr>
          <w:rFonts w:ascii="Times New Roman" w:hAnsi="Times New Roman" w:cs="Times New Roman"/>
          <w:sz w:val="26"/>
          <w:szCs w:val="26"/>
        </w:rPr>
      </w:pPr>
      <w:r>
        <w:rPr>
          <w:rFonts w:ascii="Times New Roman" w:hAnsi="Times New Roman" w:cs="Times New Roman"/>
          <w:sz w:val="26"/>
          <w:szCs w:val="26"/>
        </w:rPr>
        <w:t>There is no existing burden for FERC-5</w:t>
      </w:r>
      <w:r w:rsidR="00F8397E" w:rsidRPr="00386622">
        <w:rPr>
          <w:rFonts w:ascii="Times New Roman" w:hAnsi="Times New Roman" w:cs="Times New Roman"/>
          <w:sz w:val="26"/>
          <w:szCs w:val="26"/>
        </w:rPr>
        <w:t xml:space="preserve">16E </w:t>
      </w:r>
      <w:r>
        <w:rPr>
          <w:rFonts w:ascii="Times New Roman" w:hAnsi="Times New Roman" w:cs="Times New Roman"/>
          <w:sz w:val="26"/>
          <w:szCs w:val="26"/>
        </w:rPr>
        <w:t>information collection.  FERC-516E is a temporary information collection number intended only to allow the timely submission of these requirement to OMB.  These requirement should be submitted to the FERC-516 information collection (OMB Control No. 1902-0096). However there was another unrelated item under FERC-516 pending OMB review, and only one item per OMB Control No. can be pending OMB review at a time.  Therefore we are using FERC-516E as a ‘placeholder’ for this submittal.  Eventually, these requirements will be administra</w:t>
      </w:r>
      <w:r w:rsidR="006B1440">
        <w:rPr>
          <w:rFonts w:ascii="Times New Roman" w:hAnsi="Times New Roman" w:cs="Times New Roman"/>
          <w:sz w:val="26"/>
          <w:szCs w:val="26"/>
        </w:rPr>
        <w:t>ti</w:t>
      </w:r>
      <w:r>
        <w:rPr>
          <w:rFonts w:ascii="Times New Roman" w:hAnsi="Times New Roman" w:cs="Times New Roman"/>
          <w:sz w:val="26"/>
          <w:szCs w:val="26"/>
        </w:rPr>
        <w:t>vely moved out of the FERC-516E information collection</w:t>
      </w:r>
      <w:r w:rsidR="006B1440">
        <w:rPr>
          <w:rFonts w:ascii="Times New Roman" w:hAnsi="Times New Roman" w:cs="Times New Roman"/>
          <w:sz w:val="26"/>
          <w:szCs w:val="26"/>
        </w:rPr>
        <w:t xml:space="preserve"> (along with the discontinuance of FERC-516E) and submitted into the FERC-516 information collection. </w:t>
      </w:r>
      <w:r w:rsidR="00F8397E" w:rsidRPr="00386622">
        <w:rPr>
          <w:rFonts w:ascii="Times New Roman" w:hAnsi="Times New Roman" w:cs="Times New Roman"/>
          <w:sz w:val="26"/>
          <w:szCs w:val="26"/>
        </w:rPr>
        <w:t xml:space="preserve">is a place holder information collection number. </w:t>
      </w:r>
      <w:r w:rsidR="008E752C">
        <w:rPr>
          <w:rFonts w:ascii="Times New Roman" w:hAnsi="Times New Roman" w:cs="Times New Roman"/>
          <w:sz w:val="26"/>
          <w:szCs w:val="26"/>
        </w:rPr>
        <w:t xml:space="preserve">When FERC-516 is available, FERC-516E will be administratively transferred by FERC to FERC-516.  </w:t>
      </w:r>
    </w:p>
    <w:p w14:paraId="7E8679FC" w14:textId="77777777" w:rsidR="006B1440" w:rsidRDefault="006B1440" w:rsidP="00BF5553">
      <w:pPr>
        <w:spacing w:after="0"/>
        <w:rPr>
          <w:rFonts w:ascii="Times New Roman" w:hAnsi="Times New Roman" w:cs="Times New Roman"/>
          <w:sz w:val="26"/>
          <w:szCs w:val="26"/>
        </w:rPr>
      </w:pPr>
    </w:p>
    <w:p w14:paraId="0802C125" w14:textId="08A628C1" w:rsidR="006B1440" w:rsidRDefault="006B1440" w:rsidP="00BF5553">
      <w:pPr>
        <w:spacing w:after="0"/>
        <w:rPr>
          <w:rFonts w:ascii="Times New Roman" w:hAnsi="Times New Roman" w:cs="Times New Roman"/>
          <w:sz w:val="26"/>
          <w:szCs w:val="26"/>
        </w:rPr>
      </w:pPr>
      <w:r>
        <w:rPr>
          <w:rFonts w:ascii="Times New Roman" w:hAnsi="Times New Roman" w:cs="Times New Roman"/>
          <w:sz w:val="26"/>
          <w:szCs w:val="26"/>
        </w:rPr>
        <w:t>The Commission believes that the burden estimates below are representative of the average burden on respondents.  The estimated burden and cost for the requirements contained in this NOPR are a one-time implementation burden.</w:t>
      </w:r>
    </w:p>
    <w:p w14:paraId="0E7B5DCD" w14:textId="77777777" w:rsidR="0041177D" w:rsidRDefault="0041177D" w:rsidP="00BF5553">
      <w:pPr>
        <w:spacing w:after="0"/>
        <w:rPr>
          <w:rFonts w:ascii="Times New Roman" w:hAnsi="Times New Roman" w:cs="Times New Roman"/>
          <w:sz w:val="26"/>
          <w:szCs w:val="26"/>
        </w:rPr>
      </w:pPr>
    </w:p>
    <w:p w14:paraId="2DCA4A61" w14:textId="77777777" w:rsidR="0041177D" w:rsidRPr="00386622" w:rsidRDefault="0041177D" w:rsidP="00BF5553">
      <w:pPr>
        <w:spacing w:after="0"/>
        <w:rPr>
          <w:rFonts w:ascii="Times New Roman" w:hAnsi="Times New Roman" w:cs="Times New Roman"/>
          <w:sz w:val="26"/>
          <w:szCs w:val="26"/>
        </w:rPr>
      </w:pPr>
      <w:r>
        <w:rPr>
          <w:rFonts w:ascii="Times New Roman" w:hAnsi="Times New Roman" w:cs="Times New Roman"/>
          <w:sz w:val="26"/>
          <w:szCs w:val="26"/>
        </w:rPr>
        <w:t>The Commission estimates the annual reporting burden and cost as follows:</w:t>
      </w:r>
    </w:p>
    <w:p w14:paraId="44943AF6" w14:textId="77777777" w:rsidR="00BF5553" w:rsidRPr="00386622" w:rsidRDefault="00BF5553" w:rsidP="00BF5553">
      <w:pPr>
        <w:spacing w:after="0"/>
        <w:rPr>
          <w:rFonts w:ascii="Times New Roman" w:hAnsi="Times New Roman" w:cs="Times New Roman"/>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5"/>
        <w:gridCol w:w="1350"/>
        <w:gridCol w:w="1350"/>
        <w:gridCol w:w="1259"/>
        <w:gridCol w:w="1171"/>
        <w:gridCol w:w="1440"/>
        <w:gridCol w:w="1255"/>
      </w:tblGrid>
      <w:tr w:rsidR="0047396C" w:rsidRPr="0047396C" w14:paraId="6C08B656" w14:textId="77777777" w:rsidTr="0047396C">
        <w:trPr>
          <w:cantSplit/>
        </w:trPr>
        <w:tc>
          <w:tcPr>
            <w:tcW w:w="5000" w:type="pct"/>
            <w:gridSpan w:val="7"/>
            <w:tcBorders>
              <w:bottom w:val="single" w:sz="4" w:space="0" w:color="auto"/>
            </w:tcBorders>
            <w:shd w:val="clear" w:color="auto" w:fill="D9D9D9"/>
          </w:tcPr>
          <w:p w14:paraId="05A6D366" w14:textId="77777777" w:rsidR="0047396C" w:rsidRPr="0047396C" w:rsidRDefault="0047396C" w:rsidP="00D538EE">
            <w:pPr>
              <w:spacing w:after="0"/>
              <w:jc w:val="center"/>
              <w:rPr>
                <w:rFonts w:ascii="Times New Roman" w:hAnsi="Times New Roman" w:cs="Times New Roman"/>
                <w:b/>
                <w:sz w:val="20"/>
                <w:szCs w:val="20"/>
              </w:rPr>
            </w:pPr>
            <w:r w:rsidRPr="0047396C">
              <w:rPr>
                <w:rFonts w:ascii="Times New Roman" w:hAnsi="Times New Roman" w:cs="Times New Roman"/>
                <w:sz w:val="20"/>
                <w:szCs w:val="20"/>
              </w:rPr>
              <w:br w:type="page"/>
            </w:r>
            <w:r w:rsidRPr="0047396C">
              <w:rPr>
                <w:rFonts w:ascii="Times New Roman" w:hAnsi="Times New Roman" w:cs="Times New Roman"/>
                <w:b/>
                <w:sz w:val="20"/>
                <w:szCs w:val="20"/>
              </w:rPr>
              <w:t>FERC-516E in NOPR in RM17-3</w:t>
            </w:r>
          </w:p>
        </w:tc>
      </w:tr>
      <w:tr w:rsidR="00D538EE" w:rsidRPr="0047396C" w14:paraId="7B9B428A" w14:textId="77777777" w:rsidTr="0047396C">
        <w:trPr>
          <w:cantSplit/>
        </w:trPr>
        <w:tc>
          <w:tcPr>
            <w:tcW w:w="816" w:type="pct"/>
            <w:shd w:val="clear" w:color="auto" w:fill="D9D9D9"/>
          </w:tcPr>
          <w:p w14:paraId="2547E99F" w14:textId="77777777" w:rsidR="00D538EE" w:rsidRPr="0047396C" w:rsidRDefault="00D538EE" w:rsidP="00D538EE">
            <w:pPr>
              <w:spacing w:after="0"/>
              <w:rPr>
                <w:rFonts w:ascii="Times New Roman" w:hAnsi="Times New Roman" w:cs="Times New Roman"/>
                <w:b/>
                <w:sz w:val="20"/>
                <w:szCs w:val="20"/>
              </w:rPr>
            </w:pPr>
          </w:p>
        </w:tc>
        <w:tc>
          <w:tcPr>
            <w:tcW w:w="722" w:type="pct"/>
            <w:shd w:val="clear" w:color="auto" w:fill="D9D9D9"/>
            <w:vAlign w:val="bottom"/>
          </w:tcPr>
          <w:p w14:paraId="52DA2D49" w14:textId="77777777" w:rsidR="00D538EE" w:rsidRPr="0047396C" w:rsidRDefault="00D538EE" w:rsidP="00D538EE">
            <w:pPr>
              <w:spacing w:after="0"/>
              <w:rPr>
                <w:rFonts w:ascii="Times New Roman" w:hAnsi="Times New Roman" w:cs="Times New Roman"/>
                <w:b/>
                <w:sz w:val="20"/>
                <w:szCs w:val="20"/>
              </w:rPr>
            </w:pPr>
            <w:r w:rsidRPr="0047396C">
              <w:rPr>
                <w:rFonts w:ascii="Times New Roman" w:hAnsi="Times New Roman" w:cs="Times New Roman"/>
                <w:b/>
                <w:sz w:val="20"/>
                <w:szCs w:val="20"/>
              </w:rPr>
              <w:t>Number of Respondents</w:t>
            </w:r>
            <w:r w:rsidRPr="0047396C">
              <w:rPr>
                <w:rFonts w:ascii="Times New Roman" w:hAnsi="Times New Roman" w:cs="Times New Roman"/>
                <w:b/>
                <w:sz w:val="20"/>
                <w:szCs w:val="20"/>
              </w:rPr>
              <w:br/>
              <w:t>(1)</w:t>
            </w:r>
          </w:p>
        </w:tc>
        <w:tc>
          <w:tcPr>
            <w:tcW w:w="722" w:type="pct"/>
            <w:shd w:val="clear" w:color="auto" w:fill="D9D9D9"/>
            <w:vAlign w:val="bottom"/>
          </w:tcPr>
          <w:p w14:paraId="17083006" w14:textId="77777777" w:rsidR="00D538EE" w:rsidRPr="0047396C" w:rsidRDefault="00D538EE" w:rsidP="00D538EE">
            <w:pPr>
              <w:spacing w:after="0"/>
              <w:rPr>
                <w:rFonts w:ascii="Times New Roman" w:hAnsi="Times New Roman" w:cs="Times New Roman"/>
                <w:b/>
                <w:sz w:val="20"/>
                <w:szCs w:val="20"/>
              </w:rPr>
            </w:pPr>
            <w:r w:rsidRPr="0047396C">
              <w:rPr>
                <w:rFonts w:ascii="Times New Roman" w:hAnsi="Times New Roman" w:cs="Times New Roman"/>
                <w:b/>
                <w:sz w:val="20"/>
                <w:szCs w:val="20"/>
              </w:rPr>
              <w:t>Annual Number of Responses per Respondent</w:t>
            </w:r>
          </w:p>
          <w:p w14:paraId="30271C3D" w14:textId="77777777" w:rsidR="00D538EE" w:rsidRPr="0047396C" w:rsidRDefault="00D538EE" w:rsidP="00D538EE">
            <w:pPr>
              <w:spacing w:after="0"/>
              <w:rPr>
                <w:rFonts w:ascii="Times New Roman" w:hAnsi="Times New Roman" w:cs="Times New Roman"/>
                <w:b/>
                <w:sz w:val="20"/>
                <w:szCs w:val="20"/>
              </w:rPr>
            </w:pPr>
            <w:r w:rsidRPr="0047396C">
              <w:rPr>
                <w:rFonts w:ascii="Times New Roman" w:hAnsi="Times New Roman" w:cs="Times New Roman"/>
                <w:b/>
                <w:sz w:val="20"/>
                <w:szCs w:val="20"/>
              </w:rPr>
              <w:t>(2)</w:t>
            </w:r>
          </w:p>
        </w:tc>
        <w:tc>
          <w:tcPr>
            <w:tcW w:w="673" w:type="pct"/>
            <w:shd w:val="clear" w:color="auto" w:fill="D9D9D9"/>
            <w:vAlign w:val="bottom"/>
          </w:tcPr>
          <w:p w14:paraId="677323A1" w14:textId="77777777" w:rsidR="00D538EE" w:rsidRPr="0047396C" w:rsidRDefault="00D538EE" w:rsidP="00D538EE">
            <w:pPr>
              <w:spacing w:after="0"/>
              <w:rPr>
                <w:rFonts w:ascii="Times New Roman" w:hAnsi="Times New Roman" w:cs="Times New Roman"/>
                <w:b/>
                <w:sz w:val="20"/>
                <w:szCs w:val="20"/>
              </w:rPr>
            </w:pPr>
            <w:r w:rsidRPr="0047396C">
              <w:rPr>
                <w:rFonts w:ascii="Times New Roman" w:hAnsi="Times New Roman" w:cs="Times New Roman"/>
                <w:b/>
                <w:sz w:val="20"/>
                <w:szCs w:val="20"/>
              </w:rPr>
              <w:t>Total Number of Responses (1)*(2)=(3)</w:t>
            </w:r>
          </w:p>
        </w:tc>
        <w:tc>
          <w:tcPr>
            <w:tcW w:w="626" w:type="pct"/>
            <w:shd w:val="clear" w:color="auto" w:fill="D9D9D9"/>
            <w:vAlign w:val="bottom"/>
          </w:tcPr>
          <w:p w14:paraId="472ABEAA" w14:textId="77777777" w:rsidR="00D538EE" w:rsidRPr="0047396C" w:rsidRDefault="00D538EE" w:rsidP="00D538EE">
            <w:pPr>
              <w:spacing w:after="0"/>
              <w:rPr>
                <w:rFonts w:ascii="Times New Roman" w:hAnsi="Times New Roman" w:cs="Times New Roman"/>
                <w:b/>
                <w:sz w:val="20"/>
                <w:szCs w:val="20"/>
              </w:rPr>
            </w:pPr>
            <w:r w:rsidRPr="0047396C">
              <w:rPr>
                <w:rFonts w:ascii="Times New Roman" w:hAnsi="Times New Roman" w:cs="Times New Roman"/>
                <w:b/>
                <w:sz w:val="20"/>
                <w:szCs w:val="20"/>
              </w:rPr>
              <w:t>Average Burden Hours &amp; Cost Per Response</w:t>
            </w:r>
            <w:r w:rsidRPr="0047396C">
              <w:rPr>
                <w:rFonts w:ascii="Times New Roman" w:hAnsi="Times New Roman" w:cs="Times New Roman"/>
                <w:b/>
                <w:sz w:val="20"/>
                <w:szCs w:val="20"/>
                <w:vertAlign w:val="superscript"/>
              </w:rPr>
              <w:footnoteReference w:id="13"/>
            </w:r>
          </w:p>
          <w:p w14:paraId="4DE15E2B" w14:textId="77777777" w:rsidR="00D538EE" w:rsidRPr="0047396C" w:rsidRDefault="00D538EE" w:rsidP="00D538EE">
            <w:pPr>
              <w:spacing w:after="0"/>
              <w:rPr>
                <w:rFonts w:ascii="Times New Roman" w:hAnsi="Times New Roman" w:cs="Times New Roman"/>
                <w:b/>
                <w:sz w:val="20"/>
                <w:szCs w:val="20"/>
              </w:rPr>
            </w:pPr>
            <w:r w:rsidRPr="0047396C">
              <w:rPr>
                <w:rFonts w:ascii="Times New Roman" w:hAnsi="Times New Roman" w:cs="Times New Roman"/>
                <w:b/>
                <w:sz w:val="20"/>
                <w:szCs w:val="20"/>
              </w:rPr>
              <w:t>(4)</w:t>
            </w:r>
          </w:p>
        </w:tc>
        <w:tc>
          <w:tcPr>
            <w:tcW w:w="770" w:type="pct"/>
            <w:shd w:val="clear" w:color="auto" w:fill="D9D9D9"/>
            <w:vAlign w:val="bottom"/>
          </w:tcPr>
          <w:p w14:paraId="59E66C5D" w14:textId="77777777" w:rsidR="00D538EE" w:rsidRPr="0047396C" w:rsidRDefault="00D538EE" w:rsidP="00D538EE">
            <w:pPr>
              <w:spacing w:after="0"/>
              <w:rPr>
                <w:rFonts w:ascii="Times New Roman" w:hAnsi="Times New Roman" w:cs="Times New Roman"/>
                <w:b/>
                <w:sz w:val="20"/>
                <w:szCs w:val="20"/>
              </w:rPr>
            </w:pPr>
            <w:r w:rsidRPr="0047396C">
              <w:rPr>
                <w:rFonts w:ascii="Times New Roman" w:hAnsi="Times New Roman" w:cs="Times New Roman"/>
                <w:b/>
                <w:sz w:val="20"/>
                <w:szCs w:val="20"/>
              </w:rPr>
              <w:t>Total Annual Burden Hours &amp; Total Annual Cost</w:t>
            </w:r>
          </w:p>
          <w:p w14:paraId="77D81655" w14:textId="77777777" w:rsidR="00D538EE" w:rsidRPr="0047396C" w:rsidRDefault="00D538EE" w:rsidP="00D538EE">
            <w:pPr>
              <w:spacing w:after="0"/>
              <w:rPr>
                <w:rFonts w:ascii="Times New Roman" w:hAnsi="Times New Roman" w:cs="Times New Roman"/>
                <w:b/>
                <w:sz w:val="20"/>
                <w:szCs w:val="20"/>
              </w:rPr>
            </w:pPr>
            <w:r w:rsidRPr="0047396C">
              <w:rPr>
                <w:rFonts w:ascii="Times New Roman" w:hAnsi="Times New Roman" w:cs="Times New Roman"/>
                <w:b/>
                <w:sz w:val="20"/>
                <w:szCs w:val="20"/>
              </w:rPr>
              <w:t>(3)*(4)=(5)</w:t>
            </w:r>
          </w:p>
        </w:tc>
        <w:tc>
          <w:tcPr>
            <w:tcW w:w="671" w:type="pct"/>
            <w:shd w:val="clear" w:color="auto" w:fill="D9D9D9"/>
            <w:vAlign w:val="bottom"/>
          </w:tcPr>
          <w:p w14:paraId="37DD9FF5" w14:textId="77777777" w:rsidR="00D538EE" w:rsidRPr="0047396C" w:rsidRDefault="00D538EE" w:rsidP="00D538EE">
            <w:pPr>
              <w:spacing w:after="0"/>
              <w:rPr>
                <w:rFonts w:ascii="Times New Roman" w:hAnsi="Times New Roman" w:cs="Times New Roman"/>
                <w:b/>
                <w:sz w:val="20"/>
                <w:szCs w:val="20"/>
              </w:rPr>
            </w:pPr>
            <w:r w:rsidRPr="0047396C">
              <w:rPr>
                <w:rFonts w:ascii="Times New Roman" w:hAnsi="Times New Roman" w:cs="Times New Roman"/>
                <w:b/>
                <w:sz w:val="20"/>
                <w:szCs w:val="20"/>
              </w:rPr>
              <w:t>Cost per Respondent</w:t>
            </w:r>
          </w:p>
          <w:p w14:paraId="4C4E5531" w14:textId="77777777" w:rsidR="00D538EE" w:rsidRPr="0047396C" w:rsidRDefault="00D538EE" w:rsidP="00D538EE">
            <w:pPr>
              <w:spacing w:after="0"/>
              <w:rPr>
                <w:rFonts w:ascii="Times New Roman" w:hAnsi="Times New Roman" w:cs="Times New Roman"/>
                <w:b/>
                <w:sz w:val="20"/>
                <w:szCs w:val="20"/>
              </w:rPr>
            </w:pPr>
            <w:r w:rsidRPr="0047396C">
              <w:rPr>
                <w:rFonts w:ascii="Times New Roman" w:hAnsi="Times New Roman" w:cs="Times New Roman"/>
                <w:b/>
                <w:sz w:val="20"/>
                <w:szCs w:val="20"/>
              </w:rPr>
              <w:t xml:space="preserve"> ($)</w:t>
            </w:r>
          </w:p>
          <w:p w14:paraId="742714CF" w14:textId="77777777" w:rsidR="00D538EE" w:rsidRPr="0047396C" w:rsidRDefault="00D538EE" w:rsidP="00D538EE">
            <w:pPr>
              <w:spacing w:after="0"/>
              <w:rPr>
                <w:rFonts w:ascii="Times New Roman" w:hAnsi="Times New Roman" w:cs="Times New Roman"/>
                <w:b/>
                <w:sz w:val="20"/>
                <w:szCs w:val="20"/>
              </w:rPr>
            </w:pPr>
            <w:r w:rsidRPr="0047396C">
              <w:rPr>
                <w:rFonts w:ascii="Times New Roman" w:hAnsi="Times New Roman" w:cs="Times New Roman"/>
                <w:b/>
                <w:sz w:val="20"/>
                <w:szCs w:val="20"/>
              </w:rPr>
              <w:t>(5)÷(1)</w:t>
            </w:r>
          </w:p>
          <w:p w14:paraId="1A564B81" w14:textId="77777777" w:rsidR="00D538EE" w:rsidRPr="0047396C" w:rsidRDefault="00D538EE" w:rsidP="00D538EE">
            <w:pPr>
              <w:spacing w:after="0"/>
              <w:rPr>
                <w:rFonts w:ascii="Times New Roman" w:hAnsi="Times New Roman" w:cs="Times New Roman"/>
                <w:b/>
                <w:sz w:val="20"/>
                <w:szCs w:val="20"/>
              </w:rPr>
            </w:pPr>
          </w:p>
        </w:tc>
      </w:tr>
      <w:tr w:rsidR="00D538EE" w:rsidRPr="0047396C" w14:paraId="4B750D93" w14:textId="77777777" w:rsidTr="0047396C">
        <w:trPr>
          <w:cantSplit/>
        </w:trPr>
        <w:tc>
          <w:tcPr>
            <w:tcW w:w="816" w:type="pct"/>
          </w:tcPr>
          <w:p w14:paraId="0E54AE8F" w14:textId="73C26B6D" w:rsidR="00D538EE" w:rsidRPr="0047396C" w:rsidRDefault="00D538EE" w:rsidP="00057608">
            <w:pPr>
              <w:spacing w:after="0"/>
              <w:rPr>
                <w:rFonts w:ascii="Times New Roman" w:hAnsi="Times New Roman" w:cs="Times New Roman"/>
                <w:sz w:val="20"/>
                <w:szCs w:val="20"/>
              </w:rPr>
            </w:pPr>
            <w:r w:rsidRPr="0047396C">
              <w:rPr>
                <w:rFonts w:ascii="Times New Roman" w:hAnsi="Times New Roman" w:cs="Times New Roman"/>
                <w:sz w:val="20"/>
                <w:szCs w:val="20"/>
              </w:rPr>
              <w:t xml:space="preserve">Tariff filing </w:t>
            </w:r>
          </w:p>
        </w:tc>
        <w:tc>
          <w:tcPr>
            <w:tcW w:w="722" w:type="pct"/>
          </w:tcPr>
          <w:p w14:paraId="61B95254" w14:textId="77777777" w:rsidR="00D538EE" w:rsidRPr="0047396C" w:rsidRDefault="00D538EE" w:rsidP="00D538EE">
            <w:pPr>
              <w:spacing w:after="0"/>
              <w:rPr>
                <w:rFonts w:ascii="Times New Roman" w:hAnsi="Times New Roman" w:cs="Times New Roman"/>
                <w:sz w:val="20"/>
                <w:szCs w:val="20"/>
              </w:rPr>
            </w:pPr>
            <w:r w:rsidRPr="0047396C">
              <w:rPr>
                <w:rFonts w:ascii="Times New Roman" w:hAnsi="Times New Roman" w:cs="Times New Roman"/>
                <w:sz w:val="20"/>
                <w:szCs w:val="20"/>
              </w:rPr>
              <w:t>6</w:t>
            </w:r>
          </w:p>
        </w:tc>
        <w:tc>
          <w:tcPr>
            <w:tcW w:w="722" w:type="pct"/>
          </w:tcPr>
          <w:p w14:paraId="1D984B11" w14:textId="77777777" w:rsidR="00D538EE" w:rsidRPr="0047396C" w:rsidRDefault="00D538EE" w:rsidP="00D538EE">
            <w:pPr>
              <w:spacing w:after="0"/>
              <w:rPr>
                <w:rFonts w:ascii="Times New Roman" w:hAnsi="Times New Roman" w:cs="Times New Roman"/>
                <w:sz w:val="20"/>
                <w:szCs w:val="20"/>
              </w:rPr>
            </w:pPr>
            <w:r w:rsidRPr="0047396C">
              <w:rPr>
                <w:rFonts w:ascii="Times New Roman" w:hAnsi="Times New Roman" w:cs="Times New Roman"/>
                <w:sz w:val="20"/>
                <w:szCs w:val="20"/>
              </w:rPr>
              <w:t>1</w:t>
            </w:r>
          </w:p>
        </w:tc>
        <w:tc>
          <w:tcPr>
            <w:tcW w:w="673" w:type="pct"/>
          </w:tcPr>
          <w:p w14:paraId="768489E3" w14:textId="77777777" w:rsidR="00D538EE" w:rsidRPr="0047396C" w:rsidRDefault="00D538EE" w:rsidP="00D538EE">
            <w:pPr>
              <w:spacing w:after="0"/>
              <w:rPr>
                <w:rFonts w:ascii="Times New Roman" w:hAnsi="Times New Roman" w:cs="Times New Roman"/>
                <w:sz w:val="20"/>
                <w:szCs w:val="20"/>
              </w:rPr>
            </w:pPr>
            <w:r w:rsidRPr="0047396C">
              <w:rPr>
                <w:rFonts w:ascii="Times New Roman" w:hAnsi="Times New Roman" w:cs="Times New Roman"/>
                <w:sz w:val="20"/>
                <w:szCs w:val="20"/>
              </w:rPr>
              <w:t>6</w:t>
            </w:r>
          </w:p>
        </w:tc>
        <w:tc>
          <w:tcPr>
            <w:tcW w:w="626" w:type="pct"/>
          </w:tcPr>
          <w:p w14:paraId="55AACAF1" w14:textId="77777777" w:rsidR="00D538EE" w:rsidRPr="0047396C" w:rsidRDefault="00D538EE" w:rsidP="00D538EE">
            <w:pPr>
              <w:spacing w:after="0"/>
              <w:rPr>
                <w:rFonts w:ascii="Times New Roman" w:hAnsi="Times New Roman" w:cs="Times New Roman"/>
                <w:sz w:val="20"/>
                <w:szCs w:val="20"/>
              </w:rPr>
            </w:pPr>
            <w:r w:rsidRPr="0047396C">
              <w:rPr>
                <w:rFonts w:ascii="Times New Roman" w:hAnsi="Times New Roman" w:cs="Times New Roman"/>
                <w:sz w:val="20"/>
                <w:szCs w:val="20"/>
              </w:rPr>
              <w:t>80 hours, $5,920</w:t>
            </w:r>
          </w:p>
        </w:tc>
        <w:tc>
          <w:tcPr>
            <w:tcW w:w="770" w:type="pct"/>
          </w:tcPr>
          <w:p w14:paraId="14385499" w14:textId="77777777" w:rsidR="00D538EE" w:rsidRPr="0047396C" w:rsidRDefault="00D538EE" w:rsidP="00D538EE">
            <w:pPr>
              <w:spacing w:after="0"/>
              <w:rPr>
                <w:rFonts w:ascii="Times New Roman" w:hAnsi="Times New Roman" w:cs="Times New Roman"/>
                <w:sz w:val="20"/>
                <w:szCs w:val="20"/>
              </w:rPr>
            </w:pPr>
            <w:r w:rsidRPr="0047396C">
              <w:rPr>
                <w:rFonts w:ascii="Times New Roman" w:hAnsi="Times New Roman" w:cs="Times New Roman"/>
                <w:sz w:val="20"/>
                <w:szCs w:val="20"/>
              </w:rPr>
              <w:t>480 hours, $35,520</w:t>
            </w:r>
          </w:p>
        </w:tc>
        <w:tc>
          <w:tcPr>
            <w:tcW w:w="671" w:type="pct"/>
          </w:tcPr>
          <w:p w14:paraId="50122B47" w14:textId="77777777" w:rsidR="00D538EE" w:rsidRPr="0047396C" w:rsidRDefault="00407E73" w:rsidP="00D538EE">
            <w:pPr>
              <w:spacing w:after="0"/>
              <w:rPr>
                <w:rFonts w:ascii="Times New Roman" w:hAnsi="Times New Roman" w:cs="Times New Roman"/>
                <w:sz w:val="20"/>
                <w:szCs w:val="20"/>
              </w:rPr>
            </w:pPr>
            <w:r w:rsidRPr="0047396C">
              <w:rPr>
                <w:rFonts w:ascii="Times New Roman" w:hAnsi="Times New Roman" w:cs="Times New Roman"/>
                <w:sz w:val="20"/>
                <w:szCs w:val="20"/>
              </w:rPr>
              <w:t>80 hours</w:t>
            </w:r>
          </w:p>
          <w:p w14:paraId="64131763" w14:textId="77777777" w:rsidR="00407E73" w:rsidRPr="0047396C" w:rsidRDefault="00407E73" w:rsidP="00D538EE">
            <w:pPr>
              <w:spacing w:after="0"/>
              <w:rPr>
                <w:rFonts w:ascii="Times New Roman" w:hAnsi="Times New Roman" w:cs="Times New Roman"/>
                <w:sz w:val="20"/>
                <w:szCs w:val="20"/>
              </w:rPr>
            </w:pPr>
            <w:r w:rsidRPr="0047396C">
              <w:rPr>
                <w:rFonts w:ascii="Times New Roman" w:hAnsi="Times New Roman" w:cs="Times New Roman"/>
                <w:sz w:val="20"/>
                <w:szCs w:val="20"/>
              </w:rPr>
              <w:t>$5,920</w:t>
            </w:r>
          </w:p>
        </w:tc>
      </w:tr>
      <w:tr w:rsidR="00D538EE" w:rsidRPr="0047396C" w14:paraId="22CD78DB" w14:textId="77777777" w:rsidTr="0047396C">
        <w:trPr>
          <w:cantSplit/>
        </w:trPr>
        <w:tc>
          <w:tcPr>
            <w:tcW w:w="816" w:type="pct"/>
          </w:tcPr>
          <w:p w14:paraId="6496ADB9" w14:textId="04A01E7A" w:rsidR="00D538EE" w:rsidRPr="0047396C" w:rsidRDefault="00D538EE" w:rsidP="00057608">
            <w:pPr>
              <w:spacing w:after="0"/>
              <w:rPr>
                <w:rFonts w:ascii="Times New Roman" w:hAnsi="Times New Roman" w:cs="Times New Roman"/>
                <w:sz w:val="20"/>
                <w:szCs w:val="20"/>
              </w:rPr>
            </w:pPr>
            <w:r w:rsidRPr="0047396C">
              <w:rPr>
                <w:rFonts w:ascii="Times New Roman" w:hAnsi="Times New Roman" w:cs="Times New Roman"/>
                <w:sz w:val="20"/>
                <w:szCs w:val="20"/>
              </w:rPr>
              <w:t xml:space="preserve">Implementation </w:t>
            </w:r>
          </w:p>
        </w:tc>
        <w:tc>
          <w:tcPr>
            <w:tcW w:w="722" w:type="pct"/>
          </w:tcPr>
          <w:p w14:paraId="03936C93" w14:textId="77777777" w:rsidR="00D538EE" w:rsidRPr="0047396C" w:rsidRDefault="00D538EE" w:rsidP="00D538EE">
            <w:pPr>
              <w:spacing w:after="0"/>
              <w:rPr>
                <w:rFonts w:ascii="Times New Roman" w:hAnsi="Times New Roman" w:cs="Times New Roman"/>
                <w:sz w:val="20"/>
                <w:szCs w:val="20"/>
              </w:rPr>
            </w:pPr>
            <w:r w:rsidRPr="0047396C">
              <w:rPr>
                <w:rFonts w:ascii="Times New Roman" w:hAnsi="Times New Roman" w:cs="Times New Roman"/>
                <w:sz w:val="20"/>
                <w:szCs w:val="20"/>
              </w:rPr>
              <w:t>6</w:t>
            </w:r>
          </w:p>
        </w:tc>
        <w:tc>
          <w:tcPr>
            <w:tcW w:w="722" w:type="pct"/>
          </w:tcPr>
          <w:p w14:paraId="49B8F920" w14:textId="77777777" w:rsidR="00D538EE" w:rsidRPr="0047396C" w:rsidRDefault="00D538EE" w:rsidP="00D538EE">
            <w:pPr>
              <w:spacing w:after="0"/>
              <w:rPr>
                <w:rFonts w:ascii="Times New Roman" w:hAnsi="Times New Roman" w:cs="Times New Roman"/>
                <w:sz w:val="20"/>
                <w:szCs w:val="20"/>
              </w:rPr>
            </w:pPr>
            <w:r w:rsidRPr="0047396C">
              <w:rPr>
                <w:rFonts w:ascii="Times New Roman" w:hAnsi="Times New Roman" w:cs="Times New Roman"/>
                <w:sz w:val="20"/>
                <w:szCs w:val="20"/>
              </w:rPr>
              <w:t>1</w:t>
            </w:r>
          </w:p>
        </w:tc>
        <w:tc>
          <w:tcPr>
            <w:tcW w:w="673" w:type="pct"/>
          </w:tcPr>
          <w:p w14:paraId="583A2387" w14:textId="77777777" w:rsidR="00D538EE" w:rsidRPr="0047396C" w:rsidRDefault="00D538EE" w:rsidP="00D538EE">
            <w:pPr>
              <w:spacing w:after="0"/>
              <w:rPr>
                <w:rFonts w:ascii="Times New Roman" w:hAnsi="Times New Roman" w:cs="Times New Roman"/>
                <w:sz w:val="20"/>
                <w:szCs w:val="20"/>
              </w:rPr>
            </w:pPr>
            <w:r w:rsidRPr="0047396C">
              <w:rPr>
                <w:rFonts w:ascii="Times New Roman" w:hAnsi="Times New Roman" w:cs="Times New Roman"/>
                <w:sz w:val="20"/>
                <w:szCs w:val="20"/>
              </w:rPr>
              <w:t>6</w:t>
            </w:r>
          </w:p>
        </w:tc>
        <w:tc>
          <w:tcPr>
            <w:tcW w:w="626" w:type="pct"/>
          </w:tcPr>
          <w:p w14:paraId="4971E941" w14:textId="77777777" w:rsidR="00D538EE" w:rsidRPr="0047396C" w:rsidRDefault="00D538EE" w:rsidP="00D538EE">
            <w:pPr>
              <w:spacing w:after="0"/>
              <w:rPr>
                <w:rFonts w:ascii="Times New Roman" w:hAnsi="Times New Roman" w:cs="Times New Roman"/>
                <w:sz w:val="20"/>
                <w:szCs w:val="20"/>
              </w:rPr>
            </w:pPr>
            <w:r w:rsidRPr="0047396C">
              <w:rPr>
                <w:rFonts w:ascii="Times New Roman" w:hAnsi="Times New Roman" w:cs="Times New Roman"/>
                <w:sz w:val="20"/>
                <w:szCs w:val="20"/>
              </w:rPr>
              <w:t>3,853 hours, $285,122</w:t>
            </w:r>
          </w:p>
        </w:tc>
        <w:tc>
          <w:tcPr>
            <w:tcW w:w="770" w:type="pct"/>
          </w:tcPr>
          <w:p w14:paraId="320E3C14" w14:textId="77777777" w:rsidR="00D538EE" w:rsidRPr="0047396C" w:rsidRDefault="00D538EE" w:rsidP="00D538EE">
            <w:pPr>
              <w:spacing w:after="0"/>
              <w:rPr>
                <w:rFonts w:ascii="Times New Roman" w:hAnsi="Times New Roman" w:cs="Times New Roman"/>
                <w:sz w:val="20"/>
                <w:szCs w:val="20"/>
              </w:rPr>
            </w:pPr>
            <w:r w:rsidRPr="0047396C">
              <w:rPr>
                <w:rFonts w:ascii="Times New Roman" w:hAnsi="Times New Roman" w:cs="Times New Roman"/>
                <w:sz w:val="20"/>
                <w:szCs w:val="20"/>
              </w:rPr>
              <w:t>23,118 hours, $1,710,732</w:t>
            </w:r>
          </w:p>
        </w:tc>
        <w:tc>
          <w:tcPr>
            <w:tcW w:w="671" w:type="pct"/>
          </w:tcPr>
          <w:p w14:paraId="6723A075" w14:textId="77777777" w:rsidR="00D538EE" w:rsidRPr="0047396C" w:rsidRDefault="00407E73" w:rsidP="00D538EE">
            <w:pPr>
              <w:spacing w:after="0"/>
              <w:rPr>
                <w:rFonts w:ascii="Times New Roman" w:hAnsi="Times New Roman" w:cs="Times New Roman"/>
                <w:sz w:val="20"/>
                <w:szCs w:val="20"/>
              </w:rPr>
            </w:pPr>
            <w:r w:rsidRPr="0047396C">
              <w:rPr>
                <w:rFonts w:ascii="Times New Roman" w:hAnsi="Times New Roman" w:cs="Times New Roman"/>
                <w:sz w:val="20"/>
                <w:szCs w:val="20"/>
              </w:rPr>
              <w:t>3,853 hours</w:t>
            </w:r>
          </w:p>
          <w:p w14:paraId="5CCF967F" w14:textId="77777777" w:rsidR="00407E73" w:rsidRPr="0047396C" w:rsidRDefault="00407E73" w:rsidP="00D538EE">
            <w:pPr>
              <w:spacing w:after="0"/>
              <w:rPr>
                <w:rFonts w:ascii="Times New Roman" w:hAnsi="Times New Roman" w:cs="Times New Roman"/>
                <w:sz w:val="20"/>
                <w:szCs w:val="20"/>
              </w:rPr>
            </w:pPr>
            <w:r w:rsidRPr="0047396C">
              <w:rPr>
                <w:rFonts w:ascii="Times New Roman" w:hAnsi="Times New Roman" w:cs="Times New Roman"/>
                <w:sz w:val="20"/>
                <w:szCs w:val="20"/>
              </w:rPr>
              <w:t>$285,122</w:t>
            </w:r>
          </w:p>
        </w:tc>
      </w:tr>
      <w:tr w:rsidR="0047396C" w:rsidRPr="0047396C" w14:paraId="56932C88" w14:textId="77777777" w:rsidTr="001E70B5">
        <w:trPr>
          <w:cantSplit/>
        </w:trPr>
        <w:tc>
          <w:tcPr>
            <w:tcW w:w="816" w:type="pct"/>
          </w:tcPr>
          <w:p w14:paraId="3FA2208E" w14:textId="59DA8FD6" w:rsidR="0047396C" w:rsidRPr="0047396C" w:rsidRDefault="0047396C" w:rsidP="001C3C29">
            <w:pPr>
              <w:spacing w:after="0"/>
              <w:rPr>
                <w:rFonts w:ascii="Times New Roman" w:hAnsi="Times New Roman" w:cs="Times New Roman"/>
                <w:b/>
                <w:sz w:val="20"/>
                <w:szCs w:val="20"/>
              </w:rPr>
            </w:pPr>
            <w:r w:rsidRPr="0047396C">
              <w:rPr>
                <w:rFonts w:ascii="Times New Roman" w:hAnsi="Times New Roman" w:cs="Times New Roman"/>
                <w:b/>
                <w:sz w:val="20"/>
                <w:szCs w:val="20"/>
              </w:rPr>
              <w:t xml:space="preserve">TOTAL </w:t>
            </w:r>
          </w:p>
        </w:tc>
        <w:tc>
          <w:tcPr>
            <w:tcW w:w="2117" w:type="pct"/>
            <w:gridSpan w:val="3"/>
            <w:shd w:val="clear" w:color="auto" w:fill="D9D9D9" w:themeFill="background1" w:themeFillShade="D9"/>
          </w:tcPr>
          <w:p w14:paraId="49C7CDDD" w14:textId="77777777" w:rsidR="0047396C" w:rsidRPr="0047396C" w:rsidRDefault="0047396C" w:rsidP="00D538EE">
            <w:pPr>
              <w:spacing w:after="0"/>
              <w:rPr>
                <w:rFonts w:ascii="Times New Roman" w:hAnsi="Times New Roman" w:cs="Times New Roman"/>
                <w:sz w:val="20"/>
                <w:szCs w:val="20"/>
              </w:rPr>
            </w:pPr>
          </w:p>
        </w:tc>
        <w:tc>
          <w:tcPr>
            <w:tcW w:w="626" w:type="pct"/>
          </w:tcPr>
          <w:p w14:paraId="11316ECE" w14:textId="77777777" w:rsidR="0047396C" w:rsidRPr="0047396C" w:rsidRDefault="0047396C" w:rsidP="00D538EE">
            <w:pPr>
              <w:spacing w:after="0"/>
              <w:rPr>
                <w:rFonts w:ascii="Times New Roman" w:hAnsi="Times New Roman" w:cs="Times New Roman"/>
                <w:sz w:val="20"/>
                <w:szCs w:val="20"/>
              </w:rPr>
            </w:pPr>
            <w:r w:rsidRPr="0047396C">
              <w:rPr>
                <w:rFonts w:ascii="Times New Roman" w:hAnsi="Times New Roman" w:cs="Times New Roman"/>
                <w:sz w:val="20"/>
                <w:szCs w:val="20"/>
              </w:rPr>
              <w:t>3,933 hours, $291,042</w:t>
            </w:r>
          </w:p>
        </w:tc>
        <w:tc>
          <w:tcPr>
            <w:tcW w:w="770" w:type="pct"/>
          </w:tcPr>
          <w:p w14:paraId="30748E4F" w14:textId="77777777" w:rsidR="0047396C" w:rsidRPr="0047396C" w:rsidRDefault="0047396C" w:rsidP="00D538EE">
            <w:pPr>
              <w:spacing w:after="0"/>
              <w:rPr>
                <w:rFonts w:ascii="Times New Roman" w:hAnsi="Times New Roman" w:cs="Times New Roman"/>
                <w:sz w:val="20"/>
                <w:szCs w:val="20"/>
              </w:rPr>
            </w:pPr>
            <w:r w:rsidRPr="0047396C">
              <w:rPr>
                <w:rFonts w:ascii="Times New Roman" w:hAnsi="Times New Roman" w:cs="Times New Roman"/>
                <w:sz w:val="20"/>
                <w:szCs w:val="20"/>
              </w:rPr>
              <w:t>23,598 hours, $1,746,252</w:t>
            </w:r>
          </w:p>
        </w:tc>
        <w:tc>
          <w:tcPr>
            <w:tcW w:w="671" w:type="pct"/>
            <w:shd w:val="clear" w:color="auto" w:fill="D9D9D9" w:themeFill="background1" w:themeFillShade="D9"/>
          </w:tcPr>
          <w:p w14:paraId="74BB7562" w14:textId="62376A42" w:rsidR="0047396C" w:rsidRPr="0047396C" w:rsidRDefault="0047396C" w:rsidP="00D538EE">
            <w:pPr>
              <w:spacing w:after="0"/>
              <w:rPr>
                <w:rFonts w:ascii="Times New Roman" w:hAnsi="Times New Roman" w:cs="Times New Roman"/>
                <w:sz w:val="20"/>
                <w:szCs w:val="20"/>
              </w:rPr>
            </w:pPr>
          </w:p>
        </w:tc>
      </w:tr>
    </w:tbl>
    <w:p w14:paraId="67204807" w14:textId="77777777" w:rsidR="00BF5553" w:rsidRPr="00386622" w:rsidRDefault="00BF5553" w:rsidP="00BF5553">
      <w:pPr>
        <w:spacing w:after="0"/>
        <w:rPr>
          <w:rFonts w:ascii="Times New Roman" w:hAnsi="Times New Roman" w:cs="Times New Roman"/>
          <w:sz w:val="26"/>
          <w:szCs w:val="26"/>
        </w:rPr>
      </w:pPr>
    </w:p>
    <w:p w14:paraId="09CC7983" w14:textId="77777777" w:rsidR="00473FCB" w:rsidRPr="001C3C29" w:rsidRDefault="00473FCB" w:rsidP="00BF5553">
      <w:pPr>
        <w:spacing w:after="0"/>
        <w:rPr>
          <w:rFonts w:ascii="Times New Roman" w:hAnsi="Times New Roman" w:cs="Times New Roman"/>
          <w:b/>
          <w:sz w:val="26"/>
          <w:szCs w:val="26"/>
          <w:u w:val="single"/>
        </w:rPr>
      </w:pPr>
      <w:r w:rsidRPr="001C3C29">
        <w:rPr>
          <w:rFonts w:ascii="Times New Roman" w:hAnsi="Times New Roman" w:cs="Times New Roman"/>
          <w:b/>
          <w:sz w:val="26"/>
          <w:szCs w:val="26"/>
          <w:u w:val="single"/>
        </w:rPr>
        <w:t>Costs related to Burden Estimate:</w:t>
      </w:r>
    </w:p>
    <w:p w14:paraId="5C44C80D" w14:textId="6D49970D" w:rsidR="00DB6E61" w:rsidRDefault="00473FCB" w:rsidP="00BF5553">
      <w:pPr>
        <w:spacing w:after="0"/>
        <w:rPr>
          <w:rFonts w:ascii="Times New Roman" w:hAnsi="Times New Roman" w:cs="Times New Roman"/>
          <w:sz w:val="26"/>
          <w:szCs w:val="26"/>
        </w:rPr>
      </w:pPr>
      <w:r>
        <w:rPr>
          <w:rFonts w:ascii="Times New Roman" w:hAnsi="Times New Roman" w:cs="Times New Roman"/>
          <w:sz w:val="26"/>
          <w:szCs w:val="26"/>
          <w:u w:val="single"/>
        </w:rPr>
        <w:t>Year 1</w:t>
      </w:r>
      <w:r w:rsidR="006B1440">
        <w:rPr>
          <w:rFonts w:ascii="Times New Roman" w:hAnsi="Times New Roman" w:cs="Times New Roman"/>
          <w:sz w:val="26"/>
          <w:szCs w:val="26"/>
          <w:u w:val="single"/>
        </w:rPr>
        <w:t>-3</w:t>
      </w:r>
      <w:r>
        <w:rPr>
          <w:rFonts w:ascii="Times New Roman" w:hAnsi="Times New Roman" w:cs="Times New Roman"/>
          <w:sz w:val="26"/>
          <w:szCs w:val="26"/>
          <w:u w:val="single"/>
        </w:rPr>
        <w:t>:</w:t>
      </w:r>
      <w:r>
        <w:rPr>
          <w:rFonts w:ascii="Times New Roman" w:hAnsi="Times New Roman" w:cs="Times New Roman"/>
          <w:sz w:val="26"/>
          <w:szCs w:val="26"/>
        </w:rPr>
        <w:t xml:space="preserve"> </w:t>
      </w:r>
      <w:r w:rsidR="006B1440">
        <w:rPr>
          <w:rFonts w:ascii="Times New Roman" w:hAnsi="Times New Roman" w:cs="Times New Roman"/>
          <w:sz w:val="26"/>
          <w:szCs w:val="26"/>
        </w:rPr>
        <w:t xml:space="preserve"> F</w:t>
      </w:r>
      <w:r w:rsidR="00BF5553" w:rsidRPr="00A97BBA">
        <w:rPr>
          <w:rFonts w:ascii="Times New Roman" w:hAnsi="Times New Roman" w:cs="Times New Roman"/>
          <w:sz w:val="26"/>
          <w:szCs w:val="26"/>
        </w:rPr>
        <w:t xml:space="preserve">or administrative purposes for </w:t>
      </w:r>
      <w:r w:rsidR="006B1440">
        <w:rPr>
          <w:rFonts w:ascii="Times New Roman" w:hAnsi="Times New Roman" w:cs="Times New Roman"/>
          <w:sz w:val="26"/>
          <w:szCs w:val="26"/>
        </w:rPr>
        <w:t xml:space="preserve">reginfo.gov, ROCIS and </w:t>
      </w:r>
      <w:r w:rsidR="00BF5553" w:rsidRPr="00A97BBA">
        <w:rPr>
          <w:rFonts w:ascii="Times New Roman" w:hAnsi="Times New Roman" w:cs="Times New Roman"/>
          <w:sz w:val="26"/>
          <w:szCs w:val="26"/>
        </w:rPr>
        <w:t xml:space="preserve">this submittal to OMB, </w:t>
      </w:r>
      <w:r w:rsidR="006B1440">
        <w:rPr>
          <w:rFonts w:ascii="Times New Roman" w:hAnsi="Times New Roman" w:cs="Times New Roman"/>
          <w:sz w:val="26"/>
          <w:szCs w:val="26"/>
        </w:rPr>
        <w:t>one-time implementation (23,</w:t>
      </w:r>
      <w:r w:rsidR="00E22BAC">
        <w:rPr>
          <w:rFonts w:ascii="Times New Roman" w:hAnsi="Times New Roman" w:cs="Times New Roman"/>
          <w:sz w:val="26"/>
          <w:szCs w:val="26"/>
        </w:rPr>
        <w:t>118</w:t>
      </w:r>
      <w:r w:rsidR="006B1440">
        <w:rPr>
          <w:rFonts w:ascii="Times New Roman" w:hAnsi="Times New Roman" w:cs="Times New Roman"/>
          <w:sz w:val="26"/>
          <w:szCs w:val="26"/>
        </w:rPr>
        <w:t xml:space="preserve"> hours) is</w:t>
      </w:r>
      <w:r w:rsidR="00E22BAC">
        <w:rPr>
          <w:rFonts w:ascii="Times New Roman" w:hAnsi="Times New Roman" w:cs="Times New Roman"/>
          <w:sz w:val="26"/>
          <w:szCs w:val="26"/>
        </w:rPr>
        <w:t xml:space="preserve"> averaged</w:t>
      </w:r>
      <w:r w:rsidR="006B1440">
        <w:rPr>
          <w:rFonts w:ascii="Times New Roman" w:hAnsi="Times New Roman" w:cs="Times New Roman"/>
          <w:sz w:val="26"/>
          <w:szCs w:val="26"/>
        </w:rPr>
        <w:t xml:space="preserve"> </w:t>
      </w:r>
      <w:r w:rsidR="00E22BAC">
        <w:rPr>
          <w:rFonts w:ascii="Times New Roman" w:hAnsi="Times New Roman" w:cs="Times New Roman"/>
          <w:sz w:val="26"/>
          <w:szCs w:val="26"/>
        </w:rPr>
        <w:t>over</w:t>
      </w:r>
      <w:r w:rsidR="006B1440">
        <w:rPr>
          <w:rFonts w:ascii="Times New Roman" w:hAnsi="Times New Roman" w:cs="Times New Roman"/>
          <w:sz w:val="26"/>
          <w:szCs w:val="26"/>
        </w:rPr>
        <w:t xml:space="preserve"> </w:t>
      </w:r>
      <w:r w:rsidR="00E22BAC">
        <w:rPr>
          <w:rFonts w:ascii="Times New Roman" w:hAnsi="Times New Roman" w:cs="Times New Roman"/>
          <w:sz w:val="26"/>
          <w:szCs w:val="26"/>
        </w:rPr>
        <w:t>Years 1-3</w:t>
      </w:r>
      <w:r w:rsidR="006B1440">
        <w:rPr>
          <w:rFonts w:ascii="Times New Roman" w:hAnsi="Times New Roman" w:cs="Times New Roman"/>
          <w:sz w:val="26"/>
          <w:szCs w:val="26"/>
        </w:rPr>
        <w:t>.</w:t>
      </w:r>
      <w:r w:rsidR="00DB6E61">
        <w:rPr>
          <w:rFonts w:ascii="Times New Roman" w:hAnsi="Times New Roman" w:cs="Times New Roman"/>
          <w:sz w:val="26"/>
          <w:szCs w:val="26"/>
        </w:rPr>
        <w:t xml:space="preserve"> Year 1-3 will have </w:t>
      </w:r>
      <w:r w:rsidR="00E22BAC">
        <w:rPr>
          <w:rFonts w:ascii="Times New Roman" w:hAnsi="Times New Roman" w:cs="Times New Roman"/>
          <w:sz w:val="26"/>
          <w:szCs w:val="26"/>
        </w:rPr>
        <w:t>7,706</w:t>
      </w:r>
      <w:r w:rsidR="00DB6E61">
        <w:rPr>
          <w:rFonts w:ascii="Times New Roman" w:hAnsi="Times New Roman" w:cs="Times New Roman"/>
          <w:sz w:val="26"/>
          <w:szCs w:val="26"/>
        </w:rPr>
        <w:t xml:space="preserve"> hours (23,</w:t>
      </w:r>
      <w:r w:rsidR="00E22BAC">
        <w:rPr>
          <w:rFonts w:ascii="Times New Roman" w:hAnsi="Times New Roman" w:cs="Times New Roman"/>
          <w:sz w:val="26"/>
          <w:szCs w:val="26"/>
        </w:rPr>
        <w:t xml:space="preserve">118÷ </w:t>
      </w:r>
      <w:r w:rsidR="00DB6E61">
        <w:rPr>
          <w:rFonts w:ascii="Times New Roman" w:hAnsi="Times New Roman" w:cs="Times New Roman"/>
          <w:sz w:val="26"/>
          <w:szCs w:val="26"/>
        </w:rPr>
        <w:t>3</w:t>
      </w:r>
      <w:r w:rsidR="004A5523">
        <w:rPr>
          <w:rFonts w:ascii="Times New Roman" w:hAnsi="Times New Roman" w:cs="Times New Roman"/>
          <w:sz w:val="26"/>
          <w:szCs w:val="26"/>
        </w:rPr>
        <w:t xml:space="preserve"> years</w:t>
      </w:r>
      <w:r w:rsidR="00DB6E61">
        <w:rPr>
          <w:rFonts w:ascii="Times New Roman" w:hAnsi="Times New Roman" w:cs="Times New Roman"/>
          <w:sz w:val="26"/>
          <w:szCs w:val="26"/>
        </w:rPr>
        <w:t>)</w:t>
      </w:r>
      <w:r w:rsidR="00E22BAC">
        <w:rPr>
          <w:rFonts w:ascii="Times New Roman" w:hAnsi="Times New Roman" w:cs="Times New Roman"/>
          <w:sz w:val="26"/>
          <w:szCs w:val="26"/>
        </w:rPr>
        <w:t xml:space="preserve"> + 480 hours (for ongoing burden related to tariff filings) = 8,186 total annual burden hours</w:t>
      </w:r>
      <w:r w:rsidR="00DB6E61">
        <w:rPr>
          <w:rFonts w:ascii="Times New Roman" w:hAnsi="Times New Roman" w:cs="Times New Roman"/>
          <w:sz w:val="26"/>
          <w:szCs w:val="26"/>
        </w:rPr>
        <w:t>)</w:t>
      </w:r>
      <w:r w:rsidR="004A5523">
        <w:rPr>
          <w:rFonts w:ascii="Times New Roman" w:hAnsi="Times New Roman" w:cs="Times New Roman"/>
          <w:sz w:val="26"/>
          <w:szCs w:val="26"/>
        </w:rPr>
        <w:t xml:space="preserve"> </w:t>
      </w:r>
      <w:r w:rsidR="00E22BAC">
        <w:rPr>
          <w:rFonts w:ascii="Times New Roman" w:hAnsi="Times New Roman" w:cs="Times New Roman"/>
          <w:sz w:val="26"/>
          <w:szCs w:val="26"/>
        </w:rPr>
        <w:t>is the</w:t>
      </w:r>
      <w:r w:rsidR="00656E46">
        <w:rPr>
          <w:rFonts w:ascii="Times New Roman" w:hAnsi="Times New Roman" w:cs="Times New Roman"/>
          <w:sz w:val="26"/>
          <w:szCs w:val="26"/>
        </w:rPr>
        <w:t xml:space="preserve"> total annual burden estimate</w:t>
      </w:r>
      <w:r w:rsidR="004A5523">
        <w:rPr>
          <w:rFonts w:ascii="Times New Roman" w:hAnsi="Times New Roman" w:cs="Times New Roman"/>
          <w:sz w:val="26"/>
          <w:szCs w:val="26"/>
        </w:rPr>
        <w:t xml:space="preserve"> used for administrative purposes.  </w:t>
      </w:r>
    </w:p>
    <w:p w14:paraId="15705319" w14:textId="77777777" w:rsidR="00DB6E61" w:rsidRDefault="00DB6E61" w:rsidP="00BF5553">
      <w:pPr>
        <w:spacing w:after="0"/>
        <w:rPr>
          <w:rFonts w:ascii="Times New Roman" w:hAnsi="Times New Roman" w:cs="Times New Roman"/>
          <w:sz w:val="26"/>
          <w:szCs w:val="26"/>
        </w:rPr>
      </w:pPr>
    </w:p>
    <w:p w14:paraId="5C782097" w14:textId="1DA6D036" w:rsidR="00BF5553" w:rsidRPr="00386622" w:rsidRDefault="00D30DFB" w:rsidP="00BF5553">
      <w:pPr>
        <w:spacing w:after="0"/>
        <w:rPr>
          <w:rFonts w:ascii="Times New Roman" w:hAnsi="Times New Roman" w:cs="Times New Roman"/>
          <w:sz w:val="26"/>
          <w:szCs w:val="26"/>
        </w:rPr>
      </w:pPr>
      <w:r>
        <w:rPr>
          <w:rFonts w:ascii="Times New Roman" w:hAnsi="Times New Roman" w:cs="Times New Roman"/>
          <w:sz w:val="26"/>
          <w:szCs w:val="26"/>
        </w:rPr>
        <w:t xml:space="preserve">FERC-516E has a one-time burden we </w:t>
      </w:r>
      <w:r w:rsidR="00DB6E61">
        <w:rPr>
          <w:rFonts w:ascii="Times New Roman" w:hAnsi="Times New Roman" w:cs="Times New Roman"/>
          <w:sz w:val="26"/>
          <w:szCs w:val="26"/>
        </w:rPr>
        <w:t>have</w:t>
      </w:r>
      <w:r>
        <w:rPr>
          <w:rFonts w:ascii="Times New Roman" w:hAnsi="Times New Roman" w:cs="Times New Roman"/>
          <w:sz w:val="26"/>
          <w:szCs w:val="26"/>
        </w:rPr>
        <w:t xml:space="preserve"> spread the cost over three years</w:t>
      </w:r>
      <w:r w:rsidR="00DB6E61">
        <w:rPr>
          <w:rFonts w:ascii="Times New Roman" w:hAnsi="Times New Roman" w:cs="Times New Roman"/>
          <w:sz w:val="26"/>
          <w:szCs w:val="26"/>
        </w:rPr>
        <w:t>, after the three years we will retire the</w:t>
      </w:r>
      <w:r w:rsidR="00AB2236">
        <w:rPr>
          <w:rFonts w:ascii="Times New Roman" w:hAnsi="Times New Roman" w:cs="Times New Roman"/>
          <w:sz w:val="26"/>
          <w:szCs w:val="26"/>
        </w:rPr>
        <w:t xml:space="preserve"> implementation portion of the</w:t>
      </w:r>
      <w:r w:rsidR="00DB6E61">
        <w:rPr>
          <w:rFonts w:ascii="Times New Roman" w:hAnsi="Times New Roman" w:cs="Times New Roman"/>
          <w:sz w:val="26"/>
          <w:szCs w:val="26"/>
        </w:rPr>
        <w:t xml:space="preserve"> collection. </w:t>
      </w:r>
    </w:p>
    <w:p w14:paraId="078717DA" w14:textId="77777777" w:rsidR="00E16616" w:rsidRPr="00386622" w:rsidRDefault="00E16616" w:rsidP="00BF5553">
      <w:pPr>
        <w:spacing w:after="0"/>
        <w:rPr>
          <w:rFonts w:ascii="Times New Roman" w:hAnsi="Times New Roman" w:cs="Times New Roman"/>
          <w:sz w:val="26"/>
          <w:szCs w:val="26"/>
        </w:rPr>
      </w:pPr>
    </w:p>
    <w:p w14:paraId="64AAB540" w14:textId="77777777" w:rsidR="00BF5553" w:rsidRPr="00386622" w:rsidRDefault="00BF5553" w:rsidP="00BF5553">
      <w:pPr>
        <w:pStyle w:val="ListParagraph"/>
        <w:numPr>
          <w:ilvl w:val="0"/>
          <w:numId w:val="1"/>
        </w:numPr>
        <w:spacing w:after="0"/>
        <w:ind w:left="360"/>
        <w:rPr>
          <w:rFonts w:ascii="Times New Roman" w:hAnsi="Times New Roman" w:cs="Times New Roman"/>
          <w:b/>
          <w:sz w:val="26"/>
          <w:szCs w:val="26"/>
        </w:rPr>
      </w:pPr>
      <w:r w:rsidRPr="00386622">
        <w:rPr>
          <w:rFonts w:ascii="Times New Roman" w:hAnsi="Times New Roman" w:cs="Times New Roman"/>
          <w:b/>
          <w:sz w:val="26"/>
          <w:szCs w:val="26"/>
        </w:rPr>
        <w:t>ESTIMATE OF THE TOTAL ANNUAL COST BURDEN TO RESPONDENTS</w:t>
      </w:r>
    </w:p>
    <w:p w14:paraId="6407A087" w14:textId="77777777" w:rsidR="001C3C29" w:rsidRDefault="001C3C29" w:rsidP="00F71E2A">
      <w:pPr>
        <w:spacing w:after="0" w:line="240" w:lineRule="auto"/>
        <w:rPr>
          <w:rFonts w:ascii="Times New Roman" w:hAnsi="Times New Roman" w:cs="Times New Roman"/>
          <w:sz w:val="26"/>
          <w:szCs w:val="26"/>
        </w:rPr>
      </w:pPr>
    </w:p>
    <w:p w14:paraId="03F834CA" w14:textId="77777777" w:rsidR="00F71E2A" w:rsidRPr="002359F6" w:rsidRDefault="00F71E2A" w:rsidP="00F71E2A">
      <w:pPr>
        <w:spacing w:after="0" w:line="240" w:lineRule="auto"/>
        <w:rPr>
          <w:rFonts w:ascii="Times New Roman" w:hAnsi="Times New Roman" w:cs="Times New Roman"/>
          <w:sz w:val="26"/>
          <w:szCs w:val="26"/>
        </w:rPr>
      </w:pPr>
      <w:r w:rsidRPr="002359F6">
        <w:rPr>
          <w:rFonts w:ascii="Times New Roman" w:hAnsi="Times New Roman" w:cs="Times New Roman"/>
          <w:sz w:val="26"/>
          <w:szCs w:val="26"/>
        </w:rPr>
        <w:t>There are no start-up or other non-labor costs.</w:t>
      </w:r>
    </w:p>
    <w:p w14:paraId="640DE95F" w14:textId="77777777" w:rsidR="00F71E2A" w:rsidRPr="002359F6" w:rsidRDefault="00F71E2A" w:rsidP="00F71E2A">
      <w:pPr>
        <w:spacing w:after="0" w:line="240" w:lineRule="auto"/>
        <w:rPr>
          <w:rFonts w:ascii="Times New Roman" w:hAnsi="Times New Roman" w:cs="Times New Roman"/>
          <w:sz w:val="26"/>
          <w:szCs w:val="26"/>
        </w:rPr>
      </w:pPr>
    </w:p>
    <w:p w14:paraId="04BEC000" w14:textId="77777777" w:rsidR="00F71E2A" w:rsidRPr="002359F6" w:rsidRDefault="00F71E2A" w:rsidP="00F71E2A">
      <w:pPr>
        <w:spacing w:after="0" w:line="240" w:lineRule="auto"/>
        <w:ind w:firstLine="720"/>
        <w:rPr>
          <w:rFonts w:ascii="Times New Roman" w:hAnsi="Times New Roman" w:cs="Times New Roman"/>
          <w:sz w:val="26"/>
          <w:szCs w:val="26"/>
        </w:rPr>
      </w:pPr>
      <w:r w:rsidRPr="002359F6">
        <w:rPr>
          <w:rFonts w:ascii="Times New Roman" w:hAnsi="Times New Roman" w:cs="Times New Roman"/>
          <w:sz w:val="26"/>
          <w:szCs w:val="26"/>
        </w:rPr>
        <w:t>Total Capital and Start-up cost: $0</w:t>
      </w:r>
    </w:p>
    <w:p w14:paraId="24D8755A" w14:textId="77777777" w:rsidR="00F71E2A" w:rsidRPr="002359F6" w:rsidRDefault="00F71E2A" w:rsidP="00F71E2A">
      <w:pPr>
        <w:spacing w:after="0" w:line="240" w:lineRule="auto"/>
        <w:ind w:left="720"/>
        <w:rPr>
          <w:rFonts w:ascii="Times New Roman" w:hAnsi="Times New Roman" w:cs="Times New Roman"/>
          <w:sz w:val="26"/>
          <w:szCs w:val="26"/>
        </w:rPr>
      </w:pPr>
      <w:r w:rsidRPr="002359F6">
        <w:rPr>
          <w:rFonts w:ascii="Times New Roman" w:hAnsi="Times New Roman" w:cs="Times New Roman"/>
          <w:sz w:val="26"/>
          <w:szCs w:val="26"/>
        </w:rPr>
        <w:t>Total Operation, Maintenance, and Purchase of Services: $0</w:t>
      </w:r>
    </w:p>
    <w:p w14:paraId="1F1ABDC3" w14:textId="77777777" w:rsidR="00F71E2A" w:rsidRPr="002359F6" w:rsidRDefault="00F71E2A" w:rsidP="00F71E2A">
      <w:pPr>
        <w:spacing w:after="0" w:line="240" w:lineRule="auto"/>
        <w:rPr>
          <w:rFonts w:ascii="Times New Roman" w:hAnsi="Times New Roman" w:cs="Times New Roman"/>
          <w:sz w:val="26"/>
          <w:szCs w:val="26"/>
        </w:rPr>
      </w:pPr>
    </w:p>
    <w:p w14:paraId="5FEEA0EE" w14:textId="77777777" w:rsidR="00F71E2A" w:rsidRPr="002359F6" w:rsidRDefault="00F71E2A" w:rsidP="00F71E2A">
      <w:pPr>
        <w:spacing w:after="0" w:line="240" w:lineRule="auto"/>
        <w:rPr>
          <w:rFonts w:ascii="Times New Roman" w:hAnsi="Times New Roman" w:cs="Times New Roman"/>
          <w:sz w:val="26"/>
          <w:szCs w:val="26"/>
        </w:rPr>
      </w:pPr>
      <w:r w:rsidRPr="002359F6">
        <w:rPr>
          <w:rFonts w:ascii="Times New Roman" w:hAnsi="Times New Roman" w:cs="Times New Roman"/>
          <w:sz w:val="26"/>
          <w:szCs w:val="26"/>
        </w:rPr>
        <w:t xml:space="preserve">All of the costs in the proposed rule are associated with burden hours (labor) and described in Questions #12 and #15 in this supporting statement. </w:t>
      </w:r>
    </w:p>
    <w:p w14:paraId="60A0A20D" w14:textId="77777777" w:rsidR="00BF5553" w:rsidRPr="00386622" w:rsidRDefault="00BF5553" w:rsidP="00BF5553">
      <w:pPr>
        <w:spacing w:after="0"/>
        <w:rPr>
          <w:rFonts w:ascii="Times New Roman" w:hAnsi="Times New Roman" w:cs="Times New Roman"/>
          <w:sz w:val="26"/>
          <w:szCs w:val="26"/>
        </w:rPr>
      </w:pPr>
    </w:p>
    <w:p w14:paraId="0D75B387" w14:textId="77777777" w:rsidR="00BF5553" w:rsidRPr="00386622" w:rsidRDefault="00BF5553" w:rsidP="00BF5553">
      <w:pPr>
        <w:pStyle w:val="ListParagraph"/>
        <w:numPr>
          <w:ilvl w:val="0"/>
          <w:numId w:val="1"/>
        </w:numPr>
        <w:spacing w:after="0"/>
        <w:ind w:left="360"/>
        <w:rPr>
          <w:rFonts w:ascii="Times New Roman" w:hAnsi="Times New Roman" w:cs="Times New Roman"/>
          <w:b/>
          <w:sz w:val="26"/>
          <w:szCs w:val="26"/>
        </w:rPr>
      </w:pPr>
      <w:r w:rsidRPr="00386622">
        <w:rPr>
          <w:rFonts w:ascii="Times New Roman" w:hAnsi="Times New Roman" w:cs="Times New Roman"/>
          <w:b/>
          <w:sz w:val="26"/>
          <w:szCs w:val="26"/>
        </w:rPr>
        <w:t>ESTIMATED ANNUALIZED COST TO FEDERAL GOVERNMENT</w:t>
      </w:r>
    </w:p>
    <w:p w14:paraId="7774FD9C" w14:textId="77777777" w:rsidR="00BF5553" w:rsidRPr="00386622" w:rsidRDefault="00BF5553" w:rsidP="00BF5553">
      <w:pPr>
        <w:spacing w:after="0"/>
        <w:rPr>
          <w:rFonts w:ascii="Times New Roman" w:hAnsi="Times New Roman" w:cs="Times New Roman"/>
          <w:sz w:val="26"/>
          <w:szCs w:val="26"/>
        </w:rPr>
      </w:pPr>
    </w:p>
    <w:p w14:paraId="5E323305" w14:textId="77777777" w:rsidR="00BF5553" w:rsidRPr="00386622" w:rsidRDefault="00BF5553" w:rsidP="00BF5553">
      <w:pPr>
        <w:spacing w:after="0"/>
        <w:rPr>
          <w:rFonts w:ascii="Times New Roman" w:hAnsi="Times New Roman" w:cs="Times New Roman"/>
          <w:sz w:val="26"/>
          <w:szCs w:val="26"/>
        </w:rPr>
      </w:pPr>
      <w:r w:rsidRPr="00386622">
        <w:rPr>
          <w:rFonts w:ascii="Times New Roman" w:hAnsi="Times New Roman" w:cs="Times New Roman"/>
          <w:sz w:val="26"/>
          <w:szCs w:val="26"/>
        </w:rPr>
        <w:lastRenderedPageBreak/>
        <w:t>The federal effort as a result of this RM</w:t>
      </w:r>
      <w:r w:rsidR="005538E9" w:rsidRPr="00386622">
        <w:rPr>
          <w:rFonts w:ascii="Times New Roman" w:hAnsi="Times New Roman" w:cs="Times New Roman"/>
          <w:sz w:val="26"/>
          <w:szCs w:val="26"/>
        </w:rPr>
        <w:t>17-3</w:t>
      </w:r>
      <w:r w:rsidRPr="00386622">
        <w:rPr>
          <w:rFonts w:ascii="Times New Roman" w:hAnsi="Times New Roman" w:cs="Times New Roman"/>
          <w:sz w:val="26"/>
          <w:szCs w:val="26"/>
        </w:rPr>
        <w:t xml:space="preserve"> NOPR is </w:t>
      </w:r>
      <w:r w:rsidR="00365BDF" w:rsidRPr="00A97BBA">
        <w:rPr>
          <w:rFonts w:ascii="Times New Roman" w:hAnsi="Times New Roman" w:cs="Times New Roman"/>
          <w:sz w:val="26"/>
          <w:szCs w:val="26"/>
        </w:rPr>
        <w:t xml:space="preserve">one </w:t>
      </w:r>
      <w:r w:rsidRPr="00A97BBA">
        <w:rPr>
          <w:rFonts w:ascii="Times New Roman" w:hAnsi="Times New Roman" w:cs="Times New Roman"/>
          <w:sz w:val="26"/>
          <w:szCs w:val="26"/>
        </w:rPr>
        <w:t>FTE</w:t>
      </w:r>
      <w:r w:rsidRPr="00386622">
        <w:rPr>
          <w:rFonts w:ascii="Times New Roman" w:hAnsi="Times New Roman" w:cs="Times New Roman"/>
          <w:sz w:val="26"/>
          <w:szCs w:val="26"/>
        </w:rPr>
        <w:t xml:space="preserve"> for analysis and processing of the filings.  </w:t>
      </w:r>
    </w:p>
    <w:p w14:paraId="46DC2FA4" w14:textId="77777777" w:rsidR="00386622" w:rsidRPr="00386622" w:rsidRDefault="00386622" w:rsidP="00BF5553">
      <w:pPr>
        <w:spacing w:after="0"/>
        <w:rPr>
          <w:rFonts w:ascii="Times New Roman" w:hAnsi="Times New Roman" w:cs="Times New Roman"/>
          <w:sz w:val="26"/>
          <w:szCs w:val="26"/>
        </w:rPr>
      </w:pPr>
    </w:p>
    <w:p w14:paraId="081C84D7" w14:textId="77777777" w:rsidR="00F71E2A" w:rsidRPr="00F71E2A" w:rsidRDefault="00F71E2A" w:rsidP="00F71E2A">
      <w:pPr>
        <w:spacing w:after="0"/>
        <w:rPr>
          <w:rFonts w:ascii="Times New Roman" w:hAnsi="Times New Roman" w:cs="Times New Roman"/>
          <w:sz w:val="26"/>
          <w:szCs w:val="26"/>
        </w:rPr>
      </w:pPr>
      <w:r w:rsidRPr="00F71E2A">
        <w:rPr>
          <w:rFonts w:ascii="Times New Roman" w:hAnsi="Times New Roman" w:cs="Times New Roman"/>
          <w:sz w:val="26"/>
          <w:szCs w:val="26"/>
        </w:rPr>
        <w:t>The estimated annualized cost to the Federal Government for FERC-</w:t>
      </w:r>
      <w:r>
        <w:rPr>
          <w:rFonts w:ascii="Times New Roman" w:hAnsi="Times New Roman" w:cs="Times New Roman"/>
          <w:sz w:val="26"/>
          <w:szCs w:val="26"/>
        </w:rPr>
        <w:t xml:space="preserve">516E </w:t>
      </w:r>
      <w:r w:rsidRPr="00F71E2A">
        <w:rPr>
          <w:rFonts w:ascii="Times New Roman" w:hAnsi="Times New Roman" w:cs="Times New Roman"/>
          <w:sz w:val="26"/>
          <w:szCs w:val="26"/>
        </w:rPr>
        <w:t>as related to the requirements in the Final Rule in RM</w:t>
      </w:r>
      <w:r>
        <w:rPr>
          <w:rFonts w:ascii="Times New Roman" w:hAnsi="Times New Roman" w:cs="Times New Roman"/>
          <w:sz w:val="26"/>
          <w:szCs w:val="26"/>
        </w:rPr>
        <w:t>17-3</w:t>
      </w:r>
      <w:r w:rsidRPr="00F71E2A">
        <w:rPr>
          <w:rFonts w:ascii="Times New Roman" w:hAnsi="Times New Roman" w:cs="Times New Roman"/>
          <w:sz w:val="26"/>
          <w:szCs w:val="26"/>
        </w:rPr>
        <w:t>, is as follows</w:t>
      </w:r>
      <w:r>
        <w:rPr>
          <w:rFonts w:ascii="Times New Roman" w:hAnsi="Times New Roman" w:cs="Times New Roman"/>
          <w:sz w:val="26"/>
          <w:szCs w:val="26"/>
        </w:rPr>
        <w:t>:</w:t>
      </w:r>
    </w:p>
    <w:p w14:paraId="4920F2EA" w14:textId="77777777" w:rsidR="00BF5553" w:rsidRPr="00386622" w:rsidRDefault="00BF5553" w:rsidP="00BF5553">
      <w:pPr>
        <w:spacing w:after="0"/>
        <w:rPr>
          <w:rFonts w:ascii="Times New Roman" w:hAnsi="Times New Roman" w:cs="Times New Roman"/>
          <w:sz w:val="26"/>
          <w:szCs w:val="26"/>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2"/>
        <w:gridCol w:w="3201"/>
        <w:gridCol w:w="2995"/>
      </w:tblGrid>
      <w:tr w:rsidR="001B6EED" w:rsidRPr="00386622" w14:paraId="7158D78A" w14:textId="77777777" w:rsidTr="00790AC7">
        <w:tc>
          <w:tcPr>
            <w:tcW w:w="3182" w:type="dxa"/>
            <w:tcBorders>
              <w:top w:val="single" w:sz="4" w:space="0" w:color="auto"/>
              <w:left w:val="single" w:sz="4" w:space="0" w:color="auto"/>
              <w:bottom w:val="single" w:sz="4" w:space="0" w:color="auto"/>
              <w:right w:val="single" w:sz="4" w:space="0" w:color="auto"/>
            </w:tcBorders>
            <w:shd w:val="clear" w:color="auto" w:fill="CCCCCC"/>
          </w:tcPr>
          <w:p w14:paraId="1013C770" w14:textId="77777777" w:rsidR="001B6EED" w:rsidRPr="00386622" w:rsidRDefault="001B6EED" w:rsidP="001B6EED">
            <w:pPr>
              <w:spacing w:after="0"/>
              <w:jc w:val="center"/>
              <w:rPr>
                <w:rFonts w:ascii="Times New Roman" w:hAnsi="Times New Roman" w:cs="Times New Roman"/>
                <w:b/>
                <w:sz w:val="26"/>
                <w:szCs w:val="26"/>
              </w:rPr>
            </w:pPr>
            <w:r w:rsidRPr="00386622">
              <w:rPr>
                <w:rFonts w:ascii="Times New Roman" w:hAnsi="Times New Roman" w:cs="Times New Roman"/>
                <w:b/>
                <w:sz w:val="26"/>
                <w:szCs w:val="26"/>
              </w:rPr>
              <w:t>FERC-516E</w:t>
            </w:r>
          </w:p>
        </w:tc>
        <w:tc>
          <w:tcPr>
            <w:tcW w:w="3201" w:type="dxa"/>
            <w:tcBorders>
              <w:top w:val="single" w:sz="4" w:space="0" w:color="auto"/>
              <w:left w:val="single" w:sz="4" w:space="0" w:color="auto"/>
              <w:bottom w:val="single" w:sz="4" w:space="0" w:color="auto"/>
              <w:right w:val="single" w:sz="4" w:space="0" w:color="auto"/>
            </w:tcBorders>
            <w:shd w:val="clear" w:color="auto" w:fill="CCCCCC"/>
            <w:hideMark/>
          </w:tcPr>
          <w:p w14:paraId="61D6D1A7" w14:textId="77777777" w:rsidR="001B6EED" w:rsidRPr="00386622" w:rsidRDefault="001B6EED" w:rsidP="001B6EED">
            <w:pPr>
              <w:spacing w:after="0"/>
              <w:rPr>
                <w:rFonts w:ascii="Times New Roman" w:hAnsi="Times New Roman" w:cs="Times New Roman"/>
                <w:b/>
                <w:sz w:val="26"/>
                <w:szCs w:val="26"/>
              </w:rPr>
            </w:pPr>
            <w:r w:rsidRPr="00386622">
              <w:rPr>
                <w:rFonts w:ascii="Times New Roman" w:hAnsi="Times New Roman" w:cs="Times New Roman"/>
                <w:b/>
                <w:sz w:val="26"/>
                <w:szCs w:val="26"/>
              </w:rPr>
              <w:t>Number of Full-Time Equivalent Employees (FTE)</w:t>
            </w:r>
          </w:p>
        </w:tc>
        <w:tc>
          <w:tcPr>
            <w:tcW w:w="2995" w:type="dxa"/>
            <w:tcBorders>
              <w:top w:val="single" w:sz="4" w:space="0" w:color="auto"/>
              <w:left w:val="single" w:sz="4" w:space="0" w:color="auto"/>
              <w:bottom w:val="single" w:sz="4" w:space="0" w:color="auto"/>
              <w:right w:val="single" w:sz="4" w:space="0" w:color="auto"/>
            </w:tcBorders>
            <w:shd w:val="clear" w:color="auto" w:fill="CCCCCC"/>
            <w:hideMark/>
          </w:tcPr>
          <w:p w14:paraId="0935D5D4" w14:textId="77777777" w:rsidR="001B6EED" w:rsidRPr="00386622" w:rsidRDefault="001B6EED" w:rsidP="001B6EED">
            <w:pPr>
              <w:spacing w:after="0"/>
              <w:rPr>
                <w:rFonts w:ascii="Times New Roman" w:hAnsi="Times New Roman" w:cs="Times New Roman"/>
                <w:b/>
                <w:sz w:val="26"/>
                <w:szCs w:val="26"/>
              </w:rPr>
            </w:pPr>
            <w:r w:rsidRPr="00386622">
              <w:rPr>
                <w:rFonts w:ascii="Times New Roman" w:hAnsi="Times New Roman" w:cs="Times New Roman"/>
                <w:b/>
                <w:sz w:val="26"/>
                <w:szCs w:val="26"/>
              </w:rPr>
              <w:t>Estimated Annual Federal Cost</w:t>
            </w:r>
          </w:p>
        </w:tc>
      </w:tr>
      <w:tr w:rsidR="001B6EED" w:rsidRPr="00386622" w14:paraId="7BCC90EA" w14:textId="77777777" w:rsidTr="00790AC7">
        <w:tc>
          <w:tcPr>
            <w:tcW w:w="3182" w:type="dxa"/>
            <w:tcBorders>
              <w:top w:val="single" w:sz="4" w:space="0" w:color="auto"/>
              <w:left w:val="single" w:sz="4" w:space="0" w:color="auto"/>
              <w:bottom w:val="single" w:sz="4" w:space="0" w:color="auto"/>
              <w:right w:val="single" w:sz="4" w:space="0" w:color="auto"/>
            </w:tcBorders>
            <w:hideMark/>
          </w:tcPr>
          <w:p w14:paraId="7851CBCE" w14:textId="77777777" w:rsidR="001B6EED" w:rsidRPr="00C51D66" w:rsidRDefault="001B6EED" w:rsidP="001B6EED">
            <w:pPr>
              <w:spacing w:after="0"/>
              <w:rPr>
                <w:rFonts w:ascii="Times New Roman" w:hAnsi="Times New Roman" w:cs="Times New Roman"/>
                <w:sz w:val="26"/>
                <w:szCs w:val="26"/>
              </w:rPr>
            </w:pPr>
            <w:r w:rsidRPr="00C51D66">
              <w:rPr>
                <w:rFonts w:ascii="Times New Roman" w:hAnsi="Times New Roman" w:cs="Times New Roman"/>
                <w:sz w:val="26"/>
                <w:szCs w:val="26"/>
              </w:rPr>
              <w:t>Analysis and Processing of filings</w:t>
            </w:r>
            <w:r w:rsidRPr="00C51D66">
              <w:rPr>
                <w:rFonts w:ascii="Times New Roman" w:hAnsi="Times New Roman" w:cs="Times New Roman"/>
                <w:sz w:val="26"/>
                <w:szCs w:val="26"/>
                <w:vertAlign w:val="superscript"/>
              </w:rPr>
              <w:footnoteReference w:id="14"/>
            </w:r>
          </w:p>
        </w:tc>
        <w:tc>
          <w:tcPr>
            <w:tcW w:w="3201" w:type="dxa"/>
            <w:tcBorders>
              <w:top w:val="single" w:sz="4" w:space="0" w:color="auto"/>
              <w:left w:val="single" w:sz="4" w:space="0" w:color="auto"/>
              <w:bottom w:val="single" w:sz="4" w:space="0" w:color="auto"/>
              <w:right w:val="single" w:sz="4" w:space="0" w:color="auto"/>
            </w:tcBorders>
            <w:vAlign w:val="bottom"/>
            <w:hideMark/>
          </w:tcPr>
          <w:p w14:paraId="750495A5" w14:textId="77777777" w:rsidR="001B6EED" w:rsidRPr="00C51D66" w:rsidRDefault="00365BDF" w:rsidP="001B6EED">
            <w:pPr>
              <w:spacing w:after="0"/>
              <w:rPr>
                <w:rFonts w:ascii="Times New Roman" w:hAnsi="Times New Roman" w:cs="Times New Roman"/>
                <w:sz w:val="26"/>
                <w:szCs w:val="26"/>
              </w:rPr>
            </w:pPr>
            <w:r w:rsidRPr="00C51D66">
              <w:rPr>
                <w:rFonts w:ascii="Times New Roman" w:hAnsi="Times New Roman" w:cs="Times New Roman"/>
                <w:sz w:val="26"/>
                <w:szCs w:val="26"/>
              </w:rPr>
              <w:t>1</w:t>
            </w:r>
          </w:p>
        </w:tc>
        <w:tc>
          <w:tcPr>
            <w:tcW w:w="2995" w:type="dxa"/>
            <w:tcBorders>
              <w:top w:val="single" w:sz="4" w:space="0" w:color="auto"/>
              <w:left w:val="single" w:sz="4" w:space="0" w:color="auto"/>
              <w:bottom w:val="single" w:sz="4" w:space="0" w:color="auto"/>
              <w:right w:val="single" w:sz="4" w:space="0" w:color="auto"/>
            </w:tcBorders>
            <w:vAlign w:val="bottom"/>
            <w:hideMark/>
          </w:tcPr>
          <w:p w14:paraId="4BEDC5DD" w14:textId="77777777" w:rsidR="001B6EED" w:rsidRPr="00C51D66" w:rsidRDefault="001B6EED" w:rsidP="001B6EED">
            <w:pPr>
              <w:spacing w:after="0"/>
              <w:rPr>
                <w:rFonts w:ascii="Times New Roman" w:hAnsi="Times New Roman" w:cs="Times New Roman"/>
                <w:sz w:val="26"/>
                <w:szCs w:val="26"/>
              </w:rPr>
            </w:pPr>
            <w:r w:rsidRPr="00C51D66">
              <w:rPr>
                <w:rFonts w:ascii="Times New Roman" w:hAnsi="Times New Roman" w:cs="Times New Roman"/>
                <w:sz w:val="26"/>
                <w:szCs w:val="26"/>
              </w:rPr>
              <w:t>$</w:t>
            </w:r>
            <w:r w:rsidR="00E55058" w:rsidRPr="00C51D66">
              <w:rPr>
                <w:rFonts w:ascii="Times New Roman" w:hAnsi="Times New Roman" w:cs="Times New Roman"/>
                <w:sz w:val="26"/>
                <w:szCs w:val="26"/>
              </w:rPr>
              <w:t>154,647</w:t>
            </w:r>
          </w:p>
        </w:tc>
      </w:tr>
      <w:tr w:rsidR="001B6EED" w:rsidRPr="00386622" w14:paraId="3F6353DA" w14:textId="77777777" w:rsidTr="00790AC7">
        <w:tc>
          <w:tcPr>
            <w:tcW w:w="3182" w:type="dxa"/>
            <w:tcBorders>
              <w:top w:val="single" w:sz="4" w:space="0" w:color="auto"/>
              <w:left w:val="single" w:sz="4" w:space="0" w:color="auto"/>
              <w:bottom w:val="single" w:sz="4" w:space="0" w:color="auto"/>
              <w:right w:val="single" w:sz="4" w:space="0" w:color="auto"/>
            </w:tcBorders>
            <w:hideMark/>
          </w:tcPr>
          <w:p w14:paraId="71E054D8" w14:textId="77777777" w:rsidR="001B6EED" w:rsidRPr="00386622" w:rsidRDefault="001B6EED" w:rsidP="00C51D66">
            <w:pPr>
              <w:spacing w:after="0"/>
              <w:rPr>
                <w:rFonts w:ascii="Times New Roman" w:hAnsi="Times New Roman" w:cs="Times New Roman"/>
                <w:sz w:val="26"/>
                <w:szCs w:val="26"/>
              </w:rPr>
            </w:pPr>
            <w:r w:rsidRPr="00386622">
              <w:rPr>
                <w:rFonts w:ascii="Times New Roman" w:hAnsi="Times New Roman" w:cs="Times New Roman"/>
                <w:sz w:val="26"/>
                <w:szCs w:val="26"/>
              </w:rPr>
              <w:t>PRA</w:t>
            </w:r>
            <w:r w:rsidR="00A97BBA">
              <w:rPr>
                <w:rFonts w:ascii="Times New Roman" w:hAnsi="Times New Roman" w:cs="Times New Roman"/>
                <w:sz w:val="26"/>
                <w:szCs w:val="26"/>
              </w:rPr>
              <w:t xml:space="preserve"> </w:t>
            </w:r>
            <w:r w:rsidRPr="00386622">
              <w:rPr>
                <w:rFonts w:ascii="Times New Roman" w:hAnsi="Times New Roman" w:cs="Times New Roman"/>
                <w:sz w:val="26"/>
                <w:szCs w:val="26"/>
              </w:rPr>
              <w:t>Administrative Cost</w:t>
            </w:r>
          </w:p>
        </w:tc>
        <w:tc>
          <w:tcPr>
            <w:tcW w:w="3201"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14:paraId="4623DBC7" w14:textId="77777777" w:rsidR="001B6EED" w:rsidRPr="00386622" w:rsidRDefault="001B6EED" w:rsidP="001B6EED">
            <w:pPr>
              <w:spacing w:after="0"/>
              <w:rPr>
                <w:rFonts w:ascii="Times New Roman" w:hAnsi="Times New Roman" w:cs="Times New Roman"/>
                <w:sz w:val="26"/>
                <w:szCs w:val="26"/>
              </w:rPr>
            </w:pPr>
          </w:p>
        </w:tc>
        <w:tc>
          <w:tcPr>
            <w:tcW w:w="2995" w:type="dxa"/>
            <w:tcBorders>
              <w:top w:val="single" w:sz="4" w:space="0" w:color="auto"/>
              <w:left w:val="single" w:sz="4" w:space="0" w:color="auto"/>
              <w:bottom w:val="single" w:sz="4" w:space="0" w:color="auto"/>
              <w:right w:val="single" w:sz="4" w:space="0" w:color="auto"/>
            </w:tcBorders>
            <w:vAlign w:val="center"/>
            <w:hideMark/>
          </w:tcPr>
          <w:p w14:paraId="68B33E21" w14:textId="77777777" w:rsidR="001B6EED" w:rsidRPr="00386622" w:rsidRDefault="001B6EED" w:rsidP="001B6EED">
            <w:pPr>
              <w:spacing w:after="0"/>
              <w:rPr>
                <w:rFonts w:ascii="Times New Roman" w:hAnsi="Times New Roman" w:cs="Times New Roman"/>
                <w:sz w:val="26"/>
                <w:szCs w:val="26"/>
              </w:rPr>
            </w:pPr>
            <w:r w:rsidRPr="00386622">
              <w:rPr>
                <w:rFonts w:ascii="Times New Roman" w:hAnsi="Times New Roman" w:cs="Times New Roman"/>
                <w:sz w:val="26"/>
                <w:szCs w:val="26"/>
              </w:rPr>
              <w:t>$5,481</w:t>
            </w:r>
          </w:p>
        </w:tc>
      </w:tr>
      <w:tr w:rsidR="001B6EED" w:rsidRPr="00386622" w14:paraId="0DCD1FBE" w14:textId="77777777" w:rsidTr="00790AC7">
        <w:tc>
          <w:tcPr>
            <w:tcW w:w="3182" w:type="dxa"/>
            <w:tcBorders>
              <w:top w:val="single" w:sz="4" w:space="0" w:color="auto"/>
              <w:left w:val="single" w:sz="4" w:space="0" w:color="auto"/>
              <w:bottom w:val="single" w:sz="4" w:space="0" w:color="auto"/>
              <w:right w:val="single" w:sz="4" w:space="0" w:color="auto"/>
            </w:tcBorders>
            <w:hideMark/>
          </w:tcPr>
          <w:p w14:paraId="6094A032" w14:textId="77777777" w:rsidR="001B6EED" w:rsidRPr="00386622" w:rsidRDefault="001B6EED" w:rsidP="001B6EED">
            <w:pPr>
              <w:spacing w:after="0"/>
              <w:rPr>
                <w:rFonts w:ascii="Times New Roman" w:hAnsi="Times New Roman" w:cs="Times New Roman"/>
                <w:b/>
                <w:sz w:val="26"/>
                <w:szCs w:val="26"/>
              </w:rPr>
            </w:pPr>
            <w:r w:rsidRPr="00386622">
              <w:rPr>
                <w:rFonts w:ascii="Times New Roman" w:hAnsi="Times New Roman" w:cs="Times New Roman"/>
                <w:b/>
                <w:sz w:val="26"/>
                <w:szCs w:val="26"/>
              </w:rPr>
              <w:t>FERC Total</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D27B60" w14:textId="77777777" w:rsidR="001B6EED" w:rsidRPr="00386622" w:rsidRDefault="001B6EED" w:rsidP="001B6EED">
            <w:pPr>
              <w:spacing w:after="0"/>
              <w:rPr>
                <w:rFonts w:ascii="Times New Roman" w:hAnsi="Times New Roman" w:cs="Times New Roman"/>
                <w:sz w:val="26"/>
                <w:szCs w:val="26"/>
              </w:rPr>
            </w:pPr>
          </w:p>
        </w:tc>
        <w:tc>
          <w:tcPr>
            <w:tcW w:w="2995" w:type="dxa"/>
            <w:tcBorders>
              <w:top w:val="single" w:sz="4" w:space="0" w:color="auto"/>
              <w:left w:val="single" w:sz="4" w:space="0" w:color="auto"/>
              <w:bottom w:val="single" w:sz="4" w:space="0" w:color="auto"/>
              <w:right w:val="single" w:sz="4" w:space="0" w:color="auto"/>
            </w:tcBorders>
            <w:vAlign w:val="center"/>
            <w:hideMark/>
          </w:tcPr>
          <w:p w14:paraId="65D3EA37" w14:textId="77777777" w:rsidR="001B6EED" w:rsidRPr="00386622" w:rsidRDefault="001B6EED" w:rsidP="00E55058">
            <w:pPr>
              <w:spacing w:after="0"/>
              <w:rPr>
                <w:rFonts w:ascii="Times New Roman" w:hAnsi="Times New Roman" w:cs="Times New Roman"/>
                <w:sz w:val="26"/>
                <w:szCs w:val="26"/>
              </w:rPr>
            </w:pPr>
            <w:r w:rsidRPr="00386622">
              <w:rPr>
                <w:rFonts w:ascii="Times New Roman" w:hAnsi="Times New Roman" w:cs="Times New Roman"/>
                <w:sz w:val="26"/>
                <w:szCs w:val="26"/>
              </w:rPr>
              <w:t>$</w:t>
            </w:r>
            <w:r w:rsidR="00E55058">
              <w:rPr>
                <w:rFonts w:ascii="Times New Roman" w:hAnsi="Times New Roman" w:cs="Times New Roman"/>
                <w:sz w:val="26"/>
                <w:szCs w:val="26"/>
              </w:rPr>
              <w:t>160,128</w:t>
            </w:r>
          </w:p>
        </w:tc>
      </w:tr>
    </w:tbl>
    <w:p w14:paraId="114774BF" w14:textId="77777777" w:rsidR="001B6EED" w:rsidRPr="00386622" w:rsidRDefault="001B6EED" w:rsidP="001B6EED">
      <w:pPr>
        <w:spacing w:after="0"/>
        <w:rPr>
          <w:rFonts w:ascii="Times New Roman" w:hAnsi="Times New Roman" w:cs="Times New Roman"/>
          <w:b/>
          <w:bCs/>
          <w:sz w:val="26"/>
          <w:szCs w:val="26"/>
        </w:rPr>
      </w:pPr>
    </w:p>
    <w:p w14:paraId="7D568A1E" w14:textId="77777777" w:rsidR="001B6EED" w:rsidRPr="00386622" w:rsidRDefault="001B6EED" w:rsidP="00BF5553">
      <w:pPr>
        <w:spacing w:after="0"/>
        <w:rPr>
          <w:rFonts w:ascii="Times New Roman" w:hAnsi="Times New Roman" w:cs="Times New Roman"/>
          <w:sz w:val="26"/>
          <w:szCs w:val="26"/>
        </w:rPr>
      </w:pPr>
    </w:p>
    <w:p w14:paraId="7BFD8CB8" w14:textId="77777777" w:rsidR="00BF5553" w:rsidRPr="00386622" w:rsidRDefault="00BF5553" w:rsidP="00BF5553">
      <w:pPr>
        <w:spacing w:after="0"/>
        <w:rPr>
          <w:rFonts w:ascii="Times New Roman" w:hAnsi="Times New Roman" w:cs="Times New Roman"/>
          <w:sz w:val="26"/>
          <w:szCs w:val="26"/>
        </w:rPr>
      </w:pPr>
      <w:r w:rsidRPr="00386622">
        <w:rPr>
          <w:rFonts w:ascii="Times New Roman" w:hAnsi="Times New Roman" w:cs="Times New Roman"/>
          <w:sz w:val="26"/>
          <w:szCs w:val="26"/>
        </w:rPr>
        <w:t>The only additional cost to FERC-516E will be</w:t>
      </w:r>
      <w:r w:rsidR="00C51D66">
        <w:rPr>
          <w:rFonts w:ascii="Times New Roman" w:hAnsi="Times New Roman" w:cs="Times New Roman"/>
          <w:sz w:val="26"/>
          <w:szCs w:val="26"/>
        </w:rPr>
        <w:t xml:space="preserve"> one FTE ($154,647) and</w:t>
      </w:r>
      <w:r w:rsidRPr="00386622">
        <w:rPr>
          <w:rFonts w:ascii="Times New Roman" w:hAnsi="Times New Roman" w:cs="Times New Roman"/>
          <w:sz w:val="26"/>
          <w:szCs w:val="26"/>
        </w:rPr>
        <w:t xml:space="preserve"> the PRA administrative cost ($</w:t>
      </w:r>
      <w:r w:rsidR="00C51D66">
        <w:rPr>
          <w:rFonts w:ascii="Times New Roman" w:hAnsi="Times New Roman" w:cs="Times New Roman"/>
          <w:sz w:val="26"/>
          <w:szCs w:val="26"/>
        </w:rPr>
        <w:t>5,481.00</w:t>
      </w:r>
      <w:r w:rsidRPr="00386622">
        <w:rPr>
          <w:rFonts w:ascii="Times New Roman" w:hAnsi="Times New Roman" w:cs="Times New Roman"/>
          <w:sz w:val="26"/>
          <w:szCs w:val="26"/>
        </w:rPr>
        <w:t>).  The FERC total cost for the RM</w:t>
      </w:r>
      <w:r w:rsidR="00D538EE" w:rsidRPr="00386622">
        <w:rPr>
          <w:rFonts w:ascii="Times New Roman" w:hAnsi="Times New Roman" w:cs="Times New Roman"/>
          <w:sz w:val="26"/>
          <w:szCs w:val="26"/>
        </w:rPr>
        <w:t>17-3</w:t>
      </w:r>
      <w:r w:rsidRPr="00386622">
        <w:rPr>
          <w:rFonts w:ascii="Times New Roman" w:hAnsi="Times New Roman" w:cs="Times New Roman"/>
          <w:sz w:val="26"/>
          <w:szCs w:val="26"/>
        </w:rPr>
        <w:t xml:space="preserve"> NOPR</w:t>
      </w:r>
      <w:r w:rsidR="00D538EE" w:rsidRPr="00386622">
        <w:rPr>
          <w:rFonts w:ascii="Times New Roman" w:hAnsi="Times New Roman" w:cs="Times New Roman"/>
          <w:sz w:val="26"/>
          <w:szCs w:val="26"/>
        </w:rPr>
        <w:t xml:space="preserve"> is $</w:t>
      </w:r>
      <w:r w:rsidR="00E55058">
        <w:rPr>
          <w:rFonts w:ascii="Times New Roman" w:hAnsi="Times New Roman" w:cs="Times New Roman"/>
          <w:sz w:val="26"/>
          <w:szCs w:val="26"/>
        </w:rPr>
        <w:t>160,128</w:t>
      </w:r>
      <w:r w:rsidRPr="00C51D66">
        <w:rPr>
          <w:rFonts w:ascii="Times New Roman" w:hAnsi="Times New Roman" w:cs="Times New Roman"/>
          <w:sz w:val="26"/>
          <w:szCs w:val="26"/>
        </w:rPr>
        <w:t>.</w:t>
      </w:r>
    </w:p>
    <w:p w14:paraId="490C575E" w14:textId="77777777" w:rsidR="00BF5553" w:rsidRPr="00386622" w:rsidRDefault="00BF5553" w:rsidP="00BF5553">
      <w:pPr>
        <w:spacing w:after="0"/>
        <w:rPr>
          <w:rFonts w:ascii="Times New Roman" w:hAnsi="Times New Roman" w:cs="Times New Roman"/>
          <w:sz w:val="26"/>
          <w:szCs w:val="26"/>
        </w:rPr>
      </w:pPr>
    </w:p>
    <w:p w14:paraId="798099F8" w14:textId="77777777" w:rsidR="00707602" w:rsidRPr="00386622" w:rsidRDefault="00707602" w:rsidP="00707602">
      <w:pPr>
        <w:spacing w:after="0"/>
        <w:rPr>
          <w:rFonts w:ascii="Times New Roman" w:hAnsi="Times New Roman" w:cs="Times New Roman"/>
          <w:sz w:val="26"/>
          <w:szCs w:val="26"/>
        </w:rPr>
      </w:pPr>
      <w:r w:rsidRPr="00386622">
        <w:rPr>
          <w:rFonts w:ascii="Times New Roman" w:hAnsi="Times New Roman" w:cs="Times New Roman"/>
          <w:sz w:val="26"/>
          <w:szCs w:val="26"/>
        </w:rPr>
        <w:t>The Commission bases the cost of administration of the Paperwork Reduction Act of 1995 (PRA) on staff time, and other costs related to compliance with the Paperwork Reduction Act of 1995.  These costs include: reviewing and analyzing the posting/reporting/recordkeeping requirements; developing, processing, and issuing the public notices and PRA supporting statement and materials, analyzing and addressing any public comments, and publishing notices in the Federal Register.</w:t>
      </w:r>
    </w:p>
    <w:p w14:paraId="559FC3B7" w14:textId="77777777" w:rsidR="001B6EED" w:rsidRPr="00386622" w:rsidRDefault="001B6EED" w:rsidP="00BF5553">
      <w:pPr>
        <w:spacing w:after="0"/>
        <w:rPr>
          <w:rFonts w:ascii="Times New Roman" w:hAnsi="Times New Roman" w:cs="Times New Roman"/>
          <w:sz w:val="26"/>
          <w:szCs w:val="26"/>
        </w:rPr>
      </w:pPr>
    </w:p>
    <w:p w14:paraId="6D2430CC" w14:textId="77777777" w:rsidR="00BF5553" w:rsidRPr="00386622" w:rsidRDefault="00BF5553" w:rsidP="00BF5553">
      <w:pPr>
        <w:pStyle w:val="ListParagraph"/>
        <w:numPr>
          <w:ilvl w:val="0"/>
          <w:numId w:val="1"/>
        </w:numPr>
        <w:spacing w:after="0"/>
        <w:ind w:left="360"/>
        <w:rPr>
          <w:rFonts w:ascii="Times New Roman" w:hAnsi="Times New Roman" w:cs="Times New Roman"/>
          <w:b/>
          <w:sz w:val="26"/>
          <w:szCs w:val="26"/>
        </w:rPr>
      </w:pPr>
      <w:r w:rsidRPr="00386622">
        <w:rPr>
          <w:rFonts w:ascii="Times New Roman" w:hAnsi="Times New Roman" w:cs="Times New Roman"/>
          <w:b/>
          <w:sz w:val="26"/>
          <w:szCs w:val="26"/>
        </w:rPr>
        <w:t>REASONS FOR CHANGES IN BURDEN INCLUDING THE NEED FOR ANY INCREASE</w:t>
      </w:r>
    </w:p>
    <w:p w14:paraId="207102D7" w14:textId="77777777" w:rsidR="00BF5553" w:rsidRPr="00386622" w:rsidRDefault="00BF5553" w:rsidP="00BF5553">
      <w:pPr>
        <w:spacing w:after="0"/>
        <w:rPr>
          <w:rFonts w:ascii="Times New Roman" w:hAnsi="Times New Roman" w:cs="Times New Roman"/>
          <w:sz w:val="26"/>
          <w:szCs w:val="26"/>
        </w:rPr>
      </w:pPr>
    </w:p>
    <w:p w14:paraId="2A86A7FB" w14:textId="77777777" w:rsidR="00F71E2A" w:rsidRPr="00F71E2A" w:rsidRDefault="00F71E2A" w:rsidP="00F71E2A">
      <w:pPr>
        <w:spacing w:after="0"/>
        <w:rPr>
          <w:rFonts w:ascii="Times New Roman" w:hAnsi="Times New Roman" w:cs="Times New Roman"/>
          <w:sz w:val="26"/>
          <w:szCs w:val="26"/>
          <w:u w:val="single"/>
        </w:rPr>
      </w:pPr>
      <w:r w:rsidRPr="00F71E2A">
        <w:rPr>
          <w:rFonts w:ascii="Times New Roman" w:hAnsi="Times New Roman" w:cs="Times New Roman"/>
          <w:sz w:val="26"/>
          <w:szCs w:val="26"/>
        </w:rPr>
        <w:t>In this Notice of Proposed Rulemaking (NOPR), the Commission is proposing to address the pricing of energy from resources that are able to start quickly (fast-start resources).  In this context, fast-start pricing addresses the software algorithms by which a regional transmission organization (RTO) or independent system operator (ISO) incorporates the offers of fast-start resources into the market prices for energy and ancillary services.</w:t>
      </w:r>
      <w:r w:rsidRPr="00F71E2A">
        <w:rPr>
          <w:rFonts w:ascii="Times New Roman" w:hAnsi="Times New Roman" w:cs="Times New Roman"/>
          <w:b/>
          <w:sz w:val="26"/>
          <w:szCs w:val="26"/>
          <w:vertAlign w:val="superscript"/>
        </w:rPr>
        <w:footnoteReference w:id="15"/>
      </w:r>
    </w:p>
    <w:p w14:paraId="0AE712AA" w14:textId="566EEBB5" w:rsidR="00BF5553" w:rsidRPr="00386622" w:rsidRDefault="00BF5553" w:rsidP="00BF5553">
      <w:pPr>
        <w:spacing w:after="0"/>
        <w:rPr>
          <w:rFonts w:ascii="Times New Roman" w:hAnsi="Times New Roman" w:cs="Times New Roman"/>
          <w:sz w:val="26"/>
          <w:szCs w:val="26"/>
        </w:rPr>
      </w:pPr>
      <w:r w:rsidRPr="00386622">
        <w:rPr>
          <w:rFonts w:ascii="Times New Roman" w:hAnsi="Times New Roman" w:cs="Times New Roman"/>
          <w:sz w:val="26"/>
          <w:szCs w:val="26"/>
        </w:rPr>
        <w:lastRenderedPageBreak/>
        <w:t xml:space="preserve">The following table show the total burden hours and costs for </w:t>
      </w:r>
      <w:r w:rsidR="001B6EED" w:rsidRPr="00386622">
        <w:rPr>
          <w:rFonts w:ascii="Times New Roman" w:hAnsi="Times New Roman" w:cs="Times New Roman"/>
          <w:sz w:val="26"/>
          <w:szCs w:val="26"/>
        </w:rPr>
        <w:t xml:space="preserve">FERC-516E information </w:t>
      </w:r>
      <w:r w:rsidRPr="00386622">
        <w:rPr>
          <w:rFonts w:ascii="Times New Roman" w:hAnsi="Times New Roman" w:cs="Times New Roman"/>
          <w:sz w:val="26"/>
          <w:szCs w:val="26"/>
        </w:rPr>
        <w:t xml:space="preserve">collection and the impact of the change discussed in this supporting statement.  For administrative purposes for this submittal to OMB, the additional one-time burden </w:t>
      </w:r>
      <w:r w:rsidR="00CB3EDA">
        <w:rPr>
          <w:rFonts w:ascii="Times New Roman" w:hAnsi="Times New Roman" w:cs="Times New Roman"/>
          <w:sz w:val="26"/>
          <w:szCs w:val="26"/>
        </w:rPr>
        <w:t>was spread out into three years.</w:t>
      </w:r>
    </w:p>
    <w:p w14:paraId="5DC3CC5D" w14:textId="77777777" w:rsidR="00BF5553" w:rsidRPr="00386622" w:rsidRDefault="00BF5553" w:rsidP="00BF5553">
      <w:pPr>
        <w:spacing w:after="0"/>
        <w:rPr>
          <w:rFonts w:ascii="Times New Roman" w:hAnsi="Times New Roman" w:cs="Times New Roman"/>
          <w:sz w:val="26"/>
          <w:szCs w:val="26"/>
        </w:rPr>
      </w:pPr>
    </w:p>
    <w:tbl>
      <w:tblPr>
        <w:tblW w:w="93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7"/>
        <w:gridCol w:w="1421"/>
        <w:gridCol w:w="1959"/>
        <w:gridCol w:w="1683"/>
        <w:gridCol w:w="1357"/>
      </w:tblGrid>
      <w:tr w:rsidR="00BF5553" w:rsidRPr="00386622" w14:paraId="6FD858A9" w14:textId="77777777" w:rsidTr="00EE35C2">
        <w:trPr>
          <w:trHeight w:val="870"/>
        </w:trPr>
        <w:tc>
          <w:tcPr>
            <w:tcW w:w="2947" w:type="dxa"/>
            <w:shd w:val="clear" w:color="auto" w:fill="D9D9D9"/>
            <w:vAlign w:val="bottom"/>
          </w:tcPr>
          <w:p w14:paraId="3B83E600" w14:textId="77777777" w:rsidR="00BF5553" w:rsidRPr="00386622" w:rsidRDefault="00BF5553" w:rsidP="00790AC7">
            <w:pPr>
              <w:spacing w:after="0"/>
              <w:rPr>
                <w:rFonts w:ascii="Times New Roman" w:hAnsi="Times New Roman" w:cs="Times New Roman"/>
                <w:b/>
                <w:sz w:val="26"/>
                <w:szCs w:val="26"/>
              </w:rPr>
            </w:pPr>
            <w:r w:rsidRPr="00386622">
              <w:rPr>
                <w:rFonts w:ascii="Times New Roman" w:hAnsi="Times New Roman" w:cs="Times New Roman"/>
                <w:b/>
                <w:sz w:val="26"/>
                <w:szCs w:val="26"/>
              </w:rPr>
              <w:t>FERC-516E</w:t>
            </w:r>
          </w:p>
        </w:tc>
        <w:tc>
          <w:tcPr>
            <w:tcW w:w="1421" w:type="dxa"/>
            <w:shd w:val="clear" w:color="auto" w:fill="D9D9D9"/>
            <w:vAlign w:val="bottom"/>
          </w:tcPr>
          <w:p w14:paraId="4E1B5C26" w14:textId="77777777" w:rsidR="00BF5553" w:rsidRPr="00386622" w:rsidRDefault="00BF5553" w:rsidP="00790AC7">
            <w:pPr>
              <w:spacing w:after="0"/>
              <w:rPr>
                <w:rFonts w:ascii="Times New Roman" w:hAnsi="Times New Roman" w:cs="Times New Roman"/>
                <w:b/>
                <w:sz w:val="26"/>
                <w:szCs w:val="26"/>
              </w:rPr>
            </w:pPr>
            <w:r w:rsidRPr="00386622">
              <w:rPr>
                <w:rFonts w:ascii="Times New Roman" w:hAnsi="Times New Roman" w:cs="Times New Roman"/>
                <w:b/>
                <w:sz w:val="26"/>
                <w:szCs w:val="26"/>
              </w:rPr>
              <w:t>Total Request</w:t>
            </w:r>
          </w:p>
        </w:tc>
        <w:tc>
          <w:tcPr>
            <w:tcW w:w="1959" w:type="dxa"/>
            <w:shd w:val="clear" w:color="auto" w:fill="D9D9D9"/>
            <w:vAlign w:val="bottom"/>
          </w:tcPr>
          <w:p w14:paraId="0AAB08F5" w14:textId="77777777" w:rsidR="00BF5553" w:rsidRPr="00386622" w:rsidRDefault="00BF5553" w:rsidP="00790AC7">
            <w:pPr>
              <w:spacing w:after="0"/>
              <w:rPr>
                <w:rFonts w:ascii="Times New Roman" w:hAnsi="Times New Roman" w:cs="Times New Roman"/>
                <w:b/>
                <w:sz w:val="26"/>
                <w:szCs w:val="26"/>
              </w:rPr>
            </w:pPr>
            <w:r w:rsidRPr="00386622">
              <w:rPr>
                <w:rFonts w:ascii="Times New Roman" w:hAnsi="Times New Roman" w:cs="Times New Roman"/>
                <w:b/>
                <w:sz w:val="26"/>
                <w:szCs w:val="26"/>
              </w:rPr>
              <w:t>Previously Approved</w:t>
            </w:r>
          </w:p>
        </w:tc>
        <w:tc>
          <w:tcPr>
            <w:tcW w:w="1683" w:type="dxa"/>
            <w:shd w:val="clear" w:color="auto" w:fill="D9D9D9"/>
            <w:vAlign w:val="bottom"/>
          </w:tcPr>
          <w:p w14:paraId="5E8348BD" w14:textId="77777777" w:rsidR="00BF5553" w:rsidRPr="00386622" w:rsidRDefault="00BF5553" w:rsidP="00790AC7">
            <w:pPr>
              <w:spacing w:after="0"/>
              <w:rPr>
                <w:rFonts w:ascii="Times New Roman" w:hAnsi="Times New Roman" w:cs="Times New Roman"/>
                <w:b/>
                <w:sz w:val="26"/>
                <w:szCs w:val="26"/>
              </w:rPr>
            </w:pPr>
            <w:r w:rsidRPr="00386622">
              <w:rPr>
                <w:rFonts w:ascii="Times New Roman" w:hAnsi="Times New Roman" w:cs="Times New Roman"/>
                <w:b/>
                <w:sz w:val="26"/>
                <w:szCs w:val="26"/>
              </w:rPr>
              <w:t>Change due to Adjustment in Estimate</w:t>
            </w:r>
          </w:p>
        </w:tc>
        <w:tc>
          <w:tcPr>
            <w:tcW w:w="1357" w:type="dxa"/>
            <w:shd w:val="clear" w:color="auto" w:fill="D9D9D9"/>
            <w:vAlign w:val="bottom"/>
          </w:tcPr>
          <w:p w14:paraId="6D8A5B2A" w14:textId="77777777" w:rsidR="00BF5553" w:rsidRPr="00386622" w:rsidRDefault="00BF5553" w:rsidP="00790AC7">
            <w:pPr>
              <w:spacing w:after="0"/>
              <w:rPr>
                <w:rFonts w:ascii="Times New Roman" w:hAnsi="Times New Roman" w:cs="Times New Roman"/>
                <w:b/>
                <w:sz w:val="26"/>
                <w:szCs w:val="26"/>
              </w:rPr>
            </w:pPr>
            <w:r w:rsidRPr="00386622">
              <w:rPr>
                <w:rFonts w:ascii="Times New Roman" w:hAnsi="Times New Roman" w:cs="Times New Roman"/>
                <w:b/>
                <w:sz w:val="26"/>
                <w:szCs w:val="26"/>
              </w:rPr>
              <w:t>Change Due to Agency Discretion</w:t>
            </w:r>
          </w:p>
        </w:tc>
      </w:tr>
      <w:tr w:rsidR="00BF5553" w:rsidRPr="00386622" w14:paraId="2DD6D457" w14:textId="77777777" w:rsidTr="00EE35C2">
        <w:trPr>
          <w:trHeight w:val="591"/>
        </w:trPr>
        <w:tc>
          <w:tcPr>
            <w:tcW w:w="2947" w:type="dxa"/>
          </w:tcPr>
          <w:p w14:paraId="59CE35B7" w14:textId="77777777" w:rsidR="00BF5553" w:rsidRPr="00C51D66" w:rsidRDefault="00BF5553" w:rsidP="00790AC7">
            <w:pPr>
              <w:spacing w:after="0"/>
              <w:rPr>
                <w:rFonts w:ascii="Times New Roman" w:hAnsi="Times New Roman" w:cs="Times New Roman"/>
                <w:sz w:val="26"/>
                <w:szCs w:val="26"/>
              </w:rPr>
            </w:pPr>
            <w:r w:rsidRPr="00C51D66">
              <w:rPr>
                <w:rFonts w:ascii="Times New Roman" w:hAnsi="Times New Roman" w:cs="Times New Roman"/>
                <w:sz w:val="26"/>
                <w:szCs w:val="26"/>
              </w:rPr>
              <w:t>Annual Number of Responses</w:t>
            </w:r>
          </w:p>
        </w:tc>
        <w:tc>
          <w:tcPr>
            <w:tcW w:w="1421" w:type="dxa"/>
            <w:vAlign w:val="center"/>
          </w:tcPr>
          <w:p w14:paraId="56EFA417" w14:textId="77777777" w:rsidR="00BF5553" w:rsidRPr="00C51D66" w:rsidRDefault="00C51D66" w:rsidP="00790AC7">
            <w:pPr>
              <w:spacing w:after="0"/>
              <w:jc w:val="right"/>
              <w:rPr>
                <w:rFonts w:ascii="Times New Roman" w:hAnsi="Times New Roman" w:cs="Times New Roman"/>
                <w:sz w:val="26"/>
                <w:szCs w:val="26"/>
              </w:rPr>
            </w:pPr>
            <w:r w:rsidRPr="00C51D66">
              <w:rPr>
                <w:rFonts w:ascii="Times New Roman" w:hAnsi="Times New Roman" w:cs="Times New Roman"/>
                <w:sz w:val="26"/>
                <w:szCs w:val="26"/>
              </w:rPr>
              <w:t>6</w:t>
            </w:r>
          </w:p>
        </w:tc>
        <w:tc>
          <w:tcPr>
            <w:tcW w:w="1959" w:type="dxa"/>
            <w:vAlign w:val="center"/>
          </w:tcPr>
          <w:p w14:paraId="4276F4CD" w14:textId="77777777" w:rsidR="00BF5553" w:rsidRPr="00C51D66" w:rsidRDefault="00C51D66" w:rsidP="00790AC7">
            <w:pPr>
              <w:spacing w:after="0"/>
              <w:jc w:val="right"/>
              <w:rPr>
                <w:rFonts w:ascii="Times New Roman" w:hAnsi="Times New Roman" w:cs="Times New Roman"/>
                <w:sz w:val="26"/>
                <w:szCs w:val="26"/>
              </w:rPr>
            </w:pPr>
            <w:r w:rsidRPr="00C51D66">
              <w:rPr>
                <w:rFonts w:ascii="Times New Roman" w:hAnsi="Times New Roman" w:cs="Times New Roman"/>
                <w:sz w:val="26"/>
                <w:szCs w:val="26"/>
              </w:rPr>
              <w:t>0</w:t>
            </w:r>
          </w:p>
        </w:tc>
        <w:tc>
          <w:tcPr>
            <w:tcW w:w="1683" w:type="dxa"/>
            <w:vAlign w:val="center"/>
          </w:tcPr>
          <w:p w14:paraId="689A2C45" w14:textId="77777777" w:rsidR="00BF5553" w:rsidRPr="00C51D66" w:rsidRDefault="00C51D66" w:rsidP="00790AC7">
            <w:pPr>
              <w:spacing w:after="0"/>
              <w:jc w:val="right"/>
              <w:rPr>
                <w:rFonts w:ascii="Times New Roman" w:hAnsi="Times New Roman" w:cs="Times New Roman"/>
                <w:sz w:val="26"/>
                <w:szCs w:val="26"/>
              </w:rPr>
            </w:pPr>
            <w:r w:rsidRPr="00C51D66">
              <w:rPr>
                <w:rFonts w:ascii="Times New Roman" w:hAnsi="Times New Roman" w:cs="Times New Roman"/>
                <w:sz w:val="26"/>
                <w:szCs w:val="26"/>
              </w:rPr>
              <w:t>0</w:t>
            </w:r>
          </w:p>
        </w:tc>
        <w:tc>
          <w:tcPr>
            <w:tcW w:w="1357" w:type="dxa"/>
            <w:vAlign w:val="center"/>
          </w:tcPr>
          <w:p w14:paraId="7DA13E10" w14:textId="77777777" w:rsidR="00BF5553" w:rsidRPr="00C51D66" w:rsidRDefault="00C51D66" w:rsidP="00790AC7">
            <w:pPr>
              <w:spacing w:after="0"/>
              <w:jc w:val="right"/>
              <w:rPr>
                <w:rFonts w:ascii="Times New Roman" w:hAnsi="Times New Roman" w:cs="Times New Roman"/>
                <w:sz w:val="26"/>
                <w:szCs w:val="26"/>
              </w:rPr>
            </w:pPr>
            <w:r w:rsidRPr="00C51D66">
              <w:rPr>
                <w:rFonts w:ascii="Times New Roman" w:hAnsi="Times New Roman" w:cs="Times New Roman"/>
                <w:sz w:val="26"/>
                <w:szCs w:val="26"/>
              </w:rPr>
              <w:t>6</w:t>
            </w:r>
          </w:p>
        </w:tc>
      </w:tr>
      <w:tr w:rsidR="00BF5553" w:rsidRPr="00386622" w14:paraId="6E7066BB" w14:textId="77777777" w:rsidTr="00EE35C2">
        <w:trPr>
          <w:trHeight w:val="575"/>
        </w:trPr>
        <w:tc>
          <w:tcPr>
            <w:tcW w:w="2947" w:type="dxa"/>
          </w:tcPr>
          <w:p w14:paraId="259CD012" w14:textId="77777777" w:rsidR="00BF5553" w:rsidRPr="00C51D66" w:rsidRDefault="00BF5553" w:rsidP="00790AC7">
            <w:pPr>
              <w:spacing w:after="0"/>
              <w:rPr>
                <w:rFonts w:ascii="Times New Roman" w:hAnsi="Times New Roman" w:cs="Times New Roman"/>
                <w:sz w:val="26"/>
                <w:szCs w:val="26"/>
              </w:rPr>
            </w:pPr>
            <w:r w:rsidRPr="00C51D66">
              <w:rPr>
                <w:rFonts w:ascii="Times New Roman" w:hAnsi="Times New Roman" w:cs="Times New Roman"/>
                <w:sz w:val="26"/>
                <w:szCs w:val="26"/>
              </w:rPr>
              <w:t>Annual Time Burden (Hr.)</w:t>
            </w:r>
          </w:p>
        </w:tc>
        <w:tc>
          <w:tcPr>
            <w:tcW w:w="1421" w:type="dxa"/>
            <w:vAlign w:val="center"/>
          </w:tcPr>
          <w:p w14:paraId="0BE6FA70" w14:textId="3B34CA08" w:rsidR="00BF5553" w:rsidRPr="00C51D66" w:rsidRDefault="00656E46" w:rsidP="00790AC7">
            <w:pPr>
              <w:spacing w:after="0"/>
              <w:jc w:val="right"/>
              <w:rPr>
                <w:rFonts w:ascii="Times New Roman" w:hAnsi="Times New Roman" w:cs="Times New Roman"/>
                <w:sz w:val="26"/>
                <w:szCs w:val="26"/>
              </w:rPr>
            </w:pPr>
            <w:r>
              <w:rPr>
                <w:rFonts w:ascii="Times New Roman" w:hAnsi="Times New Roman" w:cs="Times New Roman"/>
                <w:sz w:val="26"/>
                <w:szCs w:val="26"/>
              </w:rPr>
              <w:t>8,186</w:t>
            </w:r>
          </w:p>
        </w:tc>
        <w:tc>
          <w:tcPr>
            <w:tcW w:w="1959" w:type="dxa"/>
            <w:vAlign w:val="center"/>
          </w:tcPr>
          <w:p w14:paraId="3722617F" w14:textId="77777777" w:rsidR="00BF5553" w:rsidRPr="00C51D66" w:rsidRDefault="00C51D66" w:rsidP="00790AC7">
            <w:pPr>
              <w:spacing w:after="0"/>
              <w:jc w:val="right"/>
              <w:rPr>
                <w:rFonts w:ascii="Times New Roman" w:hAnsi="Times New Roman" w:cs="Times New Roman"/>
                <w:sz w:val="26"/>
                <w:szCs w:val="26"/>
              </w:rPr>
            </w:pPr>
            <w:r w:rsidRPr="00C51D66">
              <w:rPr>
                <w:rFonts w:ascii="Times New Roman" w:hAnsi="Times New Roman" w:cs="Times New Roman"/>
                <w:sz w:val="26"/>
                <w:szCs w:val="26"/>
              </w:rPr>
              <w:t>0</w:t>
            </w:r>
          </w:p>
        </w:tc>
        <w:tc>
          <w:tcPr>
            <w:tcW w:w="1683" w:type="dxa"/>
            <w:vAlign w:val="center"/>
          </w:tcPr>
          <w:p w14:paraId="3D031190" w14:textId="77777777" w:rsidR="00BF5553" w:rsidRPr="00C51D66" w:rsidRDefault="00C51D66" w:rsidP="00790AC7">
            <w:pPr>
              <w:spacing w:after="0"/>
              <w:jc w:val="right"/>
              <w:rPr>
                <w:rFonts w:ascii="Times New Roman" w:hAnsi="Times New Roman" w:cs="Times New Roman"/>
                <w:sz w:val="26"/>
                <w:szCs w:val="26"/>
              </w:rPr>
            </w:pPr>
            <w:r w:rsidRPr="00C51D66">
              <w:rPr>
                <w:rFonts w:ascii="Times New Roman" w:hAnsi="Times New Roman" w:cs="Times New Roman"/>
                <w:sz w:val="26"/>
                <w:szCs w:val="26"/>
              </w:rPr>
              <w:t>0</w:t>
            </w:r>
          </w:p>
        </w:tc>
        <w:tc>
          <w:tcPr>
            <w:tcW w:w="1357" w:type="dxa"/>
            <w:vAlign w:val="center"/>
          </w:tcPr>
          <w:p w14:paraId="39C5A5A4" w14:textId="73375591" w:rsidR="00BF5553" w:rsidRPr="00C51D66" w:rsidRDefault="00656E46" w:rsidP="00790AC7">
            <w:pPr>
              <w:spacing w:after="0"/>
              <w:jc w:val="right"/>
              <w:rPr>
                <w:rFonts w:ascii="Times New Roman" w:hAnsi="Times New Roman" w:cs="Times New Roman"/>
                <w:sz w:val="26"/>
                <w:szCs w:val="26"/>
              </w:rPr>
            </w:pPr>
            <w:r>
              <w:rPr>
                <w:rFonts w:ascii="Times New Roman" w:hAnsi="Times New Roman" w:cs="Times New Roman"/>
                <w:sz w:val="26"/>
                <w:szCs w:val="26"/>
              </w:rPr>
              <w:t>8,186</w:t>
            </w:r>
          </w:p>
        </w:tc>
      </w:tr>
      <w:tr w:rsidR="00BF5553" w:rsidRPr="00386622" w14:paraId="77BA5935" w14:textId="77777777" w:rsidTr="00EE35C2">
        <w:trPr>
          <w:trHeight w:val="295"/>
        </w:trPr>
        <w:tc>
          <w:tcPr>
            <w:tcW w:w="2947" w:type="dxa"/>
          </w:tcPr>
          <w:p w14:paraId="69221230" w14:textId="77777777" w:rsidR="00BF5553" w:rsidRPr="00386622" w:rsidRDefault="00BF5553" w:rsidP="00790AC7">
            <w:pPr>
              <w:spacing w:after="0"/>
              <w:rPr>
                <w:rFonts w:ascii="Times New Roman" w:hAnsi="Times New Roman" w:cs="Times New Roman"/>
                <w:sz w:val="26"/>
                <w:szCs w:val="26"/>
              </w:rPr>
            </w:pPr>
            <w:r w:rsidRPr="00386622">
              <w:rPr>
                <w:rFonts w:ascii="Times New Roman" w:hAnsi="Times New Roman" w:cs="Times New Roman"/>
                <w:sz w:val="26"/>
                <w:szCs w:val="26"/>
              </w:rPr>
              <w:t>Annual Cost Burden ($)</w:t>
            </w:r>
          </w:p>
        </w:tc>
        <w:tc>
          <w:tcPr>
            <w:tcW w:w="1421" w:type="dxa"/>
            <w:vAlign w:val="center"/>
          </w:tcPr>
          <w:p w14:paraId="5B2097D3" w14:textId="77777777" w:rsidR="00BF5553" w:rsidRPr="00386622" w:rsidRDefault="00BF5553" w:rsidP="00790AC7">
            <w:pPr>
              <w:spacing w:after="0"/>
              <w:jc w:val="right"/>
              <w:rPr>
                <w:rFonts w:ascii="Times New Roman" w:hAnsi="Times New Roman" w:cs="Times New Roman"/>
                <w:sz w:val="26"/>
                <w:szCs w:val="26"/>
              </w:rPr>
            </w:pPr>
            <w:r w:rsidRPr="00386622">
              <w:rPr>
                <w:rFonts w:ascii="Times New Roman" w:hAnsi="Times New Roman" w:cs="Times New Roman"/>
                <w:sz w:val="26"/>
                <w:szCs w:val="26"/>
              </w:rPr>
              <w:t>0</w:t>
            </w:r>
          </w:p>
        </w:tc>
        <w:tc>
          <w:tcPr>
            <w:tcW w:w="1959" w:type="dxa"/>
            <w:vAlign w:val="center"/>
          </w:tcPr>
          <w:p w14:paraId="0C6D5212" w14:textId="77777777" w:rsidR="00BF5553" w:rsidRPr="00386622" w:rsidRDefault="00BF5553" w:rsidP="00790AC7">
            <w:pPr>
              <w:spacing w:after="0"/>
              <w:jc w:val="right"/>
              <w:rPr>
                <w:rFonts w:ascii="Times New Roman" w:hAnsi="Times New Roman" w:cs="Times New Roman"/>
                <w:sz w:val="26"/>
                <w:szCs w:val="26"/>
              </w:rPr>
            </w:pPr>
            <w:r w:rsidRPr="00386622">
              <w:rPr>
                <w:rFonts w:ascii="Times New Roman" w:hAnsi="Times New Roman" w:cs="Times New Roman"/>
                <w:sz w:val="26"/>
                <w:szCs w:val="26"/>
              </w:rPr>
              <w:t>0</w:t>
            </w:r>
          </w:p>
        </w:tc>
        <w:tc>
          <w:tcPr>
            <w:tcW w:w="1683" w:type="dxa"/>
            <w:vAlign w:val="center"/>
          </w:tcPr>
          <w:p w14:paraId="58F23CE7" w14:textId="77777777" w:rsidR="00BF5553" w:rsidRPr="00386622" w:rsidRDefault="00BF5553" w:rsidP="00790AC7">
            <w:pPr>
              <w:spacing w:after="0"/>
              <w:jc w:val="right"/>
              <w:rPr>
                <w:rFonts w:ascii="Times New Roman" w:hAnsi="Times New Roman" w:cs="Times New Roman"/>
                <w:sz w:val="26"/>
                <w:szCs w:val="26"/>
              </w:rPr>
            </w:pPr>
            <w:r w:rsidRPr="00386622">
              <w:rPr>
                <w:rFonts w:ascii="Times New Roman" w:hAnsi="Times New Roman" w:cs="Times New Roman"/>
                <w:sz w:val="26"/>
                <w:szCs w:val="26"/>
              </w:rPr>
              <w:t>0</w:t>
            </w:r>
          </w:p>
        </w:tc>
        <w:tc>
          <w:tcPr>
            <w:tcW w:w="1357" w:type="dxa"/>
            <w:vAlign w:val="center"/>
          </w:tcPr>
          <w:p w14:paraId="601744E1" w14:textId="77777777" w:rsidR="00BF5553" w:rsidRPr="00386622" w:rsidRDefault="00BF5553" w:rsidP="00790AC7">
            <w:pPr>
              <w:spacing w:after="0"/>
              <w:jc w:val="right"/>
              <w:rPr>
                <w:rFonts w:ascii="Times New Roman" w:hAnsi="Times New Roman" w:cs="Times New Roman"/>
                <w:sz w:val="26"/>
                <w:szCs w:val="26"/>
              </w:rPr>
            </w:pPr>
            <w:r w:rsidRPr="00386622">
              <w:rPr>
                <w:rFonts w:ascii="Times New Roman" w:hAnsi="Times New Roman" w:cs="Times New Roman"/>
                <w:sz w:val="26"/>
                <w:szCs w:val="26"/>
              </w:rPr>
              <w:t>0</w:t>
            </w:r>
          </w:p>
        </w:tc>
      </w:tr>
    </w:tbl>
    <w:p w14:paraId="42FD2E8E" w14:textId="77777777" w:rsidR="00BF5553" w:rsidRPr="00386622" w:rsidRDefault="00BF5553" w:rsidP="00BF5553">
      <w:pPr>
        <w:spacing w:after="0"/>
        <w:rPr>
          <w:rFonts w:ascii="Times New Roman" w:hAnsi="Times New Roman" w:cs="Times New Roman"/>
          <w:sz w:val="26"/>
          <w:szCs w:val="26"/>
        </w:rPr>
      </w:pPr>
    </w:p>
    <w:p w14:paraId="05EFD16F" w14:textId="77777777" w:rsidR="00BF5553" w:rsidRPr="00386622" w:rsidRDefault="00BF5553" w:rsidP="00BF5553">
      <w:pPr>
        <w:spacing w:after="0"/>
        <w:rPr>
          <w:rFonts w:ascii="Times New Roman" w:hAnsi="Times New Roman" w:cs="Times New Roman"/>
          <w:sz w:val="26"/>
          <w:szCs w:val="26"/>
        </w:rPr>
      </w:pPr>
    </w:p>
    <w:p w14:paraId="5C424C9D" w14:textId="77777777" w:rsidR="00BF5553" w:rsidRPr="00386622" w:rsidRDefault="00BF5553" w:rsidP="00BF5553">
      <w:pPr>
        <w:pStyle w:val="ListParagraph"/>
        <w:numPr>
          <w:ilvl w:val="0"/>
          <w:numId w:val="1"/>
        </w:numPr>
        <w:spacing w:after="0"/>
        <w:ind w:left="360"/>
        <w:rPr>
          <w:rFonts w:ascii="Times New Roman" w:hAnsi="Times New Roman" w:cs="Times New Roman"/>
          <w:b/>
          <w:sz w:val="26"/>
          <w:szCs w:val="26"/>
        </w:rPr>
      </w:pPr>
      <w:r w:rsidRPr="00386622">
        <w:rPr>
          <w:rFonts w:ascii="Times New Roman" w:hAnsi="Times New Roman" w:cs="Times New Roman"/>
          <w:b/>
          <w:sz w:val="26"/>
          <w:szCs w:val="26"/>
        </w:rPr>
        <w:t>TIME SCHEDULE FOR PUBLICATION OF DATA</w:t>
      </w:r>
    </w:p>
    <w:p w14:paraId="76821333" w14:textId="77777777" w:rsidR="00BF5553" w:rsidRPr="00386622" w:rsidRDefault="00BF5553" w:rsidP="00BF5553">
      <w:pPr>
        <w:spacing w:after="0"/>
        <w:rPr>
          <w:rFonts w:ascii="Times New Roman" w:hAnsi="Times New Roman" w:cs="Times New Roman"/>
          <w:sz w:val="26"/>
          <w:szCs w:val="26"/>
        </w:rPr>
      </w:pPr>
    </w:p>
    <w:p w14:paraId="77278881" w14:textId="77777777" w:rsidR="00BF5553" w:rsidRPr="00386622" w:rsidRDefault="00386622" w:rsidP="00BF5553">
      <w:pPr>
        <w:spacing w:after="0"/>
        <w:rPr>
          <w:rFonts w:ascii="Times New Roman" w:hAnsi="Times New Roman" w:cs="Times New Roman"/>
          <w:sz w:val="26"/>
          <w:szCs w:val="26"/>
        </w:rPr>
      </w:pPr>
      <w:r w:rsidRPr="00386622">
        <w:rPr>
          <w:rFonts w:ascii="Times New Roman" w:hAnsi="Times New Roman" w:cs="Times New Roman"/>
          <w:sz w:val="26"/>
          <w:szCs w:val="26"/>
        </w:rPr>
        <w:t>There is no publication of data associated with FERC-516E information collection.</w:t>
      </w:r>
    </w:p>
    <w:p w14:paraId="42ACBC2B" w14:textId="77777777" w:rsidR="00386622" w:rsidRPr="00386622" w:rsidRDefault="00386622" w:rsidP="00BF5553">
      <w:pPr>
        <w:spacing w:after="0"/>
        <w:rPr>
          <w:rFonts w:ascii="Times New Roman" w:hAnsi="Times New Roman" w:cs="Times New Roman"/>
          <w:sz w:val="26"/>
          <w:szCs w:val="26"/>
        </w:rPr>
      </w:pPr>
    </w:p>
    <w:p w14:paraId="77BB8879" w14:textId="77777777" w:rsidR="00BF5553" w:rsidRPr="00386622" w:rsidRDefault="00BF5553" w:rsidP="00BF5553">
      <w:pPr>
        <w:pStyle w:val="ListParagraph"/>
        <w:numPr>
          <w:ilvl w:val="0"/>
          <w:numId w:val="1"/>
        </w:numPr>
        <w:spacing w:after="0"/>
        <w:ind w:left="360"/>
        <w:rPr>
          <w:rFonts w:ascii="Times New Roman" w:hAnsi="Times New Roman" w:cs="Times New Roman"/>
          <w:b/>
          <w:sz w:val="26"/>
          <w:szCs w:val="26"/>
        </w:rPr>
      </w:pPr>
      <w:r w:rsidRPr="00386622">
        <w:rPr>
          <w:rFonts w:ascii="Times New Roman" w:hAnsi="Times New Roman" w:cs="Times New Roman"/>
          <w:b/>
          <w:sz w:val="26"/>
          <w:szCs w:val="26"/>
        </w:rPr>
        <w:t>DISPLAY OF EXPIRATION DATE</w:t>
      </w:r>
    </w:p>
    <w:p w14:paraId="706F7567" w14:textId="77777777" w:rsidR="00BF5553" w:rsidRPr="00386622" w:rsidRDefault="00BF5553" w:rsidP="00BF5553">
      <w:pPr>
        <w:spacing w:after="0"/>
        <w:rPr>
          <w:rFonts w:ascii="Times New Roman" w:hAnsi="Times New Roman" w:cs="Times New Roman"/>
          <w:sz w:val="26"/>
          <w:szCs w:val="26"/>
        </w:rPr>
      </w:pPr>
    </w:p>
    <w:p w14:paraId="7EF7DC89" w14:textId="77777777" w:rsidR="00BF5553" w:rsidRDefault="00707602" w:rsidP="00BF5553">
      <w:pPr>
        <w:spacing w:after="0"/>
        <w:rPr>
          <w:rFonts w:ascii="Times New Roman" w:hAnsi="Times New Roman" w:cs="Times New Roman"/>
          <w:sz w:val="26"/>
          <w:szCs w:val="26"/>
        </w:rPr>
      </w:pPr>
      <w:r w:rsidRPr="00386622">
        <w:rPr>
          <w:rFonts w:ascii="Times New Roman" w:hAnsi="Times New Roman" w:cs="Times New Roman"/>
          <w:sz w:val="26"/>
          <w:szCs w:val="26"/>
        </w:rPr>
        <w:t>The expiration date is displayed in a table posted on ferc.gov</w:t>
      </w:r>
      <w:r w:rsidR="00386622" w:rsidRPr="00386622">
        <w:rPr>
          <w:rFonts w:ascii="Times New Roman" w:hAnsi="Times New Roman" w:cs="Times New Roman"/>
          <w:sz w:val="26"/>
          <w:szCs w:val="26"/>
        </w:rPr>
        <w:t xml:space="preserve"> </w:t>
      </w:r>
      <w:r w:rsidR="00BF5553" w:rsidRPr="00386622">
        <w:rPr>
          <w:rFonts w:ascii="Times New Roman" w:hAnsi="Times New Roman" w:cs="Times New Roman"/>
          <w:sz w:val="26"/>
          <w:szCs w:val="26"/>
        </w:rPr>
        <w:t xml:space="preserve">at </w:t>
      </w:r>
      <w:hyperlink r:id="rId8" w:history="1">
        <w:r w:rsidR="00BF5553" w:rsidRPr="00386622">
          <w:rPr>
            <w:rStyle w:val="Hyperlink"/>
            <w:rFonts w:ascii="Times New Roman" w:hAnsi="Times New Roman" w:cs="Times New Roman"/>
            <w:sz w:val="26"/>
            <w:szCs w:val="26"/>
          </w:rPr>
          <w:t>http://www.ferc.gov/docs-filing/info-collections.asp</w:t>
        </w:r>
      </w:hyperlink>
      <w:r w:rsidR="00BF5553" w:rsidRPr="00386622">
        <w:rPr>
          <w:rFonts w:ascii="Times New Roman" w:hAnsi="Times New Roman" w:cs="Times New Roman"/>
          <w:sz w:val="26"/>
          <w:szCs w:val="26"/>
        </w:rPr>
        <w:t xml:space="preserve">. </w:t>
      </w:r>
    </w:p>
    <w:p w14:paraId="05D4782C" w14:textId="77777777" w:rsidR="00BF5E2A" w:rsidRPr="00386622" w:rsidRDefault="00BF5E2A" w:rsidP="00BF5553">
      <w:pPr>
        <w:spacing w:after="0"/>
        <w:rPr>
          <w:rFonts w:ascii="Times New Roman" w:hAnsi="Times New Roman" w:cs="Times New Roman"/>
          <w:sz w:val="26"/>
          <w:szCs w:val="26"/>
        </w:rPr>
      </w:pPr>
    </w:p>
    <w:p w14:paraId="4312E1F6" w14:textId="77777777" w:rsidR="00BF5553" w:rsidRPr="00386622" w:rsidRDefault="00BF5553" w:rsidP="00BF5553">
      <w:pPr>
        <w:spacing w:after="0"/>
        <w:rPr>
          <w:rFonts w:ascii="Times New Roman" w:hAnsi="Times New Roman" w:cs="Times New Roman"/>
          <w:sz w:val="26"/>
          <w:szCs w:val="26"/>
        </w:rPr>
      </w:pPr>
    </w:p>
    <w:p w14:paraId="46737A20" w14:textId="77777777" w:rsidR="00BF5553" w:rsidRPr="00386622" w:rsidRDefault="00BF5553" w:rsidP="00BF5553">
      <w:pPr>
        <w:pStyle w:val="ListParagraph"/>
        <w:numPr>
          <w:ilvl w:val="0"/>
          <w:numId w:val="1"/>
        </w:numPr>
        <w:spacing w:after="0"/>
        <w:ind w:left="360"/>
        <w:rPr>
          <w:rFonts w:ascii="Times New Roman" w:hAnsi="Times New Roman" w:cs="Times New Roman"/>
          <w:b/>
          <w:sz w:val="26"/>
          <w:szCs w:val="26"/>
        </w:rPr>
      </w:pPr>
      <w:r w:rsidRPr="00386622">
        <w:rPr>
          <w:rFonts w:ascii="Times New Roman" w:hAnsi="Times New Roman" w:cs="Times New Roman"/>
          <w:b/>
          <w:sz w:val="26"/>
          <w:szCs w:val="26"/>
        </w:rPr>
        <w:t>EXCEPTIONS TO THE CERTIFICATION STATEMENT</w:t>
      </w:r>
    </w:p>
    <w:p w14:paraId="5720FCB5" w14:textId="77777777" w:rsidR="00BF5553" w:rsidRPr="00386622" w:rsidRDefault="00BF5553" w:rsidP="00BF5553">
      <w:pPr>
        <w:spacing w:after="0"/>
        <w:rPr>
          <w:rFonts w:ascii="Times New Roman" w:hAnsi="Times New Roman" w:cs="Times New Roman"/>
          <w:b/>
          <w:sz w:val="26"/>
          <w:szCs w:val="26"/>
        </w:rPr>
      </w:pPr>
    </w:p>
    <w:p w14:paraId="278B98DA" w14:textId="77777777" w:rsidR="0052545C" w:rsidRPr="00386622" w:rsidRDefault="00BF5553" w:rsidP="00BF5553">
      <w:pPr>
        <w:rPr>
          <w:rFonts w:ascii="Times New Roman" w:hAnsi="Times New Roman" w:cs="Times New Roman"/>
          <w:sz w:val="26"/>
          <w:szCs w:val="26"/>
        </w:rPr>
      </w:pPr>
      <w:r w:rsidRPr="00386622">
        <w:rPr>
          <w:rFonts w:ascii="Times New Roman" w:hAnsi="Times New Roman" w:cs="Times New Roman"/>
          <w:sz w:val="26"/>
          <w:szCs w:val="26"/>
        </w:rPr>
        <w:t xml:space="preserve">There </w:t>
      </w:r>
      <w:r w:rsidR="00707602" w:rsidRPr="00386622">
        <w:rPr>
          <w:rFonts w:ascii="Times New Roman" w:hAnsi="Times New Roman" w:cs="Times New Roman"/>
          <w:sz w:val="26"/>
          <w:szCs w:val="26"/>
        </w:rPr>
        <w:t>are no exceptions.</w:t>
      </w:r>
    </w:p>
    <w:sectPr w:rsidR="0052545C" w:rsidRPr="00386622">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051E8E" w14:textId="77777777" w:rsidR="00343578" w:rsidRDefault="00343578" w:rsidP="00BF5553">
      <w:pPr>
        <w:spacing w:after="0" w:line="240" w:lineRule="auto"/>
      </w:pPr>
      <w:r>
        <w:separator/>
      </w:r>
    </w:p>
  </w:endnote>
  <w:endnote w:type="continuationSeparator" w:id="0">
    <w:p w14:paraId="3CB0B37D" w14:textId="77777777" w:rsidR="00343578" w:rsidRDefault="00343578" w:rsidP="00BF55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62C3B9" w14:textId="77777777" w:rsidR="00343578" w:rsidRDefault="00343578" w:rsidP="00BF5553">
      <w:pPr>
        <w:spacing w:after="0" w:line="240" w:lineRule="auto"/>
      </w:pPr>
      <w:r>
        <w:separator/>
      </w:r>
    </w:p>
  </w:footnote>
  <w:footnote w:type="continuationSeparator" w:id="0">
    <w:p w14:paraId="3B7B4258" w14:textId="77777777" w:rsidR="00343578" w:rsidRDefault="00343578" w:rsidP="00BF5553">
      <w:pPr>
        <w:spacing w:after="0" w:line="240" w:lineRule="auto"/>
      </w:pPr>
      <w:r>
        <w:continuationSeparator/>
      </w:r>
    </w:p>
  </w:footnote>
  <w:footnote w:id="1">
    <w:p w14:paraId="54B26DBB" w14:textId="77777777" w:rsidR="00BC4031" w:rsidRPr="000F6B6C" w:rsidRDefault="00BC4031">
      <w:pPr>
        <w:pStyle w:val="FootnoteText"/>
      </w:pPr>
      <w:r w:rsidRPr="000F6B6C">
        <w:rPr>
          <w:rStyle w:val="FootnoteReference"/>
        </w:rPr>
        <w:footnoteRef/>
      </w:r>
      <w:r w:rsidRPr="000F6B6C">
        <w:t xml:space="preserve"> The Order was issued on December 15, 2016 and is posted at </w:t>
      </w:r>
      <w:hyperlink r:id="rId1" w:history="1">
        <w:r w:rsidRPr="000F6B6C">
          <w:rPr>
            <w:rStyle w:val="Hyperlink"/>
          </w:rPr>
          <w:t>https://elibrary.ferc.gov/idmws/doc_info.asp?document_id=14521615</w:t>
        </w:r>
      </w:hyperlink>
    </w:p>
  </w:footnote>
  <w:footnote w:id="2">
    <w:p w14:paraId="5C2884E9" w14:textId="77777777" w:rsidR="009D59B1" w:rsidRPr="000F6B6C" w:rsidRDefault="009D59B1" w:rsidP="009D59B1">
      <w:pPr>
        <w:pStyle w:val="FootnoteText"/>
      </w:pPr>
      <w:r w:rsidRPr="000F6B6C">
        <w:rPr>
          <w:rStyle w:val="FootnoteReference"/>
        </w:rPr>
        <w:footnoteRef/>
      </w:r>
      <w:r w:rsidRPr="000F6B6C">
        <w:t xml:space="preserve"> This supporting statement would normally have been submitted under the FERC-516 but is being submitted under the temporary placeholder collection number FERC-516E</w:t>
      </w:r>
      <w:r w:rsidR="00BC4031" w:rsidRPr="000F6B6C">
        <w:t xml:space="preserve"> because only item per OMB Control No. can be pending OMB review at a time</w:t>
      </w:r>
      <w:r w:rsidRPr="000F6B6C">
        <w:t>.</w:t>
      </w:r>
      <w:r w:rsidRPr="000F6B6C">
        <w:rPr>
          <w:i/>
        </w:rPr>
        <w:t xml:space="preserve"> </w:t>
      </w:r>
    </w:p>
  </w:footnote>
  <w:footnote w:id="3">
    <w:p w14:paraId="197FC0A7" w14:textId="77777777" w:rsidR="00BC4031" w:rsidRPr="000F6B6C" w:rsidRDefault="00BC4031" w:rsidP="00BC4031">
      <w:pPr>
        <w:pStyle w:val="FootnoteText"/>
        <w:rPr>
          <w:b/>
        </w:rPr>
      </w:pPr>
      <w:r w:rsidRPr="000F6B6C">
        <w:rPr>
          <w:rStyle w:val="FootnoteReference"/>
        </w:rPr>
        <w:footnoteRef/>
      </w:r>
      <w:r w:rsidRPr="000F6B6C">
        <w:t xml:space="preserve"> Price Formation in Energy and Ancillary Services Markets Operated by Transmission Organizations and Independent System Operators, Notice, Docket No. AD14-14-000, at 2 (June 19, 2014).</w:t>
      </w:r>
    </w:p>
  </w:footnote>
  <w:footnote w:id="4">
    <w:p w14:paraId="550E909F" w14:textId="77777777" w:rsidR="00BC4031" w:rsidRPr="000F6B6C" w:rsidRDefault="00BC4031" w:rsidP="00BC4031">
      <w:pPr>
        <w:pStyle w:val="FootnoteText"/>
      </w:pPr>
      <w:r w:rsidRPr="000F6B6C">
        <w:rPr>
          <w:rStyle w:val="FootnoteReference"/>
        </w:rPr>
        <w:footnoteRef/>
      </w:r>
      <w:r w:rsidRPr="000F6B6C">
        <w:t xml:space="preserve"> </w:t>
      </w:r>
      <w:r w:rsidRPr="000F6B6C">
        <w:rPr>
          <w:i/>
        </w:rPr>
        <w:t>Id</w:t>
      </w:r>
      <w:r w:rsidRPr="000F6B6C">
        <w:t>. at 1, 3-4.</w:t>
      </w:r>
    </w:p>
  </w:footnote>
  <w:footnote w:id="5">
    <w:p w14:paraId="2ACF0851" w14:textId="77777777" w:rsidR="00BC4031" w:rsidRPr="000F6B6C" w:rsidRDefault="00BC4031" w:rsidP="00BC4031">
      <w:pPr>
        <w:pStyle w:val="FootnoteText"/>
      </w:pPr>
      <w:r w:rsidRPr="000F6B6C">
        <w:rPr>
          <w:rStyle w:val="FootnoteReference"/>
        </w:rPr>
        <w:footnoteRef/>
      </w:r>
      <w:r w:rsidRPr="000F6B6C">
        <w:t xml:space="preserve"> Notice Inviting Post-Technical Workshop Comments, Docket No. AD14-14-000 (Jan. 16, 2015).  </w:t>
      </w:r>
    </w:p>
  </w:footnote>
  <w:footnote w:id="6">
    <w:p w14:paraId="637EDC1F" w14:textId="77777777" w:rsidR="00BC4031" w:rsidRPr="000F6B6C" w:rsidRDefault="00BC4031" w:rsidP="00BC4031">
      <w:pPr>
        <w:pStyle w:val="FootnoteText"/>
      </w:pPr>
      <w:r w:rsidRPr="000F6B6C">
        <w:rPr>
          <w:rStyle w:val="FootnoteReference"/>
        </w:rPr>
        <w:footnoteRef/>
      </w:r>
      <w:r w:rsidR="00B07C11" w:rsidRPr="000F6B6C">
        <w:t xml:space="preserve"> </w:t>
      </w:r>
      <w:r w:rsidRPr="000F6B6C">
        <w:t>Order Directing Reports, 153 FERC ¶ 61,221).</w:t>
      </w:r>
    </w:p>
  </w:footnote>
  <w:footnote w:id="7">
    <w:p w14:paraId="14CF8328" w14:textId="77777777" w:rsidR="00BF5553" w:rsidRPr="000F6B6C" w:rsidRDefault="00B07C11" w:rsidP="00BF5553">
      <w:pPr>
        <w:pStyle w:val="FootnoteText"/>
      </w:pPr>
      <w:r w:rsidRPr="000F6B6C">
        <w:t>7</w:t>
      </w:r>
      <w:r w:rsidR="00386622" w:rsidRPr="000F6B6C">
        <w:t xml:space="preserve"> </w:t>
      </w:r>
      <w:r w:rsidR="00BF5553" w:rsidRPr="000F6B6C">
        <w:t>16 U.S.C. 824d(a)</w:t>
      </w:r>
    </w:p>
  </w:footnote>
  <w:footnote w:id="8">
    <w:p w14:paraId="77E74C9A" w14:textId="77777777" w:rsidR="00FF3168" w:rsidRPr="000F6B6C" w:rsidRDefault="00FF3168" w:rsidP="00FF3168">
      <w:pPr>
        <w:pStyle w:val="FootnoteText"/>
      </w:pPr>
      <w:r w:rsidRPr="000F6B6C">
        <w:rPr>
          <w:rStyle w:val="FootnoteReference"/>
        </w:rPr>
        <w:footnoteRef/>
      </w:r>
      <w:r w:rsidRPr="000F6B6C">
        <w:t xml:space="preserve"> 16 U.S.C. 824de(a).</w:t>
      </w:r>
    </w:p>
  </w:footnote>
  <w:footnote w:id="9">
    <w:p w14:paraId="7F729D30" w14:textId="77777777" w:rsidR="00AF6531" w:rsidRPr="000F6B6C" w:rsidRDefault="00AF6531" w:rsidP="00AF6531">
      <w:pPr>
        <w:pStyle w:val="FootnoteText"/>
      </w:pPr>
      <w:r w:rsidRPr="000F6B6C">
        <w:rPr>
          <w:rStyle w:val="FootnoteReference"/>
        </w:rPr>
        <w:footnoteRef/>
      </w:r>
      <w:r w:rsidRPr="000F6B6C">
        <w:t xml:space="preserve"> 13 CFR 121.201 (Sector 22, Utilities).</w:t>
      </w:r>
    </w:p>
  </w:footnote>
  <w:footnote w:id="10">
    <w:p w14:paraId="6B053458" w14:textId="77777777" w:rsidR="006C606F" w:rsidRPr="000F6B6C" w:rsidRDefault="006C606F" w:rsidP="006C606F">
      <w:pPr>
        <w:pStyle w:val="FootnoteText"/>
      </w:pPr>
      <w:r w:rsidRPr="000F6B6C">
        <w:rPr>
          <w:rStyle w:val="FootnoteReference"/>
        </w:rPr>
        <w:footnoteRef/>
      </w:r>
      <w:r w:rsidRPr="000F6B6C">
        <w:t xml:space="preserve"> Notice Inviting Post-Technical Workshop Comments, Docket No. AD14-14-000 (Jan. 16, 2015).  </w:t>
      </w:r>
    </w:p>
  </w:footnote>
  <w:footnote w:id="11">
    <w:p w14:paraId="41B60230" w14:textId="77777777" w:rsidR="006C606F" w:rsidRPr="000F6B6C" w:rsidRDefault="006C606F" w:rsidP="006C606F">
      <w:pPr>
        <w:pStyle w:val="FootnoteText"/>
      </w:pPr>
      <w:r w:rsidRPr="000F6B6C">
        <w:rPr>
          <w:rStyle w:val="FootnoteReference"/>
        </w:rPr>
        <w:footnoteRef/>
      </w:r>
      <w:r w:rsidRPr="000F6B6C">
        <w:t>Order Directing Reports, 153 FERC ¶ 61,221).</w:t>
      </w:r>
    </w:p>
  </w:footnote>
  <w:footnote w:id="12">
    <w:p w14:paraId="7E7ECCC4" w14:textId="77777777" w:rsidR="000F6B6C" w:rsidRPr="000F6B6C" w:rsidRDefault="000F6B6C">
      <w:pPr>
        <w:pStyle w:val="FootnoteText"/>
      </w:pPr>
      <w:r w:rsidRPr="000F6B6C">
        <w:rPr>
          <w:rStyle w:val="FootnoteReference"/>
        </w:rPr>
        <w:footnoteRef/>
      </w:r>
      <w:r w:rsidRPr="000F6B6C">
        <w:t xml:space="preserve"> 81 FR 96391</w:t>
      </w:r>
    </w:p>
  </w:footnote>
  <w:footnote w:id="13">
    <w:p w14:paraId="61827988" w14:textId="77777777" w:rsidR="00D538EE" w:rsidRPr="000F6B6C" w:rsidRDefault="00D538EE" w:rsidP="00D538EE">
      <w:pPr>
        <w:pStyle w:val="FootnoteText"/>
      </w:pPr>
      <w:r w:rsidRPr="000F6B6C">
        <w:rPr>
          <w:rStyle w:val="FootnoteReference"/>
        </w:rPr>
        <w:footnoteRef/>
      </w:r>
      <w:r w:rsidRPr="000F6B6C">
        <w:rPr>
          <w:b/>
          <w:vertAlign w:val="superscript"/>
        </w:rPr>
        <w:t xml:space="preserve"> </w:t>
      </w:r>
      <w:r w:rsidRPr="000F6B6C">
        <w:t>The Commission staff anticipates that the average respondent for this collection is similarly situated to the Commission, in terms of salary plus benefits.  Based upon FERC’s 2016 annual average of $154,647 (for salary plus benefits), the average hourly cost is $74.50/hour.</w:t>
      </w:r>
    </w:p>
  </w:footnote>
  <w:footnote w:id="14">
    <w:p w14:paraId="657D39D6" w14:textId="77777777" w:rsidR="001B6EED" w:rsidRPr="000F6B6C" w:rsidRDefault="00F71E2A" w:rsidP="001B6EED">
      <w:pPr>
        <w:pStyle w:val="FootnoteText"/>
      </w:pPr>
      <w:r w:rsidRPr="000F6B6C">
        <w:t xml:space="preserve">7 </w:t>
      </w:r>
      <w:r w:rsidR="001B6EED" w:rsidRPr="000F6B6C">
        <w:t>Based upon FERC’s 2016 FTE average salary plus benefits ($154,647)</w:t>
      </w:r>
    </w:p>
  </w:footnote>
  <w:footnote w:id="15">
    <w:p w14:paraId="1020A202" w14:textId="77777777" w:rsidR="00F71E2A" w:rsidRPr="000F6B6C" w:rsidRDefault="00F71E2A" w:rsidP="00F71E2A">
      <w:pPr>
        <w:pStyle w:val="FootnoteText"/>
      </w:pPr>
      <w:r w:rsidRPr="000F6B6C">
        <w:rPr>
          <w:rStyle w:val="FootnoteReference"/>
        </w:rPr>
        <w:footnoteRef/>
      </w:r>
      <w:r w:rsidRPr="000F6B6C">
        <w:t xml:space="preserve"> In the November 20, 2015 Order Directing Reports issued in Docket No. AD14-14-000, the Commission noted that inflexible resources “are generally referred to as block-loaded fast-start resources.”  </w:t>
      </w:r>
      <w:r w:rsidRPr="000F6B6C">
        <w:rPr>
          <w:i/>
        </w:rPr>
        <w:t>Price Formation in Energy and Ancillary Services Markets Operated by Regional Transmission Organizations and Independent System Operators</w:t>
      </w:r>
      <w:r w:rsidRPr="000F6B6C">
        <w:t xml:space="preserve">, 153 FERC ¶ 61,221, at P 9 (2015) (Order Directing Reports).  The Commission also stated that </w:t>
      </w:r>
    </w:p>
    <w:p w14:paraId="4EF3E358" w14:textId="77777777" w:rsidR="00F71E2A" w:rsidRPr="000F6B6C" w:rsidRDefault="00F71E2A" w:rsidP="00F71E2A">
      <w:pPr>
        <w:pStyle w:val="FootnoteText"/>
        <w:ind w:left="1296" w:right="1296"/>
      </w:pPr>
      <w:r w:rsidRPr="000F6B6C">
        <w:t xml:space="preserve">[a]n inflexible resource generally refers to a resource that may not be able to physically operate much below its maximum output and therefore cannot be dispatched up or down.  For this reason, the energy supply offer parameters for these resources may stipulate that they be dispatched either to zero or to a minimum level that is at (or close to) their maximum output, but not in between.  </w:t>
      </w:r>
    </w:p>
    <w:p w14:paraId="7D657EC8" w14:textId="77777777" w:rsidR="00F71E2A" w:rsidRPr="000F6B6C" w:rsidRDefault="00F71E2A" w:rsidP="00F71E2A">
      <w:pPr>
        <w:pStyle w:val="FootnoteText"/>
      </w:pPr>
      <w:r w:rsidRPr="000F6B6C">
        <w:rPr>
          <w:i/>
        </w:rPr>
        <w:t xml:space="preserve">Id. </w:t>
      </w:r>
      <w:r w:rsidRPr="000F6B6C">
        <w:t xml:space="preserve">P 9 n.8.  The Commission further noted that “[a] block-loaded resource is a resource whose economic minimum operating limit is equal to its economic maximum output.”  </w:t>
      </w:r>
      <w:r w:rsidRPr="000F6B6C">
        <w:rPr>
          <w:i/>
        </w:rPr>
        <w:t xml:space="preserve">Id. </w:t>
      </w:r>
      <w:r w:rsidRPr="000F6B6C">
        <w:t>P 9 n.9.  While this NOPR seeks to address issues discussed in the Order Directing Reports and the subsequent reports and comments submitted in that docket, we do not limit terms used in this NOPR to the definitions provided in the Order Directing Reports.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0EBFC9" w14:textId="53A4D58F" w:rsidR="00BF5553" w:rsidRPr="00EE35C2" w:rsidRDefault="00EC4AD7">
    <w:pPr>
      <w:pStyle w:val="Header"/>
      <w:rPr>
        <w:rFonts w:ascii="Times New Roman" w:hAnsi="Times New Roman" w:cs="Times New Roman"/>
        <w:sz w:val="26"/>
        <w:szCs w:val="26"/>
      </w:rPr>
    </w:pPr>
    <w:r w:rsidRPr="00EE35C2">
      <w:rPr>
        <w:rFonts w:ascii="Times New Roman" w:hAnsi="Times New Roman" w:cs="Times New Roman"/>
        <w:sz w:val="26"/>
        <w:szCs w:val="26"/>
      </w:rPr>
      <w:t>FERC-516E (</w:t>
    </w:r>
    <w:r w:rsidR="00BF5553" w:rsidRPr="00EE35C2">
      <w:rPr>
        <w:rFonts w:ascii="Times New Roman" w:hAnsi="Times New Roman" w:cs="Times New Roman"/>
        <w:sz w:val="26"/>
        <w:szCs w:val="26"/>
      </w:rPr>
      <w:t>OMB Control N</w:t>
    </w:r>
    <w:r w:rsidRPr="00EE35C2">
      <w:rPr>
        <w:rFonts w:ascii="Times New Roman" w:hAnsi="Times New Roman" w:cs="Times New Roman"/>
        <w:sz w:val="26"/>
        <w:szCs w:val="26"/>
      </w:rPr>
      <w:t xml:space="preserve">o.: </w:t>
    </w:r>
    <w:r w:rsidR="00BF5553" w:rsidRPr="00EE35C2">
      <w:rPr>
        <w:rFonts w:ascii="Times New Roman" w:hAnsi="Times New Roman" w:cs="Times New Roman"/>
        <w:sz w:val="26"/>
        <w:szCs w:val="26"/>
      </w:rPr>
      <w:t>TBD)</w:t>
    </w:r>
  </w:p>
  <w:p w14:paraId="32E052A5" w14:textId="77777777" w:rsidR="00BF5553" w:rsidRPr="00EE35C2" w:rsidRDefault="00E56573">
    <w:pPr>
      <w:pStyle w:val="Header"/>
      <w:rPr>
        <w:rFonts w:ascii="Times New Roman" w:hAnsi="Times New Roman" w:cs="Times New Roman"/>
        <w:sz w:val="26"/>
        <w:szCs w:val="26"/>
      </w:rPr>
    </w:pPr>
    <w:r w:rsidRPr="00EE35C2">
      <w:rPr>
        <w:rFonts w:ascii="Times New Roman" w:hAnsi="Times New Roman" w:cs="Times New Roman"/>
        <w:sz w:val="26"/>
        <w:szCs w:val="26"/>
      </w:rPr>
      <w:t>Notice of Proposed Rulemaking</w:t>
    </w:r>
    <w:r w:rsidR="00EC4AD7" w:rsidRPr="00EE35C2">
      <w:rPr>
        <w:rFonts w:ascii="Times New Roman" w:hAnsi="Times New Roman" w:cs="Times New Roman"/>
        <w:sz w:val="26"/>
        <w:szCs w:val="26"/>
      </w:rPr>
      <w:t xml:space="preserve"> in </w:t>
    </w:r>
    <w:r w:rsidR="00BF5553" w:rsidRPr="00EE35C2">
      <w:rPr>
        <w:rFonts w:ascii="Times New Roman" w:hAnsi="Times New Roman" w:cs="Times New Roman"/>
        <w:sz w:val="26"/>
        <w:szCs w:val="26"/>
      </w:rPr>
      <w:t>Docket No. RM17-3</w:t>
    </w:r>
    <w:r w:rsidR="00EC4AD7" w:rsidRPr="00EE35C2">
      <w:rPr>
        <w:rFonts w:ascii="Times New Roman" w:hAnsi="Times New Roman" w:cs="Times New Roman"/>
        <w:sz w:val="26"/>
        <w:szCs w:val="26"/>
      </w:rPr>
      <w:t>,</w:t>
    </w:r>
    <w:r w:rsidR="005538E9" w:rsidRPr="00EE35C2">
      <w:rPr>
        <w:rFonts w:ascii="Times New Roman" w:hAnsi="Times New Roman" w:cs="Times New Roman"/>
        <w:sz w:val="26"/>
        <w:szCs w:val="26"/>
      </w:rPr>
      <w:t xml:space="preserve"> (issued 12/</w:t>
    </w:r>
    <w:r w:rsidR="00E13D66" w:rsidRPr="00EE35C2">
      <w:rPr>
        <w:rFonts w:ascii="Times New Roman" w:hAnsi="Times New Roman" w:cs="Times New Roman"/>
        <w:sz w:val="26"/>
        <w:szCs w:val="26"/>
      </w:rPr>
      <w:t>30</w:t>
    </w:r>
    <w:r w:rsidR="00BF5553" w:rsidRPr="00EE35C2">
      <w:rPr>
        <w:rFonts w:ascii="Times New Roman" w:hAnsi="Times New Roman" w:cs="Times New Roman"/>
        <w:sz w:val="26"/>
        <w:szCs w:val="26"/>
      </w:rPr>
      <w:t>/2016)</w:t>
    </w:r>
  </w:p>
  <w:p w14:paraId="62CF4880" w14:textId="77777777" w:rsidR="00BF5553" w:rsidRPr="00EE35C2" w:rsidRDefault="00BF5553">
    <w:pPr>
      <w:pStyle w:val="Header"/>
      <w:rPr>
        <w:rFonts w:ascii="Times New Roman" w:hAnsi="Times New Roman" w:cs="Times New Roman"/>
        <w:sz w:val="26"/>
        <w:szCs w:val="26"/>
      </w:rPr>
    </w:pPr>
    <w:r w:rsidRPr="00EE35C2">
      <w:rPr>
        <w:rFonts w:ascii="Times New Roman" w:hAnsi="Times New Roman" w:cs="Times New Roman"/>
        <w:sz w:val="26"/>
        <w:szCs w:val="26"/>
      </w:rPr>
      <w:t>RIN: 1902-AF32</w:t>
    </w:r>
  </w:p>
  <w:p w14:paraId="451D380F" w14:textId="77777777" w:rsidR="00BF5553" w:rsidRPr="00EE35C2" w:rsidRDefault="00BF5553">
    <w:pPr>
      <w:pStyle w:val="Header"/>
      <w:rPr>
        <w:rFonts w:ascii="Times New Roman" w:hAnsi="Times New Roman" w:cs="Times New Roman"/>
        <w:sz w:val="26"/>
        <w:szCs w:val="2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7E0A5A"/>
    <w:multiLevelType w:val="hybridMultilevel"/>
    <w:tmpl w:val="B7BEA8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156D43"/>
    <w:multiLevelType w:val="multilevel"/>
    <w:tmpl w:val="B140707E"/>
    <w:lvl w:ilvl="0">
      <w:start w:val="1"/>
      <w:numFmt w:val="decimal"/>
      <w:pStyle w:val="ListContinue"/>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2" w15:restartNumberingAfterBreak="0">
    <w:nsid w:val="4FCC1895"/>
    <w:multiLevelType w:val="hybridMultilevel"/>
    <w:tmpl w:val="632C2E0E"/>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15:restartNumberingAfterBreak="0">
    <w:nsid w:val="7ABD65AA"/>
    <w:multiLevelType w:val="hybridMultilevel"/>
    <w:tmpl w:val="38D253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E4E4DD3"/>
    <w:multiLevelType w:val="hybridMultilevel"/>
    <w:tmpl w:val="50CAE678"/>
    <w:lvl w:ilvl="0" w:tplc="D4323D40">
      <w:start w:val="1"/>
      <w:numFmt w:val="decimal"/>
      <w:pStyle w:val="FERCparanumber"/>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553"/>
    <w:rsid w:val="000072ED"/>
    <w:rsid w:val="000229B5"/>
    <w:rsid w:val="00046423"/>
    <w:rsid w:val="00057608"/>
    <w:rsid w:val="000B18A8"/>
    <w:rsid w:val="000F6B6C"/>
    <w:rsid w:val="00173CA3"/>
    <w:rsid w:val="001A6E74"/>
    <w:rsid w:val="001B6EED"/>
    <w:rsid w:val="001C3C29"/>
    <w:rsid w:val="001E70B5"/>
    <w:rsid w:val="00204C3D"/>
    <w:rsid w:val="002363F1"/>
    <w:rsid w:val="00242542"/>
    <w:rsid w:val="00280611"/>
    <w:rsid w:val="002E7681"/>
    <w:rsid w:val="003060FF"/>
    <w:rsid w:val="00343578"/>
    <w:rsid w:val="00365BDF"/>
    <w:rsid w:val="00386622"/>
    <w:rsid w:val="003B56A2"/>
    <w:rsid w:val="00407E73"/>
    <w:rsid w:val="0041177D"/>
    <w:rsid w:val="00417965"/>
    <w:rsid w:val="00421872"/>
    <w:rsid w:val="0047396C"/>
    <w:rsid w:val="00473FCB"/>
    <w:rsid w:val="004A5523"/>
    <w:rsid w:val="004C5CEE"/>
    <w:rsid w:val="004D145A"/>
    <w:rsid w:val="00514AF6"/>
    <w:rsid w:val="005538E9"/>
    <w:rsid w:val="006417BC"/>
    <w:rsid w:val="00642F3F"/>
    <w:rsid w:val="00656E46"/>
    <w:rsid w:val="00693696"/>
    <w:rsid w:val="006B1440"/>
    <w:rsid w:val="006C606F"/>
    <w:rsid w:val="006F7ECE"/>
    <w:rsid w:val="00707602"/>
    <w:rsid w:val="00713F87"/>
    <w:rsid w:val="00774CB7"/>
    <w:rsid w:val="007A3197"/>
    <w:rsid w:val="00896040"/>
    <w:rsid w:val="008A5A75"/>
    <w:rsid w:val="008E65FF"/>
    <w:rsid w:val="008E752C"/>
    <w:rsid w:val="00904932"/>
    <w:rsid w:val="009A4DB5"/>
    <w:rsid w:val="009C0D09"/>
    <w:rsid w:val="009D59B1"/>
    <w:rsid w:val="00A52761"/>
    <w:rsid w:val="00A66BDC"/>
    <w:rsid w:val="00A97BBA"/>
    <w:rsid w:val="00AB2236"/>
    <w:rsid w:val="00AB429A"/>
    <w:rsid w:val="00AF6531"/>
    <w:rsid w:val="00B07C11"/>
    <w:rsid w:val="00B153DD"/>
    <w:rsid w:val="00BA206F"/>
    <w:rsid w:val="00BC4031"/>
    <w:rsid w:val="00BD042F"/>
    <w:rsid w:val="00BE19FC"/>
    <w:rsid w:val="00BF5553"/>
    <w:rsid w:val="00BF5E2A"/>
    <w:rsid w:val="00C51D66"/>
    <w:rsid w:val="00C55144"/>
    <w:rsid w:val="00CB3EDA"/>
    <w:rsid w:val="00D30DFB"/>
    <w:rsid w:val="00D538EE"/>
    <w:rsid w:val="00D60055"/>
    <w:rsid w:val="00DB6E61"/>
    <w:rsid w:val="00E13D66"/>
    <w:rsid w:val="00E16616"/>
    <w:rsid w:val="00E22BAC"/>
    <w:rsid w:val="00E55058"/>
    <w:rsid w:val="00E56573"/>
    <w:rsid w:val="00E7648F"/>
    <w:rsid w:val="00EC4AD7"/>
    <w:rsid w:val="00EE35C2"/>
    <w:rsid w:val="00F1378B"/>
    <w:rsid w:val="00F2009B"/>
    <w:rsid w:val="00F42CE9"/>
    <w:rsid w:val="00F71E2A"/>
    <w:rsid w:val="00F8397E"/>
    <w:rsid w:val="00F951CF"/>
    <w:rsid w:val="00FA0FB6"/>
    <w:rsid w:val="00FC3751"/>
    <w:rsid w:val="00FF31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9190A8"/>
  <w15:chartTrackingRefBased/>
  <w15:docId w15:val="{BD62D3BD-2332-4BD1-9DDC-FDEFEA664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555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5553"/>
    <w:pPr>
      <w:ind w:left="720"/>
      <w:contextualSpacing/>
    </w:pPr>
  </w:style>
  <w:style w:type="character" w:styleId="FootnoteReference">
    <w:name w:val="footnote reference"/>
    <w:aliases w:val="o,fr,Style 17,o1,fr1,o2,fr2,o3,fr3,Style 13,Style 12,Style 15,Style 9,Style 18,(NECG) Footnote Reference,Style 20,Style 7,Style 8,Style 19,Style 28,Styl,Style 11,Style 16,Footnote Reference (EIS),fnr,Footnote reference (EA),Style 30"/>
    <w:uiPriority w:val="99"/>
    <w:qFormat/>
    <w:rsid w:val="00BF5553"/>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 Char,Char,fn1,fn3"/>
    <w:basedOn w:val="Normal"/>
    <w:link w:val="FootnoteTextChar1"/>
    <w:qFormat/>
    <w:rsid w:val="00BF5553"/>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uiPriority w:val="99"/>
    <w:semiHidden/>
    <w:rsid w:val="00BF5553"/>
    <w:rPr>
      <w:sz w:val="20"/>
      <w:szCs w:val="20"/>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fn1 Char"/>
    <w:link w:val="FootnoteText"/>
    <w:rsid w:val="00BF5553"/>
    <w:rPr>
      <w:rFonts w:ascii="Times New Roman" w:eastAsia="Times New Roman" w:hAnsi="Times New Roman" w:cs="Times New Roman"/>
      <w:sz w:val="20"/>
      <w:szCs w:val="20"/>
    </w:rPr>
  </w:style>
  <w:style w:type="character" w:styleId="Hyperlink">
    <w:name w:val="Hyperlink"/>
    <w:basedOn w:val="DefaultParagraphFont"/>
    <w:uiPriority w:val="99"/>
    <w:unhideWhenUsed/>
    <w:rsid w:val="00BF5553"/>
    <w:rPr>
      <w:color w:val="0563C1" w:themeColor="hyperlink"/>
      <w:u w:val="single"/>
    </w:rPr>
  </w:style>
  <w:style w:type="paragraph" w:styleId="Header">
    <w:name w:val="header"/>
    <w:basedOn w:val="Normal"/>
    <w:link w:val="HeaderChar"/>
    <w:uiPriority w:val="99"/>
    <w:unhideWhenUsed/>
    <w:rsid w:val="00BF55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5553"/>
  </w:style>
  <w:style w:type="paragraph" w:styleId="Footer">
    <w:name w:val="footer"/>
    <w:basedOn w:val="Normal"/>
    <w:link w:val="FooterChar"/>
    <w:uiPriority w:val="99"/>
    <w:unhideWhenUsed/>
    <w:rsid w:val="00BF55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5553"/>
  </w:style>
  <w:style w:type="paragraph" w:customStyle="1" w:styleId="FERCparanumber">
    <w:name w:val="FERC paranumber"/>
    <w:basedOn w:val="Normal"/>
    <w:qFormat/>
    <w:rsid w:val="00F951CF"/>
    <w:pPr>
      <w:numPr>
        <w:numId w:val="2"/>
      </w:numPr>
      <w:autoSpaceDE w:val="0"/>
      <w:autoSpaceDN w:val="0"/>
      <w:adjustRightInd w:val="0"/>
      <w:spacing w:after="240" w:line="240" w:lineRule="auto"/>
    </w:pPr>
    <w:rPr>
      <w:rFonts w:ascii="Times New Roman" w:eastAsia="Times New Roman" w:hAnsi="Times New Roman" w:cs="Times New Roman"/>
      <w:sz w:val="26"/>
      <w:szCs w:val="24"/>
    </w:rPr>
  </w:style>
  <w:style w:type="character" w:styleId="CommentReference">
    <w:name w:val="annotation reference"/>
    <w:basedOn w:val="DefaultParagraphFont"/>
    <w:uiPriority w:val="99"/>
    <w:semiHidden/>
    <w:unhideWhenUsed/>
    <w:rsid w:val="001B6EED"/>
    <w:rPr>
      <w:sz w:val="16"/>
      <w:szCs w:val="16"/>
    </w:rPr>
  </w:style>
  <w:style w:type="paragraph" w:styleId="CommentText">
    <w:name w:val="annotation text"/>
    <w:basedOn w:val="Normal"/>
    <w:link w:val="CommentTextChar"/>
    <w:uiPriority w:val="99"/>
    <w:semiHidden/>
    <w:unhideWhenUsed/>
    <w:rsid w:val="001B6EED"/>
    <w:pPr>
      <w:spacing w:line="240" w:lineRule="auto"/>
    </w:pPr>
    <w:rPr>
      <w:sz w:val="20"/>
      <w:szCs w:val="20"/>
    </w:rPr>
  </w:style>
  <w:style w:type="character" w:customStyle="1" w:styleId="CommentTextChar">
    <w:name w:val="Comment Text Char"/>
    <w:basedOn w:val="DefaultParagraphFont"/>
    <w:link w:val="CommentText"/>
    <w:uiPriority w:val="99"/>
    <w:semiHidden/>
    <w:rsid w:val="001B6EED"/>
    <w:rPr>
      <w:sz w:val="20"/>
      <w:szCs w:val="20"/>
    </w:rPr>
  </w:style>
  <w:style w:type="paragraph" w:styleId="BalloonText">
    <w:name w:val="Balloon Text"/>
    <w:basedOn w:val="Normal"/>
    <w:link w:val="BalloonTextChar"/>
    <w:uiPriority w:val="99"/>
    <w:semiHidden/>
    <w:unhideWhenUsed/>
    <w:rsid w:val="001B6E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6EED"/>
    <w:rPr>
      <w:rFonts w:ascii="Segoe UI" w:hAnsi="Segoe UI" w:cs="Segoe UI"/>
      <w:sz w:val="18"/>
      <w:szCs w:val="18"/>
    </w:rPr>
  </w:style>
  <w:style w:type="paragraph" w:styleId="ListContinue">
    <w:name w:val="List Continue"/>
    <w:basedOn w:val="Normal"/>
    <w:rsid w:val="00E16616"/>
    <w:pPr>
      <w:numPr>
        <w:numId w:val="4"/>
      </w:numPr>
      <w:spacing w:after="120" w:line="480" w:lineRule="auto"/>
    </w:pPr>
    <w:rPr>
      <w:rFonts w:ascii="Times New Roman" w:eastAsia="Times New Roman" w:hAnsi="Times New Roman" w:cs="Times New Roman"/>
      <w:sz w:val="26"/>
      <w:szCs w:val="24"/>
    </w:rPr>
  </w:style>
  <w:style w:type="paragraph" w:styleId="CommentSubject">
    <w:name w:val="annotation subject"/>
    <w:basedOn w:val="CommentText"/>
    <w:next w:val="CommentText"/>
    <w:link w:val="CommentSubjectChar"/>
    <w:uiPriority w:val="99"/>
    <w:semiHidden/>
    <w:unhideWhenUsed/>
    <w:rsid w:val="00896040"/>
    <w:rPr>
      <w:b/>
      <w:bCs/>
    </w:rPr>
  </w:style>
  <w:style w:type="character" w:customStyle="1" w:styleId="CommentSubjectChar">
    <w:name w:val="Comment Subject Char"/>
    <w:basedOn w:val="CommentTextChar"/>
    <w:link w:val="CommentSubject"/>
    <w:uiPriority w:val="99"/>
    <w:semiHidden/>
    <w:rsid w:val="00896040"/>
    <w:rPr>
      <w:b/>
      <w:bCs/>
      <w:sz w:val="20"/>
      <w:szCs w:val="20"/>
    </w:rPr>
  </w:style>
  <w:style w:type="character" w:styleId="FollowedHyperlink">
    <w:name w:val="FollowedHyperlink"/>
    <w:basedOn w:val="DefaultParagraphFont"/>
    <w:uiPriority w:val="99"/>
    <w:semiHidden/>
    <w:unhideWhenUsed/>
    <w:rsid w:val="002E768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erc.gov/docs-filing/info-collections.as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elibrary.ferc.gov/idmws/doc_info.asp?document_id=145216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2FDB84-087B-4C4E-A706-998F4836D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2303</Words>
  <Characters>13130</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FERC</Company>
  <LinksUpToDate>false</LinksUpToDate>
  <CharactersWithSpaces>15403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Chambers</dc:creator>
  <cp:keywords/>
  <dc:description/>
  <cp:lastModifiedBy>Michele Chambers</cp:lastModifiedBy>
  <cp:revision>2</cp:revision>
  <dcterms:created xsi:type="dcterms:W3CDTF">2017-02-27T12:26:00Z</dcterms:created>
  <dcterms:modified xsi:type="dcterms:W3CDTF">2017-02-27T12:26:00Z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1420915872</vt:i4>
  </property>
  <property fmtid="{D5CDD505-2E9C-101B-9397-08002B2CF9AE}" pid="3" name="_NewReviewCycle">
    <vt:lpwstr/>
  </property>
  <property fmtid="{D5CDD505-2E9C-101B-9397-08002B2CF9AE}" pid="4" name="_EmailSubject">
    <vt:lpwstr>Completed RM17-3 in ROCIS</vt:lpwstr>
  </property>
  <property fmtid="{D5CDD505-2E9C-101B-9397-08002B2CF9AE}" pid="5" name="_AuthorEmail">
    <vt:lpwstr>Anthony.May@ferc.gov</vt:lpwstr>
  </property>
  <property fmtid="{D5CDD505-2E9C-101B-9397-08002B2CF9AE}" pid="6" name="_AuthorEmailDisplayName">
    <vt:lpwstr>Anthony May</vt:lpwstr>
  </property>
  <property fmtid="{D5CDD505-2E9C-101B-9397-08002B2CF9AE}" pid="7" name="_ReviewingToolsShownOnce">
    <vt:lpwstr/>
  </property>
</Properties>
</file>