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7E0AC4DF"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617C53">
        <w:rPr>
          <w:rFonts w:ascii="Arial" w:hAnsi="Arial" w:cs="Arial"/>
          <w:b/>
          <w:sz w:val="22"/>
          <w:szCs w:val="22"/>
        </w:rPr>
        <w:t>038</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7E2F8B5B" w14:textId="77777777" w:rsidR="00617C53"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p>
    <w:p w14:paraId="49A43931" w14:textId="77777777" w:rsidR="00617C53" w:rsidRDefault="00617C53" w:rsidP="004806AE">
      <w:pPr>
        <w:rPr>
          <w:rFonts w:ascii="Arial" w:hAnsi="Arial" w:cs="Arial"/>
          <w:sz w:val="22"/>
          <w:szCs w:val="22"/>
        </w:rPr>
      </w:pPr>
    </w:p>
    <w:p w14:paraId="293CAEAD" w14:textId="5FFB6FEF" w:rsidR="007A7208" w:rsidRDefault="00617C53" w:rsidP="00617C53">
      <w:pPr>
        <w:rPr>
          <w:rFonts w:ascii="Arial" w:hAnsi="Arial" w:cs="Arial"/>
          <w:sz w:val="22"/>
          <w:szCs w:val="22"/>
        </w:rPr>
      </w:pPr>
      <w:r w:rsidRPr="00617C53">
        <w:rPr>
          <w:rFonts w:ascii="Arial" w:hAnsi="Arial" w:cs="Arial"/>
          <w:sz w:val="22"/>
          <w:szCs w:val="22"/>
        </w:rPr>
        <w:t>Application to Receive Spirits and/or Denatured Spirits by Transfer in Bond</w:t>
      </w:r>
      <w:r>
        <w:rPr>
          <w:rFonts w:ascii="Arial" w:hAnsi="Arial" w:cs="Arial"/>
          <w:sz w:val="22"/>
          <w:szCs w:val="22"/>
        </w:rPr>
        <w:t xml:space="preserve">. </w:t>
      </w:r>
    </w:p>
    <w:p w14:paraId="2FC0E2F1" w14:textId="77777777" w:rsidR="00401753" w:rsidRDefault="00401753" w:rsidP="000E68C5">
      <w:pPr>
        <w:rPr>
          <w:rFonts w:ascii="Arial" w:hAnsi="Arial" w:cs="Arial"/>
          <w:sz w:val="22"/>
          <w:szCs w:val="22"/>
        </w:rPr>
      </w:pPr>
    </w:p>
    <w:p w14:paraId="7F8CB730" w14:textId="77777777" w:rsidR="00617C53" w:rsidRPr="007A7208" w:rsidRDefault="00617C53" w:rsidP="000E68C5">
      <w:pPr>
        <w:rPr>
          <w:rFonts w:ascii="Arial" w:hAnsi="Arial" w:cs="Arial"/>
          <w:sz w:val="22"/>
          <w:szCs w:val="22"/>
        </w:rPr>
      </w:pPr>
    </w:p>
    <w:p w14:paraId="5F4947FE" w14:textId="77777777"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r w:rsidR="00D36A5E">
        <w:rPr>
          <w:rFonts w:ascii="Arial" w:hAnsi="Arial" w:cs="Arial"/>
          <w:sz w:val="22"/>
          <w:szCs w:val="22"/>
        </w:rPr>
        <w:t xml:space="preserve"> </w:t>
      </w:r>
    </w:p>
    <w:p w14:paraId="3D46794E" w14:textId="2B0DF706" w:rsidR="00AF1157" w:rsidRDefault="00AF1157" w:rsidP="00617C53">
      <w:pPr>
        <w:rPr>
          <w:rFonts w:ascii="Arial" w:hAnsi="Arial" w:cs="Arial"/>
          <w:sz w:val="22"/>
          <w:szCs w:val="22"/>
        </w:rPr>
      </w:pPr>
    </w:p>
    <w:p w14:paraId="0DEAC1EC" w14:textId="1D5C78A3" w:rsidR="00617C53" w:rsidRDefault="00617C53" w:rsidP="00617C53">
      <w:pPr>
        <w:rPr>
          <w:rFonts w:ascii="Arial" w:hAnsi="Arial" w:cs="Arial"/>
          <w:sz w:val="22"/>
          <w:szCs w:val="22"/>
        </w:rPr>
      </w:pPr>
      <w:r w:rsidRPr="00617C53">
        <w:rPr>
          <w:rFonts w:ascii="Arial" w:hAnsi="Arial" w:cs="Arial"/>
          <w:sz w:val="22"/>
          <w:szCs w:val="22"/>
        </w:rPr>
        <w:t xml:space="preserve">TTB F 5100.16 </w:t>
      </w:r>
      <w:r>
        <w:rPr>
          <w:rFonts w:ascii="Arial" w:hAnsi="Arial" w:cs="Arial"/>
          <w:sz w:val="22"/>
          <w:szCs w:val="22"/>
        </w:rPr>
        <w:t>—</w:t>
      </w:r>
      <w:r w:rsidRPr="00617C53">
        <w:rPr>
          <w:rFonts w:ascii="Arial" w:hAnsi="Arial" w:cs="Arial"/>
          <w:sz w:val="22"/>
          <w:szCs w:val="22"/>
        </w:rPr>
        <w:t xml:space="preserve"> Application to Receive Spirits and/or Denatured Spirits by Transfer in </w:t>
      </w:r>
      <w:r>
        <w:rPr>
          <w:rFonts w:ascii="Arial" w:hAnsi="Arial" w:cs="Arial"/>
          <w:sz w:val="22"/>
          <w:szCs w:val="22"/>
        </w:rPr>
        <w:t>B</w:t>
      </w:r>
      <w:r w:rsidRPr="00617C53">
        <w:rPr>
          <w:rFonts w:ascii="Arial" w:hAnsi="Arial" w:cs="Arial"/>
          <w:sz w:val="22"/>
          <w:szCs w:val="22"/>
        </w:rPr>
        <w:t>ond</w:t>
      </w:r>
      <w:r>
        <w:rPr>
          <w:rFonts w:ascii="Arial" w:hAnsi="Arial" w:cs="Arial"/>
          <w:sz w:val="22"/>
          <w:szCs w:val="22"/>
        </w:rPr>
        <w:t xml:space="preserv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55EB9DD5" w14:textId="77777777" w:rsidR="009C1819" w:rsidRDefault="009C1819" w:rsidP="00332CD8">
      <w:pPr>
        <w:ind w:left="360"/>
        <w:rPr>
          <w:rFonts w:ascii="Arial" w:hAnsi="Arial" w:cs="Arial"/>
          <w:sz w:val="22"/>
          <w:szCs w:val="22"/>
        </w:rPr>
      </w:pPr>
    </w:p>
    <w:p w14:paraId="4B12E119" w14:textId="33BBD2A3" w:rsidR="009C1819" w:rsidRPr="00987432" w:rsidRDefault="009C1819" w:rsidP="00332CD8">
      <w:pPr>
        <w:ind w:left="360"/>
        <w:rPr>
          <w:rFonts w:ascii="Arial" w:hAnsi="Arial" w:cs="Arial"/>
          <w:sz w:val="22"/>
          <w:szCs w:val="22"/>
        </w:rPr>
      </w:pPr>
      <w:r w:rsidRPr="00A44D03">
        <w:rPr>
          <w:rFonts w:ascii="Arial" w:hAnsi="Arial" w:cs="Arial"/>
          <w:sz w:val="22"/>
          <w:szCs w:val="22"/>
        </w:rPr>
        <w:t>On December 18, 2015, the President signed into law the Consolidated Appropriations Act, 2016 (Public Law 114</w:t>
      </w:r>
      <w:r>
        <w:rPr>
          <w:rFonts w:ascii="Arial" w:hAnsi="Arial" w:cs="Arial"/>
          <w:sz w:val="22"/>
          <w:szCs w:val="22"/>
        </w:rPr>
        <w:t>–</w:t>
      </w:r>
      <w:r w:rsidRPr="00A44D03">
        <w:rPr>
          <w:rFonts w:ascii="Arial" w:hAnsi="Arial" w:cs="Arial"/>
          <w:sz w:val="22"/>
          <w:szCs w:val="22"/>
        </w:rPr>
        <w:t>113).  Division Q of this Act is titled the Protecting Americans from Tax Hikes Act of 2015 (PATH Act).  Section 332 of the PATH Act amends the IRC to change tax return due dates and remove bond requirements for certain taxpayers with respect to the taxes on distilled spirits, wine, and beer.</w:t>
      </w:r>
      <w:r>
        <w:rPr>
          <w:rFonts w:ascii="Arial" w:hAnsi="Arial" w:cs="Arial"/>
          <w:sz w:val="22"/>
          <w:szCs w:val="22"/>
        </w:rPr>
        <w:t xml:space="preserve">  This law includes amendments to the IRC at 26 U.S.C. 5061(d</w:t>
      </w:r>
      <w:proofErr w:type="gramStart"/>
      <w:r>
        <w:rPr>
          <w:rFonts w:ascii="Arial" w:hAnsi="Arial" w:cs="Arial"/>
          <w:sz w:val="22"/>
          <w:szCs w:val="22"/>
        </w:rPr>
        <w:t>)(</w:t>
      </w:r>
      <w:proofErr w:type="gramEnd"/>
      <w:r>
        <w:rPr>
          <w:rFonts w:ascii="Arial" w:hAnsi="Arial" w:cs="Arial"/>
          <w:sz w:val="22"/>
          <w:szCs w:val="22"/>
        </w:rPr>
        <w:t>4) (providing for a new annual tax return period) and 26 U.S.C. 5551(d) (providing for a new exemption from bond requirements).  This law has an effective date of January 1, 2017.</w:t>
      </w:r>
    </w:p>
    <w:p w14:paraId="14A842CA" w14:textId="77777777" w:rsidR="00332CD8" w:rsidRDefault="00332CD8" w:rsidP="000E68C5">
      <w:pPr>
        <w:ind w:left="360"/>
        <w:rPr>
          <w:rFonts w:ascii="Arial" w:hAnsi="Arial" w:cs="Arial"/>
          <w:sz w:val="22"/>
          <w:szCs w:val="22"/>
        </w:rPr>
      </w:pPr>
    </w:p>
    <w:p w14:paraId="1619B770" w14:textId="601A8392" w:rsidR="00617C53" w:rsidRDefault="00222FB2" w:rsidP="001B64E5">
      <w:pPr>
        <w:ind w:left="360"/>
        <w:rPr>
          <w:rFonts w:ascii="Arial" w:hAnsi="Arial" w:cs="Arial"/>
          <w:sz w:val="22"/>
          <w:szCs w:val="22"/>
        </w:rPr>
      </w:pPr>
      <w:r w:rsidRPr="00222FB2">
        <w:rPr>
          <w:rFonts w:ascii="Arial" w:hAnsi="Arial" w:cs="Arial"/>
          <w:sz w:val="22"/>
          <w:szCs w:val="22"/>
        </w:rPr>
        <w:t>In general, the IRC at 26 U.S.C. 5001 imposes a Federal excise tax of $13.50 per gallon on distilled spirits produced in the United States, a tax rate far exceeding the spirits’ production costs.  To safeguard this revenue</w:t>
      </w:r>
      <w:r w:rsidR="006E6C93">
        <w:rPr>
          <w:rFonts w:ascii="Arial" w:hAnsi="Arial" w:cs="Arial"/>
          <w:sz w:val="22"/>
          <w:szCs w:val="22"/>
        </w:rPr>
        <w:t xml:space="preserve"> when </w:t>
      </w:r>
      <w:r w:rsidR="00741583">
        <w:rPr>
          <w:rFonts w:ascii="Arial" w:hAnsi="Arial" w:cs="Arial"/>
          <w:sz w:val="22"/>
          <w:szCs w:val="22"/>
        </w:rPr>
        <w:t>non-</w:t>
      </w:r>
      <w:proofErr w:type="spellStart"/>
      <w:r w:rsidR="00741583">
        <w:rPr>
          <w:rFonts w:ascii="Arial" w:hAnsi="Arial" w:cs="Arial"/>
          <w:sz w:val="22"/>
          <w:szCs w:val="22"/>
        </w:rPr>
        <w:t>taxpaid</w:t>
      </w:r>
      <w:proofErr w:type="spellEnd"/>
      <w:r w:rsidR="00741583">
        <w:rPr>
          <w:rFonts w:ascii="Arial" w:hAnsi="Arial" w:cs="Arial"/>
          <w:sz w:val="22"/>
          <w:szCs w:val="22"/>
        </w:rPr>
        <w:t xml:space="preserve"> </w:t>
      </w:r>
      <w:r w:rsidR="006E6C93">
        <w:rPr>
          <w:rFonts w:ascii="Arial" w:hAnsi="Arial" w:cs="Arial"/>
          <w:sz w:val="22"/>
          <w:szCs w:val="22"/>
        </w:rPr>
        <w:t xml:space="preserve">distilled spirits are transferred </w:t>
      </w:r>
      <w:r w:rsidR="00741583">
        <w:rPr>
          <w:rFonts w:ascii="Arial" w:hAnsi="Arial" w:cs="Arial"/>
          <w:sz w:val="22"/>
          <w:szCs w:val="22"/>
        </w:rPr>
        <w:t>fr</w:t>
      </w:r>
      <w:r w:rsidR="006E6C93">
        <w:rPr>
          <w:rFonts w:ascii="Arial" w:hAnsi="Arial" w:cs="Arial"/>
          <w:sz w:val="22"/>
          <w:szCs w:val="22"/>
        </w:rPr>
        <w:t xml:space="preserve">om </w:t>
      </w:r>
      <w:r w:rsidR="00741583">
        <w:rPr>
          <w:rFonts w:ascii="Arial" w:hAnsi="Arial" w:cs="Arial"/>
          <w:sz w:val="22"/>
          <w:szCs w:val="22"/>
        </w:rPr>
        <w:t xml:space="preserve">the premises of </w:t>
      </w:r>
      <w:r w:rsidR="006E6C93">
        <w:rPr>
          <w:rFonts w:ascii="Arial" w:hAnsi="Arial" w:cs="Arial"/>
          <w:sz w:val="22"/>
          <w:szCs w:val="22"/>
        </w:rPr>
        <w:t xml:space="preserve">one distilled spirits plant </w:t>
      </w:r>
      <w:r w:rsidR="00741583">
        <w:rPr>
          <w:rFonts w:ascii="Arial" w:hAnsi="Arial" w:cs="Arial"/>
          <w:sz w:val="22"/>
          <w:szCs w:val="22"/>
        </w:rPr>
        <w:t xml:space="preserve">(DSP) </w:t>
      </w:r>
      <w:r w:rsidR="006E6C93">
        <w:rPr>
          <w:rFonts w:ascii="Arial" w:hAnsi="Arial" w:cs="Arial"/>
          <w:sz w:val="22"/>
          <w:szCs w:val="22"/>
        </w:rPr>
        <w:t xml:space="preserve">to another, the IRC at 26 U.S.C. 5005(c) provides that the tax liability for in-transit spirits falls upon the proprietor of the </w:t>
      </w:r>
      <w:r w:rsidR="00741583">
        <w:rPr>
          <w:rFonts w:ascii="Arial" w:hAnsi="Arial" w:cs="Arial"/>
          <w:sz w:val="22"/>
          <w:szCs w:val="22"/>
        </w:rPr>
        <w:t xml:space="preserve">DSP </w:t>
      </w:r>
      <w:r w:rsidR="006E6C93">
        <w:rPr>
          <w:rFonts w:ascii="Arial" w:hAnsi="Arial" w:cs="Arial"/>
          <w:sz w:val="22"/>
          <w:szCs w:val="22"/>
        </w:rPr>
        <w:t xml:space="preserve">to which the spirits are being transferred, “pursuant to application made by him.” </w:t>
      </w:r>
    </w:p>
    <w:p w14:paraId="4315AFAF" w14:textId="77777777" w:rsidR="006E6C93" w:rsidRDefault="006E6C93" w:rsidP="001B64E5">
      <w:pPr>
        <w:ind w:left="360"/>
        <w:rPr>
          <w:rFonts w:ascii="Arial" w:hAnsi="Arial" w:cs="Arial"/>
          <w:sz w:val="22"/>
          <w:szCs w:val="22"/>
        </w:rPr>
      </w:pPr>
    </w:p>
    <w:p w14:paraId="23057613" w14:textId="498C811E" w:rsidR="003830F1" w:rsidRPr="00163299" w:rsidRDefault="00D87833" w:rsidP="003830F1">
      <w:pPr>
        <w:ind w:left="360"/>
        <w:rPr>
          <w:rFonts w:ascii="Arial" w:hAnsi="Arial" w:cs="Arial"/>
          <w:sz w:val="22"/>
          <w:szCs w:val="22"/>
        </w:rPr>
      </w:pPr>
      <w:r>
        <w:rPr>
          <w:rFonts w:ascii="Arial" w:hAnsi="Arial" w:cs="Arial"/>
          <w:sz w:val="22"/>
          <w:szCs w:val="22"/>
        </w:rPr>
        <w:t>Therefore, under th</w:t>
      </w:r>
      <w:r w:rsidR="003830F1">
        <w:rPr>
          <w:rFonts w:ascii="Arial" w:hAnsi="Arial" w:cs="Arial"/>
          <w:sz w:val="22"/>
          <w:szCs w:val="22"/>
        </w:rPr>
        <w:t>e</w:t>
      </w:r>
      <w:r>
        <w:rPr>
          <w:rFonts w:ascii="Arial" w:hAnsi="Arial" w:cs="Arial"/>
          <w:sz w:val="22"/>
          <w:szCs w:val="22"/>
        </w:rPr>
        <w:t xml:space="preserve"> statutory requirement</w:t>
      </w:r>
      <w:r w:rsidR="003830F1">
        <w:rPr>
          <w:rFonts w:ascii="Arial" w:hAnsi="Arial" w:cs="Arial"/>
          <w:sz w:val="22"/>
          <w:szCs w:val="22"/>
        </w:rPr>
        <w:t xml:space="preserve"> to make application to receive transferred spirits in bond</w:t>
      </w:r>
      <w:r>
        <w:rPr>
          <w:rFonts w:ascii="Arial" w:hAnsi="Arial" w:cs="Arial"/>
          <w:sz w:val="22"/>
          <w:szCs w:val="22"/>
        </w:rPr>
        <w:t xml:space="preserve">, </w:t>
      </w:r>
      <w:r w:rsidR="00741583">
        <w:rPr>
          <w:rFonts w:ascii="Arial" w:hAnsi="Arial" w:cs="Arial"/>
          <w:sz w:val="22"/>
          <w:szCs w:val="22"/>
        </w:rPr>
        <w:t xml:space="preserve">when a proprietor of a DSP or an alcohol fuel plant (AFP; a type of DSP) desires to </w:t>
      </w:r>
      <w:r w:rsidR="00741583">
        <w:rPr>
          <w:rFonts w:ascii="Arial" w:hAnsi="Arial" w:cs="Arial"/>
          <w:sz w:val="22"/>
          <w:szCs w:val="22"/>
        </w:rPr>
        <w:lastRenderedPageBreak/>
        <w:t>have spirits or denatured spirits transferred to their plant from another domestic plant, the TTB regulations require th</w:t>
      </w:r>
      <w:r w:rsidR="00885A74">
        <w:rPr>
          <w:rFonts w:ascii="Arial" w:hAnsi="Arial" w:cs="Arial"/>
          <w:sz w:val="22"/>
          <w:szCs w:val="22"/>
        </w:rPr>
        <w:t>at</w:t>
      </w:r>
      <w:r w:rsidR="00741583">
        <w:rPr>
          <w:rFonts w:ascii="Arial" w:hAnsi="Arial" w:cs="Arial"/>
          <w:sz w:val="22"/>
          <w:szCs w:val="22"/>
        </w:rPr>
        <w:t xml:space="preserve"> proprietor to file an application for the transfer on TTB F 5110.16, Application to Receive Spirits and/or Denatured Spirits by Transfer in Bond.  </w:t>
      </w:r>
      <w:r w:rsidR="003830F1">
        <w:rPr>
          <w:rFonts w:ascii="Arial" w:hAnsi="Arial" w:cs="Arial"/>
          <w:sz w:val="22"/>
          <w:szCs w:val="22"/>
        </w:rPr>
        <w:t xml:space="preserve">TTB must approve the application before the </w:t>
      </w:r>
      <w:r w:rsidR="003830F1" w:rsidRPr="00163299">
        <w:rPr>
          <w:rFonts w:ascii="Arial" w:hAnsi="Arial" w:cs="Arial"/>
          <w:sz w:val="22"/>
          <w:szCs w:val="22"/>
        </w:rPr>
        <w:t xml:space="preserve">transfer may occur.  This form notifies TTB that a DSP or AFP intends to receive spirits in bond and allows TTB to ensure that the receiving plant has adequate bond coverage. </w:t>
      </w:r>
    </w:p>
    <w:p w14:paraId="57D4BF69" w14:textId="77777777" w:rsidR="003830F1" w:rsidRPr="00163299" w:rsidRDefault="003830F1" w:rsidP="001B64E5">
      <w:pPr>
        <w:ind w:left="360"/>
        <w:rPr>
          <w:rFonts w:ascii="Arial" w:hAnsi="Arial" w:cs="Arial"/>
          <w:sz w:val="22"/>
          <w:szCs w:val="22"/>
        </w:rPr>
      </w:pPr>
    </w:p>
    <w:p w14:paraId="53DF84B5" w14:textId="77777777" w:rsidR="009C1819" w:rsidRDefault="00741583" w:rsidP="001B64E5">
      <w:pPr>
        <w:ind w:left="360"/>
        <w:rPr>
          <w:rFonts w:ascii="Arial" w:hAnsi="Arial" w:cs="Arial"/>
          <w:sz w:val="22"/>
          <w:szCs w:val="22"/>
        </w:rPr>
      </w:pPr>
      <w:r>
        <w:rPr>
          <w:rFonts w:ascii="Arial" w:hAnsi="Arial" w:cs="Arial"/>
          <w:sz w:val="22"/>
          <w:szCs w:val="22"/>
        </w:rPr>
        <w:t xml:space="preserve">The </w:t>
      </w:r>
      <w:r w:rsidR="003830F1">
        <w:rPr>
          <w:rFonts w:ascii="Arial" w:hAnsi="Arial" w:cs="Arial"/>
          <w:sz w:val="22"/>
          <w:szCs w:val="22"/>
        </w:rPr>
        <w:t xml:space="preserve">specific </w:t>
      </w:r>
      <w:r w:rsidR="00D87833">
        <w:rPr>
          <w:rFonts w:ascii="Arial" w:hAnsi="Arial" w:cs="Arial"/>
          <w:sz w:val="22"/>
          <w:szCs w:val="22"/>
        </w:rPr>
        <w:t xml:space="preserve">TTB </w:t>
      </w:r>
      <w:r>
        <w:rPr>
          <w:rFonts w:ascii="Arial" w:hAnsi="Arial" w:cs="Arial"/>
          <w:sz w:val="22"/>
          <w:szCs w:val="22"/>
        </w:rPr>
        <w:t xml:space="preserve">regulations </w:t>
      </w:r>
      <w:r w:rsidR="00C56315">
        <w:rPr>
          <w:rFonts w:ascii="Arial" w:hAnsi="Arial" w:cs="Arial"/>
          <w:sz w:val="22"/>
          <w:szCs w:val="22"/>
        </w:rPr>
        <w:t xml:space="preserve">requiring </w:t>
      </w:r>
      <w:r w:rsidR="00D87833">
        <w:rPr>
          <w:rFonts w:ascii="Arial" w:hAnsi="Arial" w:cs="Arial"/>
          <w:sz w:val="22"/>
          <w:szCs w:val="22"/>
        </w:rPr>
        <w:t xml:space="preserve">or regarding </w:t>
      </w:r>
      <w:r w:rsidR="00C56315">
        <w:rPr>
          <w:rFonts w:ascii="Arial" w:hAnsi="Arial" w:cs="Arial"/>
          <w:sz w:val="22"/>
          <w:szCs w:val="22"/>
        </w:rPr>
        <w:t>the use of</w:t>
      </w:r>
      <w:r w:rsidR="00D87833">
        <w:rPr>
          <w:rFonts w:ascii="Arial" w:hAnsi="Arial" w:cs="Arial"/>
          <w:sz w:val="22"/>
          <w:szCs w:val="22"/>
        </w:rPr>
        <w:t xml:space="preserve"> </w:t>
      </w:r>
      <w:r w:rsidR="00C56315">
        <w:rPr>
          <w:rFonts w:ascii="Arial" w:hAnsi="Arial" w:cs="Arial"/>
          <w:sz w:val="22"/>
          <w:szCs w:val="22"/>
        </w:rPr>
        <w:t xml:space="preserve">TTB F 5110.16 </w:t>
      </w:r>
      <w:r>
        <w:rPr>
          <w:rFonts w:ascii="Arial" w:hAnsi="Arial" w:cs="Arial"/>
          <w:sz w:val="22"/>
          <w:szCs w:val="22"/>
        </w:rPr>
        <w:t>are found in 27 CFR Part</w:t>
      </w:r>
      <w:r w:rsidR="00D87833">
        <w:rPr>
          <w:rFonts w:ascii="Arial" w:hAnsi="Arial" w:cs="Arial"/>
          <w:sz w:val="22"/>
          <w:szCs w:val="22"/>
        </w:rPr>
        <w:t> </w:t>
      </w:r>
      <w:r>
        <w:rPr>
          <w:rFonts w:ascii="Arial" w:hAnsi="Arial" w:cs="Arial"/>
          <w:sz w:val="22"/>
          <w:szCs w:val="22"/>
        </w:rPr>
        <w:t>19, Distilled Spirits Plants, at</w:t>
      </w:r>
      <w:r w:rsidR="00C56315">
        <w:rPr>
          <w:rFonts w:ascii="Arial" w:hAnsi="Arial" w:cs="Arial"/>
          <w:sz w:val="22"/>
          <w:szCs w:val="22"/>
        </w:rPr>
        <w:t xml:space="preserve"> §§ 19.403</w:t>
      </w:r>
      <w:r w:rsidR="00D87833">
        <w:rPr>
          <w:rFonts w:ascii="Arial" w:hAnsi="Arial" w:cs="Arial"/>
          <w:sz w:val="22"/>
          <w:szCs w:val="22"/>
        </w:rPr>
        <w:t xml:space="preserve">–407 and §§ 19.733–739. </w:t>
      </w:r>
      <w:r w:rsidR="009C1819">
        <w:rPr>
          <w:rFonts w:ascii="Arial" w:hAnsi="Arial" w:cs="Arial"/>
          <w:sz w:val="22"/>
          <w:szCs w:val="22"/>
        </w:rPr>
        <w:t xml:space="preserve"> </w:t>
      </w:r>
    </w:p>
    <w:p w14:paraId="43AB6537" w14:textId="77777777" w:rsidR="009C1819" w:rsidRDefault="009C1819" w:rsidP="001B64E5">
      <w:pPr>
        <w:ind w:left="360"/>
        <w:rPr>
          <w:rFonts w:ascii="Arial" w:hAnsi="Arial" w:cs="Arial"/>
          <w:sz w:val="22"/>
          <w:szCs w:val="22"/>
        </w:rPr>
      </w:pPr>
    </w:p>
    <w:p w14:paraId="32317B6B" w14:textId="74011107" w:rsidR="00222FB2" w:rsidRDefault="009C1819" w:rsidP="001B64E5">
      <w:pPr>
        <w:ind w:left="360"/>
        <w:rPr>
          <w:rFonts w:ascii="Arial" w:hAnsi="Arial" w:cs="Arial"/>
          <w:sz w:val="22"/>
          <w:szCs w:val="22"/>
        </w:rPr>
      </w:pPr>
      <w:r>
        <w:rPr>
          <w:rFonts w:ascii="Arial" w:hAnsi="Arial" w:cs="Arial"/>
          <w:sz w:val="22"/>
          <w:szCs w:val="22"/>
        </w:rPr>
        <w:t>Under the IRC at 26 U.S.C. 5551(d), as amended by the PATH Act, certain DSPs are exempt from bond requirements if they are eligible to pay excise taxes quarterly or annually under the IRC at 26 U.S.C. 5061(d)(4).  Since these bond-exempt DSPs are treated as if they have a bond as provided under section 5551(d), these DSPs may still transfer spirits in bond in accordance with the regulations.</w:t>
      </w:r>
    </w:p>
    <w:p w14:paraId="2F587FCE" w14:textId="77777777" w:rsidR="00222FB2" w:rsidRDefault="00222FB2" w:rsidP="001B64E5">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Default="00401753" w:rsidP="00D460BA">
      <w:pPr>
        <w:pStyle w:val="ListParagraph"/>
        <w:numPr>
          <w:ilvl w:val="0"/>
          <w:numId w:val="7"/>
        </w:numPr>
        <w:suppressAutoHyphens/>
        <w:spacing w:before="120"/>
        <w:contextualSpacing w:val="0"/>
        <w:rPr>
          <w:rFonts w:ascii="Arial" w:hAnsi="Arial" w:cs="Arial"/>
          <w:sz w:val="22"/>
          <w:szCs w:val="22"/>
        </w:rPr>
      </w:pPr>
      <w:proofErr w:type="gramStart"/>
      <w:r w:rsidRPr="006F0ACC">
        <w:rPr>
          <w:rFonts w:ascii="Arial" w:hAnsi="Arial" w:cs="Arial"/>
          <w:sz w:val="22"/>
          <w:szCs w:val="22"/>
        </w:rPr>
        <w:t>IT</w:t>
      </w:r>
      <w:proofErr w:type="gramEnd"/>
      <w:r w:rsidRPr="006F0ACC">
        <w:rPr>
          <w:rFonts w:ascii="Arial" w:hAnsi="Arial" w:cs="Arial"/>
          <w:sz w:val="22"/>
          <w:szCs w:val="22"/>
        </w:rPr>
        <w:t xml:space="preserve">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1754AF9" w14:textId="2B42FB43" w:rsidR="00163299" w:rsidRDefault="00163299" w:rsidP="004901F9">
      <w:pPr>
        <w:ind w:left="360"/>
        <w:rPr>
          <w:rFonts w:ascii="Arial" w:hAnsi="Arial" w:cs="Arial"/>
          <w:sz w:val="22"/>
          <w:szCs w:val="22"/>
        </w:rPr>
      </w:pPr>
      <w:r>
        <w:rPr>
          <w:rFonts w:ascii="Arial" w:hAnsi="Arial" w:cs="Arial"/>
          <w:sz w:val="22"/>
          <w:szCs w:val="22"/>
        </w:rPr>
        <w:t xml:space="preserve">A proprietor of a DSP or an AFP desiring to have spirits or denatured spirits transferred to their plant from another domestic plant completes TTB F 5110.16 </w:t>
      </w:r>
      <w:r w:rsidR="004901F9">
        <w:rPr>
          <w:rFonts w:ascii="Arial" w:hAnsi="Arial" w:cs="Arial"/>
          <w:sz w:val="22"/>
          <w:szCs w:val="22"/>
        </w:rPr>
        <w:t xml:space="preserve">in triplicate </w:t>
      </w:r>
      <w:r>
        <w:rPr>
          <w:rFonts w:ascii="Arial" w:hAnsi="Arial" w:cs="Arial"/>
          <w:sz w:val="22"/>
          <w:szCs w:val="22"/>
        </w:rPr>
        <w:t xml:space="preserve">in order to inform TTB that they intend to receive transferred spirits in bond.  </w:t>
      </w:r>
      <w:r w:rsidR="004901F9">
        <w:rPr>
          <w:rFonts w:ascii="Arial" w:hAnsi="Arial" w:cs="Arial"/>
          <w:sz w:val="22"/>
          <w:szCs w:val="22"/>
        </w:rPr>
        <w:t xml:space="preserve">In order to protect the revenue, </w:t>
      </w:r>
      <w:r>
        <w:rPr>
          <w:rFonts w:ascii="Arial" w:hAnsi="Arial" w:cs="Arial"/>
          <w:sz w:val="22"/>
          <w:szCs w:val="22"/>
        </w:rPr>
        <w:t>TTB personnel at our National Revenue Center use the information provided on TTB F 5110.16 to ensure the receiving DSP or AFP has adequate bond coverage since, under the IRC, the tax liability for the transferred spirits falls upon the</w:t>
      </w:r>
      <w:r w:rsidR="00885A74">
        <w:rPr>
          <w:rFonts w:ascii="Arial" w:hAnsi="Arial" w:cs="Arial"/>
          <w:sz w:val="22"/>
          <w:szCs w:val="22"/>
        </w:rPr>
        <w:t xml:space="preserve"> </w:t>
      </w:r>
      <w:r>
        <w:rPr>
          <w:rFonts w:ascii="Arial" w:hAnsi="Arial" w:cs="Arial"/>
          <w:sz w:val="22"/>
          <w:szCs w:val="22"/>
        </w:rPr>
        <w:t xml:space="preserve">receiving plant’s proprietor.  </w:t>
      </w:r>
      <w:r w:rsidR="004901F9">
        <w:rPr>
          <w:rFonts w:ascii="Arial" w:hAnsi="Arial" w:cs="Arial"/>
          <w:sz w:val="22"/>
          <w:szCs w:val="22"/>
        </w:rPr>
        <w:t xml:space="preserve">Once approved by TTB, two copies are returned to the </w:t>
      </w:r>
      <w:r w:rsidR="00885A74">
        <w:rPr>
          <w:rFonts w:ascii="Arial" w:hAnsi="Arial" w:cs="Arial"/>
          <w:sz w:val="22"/>
          <w:szCs w:val="22"/>
        </w:rPr>
        <w:t xml:space="preserve">applicant.  </w:t>
      </w:r>
      <w:r w:rsidR="004901F9">
        <w:rPr>
          <w:rFonts w:ascii="Arial" w:hAnsi="Arial" w:cs="Arial"/>
          <w:sz w:val="22"/>
          <w:szCs w:val="22"/>
        </w:rPr>
        <w:t xml:space="preserve">The </w:t>
      </w:r>
      <w:r w:rsidR="00885A74">
        <w:rPr>
          <w:rFonts w:ascii="Arial" w:hAnsi="Arial" w:cs="Arial"/>
          <w:sz w:val="22"/>
          <w:szCs w:val="22"/>
        </w:rPr>
        <w:t xml:space="preserve">applicant </w:t>
      </w:r>
      <w:r w:rsidR="004901F9">
        <w:rPr>
          <w:rFonts w:ascii="Arial" w:hAnsi="Arial" w:cs="Arial"/>
          <w:sz w:val="22"/>
          <w:szCs w:val="22"/>
        </w:rPr>
        <w:t>keeps one copy of the form and send</w:t>
      </w:r>
      <w:r w:rsidR="00885A74">
        <w:rPr>
          <w:rFonts w:ascii="Arial" w:hAnsi="Arial" w:cs="Arial"/>
          <w:sz w:val="22"/>
          <w:szCs w:val="22"/>
        </w:rPr>
        <w:t>s</w:t>
      </w:r>
      <w:r w:rsidR="004901F9">
        <w:rPr>
          <w:rFonts w:ascii="Arial" w:hAnsi="Arial" w:cs="Arial"/>
          <w:sz w:val="22"/>
          <w:szCs w:val="22"/>
        </w:rPr>
        <w:t xml:space="preserve"> the other copy to the shipping DSP as TTB’s authorization to make the shipment.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531314A6" w:rsidR="00F10C50" w:rsidRDefault="004901F9" w:rsidP="004806AE">
      <w:pPr>
        <w:suppressAutoHyphens/>
        <w:spacing w:line="240" w:lineRule="atLeast"/>
        <w:ind w:left="360"/>
        <w:rPr>
          <w:rFonts w:ascii="Arial" w:hAnsi="Arial" w:cs="Arial"/>
          <w:sz w:val="22"/>
          <w:szCs w:val="22"/>
          <w:highlight w:val="yellow"/>
        </w:rPr>
      </w:pPr>
      <w:r>
        <w:rPr>
          <w:rFonts w:ascii="Arial" w:hAnsi="Arial" w:cs="Arial"/>
          <w:sz w:val="22"/>
          <w:szCs w:val="22"/>
        </w:rPr>
        <w:t xml:space="preserve">Currently, TTB F 5110.16 may be completed and submitted electronically within TTB’s web-based Permits Online (PONL) system.  In addition, TTB F 5110.16 is available as a “fillable-printable” form on the TTB website’s forms page at </w:t>
      </w:r>
      <w:r w:rsidR="004806AE" w:rsidRPr="00C543FF">
        <w:rPr>
          <w:rFonts w:ascii="Arial" w:hAnsi="Arial" w:cs="Arial"/>
          <w:sz w:val="22"/>
          <w:szCs w:val="22"/>
          <w:u w:val="single"/>
        </w:rPr>
        <w:t>http://www.ttb.gov/forms/index.shtml</w:t>
      </w:r>
      <w:r w:rsidR="004806AE">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2EE0C4AB" w:rsidR="00C64D2C" w:rsidRDefault="00C64D2C" w:rsidP="009618DF">
      <w:pPr>
        <w:suppressAutoHyphens/>
        <w:ind w:left="360"/>
        <w:rPr>
          <w:rFonts w:ascii="Arial" w:hAnsi="Arial" w:cs="Arial"/>
          <w:sz w:val="22"/>
          <w:szCs w:val="22"/>
        </w:rPr>
      </w:pPr>
      <w:r w:rsidRPr="00C64D2C">
        <w:rPr>
          <w:rFonts w:ascii="Arial" w:hAnsi="Arial" w:cs="Arial"/>
          <w:sz w:val="22"/>
          <w:szCs w:val="22"/>
        </w:rPr>
        <w:t>TTB F</w:t>
      </w:r>
      <w:r w:rsidR="00D36A5E">
        <w:rPr>
          <w:rFonts w:ascii="Arial" w:hAnsi="Arial" w:cs="Arial"/>
          <w:sz w:val="22"/>
          <w:szCs w:val="22"/>
        </w:rPr>
        <w:t> </w:t>
      </w:r>
      <w:r w:rsidRPr="00C64D2C">
        <w:rPr>
          <w:rFonts w:ascii="Arial" w:hAnsi="Arial" w:cs="Arial"/>
          <w:sz w:val="22"/>
          <w:szCs w:val="22"/>
        </w:rPr>
        <w:t>51</w:t>
      </w:r>
      <w:r w:rsidR="004901F9">
        <w:rPr>
          <w:rFonts w:ascii="Arial" w:hAnsi="Arial" w:cs="Arial"/>
          <w:sz w:val="22"/>
          <w:szCs w:val="22"/>
        </w:rPr>
        <w:t>10.16</w:t>
      </w:r>
      <w:r w:rsidRPr="00C64D2C">
        <w:rPr>
          <w:rFonts w:ascii="Arial" w:hAnsi="Arial" w:cs="Arial"/>
          <w:sz w:val="22"/>
          <w:szCs w:val="22"/>
        </w:rPr>
        <w:t xml:space="preserve"> collects information </w:t>
      </w:r>
      <w:r w:rsidR="00522735">
        <w:rPr>
          <w:rFonts w:ascii="Arial" w:hAnsi="Arial" w:cs="Arial"/>
          <w:sz w:val="22"/>
          <w:szCs w:val="22"/>
        </w:rPr>
        <w:t xml:space="preserve">that is </w:t>
      </w:r>
      <w:r w:rsidR="004901F9">
        <w:rPr>
          <w:rFonts w:ascii="Arial" w:hAnsi="Arial" w:cs="Arial"/>
          <w:sz w:val="22"/>
          <w:szCs w:val="22"/>
        </w:rPr>
        <w:t xml:space="preserve">pertinent to each respondent and applicable to their specific request to received transferred distilled spirits in bond.  </w:t>
      </w:r>
      <w:r w:rsidRPr="00C64D2C">
        <w:rPr>
          <w:rFonts w:ascii="Arial" w:hAnsi="Arial" w:cs="Arial"/>
          <w:sz w:val="22"/>
          <w:szCs w:val="22"/>
        </w:rPr>
        <w:t xml:space="preserve">As far as </w:t>
      </w:r>
      <w:r w:rsidR="00D36A5E">
        <w:rPr>
          <w:rFonts w:ascii="Arial" w:hAnsi="Arial" w:cs="Arial"/>
          <w:sz w:val="22"/>
          <w:szCs w:val="22"/>
        </w:rPr>
        <w:t xml:space="preserve">TTB </w:t>
      </w:r>
      <w:r w:rsidRPr="00C64D2C">
        <w:rPr>
          <w:rFonts w:ascii="Arial" w:hAnsi="Arial" w:cs="Arial"/>
          <w:sz w:val="22"/>
          <w:szCs w:val="22"/>
        </w:rPr>
        <w:t>can determine, similar information is not available elsewhere.</w:t>
      </w:r>
      <w:r>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56FA88B4" w14:textId="283D4E39" w:rsidR="00FD7E00" w:rsidRDefault="004901F9" w:rsidP="00C64D2C">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 requirement of the IRC</w:t>
      </w:r>
      <w:r w:rsidR="00E4289F">
        <w:rPr>
          <w:rFonts w:ascii="Arial" w:hAnsi="Arial" w:cs="Arial"/>
          <w:sz w:val="22"/>
          <w:szCs w:val="22"/>
        </w:rPr>
        <w:t>, prescribed to protect the revenue</w:t>
      </w:r>
      <w:r>
        <w:rPr>
          <w:rFonts w:ascii="Arial" w:hAnsi="Arial" w:cs="Arial"/>
          <w:sz w:val="22"/>
          <w:szCs w:val="22"/>
        </w:rPr>
        <w:t xml:space="preserve">, and it cannot be waived </w:t>
      </w:r>
      <w:r w:rsidR="00E4289F">
        <w:rPr>
          <w:rFonts w:ascii="Arial" w:hAnsi="Arial" w:cs="Arial"/>
          <w:sz w:val="22"/>
          <w:szCs w:val="22"/>
        </w:rPr>
        <w:t xml:space="preserve">merely because the respondent’s business is small.  The collected information is minimal and is required so that TTB can determine if the receiving DSP has adequate bond coverage. </w:t>
      </w:r>
    </w:p>
    <w:p w14:paraId="173AF626" w14:textId="77777777" w:rsidR="007A5D4B" w:rsidRPr="00090251" w:rsidRDefault="007A5D4B" w:rsidP="00D054AD">
      <w:pPr>
        <w:ind w:left="360"/>
        <w:rPr>
          <w:rFonts w:ascii="Arial" w:hAnsi="Arial" w:cs="Arial"/>
          <w:sz w:val="36"/>
          <w:szCs w:val="36"/>
        </w:rPr>
      </w:pPr>
    </w:p>
    <w:p w14:paraId="4C01CCDF" w14:textId="149E6F19" w:rsidR="00AF1157" w:rsidRPr="007A5D4B" w:rsidRDefault="007A5D4B" w:rsidP="00D054AD">
      <w:pPr>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43A1B222" w14:textId="57123F21" w:rsidR="00E4289F" w:rsidRDefault="00E4289F" w:rsidP="004806AE">
      <w:pPr>
        <w:ind w:left="360"/>
        <w:rPr>
          <w:rFonts w:ascii="Arial" w:hAnsi="Arial" w:cs="Arial"/>
          <w:sz w:val="22"/>
          <w:szCs w:val="22"/>
        </w:rPr>
      </w:pPr>
      <w:r>
        <w:rPr>
          <w:rFonts w:ascii="Arial" w:hAnsi="Arial" w:cs="Arial"/>
          <w:sz w:val="22"/>
          <w:szCs w:val="22"/>
        </w:rPr>
        <w:t>The requirement to make an application to receive transferred distilled spirits in bond is a statutory</w:t>
      </w:r>
      <w:r w:rsidR="00885A74">
        <w:rPr>
          <w:rFonts w:ascii="Arial" w:hAnsi="Arial" w:cs="Arial"/>
          <w:sz w:val="22"/>
          <w:szCs w:val="22"/>
        </w:rPr>
        <w:t xml:space="preserve">, </w:t>
      </w:r>
      <w:r>
        <w:rPr>
          <w:rFonts w:ascii="Arial" w:hAnsi="Arial" w:cs="Arial"/>
          <w:sz w:val="22"/>
          <w:szCs w:val="22"/>
        </w:rPr>
        <w:t>and TTB cannot waive this requirement at its option.  Since the transferred spirits are non-</w:t>
      </w:r>
      <w:proofErr w:type="spellStart"/>
      <w:r>
        <w:rPr>
          <w:rFonts w:ascii="Arial" w:hAnsi="Arial" w:cs="Arial"/>
          <w:sz w:val="22"/>
          <w:szCs w:val="22"/>
        </w:rPr>
        <w:t>taxpaid</w:t>
      </w:r>
      <w:proofErr w:type="spellEnd"/>
      <w:r>
        <w:rPr>
          <w:rFonts w:ascii="Arial" w:hAnsi="Arial" w:cs="Arial"/>
          <w:sz w:val="22"/>
          <w:szCs w:val="22"/>
        </w:rPr>
        <w:t>, TTB would be unable to verify that the receiving DSP has adequate bond coverage to protect the revenue without this information collection.  Not collecting this information or collecting it less frequently would</w:t>
      </w:r>
      <w:r w:rsidR="00885A74">
        <w:rPr>
          <w:rFonts w:ascii="Arial" w:hAnsi="Arial" w:cs="Arial"/>
          <w:sz w:val="22"/>
          <w:szCs w:val="22"/>
        </w:rPr>
        <w:t>, therefore,</w:t>
      </w:r>
      <w:r>
        <w:rPr>
          <w:rFonts w:ascii="Arial" w:hAnsi="Arial" w:cs="Arial"/>
          <w:sz w:val="22"/>
          <w:szCs w:val="22"/>
        </w:rPr>
        <w:t xml:space="preserve"> jeopardize the revenue.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565DC85F" w:rsidR="00D414AB" w:rsidRDefault="009C1819" w:rsidP="004806AE">
      <w:pPr>
        <w:ind w:left="360"/>
        <w:rPr>
          <w:rFonts w:ascii="Arial" w:hAnsi="Arial" w:cs="Arial"/>
          <w:sz w:val="22"/>
          <w:szCs w:val="22"/>
        </w:rPr>
      </w:pPr>
      <w:r w:rsidRPr="003972C7">
        <w:rPr>
          <w:rFonts w:ascii="Arial" w:hAnsi="Arial" w:cs="Arial"/>
          <w:sz w:val="22"/>
          <w:szCs w:val="22"/>
        </w:rPr>
        <w:t xml:space="preserve">The general public will be notified of this information collection in a temporary rule and notice of proposed rulemaking </w:t>
      </w:r>
      <w:r>
        <w:rPr>
          <w:rFonts w:ascii="Arial" w:hAnsi="Arial" w:cs="Arial"/>
          <w:sz w:val="22"/>
          <w:szCs w:val="22"/>
        </w:rPr>
        <w:t xml:space="preserve">that will be </w:t>
      </w:r>
      <w:r w:rsidRPr="003972C7">
        <w:rPr>
          <w:rFonts w:ascii="Arial" w:hAnsi="Arial" w:cs="Arial"/>
          <w:sz w:val="22"/>
          <w:szCs w:val="22"/>
        </w:rPr>
        <w:t xml:space="preserve">published </w:t>
      </w:r>
      <w:r>
        <w:rPr>
          <w:rFonts w:ascii="Arial" w:hAnsi="Arial" w:cs="Arial"/>
          <w:sz w:val="22"/>
          <w:szCs w:val="22"/>
        </w:rPr>
        <w:t xml:space="preserve">shortly </w:t>
      </w:r>
      <w:r w:rsidRPr="003972C7">
        <w:rPr>
          <w:rFonts w:ascii="Arial" w:hAnsi="Arial" w:cs="Arial"/>
          <w:sz w:val="22"/>
          <w:szCs w:val="22"/>
        </w:rPr>
        <w:t>in the Federal Register.  The notice will solicit comments from the general public.</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6DB2FE8E" w:rsidR="00E51AD7" w:rsidRDefault="00E51AD7">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26 U.S.C. 6103 prohibits disclosure of tax</w:t>
      </w:r>
      <w:r w:rsidR="001A0B50">
        <w:rPr>
          <w:rFonts w:ascii="Arial" w:hAnsi="Arial" w:cs="Arial"/>
          <w:sz w:val="22"/>
          <w:szCs w:val="22"/>
        </w:rPr>
        <w:t>- and taxpayer-</w:t>
      </w:r>
      <w:r w:rsidRPr="00853E85">
        <w:rPr>
          <w:rFonts w:ascii="Arial" w:hAnsi="Arial" w:cs="Arial"/>
          <w:sz w:val="22"/>
          <w:szCs w:val="22"/>
        </w:rPr>
        <w:t xml:space="preserve">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 xml:space="preserve">its copy 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w:t>
      </w:r>
      <w:r w:rsidRPr="00965E7F">
        <w:rPr>
          <w:rFonts w:ascii="Arial" w:hAnsi="Arial" w:cs="Arial"/>
          <w:i/>
          <w:sz w:val="22"/>
          <w:szCs w:val="22"/>
        </w:rPr>
        <w:lastRenderedPageBreak/>
        <w:t xml:space="preserve">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2C19E818" w14:textId="05C92BCA" w:rsidR="005F3392" w:rsidRPr="00D460BA" w:rsidRDefault="00A5167D" w:rsidP="005F3392">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r w:rsidR="00885A74">
        <w:rPr>
          <w:rFonts w:ascii="Arial" w:hAnsi="Arial" w:cs="Arial"/>
          <w:sz w:val="22"/>
          <w:szCs w:val="22"/>
        </w:rPr>
        <w:t xml:space="preserve"> </w:t>
      </w:r>
      <w:r w:rsidR="005F3392"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7" w:history="1">
        <w:r w:rsidR="005F3392" w:rsidRPr="00D460BA">
          <w:rPr>
            <w:rStyle w:val="Hyperlink"/>
            <w:rFonts w:ascii="Arial" w:hAnsi="Arial" w:cs="Arial"/>
            <w:color w:val="auto"/>
            <w:sz w:val="22"/>
            <w:szCs w:val="22"/>
          </w:rPr>
          <w:t>http://www.ttb.gov/foia/pia.shtml</w:t>
        </w:r>
      </w:hyperlink>
      <w:r w:rsidR="005F3392"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5A783ABF" w14:textId="08A5B481" w:rsidR="001A0B50" w:rsidRDefault="001A0B50" w:rsidP="00F85483">
      <w:pPr>
        <w:suppressAutoHyphens/>
        <w:spacing w:line="240" w:lineRule="atLeast"/>
        <w:ind w:left="360"/>
        <w:rPr>
          <w:rFonts w:ascii="Arial" w:hAnsi="Arial" w:cs="Arial"/>
          <w:sz w:val="22"/>
          <w:szCs w:val="22"/>
        </w:rPr>
      </w:pPr>
      <w:r>
        <w:rPr>
          <w:rFonts w:ascii="Arial" w:hAnsi="Arial" w:cs="Arial"/>
          <w:sz w:val="22"/>
          <w:szCs w:val="22"/>
        </w:rPr>
        <w:t>Based on recent experience, TTB estimates that 250 respondents complete six TTB F 5110.16 forms per year, for a total of 1,500 annual responses.  TTB estimates that each response takes an average of 0.15 hours (9 minutes) to complete, for an estimated total annual burden of 228 hours.  This is unchanged from our last submission for this information collection</w:t>
      </w:r>
      <w:r w:rsidR="00A245F0">
        <w:rPr>
          <w:rFonts w:ascii="Arial" w:hAnsi="Arial" w:cs="Arial"/>
          <w:sz w:val="22"/>
          <w:szCs w:val="22"/>
        </w:rPr>
        <w:t>.</w:t>
      </w:r>
      <w:r>
        <w:rPr>
          <w:rFonts w:ascii="Arial" w:hAnsi="Arial" w:cs="Arial"/>
          <w:sz w:val="22"/>
          <w:szCs w:val="22"/>
        </w:rPr>
        <w:t xml:space="preserve"> </w:t>
      </w:r>
    </w:p>
    <w:p w14:paraId="51729A83" w14:textId="77777777" w:rsidR="001A0B50" w:rsidRDefault="001A0B50" w:rsidP="00F85483">
      <w:pPr>
        <w:suppressAutoHyphens/>
        <w:spacing w:line="240" w:lineRule="atLeast"/>
        <w:ind w:left="360"/>
        <w:rPr>
          <w:rFonts w:ascii="Arial" w:hAnsi="Arial" w:cs="Arial"/>
          <w:sz w:val="22"/>
          <w:szCs w:val="22"/>
        </w:rPr>
      </w:pPr>
    </w:p>
    <w:p w14:paraId="47D58ABC" w14:textId="5FA279E4" w:rsidR="00A245F0" w:rsidRDefault="00A245F0" w:rsidP="00A245F0">
      <w:pPr>
        <w:suppressAutoHyphens/>
        <w:spacing w:line="240" w:lineRule="atLeast"/>
        <w:ind w:left="360"/>
        <w:rPr>
          <w:rFonts w:ascii="Arial" w:hAnsi="Arial" w:cs="Arial"/>
          <w:sz w:val="22"/>
          <w:szCs w:val="22"/>
        </w:rPr>
      </w:pPr>
      <w:r>
        <w:rPr>
          <w:rFonts w:ascii="Arial" w:hAnsi="Arial" w:cs="Arial"/>
          <w:sz w:val="22"/>
          <w:szCs w:val="22"/>
        </w:rPr>
        <w:t xml:space="preserve">The specific burden estimates for the two methods of submitting TTB F 5110.16 are as follows: </w:t>
      </w:r>
    </w:p>
    <w:p w14:paraId="349E675C" w14:textId="580A6ECF" w:rsidR="001A0B50" w:rsidRDefault="001A0B50" w:rsidP="00F85483">
      <w:pPr>
        <w:suppressAutoHyphens/>
        <w:spacing w:line="240" w:lineRule="atLeast"/>
        <w:ind w:left="360"/>
        <w:rPr>
          <w:rFonts w:ascii="Arial" w:hAnsi="Arial" w:cs="Arial"/>
          <w:sz w:val="22"/>
          <w:szCs w:val="22"/>
        </w:rPr>
      </w:pP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642"/>
        <w:gridCol w:w="1548"/>
        <w:gridCol w:w="1370"/>
        <w:gridCol w:w="1260"/>
        <w:gridCol w:w="1360"/>
      </w:tblGrid>
      <w:tr w:rsidR="001A0B50" w:rsidRPr="001A0B50" w14:paraId="201D6290" w14:textId="77777777" w:rsidTr="00A245F0">
        <w:trPr>
          <w:trHeight w:val="576"/>
          <w:jc w:val="center"/>
        </w:trPr>
        <w:tc>
          <w:tcPr>
            <w:tcW w:w="1555" w:type="dxa"/>
            <w:tcMar>
              <w:left w:w="43" w:type="dxa"/>
              <w:right w:w="43" w:type="dxa"/>
            </w:tcMar>
            <w:vAlign w:val="center"/>
          </w:tcPr>
          <w:p w14:paraId="7BC99CBF" w14:textId="69F93390"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TTB F 5110.16 Submitted Via</w:t>
            </w:r>
          </w:p>
        </w:tc>
        <w:tc>
          <w:tcPr>
            <w:tcW w:w="1642" w:type="dxa"/>
            <w:tcMar>
              <w:left w:w="43" w:type="dxa"/>
              <w:right w:w="43" w:type="dxa"/>
            </w:tcMar>
            <w:vAlign w:val="center"/>
            <w:hideMark/>
          </w:tcPr>
          <w:p w14:paraId="008F3A49" w14:textId="1F32764C"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Respondents</w:t>
            </w:r>
          </w:p>
        </w:tc>
        <w:tc>
          <w:tcPr>
            <w:tcW w:w="1548" w:type="dxa"/>
            <w:tcMar>
              <w:left w:w="43" w:type="dxa"/>
              <w:right w:w="43" w:type="dxa"/>
            </w:tcMar>
            <w:vAlign w:val="center"/>
            <w:hideMark/>
          </w:tcPr>
          <w:p w14:paraId="64C2B117" w14:textId="77777777" w:rsidR="00A245F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Responses</w:t>
            </w:r>
            <w:r w:rsidR="00A245F0">
              <w:rPr>
                <w:rFonts w:ascii="Arial" w:hAnsi="Arial" w:cs="Arial"/>
                <w:sz w:val="22"/>
                <w:szCs w:val="22"/>
              </w:rPr>
              <w:t>/</w:t>
            </w:r>
          </w:p>
          <w:p w14:paraId="11BBAF68" w14:textId="1C10BBE4"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Respondent</w:t>
            </w:r>
          </w:p>
        </w:tc>
        <w:tc>
          <w:tcPr>
            <w:tcW w:w="1370" w:type="dxa"/>
            <w:tcMar>
              <w:left w:w="43" w:type="dxa"/>
              <w:right w:w="43" w:type="dxa"/>
            </w:tcMar>
            <w:vAlign w:val="center"/>
            <w:hideMark/>
          </w:tcPr>
          <w:p w14:paraId="6844D4B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Annual Responses</w:t>
            </w:r>
          </w:p>
        </w:tc>
        <w:tc>
          <w:tcPr>
            <w:tcW w:w="1260" w:type="dxa"/>
            <w:tcMar>
              <w:left w:w="43" w:type="dxa"/>
              <w:right w:w="43" w:type="dxa"/>
            </w:tcMar>
            <w:vAlign w:val="center"/>
            <w:hideMark/>
          </w:tcPr>
          <w:p w14:paraId="33A05A36" w14:textId="4C298220"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Hours</w:t>
            </w:r>
            <w:r w:rsidR="00A245F0">
              <w:rPr>
                <w:rFonts w:ascii="Arial" w:hAnsi="Arial" w:cs="Arial"/>
                <w:sz w:val="22"/>
                <w:szCs w:val="22"/>
              </w:rPr>
              <w:t>/</w:t>
            </w:r>
            <w:r w:rsidRPr="001A0B50">
              <w:rPr>
                <w:rFonts w:ascii="Arial" w:hAnsi="Arial" w:cs="Arial"/>
                <w:sz w:val="22"/>
                <w:szCs w:val="22"/>
              </w:rPr>
              <w:t xml:space="preserve"> Response</w:t>
            </w:r>
          </w:p>
        </w:tc>
        <w:tc>
          <w:tcPr>
            <w:tcW w:w="1360" w:type="dxa"/>
            <w:tcMar>
              <w:left w:w="43" w:type="dxa"/>
              <w:right w:w="43" w:type="dxa"/>
            </w:tcMar>
            <w:vAlign w:val="center"/>
            <w:hideMark/>
          </w:tcPr>
          <w:p w14:paraId="29B1ABED" w14:textId="502DBC35"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Total Burden</w:t>
            </w:r>
            <w:r w:rsidR="00A245F0">
              <w:rPr>
                <w:rFonts w:ascii="Arial" w:hAnsi="Arial" w:cs="Arial"/>
                <w:sz w:val="22"/>
                <w:szCs w:val="22"/>
              </w:rPr>
              <w:t xml:space="preserve"> Hours</w:t>
            </w:r>
          </w:p>
        </w:tc>
      </w:tr>
      <w:tr w:rsidR="001A0B50" w:rsidRPr="001A0B50" w14:paraId="485BB829" w14:textId="77777777" w:rsidTr="00A245F0">
        <w:trPr>
          <w:trHeight w:val="576"/>
          <w:jc w:val="center"/>
        </w:trPr>
        <w:tc>
          <w:tcPr>
            <w:tcW w:w="1555" w:type="dxa"/>
            <w:tcMar>
              <w:left w:w="43" w:type="dxa"/>
              <w:right w:w="43" w:type="dxa"/>
            </w:tcMar>
            <w:vAlign w:val="center"/>
            <w:hideMark/>
          </w:tcPr>
          <w:p w14:paraId="225B0262" w14:textId="696BDC8E"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w:t>
            </w:r>
            <w:r w:rsidR="00A245F0">
              <w:rPr>
                <w:rFonts w:ascii="Arial" w:hAnsi="Arial" w:cs="Arial"/>
                <w:sz w:val="22"/>
                <w:szCs w:val="22"/>
              </w:rPr>
              <w:t>aper</w:t>
            </w:r>
            <w:r w:rsidRPr="001A0B50">
              <w:rPr>
                <w:rFonts w:ascii="Arial" w:hAnsi="Arial" w:cs="Arial"/>
                <w:sz w:val="22"/>
                <w:szCs w:val="22"/>
              </w:rPr>
              <w:t xml:space="preserve"> </w:t>
            </w:r>
          </w:p>
        </w:tc>
        <w:tc>
          <w:tcPr>
            <w:tcW w:w="1642" w:type="dxa"/>
            <w:noWrap/>
            <w:tcMar>
              <w:left w:w="43" w:type="dxa"/>
              <w:right w:w="43" w:type="dxa"/>
            </w:tcMar>
            <w:vAlign w:val="center"/>
            <w:hideMark/>
          </w:tcPr>
          <w:p w14:paraId="18773BC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130</w:t>
            </w:r>
          </w:p>
        </w:tc>
        <w:tc>
          <w:tcPr>
            <w:tcW w:w="1548" w:type="dxa"/>
            <w:noWrap/>
            <w:tcMar>
              <w:left w:w="43" w:type="dxa"/>
              <w:right w:w="43" w:type="dxa"/>
            </w:tcMar>
            <w:vAlign w:val="center"/>
            <w:hideMark/>
          </w:tcPr>
          <w:p w14:paraId="313DE4EA"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2E83BCC0"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780</w:t>
            </w:r>
          </w:p>
        </w:tc>
        <w:tc>
          <w:tcPr>
            <w:tcW w:w="1260" w:type="dxa"/>
            <w:noWrap/>
            <w:tcMar>
              <w:left w:w="43" w:type="dxa"/>
              <w:right w:w="43" w:type="dxa"/>
            </w:tcMar>
            <w:vAlign w:val="center"/>
            <w:hideMark/>
          </w:tcPr>
          <w:p w14:paraId="0EECE021" w14:textId="6F71E561"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.2</w:t>
            </w:r>
          </w:p>
        </w:tc>
        <w:tc>
          <w:tcPr>
            <w:tcW w:w="1360" w:type="dxa"/>
            <w:noWrap/>
            <w:tcMar>
              <w:left w:w="43" w:type="dxa"/>
              <w:right w:w="43" w:type="dxa"/>
            </w:tcMar>
            <w:vAlign w:val="center"/>
            <w:hideMark/>
          </w:tcPr>
          <w:p w14:paraId="305F0551"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156</w:t>
            </w:r>
          </w:p>
        </w:tc>
      </w:tr>
      <w:tr w:rsidR="001A0B50" w:rsidRPr="001A0B50" w14:paraId="1992FEEC" w14:textId="77777777" w:rsidTr="00A245F0">
        <w:trPr>
          <w:trHeight w:val="576"/>
          <w:jc w:val="center"/>
        </w:trPr>
        <w:tc>
          <w:tcPr>
            <w:tcW w:w="1555" w:type="dxa"/>
            <w:tcMar>
              <w:left w:w="43" w:type="dxa"/>
              <w:right w:w="43" w:type="dxa"/>
            </w:tcMar>
            <w:vAlign w:val="center"/>
            <w:hideMark/>
          </w:tcPr>
          <w:p w14:paraId="01B4DE88"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PONL</w:t>
            </w:r>
          </w:p>
        </w:tc>
        <w:tc>
          <w:tcPr>
            <w:tcW w:w="1642" w:type="dxa"/>
            <w:noWrap/>
            <w:tcMar>
              <w:left w:w="43" w:type="dxa"/>
              <w:right w:w="43" w:type="dxa"/>
            </w:tcMar>
            <w:vAlign w:val="center"/>
            <w:hideMark/>
          </w:tcPr>
          <w:p w14:paraId="12C9AE86"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120</w:t>
            </w:r>
          </w:p>
        </w:tc>
        <w:tc>
          <w:tcPr>
            <w:tcW w:w="1548" w:type="dxa"/>
            <w:noWrap/>
            <w:tcMar>
              <w:left w:w="43" w:type="dxa"/>
              <w:right w:w="43" w:type="dxa"/>
            </w:tcMar>
            <w:vAlign w:val="center"/>
            <w:hideMark/>
          </w:tcPr>
          <w:p w14:paraId="5E38F71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6</w:t>
            </w:r>
          </w:p>
        </w:tc>
        <w:tc>
          <w:tcPr>
            <w:tcW w:w="1370" w:type="dxa"/>
            <w:noWrap/>
            <w:tcMar>
              <w:left w:w="43" w:type="dxa"/>
              <w:right w:w="43" w:type="dxa"/>
            </w:tcMar>
            <w:vAlign w:val="center"/>
            <w:hideMark/>
          </w:tcPr>
          <w:p w14:paraId="4A6CF95D"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720</w:t>
            </w:r>
          </w:p>
        </w:tc>
        <w:tc>
          <w:tcPr>
            <w:tcW w:w="1260" w:type="dxa"/>
            <w:noWrap/>
            <w:tcMar>
              <w:left w:w="43" w:type="dxa"/>
              <w:right w:w="43" w:type="dxa"/>
            </w:tcMar>
            <w:vAlign w:val="center"/>
            <w:hideMark/>
          </w:tcPr>
          <w:p w14:paraId="51A738DB" w14:textId="7F79BFAF" w:rsidR="001A0B50" w:rsidRPr="001A0B50" w:rsidRDefault="00A245F0" w:rsidP="00A245F0">
            <w:pPr>
              <w:suppressAutoHyphens/>
              <w:spacing w:line="240" w:lineRule="atLeast"/>
              <w:jc w:val="center"/>
              <w:rPr>
                <w:rFonts w:ascii="Arial" w:hAnsi="Arial" w:cs="Arial"/>
                <w:sz w:val="22"/>
                <w:szCs w:val="22"/>
              </w:rPr>
            </w:pPr>
            <w:r>
              <w:rPr>
                <w:rFonts w:ascii="Arial" w:hAnsi="Arial" w:cs="Arial"/>
                <w:sz w:val="22"/>
                <w:szCs w:val="22"/>
              </w:rPr>
              <w:t>0</w:t>
            </w:r>
            <w:r w:rsidR="001A0B50" w:rsidRPr="001A0B50">
              <w:rPr>
                <w:rFonts w:ascii="Arial" w:hAnsi="Arial" w:cs="Arial"/>
                <w:sz w:val="22"/>
                <w:szCs w:val="22"/>
              </w:rPr>
              <w:t>.1</w:t>
            </w:r>
          </w:p>
        </w:tc>
        <w:tc>
          <w:tcPr>
            <w:tcW w:w="1360" w:type="dxa"/>
            <w:noWrap/>
            <w:tcMar>
              <w:left w:w="43" w:type="dxa"/>
              <w:right w:w="43" w:type="dxa"/>
            </w:tcMar>
            <w:vAlign w:val="center"/>
            <w:hideMark/>
          </w:tcPr>
          <w:p w14:paraId="173CFBC2" w14:textId="77777777" w:rsidR="001A0B50" w:rsidRPr="001A0B50" w:rsidRDefault="001A0B50" w:rsidP="00A245F0">
            <w:pPr>
              <w:suppressAutoHyphens/>
              <w:spacing w:line="240" w:lineRule="atLeast"/>
              <w:jc w:val="center"/>
              <w:rPr>
                <w:rFonts w:ascii="Arial" w:hAnsi="Arial" w:cs="Arial"/>
                <w:sz w:val="22"/>
                <w:szCs w:val="22"/>
              </w:rPr>
            </w:pPr>
            <w:r w:rsidRPr="001A0B50">
              <w:rPr>
                <w:rFonts w:ascii="Arial" w:hAnsi="Arial" w:cs="Arial"/>
                <w:sz w:val="22"/>
                <w:szCs w:val="22"/>
              </w:rPr>
              <w:t>72</w:t>
            </w:r>
          </w:p>
        </w:tc>
      </w:tr>
      <w:tr w:rsidR="001A0B50" w:rsidRPr="001A0B50" w14:paraId="59BA6831" w14:textId="77777777" w:rsidTr="00A245F0">
        <w:trPr>
          <w:trHeight w:val="576"/>
          <w:jc w:val="center"/>
        </w:trPr>
        <w:tc>
          <w:tcPr>
            <w:tcW w:w="1555" w:type="dxa"/>
            <w:tcMar>
              <w:left w:w="43" w:type="dxa"/>
              <w:right w:w="43" w:type="dxa"/>
            </w:tcMar>
            <w:vAlign w:val="center"/>
            <w:hideMark/>
          </w:tcPr>
          <w:p w14:paraId="374A551D"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Totals</w:t>
            </w:r>
          </w:p>
        </w:tc>
        <w:tc>
          <w:tcPr>
            <w:tcW w:w="1642" w:type="dxa"/>
            <w:noWrap/>
            <w:tcMar>
              <w:left w:w="43" w:type="dxa"/>
              <w:right w:w="43" w:type="dxa"/>
            </w:tcMar>
            <w:vAlign w:val="center"/>
            <w:hideMark/>
          </w:tcPr>
          <w:p w14:paraId="39B007E9"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250</w:t>
            </w:r>
          </w:p>
        </w:tc>
        <w:tc>
          <w:tcPr>
            <w:tcW w:w="1548" w:type="dxa"/>
            <w:noWrap/>
            <w:tcMar>
              <w:left w:w="43" w:type="dxa"/>
              <w:right w:w="43" w:type="dxa"/>
            </w:tcMar>
            <w:vAlign w:val="center"/>
            <w:hideMark/>
          </w:tcPr>
          <w:p w14:paraId="312C4F56"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6</w:t>
            </w:r>
          </w:p>
        </w:tc>
        <w:tc>
          <w:tcPr>
            <w:tcW w:w="1370" w:type="dxa"/>
            <w:noWrap/>
            <w:tcMar>
              <w:left w:w="43" w:type="dxa"/>
              <w:right w:w="43" w:type="dxa"/>
            </w:tcMar>
            <w:vAlign w:val="center"/>
            <w:hideMark/>
          </w:tcPr>
          <w:p w14:paraId="0BEC59FB"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1,500</w:t>
            </w:r>
          </w:p>
        </w:tc>
        <w:tc>
          <w:tcPr>
            <w:tcW w:w="1260" w:type="dxa"/>
            <w:noWrap/>
            <w:tcMar>
              <w:left w:w="43" w:type="dxa"/>
              <w:right w:w="43" w:type="dxa"/>
            </w:tcMar>
            <w:vAlign w:val="center"/>
            <w:hideMark/>
          </w:tcPr>
          <w:p w14:paraId="0544AD75"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0.15</w:t>
            </w:r>
          </w:p>
        </w:tc>
        <w:tc>
          <w:tcPr>
            <w:tcW w:w="1360" w:type="dxa"/>
            <w:noWrap/>
            <w:tcMar>
              <w:left w:w="43" w:type="dxa"/>
              <w:right w:w="43" w:type="dxa"/>
            </w:tcMar>
            <w:vAlign w:val="center"/>
            <w:hideMark/>
          </w:tcPr>
          <w:p w14:paraId="36BF089E" w14:textId="77777777" w:rsidR="001A0B50" w:rsidRPr="001A0B50" w:rsidRDefault="001A0B50" w:rsidP="00A245F0">
            <w:pPr>
              <w:suppressAutoHyphens/>
              <w:spacing w:line="240" w:lineRule="atLeast"/>
              <w:jc w:val="center"/>
              <w:rPr>
                <w:rFonts w:ascii="Arial" w:hAnsi="Arial" w:cs="Arial"/>
                <w:b/>
                <w:sz w:val="22"/>
                <w:szCs w:val="22"/>
              </w:rPr>
            </w:pPr>
            <w:r w:rsidRPr="001A0B50">
              <w:rPr>
                <w:rFonts w:ascii="Arial" w:hAnsi="Arial" w:cs="Arial"/>
                <w:b/>
                <w:sz w:val="22"/>
                <w:szCs w:val="22"/>
              </w:rPr>
              <w:t>228</w:t>
            </w:r>
          </w:p>
        </w:tc>
      </w:tr>
    </w:tbl>
    <w:p w14:paraId="5F3C14FD" w14:textId="77777777" w:rsidR="001A0B50" w:rsidRPr="001A0B50" w:rsidRDefault="001A0B50" w:rsidP="001A0B50">
      <w:pPr>
        <w:suppressAutoHyphens/>
        <w:spacing w:line="240" w:lineRule="atLeast"/>
        <w:ind w:left="360"/>
        <w:rPr>
          <w:rFonts w:ascii="Arial" w:hAnsi="Arial" w:cs="Arial"/>
          <w:sz w:val="22"/>
          <w:szCs w:val="22"/>
        </w:rPr>
      </w:pP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D8CDF43" w14:textId="77777777" w:rsidR="00AF1157" w:rsidRPr="0069718A" w:rsidRDefault="00AF1157" w:rsidP="009618DF">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05DD86C" w14:textId="77777777" w:rsidR="00AF1157" w:rsidRPr="0069718A" w:rsidRDefault="00AF1157" w:rsidP="009618DF">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45"/>
        <w:gridCol w:w="1535"/>
      </w:tblGrid>
      <w:tr w:rsidR="00AF060A" w:rsidRPr="0069718A" w14:paraId="2DCEF78E" w14:textId="77777777" w:rsidTr="00A245F0">
        <w:trPr>
          <w:trHeight w:val="576"/>
          <w:jc w:val="center"/>
        </w:trPr>
        <w:tc>
          <w:tcPr>
            <w:tcW w:w="3145" w:type="dxa"/>
            <w:shd w:val="clear" w:color="auto" w:fill="auto"/>
            <w:vAlign w:val="center"/>
          </w:tcPr>
          <w:p w14:paraId="7B445ADB" w14:textId="77777777" w:rsidR="00AF060A" w:rsidRPr="0069718A" w:rsidRDefault="00AF060A" w:rsidP="009618DF">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535" w:type="dxa"/>
            <w:shd w:val="clear" w:color="auto" w:fill="auto"/>
            <w:vAlign w:val="center"/>
          </w:tcPr>
          <w:p w14:paraId="085E8989" w14:textId="77777777" w:rsidR="00AF060A" w:rsidRPr="0069718A" w:rsidRDefault="00AF060A" w:rsidP="009618DF">
            <w:pPr>
              <w:ind w:left="360"/>
              <w:jc w:val="right"/>
              <w:rPr>
                <w:rFonts w:ascii="Arial" w:hAnsi="Arial" w:cs="Arial"/>
                <w:sz w:val="22"/>
                <w:szCs w:val="22"/>
              </w:rPr>
            </w:pPr>
            <w:r w:rsidRPr="0069718A">
              <w:rPr>
                <w:rFonts w:ascii="Arial" w:hAnsi="Arial" w:cs="Arial"/>
                <w:sz w:val="22"/>
                <w:szCs w:val="22"/>
              </w:rPr>
              <w:t>$ 0</w:t>
            </w:r>
          </w:p>
        </w:tc>
      </w:tr>
      <w:tr w:rsidR="00AF060A" w:rsidRPr="0069718A" w14:paraId="1CC21D63" w14:textId="77777777" w:rsidTr="00A245F0">
        <w:trPr>
          <w:trHeight w:val="576"/>
          <w:jc w:val="center"/>
        </w:trPr>
        <w:tc>
          <w:tcPr>
            <w:tcW w:w="3145" w:type="dxa"/>
            <w:shd w:val="clear" w:color="auto" w:fill="auto"/>
            <w:vAlign w:val="center"/>
          </w:tcPr>
          <w:p w14:paraId="77FBD18F" w14:textId="77777777" w:rsidR="00AF060A" w:rsidRPr="0069718A" w:rsidRDefault="00AF060A" w:rsidP="004806AE">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535" w:type="dxa"/>
            <w:shd w:val="clear" w:color="auto" w:fill="auto"/>
            <w:vAlign w:val="center"/>
          </w:tcPr>
          <w:p w14:paraId="12A34606" w14:textId="77777777" w:rsidR="00AF060A" w:rsidRPr="0069718A" w:rsidRDefault="00AF060A" w:rsidP="004806AE">
            <w:pPr>
              <w:ind w:left="360"/>
              <w:jc w:val="right"/>
              <w:rPr>
                <w:rFonts w:ascii="Arial" w:hAnsi="Arial" w:cs="Arial"/>
                <w:sz w:val="22"/>
                <w:szCs w:val="22"/>
              </w:rPr>
            </w:pPr>
            <w:r w:rsidRPr="0069718A">
              <w:rPr>
                <w:rFonts w:ascii="Arial" w:hAnsi="Arial" w:cs="Arial"/>
                <w:sz w:val="22"/>
                <w:szCs w:val="22"/>
              </w:rPr>
              <w:t>0</w:t>
            </w:r>
          </w:p>
        </w:tc>
      </w:tr>
      <w:tr w:rsidR="00AF060A" w:rsidRPr="00C05949" w14:paraId="67DD7CAE" w14:textId="77777777" w:rsidTr="00A245F0">
        <w:trPr>
          <w:trHeight w:val="576"/>
          <w:jc w:val="center"/>
        </w:trPr>
        <w:tc>
          <w:tcPr>
            <w:tcW w:w="3145" w:type="dxa"/>
            <w:shd w:val="clear" w:color="auto" w:fill="auto"/>
            <w:vAlign w:val="center"/>
          </w:tcPr>
          <w:p w14:paraId="5DEE2432"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lastRenderedPageBreak/>
              <w:t>Clerical cost</w:t>
            </w:r>
            <w:r w:rsidR="00DA29D8" w:rsidRPr="00C05949">
              <w:rPr>
                <w:rFonts w:ascii="Arial" w:hAnsi="Arial" w:cs="Arial"/>
                <w:sz w:val="22"/>
                <w:szCs w:val="22"/>
              </w:rPr>
              <w:t>s</w:t>
            </w:r>
          </w:p>
        </w:tc>
        <w:tc>
          <w:tcPr>
            <w:tcW w:w="1535" w:type="dxa"/>
            <w:shd w:val="clear" w:color="auto" w:fill="auto"/>
            <w:vAlign w:val="center"/>
          </w:tcPr>
          <w:p w14:paraId="13EF8C13" w14:textId="597AF40B" w:rsidR="00AF060A" w:rsidRPr="00C05949" w:rsidRDefault="00A245F0" w:rsidP="00A245F0">
            <w:pPr>
              <w:ind w:left="360"/>
              <w:jc w:val="right"/>
              <w:rPr>
                <w:rFonts w:ascii="Arial" w:hAnsi="Arial" w:cs="Arial"/>
                <w:sz w:val="22"/>
                <w:szCs w:val="22"/>
              </w:rPr>
            </w:pPr>
            <w:r>
              <w:rPr>
                <w:rFonts w:ascii="Arial" w:hAnsi="Arial" w:cs="Arial"/>
                <w:sz w:val="22"/>
                <w:szCs w:val="22"/>
              </w:rPr>
              <w:t>7,500</w:t>
            </w:r>
          </w:p>
        </w:tc>
      </w:tr>
      <w:tr w:rsidR="00AF060A" w:rsidRPr="00C05949" w14:paraId="68C7F471" w14:textId="77777777" w:rsidTr="00A245F0">
        <w:trPr>
          <w:trHeight w:val="576"/>
          <w:jc w:val="center"/>
        </w:trPr>
        <w:tc>
          <w:tcPr>
            <w:tcW w:w="3145" w:type="dxa"/>
            <w:tcBorders>
              <w:bottom w:val="single" w:sz="12" w:space="0" w:color="auto"/>
            </w:tcBorders>
            <w:shd w:val="clear" w:color="auto" w:fill="auto"/>
            <w:vAlign w:val="center"/>
          </w:tcPr>
          <w:p w14:paraId="37051FDD"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 xml:space="preserve">Other Salary </w:t>
            </w:r>
            <w:r w:rsidR="00DA29D8" w:rsidRPr="00C05949">
              <w:rPr>
                <w:rFonts w:ascii="Arial" w:hAnsi="Arial" w:cs="Arial"/>
                <w:sz w:val="22"/>
                <w:szCs w:val="22"/>
              </w:rPr>
              <w:t xml:space="preserve">costs </w:t>
            </w:r>
            <w:r w:rsidRPr="00C05949">
              <w:rPr>
                <w:rFonts w:ascii="Arial" w:hAnsi="Arial" w:cs="Arial"/>
                <w:sz w:val="22"/>
                <w:szCs w:val="22"/>
              </w:rPr>
              <w:t>(review, supervisory, etc.)</w:t>
            </w:r>
          </w:p>
        </w:tc>
        <w:tc>
          <w:tcPr>
            <w:tcW w:w="1535" w:type="dxa"/>
            <w:tcBorders>
              <w:bottom w:val="single" w:sz="12" w:space="0" w:color="auto"/>
            </w:tcBorders>
            <w:shd w:val="clear" w:color="auto" w:fill="auto"/>
            <w:vAlign w:val="center"/>
          </w:tcPr>
          <w:p w14:paraId="5AA43667" w14:textId="2D00B77F" w:rsidR="00AF060A" w:rsidRPr="00C05949" w:rsidRDefault="00A245F0" w:rsidP="004806AE">
            <w:pPr>
              <w:ind w:left="360"/>
              <w:jc w:val="right"/>
              <w:rPr>
                <w:rFonts w:ascii="Arial" w:hAnsi="Arial" w:cs="Arial"/>
                <w:sz w:val="22"/>
                <w:szCs w:val="22"/>
              </w:rPr>
            </w:pPr>
            <w:r>
              <w:rPr>
                <w:rFonts w:ascii="Arial" w:hAnsi="Arial" w:cs="Arial"/>
                <w:sz w:val="22"/>
                <w:szCs w:val="22"/>
              </w:rPr>
              <w:t>0</w:t>
            </w:r>
          </w:p>
        </w:tc>
      </w:tr>
      <w:tr w:rsidR="00AF060A" w:rsidRPr="0069718A" w14:paraId="069D7394" w14:textId="77777777" w:rsidTr="00A245F0">
        <w:trPr>
          <w:trHeight w:val="576"/>
          <w:jc w:val="center"/>
        </w:trPr>
        <w:tc>
          <w:tcPr>
            <w:tcW w:w="3145" w:type="dxa"/>
            <w:tcBorders>
              <w:top w:val="single" w:sz="12" w:space="0" w:color="auto"/>
            </w:tcBorders>
            <w:shd w:val="clear" w:color="auto" w:fill="auto"/>
            <w:vAlign w:val="center"/>
          </w:tcPr>
          <w:p w14:paraId="59F989E3" w14:textId="77777777" w:rsidR="00AF060A" w:rsidRPr="00C05949" w:rsidRDefault="00AF060A" w:rsidP="004806AE">
            <w:pPr>
              <w:ind w:left="72"/>
              <w:rPr>
                <w:rFonts w:ascii="Arial" w:hAnsi="Arial" w:cs="Arial"/>
                <w:sz w:val="22"/>
                <w:szCs w:val="22"/>
              </w:rPr>
            </w:pPr>
            <w:r w:rsidRPr="00C05949">
              <w:rPr>
                <w:rFonts w:ascii="Arial" w:hAnsi="Arial" w:cs="Arial"/>
                <w:sz w:val="22"/>
                <w:szCs w:val="22"/>
              </w:rPr>
              <w:t>TOTAL</w:t>
            </w:r>
            <w:r w:rsidR="00DA29D8" w:rsidRPr="00C05949">
              <w:rPr>
                <w:rFonts w:ascii="Arial" w:hAnsi="Arial" w:cs="Arial"/>
                <w:sz w:val="22"/>
                <w:szCs w:val="22"/>
              </w:rPr>
              <w:t xml:space="preserve"> COSTS </w:t>
            </w:r>
          </w:p>
        </w:tc>
        <w:tc>
          <w:tcPr>
            <w:tcW w:w="1535" w:type="dxa"/>
            <w:tcBorders>
              <w:top w:val="single" w:sz="12" w:space="0" w:color="auto"/>
            </w:tcBorders>
            <w:shd w:val="clear" w:color="auto" w:fill="auto"/>
            <w:vAlign w:val="center"/>
          </w:tcPr>
          <w:p w14:paraId="552BA673" w14:textId="1FA78C88" w:rsidR="00AF060A" w:rsidRPr="00C05949" w:rsidRDefault="00A245F0" w:rsidP="00F85483">
            <w:pPr>
              <w:ind w:left="360"/>
              <w:jc w:val="right"/>
              <w:rPr>
                <w:rFonts w:ascii="Arial" w:hAnsi="Arial" w:cs="Arial"/>
                <w:sz w:val="22"/>
                <w:szCs w:val="22"/>
              </w:rPr>
            </w:pPr>
            <w:r>
              <w:rPr>
                <w:rFonts w:ascii="Arial" w:hAnsi="Arial" w:cs="Arial"/>
                <w:sz w:val="22"/>
                <w:szCs w:val="22"/>
              </w:rPr>
              <w:t>$ 7,500</w:t>
            </w:r>
          </w:p>
        </w:tc>
      </w:tr>
    </w:tbl>
    <w:p w14:paraId="6167BA86" w14:textId="77777777" w:rsidR="00AF1157" w:rsidRPr="0069718A" w:rsidRDefault="00AF1157" w:rsidP="004806AE">
      <w:pPr>
        <w:ind w:left="360"/>
        <w:rPr>
          <w:rFonts w:ascii="Arial" w:hAnsi="Arial" w:cs="Arial"/>
          <w:sz w:val="22"/>
          <w:szCs w:val="22"/>
        </w:rPr>
      </w:pPr>
    </w:p>
    <w:p w14:paraId="636B84A3" w14:textId="2B7517B0"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8"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513C5148"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or adjustments</w:t>
      </w:r>
      <w:r w:rsidR="004769A0">
        <w:rPr>
          <w:rFonts w:ascii="Arial" w:hAnsi="Arial" w:cs="Arial"/>
          <w:sz w:val="22"/>
          <w:szCs w:val="22"/>
        </w:rPr>
        <w:t xml:space="preserve">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5263076C" w14:textId="67B53DAE" w:rsidR="00B36390" w:rsidRPr="00B36390" w:rsidRDefault="004769A0" w:rsidP="00B36390">
      <w:pPr>
        <w:autoSpaceDE w:val="0"/>
        <w:autoSpaceDN w:val="0"/>
        <w:adjustRightInd w:val="0"/>
        <w:ind w:left="360"/>
        <w:rPr>
          <w:rFonts w:ascii="Arial" w:hAnsi="Arial" w:cs="Arial"/>
          <w:sz w:val="22"/>
          <w:szCs w:val="22"/>
        </w:rPr>
      </w:pPr>
      <w:r>
        <w:rPr>
          <w:rFonts w:ascii="Arial" w:hAnsi="Arial" w:cs="Arial"/>
          <w:sz w:val="22"/>
          <w:szCs w:val="22"/>
        </w:rPr>
        <w:t>On TTB F 51</w:t>
      </w:r>
      <w:r w:rsidR="004E6516">
        <w:rPr>
          <w:rFonts w:ascii="Arial" w:hAnsi="Arial" w:cs="Arial"/>
          <w:sz w:val="22"/>
          <w:szCs w:val="22"/>
        </w:rPr>
        <w:t>10.16, T</w:t>
      </w:r>
      <w:r w:rsidR="00B36390" w:rsidRPr="00B36390">
        <w:rPr>
          <w:rFonts w:ascii="Arial" w:hAnsi="Arial" w:cs="Arial"/>
          <w:color w:val="000000"/>
          <w:sz w:val="22"/>
          <w:szCs w:val="22"/>
        </w:rPr>
        <w:t xml:space="preserve">TB is </w:t>
      </w:r>
      <w:r w:rsidR="00B36390">
        <w:rPr>
          <w:rFonts w:ascii="Arial" w:hAnsi="Arial" w:cs="Arial"/>
          <w:color w:val="000000"/>
          <w:sz w:val="22"/>
          <w:szCs w:val="22"/>
        </w:rPr>
        <w:t>updating</w:t>
      </w:r>
      <w:r w:rsidR="00FD7E00">
        <w:rPr>
          <w:rFonts w:ascii="Arial" w:hAnsi="Arial" w:cs="Arial"/>
          <w:color w:val="000000"/>
          <w:sz w:val="22"/>
          <w:szCs w:val="22"/>
        </w:rPr>
        <w:t xml:space="preserve"> section 5 of the form to reflect the new bond exemption discussed above under the IRC at 26 U.S.C. 5551(d)</w:t>
      </w:r>
      <w:r>
        <w:rPr>
          <w:rFonts w:ascii="Arial" w:hAnsi="Arial" w:cs="Arial"/>
          <w:color w:val="000000"/>
          <w:sz w:val="22"/>
          <w:szCs w:val="22"/>
        </w:rPr>
        <w:t>.</w:t>
      </w:r>
      <w:r w:rsidR="00B36390">
        <w:rPr>
          <w:rFonts w:ascii="Arial" w:hAnsi="Arial" w:cs="Arial"/>
          <w:color w:val="000000"/>
          <w:sz w:val="22"/>
          <w:szCs w:val="22"/>
        </w:rPr>
        <w:t xml:space="preserve"> </w:t>
      </w:r>
    </w:p>
    <w:p w14:paraId="61953A4A" w14:textId="77777777" w:rsidR="00AF060A" w:rsidRPr="00A5320B" w:rsidRDefault="00AF060A" w:rsidP="000E68C5">
      <w:pPr>
        <w:suppressAutoHyphens/>
        <w:rPr>
          <w:rFonts w:ascii="Arial" w:hAnsi="Arial" w:cs="Arial"/>
          <w:sz w:val="32"/>
          <w:szCs w:val="3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w:t>
      </w:r>
      <w:proofErr w:type="spellStart"/>
      <w:r w:rsidRPr="00A5320B">
        <w:rPr>
          <w:rFonts w:ascii="Arial" w:hAnsi="Arial" w:cs="Arial"/>
          <w:sz w:val="22"/>
          <w:szCs w:val="22"/>
        </w:rPr>
        <w:t>i</w:t>
      </w:r>
      <w:proofErr w:type="spellEnd"/>
      <w:r w:rsidRPr="00A5320B">
        <w:rPr>
          <w:rFonts w:ascii="Arial" w:hAnsi="Arial" w:cs="Arial"/>
          <w:sz w:val="22"/>
          <w:szCs w:val="22"/>
        </w:rPr>
        <w:t xml:space="preserve">)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9C1819" w:rsidRDefault="009C1819">
      <w:r>
        <w:separator/>
      </w:r>
    </w:p>
  </w:endnote>
  <w:endnote w:type="continuationSeparator" w:id="0">
    <w:p w14:paraId="3BD4243C" w14:textId="77777777" w:rsidR="009C1819" w:rsidRDefault="009C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9C1819" w:rsidRDefault="009C1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9C1819" w:rsidRPr="007A5D4B" w:rsidRDefault="009C181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9C1819" w:rsidRPr="007A5D4B" w:rsidRDefault="009C181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9C1819" w:rsidRDefault="009C1819">
      <w:r>
        <w:separator/>
      </w:r>
    </w:p>
  </w:footnote>
  <w:footnote w:type="continuationSeparator" w:id="0">
    <w:p w14:paraId="7B70296E" w14:textId="77777777" w:rsidR="009C1819" w:rsidRDefault="009C1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9C1819" w:rsidRDefault="009C1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9C1819" w:rsidRPr="007A5D4B" w:rsidRDefault="009C181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054A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9C1819" w:rsidRPr="007A5D4B" w:rsidRDefault="009C181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8C5"/>
    <w:rsid w:val="00101DE7"/>
    <w:rsid w:val="00113B41"/>
    <w:rsid w:val="00144E69"/>
    <w:rsid w:val="001607C5"/>
    <w:rsid w:val="001608E4"/>
    <w:rsid w:val="00163299"/>
    <w:rsid w:val="001A0B50"/>
    <w:rsid w:val="001B64E5"/>
    <w:rsid w:val="001E5DB7"/>
    <w:rsid w:val="001E77FE"/>
    <w:rsid w:val="001E7BDE"/>
    <w:rsid w:val="001F2913"/>
    <w:rsid w:val="00201BF8"/>
    <w:rsid w:val="0022156B"/>
    <w:rsid w:val="00222FB2"/>
    <w:rsid w:val="002317D6"/>
    <w:rsid w:val="002325E2"/>
    <w:rsid w:val="00242D7D"/>
    <w:rsid w:val="00250066"/>
    <w:rsid w:val="00251A85"/>
    <w:rsid w:val="00273CEE"/>
    <w:rsid w:val="00276081"/>
    <w:rsid w:val="002831F7"/>
    <w:rsid w:val="002A0C20"/>
    <w:rsid w:val="002A2407"/>
    <w:rsid w:val="002B47FB"/>
    <w:rsid w:val="002C787E"/>
    <w:rsid w:val="002D1324"/>
    <w:rsid w:val="002D444B"/>
    <w:rsid w:val="002E6145"/>
    <w:rsid w:val="003301DA"/>
    <w:rsid w:val="0033260C"/>
    <w:rsid w:val="00332CD8"/>
    <w:rsid w:val="00352B11"/>
    <w:rsid w:val="00360CDB"/>
    <w:rsid w:val="00372B3B"/>
    <w:rsid w:val="00375D16"/>
    <w:rsid w:val="00381FFC"/>
    <w:rsid w:val="003830F1"/>
    <w:rsid w:val="0038747C"/>
    <w:rsid w:val="0039330A"/>
    <w:rsid w:val="003A4DFA"/>
    <w:rsid w:val="003B5FB5"/>
    <w:rsid w:val="003C1E53"/>
    <w:rsid w:val="003C1FD2"/>
    <w:rsid w:val="003C332B"/>
    <w:rsid w:val="003C425B"/>
    <w:rsid w:val="003D6258"/>
    <w:rsid w:val="0040027F"/>
    <w:rsid w:val="00401753"/>
    <w:rsid w:val="00403F1B"/>
    <w:rsid w:val="00430C68"/>
    <w:rsid w:val="00433873"/>
    <w:rsid w:val="0044522E"/>
    <w:rsid w:val="00447B6B"/>
    <w:rsid w:val="004769A0"/>
    <w:rsid w:val="00476C1C"/>
    <w:rsid w:val="004806AE"/>
    <w:rsid w:val="004901F9"/>
    <w:rsid w:val="004A30C7"/>
    <w:rsid w:val="004A3DE5"/>
    <w:rsid w:val="004C15CA"/>
    <w:rsid w:val="004C3724"/>
    <w:rsid w:val="004D086A"/>
    <w:rsid w:val="004D1808"/>
    <w:rsid w:val="004D3468"/>
    <w:rsid w:val="004D4299"/>
    <w:rsid w:val="004E1E45"/>
    <w:rsid w:val="004E2C89"/>
    <w:rsid w:val="004E6516"/>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17C53"/>
    <w:rsid w:val="006244FF"/>
    <w:rsid w:val="00631780"/>
    <w:rsid w:val="00631967"/>
    <w:rsid w:val="0066099A"/>
    <w:rsid w:val="00663972"/>
    <w:rsid w:val="00676DAC"/>
    <w:rsid w:val="00682444"/>
    <w:rsid w:val="00691967"/>
    <w:rsid w:val="0069718A"/>
    <w:rsid w:val="006A35C6"/>
    <w:rsid w:val="006B7E47"/>
    <w:rsid w:val="006D4D33"/>
    <w:rsid w:val="006E6C93"/>
    <w:rsid w:val="006E6EA5"/>
    <w:rsid w:val="006F05DA"/>
    <w:rsid w:val="006F0ACC"/>
    <w:rsid w:val="006F2142"/>
    <w:rsid w:val="00715EBB"/>
    <w:rsid w:val="00717FD1"/>
    <w:rsid w:val="00721C76"/>
    <w:rsid w:val="00722685"/>
    <w:rsid w:val="00734B25"/>
    <w:rsid w:val="00736DD6"/>
    <w:rsid w:val="00741583"/>
    <w:rsid w:val="00777625"/>
    <w:rsid w:val="007861FE"/>
    <w:rsid w:val="00795583"/>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7956"/>
    <w:rsid w:val="00835612"/>
    <w:rsid w:val="008426E0"/>
    <w:rsid w:val="0084640C"/>
    <w:rsid w:val="00851169"/>
    <w:rsid w:val="00853E85"/>
    <w:rsid w:val="00855FFF"/>
    <w:rsid w:val="008603B9"/>
    <w:rsid w:val="00874C51"/>
    <w:rsid w:val="00885A74"/>
    <w:rsid w:val="00887E57"/>
    <w:rsid w:val="008A7B84"/>
    <w:rsid w:val="008B146B"/>
    <w:rsid w:val="008B4220"/>
    <w:rsid w:val="008C399F"/>
    <w:rsid w:val="008F6EC9"/>
    <w:rsid w:val="009008C4"/>
    <w:rsid w:val="009614DC"/>
    <w:rsid w:val="009618DF"/>
    <w:rsid w:val="0096457D"/>
    <w:rsid w:val="00965E7F"/>
    <w:rsid w:val="00987432"/>
    <w:rsid w:val="00990656"/>
    <w:rsid w:val="009A1CD5"/>
    <w:rsid w:val="009A6532"/>
    <w:rsid w:val="009A70B0"/>
    <w:rsid w:val="009C1819"/>
    <w:rsid w:val="009C7A6B"/>
    <w:rsid w:val="009D603C"/>
    <w:rsid w:val="009E08A9"/>
    <w:rsid w:val="009E4E4C"/>
    <w:rsid w:val="009F59A5"/>
    <w:rsid w:val="00A16215"/>
    <w:rsid w:val="00A169F8"/>
    <w:rsid w:val="00A17E04"/>
    <w:rsid w:val="00A201BF"/>
    <w:rsid w:val="00A245F0"/>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3C19"/>
    <w:rsid w:val="00BF3EA8"/>
    <w:rsid w:val="00C0410A"/>
    <w:rsid w:val="00C05949"/>
    <w:rsid w:val="00C1362D"/>
    <w:rsid w:val="00C271EA"/>
    <w:rsid w:val="00C344CB"/>
    <w:rsid w:val="00C543FF"/>
    <w:rsid w:val="00C56315"/>
    <w:rsid w:val="00C64D2C"/>
    <w:rsid w:val="00C71838"/>
    <w:rsid w:val="00C93FBB"/>
    <w:rsid w:val="00CA07BF"/>
    <w:rsid w:val="00CA7E3C"/>
    <w:rsid w:val="00CB0080"/>
    <w:rsid w:val="00CB1E40"/>
    <w:rsid w:val="00CB4A84"/>
    <w:rsid w:val="00CB6F58"/>
    <w:rsid w:val="00CC2DE7"/>
    <w:rsid w:val="00CD21EC"/>
    <w:rsid w:val="00CE12C0"/>
    <w:rsid w:val="00CE7C8D"/>
    <w:rsid w:val="00CF1C87"/>
    <w:rsid w:val="00D004D6"/>
    <w:rsid w:val="00D01AA2"/>
    <w:rsid w:val="00D03A61"/>
    <w:rsid w:val="00D054AD"/>
    <w:rsid w:val="00D059BB"/>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87833"/>
    <w:rsid w:val="00DA29D8"/>
    <w:rsid w:val="00DA703D"/>
    <w:rsid w:val="00DE1821"/>
    <w:rsid w:val="00DE292E"/>
    <w:rsid w:val="00DE66FC"/>
    <w:rsid w:val="00DF264C"/>
    <w:rsid w:val="00DF5F98"/>
    <w:rsid w:val="00E05B22"/>
    <w:rsid w:val="00E115FD"/>
    <w:rsid w:val="00E323CD"/>
    <w:rsid w:val="00E414F9"/>
    <w:rsid w:val="00E41ED9"/>
    <w:rsid w:val="00E4289F"/>
    <w:rsid w:val="00E4448C"/>
    <w:rsid w:val="00E45CBA"/>
    <w:rsid w:val="00E51AD7"/>
    <w:rsid w:val="00E5663C"/>
    <w:rsid w:val="00E56E11"/>
    <w:rsid w:val="00E660BE"/>
    <w:rsid w:val="00E86B1B"/>
    <w:rsid w:val="00EB5C01"/>
    <w:rsid w:val="00EC3DAE"/>
    <w:rsid w:val="00EC4FC3"/>
    <w:rsid w:val="00ED4A03"/>
    <w:rsid w:val="00ED7233"/>
    <w:rsid w:val="00EE4237"/>
    <w:rsid w:val="00F03208"/>
    <w:rsid w:val="00F058FA"/>
    <w:rsid w:val="00F10C50"/>
    <w:rsid w:val="00F442A2"/>
    <w:rsid w:val="00F618E0"/>
    <w:rsid w:val="00F85483"/>
    <w:rsid w:val="00F95A6D"/>
    <w:rsid w:val="00F9797F"/>
    <w:rsid w:val="00FA228E"/>
    <w:rsid w:val="00FC0007"/>
    <w:rsid w:val="00FD18EE"/>
    <w:rsid w:val="00FD7E00"/>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rms/index.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tb.gov/foia/pia.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8DC4A182.dotm</Template>
  <TotalTime>0</TotalTime>
  <Pages>6</Pages>
  <Words>1980</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2016-12-05T04:08:00Z</dcterms:created>
  <dcterms:modified xsi:type="dcterms:W3CDTF">2016-12-05T04:50:00Z</dcterms:modified>
</cp:coreProperties>
</file>