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people.xml" ContentType="application/vnd.openxmlformats-officedocument.wordprocessingml.people+xml"/>
  <Override PartName="/word/commentsExtended.xml" ContentType="application/vnd.openxmlformats-officedocument.wordprocessingml.commentsExtended+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B3ACE" w14:textId="5E3093EC" w:rsidR="004E7506" w:rsidRPr="004E7506" w:rsidRDefault="004E7506" w:rsidP="004E7506">
      <w:pPr>
        <w:tabs>
          <w:tab w:val="center" w:pos="4680"/>
        </w:tabs>
        <w:suppressAutoHyphens/>
        <w:jc w:val="center"/>
        <w:rPr>
          <w:rFonts w:ascii="Times New Roman" w:hAnsi="Times New Roman" w:cs="Times New Roman"/>
          <w:sz w:val="28"/>
          <w:szCs w:val="28"/>
        </w:rPr>
      </w:pPr>
      <w:bookmarkStart w:id="0" w:name="_GoBack"/>
      <w:bookmarkEnd w:id="0"/>
      <w:r w:rsidRPr="004E7506">
        <w:rPr>
          <w:rFonts w:ascii="Times New Roman" w:hAnsi="Times New Roman" w:cs="Times New Roman"/>
          <w:sz w:val="28"/>
          <w:szCs w:val="28"/>
        </w:rPr>
        <w:t>ADMINISTRATION ON COMMUNITY LIVING</w:t>
      </w:r>
    </w:p>
    <w:p w14:paraId="261BB95E" w14:textId="01CE5261" w:rsidR="004E7506" w:rsidRPr="004E7506" w:rsidRDefault="004E7506" w:rsidP="004E7506">
      <w:pPr>
        <w:spacing w:after="0" w:line="240" w:lineRule="auto"/>
        <w:jc w:val="center"/>
        <w:rPr>
          <w:rFonts w:ascii="Times New Roman" w:hAnsi="Times New Roman" w:cs="Times New Roman"/>
          <w:i/>
          <w:caps/>
          <w:sz w:val="28"/>
          <w:szCs w:val="24"/>
        </w:rPr>
      </w:pPr>
      <w:r w:rsidRPr="004E7506">
        <w:rPr>
          <w:rFonts w:ascii="Times New Roman" w:hAnsi="Times New Roman" w:cs="Times New Roman"/>
          <w:i/>
          <w:caps/>
          <w:sz w:val="28"/>
          <w:szCs w:val="24"/>
        </w:rPr>
        <w:t>Senior Medicare Patrol (SMP)</w:t>
      </w:r>
    </w:p>
    <w:p w14:paraId="10A31E66" w14:textId="77777777" w:rsidR="004E7506" w:rsidRPr="004E7506" w:rsidRDefault="004E7506" w:rsidP="004E7506">
      <w:pPr>
        <w:spacing w:after="0" w:line="240" w:lineRule="auto"/>
        <w:jc w:val="center"/>
        <w:rPr>
          <w:rFonts w:ascii="Times New Roman" w:hAnsi="Times New Roman" w:cs="Times New Roman"/>
          <w:i/>
          <w:caps/>
          <w:sz w:val="28"/>
          <w:szCs w:val="24"/>
        </w:rPr>
      </w:pPr>
      <w:r w:rsidRPr="004E7506">
        <w:rPr>
          <w:rFonts w:ascii="Times New Roman" w:hAnsi="Times New Roman" w:cs="Times New Roman"/>
          <w:i/>
          <w:caps/>
          <w:sz w:val="28"/>
          <w:szCs w:val="24"/>
        </w:rPr>
        <w:t>Customer Satisfaction Survey</w:t>
      </w:r>
    </w:p>
    <w:p w14:paraId="5CD1DAF6" w14:textId="77777777" w:rsidR="004E7506" w:rsidRPr="004E7506" w:rsidRDefault="004E7506" w:rsidP="004E7506">
      <w:pPr>
        <w:spacing w:after="0" w:line="240" w:lineRule="auto"/>
        <w:jc w:val="center"/>
        <w:rPr>
          <w:rFonts w:ascii="Times New Roman" w:hAnsi="Times New Roman" w:cs="Times New Roman"/>
          <w:caps/>
          <w:sz w:val="24"/>
          <w:szCs w:val="24"/>
        </w:rPr>
      </w:pPr>
    </w:p>
    <w:p w14:paraId="79C9FA23" w14:textId="77777777" w:rsidR="004E7506" w:rsidRDefault="004E7506" w:rsidP="004E7506">
      <w:pPr>
        <w:spacing w:after="0" w:line="240" w:lineRule="auto"/>
        <w:jc w:val="center"/>
        <w:rPr>
          <w:rFonts w:ascii="Times New Roman" w:hAnsi="Times New Roman" w:cs="Times New Roman"/>
          <w:b/>
          <w:sz w:val="24"/>
          <w:szCs w:val="24"/>
          <w:u w:val="single"/>
        </w:rPr>
      </w:pPr>
      <w:r w:rsidRPr="004E7506">
        <w:rPr>
          <w:rFonts w:ascii="Times New Roman" w:hAnsi="Times New Roman" w:cs="Times New Roman"/>
          <w:b/>
          <w:sz w:val="24"/>
          <w:szCs w:val="24"/>
          <w:u w:val="single"/>
        </w:rPr>
        <w:t>REQUEST FOR OMB APPROVAL</w:t>
      </w:r>
    </w:p>
    <w:p w14:paraId="50514DD6" w14:textId="77777777" w:rsidR="00391C85" w:rsidRPr="004E7506" w:rsidRDefault="00391C85" w:rsidP="004E7506">
      <w:pPr>
        <w:spacing w:after="0" w:line="240" w:lineRule="auto"/>
        <w:jc w:val="center"/>
        <w:rPr>
          <w:rFonts w:ascii="Times New Roman" w:hAnsi="Times New Roman" w:cs="Times New Roman"/>
          <w:b/>
          <w:sz w:val="24"/>
          <w:szCs w:val="24"/>
          <w:u w:val="single"/>
        </w:rPr>
      </w:pPr>
    </w:p>
    <w:p w14:paraId="115DFF77" w14:textId="77777777" w:rsidR="004E7506" w:rsidRPr="004E7506" w:rsidRDefault="004E7506" w:rsidP="004E7506">
      <w:pPr>
        <w:spacing w:after="0" w:line="240" w:lineRule="auto"/>
        <w:jc w:val="center"/>
        <w:rPr>
          <w:rFonts w:ascii="Times New Roman" w:hAnsi="Times New Roman" w:cs="Times New Roman"/>
          <w:b/>
        </w:rPr>
      </w:pPr>
      <w:r w:rsidRPr="004E7506">
        <w:rPr>
          <w:rFonts w:ascii="Times New Roman" w:hAnsi="Times New Roman" w:cs="Times New Roman"/>
          <w:b/>
        </w:rPr>
        <w:t>SUPPORTING STATEMENT, AS REQUIRED UNDER THE PAPERWORK REDUCTION ACT</w:t>
      </w:r>
    </w:p>
    <w:p w14:paraId="6782357F" w14:textId="4B001386" w:rsidR="004E7506" w:rsidRDefault="004E7506" w:rsidP="004E7506">
      <w:pPr>
        <w:jc w:val="center"/>
        <w:rPr>
          <w:rFonts w:ascii="Times New Roman" w:hAnsi="Times New Roman" w:cs="Times New Roman"/>
          <w:b/>
        </w:rPr>
      </w:pPr>
      <w:r w:rsidRPr="004E7506">
        <w:rPr>
          <w:rFonts w:ascii="Times New Roman" w:hAnsi="Times New Roman" w:cs="Times New Roman"/>
          <w:b/>
        </w:rPr>
        <w:t>AND 5 CFR 1320</w:t>
      </w:r>
    </w:p>
    <w:p w14:paraId="5628537A" w14:textId="38D87760" w:rsidR="00C46EE3" w:rsidRDefault="008705CB" w:rsidP="00C46EE3">
      <w:pPr>
        <w:rPr>
          <w:rFonts w:ascii="Times New Roman" w:hAnsi="Times New Roman" w:cs="Times New Roman"/>
          <w:b/>
          <w:sz w:val="28"/>
          <w:szCs w:val="28"/>
        </w:rPr>
      </w:pPr>
      <w:r>
        <w:rPr>
          <w:rFonts w:ascii="Times New Roman" w:hAnsi="Times New Roman" w:cs="Times New Roman"/>
          <w:b/>
          <w:sz w:val="28"/>
          <w:szCs w:val="28"/>
        </w:rPr>
        <w:t>B</w:t>
      </w:r>
      <w:r w:rsidR="00C46EE3">
        <w:rPr>
          <w:rFonts w:ascii="Times New Roman" w:hAnsi="Times New Roman" w:cs="Times New Roman"/>
          <w:b/>
          <w:sz w:val="28"/>
          <w:szCs w:val="28"/>
        </w:rPr>
        <w:t>ackground</w:t>
      </w:r>
    </w:p>
    <w:p w14:paraId="7C90DB5C" w14:textId="139C32CE" w:rsidR="00092851" w:rsidRPr="00092851" w:rsidRDefault="00092851" w:rsidP="00092851">
      <w:pPr>
        <w:rPr>
          <w:rFonts w:ascii="Times New Roman" w:hAnsi="Times New Roman" w:cs="Times New Roman"/>
          <w:sz w:val="24"/>
          <w:szCs w:val="24"/>
        </w:rPr>
      </w:pPr>
      <w:r w:rsidRPr="00092851">
        <w:rPr>
          <w:rFonts w:ascii="Times New Roman" w:hAnsi="Times New Roman" w:cs="Times New Roman"/>
          <w:sz w:val="24"/>
          <w:szCs w:val="24"/>
        </w:rPr>
        <w:t>The Senior Medicare Patrol (SMP) is a grant program that funds projects that actively work to disseminate fraud prevention and identification information through the media, outreach campaigns, community events and also working with beneficiaries who present with complex cases such as compromised Medicare numbers. Through these efforts, beneficiaries contact the projects with inquiries and complaints regarding Medicare, Medicaid and other health care or related consumer issues.</w:t>
      </w:r>
    </w:p>
    <w:p w14:paraId="53A4D384" w14:textId="27D83D57" w:rsidR="008705CB" w:rsidRPr="00092851" w:rsidRDefault="008705CB" w:rsidP="00092851">
      <w:pPr>
        <w:rPr>
          <w:rFonts w:ascii="Times New Roman" w:hAnsi="Times New Roman" w:cs="Times New Roman"/>
          <w:b/>
          <w:sz w:val="28"/>
          <w:szCs w:val="28"/>
        </w:rPr>
      </w:pPr>
      <w:r w:rsidRPr="00092851">
        <w:rPr>
          <w:rFonts w:ascii="Times New Roman" w:hAnsi="Times New Roman" w:cs="Times New Roman"/>
        </w:rPr>
        <w:t>This effort is part of the SMP network’s commitment to provide the best possible service to customers. This survey is a baseline data collection effort that will help the network gain more insight into how customers experience SMP presentations. SMP expects the survey results to highlight what positively impacts presentation attendees and identify opportunities for improvement.</w:t>
      </w:r>
    </w:p>
    <w:p w14:paraId="2637A50F" w14:textId="22E0FCAF" w:rsidR="0043338F" w:rsidRPr="004E7506" w:rsidRDefault="0043338F" w:rsidP="004E7506">
      <w:pPr>
        <w:rPr>
          <w:rFonts w:ascii="Times New Roman" w:hAnsi="Times New Roman" w:cs="Times New Roman"/>
          <w:b/>
          <w:sz w:val="24"/>
          <w:szCs w:val="24"/>
        </w:rPr>
      </w:pPr>
      <w:r w:rsidRPr="004E7506">
        <w:rPr>
          <w:rFonts w:ascii="Times New Roman" w:hAnsi="Times New Roman" w:cs="Times New Roman"/>
          <w:b/>
          <w:sz w:val="24"/>
          <w:szCs w:val="24"/>
        </w:rPr>
        <w:t>A. Justification</w:t>
      </w:r>
      <w:r w:rsidR="002E7BB1">
        <w:rPr>
          <w:rFonts w:ascii="Times New Roman" w:hAnsi="Times New Roman" w:cs="Times New Roman"/>
          <w:b/>
          <w:sz w:val="24"/>
          <w:szCs w:val="24"/>
        </w:rPr>
        <w:t xml:space="preserve">             </w:t>
      </w:r>
    </w:p>
    <w:p w14:paraId="6CDC4B2B" w14:textId="3A3F6171" w:rsidR="008962E5"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813A42F" w14:textId="77777777" w:rsidR="008962E5" w:rsidRPr="004E7506" w:rsidRDefault="008962E5" w:rsidP="004E7506">
      <w:pPr>
        <w:ind w:left="360"/>
        <w:rPr>
          <w:rFonts w:ascii="Times New Roman" w:hAnsi="Times New Roman" w:cs="Times New Roman"/>
          <w:sz w:val="24"/>
          <w:szCs w:val="24"/>
        </w:rPr>
      </w:pPr>
      <w:r w:rsidRPr="004E7506">
        <w:rPr>
          <w:rFonts w:ascii="Times New Roman" w:hAnsi="Times New Roman" w:cs="Times New Roman"/>
          <w:sz w:val="24"/>
          <w:szCs w:val="24"/>
        </w:rPr>
        <w:t xml:space="preserve">Section 301 of the Public Health Service Act </w:t>
      </w:r>
      <w:r w:rsidRPr="004E7506">
        <w:rPr>
          <w:rStyle w:val="FootnoteReference"/>
          <w:rFonts w:ascii="Times New Roman" w:hAnsi="Times New Roman" w:cs="Times New Roman"/>
          <w:sz w:val="24"/>
          <w:szCs w:val="24"/>
        </w:rPr>
        <w:footnoteReference w:id="1"/>
      </w:r>
      <w:r w:rsidRPr="004E7506">
        <w:rPr>
          <w:rFonts w:ascii="Times New Roman" w:hAnsi="Times New Roman" w:cs="Times New Roman"/>
          <w:sz w:val="24"/>
          <w:szCs w:val="24"/>
        </w:rPr>
        <w:t>(42 U.S.C. § 241) is the authorizing law for data collections within the Department of Health and Human Services (HHS). Specifically, agencies within HHS should “collect and make available through publications and other appropriate means…research and other activities.”</w:t>
      </w:r>
    </w:p>
    <w:p w14:paraId="448E5339" w14:textId="77777777" w:rsidR="008962E5" w:rsidRPr="004E7506" w:rsidRDefault="008962E5" w:rsidP="004E7506">
      <w:pPr>
        <w:ind w:left="360"/>
        <w:rPr>
          <w:rFonts w:ascii="Times New Roman" w:hAnsi="Times New Roman" w:cs="Times New Roman"/>
          <w:sz w:val="24"/>
          <w:szCs w:val="24"/>
        </w:rPr>
      </w:pPr>
      <w:r w:rsidRPr="004E7506">
        <w:rPr>
          <w:rFonts w:ascii="Times New Roman" w:hAnsi="Times New Roman" w:cs="Times New Roman"/>
          <w:sz w:val="24"/>
          <w:szCs w:val="24"/>
        </w:rPr>
        <w:t>The March 3, 1998 White House Memorandum, “Conducting Conversations with America to Further Improve Customer Service</w:t>
      </w:r>
      <w:r w:rsidRPr="004E7506">
        <w:rPr>
          <w:rStyle w:val="FootnoteReference"/>
          <w:rFonts w:ascii="Times New Roman" w:hAnsi="Times New Roman" w:cs="Times New Roman"/>
          <w:sz w:val="24"/>
          <w:szCs w:val="24"/>
        </w:rPr>
        <w:footnoteReference w:id="2"/>
      </w:r>
      <w:r w:rsidRPr="004E7506">
        <w:rPr>
          <w:rFonts w:ascii="Times New Roman" w:hAnsi="Times New Roman" w:cs="Times New Roman"/>
          <w:sz w:val="24"/>
          <w:szCs w:val="24"/>
        </w:rPr>
        <w:t xml:space="preserve">,” directs agencies “to track customer service measurements, then take necessary actions to change or improve how the agency operates, as appropriate. Integrate what your agency learns from its customers with your agency's strategic plans, operating plans, and performance measures required by the Government Performance and Results Act of 1993, reporting on financial and program performance under </w:t>
      </w:r>
      <w:r w:rsidRPr="004E7506">
        <w:rPr>
          <w:rFonts w:ascii="Times New Roman" w:hAnsi="Times New Roman" w:cs="Times New Roman"/>
          <w:sz w:val="24"/>
          <w:szCs w:val="24"/>
        </w:rPr>
        <w:lastRenderedPageBreak/>
        <w:t>the Chief Financial Officers Act of 1990, and the Government Management Reform Act of 1994.”</w:t>
      </w:r>
    </w:p>
    <w:p w14:paraId="2C89FED9" w14:textId="1C6915A4" w:rsidR="008962E5" w:rsidRPr="004E7506" w:rsidRDefault="008962E5" w:rsidP="00391C85">
      <w:pPr>
        <w:ind w:left="360"/>
        <w:rPr>
          <w:rFonts w:ascii="Times New Roman" w:hAnsi="Times New Roman" w:cs="Times New Roman"/>
          <w:b/>
          <w:sz w:val="24"/>
          <w:szCs w:val="24"/>
        </w:rPr>
      </w:pPr>
      <w:r w:rsidRPr="004E7506">
        <w:rPr>
          <w:rFonts w:ascii="Times New Roman" w:hAnsi="Times New Roman" w:cs="Times New Roman"/>
          <w:sz w:val="24"/>
          <w:szCs w:val="24"/>
        </w:rPr>
        <w:t>Executive Order (E.O.) 12862</w:t>
      </w:r>
      <w:r w:rsidRPr="004E7506">
        <w:rPr>
          <w:rStyle w:val="FootnoteReference"/>
          <w:rFonts w:ascii="Times New Roman" w:hAnsi="Times New Roman" w:cs="Times New Roman"/>
          <w:sz w:val="24"/>
          <w:szCs w:val="24"/>
        </w:rPr>
        <w:footnoteReference w:id="3"/>
      </w:r>
      <w:r w:rsidRPr="004E7506">
        <w:rPr>
          <w:rFonts w:ascii="Times New Roman" w:hAnsi="Times New Roman" w:cs="Times New Roman"/>
          <w:sz w:val="24"/>
          <w:szCs w:val="24"/>
        </w:rPr>
        <w:t xml:space="preserve"> (September 11, 1993) is aimed at “ensuring the Federal Government provides the highest quality service possible to the American people.” The E.O. discusses surveys as a means for determining the kinds and qualities of service desired by the Federal Government’s customers and for determining satisfaction levels </w:t>
      </w:r>
      <w:r w:rsidR="00A97C28">
        <w:rPr>
          <w:rFonts w:ascii="Times New Roman" w:hAnsi="Times New Roman" w:cs="Times New Roman"/>
          <w:sz w:val="24"/>
          <w:szCs w:val="24"/>
        </w:rPr>
        <w:t xml:space="preserve">with </w:t>
      </w:r>
      <w:r w:rsidRPr="004E7506">
        <w:rPr>
          <w:rFonts w:ascii="Times New Roman" w:hAnsi="Times New Roman" w:cs="Times New Roman"/>
          <w:sz w:val="24"/>
          <w:szCs w:val="24"/>
        </w:rPr>
        <w:t>existing service</w:t>
      </w:r>
      <w:r w:rsidR="00A97C28">
        <w:rPr>
          <w:rFonts w:ascii="Times New Roman" w:hAnsi="Times New Roman" w:cs="Times New Roman"/>
          <w:sz w:val="24"/>
          <w:szCs w:val="24"/>
        </w:rPr>
        <w:t>s</w:t>
      </w:r>
      <w:r w:rsidRPr="004E7506">
        <w:rPr>
          <w:rFonts w:ascii="Times New Roman" w:hAnsi="Times New Roman" w:cs="Times New Roman"/>
          <w:sz w:val="24"/>
          <w:szCs w:val="24"/>
        </w:rPr>
        <w:t xml:space="preserve">. These voluntary customer surveys will be used (1) to ascertain customer satisfaction with individuals </w:t>
      </w:r>
      <w:r w:rsidR="00E41476">
        <w:rPr>
          <w:rFonts w:ascii="Times New Roman" w:hAnsi="Times New Roman" w:cs="Times New Roman"/>
          <w:sz w:val="24"/>
          <w:szCs w:val="24"/>
        </w:rPr>
        <w:t>attending</w:t>
      </w:r>
      <w:r w:rsidRPr="004E7506">
        <w:rPr>
          <w:rFonts w:ascii="Times New Roman" w:hAnsi="Times New Roman" w:cs="Times New Roman"/>
          <w:sz w:val="24"/>
          <w:szCs w:val="24"/>
        </w:rPr>
        <w:t xml:space="preserve"> </w:t>
      </w:r>
      <w:r w:rsidR="00F97B74">
        <w:rPr>
          <w:rFonts w:ascii="Times New Roman" w:hAnsi="Times New Roman" w:cs="Times New Roman"/>
          <w:sz w:val="24"/>
          <w:szCs w:val="24"/>
        </w:rPr>
        <w:t xml:space="preserve">Senior Medicare Patrol (SMP) </w:t>
      </w:r>
      <w:r w:rsidR="00E41476">
        <w:rPr>
          <w:rFonts w:ascii="Times New Roman" w:hAnsi="Times New Roman" w:cs="Times New Roman"/>
          <w:sz w:val="24"/>
          <w:szCs w:val="24"/>
        </w:rPr>
        <w:t>presentations</w:t>
      </w:r>
      <w:r w:rsidRPr="004E7506">
        <w:rPr>
          <w:rFonts w:ascii="Times New Roman" w:hAnsi="Times New Roman" w:cs="Times New Roman"/>
          <w:sz w:val="24"/>
          <w:szCs w:val="24"/>
        </w:rPr>
        <w:t xml:space="preserve"> and (2) to report on annual performance goals as described in Government Performance Results Act (GPRA; Pub.L. 103-62)-related documents. These results are used internally, and summaries are provided to the Office of Management and Budget (OMB) on an annual basis and are used to satisfy the requirements and spirit of E.O. 12862.</w:t>
      </w:r>
    </w:p>
    <w:p w14:paraId="25E5B239" w14:textId="54486ABD"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14:paraId="62E950C5" w14:textId="13279822" w:rsidR="009B1E7E" w:rsidRDefault="000F5F7D" w:rsidP="004E7506">
      <w:pPr>
        <w:ind w:left="360"/>
        <w:rPr>
          <w:rFonts w:ascii="Times New Roman" w:hAnsi="Times New Roman" w:cs="Times New Roman"/>
          <w:sz w:val="24"/>
          <w:szCs w:val="24"/>
        </w:rPr>
      </w:pPr>
      <w:r w:rsidRPr="004E7506">
        <w:rPr>
          <w:rFonts w:ascii="Times New Roman" w:hAnsi="Times New Roman" w:cs="Times New Roman"/>
          <w:sz w:val="24"/>
          <w:szCs w:val="24"/>
        </w:rPr>
        <w:t xml:space="preserve">The information obtained </w:t>
      </w:r>
      <w:r w:rsidR="00DB3EDC" w:rsidRPr="004E7506">
        <w:rPr>
          <w:rFonts w:ascii="Times New Roman" w:hAnsi="Times New Roman" w:cs="Times New Roman"/>
          <w:sz w:val="24"/>
          <w:szCs w:val="24"/>
        </w:rPr>
        <w:t xml:space="preserve">from this survey will be used by </w:t>
      </w:r>
      <w:r w:rsidR="000C042D" w:rsidRPr="004E7506">
        <w:rPr>
          <w:rFonts w:ascii="Times New Roman" w:hAnsi="Times New Roman" w:cs="Times New Roman"/>
          <w:sz w:val="24"/>
          <w:szCs w:val="24"/>
        </w:rPr>
        <w:t xml:space="preserve">federal and regional employees of the </w:t>
      </w:r>
      <w:r w:rsidR="00DB3EDC" w:rsidRPr="004E7506">
        <w:rPr>
          <w:rFonts w:ascii="Times New Roman" w:hAnsi="Times New Roman" w:cs="Times New Roman"/>
          <w:sz w:val="24"/>
          <w:szCs w:val="24"/>
        </w:rPr>
        <w:t xml:space="preserve">Administration for Community Living (ACL), part of the Department of Health and Human Services. Specifically, the information will be used to assess customer satisfaction with </w:t>
      </w:r>
      <w:r w:rsidR="000C042D" w:rsidRPr="004E7506">
        <w:rPr>
          <w:rFonts w:ascii="Times New Roman" w:hAnsi="Times New Roman" w:cs="Times New Roman"/>
          <w:sz w:val="24"/>
          <w:szCs w:val="24"/>
        </w:rPr>
        <w:t>S</w:t>
      </w:r>
      <w:r w:rsidR="00C15520" w:rsidRPr="004E7506">
        <w:rPr>
          <w:rFonts w:ascii="Times New Roman" w:hAnsi="Times New Roman" w:cs="Times New Roman"/>
          <w:sz w:val="24"/>
          <w:szCs w:val="24"/>
        </w:rPr>
        <w:t>MP</w:t>
      </w:r>
      <w:r w:rsidR="00DB3EDC" w:rsidRPr="004E7506">
        <w:rPr>
          <w:rFonts w:ascii="Times New Roman" w:hAnsi="Times New Roman" w:cs="Times New Roman"/>
          <w:sz w:val="24"/>
          <w:szCs w:val="24"/>
        </w:rPr>
        <w:t xml:space="preserve"> presentations</w:t>
      </w:r>
      <w:r w:rsidR="0042321F" w:rsidRPr="004E7506">
        <w:rPr>
          <w:rFonts w:ascii="Times New Roman" w:hAnsi="Times New Roman" w:cs="Times New Roman"/>
          <w:sz w:val="24"/>
          <w:szCs w:val="24"/>
        </w:rPr>
        <w:t xml:space="preserve"> on fraud, waste, and abuse</w:t>
      </w:r>
      <w:r w:rsidR="00DB3EDC" w:rsidRPr="004E7506">
        <w:rPr>
          <w:rFonts w:ascii="Times New Roman" w:hAnsi="Times New Roman" w:cs="Times New Roman"/>
          <w:sz w:val="24"/>
          <w:szCs w:val="24"/>
        </w:rPr>
        <w:t xml:space="preserve">. </w:t>
      </w:r>
      <w:r w:rsidR="000C042D" w:rsidRPr="004E7506">
        <w:rPr>
          <w:rFonts w:ascii="Times New Roman" w:hAnsi="Times New Roman" w:cs="Times New Roman"/>
          <w:sz w:val="24"/>
          <w:szCs w:val="24"/>
        </w:rPr>
        <w:t>The results of the survey could lead to overall agency improvements</w:t>
      </w:r>
      <w:r w:rsidR="00CB7FEA">
        <w:rPr>
          <w:rFonts w:ascii="Times New Roman" w:hAnsi="Times New Roman" w:cs="Times New Roman"/>
          <w:sz w:val="24"/>
          <w:szCs w:val="24"/>
        </w:rPr>
        <w:t xml:space="preserve">, </w:t>
      </w:r>
      <w:r w:rsidR="000C042D" w:rsidRPr="004E7506">
        <w:rPr>
          <w:rFonts w:ascii="Times New Roman" w:hAnsi="Times New Roman" w:cs="Times New Roman"/>
          <w:sz w:val="24"/>
          <w:szCs w:val="24"/>
        </w:rPr>
        <w:t xml:space="preserve">including the reallocation of resources, revisions to certain agency processes and policies, and/or development of guidance related to the agency’s customer services. The results of the survey could also lead to improvements for Medicare beneficiaries, as improved customer service by the agency will lead to more appropriate Medicare choices for individual citizens, leading to monetary savings for both the individual and the SMP program. Ultimately, these changes </w:t>
      </w:r>
      <w:r w:rsidR="003E1F23">
        <w:rPr>
          <w:rFonts w:ascii="Times New Roman" w:hAnsi="Times New Roman" w:cs="Times New Roman"/>
          <w:sz w:val="24"/>
          <w:szCs w:val="24"/>
        </w:rPr>
        <w:t>c</w:t>
      </w:r>
      <w:r w:rsidR="000C042D" w:rsidRPr="004E7506">
        <w:rPr>
          <w:rFonts w:ascii="Times New Roman" w:hAnsi="Times New Roman" w:cs="Times New Roman"/>
          <w:sz w:val="24"/>
          <w:szCs w:val="24"/>
        </w:rPr>
        <w:t>ould improve the</w:t>
      </w:r>
      <w:r w:rsidR="009B1E7E" w:rsidRPr="004E7506">
        <w:rPr>
          <w:rFonts w:ascii="Times New Roman" w:hAnsi="Times New Roman" w:cs="Times New Roman"/>
          <w:sz w:val="24"/>
          <w:szCs w:val="24"/>
        </w:rPr>
        <w:t xml:space="preserve"> services ACL provides to the public.</w:t>
      </w:r>
    </w:p>
    <w:p w14:paraId="2A55839E" w14:textId="408AD4F5" w:rsidR="000F5F7D" w:rsidRPr="001E1A5D" w:rsidRDefault="001E1A5D" w:rsidP="00F97B74">
      <w:pPr>
        <w:ind w:left="360"/>
        <w:rPr>
          <w:rFonts w:ascii="Times New Roman" w:hAnsi="Times New Roman" w:cs="Times New Roman"/>
          <w:b/>
          <w:sz w:val="24"/>
          <w:szCs w:val="24"/>
        </w:rPr>
      </w:pPr>
      <w:r w:rsidRPr="00C74B5E">
        <w:rPr>
          <w:rFonts w:ascii="Times New Roman" w:hAnsi="Times New Roman" w:cs="Times New Roman"/>
          <w:sz w:val="24"/>
          <w:szCs w:val="24"/>
        </w:rPr>
        <w:t>In addition, ACL will use this data to fulfill the requirements of the Government Performance and Results Modernization Act of 2010 (GPRAMA; Pub.L. 111-352). The GPRA Modernization Act requires ACL to report annually on their progress towards achieving specific performance goals. Results from this survey will help to determine new performance goals and assess existing goals.</w:t>
      </w:r>
    </w:p>
    <w:p w14:paraId="2DA6FEB2" w14:textId="77777777" w:rsidR="0043338F" w:rsidRPr="004E7506" w:rsidRDefault="0043338F" w:rsidP="004E7506">
      <w:pPr>
        <w:pStyle w:val="ListParagraph"/>
        <w:numPr>
          <w:ilvl w:val="0"/>
          <w:numId w:val="2"/>
        </w:numPr>
        <w:rPr>
          <w:rFonts w:ascii="Times New Roman" w:hAnsi="Times New Roman" w:cs="Times New Roman"/>
          <w:sz w:val="24"/>
          <w:szCs w:val="24"/>
        </w:rPr>
      </w:pPr>
      <w:r w:rsidRPr="004E7506">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A85B246" w14:textId="00187F6A" w:rsidR="0065745A" w:rsidRPr="004E7506" w:rsidRDefault="00EE4317" w:rsidP="004E7506">
      <w:pPr>
        <w:ind w:left="360"/>
        <w:rPr>
          <w:rFonts w:ascii="Times New Roman" w:hAnsi="Times New Roman" w:cs="Times New Roman"/>
          <w:b/>
          <w:sz w:val="24"/>
          <w:szCs w:val="24"/>
        </w:rPr>
      </w:pPr>
      <w:r w:rsidRPr="004E7506">
        <w:rPr>
          <w:rFonts w:ascii="Times New Roman" w:hAnsi="Times New Roman" w:cs="Times New Roman"/>
          <w:sz w:val="24"/>
          <w:szCs w:val="24"/>
        </w:rPr>
        <w:lastRenderedPageBreak/>
        <w:t xml:space="preserve">This </w:t>
      </w:r>
      <w:r w:rsidR="0065745A" w:rsidRPr="004E7506">
        <w:rPr>
          <w:rFonts w:ascii="Times New Roman" w:hAnsi="Times New Roman" w:cs="Times New Roman"/>
          <w:sz w:val="24"/>
          <w:szCs w:val="24"/>
        </w:rPr>
        <w:t xml:space="preserve">survey does not involve the use of electronic collection techniques, such as an </w:t>
      </w:r>
      <w:r w:rsidR="00303A55" w:rsidRPr="004E7506">
        <w:rPr>
          <w:rFonts w:ascii="Times New Roman" w:hAnsi="Times New Roman" w:cs="Times New Roman"/>
          <w:sz w:val="24"/>
          <w:szCs w:val="24"/>
        </w:rPr>
        <w:t>i</w:t>
      </w:r>
      <w:r w:rsidR="0042321F" w:rsidRPr="004E7506">
        <w:rPr>
          <w:rFonts w:ascii="Times New Roman" w:hAnsi="Times New Roman" w:cs="Times New Roman"/>
          <w:sz w:val="24"/>
          <w:szCs w:val="24"/>
        </w:rPr>
        <w:t xml:space="preserve">nternet-based survey. </w:t>
      </w:r>
      <w:r w:rsidR="00FF5834" w:rsidRPr="004E7506">
        <w:rPr>
          <w:rFonts w:ascii="Times New Roman" w:hAnsi="Times New Roman" w:cs="Times New Roman"/>
          <w:sz w:val="24"/>
          <w:szCs w:val="24"/>
        </w:rPr>
        <w:t>Letter-size (</w:t>
      </w:r>
      <w:r w:rsidR="00A16CA9" w:rsidRPr="004E7506">
        <w:rPr>
          <w:rFonts w:ascii="Times New Roman" w:hAnsi="Times New Roman" w:cs="Times New Roman"/>
          <w:sz w:val="24"/>
          <w:szCs w:val="24"/>
        </w:rPr>
        <w:t>8.5” x 11”</w:t>
      </w:r>
      <w:r w:rsidR="00FF5834" w:rsidRPr="004E7506">
        <w:rPr>
          <w:rFonts w:ascii="Times New Roman" w:hAnsi="Times New Roman" w:cs="Times New Roman"/>
          <w:sz w:val="24"/>
          <w:szCs w:val="24"/>
        </w:rPr>
        <w:t>)</w:t>
      </w:r>
      <w:r w:rsidR="00A16CA9" w:rsidRPr="004E7506">
        <w:rPr>
          <w:rFonts w:ascii="Times New Roman" w:hAnsi="Times New Roman" w:cs="Times New Roman"/>
          <w:sz w:val="24"/>
          <w:szCs w:val="24"/>
        </w:rPr>
        <w:t xml:space="preserve"> comment cards </w:t>
      </w:r>
      <w:r w:rsidR="00EB55B0" w:rsidRPr="004E7506">
        <w:rPr>
          <w:rFonts w:ascii="Times New Roman" w:hAnsi="Times New Roman" w:cs="Times New Roman"/>
          <w:sz w:val="24"/>
          <w:szCs w:val="24"/>
        </w:rPr>
        <w:t xml:space="preserve">with large font types </w:t>
      </w:r>
      <w:r w:rsidR="000C042D" w:rsidRPr="004E7506">
        <w:rPr>
          <w:rFonts w:ascii="Times New Roman" w:hAnsi="Times New Roman" w:cs="Times New Roman"/>
          <w:sz w:val="24"/>
          <w:szCs w:val="24"/>
        </w:rPr>
        <w:t xml:space="preserve">for easy review and visibility </w:t>
      </w:r>
      <w:r w:rsidR="00A16CA9" w:rsidRPr="004E7506">
        <w:rPr>
          <w:rFonts w:ascii="Times New Roman" w:hAnsi="Times New Roman" w:cs="Times New Roman"/>
          <w:sz w:val="24"/>
          <w:szCs w:val="24"/>
        </w:rPr>
        <w:t>will be</w:t>
      </w:r>
      <w:r w:rsidR="0042321F" w:rsidRPr="004E7506">
        <w:rPr>
          <w:rFonts w:ascii="Times New Roman" w:hAnsi="Times New Roman" w:cs="Times New Roman"/>
          <w:sz w:val="24"/>
          <w:szCs w:val="24"/>
        </w:rPr>
        <w:t xml:space="preserve"> distributed to participants at the conclusion of</w:t>
      </w:r>
      <w:r w:rsidR="00A16CA9" w:rsidRPr="004E7506">
        <w:rPr>
          <w:rFonts w:ascii="Times New Roman" w:hAnsi="Times New Roman" w:cs="Times New Roman"/>
          <w:sz w:val="24"/>
          <w:szCs w:val="24"/>
        </w:rPr>
        <w:t xml:space="preserve"> </w:t>
      </w:r>
      <w:r w:rsidR="00EB55B0" w:rsidRPr="004E7506">
        <w:rPr>
          <w:rFonts w:ascii="Times New Roman" w:hAnsi="Times New Roman" w:cs="Times New Roman"/>
          <w:sz w:val="24"/>
          <w:szCs w:val="24"/>
        </w:rPr>
        <w:t>randomly selected</w:t>
      </w:r>
      <w:r w:rsidR="00A16CA9" w:rsidRPr="004E7506">
        <w:rPr>
          <w:rFonts w:ascii="Times New Roman" w:hAnsi="Times New Roman" w:cs="Times New Roman"/>
          <w:sz w:val="24"/>
          <w:szCs w:val="24"/>
        </w:rPr>
        <w:t xml:space="preserve"> SMP presentation</w:t>
      </w:r>
      <w:r w:rsidR="0042321F" w:rsidRPr="004E7506">
        <w:rPr>
          <w:rFonts w:ascii="Times New Roman" w:hAnsi="Times New Roman" w:cs="Times New Roman"/>
          <w:sz w:val="24"/>
          <w:szCs w:val="24"/>
        </w:rPr>
        <w:t>s, where attendees will have the opportunity to voluntarily complete a survey</w:t>
      </w:r>
      <w:r w:rsidR="00A16CA9" w:rsidRPr="004E7506">
        <w:rPr>
          <w:rFonts w:ascii="Times New Roman" w:hAnsi="Times New Roman" w:cs="Times New Roman"/>
          <w:sz w:val="24"/>
          <w:szCs w:val="24"/>
        </w:rPr>
        <w:t xml:space="preserve">. The ability to provide instant feedback </w:t>
      </w:r>
      <w:r w:rsidR="00EB55B0" w:rsidRPr="004E7506">
        <w:rPr>
          <w:rFonts w:ascii="Times New Roman" w:hAnsi="Times New Roman" w:cs="Times New Roman"/>
          <w:sz w:val="24"/>
          <w:szCs w:val="24"/>
        </w:rPr>
        <w:t>on</w:t>
      </w:r>
      <w:r w:rsidR="00FF5834" w:rsidRPr="004E7506">
        <w:rPr>
          <w:rFonts w:ascii="Times New Roman" w:hAnsi="Times New Roman" w:cs="Times New Roman"/>
          <w:sz w:val="24"/>
          <w:szCs w:val="24"/>
        </w:rPr>
        <w:t>-</w:t>
      </w:r>
      <w:r w:rsidR="00EB55B0" w:rsidRPr="004E7506">
        <w:rPr>
          <w:rFonts w:ascii="Times New Roman" w:hAnsi="Times New Roman" w:cs="Times New Roman"/>
          <w:sz w:val="24"/>
          <w:szCs w:val="24"/>
        </w:rPr>
        <w:t xml:space="preserve">site reduces the need for an electronic survey </w:t>
      </w:r>
      <w:r w:rsidR="00092851" w:rsidRPr="004E7506">
        <w:rPr>
          <w:rFonts w:ascii="Times New Roman" w:hAnsi="Times New Roman" w:cs="Times New Roman"/>
          <w:sz w:val="24"/>
          <w:szCs w:val="24"/>
        </w:rPr>
        <w:t>instrument.</w:t>
      </w:r>
      <w:r w:rsidR="00092851" w:rsidRPr="00092851">
        <w:rPr>
          <w:rStyle w:val="CommentReference"/>
          <w:rFonts w:ascii="Times New Roman" w:hAnsi="Times New Roman" w:cs="Times New Roman"/>
          <w:sz w:val="24"/>
          <w:szCs w:val="24"/>
        </w:rPr>
        <w:t xml:space="preserve"> I</w:t>
      </w:r>
      <w:r w:rsidR="00092851" w:rsidRPr="00092851">
        <w:rPr>
          <w:rFonts w:ascii="Times New Roman" w:hAnsi="Times New Roman" w:cs="Times New Roman"/>
          <w:sz w:val="24"/>
          <w:szCs w:val="24"/>
        </w:rPr>
        <w:t>nstant</w:t>
      </w:r>
      <w:r w:rsidR="006E5ADE" w:rsidRPr="00092851">
        <w:rPr>
          <w:rFonts w:ascii="Times New Roman" w:hAnsi="Times New Roman" w:cs="Times New Roman"/>
          <w:sz w:val="24"/>
          <w:szCs w:val="24"/>
        </w:rPr>
        <w:t xml:space="preserve"> </w:t>
      </w:r>
      <w:r w:rsidR="006E5ADE">
        <w:rPr>
          <w:rFonts w:ascii="Times New Roman" w:hAnsi="Times New Roman" w:cs="Times New Roman"/>
          <w:sz w:val="24"/>
          <w:szCs w:val="24"/>
        </w:rPr>
        <w:t xml:space="preserve">feedback, voluntary participation, and a customized survey instrument will increase response rates and provides the best method for obtaining representative responses. </w:t>
      </w:r>
    </w:p>
    <w:p w14:paraId="76152FCC" w14:textId="18C4EC08"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14:paraId="25D7956E" w14:textId="2A0FA0B0" w:rsidR="0043338F" w:rsidRPr="004E7506" w:rsidRDefault="00EB55B0" w:rsidP="004E7506">
      <w:pPr>
        <w:ind w:left="360"/>
        <w:rPr>
          <w:rFonts w:ascii="Times New Roman" w:hAnsi="Times New Roman" w:cs="Times New Roman"/>
          <w:b/>
          <w:sz w:val="24"/>
          <w:szCs w:val="24"/>
        </w:rPr>
      </w:pPr>
      <w:r w:rsidRPr="004E7506">
        <w:rPr>
          <w:rFonts w:ascii="Times New Roman" w:hAnsi="Times New Roman" w:cs="Times New Roman"/>
          <w:sz w:val="24"/>
          <w:szCs w:val="24"/>
        </w:rPr>
        <w:t>This effort does not dupli</w:t>
      </w:r>
      <w:r w:rsidR="0042321F" w:rsidRPr="004E7506">
        <w:rPr>
          <w:rFonts w:ascii="Times New Roman" w:hAnsi="Times New Roman" w:cs="Times New Roman"/>
          <w:sz w:val="24"/>
          <w:szCs w:val="24"/>
        </w:rPr>
        <w:t>cate any other survey collection</w:t>
      </w:r>
      <w:r w:rsidRPr="004E7506">
        <w:rPr>
          <w:rFonts w:ascii="Times New Roman" w:hAnsi="Times New Roman" w:cs="Times New Roman"/>
          <w:sz w:val="24"/>
          <w:szCs w:val="24"/>
        </w:rPr>
        <w:t xml:space="preserve"> by HHS, ACL, or any other </w:t>
      </w:r>
      <w:r w:rsidR="00303A55" w:rsidRPr="004E7506">
        <w:rPr>
          <w:rFonts w:ascii="Times New Roman" w:hAnsi="Times New Roman" w:cs="Times New Roman"/>
          <w:sz w:val="24"/>
          <w:szCs w:val="24"/>
        </w:rPr>
        <w:t>f</w:t>
      </w:r>
      <w:r w:rsidRPr="004E7506">
        <w:rPr>
          <w:rFonts w:ascii="Times New Roman" w:hAnsi="Times New Roman" w:cs="Times New Roman"/>
          <w:sz w:val="24"/>
          <w:szCs w:val="24"/>
        </w:rPr>
        <w:t xml:space="preserve">ederal agency. ACL has not </w:t>
      </w:r>
      <w:r w:rsidR="00B5110D">
        <w:rPr>
          <w:rFonts w:ascii="Times New Roman" w:hAnsi="Times New Roman" w:cs="Times New Roman"/>
          <w:sz w:val="24"/>
          <w:szCs w:val="24"/>
        </w:rPr>
        <w:t xml:space="preserve">previously </w:t>
      </w:r>
      <w:r w:rsidRPr="004E7506">
        <w:rPr>
          <w:rFonts w:ascii="Times New Roman" w:hAnsi="Times New Roman" w:cs="Times New Roman"/>
          <w:sz w:val="24"/>
          <w:szCs w:val="24"/>
        </w:rPr>
        <w:t xml:space="preserve">performed any data collections related to satisfaction </w:t>
      </w:r>
      <w:r w:rsidR="00050C88">
        <w:rPr>
          <w:rFonts w:ascii="Times New Roman" w:hAnsi="Times New Roman" w:cs="Times New Roman"/>
          <w:sz w:val="24"/>
          <w:szCs w:val="24"/>
        </w:rPr>
        <w:t xml:space="preserve">with </w:t>
      </w:r>
      <w:r w:rsidRPr="004E7506">
        <w:rPr>
          <w:rFonts w:ascii="Times New Roman" w:hAnsi="Times New Roman" w:cs="Times New Roman"/>
          <w:sz w:val="24"/>
          <w:szCs w:val="24"/>
        </w:rPr>
        <w:t xml:space="preserve">SMP presentations. </w:t>
      </w:r>
      <w:r w:rsidR="00050C88">
        <w:rPr>
          <w:rFonts w:ascii="Times New Roman" w:hAnsi="Times New Roman" w:cs="Times New Roman"/>
          <w:sz w:val="24"/>
          <w:szCs w:val="24"/>
        </w:rPr>
        <w:t xml:space="preserve">This is the first time </w:t>
      </w:r>
      <w:r w:rsidRPr="004E7506">
        <w:rPr>
          <w:rFonts w:ascii="Times New Roman" w:hAnsi="Times New Roman" w:cs="Times New Roman"/>
          <w:sz w:val="24"/>
          <w:szCs w:val="24"/>
        </w:rPr>
        <w:t xml:space="preserve">ACL </w:t>
      </w:r>
      <w:r w:rsidR="00050C88">
        <w:rPr>
          <w:rFonts w:ascii="Times New Roman" w:hAnsi="Times New Roman" w:cs="Times New Roman"/>
          <w:sz w:val="24"/>
          <w:szCs w:val="24"/>
        </w:rPr>
        <w:t>is conducting</w:t>
      </w:r>
      <w:r w:rsidRPr="004E7506">
        <w:rPr>
          <w:rFonts w:ascii="Times New Roman" w:hAnsi="Times New Roman" w:cs="Times New Roman"/>
          <w:sz w:val="24"/>
          <w:szCs w:val="24"/>
        </w:rPr>
        <w:t xml:space="preserve"> </w:t>
      </w:r>
      <w:r w:rsidR="00050C88">
        <w:rPr>
          <w:rFonts w:ascii="Times New Roman" w:hAnsi="Times New Roman" w:cs="Times New Roman"/>
          <w:sz w:val="24"/>
          <w:szCs w:val="24"/>
        </w:rPr>
        <w:t xml:space="preserve">a satisfaction </w:t>
      </w:r>
      <w:r w:rsidRPr="004E7506">
        <w:rPr>
          <w:rFonts w:ascii="Times New Roman" w:hAnsi="Times New Roman" w:cs="Times New Roman"/>
          <w:sz w:val="24"/>
          <w:szCs w:val="24"/>
        </w:rPr>
        <w:t xml:space="preserve">survey </w:t>
      </w:r>
      <w:r w:rsidR="00050C88">
        <w:rPr>
          <w:rFonts w:ascii="Times New Roman" w:hAnsi="Times New Roman" w:cs="Times New Roman"/>
          <w:sz w:val="24"/>
          <w:szCs w:val="24"/>
        </w:rPr>
        <w:t xml:space="preserve">related to the SMP program, so </w:t>
      </w:r>
      <w:r w:rsidRPr="004E7506">
        <w:rPr>
          <w:rFonts w:ascii="Times New Roman" w:hAnsi="Times New Roman" w:cs="Times New Roman"/>
          <w:sz w:val="24"/>
          <w:szCs w:val="24"/>
        </w:rPr>
        <w:t>redundancy will not be an issue with this data collection.</w:t>
      </w:r>
    </w:p>
    <w:p w14:paraId="5A8C5B3A" w14:textId="5FB8EB24"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If the collection of information impacts small businesses or other small entities (Item 5 of OMB Form 83-I), describe any m</w:t>
      </w:r>
      <w:r w:rsidR="00FF5834" w:rsidRPr="004E7506">
        <w:rPr>
          <w:rFonts w:ascii="Times New Roman" w:hAnsi="Times New Roman" w:cs="Times New Roman"/>
          <w:b/>
          <w:sz w:val="24"/>
          <w:szCs w:val="24"/>
        </w:rPr>
        <w:t>ethods used to minimize burden.</w:t>
      </w:r>
    </w:p>
    <w:p w14:paraId="559497BC" w14:textId="77777777" w:rsidR="0043338F" w:rsidRPr="004E7506" w:rsidRDefault="00EB55B0" w:rsidP="004E7506">
      <w:pPr>
        <w:ind w:firstLine="360"/>
        <w:rPr>
          <w:rFonts w:ascii="Times New Roman" w:hAnsi="Times New Roman" w:cs="Times New Roman"/>
          <w:b/>
          <w:sz w:val="24"/>
          <w:szCs w:val="24"/>
        </w:rPr>
      </w:pPr>
      <w:r w:rsidRPr="004E7506">
        <w:rPr>
          <w:rFonts w:ascii="Times New Roman" w:hAnsi="Times New Roman" w:cs="Times New Roman"/>
          <w:sz w:val="24"/>
          <w:szCs w:val="24"/>
        </w:rPr>
        <w:t>This information collection has no impact on small businesses or other small entities.</w:t>
      </w:r>
    </w:p>
    <w:p w14:paraId="408DF511" w14:textId="1096D9A6"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Describe the consequence to Federal program or policy activities if the collection is not conducted or is conducted less frequently, as well as any technical or lega</w:t>
      </w:r>
      <w:r w:rsidR="00FF5834" w:rsidRPr="004E7506">
        <w:rPr>
          <w:rFonts w:ascii="Times New Roman" w:hAnsi="Times New Roman" w:cs="Times New Roman"/>
          <w:b/>
          <w:sz w:val="24"/>
          <w:szCs w:val="24"/>
        </w:rPr>
        <w:t>l obstacles to reducing burden.</w:t>
      </w:r>
    </w:p>
    <w:p w14:paraId="20FF6AFD" w14:textId="35BD9F48" w:rsidR="00B67777" w:rsidRPr="004E7506" w:rsidRDefault="00EE48AD" w:rsidP="004E7506">
      <w:pPr>
        <w:ind w:left="360"/>
        <w:rPr>
          <w:rFonts w:ascii="Times New Roman" w:hAnsi="Times New Roman" w:cs="Times New Roman"/>
          <w:b/>
          <w:sz w:val="24"/>
          <w:szCs w:val="24"/>
        </w:rPr>
      </w:pPr>
      <w:r w:rsidRPr="004E7506">
        <w:rPr>
          <w:rFonts w:ascii="Times New Roman" w:hAnsi="Times New Roman" w:cs="Times New Roman"/>
          <w:sz w:val="24"/>
          <w:szCs w:val="24"/>
        </w:rPr>
        <w:t xml:space="preserve">Without this information collection, ACL would not be able to measure satisfaction with SMP presentations and would be limited in its ability to implement improvements. </w:t>
      </w:r>
      <w:r w:rsidR="001E1A5D">
        <w:rPr>
          <w:rFonts w:ascii="Times New Roman" w:hAnsi="Times New Roman" w:cs="Times New Roman"/>
          <w:sz w:val="24"/>
          <w:szCs w:val="24"/>
        </w:rPr>
        <w:t xml:space="preserve">Assessing how </w:t>
      </w:r>
      <w:r w:rsidR="008705CB">
        <w:rPr>
          <w:rFonts w:ascii="Times New Roman" w:hAnsi="Times New Roman" w:cs="Times New Roman"/>
          <w:sz w:val="24"/>
          <w:szCs w:val="24"/>
        </w:rPr>
        <w:t>customer</w:t>
      </w:r>
      <w:r w:rsidR="001E1A5D">
        <w:rPr>
          <w:rFonts w:ascii="Times New Roman" w:hAnsi="Times New Roman" w:cs="Times New Roman"/>
          <w:sz w:val="24"/>
          <w:szCs w:val="24"/>
        </w:rPr>
        <w:t xml:space="preserve">s value the services and information they receive will allow for the development of program enhancements. </w:t>
      </w:r>
      <w:r w:rsidR="00704FFB" w:rsidRPr="004E7506">
        <w:rPr>
          <w:rFonts w:ascii="Times New Roman" w:hAnsi="Times New Roman" w:cs="Times New Roman"/>
          <w:sz w:val="24"/>
          <w:szCs w:val="24"/>
        </w:rPr>
        <w:t xml:space="preserve">In addition, ACL would not be able to meet the legal requirements pertaining to data collection and continuous improvement, including the </w:t>
      </w:r>
      <w:r w:rsidR="000F7A95" w:rsidRPr="004E7506">
        <w:rPr>
          <w:rFonts w:ascii="Times New Roman" w:hAnsi="Times New Roman" w:cs="Times New Roman"/>
          <w:sz w:val="24"/>
          <w:szCs w:val="24"/>
        </w:rPr>
        <w:t xml:space="preserve">March 3, </w:t>
      </w:r>
      <w:r w:rsidR="00704FFB" w:rsidRPr="004E7506">
        <w:rPr>
          <w:rFonts w:ascii="Times New Roman" w:hAnsi="Times New Roman" w:cs="Times New Roman"/>
          <w:sz w:val="24"/>
          <w:szCs w:val="24"/>
        </w:rPr>
        <w:t>1998 White House Memorandum, E</w:t>
      </w:r>
      <w:r w:rsidR="00C15520" w:rsidRPr="004E7506">
        <w:rPr>
          <w:rFonts w:ascii="Times New Roman" w:hAnsi="Times New Roman" w:cs="Times New Roman"/>
          <w:sz w:val="24"/>
          <w:szCs w:val="24"/>
        </w:rPr>
        <w:t>.O.</w:t>
      </w:r>
      <w:r w:rsidR="00704FFB" w:rsidRPr="004E7506">
        <w:rPr>
          <w:rFonts w:ascii="Times New Roman" w:hAnsi="Times New Roman" w:cs="Times New Roman"/>
          <w:sz w:val="24"/>
          <w:szCs w:val="24"/>
        </w:rPr>
        <w:t xml:space="preserve"> 12862, and </w:t>
      </w:r>
      <w:r w:rsidR="00B3469A" w:rsidRPr="004E7506">
        <w:rPr>
          <w:rFonts w:ascii="Times New Roman" w:hAnsi="Times New Roman" w:cs="Times New Roman"/>
          <w:sz w:val="24"/>
          <w:szCs w:val="24"/>
        </w:rPr>
        <w:t xml:space="preserve">the </w:t>
      </w:r>
      <w:r w:rsidR="00C170A0" w:rsidRPr="004E7506">
        <w:rPr>
          <w:rFonts w:ascii="Times New Roman" w:hAnsi="Times New Roman" w:cs="Times New Roman"/>
          <w:sz w:val="24"/>
          <w:szCs w:val="24"/>
        </w:rPr>
        <w:t>GPRA</w:t>
      </w:r>
      <w:r w:rsidR="00B3469A" w:rsidRPr="004E7506">
        <w:rPr>
          <w:rFonts w:ascii="Times New Roman" w:hAnsi="Times New Roman" w:cs="Times New Roman"/>
          <w:sz w:val="24"/>
          <w:szCs w:val="24"/>
        </w:rPr>
        <w:t xml:space="preserve"> </w:t>
      </w:r>
      <w:r w:rsidR="00C170A0" w:rsidRPr="004E7506">
        <w:rPr>
          <w:rFonts w:ascii="Times New Roman" w:hAnsi="Times New Roman" w:cs="Times New Roman"/>
          <w:sz w:val="24"/>
          <w:szCs w:val="24"/>
        </w:rPr>
        <w:t>M</w:t>
      </w:r>
      <w:r w:rsidR="00B3469A" w:rsidRPr="004E7506">
        <w:rPr>
          <w:rFonts w:ascii="Times New Roman" w:hAnsi="Times New Roman" w:cs="Times New Roman"/>
          <w:sz w:val="24"/>
          <w:szCs w:val="24"/>
        </w:rPr>
        <w:t xml:space="preserve">odernization </w:t>
      </w:r>
      <w:r w:rsidR="00C170A0" w:rsidRPr="004E7506">
        <w:rPr>
          <w:rFonts w:ascii="Times New Roman" w:hAnsi="Times New Roman" w:cs="Times New Roman"/>
          <w:sz w:val="24"/>
          <w:szCs w:val="24"/>
        </w:rPr>
        <w:t>A</w:t>
      </w:r>
      <w:r w:rsidR="00B3469A" w:rsidRPr="004E7506">
        <w:rPr>
          <w:rFonts w:ascii="Times New Roman" w:hAnsi="Times New Roman" w:cs="Times New Roman"/>
          <w:sz w:val="24"/>
          <w:szCs w:val="24"/>
        </w:rPr>
        <w:t>ct of 2010</w:t>
      </w:r>
      <w:r w:rsidR="00C170A0" w:rsidRPr="004E7506">
        <w:rPr>
          <w:rFonts w:ascii="Times New Roman" w:hAnsi="Times New Roman" w:cs="Times New Roman"/>
          <w:sz w:val="24"/>
          <w:szCs w:val="24"/>
        </w:rPr>
        <w:t xml:space="preserve"> </w:t>
      </w:r>
      <w:r w:rsidR="00CA7B52" w:rsidRPr="004E7506">
        <w:rPr>
          <w:rFonts w:ascii="Times New Roman" w:hAnsi="Times New Roman" w:cs="Times New Roman"/>
          <w:sz w:val="24"/>
          <w:szCs w:val="24"/>
        </w:rPr>
        <w:t>(Pub.</w:t>
      </w:r>
      <w:r w:rsidR="00FF5834" w:rsidRPr="004E7506">
        <w:rPr>
          <w:rFonts w:ascii="Times New Roman" w:hAnsi="Times New Roman" w:cs="Times New Roman"/>
          <w:sz w:val="24"/>
          <w:szCs w:val="24"/>
        </w:rPr>
        <w:t xml:space="preserve"> </w:t>
      </w:r>
      <w:r w:rsidR="00CA7B52" w:rsidRPr="004E7506">
        <w:rPr>
          <w:rFonts w:ascii="Times New Roman" w:hAnsi="Times New Roman" w:cs="Times New Roman"/>
          <w:sz w:val="24"/>
          <w:szCs w:val="24"/>
        </w:rPr>
        <w:t>L. 111–352</w:t>
      </w:r>
      <w:r w:rsidR="00FF5834" w:rsidRPr="004E7506">
        <w:rPr>
          <w:rFonts w:ascii="Times New Roman" w:hAnsi="Times New Roman" w:cs="Times New Roman"/>
          <w:sz w:val="24"/>
          <w:szCs w:val="24"/>
        </w:rPr>
        <w:t>).</w:t>
      </w:r>
    </w:p>
    <w:p w14:paraId="2221EA90" w14:textId="759586C0" w:rsidR="007E3CDE" w:rsidRPr="004E7506" w:rsidRDefault="007E3CDE"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Explain any special circumstances that would cause an information collection to be conducted in a manner:</w:t>
      </w:r>
    </w:p>
    <w:p w14:paraId="0A3052EF" w14:textId="43388F6C" w:rsidR="007E3CDE" w:rsidRPr="004E7506" w:rsidRDefault="007E3CDE"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report information to the agency more often than quarterly;</w:t>
      </w:r>
    </w:p>
    <w:p w14:paraId="7AEA4C46" w14:textId="3FA2161E" w:rsidR="007E3CDE" w:rsidRPr="004E7506" w:rsidRDefault="007E3CDE"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prepare a written response to a collection of information in fewer than 30 days after receipt of it;</w:t>
      </w:r>
    </w:p>
    <w:p w14:paraId="097D1524" w14:textId="27C20222" w:rsidR="007E3CDE" w:rsidRPr="004E7506" w:rsidRDefault="007E3CDE"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submit more than an original and two copies of any document;</w:t>
      </w:r>
    </w:p>
    <w:p w14:paraId="1EA0B55C" w14:textId="28327363" w:rsidR="007E3CDE" w:rsidRPr="004E7506" w:rsidRDefault="007E3CDE"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retain records, other than health, medical, government contract, grant-in-aid, or tax records, for more than three years;</w:t>
      </w:r>
    </w:p>
    <w:p w14:paraId="165A5581" w14:textId="1D8041A3" w:rsidR="007E3CDE" w:rsidRPr="004E7506" w:rsidRDefault="007E3CDE"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in connection with a statistical survey, that is not designed to produce valid and reliable results that can be generalized to the universe of study;</w:t>
      </w:r>
    </w:p>
    <w:p w14:paraId="228EE97E" w14:textId="5C3D7568" w:rsidR="007E3CDE" w:rsidRPr="004E7506" w:rsidRDefault="007E3CDE"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the use of a statistical data classification that has not been reviewed and approved by OMB;</w:t>
      </w:r>
    </w:p>
    <w:p w14:paraId="5FA04004" w14:textId="2C2DC217" w:rsidR="007E3CDE" w:rsidRPr="004E7506" w:rsidRDefault="007E3CDE"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8CF5032" w14:textId="66AFB428" w:rsidR="007E3CDE" w:rsidRPr="004E7506" w:rsidRDefault="007E3CDE"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54A4B24A" w14:textId="77777777" w:rsidR="0043338F" w:rsidRPr="004E7506" w:rsidRDefault="0043338F" w:rsidP="004E7506">
      <w:pPr>
        <w:ind w:left="360"/>
        <w:rPr>
          <w:rFonts w:ascii="Times New Roman" w:hAnsi="Times New Roman" w:cs="Times New Roman"/>
          <w:sz w:val="24"/>
          <w:szCs w:val="24"/>
        </w:rPr>
      </w:pPr>
      <w:r w:rsidRPr="004E7506">
        <w:rPr>
          <w:rFonts w:ascii="Times New Roman" w:hAnsi="Times New Roman" w:cs="Times New Roman"/>
          <w:sz w:val="24"/>
          <w:szCs w:val="24"/>
        </w:rPr>
        <w:t>The</w:t>
      </w:r>
      <w:r w:rsidR="00F54609" w:rsidRPr="004E7506">
        <w:rPr>
          <w:rFonts w:ascii="Times New Roman" w:hAnsi="Times New Roman" w:cs="Times New Roman"/>
          <w:sz w:val="24"/>
          <w:szCs w:val="24"/>
        </w:rPr>
        <w:t xml:space="preserve"> collection of information is consistent with 5 CFR 1320.5(d)(2), and there are no special circumstances with respect to reporting.</w:t>
      </w:r>
    </w:p>
    <w:p w14:paraId="4D58ABCE" w14:textId="4E0D208E" w:rsidR="0043338F" w:rsidRPr="00D2462C"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w:t>
      </w:r>
      <w:r w:rsidRPr="00D2462C">
        <w:rPr>
          <w:rFonts w:ascii="Times New Roman" w:hAnsi="Times New Roman" w:cs="Times New Roman"/>
          <w:b/>
          <w:sz w:val="24"/>
          <w:szCs w:val="24"/>
        </w:rPr>
        <w:t>or those who must compile records should occur at least once every 3 years - even if the collection of information activity is the same as in prior periods. There may be circumstances that may preclude consultation in a specific situation. These cir</w:t>
      </w:r>
      <w:r w:rsidR="00FF5834" w:rsidRPr="00D2462C">
        <w:rPr>
          <w:rFonts w:ascii="Times New Roman" w:hAnsi="Times New Roman" w:cs="Times New Roman"/>
          <w:b/>
          <w:sz w:val="24"/>
          <w:szCs w:val="24"/>
        </w:rPr>
        <w:t>cumstances should be explained.</w:t>
      </w:r>
    </w:p>
    <w:p w14:paraId="2A40E898" w14:textId="0E458141" w:rsidR="00D2462C" w:rsidRPr="00D2462C" w:rsidRDefault="007F5D49" w:rsidP="004E7506">
      <w:pPr>
        <w:ind w:left="360"/>
        <w:rPr>
          <w:rFonts w:ascii="Times New Roman" w:hAnsi="Times New Roman" w:cs="Times New Roman"/>
          <w:sz w:val="24"/>
          <w:szCs w:val="24"/>
        </w:rPr>
      </w:pPr>
      <w:r w:rsidRPr="00D2462C">
        <w:rPr>
          <w:rFonts w:ascii="Times New Roman" w:hAnsi="Times New Roman" w:cs="Times New Roman"/>
          <w:sz w:val="24"/>
          <w:szCs w:val="24"/>
        </w:rPr>
        <w:t>A 60-Day Federal Register Notice was published in the Fed</w:t>
      </w:r>
      <w:r w:rsidR="00291DFC" w:rsidRPr="00D2462C">
        <w:rPr>
          <w:rFonts w:ascii="Times New Roman" w:hAnsi="Times New Roman" w:cs="Times New Roman"/>
          <w:sz w:val="24"/>
          <w:szCs w:val="24"/>
        </w:rPr>
        <w:t>eral Register on June 2</w:t>
      </w:r>
      <w:r w:rsidR="008962E5" w:rsidRPr="00D2462C">
        <w:rPr>
          <w:rFonts w:ascii="Times New Roman" w:hAnsi="Times New Roman" w:cs="Times New Roman"/>
          <w:sz w:val="24"/>
          <w:szCs w:val="24"/>
        </w:rPr>
        <w:t>9</w:t>
      </w:r>
      <w:r w:rsidR="00291DFC" w:rsidRPr="00D2462C">
        <w:rPr>
          <w:rFonts w:ascii="Times New Roman" w:hAnsi="Times New Roman" w:cs="Times New Roman"/>
          <w:sz w:val="24"/>
          <w:szCs w:val="24"/>
        </w:rPr>
        <w:t>, 2016, vol. 81</w:t>
      </w:r>
      <w:r w:rsidR="0083357A" w:rsidRPr="00D2462C">
        <w:rPr>
          <w:rFonts w:ascii="Times New Roman" w:hAnsi="Times New Roman" w:cs="Times New Roman"/>
          <w:sz w:val="24"/>
          <w:szCs w:val="24"/>
        </w:rPr>
        <w:t>, No. 125; pp 42360-42362</w:t>
      </w:r>
      <w:r w:rsidR="008962E5" w:rsidRPr="00D2462C">
        <w:rPr>
          <w:rFonts w:ascii="Times New Roman" w:hAnsi="Times New Roman" w:cs="Times New Roman"/>
          <w:sz w:val="24"/>
          <w:szCs w:val="24"/>
        </w:rPr>
        <w:t>.</w:t>
      </w:r>
      <w:r w:rsidR="00256825" w:rsidRPr="00D2462C">
        <w:rPr>
          <w:rStyle w:val="FootnoteReference"/>
          <w:rFonts w:ascii="Times New Roman" w:hAnsi="Times New Roman" w:cs="Times New Roman"/>
          <w:sz w:val="24"/>
          <w:szCs w:val="24"/>
        </w:rPr>
        <w:footnoteReference w:id="4"/>
      </w:r>
      <w:r w:rsidR="00327C33">
        <w:rPr>
          <w:rFonts w:ascii="Times New Roman" w:hAnsi="Times New Roman" w:cs="Times New Roman"/>
          <w:sz w:val="24"/>
          <w:szCs w:val="24"/>
        </w:rPr>
        <w:t xml:space="preserve"> </w:t>
      </w:r>
      <w:r w:rsidRPr="00D2462C">
        <w:rPr>
          <w:rFonts w:ascii="Times New Roman" w:hAnsi="Times New Roman" w:cs="Times New Roman"/>
          <w:sz w:val="24"/>
          <w:szCs w:val="24"/>
        </w:rPr>
        <w:t>There were no public comments.</w:t>
      </w:r>
    </w:p>
    <w:p w14:paraId="5DC3DF64" w14:textId="17C51BBE" w:rsidR="00B67777" w:rsidRPr="00D2462C" w:rsidRDefault="00D2462C" w:rsidP="00D2462C">
      <w:pPr>
        <w:ind w:left="360"/>
        <w:rPr>
          <w:rFonts w:ascii="Times New Roman" w:hAnsi="Times New Roman" w:cs="Times New Roman"/>
          <w:sz w:val="24"/>
          <w:szCs w:val="24"/>
        </w:rPr>
      </w:pPr>
      <w:r w:rsidRPr="00D2462C">
        <w:rPr>
          <w:rFonts w:ascii="Times New Roman" w:hAnsi="Times New Roman" w:cs="Times New Roman"/>
          <w:sz w:val="24"/>
          <w:szCs w:val="24"/>
        </w:rPr>
        <w:t>A 30-Day Federal Register Notice was published in the Federal Register on November 8, 2016, vol. 81, No. 216; pp 78599-78600. There were no public comments.</w:t>
      </w:r>
    </w:p>
    <w:p w14:paraId="3E5DEC33" w14:textId="75F5EE82" w:rsidR="00F54609" w:rsidRPr="004E7506" w:rsidRDefault="007F5D49" w:rsidP="004E7506">
      <w:pPr>
        <w:ind w:left="360"/>
        <w:rPr>
          <w:rFonts w:ascii="Times New Roman" w:hAnsi="Times New Roman" w:cs="Times New Roman"/>
          <w:sz w:val="24"/>
          <w:szCs w:val="24"/>
        </w:rPr>
      </w:pPr>
      <w:r w:rsidRPr="00D2462C">
        <w:rPr>
          <w:rFonts w:ascii="Times New Roman" w:hAnsi="Times New Roman" w:cs="Times New Roman"/>
          <w:sz w:val="24"/>
          <w:szCs w:val="24"/>
        </w:rPr>
        <w:t>Aside from internal consultation, ACL worked with nine</w:t>
      </w:r>
      <w:r w:rsidR="00775A54" w:rsidRPr="00D2462C">
        <w:rPr>
          <w:rFonts w:ascii="Times New Roman" w:hAnsi="Times New Roman" w:cs="Times New Roman"/>
          <w:sz w:val="24"/>
          <w:szCs w:val="24"/>
        </w:rPr>
        <w:t xml:space="preserve"> (9)</w:t>
      </w:r>
      <w:r w:rsidRPr="00D2462C">
        <w:rPr>
          <w:rFonts w:ascii="Times New Roman" w:hAnsi="Times New Roman" w:cs="Times New Roman"/>
          <w:sz w:val="24"/>
          <w:szCs w:val="24"/>
        </w:rPr>
        <w:t xml:space="preserve"> individuals to verify the language and length of the survey instrument</w:t>
      </w:r>
      <w:r w:rsidR="00EE4317" w:rsidRPr="00D2462C">
        <w:rPr>
          <w:rFonts w:ascii="Times New Roman" w:hAnsi="Times New Roman" w:cs="Times New Roman"/>
          <w:sz w:val="24"/>
          <w:szCs w:val="24"/>
        </w:rPr>
        <w:t xml:space="preserve">. </w:t>
      </w:r>
      <w:r w:rsidR="00845FEC" w:rsidRPr="00D2462C">
        <w:rPr>
          <w:rFonts w:ascii="Times New Roman" w:hAnsi="Times New Roman" w:cs="Times New Roman"/>
          <w:sz w:val="24"/>
          <w:szCs w:val="24"/>
        </w:rPr>
        <w:t>ACL</w:t>
      </w:r>
      <w:r w:rsidR="000C042D" w:rsidRPr="00D2462C">
        <w:rPr>
          <w:rFonts w:ascii="Times New Roman" w:hAnsi="Times New Roman" w:cs="Times New Roman"/>
          <w:sz w:val="24"/>
          <w:szCs w:val="24"/>
        </w:rPr>
        <w:t>’s survey team – which included regional staff and volunteers</w:t>
      </w:r>
      <w:r w:rsidR="00050C88" w:rsidRPr="00D2462C">
        <w:rPr>
          <w:rFonts w:ascii="Times New Roman" w:hAnsi="Times New Roman" w:cs="Times New Roman"/>
          <w:sz w:val="24"/>
          <w:szCs w:val="24"/>
        </w:rPr>
        <w:t>,</w:t>
      </w:r>
      <w:r w:rsidR="000C042D" w:rsidRPr="00D2462C">
        <w:rPr>
          <w:rFonts w:ascii="Times New Roman" w:hAnsi="Times New Roman" w:cs="Times New Roman"/>
          <w:sz w:val="24"/>
          <w:szCs w:val="24"/>
        </w:rPr>
        <w:t xml:space="preserve"> plus contractor assistance</w:t>
      </w:r>
      <w:r w:rsidR="00050C88" w:rsidRPr="00D2462C">
        <w:rPr>
          <w:rFonts w:ascii="Times New Roman" w:hAnsi="Times New Roman" w:cs="Times New Roman"/>
          <w:sz w:val="24"/>
          <w:szCs w:val="24"/>
        </w:rPr>
        <w:t>,</w:t>
      </w:r>
      <w:r w:rsidR="000C042D" w:rsidRPr="00D2462C">
        <w:rPr>
          <w:rFonts w:ascii="Times New Roman" w:hAnsi="Times New Roman" w:cs="Times New Roman"/>
          <w:sz w:val="24"/>
          <w:szCs w:val="24"/>
        </w:rPr>
        <w:t xml:space="preserve"> attended</w:t>
      </w:r>
      <w:r w:rsidR="00845FEC" w:rsidRPr="00D2462C">
        <w:rPr>
          <w:rFonts w:ascii="Times New Roman" w:hAnsi="Times New Roman" w:cs="Times New Roman"/>
          <w:sz w:val="24"/>
          <w:szCs w:val="24"/>
        </w:rPr>
        <w:t xml:space="preserve"> group education sessions in Pennsylvania and Connecticut</w:t>
      </w:r>
      <w:r w:rsidR="00666F6D" w:rsidRPr="004E7506">
        <w:rPr>
          <w:rFonts w:ascii="Times New Roman" w:hAnsi="Times New Roman" w:cs="Times New Roman"/>
          <w:sz w:val="24"/>
          <w:szCs w:val="24"/>
        </w:rPr>
        <w:t xml:space="preserve">. The team worked </w:t>
      </w:r>
      <w:r w:rsidR="00845FEC" w:rsidRPr="004E7506">
        <w:rPr>
          <w:rFonts w:ascii="Times New Roman" w:hAnsi="Times New Roman" w:cs="Times New Roman"/>
          <w:sz w:val="24"/>
          <w:szCs w:val="24"/>
        </w:rPr>
        <w:t>with state</w:t>
      </w:r>
      <w:r w:rsidR="00463F68" w:rsidRPr="004E7506">
        <w:rPr>
          <w:rFonts w:ascii="Times New Roman" w:hAnsi="Times New Roman" w:cs="Times New Roman"/>
          <w:sz w:val="24"/>
          <w:szCs w:val="24"/>
        </w:rPr>
        <w:t>/territory</w:t>
      </w:r>
      <w:r w:rsidR="00845FEC" w:rsidRPr="004E7506">
        <w:rPr>
          <w:rFonts w:ascii="Times New Roman" w:hAnsi="Times New Roman" w:cs="Times New Roman"/>
          <w:sz w:val="24"/>
          <w:szCs w:val="24"/>
        </w:rPr>
        <w:t xml:space="preserve"> directors to understand and observe a typical education session and test the process for announcing the survey and gathering feedback. In Pennsylvania, ACL</w:t>
      </w:r>
      <w:r w:rsidR="000C042D" w:rsidRPr="004E7506">
        <w:rPr>
          <w:rFonts w:ascii="Times New Roman" w:hAnsi="Times New Roman" w:cs="Times New Roman"/>
          <w:sz w:val="24"/>
          <w:szCs w:val="24"/>
        </w:rPr>
        <w:t>’s survey team</w:t>
      </w:r>
      <w:r w:rsidR="00845FEC" w:rsidRPr="004E7506">
        <w:rPr>
          <w:rFonts w:ascii="Times New Roman" w:hAnsi="Times New Roman" w:cs="Times New Roman"/>
          <w:sz w:val="24"/>
          <w:szCs w:val="24"/>
        </w:rPr>
        <w:t xml:space="preserve"> was able to collect completed responses from four </w:t>
      </w:r>
      <w:r w:rsidR="00775A54" w:rsidRPr="004E7506">
        <w:rPr>
          <w:rFonts w:ascii="Times New Roman" w:hAnsi="Times New Roman" w:cs="Times New Roman"/>
          <w:sz w:val="24"/>
          <w:szCs w:val="24"/>
        </w:rPr>
        <w:t xml:space="preserve">(4) </w:t>
      </w:r>
      <w:r w:rsidR="00845FEC" w:rsidRPr="004E7506">
        <w:rPr>
          <w:rFonts w:ascii="Times New Roman" w:hAnsi="Times New Roman" w:cs="Times New Roman"/>
          <w:sz w:val="24"/>
          <w:szCs w:val="24"/>
        </w:rPr>
        <w:t>individuals who had attended the education session, and in Connecticut</w:t>
      </w:r>
      <w:r w:rsidR="000C042D" w:rsidRPr="004E7506">
        <w:rPr>
          <w:rFonts w:ascii="Times New Roman" w:hAnsi="Times New Roman" w:cs="Times New Roman"/>
          <w:sz w:val="24"/>
          <w:szCs w:val="24"/>
        </w:rPr>
        <w:t xml:space="preserve"> the survey team</w:t>
      </w:r>
      <w:r w:rsidR="00845FEC" w:rsidRPr="004E7506">
        <w:rPr>
          <w:rFonts w:ascii="Times New Roman" w:hAnsi="Times New Roman" w:cs="Times New Roman"/>
          <w:sz w:val="24"/>
          <w:szCs w:val="24"/>
        </w:rPr>
        <w:t xml:space="preserve"> collected responses from five </w:t>
      </w:r>
      <w:r w:rsidR="00775A54" w:rsidRPr="004E7506">
        <w:rPr>
          <w:rFonts w:ascii="Times New Roman" w:hAnsi="Times New Roman" w:cs="Times New Roman"/>
          <w:sz w:val="24"/>
          <w:szCs w:val="24"/>
        </w:rPr>
        <w:t xml:space="preserve">(5) </w:t>
      </w:r>
      <w:r w:rsidR="00845FEC" w:rsidRPr="004E7506">
        <w:rPr>
          <w:rFonts w:ascii="Times New Roman" w:hAnsi="Times New Roman" w:cs="Times New Roman"/>
          <w:sz w:val="24"/>
          <w:szCs w:val="24"/>
        </w:rPr>
        <w:t>education session attendees. The opportunity to deliver feedback was announced by ACL</w:t>
      </w:r>
      <w:r w:rsidR="000C042D" w:rsidRPr="004E7506">
        <w:rPr>
          <w:rFonts w:ascii="Times New Roman" w:hAnsi="Times New Roman" w:cs="Times New Roman"/>
          <w:sz w:val="24"/>
          <w:szCs w:val="24"/>
        </w:rPr>
        <w:t>’s survey team</w:t>
      </w:r>
      <w:r w:rsidR="00845FEC" w:rsidRPr="004E7506">
        <w:rPr>
          <w:rFonts w:ascii="Times New Roman" w:hAnsi="Times New Roman" w:cs="Times New Roman"/>
          <w:sz w:val="24"/>
          <w:szCs w:val="24"/>
        </w:rPr>
        <w:t xml:space="preserve"> immediately following the education session, and interested participants were given </w:t>
      </w:r>
      <w:r w:rsidR="00775A54" w:rsidRPr="004E7506">
        <w:rPr>
          <w:rFonts w:ascii="Times New Roman" w:hAnsi="Times New Roman" w:cs="Times New Roman"/>
          <w:sz w:val="24"/>
          <w:szCs w:val="24"/>
        </w:rPr>
        <w:t>letter-size (</w:t>
      </w:r>
      <w:r w:rsidR="00845FEC" w:rsidRPr="004E7506">
        <w:rPr>
          <w:rFonts w:ascii="Times New Roman" w:hAnsi="Times New Roman" w:cs="Times New Roman"/>
          <w:sz w:val="24"/>
          <w:szCs w:val="24"/>
        </w:rPr>
        <w:t>8.5” x 11”</w:t>
      </w:r>
      <w:r w:rsidR="00775A54" w:rsidRPr="004E7506">
        <w:rPr>
          <w:rFonts w:ascii="Times New Roman" w:hAnsi="Times New Roman" w:cs="Times New Roman"/>
          <w:sz w:val="24"/>
          <w:szCs w:val="24"/>
        </w:rPr>
        <w:t>)</w:t>
      </w:r>
      <w:r w:rsidR="00845FEC" w:rsidRPr="004E7506">
        <w:rPr>
          <w:rFonts w:ascii="Times New Roman" w:hAnsi="Times New Roman" w:cs="Times New Roman"/>
          <w:sz w:val="24"/>
          <w:szCs w:val="24"/>
        </w:rPr>
        <w:t xml:space="preserve"> comment cards to complete. A member of the </w:t>
      </w:r>
      <w:r w:rsidR="000C042D" w:rsidRPr="004E7506">
        <w:rPr>
          <w:rFonts w:ascii="Times New Roman" w:hAnsi="Times New Roman" w:cs="Times New Roman"/>
          <w:sz w:val="24"/>
          <w:szCs w:val="24"/>
        </w:rPr>
        <w:t>survey</w:t>
      </w:r>
      <w:r w:rsidR="00845FEC" w:rsidRPr="004E7506">
        <w:rPr>
          <w:rFonts w:ascii="Times New Roman" w:hAnsi="Times New Roman" w:cs="Times New Roman"/>
          <w:sz w:val="24"/>
          <w:szCs w:val="24"/>
        </w:rPr>
        <w:t xml:space="preserve"> team was available to answer questions, but did not read each question aloud or walk participants through the survey. This approa</w:t>
      </w:r>
      <w:r w:rsidR="00072969" w:rsidRPr="004E7506">
        <w:rPr>
          <w:rFonts w:ascii="Times New Roman" w:hAnsi="Times New Roman" w:cs="Times New Roman"/>
          <w:sz w:val="24"/>
          <w:szCs w:val="24"/>
        </w:rPr>
        <w:t>ch was chosen to create a realistic survey environment</w:t>
      </w:r>
      <w:r w:rsidR="00845FEC" w:rsidRPr="004E7506">
        <w:rPr>
          <w:rFonts w:ascii="Times New Roman" w:hAnsi="Times New Roman" w:cs="Times New Roman"/>
          <w:sz w:val="24"/>
          <w:szCs w:val="24"/>
        </w:rPr>
        <w:t>.</w:t>
      </w:r>
      <w:r w:rsidR="00072969" w:rsidRPr="004E7506">
        <w:rPr>
          <w:rFonts w:ascii="Times New Roman" w:hAnsi="Times New Roman" w:cs="Times New Roman"/>
          <w:sz w:val="24"/>
          <w:szCs w:val="24"/>
        </w:rPr>
        <w:t xml:space="preserve"> Once each participant completed his/her survey, ACL</w:t>
      </w:r>
      <w:r w:rsidR="000C042D" w:rsidRPr="004E7506">
        <w:rPr>
          <w:rFonts w:ascii="Times New Roman" w:hAnsi="Times New Roman" w:cs="Times New Roman"/>
          <w:sz w:val="24"/>
          <w:szCs w:val="24"/>
        </w:rPr>
        <w:t>’s survey team</w:t>
      </w:r>
      <w:r w:rsidR="00072969" w:rsidRPr="004E7506">
        <w:rPr>
          <w:rFonts w:ascii="Times New Roman" w:hAnsi="Times New Roman" w:cs="Times New Roman"/>
          <w:sz w:val="24"/>
          <w:szCs w:val="24"/>
        </w:rPr>
        <w:t xml:space="preserve"> asked for general impressions and what changes (if any) the participants would like to make.</w:t>
      </w:r>
      <w:r w:rsidR="00845FEC" w:rsidRPr="004E7506">
        <w:rPr>
          <w:rFonts w:ascii="Times New Roman" w:hAnsi="Times New Roman" w:cs="Times New Roman"/>
          <w:sz w:val="24"/>
          <w:szCs w:val="24"/>
        </w:rPr>
        <w:t xml:space="preserve"> </w:t>
      </w:r>
      <w:r w:rsidR="0042321F" w:rsidRPr="004E7506">
        <w:rPr>
          <w:rFonts w:ascii="Times New Roman" w:hAnsi="Times New Roman" w:cs="Times New Roman"/>
          <w:sz w:val="24"/>
          <w:szCs w:val="24"/>
        </w:rPr>
        <w:t>Feedback from these nine (9) individuals helped</w:t>
      </w:r>
      <w:r w:rsidR="00050C88">
        <w:rPr>
          <w:rFonts w:ascii="Times New Roman" w:hAnsi="Times New Roman" w:cs="Times New Roman"/>
          <w:sz w:val="24"/>
          <w:szCs w:val="24"/>
        </w:rPr>
        <w:t xml:space="preserve"> us</w:t>
      </w:r>
      <w:r w:rsidR="0042321F" w:rsidRPr="004E7506">
        <w:rPr>
          <w:rFonts w:ascii="Times New Roman" w:hAnsi="Times New Roman" w:cs="Times New Roman"/>
          <w:sz w:val="24"/>
          <w:szCs w:val="24"/>
        </w:rPr>
        <w:t xml:space="preserve"> to finalize the survey instrument and process that ha</w:t>
      </w:r>
      <w:r w:rsidR="00804457">
        <w:rPr>
          <w:rFonts w:ascii="Times New Roman" w:hAnsi="Times New Roman" w:cs="Times New Roman"/>
          <w:sz w:val="24"/>
          <w:szCs w:val="24"/>
        </w:rPr>
        <w:t>ve</w:t>
      </w:r>
      <w:r w:rsidR="0042321F" w:rsidRPr="004E7506">
        <w:rPr>
          <w:rFonts w:ascii="Times New Roman" w:hAnsi="Times New Roman" w:cs="Times New Roman"/>
          <w:sz w:val="24"/>
          <w:szCs w:val="24"/>
        </w:rPr>
        <w:t xml:space="preserve"> been submitted for OMB approval.</w:t>
      </w:r>
    </w:p>
    <w:p w14:paraId="343B3772" w14:textId="373FB559"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Explain any decision to provide any payment or gif</w:t>
      </w:r>
      <w:r w:rsidR="00F54609" w:rsidRPr="004E7506">
        <w:rPr>
          <w:rFonts w:ascii="Times New Roman" w:hAnsi="Times New Roman" w:cs="Times New Roman"/>
          <w:b/>
          <w:sz w:val="24"/>
          <w:szCs w:val="24"/>
        </w:rPr>
        <w:t>t to respondents, other than re</w:t>
      </w:r>
      <w:r w:rsidRPr="004E7506">
        <w:rPr>
          <w:rFonts w:ascii="Times New Roman" w:hAnsi="Times New Roman" w:cs="Times New Roman"/>
          <w:b/>
          <w:sz w:val="24"/>
          <w:szCs w:val="24"/>
        </w:rPr>
        <w:t>m</w:t>
      </w:r>
      <w:r w:rsidR="009E4935" w:rsidRPr="004E7506">
        <w:rPr>
          <w:rFonts w:ascii="Times New Roman" w:hAnsi="Times New Roman" w:cs="Times New Roman"/>
          <w:b/>
          <w:sz w:val="24"/>
          <w:szCs w:val="24"/>
        </w:rPr>
        <w:t>un</w:t>
      </w:r>
      <w:r w:rsidRPr="004E7506">
        <w:rPr>
          <w:rFonts w:ascii="Times New Roman" w:hAnsi="Times New Roman" w:cs="Times New Roman"/>
          <w:b/>
          <w:sz w:val="24"/>
          <w:szCs w:val="24"/>
        </w:rPr>
        <w:t>erat</w:t>
      </w:r>
      <w:r w:rsidR="00FF5834" w:rsidRPr="004E7506">
        <w:rPr>
          <w:rFonts w:ascii="Times New Roman" w:hAnsi="Times New Roman" w:cs="Times New Roman"/>
          <w:b/>
          <w:sz w:val="24"/>
          <w:szCs w:val="24"/>
        </w:rPr>
        <w:t>ion of contractors or grantees.</w:t>
      </w:r>
    </w:p>
    <w:p w14:paraId="5ECADEDD" w14:textId="6C56AC68" w:rsidR="0043338F" w:rsidRPr="004E7506" w:rsidRDefault="008D6E00" w:rsidP="004E7506">
      <w:pPr>
        <w:ind w:firstLine="360"/>
        <w:rPr>
          <w:rFonts w:ascii="Times New Roman" w:hAnsi="Times New Roman" w:cs="Times New Roman"/>
          <w:b/>
          <w:sz w:val="24"/>
          <w:szCs w:val="24"/>
        </w:rPr>
      </w:pPr>
      <w:r w:rsidRPr="004E7506">
        <w:rPr>
          <w:rFonts w:ascii="Times New Roman" w:hAnsi="Times New Roman" w:cs="Times New Roman"/>
          <w:sz w:val="24"/>
          <w:szCs w:val="24"/>
        </w:rPr>
        <w:t>The Agency will not provide payment or other forms of remuneration to participants</w:t>
      </w:r>
      <w:r w:rsidR="003D4F20" w:rsidRPr="004E7506">
        <w:rPr>
          <w:rFonts w:ascii="Times New Roman" w:hAnsi="Times New Roman" w:cs="Times New Roman"/>
          <w:sz w:val="24"/>
          <w:szCs w:val="24"/>
        </w:rPr>
        <w:t>.</w:t>
      </w:r>
    </w:p>
    <w:p w14:paraId="27D4A4F2" w14:textId="26C6AA9B"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Describe any assurance of confidentiality provided to respondents and the basis for the assurance in statute</w:t>
      </w:r>
      <w:r w:rsidR="00FF5834" w:rsidRPr="004E7506">
        <w:rPr>
          <w:rFonts w:ascii="Times New Roman" w:hAnsi="Times New Roman" w:cs="Times New Roman"/>
          <w:b/>
          <w:sz w:val="24"/>
          <w:szCs w:val="24"/>
        </w:rPr>
        <w:t>, regulation, or agency policy.</w:t>
      </w:r>
    </w:p>
    <w:p w14:paraId="6169F80C" w14:textId="0DB9AB52" w:rsidR="00601607" w:rsidRPr="004E7506" w:rsidRDefault="007F5289" w:rsidP="004E7506">
      <w:pPr>
        <w:ind w:left="360"/>
        <w:rPr>
          <w:rFonts w:ascii="Times New Roman" w:hAnsi="Times New Roman" w:cs="Times New Roman"/>
          <w:sz w:val="24"/>
          <w:szCs w:val="24"/>
        </w:rPr>
      </w:pPr>
      <w:r w:rsidRPr="004E7506">
        <w:rPr>
          <w:rFonts w:ascii="Times New Roman" w:hAnsi="Times New Roman" w:cs="Times New Roman"/>
          <w:sz w:val="24"/>
          <w:szCs w:val="24"/>
        </w:rPr>
        <w:t>In addition to complying with these legislative standards</w:t>
      </w:r>
      <w:r w:rsidR="000759C9" w:rsidRPr="004E7506">
        <w:rPr>
          <w:rFonts w:ascii="Times New Roman" w:hAnsi="Times New Roman" w:cs="Times New Roman"/>
          <w:sz w:val="24"/>
          <w:szCs w:val="24"/>
        </w:rPr>
        <w:t>,</w:t>
      </w:r>
      <w:r w:rsidRPr="004E7506">
        <w:rPr>
          <w:rFonts w:ascii="Times New Roman" w:hAnsi="Times New Roman" w:cs="Times New Roman"/>
          <w:sz w:val="24"/>
          <w:szCs w:val="24"/>
        </w:rPr>
        <w:t xml:space="preserve"> ACL will also take steps to explain to individual respondents the need for and value of this data collection. No confidential </w:t>
      </w:r>
      <w:r w:rsidR="000759C9" w:rsidRPr="004E7506">
        <w:rPr>
          <w:rFonts w:ascii="Times New Roman" w:hAnsi="Times New Roman" w:cs="Times New Roman"/>
          <w:sz w:val="24"/>
          <w:szCs w:val="24"/>
        </w:rPr>
        <w:t>or personal identif</w:t>
      </w:r>
      <w:r w:rsidR="00313513" w:rsidRPr="004E7506">
        <w:rPr>
          <w:rFonts w:ascii="Times New Roman" w:hAnsi="Times New Roman" w:cs="Times New Roman"/>
          <w:sz w:val="24"/>
          <w:szCs w:val="24"/>
        </w:rPr>
        <w:t>iable</w:t>
      </w:r>
      <w:r w:rsidR="000759C9" w:rsidRPr="004E7506">
        <w:rPr>
          <w:rFonts w:ascii="Times New Roman" w:hAnsi="Times New Roman" w:cs="Times New Roman"/>
          <w:sz w:val="24"/>
          <w:szCs w:val="24"/>
        </w:rPr>
        <w:t xml:space="preserve"> </w:t>
      </w:r>
      <w:r w:rsidRPr="004E7506">
        <w:rPr>
          <w:rFonts w:ascii="Times New Roman" w:hAnsi="Times New Roman" w:cs="Times New Roman"/>
          <w:sz w:val="24"/>
          <w:szCs w:val="24"/>
        </w:rPr>
        <w:t>information (such as name or phone number) is associated with this information collection</w:t>
      </w:r>
      <w:r w:rsidR="000759C9" w:rsidRPr="004E7506">
        <w:rPr>
          <w:rFonts w:ascii="Times New Roman" w:hAnsi="Times New Roman" w:cs="Times New Roman"/>
          <w:sz w:val="24"/>
          <w:szCs w:val="24"/>
        </w:rPr>
        <w:t xml:space="preserve">. Respondents </w:t>
      </w:r>
      <w:r w:rsidR="00601607" w:rsidRPr="004E7506">
        <w:rPr>
          <w:rFonts w:ascii="Times New Roman" w:hAnsi="Times New Roman" w:cs="Times New Roman"/>
          <w:sz w:val="24"/>
          <w:szCs w:val="24"/>
        </w:rPr>
        <w:t>will</w:t>
      </w:r>
      <w:r w:rsidRPr="004E7506">
        <w:rPr>
          <w:rFonts w:ascii="Times New Roman" w:hAnsi="Times New Roman" w:cs="Times New Roman"/>
          <w:sz w:val="24"/>
          <w:szCs w:val="24"/>
        </w:rPr>
        <w:t xml:space="preserve"> be informed of this fact</w:t>
      </w:r>
      <w:r w:rsidR="00C423CA" w:rsidRPr="004E7506">
        <w:rPr>
          <w:rFonts w:ascii="Times New Roman" w:hAnsi="Times New Roman" w:cs="Times New Roman"/>
          <w:sz w:val="24"/>
          <w:szCs w:val="24"/>
        </w:rPr>
        <w:t xml:space="preserve"> during the survey announcement at each group education session</w:t>
      </w:r>
      <w:r w:rsidR="00601607" w:rsidRPr="004E7506">
        <w:rPr>
          <w:rFonts w:ascii="Times New Roman" w:hAnsi="Times New Roman" w:cs="Times New Roman"/>
          <w:sz w:val="24"/>
          <w:szCs w:val="24"/>
        </w:rPr>
        <w:t>.</w:t>
      </w:r>
    </w:p>
    <w:p w14:paraId="395DD4AD" w14:textId="697E33B7"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w:t>
      </w:r>
      <w:r w:rsidR="00FF5834" w:rsidRPr="004E7506">
        <w:rPr>
          <w:rFonts w:ascii="Times New Roman" w:hAnsi="Times New Roman" w:cs="Times New Roman"/>
          <w:b/>
          <w:sz w:val="24"/>
          <w:szCs w:val="24"/>
        </w:rPr>
        <w:t xml:space="preserve"> their consent.</w:t>
      </w:r>
    </w:p>
    <w:p w14:paraId="5FB4D566" w14:textId="77777777" w:rsidR="008D6E00" w:rsidRPr="004E7506" w:rsidRDefault="008D6E00" w:rsidP="004E7506">
      <w:pPr>
        <w:ind w:firstLine="360"/>
        <w:rPr>
          <w:rFonts w:ascii="Times New Roman" w:hAnsi="Times New Roman" w:cs="Times New Roman"/>
          <w:sz w:val="24"/>
          <w:szCs w:val="24"/>
        </w:rPr>
      </w:pPr>
      <w:r w:rsidRPr="004E7506">
        <w:rPr>
          <w:rFonts w:ascii="Times New Roman" w:hAnsi="Times New Roman" w:cs="Times New Roman"/>
          <w:sz w:val="24"/>
          <w:szCs w:val="24"/>
        </w:rPr>
        <w:t>No questions will be asked that are of a personal or sensitive nature as defined by OMB.</w:t>
      </w:r>
    </w:p>
    <w:p w14:paraId="376BA11E" w14:textId="4688728C" w:rsidR="005E73FD"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Provide estimates of the hour burden of the collection of information. The statement should:</w:t>
      </w:r>
    </w:p>
    <w:p w14:paraId="3710C76D" w14:textId="3E45A909" w:rsidR="005E73FD" w:rsidRPr="004E7506" w:rsidRDefault="0043338F"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w:t>
      </w:r>
      <w:r w:rsidR="00FF5834" w:rsidRPr="004E7506">
        <w:rPr>
          <w:rFonts w:ascii="Times New Roman" w:hAnsi="Times New Roman" w:cs="Times New Roman"/>
          <w:b/>
          <w:sz w:val="24"/>
          <w:szCs w:val="24"/>
        </w:rPr>
        <w:t>y and usual business practices.</w:t>
      </w:r>
    </w:p>
    <w:p w14:paraId="19BF7E09" w14:textId="1D009ABD" w:rsidR="005E73FD" w:rsidRPr="004E7506" w:rsidRDefault="0043338F"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i/>
          <w:sz w:val="24"/>
          <w:szCs w:val="24"/>
          <w:u w:val="single"/>
        </w:rPr>
        <w:t>* If this request for approval covers more than one form, provide separate hour burden estimates for each form and aggregate the hour burdens in Item 13 of OMB Form 83-I.</w:t>
      </w:r>
    </w:p>
    <w:p w14:paraId="6252E626" w14:textId="6A554652" w:rsidR="0043338F" w:rsidRPr="004E7506" w:rsidRDefault="0043338F" w:rsidP="004E750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w:t>
      </w:r>
      <w:r w:rsidR="00FF5834" w:rsidRPr="004E7506">
        <w:rPr>
          <w:rFonts w:ascii="Times New Roman" w:hAnsi="Times New Roman" w:cs="Times New Roman"/>
          <w:b/>
          <w:sz w:val="24"/>
          <w:szCs w:val="24"/>
        </w:rPr>
        <w:t xml:space="preserve"> should be included in Item 13.</w:t>
      </w:r>
    </w:p>
    <w:p w14:paraId="568E0A81" w14:textId="77777777" w:rsidR="001E1A5D" w:rsidRPr="004E7506" w:rsidRDefault="001E1A5D" w:rsidP="001E1A5D">
      <w:pPr>
        <w:ind w:left="360"/>
        <w:rPr>
          <w:rFonts w:ascii="Times New Roman" w:hAnsi="Times New Roman" w:cs="Times New Roman"/>
          <w:b/>
          <w:sz w:val="24"/>
          <w:szCs w:val="24"/>
        </w:rPr>
      </w:pPr>
      <w:r w:rsidRPr="004E7506">
        <w:rPr>
          <w:rFonts w:ascii="Times New Roman" w:hAnsi="Times New Roman" w:cs="Times New Roman"/>
          <w:sz w:val="24"/>
          <w:szCs w:val="24"/>
        </w:rPr>
        <w:t>For this project, ACL will collect data throughout the year, until an individual state/territory has obtained 75 responses from education session presentations. To ensure that the responses are representative of the larger population, ACL has determined specific criteria regarding how many events can be sampled. These include:</w:t>
      </w:r>
    </w:p>
    <w:p w14:paraId="2235E0F7" w14:textId="77777777" w:rsidR="001E1A5D" w:rsidRPr="004E7506" w:rsidRDefault="001E1A5D" w:rsidP="001E1A5D">
      <w:pPr>
        <w:pStyle w:val="ListParagraph"/>
        <w:numPr>
          <w:ilvl w:val="1"/>
          <w:numId w:val="14"/>
        </w:numPr>
        <w:rPr>
          <w:rFonts w:ascii="Times New Roman" w:hAnsi="Times New Roman" w:cs="Times New Roman"/>
          <w:sz w:val="24"/>
          <w:szCs w:val="24"/>
        </w:rPr>
      </w:pPr>
      <w:r w:rsidRPr="004E7506">
        <w:rPr>
          <w:rFonts w:ascii="Times New Roman" w:hAnsi="Times New Roman" w:cs="Times New Roman"/>
          <w:sz w:val="24"/>
          <w:szCs w:val="24"/>
        </w:rPr>
        <w:t>Surveying a specific site no more than once.</w:t>
      </w:r>
    </w:p>
    <w:p w14:paraId="08041F01" w14:textId="77777777" w:rsidR="001E1A5D" w:rsidRPr="004E7506" w:rsidRDefault="001E1A5D" w:rsidP="001E1A5D">
      <w:pPr>
        <w:pStyle w:val="ListParagraph"/>
        <w:numPr>
          <w:ilvl w:val="1"/>
          <w:numId w:val="14"/>
        </w:numPr>
        <w:rPr>
          <w:rFonts w:ascii="Times New Roman" w:hAnsi="Times New Roman" w:cs="Times New Roman"/>
          <w:sz w:val="24"/>
          <w:szCs w:val="24"/>
        </w:rPr>
      </w:pPr>
      <w:r w:rsidRPr="004E7506">
        <w:rPr>
          <w:rFonts w:ascii="Times New Roman" w:hAnsi="Times New Roman" w:cs="Times New Roman"/>
          <w:sz w:val="24"/>
          <w:szCs w:val="24"/>
        </w:rPr>
        <w:t>Surveying at least five unique (i.e., non-redundant) presenters in each state/territory.</w:t>
      </w:r>
    </w:p>
    <w:p w14:paraId="2126107A" w14:textId="77777777" w:rsidR="001E1A5D" w:rsidRPr="004E7506" w:rsidRDefault="001E1A5D" w:rsidP="001E1A5D">
      <w:pPr>
        <w:pStyle w:val="ListParagraph"/>
        <w:numPr>
          <w:ilvl w:val="1"/>
          <w:numId w:val="14"/>
        </w:numPr>
        <w:rPr>
          <w:rFonts w:ascii="Times New Roman" w:hAnsi="Times New Roman" w:cs="Times New Roman"/>
          <w:sz w:val="24"/>
          <w:szCs w:val="24"/>
        </w:rPr>
      </w:pPr>
      <w:r w:rsidRPr="004E7506">
        <w:rPr>
          <w:rFonts w:ascii="Times New Roman" w:hAnsi="Times New Roman" w:cs="Times New Roman"/>
          <w:sz w:val="24"/>
          <w:szCs w:val="24"/>
        </w:rPr>
        <w:t>Surveying no fewer than five events and no more than 20 events in each state/territory.</w:t>
      </w:r>
    </w:p>
    <w:p w14:paraId="4C52EB1E" w14:textId="77777777" w:rsidR="001E1A5D" w:rsidRPr="004E7506" w:rsidRDefault="001E1A5D" w:rsidP="001E1A5D">
      <w:pPr>
        <w:pStyle w:val="ListParagraph"/>
        <w:numPr>
          <w:ilvl w:val="1"/>
          <w:numId w:val="14"/>
        </w:numPr>
        <w:rPr>
          <w:rFonts w:ascii="Times New Roman" w:hAnsi="Times New Roman" w:cs="Times New Roman"/>
          <w:sz w:val="24"/>
          <w:szCs w:val="24"/>
        </w:rPr>
      </w:pPr>
      <w:r w:rsidRPr="004E7506">
        <w:rPr>
          <w:rFonts w:ascii="Times New Roman" w:hAnsi="Times New Roman" w:cs="Times New Roman"/>
          <w:sz w:val="24"/>
          <w:szCs w:val="24"/>
        </w:rPr>
        <w:t>Surveying no more than two events per month in each state/territory.</w:t>
      </w:r>
    </w:p>
    <w:p w14:paraId="2412ACBA" w14:textId="77777777" w:rsidR="001E1A5D" w:rsidRPr="004E7506" w:rsidRDefault="001E1A5D" w:rsidP="001E1A5D">
      <w:pPr>
        <w:ind w:left="360"/>
        <w:rPr>
          <w:rFonts w:ascii="Times New Roman" w:hAnsi="Times New Roman" w:cs="Times New Roman"/>
          <w:sz w:val="24"/>
          <w:szCs w:val="24"/>
        </w:rPr>
      </w:pPr>
      <w:r w:rsidRPr="004E7506">
        <w:rPr>
          <w:rFonts w:ascii="Times New Roman" w:hAnsi="Times New Roman" w:cs="Times New Roman"/>
          <w:sz w:val="24"/>
          <w:szCs w:val="24"/>
        </w:rPr>
        <w:t>Because ACL does not schedule a year’s worth of events in advance, and typically only schedules events 2-3 weeks prior to their start date, ACL cannot apply a typical sampling methodology to this survey. However, the criteria above will limit the ability of individual locations or presenters to bias the overall results.</w:t>
      </w:r>
    </w:p>
    <w:p w14:paraId="37312985" w14:textId="0E2354D2" w:rsidR="00B67777" w:rsidRPr="004E7506" w:rsidRDefault="001E1A5D" w:rsidP="001E1A5D">
      <w:pPr>
        <w:ind w:left="360"/>
        <w:rPr>
          <w:rFonts w:ascii="Times New Roman" w:hAnsi="Times New Roman" w:cs="Times New Roman"/>
          <w:sz w:val="24"/>
          <w:szCs w:val="24"/>
        </w:rPr>
      </w:pPr>
      <w:r>
        <w:rPr>
          <w:rFonts w:ascii="Times New Roman" w:hAnsi="Times New Roman" w:cs="Times New Roman"/>
          <w:sz w:val="24"/>
          <w:szCs w:val="24"/>
        </w:rPr>
        <w:t>Each year</w:t>
      </w:r>
      <w:r w:rsidR="005817F7" w:rsidRPr="004E7506">
        <w:rPr>
          <w:rFonts w:ascii="Times New Roman" w:hAnsi="Times New Roman" w:cs="Times New Roman"/>
          <w:sz w:val="24"/>
          <w:szCs w:val="24"/>
        </w:rPr>
        <w:t xml:space="preserve">, ACL expects to obtain </w:t>
      </w:r>
      <w:r w:rsidR="001A0E7A" w:rsidRPr="004E7506">
        <w:rPr>
          <w:rFonts w:ascii="Times New Roman" w:hAnsi="Times New Roman" w:cs="Times New Roman"/>
          <w:sz w:val="24"/>
          <w:szCs w:val="24"/>
        </w:rPr>
        <w:t xml:space="preserve">an average of </w:t>
      </w:r>
      <w:r w:rsidR="005817F7" w:rsidRPr="004E7506">
        <w:rPr>
          <w:rFonts w:ascii="Times New Roman" w:hAnsi="Times New Roman" w:cs="Times New Roman"/>
          <w:sz w:val="24"/>
          <w:szCs w:val="24"/>
        </w:rPr>
        <w:t>1,3</w:t>
      </w:r>
      <w:r w:rsidR="001A0E7A" w:rsidRPr="004E7506">
        <w:rPr>
          <w:rFonts w:ascii="Times New Roman" w:hAnsi="Times New Roman" w:cs="Times New Roman"/>
          <w:sz w:val="24"/>
          <w:szCs w:val="24"/>
        </w:rPr>
        <w:t>2</w:t>
      </w:r>
      <w:r w:rsidR="005817F7" w:rsidRPr="004E7506">
        <w:rPr>
          <w:rFonts w:ascii="Times New Roman" w:hAnsi="Times New Roman" w:cs="Times New Roman"/>
          <w:sz w:val="24"/>
          <w:szCs w:val="24"/>
        </w:rPr>
        <w:t xml:space="preserve">5 completed surveys </w:t>
      </w:r>
      <w:r>
        <w:rPr>
          <w:rFonts w:ascii="Times New Roman" w:hAnsi="Times New Roman" w:cs="Times New Roman"/>
          <w:sz w:val="24"/>
          <w:szCs w:val="24"/>
        </w:rPr>
        <w:t xml:space="preserve">of </w:t>
      </w:r>
      <w:r w:rsidR="008705CB">
        <w:rPr>
          <w:rFonts w:ascii="Times New Roman" w:hAnsi="Times New Roman" w:cs="Times New Roman"/>
          <w:sz w:val="24"/>
          <w:szCs w:val="24"/>
        </w:rPr>
        <w:t>customer</w:t>
      </w:r>
      <w:r>
        <w:rPr>
          <w:rFonts w:ascii="Times New Roman" w:hAnsi="Times New Roman" w:cs="Times New Roman"/>
          <w:sz w:val="24"/>
          <w:szCs w:val="24"/>
        </w:rPr>
        <w:t>s that have attended a SMP Outreach Event</w:t>
      </w:r>
      <w:r w:rsidR="001A0E7A" w:rsidRPr="004E7506">
        <w:rPr>
          <w:rFonts w:ascii="Times New Roman" w:hAnsi="Times New Roman" w:cs="Times New Roman"/>
          <w:sz w:val="24"/>
          <w:szCs w:val="24"/>
        </w:rPr>
        <w:t>. These completed surveys will represent</w:t>
      </w:r>
      <w:r w:rsidR="005817F7" w:rsidRPr="004E7506">
        <w:rPr>
          <w:rFonts w:ascii="Times New Roman" w:hAnsi="Times New Roman" w:cs="Times New Roman"/>
          <w:sz w:val="24"/>
          <w:szCs w:val="24"/>
        </w:rPr>
        <w:t xml:space="preserve"> a random sample of individuals attending group education sessions, with each survey response requiring 5 minutes to complete. This time estimate is based on research performed by ACL with the existing survey instrument, including pilot tests with </w:t>
      </w:r>
      <w:r w:rsidR="00CE198A" w:rsidRPr="004E7506">
        <w:rPr>
          <w:rFonts w:ascii="Times New Roman" w:hAnsi="Times New Roman" w:cs="Times New Roman"/>
          <w:sz w:val="24"/>
          <w:szCs w:val="24"/>
        </w:rPr>
        <w:t>nine (9</w:t>
      </w:r>
      <w:r w:rsidR="00F20058" w:rsidRPr="004E7506">
        <w:rPr>
          <w:rFonts w:ascii="Times New Roman" w:hAnsi="Times New Roman" w:cs="Times New Roman"/>
          <w:sz w:val="24"/>
          <w:szCs w:val="24"/>
        </w:rPr>
        <w:t xml:space="preserve">) </w:t>
      </w:r>
      <w:r w:rsidR="005817F7" w:rsidRPr="004E7506">
        <w:rPr>
          <w:rFonts w:ascii="Times New Roman" w:hAnsi="Times New Roman" w:cs="Times New Roman"/>
          <w:sz w:val="24"/>
          <w:szCs w:val="24"/>
        </w:rPr>
        <w:t>individuals</w:t>
      </w:r>
      <w:r w:rsidR="00CE198A" w:rsidRPr="004E7506">
        <w:rPr>
          <w:rFonts w:ascii="Times New Roman" w:hAnsi="Times New Roman" w:cs="Times New Roman"/>
          <w:sz w:val="24"/>
          <w:szCs w:val="24"/>
        </w:rPr>
        <w:t xml:space="preserve"> who</w:t>
      </w:r>
      <w:r w:rsidR="00F20058" w:rsidRPr="004E7506">
        <w:rPr>
          <w:rFonts w:ascii="Times New Roman" w:hAnsi="Times New Roman" w:cs="Times New Roman"/>
          <w:sz w:val="24"/>
          <w:szCs w:val="24"/>
        </w:rPr>
        <w:t xml:space="preserve"> attended SM</w:t>
      </w:r>
      <w:r w:rsidR="005817F7" w:rsidRPr="004E7506">
        <w:rPr>
          <w:rFonts w:ascii="Times New Roman" w:hAnsi="Times New Roman" w:cs="Times New Roman"/>
          <w:sz w:val="24"/>
          <w:szCs w:val="24"/>
        </w:rPr>
        <w:t xml:space="preserve">P </w:t>
      </w:r>
      <w:r w:rsidR="00F20058" w:rsidRPr="004E7506">
        <w:rPr>
          <w:rFonts w:ascii="Times New Roman" w:hAnsi="Times New Roman" w:cs="Times New Roman"/>
          <w:sz w:val="24"/>
          <w:szCs w:val="24"/>
        </w:rPr>
        <w:t xml:space="preserve">group education sessions. </w:t>
      </w:r>
    </w:p>
    <w:p w14:paraId="35451B82" w14:textId="51CBFB2A" w:rsidR="001A0E7A" w:rsidRPr="004E7506" w:rsidRDefault="00202AE5" w:rsidP="001E1A5D">
      <w:pPr>
        <w:ind w:left="360"/>
        <w:rPr>
          <w:rFonts w:ascii="Times New Roman" w:hAnsi="Times New Roman" w:cs="Times New Roman"/>
          <w:sz w:val="24"/>
          <w:szCs w:val="24"/>
        </w:rPr>
      </w:pPr>
      <w:r w:rsidRPr="004E7506">
        <w:rPr>
          <w:rFonts w:ascii="Times New Roman" w:hAnsi="Times New Roman" w:cs="Times New Roman"/>
          <w:sz w:val="24"/>
          <w:szCs w:val="24"/>
        </w:rPr>
        <w:t>The target number 1,3</w:t>
      </w:r>
      <w:r w:rsidR="001A0E7A" w:rsidRPr="004E7506">
        <w:rPr>
          <w:rFonts w:ascii="Times New Roman" w:hAnsi="Times New Roman" w:cs="Times New Roman"/>
          <w:sz w:val="24"/>
          <w:szCs w:val="24"/>
        </w:rPr>
        <w:t>2</w:t>
      </w:r>
      <w:r w:rsidRPr="004E7506">
        <w:rPr>
          <w:rFonts w:ascii="Times New Roman" w:hAnsi="Times New Roman" w:cs="Times New Roman"/>
          <w:sz w:val="24"/>
          <w:szCs w:val="24"/>
        </w:rPr>
        <w:t xml:space="preserve">5 is a result of </w:t>
      </w:r>
      <w:r w:rsidR="001A0E7A" w:rsidRPr="004E7506">
        <w:rPr>
          <w:rFonts w:ascii="Times New Roman" w:hAnsi="Times New Roman" w:cs="Times New Roman"/>
          <w:sz w:val="24"/>
          <w:szCs w:val="24"/>
        </w:rPr>
        <w:t>53</w:t>
      </w:r>
      <w:r w:rsidRPr="004E7506">
        <w:rPr>
          <w:rFonts w:ascii="Times New Roman" w:hAnsi="Times New Roman" w:cs="Times New Roman"/>
          <w:sz w:val="24"/>
          <w:szCs w:val="24"/>
        </w:rPr>
        <w:t xml:space="preserve"> states/territories</w:t>
      </w:r>
      <w:r w:rsidR="00FC0EF0">
        <w:rPr>
          <w:rFonts w:ascii="Times New Roman" w:hAnsi="Times New Roman" w:cs="Times New Roman"/>
          <w:sz w:val="24"/>
          <w:szCs w:val="24"/>
        </w:rPr>
        <w:t>,</w:t>
      </w:r>
      <w:r w:rsidRPr="004E7506">
        <w:rPr>
          <w:rFonts w:ascii="Times New Roman" w:hAnsi="Times New Roman" w:cs="Times New Roman"/>
          <w:sz w:val="24"/>
          <w:szCs w:val="24"/>
        </w:rPr>
        <w:t xml:space="preserve"> each generating 75 completed surveys </w:t>
      </w:r>
      <w:r w:rsidR="001A0E7A" w:rsidRPr="004E7506">
        <w:rPr>
          <w:rFonts w:ascii="Times New Roman" w:hAnsi="Times New Roman" w:cs="Times New Roman"/>
          <w:sz w:val="24"/>
          <w:szCs w:val="24"/>
        </w:rPr>
        <w:t>over three</w:t>
      </w:r>
      <w:r w:rsidRPr="004E7506">
        <w:rPr>
          <w:rFonts w:ascii="Times New Roman" w:hAnsi="Times New Roman" w:cs="Times New Roman"/>
          <w:sz w:val="24"/>
          <w:szCs w:val="24"/>
        </w:rPr>
        <w:t xml:space="preserve"> year</w:t>
      </w:r>
      <w:r w:rsidR="001A0E7A" w:rsidRPr="004E7506">
        <w:rPr>
          <w:rFonts w:ascii="Times New Roman" w:hAnsi="Times New Roman" w:cs="Times New Roman"/>
          <w:sz w:val="24"/>
          <w:szCs w:val="24"/>
        </w:rPr>
        <w:t>s (53*75 = 3,975)</w:t>
      </w:r>
      <w:r w:rsidRPr="004E7506">
        <w:rPr>
          <w:rFonts w:ascii="Times New Roman" w:hAnsi="Times New Roman" w:cs="Times New Roman"/>
          <w:sz w:val="24"/>
          <w:szCs w:val="24"/>
        </w:rPr>
        <w:t xml:space="preserve">. </w:t>
      </w:r>
      <w:r w:rsidR="001A0E7A" w:rsidRPr="004E7506">
        <w:rPr>
          <w:rFonts w:ascii="Times New Roman" w:hAnsi="Times New Roman" w:cs="Times New Roman"/>
          <w:sz w:val="24"/>
          <w:szCs w:val="24"/>
        </w:rPr>
        <w:t>Averaging the total collection over three years generates the annual average of 1</w:t>
      </w:r>
      <w:r w:rsidR="00470CE8" w:rsidRPr="004E7506">
        <w:rPr>
          <w:rFonts w:ascii="Times New Roman" w:hAnsi="Times New Roman" w:cs="Times New Roman"/>
          <w:sz w:val="24"/>
          <w:szCs w:val="24"/>
        </w:rPr>
        <w:t>,325</w:t>
      </w:r>
      <w:r w:rsidR="001A0E7A" w:rsidRPr="004E7506">
        <w:rPr>
          <w:rFonts w:ascii="Times New Roman" w:hAnsi="Times New Roman" w:cs="Times New Roman"/>
          <w:sz w:val="24"/>
          <w:szCs w:val="24"/>
        </w:rPr>
        <w:t xml:space="preserve"> responses (3,975/3 = 1,325).</w:t>
      </w:r>
      <w:r w:rsidR="00FC0EF0">
        <w:rPr>
          <w:rFonts w:ascii="Times New Roman" w:hAnsi="Times New Roman" w:cs="Times New Roman"/>
          <w:sz w:val="24"/>
          <w:szCs w:val="24"/>
        </w:rPr>
        <w:t xml:space="preserve"> Multiplying the 1,325 by 5 minutes (5/60) results in a total of 110.4 burden hours per year to complete this data collection.</w:t>
      </w:r>
    </w:p>
    <w:p w14:paraId="39482B80" w14:textId="7875D3CA" w:rsidR="00202AE5" w:rsidRPr="004E7506" w:rsidRDefault="00A27A32" w:rsidP="001E1A5D">
      <w:pPr>
        <w:ind w:left="360"/>
        <w:rPr>
          <w:rFonts w:ascii="Times New Roman" w:hAnsi="Times New Roman" w:cs="Times New Roman"/>
          <w:sz w:val="24"/>
          <w:szCs w:val="24"/>
        </w:rPr>
      </w:pPr>
      <w:r w:rsidRPr="004E7506">
        <w:rPr>
          <w:rFonts w:ascii="Times New Roman" w:hAnsi="Times New Roman" w:cs="Times New Roman"/>
          <w:sz w:val="24"/>
          <w:szCs w:val="24"/>
        </w:rPr>
        <w:t xml:space="preserve">Seventy-five (75) </w:t>
      </w:r>
      <w:r w:rsidR="00202AE5" w:rsidRPr="004E7506">
        <w:rPr>
          <w:rFonts w:ascii="Times New Roman" w:hAnsi="Times New Roman" w:cs="Times New Roman"/>
          <w:sz w:val="24"/>
          <w:szCs w:val="24"/>
        </w:rPr>
        <w:t xml:space="preserve">surveys </w:t>
      </w:r>
      <w:r w:rsidR="001A0E7A" w:rsidRPr="004E7506">
        <w:rPr>
          <w:rFonts w:ascii="Times New Roman" w:hAnsi="Times New Roman" w:cs="Times New Roman"/>
          <w:sz w:val="24"/>
          <w:szCs w:val="24"/>
        </w:rPr>
        <w:t xml:space="preserve">per state/territory </w:t>
      </w:r>
      <w:r w:rsidR="00202AE5" w:rsidRPr="004E7506">
        <w:rPr>
          <w:rFonts w:ascii="Times New Roman" w:hAnsi="Times New Roman" w:cs="Times New Roman"/>
          <w:sz w:val="24"/>
          <w:szCs w:val="24"/>
        </w:rPr>
        <w:t>were chosen as a means to:</w:t>
      </w:r>
    </w:p>
    <w:p w14:paraId="20B99296" w14:textId="585A3213" w:rsidR="00202AE5" w:rsidRPr="001E1A5D" w:rsidRDefault="00202AE5" w:rsidP="001E1A5D">
      <w:pPr>
        <w:pStyle w:val="ListParagraph"/>
        <w:numPr>
          <w:ilvl w:val="0"/>
          <w:numId w:val="32"/>
        </w:numPr>
        <w:rPr>
          <w:rFonts w:ascii="Times New Roman" w:hAnsi="Times New Roman" w:cs="Times New Roman"/>
          <w:sz w:val="24"/>
          <w:szCs w:val="24"/>
        </w:rPr>
      </w:pPr>
      <w:r w:rsidRPr="001E1A5D">
        <w:rPr>
          <w:rFonts w:ascii="Times New Roman" w:hAnsi="Times New Roman" w:cs="Times New Roman"/>
          <w:sz w:val="24"/>
          <w:szCs w:val="24"/>
        </w:rPr>
        <w:t>Make comparisons between states</w:t>
      </w:r>
      <w:r w:rsidR="001A0E7A" w:rsidRPr="001E1A5D">
        <w:rPr>
          <w:rFonts w:ascii="Times New Roman" w:hAnsi="Times New Roman" w:cs="Times New Roman"/>
          <w:sz w:val="24"/>
          <w:szCs w:val="24"/>
        </w:rPr>
        <w:t>/territories</w:t>
      </w:r>
      <w:r w:rsidRPr="001E1A5D">
        <w:rPr>
          <w:rFonts w:ascii="Times New Roman" w:hAnsi="Times New Roman" w:cs="Times New Roman"/>
          <w:sz w:val="24"/>
          <w:szCs w:val="24"/>
        </w:rPr>
        <w:t>, and</w:t>
      </w:r>
    </w:p>
    <w:p w14:paraId="0A394A1B" w14:textId="6521797F" w:rsidR="00202AE5" w:rsidRPr="001E1A5D" w:rsidRDefault="00202AE5" w:rsidP="001E1A5D">
      <w:pPr>
        <w:pStyle w:val="ListParagraph"/>
        <w:numPr>
          <w:ilvl w:val="0"/>
          <w:numId w:val="32"/>
        </w:numPr>
        <w:rPr>
          <w:rFonts w:ascii="Times New Roman" w:hAnsi="Times New Roman" w:cs="Times New Roman"/>
          <w:sz w:val="24"/>
          <w:szCs w:val="24"/>
        </w:rPr>
      </w:pPr>
      <w:r w:rsidRPr="001E1A5D">
        <w:rPr>
          <w:rFonts w:ascii="Times New Roman" w:hAnsi="Times New Roman" w:cs="Times New Roman"/>
          <w:sz w:val="24"/>
          <w:szCs w:val="24"/>
        </w:rPr>
        <w:t>Maximize individual state</w:t>
      </w:r>
      <w:r w:rsidR="001A0E7A" w:rsidRPr="001E1A5D">
        <w:rPr>
          <w:rFonts w:ascii="Times New Roman" w:hAnsi="Times New Roman" w:cs="Times New Roman"/>
          <w:sz w:val="24"/>
          <w:szCs w:val="24"/>
        </w:rPr>
        <w:t>/territory</w:t>
      </w:r>
      <w:r w:rsidRPr="001E1A5D">
        <w:rPr>
          <w:rFonts w:ascii="Times New Roman" w:hAnsi="Times New Roman" w:cs="Times New Roman"/>
          <w:sz w:val="24"/>
          <w:szCs w:val="24"/>
        </w:rPr>
        <w:t xml:space="preserve"> data collections within budgetary constraints.</w:t>
      </w:r>
    </w:p>
    <w:p w14:paraId="0C093B48" w14:textId="36F87E1F" w:rsidR="00202AE5" w:rsidRPr="004E7506" w:rsidRDefault="00202AE5" w:rsidP="001E1A5D">
      <w:pPr>
        <w:ind w:left="360"/>
        <w:rPr>
          <w:rFonts w:ascii="Times New Roman" w:hAnsi="Times New Roman" w:cs="Times New Roman"/>
          <w:sz w:val="24"/>
          <w:szCs w:val="24"/>
        </w:rPr>
      </w:pPr>
      <w:r w:rsidRPr="004E7506">
        <w:rPr>
          <w:rFonts w:ascii="Times New Roman" w:hAnsi="Times New Roman" w:cs="Times New Roman"/>
          <w:sz w:val="24"/>
          <w:szCs w:val="24"/>
        </w:rPr>
        <w:t>The survey will be repeated over three years until all states/territories have been surveyed.</w:t>
      </w:r>
      <w:r w:rsidR="001A0E7A" w:rsidRPr="004E7506">
        <w:rPr>
          <w:rFonts w:ascii="Times New Roman" w:hAnsi="Times New Roman" w:cs="Times New Roman"/>
          <w:sz w:val="24"/>
          <w:szCs w:val="24"/>
        </w:rPr>
        <w:t xml:space="preserve"> </w:t>
      </w:r>
      <w:r w:rsidR="00A27A32" w:rsidRPr="004E7506">
        <w:rPr>
          <w:rFonts w:ascii="Times New Roman" w:hAnsi="Times New Roman" w:cs="Times New Roman"/>
          <w:sz w:val="24"/>
          <w:szCs w:val="24"/>
        </w:rPr>
        <w:t>Eighteen (</w:t>
      </w:r>
      <w:r w:rsidR="001A0E7A" w:rsidRPr="004E7506">
        <w:rPr>
          <w:rFonts w:ascii="Times New Roman" w:hAnsi="Times New Roman" w:cs="Times New Roman"/>
          <w:sz w:val="24"/>
          <w:szCs w:val="24"/>
        </w:rPr>
        <w:t>18</w:t>
      </w:r>
      <w:r w:rsidR="00A27A32" w:rsidRPr="004E7506">
        <w:rPr>
          <w:rFonts w:ascii="Times New Roman" w:hAnsi="Times New Roman" w:cs="Times New Roman"/>
          <w:sz w:val="24"/>
          <w:szCs w:val="24"/>
        </w:rPr>
        <w:t>)</w:t>
      </w:r>
      <w:r w:rsidR="001A0E7A" w:rsidRPr="004E7506">
        <w:rPr>
          <w:rFonts w:ascii="Times New Roman" w:hAnsi="Times New Roman" w:cs="Times New Roman"/>
          <w:sz w:val="24"/>
          <w:szCs w:val="24"/>
        </w:rPr>
        <w:t xml:space="preserve"> states/territories will be surveyed in Year 1 and </w:t>
      </w:r>
      <w:r w:rsidR="00A27A32" w:rsidRPr="004E7506">
        <w:rPr>
          <w:rFonts w:ascii="Times New Roman" w:hAnsi="Times New Roman" w:cs="Times New Roman"/>
          <w:sz w:val="24"/>
          <w:szCs w:val="24"/>
        </w:rPr>
        <w:t xml:space="preserve">Year </w:t>
      </w:r>
      <w:r w:rsidR="001A0E7A" w:rsidRPr="004E7506">
        <w:rPr>
          <w:rFonts w:ascii="Times New Roman" w:hAnsi="Times New Roman" w:cs="Times New Roman"/>
          <w:sz w:val="24"/>
          <w:szCs w:val="24"/>
        </w:rPr>
        <w:t>2, and 17 states/territories will be surveyed in Year 3.</w:t>
      </w:r>
    </w:p>
    <w:p w14:paraId="7412B5D8" w14:textId="34B25E7F" w:rsidR="00B67777" w:rsidRPr="004E7506" w:rsidRDefault="001A0E7A" w:rsidP="001E1A5D">
      <w:pPr>
        <w:ind w:left="360"/>
        <w:rPr>
          <w:rFonts w:ascii="Times New Roman" w:hAnsi="Times New Roman" w:cs="Times New Roman"/>
          <w:sz w:val="24"/>
          <w:szCs w:val="24"/>
        </w:rPr>
      </w:pPr>
      <w:r w:rsidRPr="004E7506">
        <w:rPr>
          <w:rFonts w:ascii="Times New Roman" w:hAnsi="Times New Roman" w:cs="Times New Roman"/>
          <w:sz w:val="24"/>
          <w:szCs w:val="24"/>
        </w:rPr>
        <w:t>A</w:t>
      </w:r>
      <w:r w:rsidR="005817F7" w:rsidRPr="004E7506">
        <w:rPr>
          <w:rFonts w:ascii="Times New Roman" w:hAnsi="Times New Roman" w:cs="Times New Roman"/>
          <w:sz w:val="24"/>
          <w:szCs w:val="24"/>
        </w:rPr>
        <w:t xml:space="preserve">ll </w:t>
      </w:r>
      <w:r w:rsidRPr="004E7506">
        <w:rPr>
          <w:rFonts w:ascii="Times New Roman" w:hAnsi="Times New Roman" w:cs="Times New Roman"/>
          <w:sz w:val="24"/>
          <w:szCs w:val="24"/>
        </w:rPr>
        <w:t xml:space="preserve">survey </w:t>
      </w:r>
      <w:r w:rsidR="005817F7" w:rsidRPr="004E7506">
        <w:rPr>
          <w:rFonts w:ascii="Times New Roman" w:hAnsi="Times New Roman" w:cs="Times New Roman"/>
          <w:sz w:val="24"/>
          <w:szCs w:val="24"/>
        </w:rPr>
        <w:t>responses will come from individu</w:t>
      </w:r>
      <w:r w:rsidR="00F20058" w:rsidRPr="004E7506">
        <w:rPr>
          <w:rFonts w:ascii="Times New Roman" w:hAnsi="Times New Roman" w:cs="Times New Roman"/>
          <w:sz w:val="24"/>
          <w:szCs w:val="24"/>
        </w:rPr>
        <w:t>als who attended education sessions presented by the local SM</w:t>
      </w:r>
      <w:r w:rsidR="005817F7" w:rsidRPr="004E7506">
        <w:rPr>
          <w:rFonts w:ascii="Times New Roman" w:hAnsi="Times New Roman" w:cs="Times New Roman"/>
          <w:sz w:val="24"/>
          <w:szCs w:val="24"/>
        </w:rPr>
        <w:t>P program. Because there are no specific expectations in terms of employment status or experience, all individuals will be charged at the rate for “All Occupations</w:t>
      </w:r>
      <w:r w:rsidR="00C15520" w:rsidRPr="004E7506">
        <w:rPr>
          <w:rFonts w:ascii="Times New Roman" w:hAnsi="Times New Roman" w:cs="Times New Roman"/>
          <w:sz w:val="24"/>
          <w:szCs w:val="24"/>
        </w:rPr>
        <w:t>,”</w:t>
      </w:r>
      <w:r w:rsidR="005817F7" w:rsidRPr="004E7506">
        <w:rPr>
          <w:rFonts w:ascii="Times New Roman" w:hAnsi="Times New Roman" w:cs="Times New Roman"/>
          <w:sz w:val="24"/>
          <w:szCs w:val="24"/>
        </w:rPr>
        <w:t xml:space="preserve"> which is $23.23/hour, as defined by the Bureau of Labor Statistics’ “Occupational Employment Statistics</w:t>
      </w:r>
      <w:r w:rsidR="00C15520" w:rsidRPr="004E7506">
        <w:rPr>
          <w:rFonts w:ascii="Times New Roman" w:hAnsi="Times New Roman" w:cs="Times New Roman"/>
          <w:sz w:val="24"/>
          <w:szCs w:val="24"/>
        </w:rPr>
        <w:t>.”</w:t>
      </w:r>
      <w:r w:rsidR="00FC0EF0">
        <w:rPr>
          <w:rFonts w:ascii="Times New Roman" w:hAnsi="Times New Roman" w:cs="Times New Roman"/>
          <w:sz w:val="24"/>
          <w:szCs w:val="24"/>
        </w:rPr>
        <w:t xml:space="preserve"> This number is increased by a factor of 100% to account for benefits and overhead</w:t>
      </w:r>
      <w:r w:rsidR="00627275">
        <w:rPr>
          <w:rFonts w:ascii="Times New Roman" w:hAnsi="Times New Roman" w:cs="Times New Roman"/>
          <w:sz w:val="24"/>
          <w:szCs w:val="24"/>
        </w:rPr>
        <w:t>, resulting in a rate of $46.46/hour.</w:t>
      </w:r>
    </w:p>
    <w:p w14:paraId="0CD71A34" w14:textId="20B9A98F" w:rsidR="00B67777" w:rsidRPr="004E7506" w:rsidRDefault="005817F7" w:rsidP="001E1A5D">
      <w:pPr>
        <w:ind w:left="360"/>
        <w:rPr>
          <w:rFonts w:ascii="Times New Roman" w:hAnsi="Times New Roman" w:cs="Times New Roman"/>
          <w:sz w:val="24"/>
          <w:szCs w:val="24"/>
        </w:rPr>
      </w:pPr>
      <w:r w:rsidRPr="004E7506">
        <w:rPr>
          <w:rFonts w:ascii="Times New Roman" w:hAnsi="Times New Roman" w:cs="Times New Roman"/>
          <w:sz w:val="24"/>
          <w:szCs w:val="24"/>
        </w:rPr>
        <w:t>As a result, ACL estimates an approximate aggrega</w:t>
      </w:r>
      <w:r w:rsidR="00F20058" w:rsidRPr="004E7506">
        <w:rPr>
          <w:rFonts w:ascii="Times New Roman" w:hAnsi="Times New Roman" w:cs="Times New Roman"/>
          <w:sz w:val="24"/>
          <w:szCs w:val="24"/>
        </w:rPr>
        <w:t>te cost to respondents of $2,</w:t>
      </w:r>
      <w:r w:rsidR="00342999" w:rsidRPr="004E7506">
        <w:rPr>
          <w:rFonts w:ascii="Times New Roman" w:hAnsi="Times New Roman" w:cs="Times New Roman"/>
          <w:sz w:val="24"/>
          <w:szCs w:val="24"/>
        </w:rPr>
        <w:t>5</w:t>
      </w:r>
      <w:r w:rsidR="00F20058" w:rsidRPr="004E7506">
        <w:rPr>
          <w:rFonts w:ascii="Times New Roman" w:hAnsi="Times New Roman" w:cs="Times New Roman"/>
          <w:sz w:val="24"/>
          <w:szCs w:val="24"/>
        </w:rPr>
        <w:t>6</w:t>
      </w:r>
      <w:r w:rsidR="00342999" w:rsidRPr="004E7506">
        <w:rPr>
          <w:rFonts w:ascii="Times New Roman" w:hAnsi="Times New Roman" w:cs="Times New Roman"/>
          <w:sz w:val="24"/>
          <w:szCs w:val="24"/>
        </w:rPr>
        <w:t>5 each year</w:t>
      </w:r>
      <w:r w:rsidR="004F629D" w:rsidRPr="004E7506">
        <w:rPr>
          <w:rFonts w:ascii="Times New Roman" w:hAnsi="Times New Roman" w:cs="Times New Roman"/>
          <w:sz w:val="24"/>
          <w:szCs w:val="24"/>
        </w:rPr>
        <w:t>. This estimate is</w:t>
      </w:r>
      <w:r w:rsidRPr="004E7506">
        <w:rPr>
          <w:rFonts w:ascii="Times New Roman" w:hAnsi="Times New Roman" w:cs="Times New Roman"/>
          <w:sz w:val="24"/>
          <w:szCs w:val="24"/>
        </w:rPr>
        <w:t xml:space="preserve"> based on the per hour valuations of </w:t>
      </w:r>
      <w:r w:rsidR="004F629D" w:rsidRPr="004E7506">
        <w:rPr>
          <w:rFonts w:ascii="Times New Roman" w:hAnsi="Times New Roman" w:cs="Times New Roman"/>
          <w:sz w:val="24"/>
          <w:szCs w:val="24"/>
        </w:rPr>
        <w:t xml:space="preserve">respondents’ </w:t>
      </w:r>
      <w:r w:rsidRPr="004E7506">
        <w:rPr>
          <w:rFonts w:ascii="Times New Roman" w:hAnsi="Times New Roman" w:cs="Times New Roman"/>
          <w:sz w:val="24"/>
          <w:szCs w:val="24"/>
        </w:rPr>
        <w:t xml:space="preserve">time </w:t>
      </w:r>
      <w:r w:rsidR="000F4600">
        <w:rPr>
          <w:rFonts w:ascii="Times New Roman" w:hAnsi="Times New Roman" w:cs="Times New Roman"/>
          <w:sz w:val="24"/>
          <w:szCs w:val="24"/>
        </w:rPr>
        <w:t xml:space="preserve">noted </w:t>
      </w:r>
      <w:r w:rsidR="00F20058" w:rsidRPr="004E7506">
        <w:rPr>
          <w:rFonts w:ascii="Times New Roman" w:hAnsi="Times New Roman" w:cs="Times New Roman"/>
          <w:sz w:val="24"/>
          <w:szCs w:val="24"/>
        </w:rPr>
        <w:t>above and the projected 11</w:t>
      </w:r>
      <w:r w:rsidR="00342999" w:rsidRPr="004E7506">
        <w:rPr>
          <w:rFonts w:ascii="Times New Roman" w:hAnsi="Times New Roman" w:cs="Times New Roman"/>
          <w:sz w:val="24"/>
          <w:szCs w:val="24"/>
        </w:rPr>
        <w:t>0</w:t>
      </w:r>
      <w:r w:rsidR="00F20058" w:rsidRPr="004E7506">
        <w:rPr>
          <w:rFonts w:ascii="Times New Roman" w:hAnsi="Times New Roman" w:cs="Times New Roman"/>
          <w:sz w:val="24"/>
          <w:szCs w:val="24"/>
        </w:rPr>
        <w:t>.</w:t>
      </w:r>
      <w:r w:rsidR="00342999" w:rsidRPr="004E7506">
        <w:rPr>
          <w:rFonts w:ascii="Times New Roman" w:hAnsi="Times New Roman" w:cs="Times New Roman"/>
          <w:sz w:val="24"/>
          <w:szCs w:val="24"/>
        </w:rPr>
        <w:t>4</w:t>
      </w:r>
      <w:r w:rsidR="00FF5834" w:rsidRPr="004E7506">
        <w:rPr>
          <w:rFonts w:ascii="Times New Roman" w:hAnsi="Times New Roman" w:cs="Times New Roman"/>
          <w:sz w:val="24"/>
          <w:szCs w:val="24"/>
        </w:rPr>
        <w:t xml:space="preserve"> </w:t>
      </w:r>
      <w:r w:rsidR="004F629D" w:rsidRPr="004E7506">
        <w:rPr>
          <w:rFonts w:ascii="Times New Roman" w:hAnsi="Times New Roman" w:cs="Times New Roman"/>
          <w:sz w:val="24"/>
          <w:szCs w:val="24"/>
        </w:rPr>
        <w:t xml:space="preserve">burden </w:t>
      </w:r>
      <w:r w:rsidR="00FF5834" w:rsidRPr="004E7506">
        <w:rPr>
          <w:rFonts w:ascii="Times New Roman" w:hAnsi="Times New Roman" w:cs="Times New Roman"/>
          <w:sz w:val="24"/>
          <w:szCs w:val="24"/>
        </w:rPr>
        <w:t>hours.</w:t>
      </w:r>
    </w:p>
    <w:p w14:paraId="6824E28B" w14:textId="75EB1B48" w:rsidR="00175195" w:rsidRPr="004E7506" w:rsidRDefault="005817F7" w:rsidP="001E1A5D">
      <w:pPr>
        <w:ind w:left="360"/>
        <w:rPr>
          <w:rFonts w:ascii="Times New Roman" w:hAnsi="Times New Roman" w:cs="Times New Roman"/>
          <w:sz w:val="24"/>
          <w:szCs w:val="24"/>
        </w:rPr>
      </w:pPr>
      <w:r w:rsidRPr="004E7506">
        <w:rPr>
          <w:rFonts w:ascii="Times New Roman" w:hAnsi="Times New Roman" w:cs="Times New Roman"/>
          <w:sz w:val="24"/>
          <w:szCs w:val="24"/>
        </w:rPr>
        <w:t xml:space="preserve">The </w:t>
      </w:r>
      <w:r w:rsidR="00342999" w:rsidRPr="004E7506">
        <w:rPr>
          <w:rFonts w:ascii="Times New Roman" w:hAnsi="Times New Roman" w:cs="Times New Roman"/>
          <w:sz w:val="24"/>
          <w:szCs w:val="24"/>
        </w:rPr>
        <w:t xml:space="preserve">average number of </w:t>
      </w:r>
      <w:r w:rsidRPr="004E7506">
        <w:rPr>
          <w:rFonts w:ascii="Times New Roman" w:hAnsi="Times New Roman" w:cs="Times New Roman"/>
          <w:sz w:val="24"/>
          <w:szCs w:val="24"/>
        </w:rPr>
        <w:t>1,3</w:t>
      </w:r>
      <w:r w:rsidR="00342999" w:rsidRPr="004E7506">
        <w:rPr>
          <w:rFonts w:ascii="Times New Roman" w:hAnsi="Times New Roman" w:cs="Times New Roman"/>
          <w:sz w:val="24"/>
          <w:szCs w:val="24"/>
        </w:rPr>
        <w:t>2</w:t>
      </w:r>
      <w:r w:rsidRPr="004E7506">
        <w:rPr>
          <w:rFonts w:ascii="Times New Roman" w:hAnsi="Times New Roman" w:cs="Times New Roman"/>
          <w:sz w:val="24"/>
          <w:szCs w:val="24"/>
        </w:rPr>
        <w:t xml:space="preserve">5 completed surveys will correspond with </w:t>
      </w:r>
      <w:r w:rsidR="00F20058" w:rsidRPr="004E7506">
        <w:rPr>
          <w:rFonts w:ascii="Times New Roman" w:hAnsi="Times New Roman" w:cs="Times New Roman"/>
          <w:sz w:val="24"/>
          <w:szCs w:val="24"/>
        </w:rPr>
        <w:t>the number of individuals volunteering to complete a survey at select education events</w:t>
      </w:r>
      <w:r w:rsidRPr="004E7506">
        <w:rPr>
          <w:rFonts w:ascii="Times New Roman" w:hAnsi="Times New Roman" w:cs="Times New Roman"/>
          <w:sz w:val="24"/>
          <w:szCs w:val="24"/>
        </w:rPr>
        <w:t>. The complete estimated</w:t>
      </w:r>
      <w:r w:rsidR="004F629D" w:rsidRPr="004E7506">
        <w:rPr>
          <w:rFonts w:ascii="Times New Roman" w:hAnsi="Times New Roman" w:cs="Times New Roman"/>
          <w:sz w:val="24"/>
          <w:szCs w:val="24"/>
        </w:rPr>
        <w:t>,</w:t>
      </w:r>
      <w:r w:rsidRPr="004E7506">
        <w:rPr>
          <w:rFonts w:ascii="Times New Roman" w:hAnsi="Times New Roman" w:cs="Times New Roman"/>
          <w:sz w:val="24"/>
          <w:szCs w:val="24"/>
        </w:rPr>
        <w:t xml:space="preserve"> annualized burden can be seen </w:t>
      </w:r>
      <w:r w:rsidR="004F629D" w:rsidRPr="004E7506">
        <w:rPr>
          <w:rFonts w:ascii="Times New Roman" w:hAnsi="Times New Roman" w:cs="Times New Roman"/>
          <w:sz w:val="24"/>
          <w:szCs w:val="24"/>
        </w:rPr>
        <w:t xml:space="preserve">in Table </w:t>
      </w:r>
      <w:r w:rsidR="00313513" w:rsidRPr="004E7506">
        <w:rPr>
          <w:rFonts w:ascii="Times New Roman" w:hAnsi="Times New Roman" w:cs="Times New Roman"/>
          <w:sz w:val="24"/>
          <w:szCs w:val="24"/>
        </w:rPr>
        <w:t>A-</w:t>
      </w:r>
      <w:r w:rsidR="004F629D" w:rsidRPr="004E7506">
        <w:rPr>
          <w:rFonts w:ascii="Times New Roman" w:hAnsi="Times New Roman" w:cs="Times New Roman"/>
          <w:sz w:val="24"/>
          <w:szCs w:val="24"/>
        </w:rPr>
        <w:t>12</w:t>
      </w:r>
      <w:r w:rsidR="00313513" w:rsidRPr="004E7506">
        <w:rPr>
          <w:rFonts w:ascii="Times New Roman" w:hAnsi="Times New Roman" w:cs="Times New Roman"/>
          <w:sz w:val="24"/>
          <w:szCs w:val="24"/>
        </w:rPr>
        <w:t>-1</w:t>
      </w:r>
      <w:r w:rsidRPr="004E7506">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523"/>
        <w:gridCol w:w="1430"/>
        <w:gridCol w:w="2289"/>
        <w:gridCol w:w="1751"/>
      </w:tblGrid>
      <w:tr w:rsidR="00175195" w:rsidRPr="004E7506" w14:paraId="71D46D6E" w14:textId="77777777" w:rsidTr="007612F7">
        <w:trPr>
          <w:jc w:val="center"/>
        </w:trPr>
        <w:tc>
          <w:tcPr>
            <w:tcW w:w="6765" w:type="dxa"/>
            <w:gridSpan w:val="4"/>
            <w:tcBorders>
              <w:bottom w:val="single" w:sz="4" w:space="0" w:color="auto"/>
            </w:tcBorders>
            <w:vAlign w:val="center"/>
          </w:tcPr>
          <w:p w14:paraId="2169C5C2" w14:textId="77777777" w:rsidR="00175195" w:rsidRPr="004E7506" w:rsidRDefault="00175195" w:rsidP="004E7506">
            <w:pPr>
              <w:keepNext/>
              <w:keepLines/>
              <w:jc w:val="center"/>
              <w:rPr>
                <w:rFonts w:ascii="Times New Roman" w:hAnsi="Times New Roman" w:cs="Times New Roman"/>
                <w:b/>
                <w:sz w:val="24"/>
                <w:szCs w:val="24"/>
              </w:rPr>
            </w:pPr>
            <w:r w:rsidRPr="004E7506">
              <w:rPr>
                <w:rFonts w:ascii="Times New Roman" w:hAnsi="Times New Roman" w:cs="Times New Roman"/>
                <w:b/>
                <w:sz w:val="24"/>
                <w:szCs w:val="24"/>
              </w:rPr>
              <w:t>Table A-12-1. Total Estimated Annualized Burden Hours</w:t>
            </w:r>
          </w:p>
        </w:tc>
      </w:tr>
      <w:tr w:rsidR="00175195" w:rsidRPr="004E7506" w14:paraId="09591747" w14:textId="77777777" w:rsidTr="007612F7">
        <w:trPr>
          <w:jc w:val="center"/>
        </w:trPr>
        <w:tc>
          <w:tcPr>
            <w:tcW w:w="1404" w:type="dxa"/>
            <w:tcBorders>
              <w:bottom w:val="single" w:sz="4" w:space="0" w:color="auto"/>
            </w:tcBorders>
            <w:vAlign w:val="center"/>
          </w:tcPr>
          <w:p w14:paraId="7D76F983" w14:textId="77777777" w:rsidR="00175195" w:rsidRPr="004E7506" w:rsidRDefault="00175195" w:rsidP="004E7506">
            <w:pPr>
              <w:jc w:val="center"/>
              <w:rPr>
                <w:rFonts w:ascii="Times New Roman" w:hAnsi="Times New Roman" w:cs="Times New Roman"/>
                <w:b/>
                <w:sz w:val="24"/>
                <w:szCs w:val="24"/>
              </w:rPr>
            </w:pPr>
            <w:r w:rsidRPr="004E7506">
              <w:rPr>
                <w:rFonts w:ascii="Times New Roman" w:hAnsi="Times New Roman" w:cs="Times New Roman"/>
                <w:b/>
                <w:sz w:val="24"/>
                <w:szCs w:val="24"/>
              </w:rPr>
              <w:t>Number of Respondents</w:t>
            </w:r>
          </w:p>
        </w:tc>
        <w:tc>
          <w:tcPr>
            <w:tcW w:w="1321" w:type="dxa"/>
            <w:tcBorders>
              <w:bottom w:val="single" w:sz="4" w:space="0" w:color="auto"/>
            </w:tcBorders>
            <w:vAlign w:val="center"/>
          </w:tcPr>
          <w:p w14:paraId="584F0DCD" w14:textId="77777777" w:rsidR="00175195" w:rsidRPr="004E7506" w:rsidRDefault="00175195" w:rsidP="004E7506">
            <w:pPr>
              <w:jc w:val="center"/>
              <w:rPr>
                <w:rFonts w:ascii="Times New Roman" w:hAnsi="Times New Roman" w:cs="Times New Roman"/>
                <w:b/>
                <w:sz w:val="24"/>
                <w:szCs w:val="24"/>
              </w:rPr>
            </w:pPr>
            <w:r w:rsidRPr="004E7506">
              <w:rPr>
                <w:rFonts w:ascii="Times New Roman" w:hAnsi="Times New Roman" w:cs="Times New Roman"/>
                <w:b/>
                <w:sz w:val="24"/>
                <w:szCs w:val="24"/>
              </w:rPr>
              <w:t>Responses per Respondent</w:t>
            </w:r>
          </w:p>
        </w:tc>
        <w:tc>
          <w:tcPr>
            <w:tcW w:w="2289" w:type="dxa"/>
            <w:tcBorders>
              <w:bottom w:val="single" w:sz="4" w:space="0" w:color="auto"/>
            </w:tcBorders>
            <w:vAlign w:val="center"/>
          </w:tcPr>
          <w:p w14:paraId="6BD14B02" w14:textId="6C50E05F" w:rsidR="00175195" w:rsidRPr="004E7506" w:rsidRDefault="00175195" w:rsidP="00BA2986">
            <w:pPr>
              <w:jc w:val="center"/>
              <w:rPr>
                <w:rFonts w:ascii="Times New Roman" w:hAnsi="Times New Roman" w:cs="Times New Roman"/>
                <w:b/>
                <w:sz w:val="24"/>
                <w:szCs w:val="24"/>
              </w:rPr>
            </w:pPr>
            <w:r w:rsidRPr="004E7506">
              <w:rPr>
                <w:rFonts w:ascii="Times New Roman" w:hAnsi="Times New Roman" w:cs="Times New Roman"/>
                <w:b/>
                <w:sz w:val="24"/>
                <w:szCs w:val="24"/>
              </w:rPr>
              <w:t xml:space="preserve">Average burden hours per response </w:t>
            </w:r>
          </w:p>
        </w:tc>
        <w:tc>
          <w:tcPr>
            <w:tcW w:w="1751" w:type="dxa"/>
            <w:tcBorders>
              <w:bottom w:val="single" w:sz="4" w:space="0" w:color="auto"/>
            </w:tcBorders>
            <w:vAlign w:val="center"/>
          </w:tcPr>
          <w:p w14:paraId="57378E40" w14:textId="77777777" w:rsidR="00175195" w:rsidRPr="004E7506" w:rsidRDefault="00175195" w:rsidP="004E7506">
            <w:pPr>
              <w:jc w:val="center"/>
              <w:rPr>
                <w:rFonts w:ascii="Times New Roman" w:hAnsi="Times New Roman" w:cs="Times New Roman"/>
                <w:b/>
                <w:sz w:val="24"/>
                <w:szCs w:val="24"/>
              </w:rPr>
            </w:pPr>
            <w:r w:rsidRPr="004E7506">
              <w:rPr>
                <w:rFonts w:ascii="Times New Roman" w:hAnsi="Times New Roman" w:cs="Times New Roman"/>
                <w:b/>
                <w:sz w:val="24"/>
                <w:szCs w:val="24"/>
              </w:rPr>
              <w:t>Total Burden Hours</w:t>
            </w:r>
          </w:p>
        </w:tc>
      </w:tr>
      <w:tr w:rsidR="00175195" w:rsidRPr="004E7506" w14:paraId="24E6DD17" w14:textId="77777777" w:rsidTr="007612F7">
        <w:trPr>
          <w:jc w:val="center"/>
        </w:trPr>
        <w:tc>
          <w:tcPr>
            <w:tcW w:w="1404" w:type="dxa"/>
            <w:tcBorders>
              <w:bottom w:val="single" w:sz="4" w:space="0" w:color="auto"/>
            </w:tcBorders>
            <w:vAlign w:val="center"/>
          </w:tcPr>
          <w:p w14:paraId="39DEB318" w14:textId="4F262F4E" w:rsidR="00175195" w:rsidRPr="004E7506" w:rsidRDefault="00175195" w:rsidP="004E7506">
            <w:pPr>
              <w:jc w:val="center"/>
              <w:rPr>
                <w:rFonts w:ascii="Times New Roman" w:hAnsi="Times New Roman" w:cs="Times New Roman"/>
                <w:sz w:val="24"/>
                <w:szCs w:val="24"/>
              </w:rPr>
            </w:pPr>
            <w:r w:rsidRPr="004E7506">
              <w:rPr>
                <w:rFonts w:ascii="Times New Roman" w:hAnsi="Times New Roman" w:cs="Times New Roman"/>
                <w:sz w:val="24"/>
                <w:szCs w:val="24"/>
              </w:rPr>
              <w:t>1,3</w:t>
            </w:r>
            <w:r w:rsidR="00342999" w:rsidRPr="004E7506">
              <w:rPr>
                <w:rFonts w:ascii="Times New Roman" w:hAnsi="Times New Roman" w:cs="Times New Roman"/>
                <w:sz w:val="24"/>
                <w:szCs w:val="24"/>
              </w:rPr>
              <w:t>2</w:t>
            </w:r>
            <w:r w:rsidRPr="004E7506">
              <w:rPr>
                <w:rFonts w:ascii="Times New Roman" w:hAnsi="Times New Roman" w:cs="Times New Roman"/>
                <w:sz w:val="24"/>
                <w:szCs w:val="24"/>
              </w:rPr>
              <w:t>5</w:t>
            </w:r>
          </w:p>
        </w:tc>
        <w:tc>
          <w:tcPr>
            <w:tcW w:w="1321" w:type="dxa"/>
            <w:tcBorders>
              <w:bottom w:val="single" w:sz="4" w:space="0" w:color="auto"/>
            </w:tcBorders>
            <w:vAlign w:val="center"/>
          </w:tcPr>
          <w:p w14:paraId="2F897151" w14:textId="77777777" w:rsidR="00175195" w:rsidRPr="004E7506" w:rsidRDefault="00175195" w:rsidP="004E7506">
            <w:pPr>
              <w:jc w:val="center"/>
              <w:rPr>
                <w:rFonts w:ascii="Times New Roman" w:hAnsi="Times New Roman" w:cs="Times New Roman"/>
                <w:sz w:val="24"/>
                <w:szCs w:val="24"/>
              </w:rPr>
            </w:pPr>
            <w:r w:rsidRPr="004E7506">
              <w:rPr>
                <w:rFonts w:ascii="Times New Roman" w:hAnsi="Times New Roman" w:cs="Times New Roman"/>
                <w:sz w:val="24"/>
                <w:szCs w:val="24"/>
              </w:rPr>
              <w:t>1</w:t>
            </w:r>
          </w:p>
        </w:tc>
        <w:tc>
          <w:tcPr>
            <w:tcW w:w="2289" w:type="dxa"/>
            <w:tcBorders>
              <w:bottom w:val="single" w:sz="4" w:space="0" w:color="auto"/>
            </w:tcBorders>
            <w:vAlign w:val="center"/>
          </w:tcPr>
          <w:p w14:paraId="46CD02D9" w14:textId="7A72C8C8" w:rsidR="00175195" w:rsidRPr="004E7506" w:rsidRDefault="00175195" w:rsidP="004E7506">
            <w:pPr>
              <w:jc w:val="center"/>
              <w:rPr>
                <w:rFonts w:ascii="Times New Roman" w:hAnsi="Times New Roman" w:cs="Times New Roman"/>
                <w:sz w:val="24"/>
                <w:szCs w:val="24"/>
              </w:rPr>
            </w:pPr>
            <w:r w:rsidRPr="004E7506">
              <w:rPr>
                <w:rFonts w:ascii="Times New Roman" w:hAnsi="Times New Roman" w:cs="Times New Roman"/>
                <w:sz w:val="24"/>
                <w:szCs w:val="24"/>
              </w:rPr>
              <w:t>5/60</w:t>
            </w:r>
          </w:p>
        </w:tc>
        <w:tc>
          <w:tcPr>
            <w:tcW w:w="1751" w:type="dxa"/>
            <w:tcBorders>
              <w:bottom w:val="single" w:sz="4" w:space="0" w:color="auto"/>
            </w:tcBorders>
            <w:vAlign w:val="center"/>
          </w:tcPr>
          <w:p w14:paraId="41F3112E" w14:textId="7CF126FC" w:rsidR="00175195" w:rsidRPr="004E7506" w:rsidRDefault="00175195" w:rsidP="004E7506">
            <w:pPr>
              <w:jc w:val="center"/>
              <w:rPr>
                <w:rFonts w:ascii="Times New Roman" w:hAnsi="Times New Roman" w:cs="Times New Roman"/>
                <w:sz w:val="24"/>
                <w:szCs w:val="24"/>
              </w:rPr>
            </w:pPr>
            <w:r w:rsidRPr="004E7506">
              <w:rPr>
                <w:rFonts w:ascii="Times New Roman" w:hAnsi="Times New Roman" w:cs="Times New Roman"/>
                <w:sz w:val="24"/>
                <w:szCs w:val="24"/>
              </w:rPr>
              <w:t>11</w:t>
            </w:r>
            <w:r w:rsidR="00342999" w:rsidRPr="004E7506">
              <w:rPr>
                <w:rFonts w:ascii="Times New Roman" w:hAnsi="Times New Roman" w:cs="Times New Roman"/>
                <w:sz w:val="24"/>
                <w:szCs w:val="24"/>
              </w:rPr>
              <w:t>0</w:t>
            </w:r>
            <w:r w:rsidRPr="004E7506">
              <w:rPr>
                <w:rFonts w:ascii="Times New Roman" w:hAnsi="Times New Roman" w:cs="Times New Roman"/>
                <w:sz w:val="24"/>
                <w:szCs w:val="24"/>
              </w:rPr>
              <w:t>.</w:t>
            </w:r>
            <w:r w:rsidR="00342999" w:rsidRPr="004E7506">
              <w:rPr>
                <w:rFonts w:ascii="Times New Roman" w:hAnsi="Times New Roman" w:cs="Times New Roman"/>
                <w:sz w:val="24"/>
                <w:szCs w:val="24"/>
              </w:rPr>
              <w:t>4</w:t>
            </w:r>
          </w:p>
        </w:tc>
      </w:tr>
    </w:tbl>
    <w:p w14:paraId="58798FAC" w14:textId="03125CFA" w:rsidR="00175195" w:rsidRPr="004E7506" w:rsidRDefault="00175195" w:rsidP="004E7506">
      <w:pPr>
        <w:spacing w:line="360" w:lineRule="auto"/>
        <w:rPr>
          <w:rFonts w:ascii="Times New Roman" w:hAnsi="Times New Roman" w:cs="Times New Roman"/>
          <w:sz w:val="24"/>
          <w:szCs w:val="24"/>
        </w:rPr>
      </w:pPr>
    </w:p>
    <w:p w14:paraId="2AF5D6E0" w14:textId="1DB49A4C" w:rsidR="004E7506" w:rsidRPr="004E7506" w:rsidRDefault="00175195" w:rsidP="001E15ED">
      <w:pPr>
        <w:ind w:left="360"/>
        <w:rPr>
          <w:rFonts w:ascii="Times New Roman" w:hAnsi="Times New Roman" w:cs="Times New Roman"/>
          <w:sz w:val="24"/>
          <w:szCs w:val="24"/>
        </w:rPr>
      </w:pPr>
      <w:r w:rsidRPr="004E7506">
        <w:rPr>
          <w:rFonts w:ascii="Times New Roman" w:hAnsi="Times New Roman" w:cs="Times New Roman"/>
          <w:sz w:val="24"/>
          <w:szCs w:val="24"/>
        </w:rPr>
        <w:t>The Department of Labor website was used to determine appropriate wage rates for respondents (see Table A-12-2).</w:t>
      </w:r>
    </w:p>
    <w:tbl>
      <w:tblPr>
        <w:tblStyle w:val="TableGrid"/>
        <w:tblW w:w="0" w:type="auto"/>
        <w:jc w:val="center"/>
        <w:tblLook w:val="04A0" w:firstRow="1" w:lastRow="0" w:firstColumn="1" w:lastColumn="0" w:noHBand="0" w:noVBand="1"/>
      </w:tblPr>
      <w:tblGrid>
        <w:gridCol w:w="1534"/>
        <w:gridCol w:w="2289"/>
        <w:gridCol w:w="3067"/>
      </w:tblGrid>
      <w:tr w:rsidR="00175195" w:rsidRPr="004E7506" w14:paraId="49DA30DD" w14:textId="77777777" w:rsidTr="00BA2986">
        <w:trPr>
          <w:jc w:val="center"/>
        </w:trPr>
        <w:tc>
          <w:tcPr>
            <w:tcW w:w="6890" w:type="dxa"/>
            <w:gridSpan w:val="3"/>
            <w:tcBorders>
              <w:bottom w:val="single" w:sz="4" w:space="0" w:color="auto"/>
            </w:tcBorders>
            <w:vAlign w:val="center"/>
          </w:tcPr>
          <w:p w14:paraId="1D470D69" w14:textId="3CEFA4ED" w:rsidR="00175195" w:rsidRPr="004E7506" w:rsidRDefault="00175195" w:rsidP="004E7506">
            <w:pPr>
              <w:jc w:val="center"/>
              <w:rPr>
                <w:rFonts w:ascii="Times New Roman" w:hAnsi="Times New Roman" w:cs="Times New Roman"/>
                <w:b/>
                <w:sz w:val="24"/>
                <w:szCs w:val="24"/>
              </w:rPr>
            </w:pPr>
            <w:r w:rsidRPr="004E7506">
              <w:rPr>
                <w:rFonts w:ascii="Times New Roman" w:hAnsi="Times New Roman" w:cs="Times New Roman"/>
                <w:b/>
                <w:sz w:val="24"/>
                <w:szCs w:val="24"/>
              </w:rPr>
              <w:t>Table A-12-2.</w:t>
            </w:r>
            <w:r w:rsidRPr="004E7506">
              <w:rPr>
                <w:rFonts w:ascii="Times New Roman" w:hAnsi="Times New Roman" w:cs="Times New Roman"/>
                <w:sz w:val="24"/>
                <w:szCs w:val="24"/>
              </w:rPr>
              <w:t xml:space="preserve"> </w:t>
            </w:r>
            <w:r w:rsidRPr="004E7506">
              <w:rPr>
                <w:rFonts w:ascii="Times New Roman" w:hAnsi="Times New Roman" w:cs="Times New Roman"/>
                <w:b/>
                <w:sz w:val="24"/>
                <w:szCs w:val="24"/>
              </w:rPr>
              <w:t>Estimated Annualized Cost to Respondent for the Hour Burdens</w:t>
            </w:r>
          </w:p>
        </w:tc>
      </w:tr>
      <w:tr w:rsidR="00175195" w:rsidRPr="004E7506" w14:paraId="5643FC18" w14:textId="77777777" w:rsidTr="00BA2986">
        <w:trPr>
          <w:jc w:val="center"/>
        </w:trPr>
        <w:tc>
          <w:tcPr>
            <w:tcW w:w="1534" w:type="dxa"/>
            <w:tcBorders>
              <w:bottom w:val="single" w:sz="4" w:space="0" w:color="auto"/>
            </w:tcBorders>
            <w:vAlign w:val="center"/>
          </w:tcPr>
          <w:p w14:paraId="52915F35" w14:textId="77777777" w:rsidR="00175195" w:rsidRPr="004E7506" w:rsidRDefault="00175195" w:rsidP="004E7506">
            <w:pPr>
              <w:jc w:val="center"/>
              <w:rPr>
                <w:rFonts w:ascii="Times New Roman" w:hAnsi="Times New Roman" w:cs="Times New Roman"/>
                <w:b/>
                <w:sz w:val="24"/>
                <w:szCs w:val="24"/>
              </w:rPr>
            </w:pPr>
            <w:r w:rsidRPr="004E7506">
              <w:rPr>
                <w:rFonts w:ascii="Times New Roman" w:hAnsi="Times New Roman" w:cs="Times New Roman"/>
                <w:b/>
                <w:sz w:val="24"/>
                <w:szCs w:val="24"/>
              </w:rPr>
              <w:t>Total Burden Hours</w:t>
            </w:r>
          </w:p>
        </w:tc>
        <w:tc>
          <w:tcPr>
            <w:tcW w:w="2289" w:type="dxa"/>
            <w:tcBorders>
              <w:bottom w:val="single" w:sz="4" w:space="0" w:color="auto"/>
            </w:tcBorders>
            <w:vAlign w:val="center"/>
          </w:tcPr>
          <w:p w14:paraId="2DFE54B0" w14:textId="77777777" w:rsidR="00175195" w:rsidRPr="004E7506" w:rsidRDefault="00175195" w:rsidP="004E7506">
            <w:pPr>
              <w:jc w:val="center"/>
              <w:rPr>
                <w:rFonts w:ascii="Times New Roman" w:hAnsi="Times New Roman" w:cs="Times New Roman"/>
                <w:b/>
                <w:sz w:val="24"/>
                <w:szCs w:val="24"/>
              </w:rPr>
            </w:pPr>
            <w:r w:rsidRPr="004E7506">
              <w:rPr>
                <w:rFonts w:ascii="Times New Roman" w:hAnsi="Times New Roman" w:cs="Times New Roman"/>
                <w:b/>
                <w:sz w:val="24"/>
                <w:szCs w:val="24"/>
              </w:rPr>
              <w:t>Hourly Wage Rate*</w:t>
            </w:r>
          </w:p>
        </w:tc>
        <w:tc>
          <w:tcPr>
            <w:tcW w:w="3067" w:type="dxa"/>
            <w:tcBorders>
              <w:bottom w:val="single" w:sz="4" w:space="0" w:color="auto"/>
            </w:tcBorders>
            <w:vAlign w:val="center"/>
          </w:tcPr>
          <w:p w14:paraId="1103B503" w14:textId="77777777" w:rsidR="00175195" w:rsidRPr="004E7506" w:rsidRDefault="00175195" w:rsidP="004E7506">
            <w:pPr>
              <w:jc w:val="center"/>
              <w:rPr>
                <w:rFonts w:ascii="Times New Roman" w:hAnsi="Times New Roman" w:cs="Times New Roman"/>
                <w:b/>
                <w:sz w:val="24"/>
                <w:szCs w:val="24"/>
              </w:rPr>
            </w:pPr>
            <w:r w:rsidRPr="004E7506">
              <w:rPr>
                <w:rFonts w:ascii="Times New Roman" w:hAnsi="Times New Roman" w:cs="Times New Roman"/>
                <w:b/>
                <w:sz w:val="24"/>
                <w:szCs w:val="24"/>
              </w:rPr>
              <w:t>Total Respondent Costs</w:t>
            </w:r>
          </w:p>
        </w:tc>
      </w:tr>
      <w:tr w:rsidR="00175195" w:rsidRPr="004E7506" w14:paraId="4AB6362E" w14:textId="77777777" w:rsidTr="00BA2986">
        <w:trPr>
          <w:jc w:val="center"/>
        </w:trPr>
        <w:tc>
          <w:tcPr>
            <w:tcW w:w="1534" w:type="dxa"/>
            <w:tcBorders>
              <w:bottom w:val="single" w:sz="4" w:space="0" w:color="auto"/>
            </w:tcBorders>
            <w:vAlign w:val="center"/>
          </w:tcPr>
          <w:p w14:paraId="092B13EA" w14:textId="7F959FA7" w:rsidR="00175195" w:rsidRPr="004E7506" w:rsidRDefault="00175195" w:rsidP="004E7506">
            <w:pPr>
              <w:jc w:val="center"/>
              <w:rPr>
                <w:rFonts w:ascii="Times New Roman" w:hAnsi="Times New Roman" w:cs="Times New Roman"/>
                <w:sz w:val="24"/>
                <w:szCs w:val="24"/>
              </w:rPr>
            </w:pPr>
            <w:r w:rsidRPr="004E7506">
              <w:rPr>
                <w:rFonts w:ascii="Times New Roman" w:hAnsi="Times New Roman" w:cs="Times New Roman"/>
                <w:sz w:val="24"/>
                <w:szCs w:val="24"/>
              </w:rPr>
              <w:t>11</w:t>
            </w:r>
            <w:r w:rsidR="00342999" w:rsidRPr="004E7506">
              <w:rPr>
                <w:rFonts w:ascii="Times New Roman" w:hAnsi="Times New Roman" w:cs="Times New Roman"/>
                <w:sz w:val="24"/>
                <w:szCs w:val="24"/>
              </w:rPr>
              <w:t>0</w:t>
            </w:r>
            <w:r w:rsidRPr="004E7506">
              <w:rPr>
                <w:rFonts w:ascii="Times New Roman" w:hAnsi="Times New Roman" w:cs="Times New Roman"/>
                <w:sz w:val="24"/>
                <w:szCs w:val="24"/>
              </w:rPr>
              <w:t>.</w:t>
            </w:r>
            <w:r w:rsidR="00342999" w:rsidRPr="004E7506">
              <w:rPr>
                <w:rFonts w:ascii="Times New Roman" w:hAnsi="Times New Roman" w:cs="Times New Roman"/>
                <w:sz w:val="24"/>
                <w:szCs w:val="24"/>
              </w:rPr>
              <w:t>4</w:t>
            </w:r>
          </w:p>
        </w:tc>
        <w:tc>
          <w:tcPr>
            <w:tcW w:w="2289" w:type="dxa"/>
            <w:tcBorders>
              <w:bottom w:val="single" w:sz="4" w:space="0" w:color="auto"/>
            </w:tcBorders>
            <w:vAlign w:val="center"/>
          </w:tcPr>
          <w:p w14:paraId="54A7C0C3" w14:textId="0DAA9B7C" w:rsidR="00175195" w:rsidRPr="004E7506" w:rsidRDefault="00175195" w:rsidP="000F4600">
            <w:pPr>
              <w:jc w:val="center"/>
              <w:rPr>
                <w:rFonts w:ascii="Times New Roman" w:hAnsi="Times New Roman" w:cs="Times New Roman"/>
                <w:sz w:val="24"/>
                <w:szCs w:val="24"/>
              </w:rPr>
            </w:pPr>
            <w:r w:rsidRPr="004E7506">
              <w:rPr>
                <w:rFonts w:ascii="Times New Roman" w:hAnsi="Times New Roman" w:cs="Times New Roman"/>
                <w:sz w:val="24"/>
                <w:szCs w:val="24"/>
              </w:rPr>
              <w:t>$</w:t>
            </w:r>
            <w:r w:rsidR="000F4600">
              <w:rPr>
                <w:rFonts w:ascii="Times New Roman" w:hAnsi="Times New Roman" w:cs="Times New Roman"/>
                <w:sz w:val="24"/>
                <w:szCs w:val="24"/>
              </w:rPr>
              <w:t>46.46</w:t>
            </w:r>
          </w:p>
        </w:tc>
        <w:tc>
          <w:tcPr>
            <w:tcW w:w="3067" w:type="dxa"/>
            <w:tcBorders>
              <w:bottom w:val="single" w:sz="4" w:space="0" w:color="auto"/>
            </w:tcBorders>
            <w:vAlign w:val="center"/>
          </w:tcPr>
          <w:p w14:paraId="429AE0FE" w14:textId="1B335B89" w:rsidR="00175195" w:rsidRPr="004E7506" w:rsidRDefault="00175195" w:rsidP="000F4600">
            <w:pPr>
              <w:jc w:val="center"/>
              <w:rPr>
                <w:rFonts w:ascii="Times New Roman" w:hAnsi="Times New Roman" w:cs="Times New Roman"/>
                <w:sz w:val="24"/>
                <w:szCs w:val="24"/>
              </w:rPr>
            </w:pPr>
            <w:r w:rsidRPr="004E7506">
              <w:rPr>
                <w:rFonts w:ascii="Times New Roman" w:hAnsi="Times New Roman" w:cs="Times New Roman"/>
                <w:sz w:val="24"/>
                <w:szCs w:val="24"/>
              </w:rPr>
              <w:t>$</w:t>
            </w:r>
            <w:r w:rsidR="000F4600">
              <w:rPr>
                <w:rFonts w:ascii="Times New Roman" w:hAnsi="Times New Roman" w:cs="Times New Roman"/>
                <w:sz w:val="24"/>
                <w:szCs w:val="24"/>
              </w:rPr>
              <w:t>5,129.18</w:t>
            </w:r>
          </w:p>
        </w:tc>
      </w:tr>
    </w:tbl>
    <w:p w14:paraId="3C015669" w14:textId="77777777" w:rsidR="000F4600" w:rsidRDefault="000F4600" w:rsidP="004E7506">
      <w:pPr>
        <w:pStyle w:val="ListParagraph"/>
        <w:ind w:left="1440"/>
        <w:rPr>
          <w:rFonts w:ascii="Times New Roman" w:hAnsi="Times New Roman" w:cs="Times New Roman"/>
          <w:sz w:val="24"/>
          <w:szCs w:val="24"/>
        </w:rPr>
      </w:pPr>
    </w:p>
    <w:p w14:paraId="1CB62B0A" w14:textId="77777777" w:rsidR="00BA2986" w:rsidRDefault="00175195" w:rsidP="00BA2986">
      <w:pPr>
        <w:pStyle w:val="ListParagraph"/>
        <w:spacing w:after="0" w:line="240" w:lineRule="auto"/>
        <w:ind w:left="1440"/>
        <w:rPr>
          <w:rFonts w:ascii="Times New Roman" w:hAnsi="Times New Roman" w:cs="Times New Roman"/>
          <w:sz w:val="20"/>
          <w:szCs w:val="20"/>
        </w:rPr>
      </w:pPr>
      <w:r w:rsidRPr="00BA2986">
        <w:rPr>
          <w:rFonts w:ascii="Times New Roman" w:hAnsi="Times New Roman" w:cs="Times New Roman"/>
          <w:sz w:val="20"/>
          <w:szCs w:val="20"/>
        </w:rPr>
        <w:t xml:space="preserve">*Source: U.S. Department of Labor, Bureau of Labor Statistics. Based on median hourly </w:t>
      </w:r>
    </w:p>
    <w:p w14:paraId="143430BE" w14:textId="139DE717" w:rsidR="0043338F" w:rsidRPr="00BA2986" w:rsidRDefault="00175195" w:rsidP="00BA2986">
      <w:pPr>
        <w:pStyle w:val="ListParagraph"/>
        <w:spacing w:after="0" w:line="240" w:lineRule="auto"/>
        <w:ind w:left="1440"/>
        <w:rPr>
          <w:rFonts w:ascii="Times New Roman" w:hAnsi="Times New Roman" w:cs="Times New Roman"/>
          <w:sz w:val="20"/>
          <w:szCs w:val="20"/>
        </w:rPr>
      </w:pPr>
      <w:r w:rsidRPr="00BA2986">
        <w:rPr>
          <w:rFonts w:ascii="Times New Roman" w:hAnsi="Times New Roman" w:cs="Times New Roman"/>
          <w:sz w:val="20"/>
          <w:szCs w:val="20"/>
        </w:rPr>
        <w:t xml:space="preserve">rates for occupations closest to each category of respondent. Available at: </w:t>
      </w:r>
      <w:hyperlink r:id="rId9" w:history="1">
        <w:r w:rsidR="00391C85" w:rsidRPr="00BA2986">
          <w:rPr>
            <w:rStyle w:val="Hyperlink"/>
            <w:rFonts w:ascii="Times New Roman" w:hAnsi="Times New Roman" w:cs="Times New Roman"/>
            <w:sz w:val="20"/>
            <w:szCs w:val="20"/>
          </w:rPr>
          <w:t>http://www.bls.gov/oes/current/oes_nat.htm</w:t>
        </w:r>
      </w:hyperlink>
    </w:p>
    <w:p w14:paraId="2B504198" w14:textId="77777777" w:rsidR="00391C85" w:rsidRPr="004E7506" w:rsidRDefault="00391C85" w:rsidP="00391C85">
      <w:pPr>
        <w:pStyle w:val="ListParagraph"/>
        <w:ind w:left="1440"/>
      </w:pPr>
    </w:p>
    <w:p w14:paraId="313EB00F" w14:textId="210B29AC" w:rsidR="005E73FD"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Provide an estimate for the total annual cost burden to respondents or record</w:t>
      </w:r>
      <w:r w:rsidR="008F0FCD">
        <w:rPr>
          <w:rFonts w:ascii="Times New Roman" w:hAnsi="Times New Roman" w:cs="Times New Roman"/>
          <w:b/>
          <w:sz w:val="24"/>
          <w:szCs w:val="24"/>
        </w:rPr>
        <w:t xml:space="preserve"> </w:t>
      </w:r>
      <w:r w:rsidRPr="004E7506">
        <w:rPr>
          <w:rFonts w:ascii="Times New Roman" w:hAnsi="Times New Roman" w:cs="Times New Roman"/>
          <w:b/>
          <w:sz w:val="24"/>
          <w:szCs w:val="24"/>
        </w:rPr>
        <w:t>keepers resulting from the collection of information. (Do not include the cost of any hour bu</w:t>
      </w:r>
      <w:r w:rsidR="00FF5834" w:rsidRPr="004E7506">
        <w:rPr>
          <w:rFonts w:ascii="Times New Roman" w:hAnsi="Times New Roman" w:cs="Times New Roman"/>
          <w:b/>
          <w:sz w:val="24"/>
          <w:szCs w:val="24"/>
        </w:rPr>
        <w:t>rden shown in Items 12 and 14).</w:t>
      </w:r>
    </w:p>
    <w:p w14:paraId="4CF4EA6B" w14:textId="1AB552CB" w:rsidR="0068336A" w:rsidRDefault="00C87AF6" w:rsidP="004E7506">
      <w:pPr>
        <w:ind w:left="360"/>
        <w:rPr>
          <w:rFonts w:ascii="Times New Roman" w:hAnsi="Times New Roman" w:cs="Times New Roman"/>
          <w:sz w:val="24"/>
          <w:szCs w:val="24"/>
        </w:rPr>
      </w:pPr>
      <w:r w:rsidRPr="004E7506">
        <w:rPr>
          <w:rFonts w:ascii="Times New Roman" w:hAnsi="Times New Roman" w:cs="Times New Roman"/>
          <w:sz w:val="24"/>
          <w:szCs w:val="24"/>
        </w:rPr>
        <w:t xml:space="preserve">ACL </w:t>
      </w:r>
      <w:r w:rsidR="001E1A5D">
        <w:rPr>
          <w:rFonts w:ascii="Times New Roman" w:hAnsi="Times New Roman" w:cs="Times New Roman"/>
          <w:sz w:val="24"/>
          <w:szCs w:val="24"/>
        </w:rPr>
        <w:t xml:space="preserve">has not </w:t>
      </w:r>
      <w:r w:rsidRPr="004E7506">
        <w:rPr>
          <w:rFonts w:ascii="Times New Roman" w:hAnsi="Times New Roman" w:cs="Times New Roman"/>
          <w:sz w:val="24"/>
          <w:szCs w:val="24"/>
        </w:rPr>
        <w:t>identifie</w:t>
      </w:r>
      <w:r w:rsidR="001E1A5D">
        <w:rPr>
          <w:rFonts w:ascii="Times New Roman" w:hAnsi="Times New Roman" w:cs="Times New Roman"/>
          <w:sz w:val="24"/>
          <w:szCs w:val="24"/>
        </w:rPr>
        <w:t>d</w:t>
      </w:r>
      <w:r w:rsidRPr="004E7506">
        <w:rPr>
          <w:rFonts w:ascii="Times New Roman" w:hAnsi="Times New Roman" w:cs="Times New Roman"/>
          <w:sz w:val="24"/>
          <w:szCs w:val="24"/>
        </w:rPr>
        <w:t xml:space="preserve"> </w:t>
      </w:r>
      <w:r w:rsidR="001E1A5D">
        <w:rPr>
          <w:rFonts w:ascii="Times New Roman" w:hAnsi="Times New Roman" w:cs="Times New Roman"/>
          <w:sz w:val="24"/>
          <w:szCs w:val="24"/>
        </w:rPr>
        <w:t xml:space="preserve"> </w:t>
      </w:r>
      <w:r w:rsidR="00F97B74">
        <w:rPr>
          <w:rFonts w:ascii="Times New Roman" w:hAnsi="Times New Roman" w:cs="Times New Roman"/>
          <w:sz w:val="24"/>
          <w:szCs w:val="24"/>
        </w:rPr>
        <w:t>any capital</w:t>
      </w:r>
      <w:r w:rsidR="000F4600">
        <w:rPr>
          <w:rFonts w:ascii="Times New Roman" w:hAnsi="Times New Roman" w:cs="Times New Roman"/>
          <w:sz w:val="24"/>
          <w:szCs w:val="24"/>
        </w:rPr>
        <w:t>,</w:t>
      </w:r>
      <w:r w:rsidRPr="004E7506">
        <w:rPr>
          <w:rFonts w:ascii="Times New Roman" w:hAnsi="Times New Roman" w:cs="Times New Roman"/>
          <w:sz w:val="24"/>
          <w:szCs w:val="24"/>
        </w:rPr>
        <w:t xml:space="preserve"> start-up, or maintenance of capital costs associated with this proposed collection of information.</w:t>
      </w:r>
    </w:p>
    <w:p w14:paraId="6AD1E2D6" w14:textId="4579E981" w:rsidR="0068336A"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Provide estimates of annualized costs to the Federal </w:t>
      </w:r>
      <w:r w:rsidR="00303A55" w:rsidRPr="004E7506">
        <w:rPr>
          <w:rFonts w:ascii="Times New Roman" w:hAnsi="Times New Roman" w:cs="Times New Roman"/>
          <w:b/>
          <w:sz w:val="24"/>
          <w:szCs w:val="24"/>
        </w:rPr>
        <w:t>G</w:t>
      </w:r>
      <w:r w:rsidRPr="004E7506">
        <w:rPr>
          <w:rFonts w:ascii="Times New Roman" w:hAnsi="Times New Roman" w:cs="Times New Roman"/>
          <w:b/>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0F80F06" w14:textId="3935EBFF" w:rsidR="00B67777" w:rsidRPr="004E7506" w:rsidRDefault="00392677" w:rsidP="004E7506">
      <w:pPr>
        <w:ind w:left="360"/>
        <w:rPr>
          <w:rFonts w:ascii="Times New Roman" w:hAnsi="Times New Roman" w:cs="Times New Roman"/>
          <w:sz w:val="24"/>
          <w:szCs w:val="24"/>
        </w:rPr>
      </w:pPr>
      <w:r w:rsidRPr="004E7506">
        <w:rPr>
          <w:rFonts w:ascii="Times New Roman" w:hAnsi="Times New Roman" w:cs="Times New Roman"/>
          <w:sz w:val="24"/>
          <w:szCs w:val="24"/>
        </w:rPr>
        <w:t xml:space="preserve">This project will occur over </w:t>
      </w:r>
      <w:r w:rsidR="005817F7" w:rsidRPr="004E7506">
        <w:rPr>
          <w:rFonts w:ascii="Times New Roman" w:hAnsi="Times New Roman" w:cs="Times New Roman"/>
          <w:sz w:val="24"/>
          <w:szCs w:val="24"/>
        </w:rPr>
        <w:t>a three-</w:t>
      </w:r>
      <w:r w:rsidRPr="004E7506">
        <w:rPr>
          <w:rFonts w:ascii="Times New Roman" w:hAnsi="Times New Roman" w:cs="Times New Roman"/>
          <w:sz w:val="24"/>
          <w:szCs w:val="24"/>
        </w:rPr>
        <w:t>year period. Major fluctuations in cost are not expected. Specifically, ACL expects the survey’s contract</w:t>
      </w:r>
      <w:r w:rsidR="005817F7" w:rsidRPr="004E7506">
        <w:rPr>
          <w:rFonts w:ascii="Times New Roman" w:hAnsi="Times New Roman" w:cs="Times New Roman"/>
          <w:sz w:val="24"/>
          <w:szCs w:val="24"/>
        </w:rPr>
        <w:t xml:space="preserve">or costs to be </w:t>
      </w:r>
      <w:r w:rsidR="009043CA" w:rsidRPr="004E7506">
        <w:rPr>
          <w:rFonts w:ascii="Times New Roman" w:hAnsi="Times New Roman" w:cs="Times New Roman"/>
          <w:sz w:val="24"/>
          <w:szCs w:val="24"/>
        </w:rPr>
        <w:t xml:space="preserve">approximately </w:t>
      </w:r>
      <w:r w:rsidR="00EB4EDF" w:rsidRPr="004E7506">
        <w:rPr>
          <w:rFonts w:ascii="Times New Roman" w:hAnsi="Times New Roman" w:cs="Times New Roman"/>
          <w:sz w:val="24"/>
          <w:szCs w:val="24"/>
        </w:rPr>
        <w:t xml:space="preserve">$124,000 </w:t>
      </w:r>
      <w:r w:rsidRPr="004E7506">
        <w:rPr>
          <w:rFonts w:ascii="Times New Roman" w:hAnsi="Times New Roman" w:cs="Times New Roman"/>
          <w:sz w:val="24"/>
          <w:szCs w:val="24"/>
        </w:rPr>
        <w:t xml:space="preserve">annually. This </w:t>
      </w:r>
      <w:r w:rsidR="009043CA" w:rsidRPr="004E7506">
        <w:rPr>
          <w:rFonts w:ascii="Times New Roman" w:hAnsi="Times New Roman" w:cs="Times New Roman"/>
          <w:sz w:val="24"/>
          <w:szCs w:val="24"/>
        </w:rPr>
        <w:t xml:space="preserve">amount </w:t>
      </w:r>
      <w:r w:rsidRPr="004E7506">
        <w:rPr>
          <w:rFonts w:ascii="Times New Roman" w:hAnsi="Times New Roman" w:cs="Times New Roman"/>
          <w:sz w:val="24"/>
          <w:szCs w:val="24"/>
        </w:rPr>
        <w:t>includes all costs related to reporting, survey administration, survey development, and communicatio</w:t>
      </w:r>
      <w:r w:rsidR="005817F7" w:rsidRPr="004E7506">
        <w:rPr>
          <w:rFonts w:ascii="Times New Roman" w:hAnsi="Times New Roman" w:cs="Times New Roman"/>
          <w:sz w:val="24"/>
          <w:szCs w:val="24"/>
        </w:rPr>
        <w:t xml:space="preserve">n between the contractor and </w:t>
      </w:r>
      <w:r w:rsidRPr="004E7506">
        <w:rPr>
          <w:rFonts w:ascii="Times New Roman" w:hAnsi="Times New Roman" w:cs="Times New Roman"/>
          <w:sz w:val="24"/>
          <w:szCs w:val="24"/>
        </w:rPr>
        <w:t>A</w:t>
      </w:r>
      <w:r w:rsidR="005817F7" w:rsidRPr="004E7506">
        <w:rPr>
          <w:rFonts w:ascii="Times New Roman" w:hAnsi="Times New Roman" w:cs="Times New Roman"/>
          <w:sz w:val="24"/>
          <w:szCs w:val="24"/>
        </w:rPr>
        <w:t>CL</w:t>
      </w:r>
      <w:r w:rsidRPr="004E7506">
        <w:rPr>
          <w:rFonts w:ascii="Times New Roman" w:hAnsi="Times New Roman" w:cs="Times New Roman"/>
          <w:sz w:val="24"/>
          <w:szCs w:val="24"/>
        </w:rPr>
        <w:t xml:space="preserve">. Contractor hour estimates are based on previous survey projects conducted by the contractor, including </w:t>
      </w:r>
      <w:r w:rsidR="009043CA" w:rsidRPr="004E7506">
        <w:rPr>
          <w:rFonts w:ascii="Times New Roman" w:hAnsi="Times New Roman" w:cs="Times New Roman"/>
          <w:sz w:val="24"/>
          <w:szCs w:val="24"/>
        </w:rPr>
        <w:t xml:space="preserve">similar </w:t>
      </w:r>
      <w:r w:rsidRPr="004E7506">
        <w:rPr>
          <w:rFonts w:ascii="Times New Roman" w:hAnsi="Times New Roman" w:cs="Times New Roman"/>
          <w:sz w:val="24"/>
          <w:szCs w:val="24"/>
        </w:rPr>
        <w:t>projects for HHS. Hourly labor charges are based on existin</w:t>
      </w:r>
      <w:r w:rsidR="00CE198A" w:rsidRPr="004E7506">
        <w:rPr>
          <w:rFonts w:ascii="Times New Roman" w:hAnsi="Times New Roman" w:cs="Times New Roman"/>
          <w:sz w:val="24"/>
          <w:szCs w:val="24"/>
        </w:rPr>
        <w:t xml:space="preserve">g </w:t>
      </w:r>
      <w:r w:rsidR="00EC5951" w:rsidRPr="004E7506">
        <w:rPr>
          <w:rFonts w:ascii="Times New Roman" w:hAnsi="Times New Roman" w:cs="Times New Roman"/>
          <w:sz w:val="24"/>
          <w:szCs w:val="24"/>
        </w:rPr>
        <w:t>Mission Oriented Business Integrated Services (</w:t>
      </w:r>
      <w:r w:rsidR="00CE198A" w:rsidRPr="004E7506">
        <w:rPr>
          <w:rFonts w:ascii="Times New Roman" w:hAnsi="Times New Roman" w:cs="Times New Roman"/>
          <w:sz w:val="24"/>
          <w:szCs w:val="24"/>
        </w:rPr>
        <w:t>MOBIS</w:t>
      </w:r>
      <w:r w:rsidR="00EC5951" w:rsidRPr="004E7506">
        <w:rPr>
          <w:rFonts w:ascii="Times New Roman" w:hAnsi="Times New Roman" w:cs="Times New Roman"/>
          <w:sz w:val="24"/>
          <w:szCs w:val="24"/>
        </w:rPr>
        <w:t>)</w:t>
      </w:r>
      <w:r w:rsidR="00CE198A" w:rsidRPr="004E7506">
        <w:rPr>
          <w:rFonts w:ascii="Times New Roman" w:hAnsi="Times New Roman" w:cs="Times New Roman"/>
          <w:sz w:val="24"/>
          <w:szCs w:val="24"/>
        </w:rPr>
        <w:t xml:space="preserve"> rates</w:t>
      </w:r>
      <w:r w:rsidRPr="004E7506">
        <w:rPr>
          <w:rFonts w:ascii="Times New Roman" w:hAnsi="Times New Roman" w:cs="Times New Roman"/>
          <w:sz w:val="24"/>
          <w:szCs w:val="24"/>
        </w:rPr>
        <w:t xml:space="preserve">. Rates for the </w:t>
      </w:r>
      <w:r w:rsidR="000F4600">
        <w:rPr>
          <w:rFonts w:ascii="Times New Roman" w:hAnsi="Times New Roman" w:cs="Times New Roman"/>
          <w:sz w:val="24"/>
          <w:szCs w:val="24"/>
        </w:rPr>
        <w:t xml:space="preserve">contractor </w:t>
      </w:r>
      <w:r w:rsidRPr="004E7506">
        <w:rPr>
          <w:rFonts w:ascii="Times New Roman" w:hAnsi="Times New Roman" w:cs="Times New Roman"/>
          <w:sz w:val="24"/>
          <w:szCs w:val="24"/>
        </w:rPr>
        <w:t>staff involved with this project var</w:t>
      </w:r>
      <w:r w:rsidR="00FF5834" w:rsidRPr="004E7506">
        <w:rPr>
          <w:rFonts w:ascii="Times New Roman" w:hAnsi="Times New Roman" w:cs="Times New Roman"/>
          <w:sz w:val="24"/>
          <w:szCs w:val="24"/>
        </w:rPr>
        <w:t>y from $150/hour to $285/hour.</w:t>
      </w:r>
    </w:p>
    <w:p w14:paraId="209D7152" w14:textId="26889026" w:rsidR="00CA1790" w:rsidRDefault="00CA1790" w:rsidP="004E7506">
      <w:pPr>
        <w:ind w:left="360"/>
        <w:rPr>
          <w:rFonts w:ascii="Times New Roman" w:hAnsi="Times New Roman" w:cs="Times New Roman"/>
          <w:sz w:val="24"/>
          <w:szCs w:val="24"/>
        </w:rPr>
      </w:pPr>
      <w:r w:rsidRPr="004E7506">
        <w:rPr>
          <w:rFonts w:ascii="Times New Roman" w:hAnsi="Times New Roman" w:cs="Times New Roman"/>
          <w:sz w:val="24"/>
          <w:szCs w:val="24"/>
        </w:rPr>
        <w:t>In addition, the ACL employees participating in this effort will add an additional $69,952.40 to the annual cost burden, making the total cost to the government $214,952 per year.</w:t>
      </w:r>
      <w:r w:rsidR="001E1A5D">
        <w:rPr>
          <w:rFonts w:ascii="Times New Roman" w:hAnsi="Times New Roman" w:cs="Times New Roman"/>
          <w:sz w:val="24"/>
          <w:szCs w:val="24"/>
        </w:rPr>
        <w:t xml:space="preserve"> Table A-14-1 provides the cost analysis per FTE.</w:t>
      </w:r>
    </w:p>
    <w:tbl>
      <w:tblPr>
        <w:tblW w:w="5000" w:type="pct"/>
        <w:tblCellMar>
          <w:left w:w="0" w:type="dxa"/>
          <w:right w:w="0" w:type="dxa"/>
        </w:tblCellMar>
        <w:tblLook w:val="04A0" w:firstRow="1" w:lastRow="0" w:firstColumn="1" w:lastColumn="0" w:noHBand="0" w:noVBand="1"/>
      </w:tblPr>
      <w:tblGrid>
        <w:gridCol w:w="2051"/>
        <w:gridCol w:w="2013"/>
        <w:gridCol w:w="2233"/>
        <w:gridCol w:w="3279"/>
      </w:tblGrid>
      <w:tr w:rsidR="001E1A5D" w14:paraId="611C0A7B" w14:textId="77777777" w:rsidTr="007612F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36C478" w14:textId="70AE92BE" w:rsidR="001E1A5D" w:rsidRDefault="001E1A5D" w:rsidP="007612F7">
            <w:pPr>
              <w:spacing w:after="0" w:line="240" w:lineRule="auto"/>
            </w:pPr>
            <w:r w:rsidRPr="00053094">
              <w:rPr>
                <w:rFonts w:ascii="Times New Roman" w:hAnsi="Times New Roman" w:cs="Times New Roman"/>
                <w:b/>
                <w:sz w:val="24"/>
                <w:szCs w:val="24"/>
              </w:rPr>
              <w:t xml:space="preserve">Table </w:t>
            </w:r>
            <w:r>
              <w:rPr>
                <w:rFonts w:ascii="Times New Roman" w:hAnsi="Times New Roman" w:cs="Times New Roman"/>
                <w:b/>
                <w:sz w:val="24"/>
                <w:szCs w:val="24"/>
              </w:rPr>
              <w:t>A-14-</w:t>
            </w:r>
            <w:r w:rsidRPr="00053094">
              <w:rPr>
                <w:rFonts w:ascii="Times New Roman" w:hAnsi="Times New Roman" w:cs="Times New Roman"/>
                <w:b/>
                <w:sz w:val="24"/>
                <w:szCs w:val="24"/>
              </w:rPr>
              <w:t>.</w:t>
            </w:r>
            <w:r w:rsidRPr="00053094">
              <w:rPr>
                <w:rFonts w:ascii="Times New Roman" w:hAnsi="Times New Roman" w:cs="Times New Roman"/>
                <w:sz w:val="24"/>
                <w:szCs w:val="24"/>
              </w:rPr>
              <w:t xml:space="preserve"> </w:t>
            </w:r>
            <w:r w:rsidRPr="00053094">
              <w:rPr>
                <w:rFonts w:ascii="Times New Roman" w:hAnsi="Times New Roman" w:cs="Times New Roman"/>
                <w:b/>
                <w:sz w:val="24"/>
                <w:szCs w:val="24"/>
              </w:rPr>
              <w:t xml:space="preserve">Estimated </w:t>
            </w:r>
            <w:r>
              <w:rPr>
                <w:rFonts w:ascii="Times New Roman" w:hAnsi="Times New Roman" w:cs="Times New Roman"/>
                <w:b/>
                <w:sz w:val="24"/>
                <w:szCs w:val="24"/>
              </w:rPr>
              <w:t>Cost Analysis per FTE</w:t>
            </w:r>
            <w:r w:rsidR="00391C85">
              <w:rPr>
                <w:rStyle w:val="FootnoteReference"/>
                <w:rFonts w:ascii="Times New Roman" w:hAnsi="Times New Roman" w:cs="Times New Roman"/>
                <w:b/>
                <w:sz w:val="24"/>
                <w:szCs w:val="24"/>
              </w:rPr>
              <w:footnoteReference w:id="5"/>
            </w:r>
          </w:p>
        </w:tc>
      </w:tr>
      <w:tr w:rsidR="001E1A5D" w14:paraId="6947DD74" w14:textId="77777777" w:rsidTr="007612F7">
        <w:tc>
          <w:tcPr>
            <w:tcW w:w="10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AF730" w14:textId="77777777" w:rsidR="001E1A5D" w:rsidRDefault="001E1A5D" w:rsidP="007612F7">
            <w:pPr>
              <w:spacing w:after="0" w:line="240" w:lineRule="auto"/>
              <w:rPr>
                <w:rFonts w:ascii="Calibri" w:hAnsi="Calibri"/>
              </w:rPr>
            </w:pPr>
            <w:r>
              <w:t>Grade</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9B280" w14:textId="77777777" w:rsidR="001E1A5D" w:rsidRDefault="001E1A5D" w:rsidP="007612F7">
            <w:pPr>
              <w:spacing w:after="0" w:line="240" w:lineRule="auto"/>
              <w:rPr>
                <w:rFonts w:ascii="Calibri" w:hAnsi="Calibri"/>
              </w:rPr>
            </w:pPr>
            <w:r>
              <w:t>Hours</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1859B" w14:textId="77777777" w:rsidR="001E1A5D" w:rsidRDefault="001E1A5D" w:rsidP="007612F7">
            <w:pPr>
              <w:spacing w:after="0" w:line="240" w:lineRule="auto"/>
              <w:rPr>
                <w:rFonts w:ascii="Calibri" w:hAnsi="Calibri"/>
              </w:rPr>
            </w:pPr>
            <w:r>
              <w:t>Rate</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F727C" w14:textId="77777777" w:rsidR="001E1A5D" w:rsidRDefault="001E1A5D" w:rsidP="007612F7">
            <w:pPr>
              <w:spacing w:after="0" w:line="240" w:lineRule="auto"/>
              <w:rPr>
                <w:rFonts w:ascii="Calibri" w:hAnsi="Calibri"/>
              </w:rPr>
            </w:pPr>
            <w:r>
              <w:t>Total Cost</w:t>
            </w:r>
          </w:p>
        </w:tc>
      </w:tr>
      <w:tr w:rsidR="001E1A5D" w14:paraId="65CE6473" w14:textId="77777777" w:rsidTr="007612F7">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7A640" w14:textId="77777777" w:rsidR="001E1A5D" w:rsidRDefault="001E1A5D" w:rsidP="007612F7">
            <w:pPr>
              <w:spacing w:after="0" w:line="240" w:lineRule="auto"/>
              <w:rPr>
                <w:rFonts w:ascii="Calibri" w:hAnsi="Calibri"/>
              </w:rPr>
            </w:pPr>
            <w:r>
              <w:t>GS 15</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1181A970" w14:textId="77777777" w:rsidR="001E1A5D" w:rsidRDefault="001E1A5D" w:rsidP="007612F7">
            <w:pPr>
              <w:spacing w:after="0" w:line="240" w:lineRule="auto"/>
              <w:rPr>
                <w:rFonts w:ascii="Calibri" w:hAnsi="Calibri"/>
              </w:rPr>
            </w:pPr>
            <w: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364DEC67" w14:textId="77777777" w:rsidR="001E1A5D" w:rsidRDefault="001E1A5D" w:rsidP="007612F7">
            <w:pPr>
              <w:spacing w:after="0" w:line="240" w:lineRule="auto"/>
              <w:rPr>
                <w:rFonts w:ascii="Calibri" w:hAnsi="Calibri"/>
              </w:rPr>
            </w:pPr>
            <w:r>
              <w:t>$86.95</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66730687" w14:textId="77777777" w:rsidR="001E1A5D" w:rsidRDefault="001E1A5D" w:rsidP="007612F7">
            <w:pPr>
              <w:spacing w:after="0" w:line="240" w:lineRule="auto"/>
              <w:rPr>
                <w:rFonts w:ascii="Calibri" w:hAnsi="Calibri"/>
              </w:rPr>
            </w:pPr>
            <w:r>
              <w:t>$9,042.80</w:t>
            </w:r>
          </w:p>
        </w:tc>
      </w:tr>
      <w:tr w:rsidR="001E1A5D" w14:paraId="20FEEE65" w14:textId="77777777" w:rsidTr="007612F7">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06FD6" w14:textId="77777777" w:rsidR="001E1A5D" w:rsidRDefault="001E1A5D" w:rsidP="007612F7">
            <w:pPr>
              <w:spacing w:after="0" w:line="240" w:lineRule="auto"/>
              <w:rPr>
                <w:rFonts w:ascii="Calibri" w:hAnsi="Calibri"/>
              </w:rPr>
            </w:pPr>
            <w:r>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57FF3956" w14:textId="77777777" w:rsidR="001E1A5D" w:rsidRDefault="001E1A5D" w:rsidP="007612F7">
            <w:pPr>
              <w:spacing w:after="0" w:line="240" w:lineRule="auto"/>
              <w:rPr>
                <w:rFonts w:ascii="Calibri" w:hAnsi="Calibri"/>
              </w:rPr>
            </w:pPr>
            <w: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754774DA" w14:textId="77777777" w:rsidR="001E1A5D" w:rsidRDefault="001E1A5D" w:rsidP="007612F7">
            <w:pPr>
              <w:spacing w:after="0" w:line="240" w:lineRule="auto"/>
              <w:rPr>
                <w:rFonts w:ascii="Calibri" w:hAnsi="Calibri"/>
              </w:rPr>
            </w:pPr>
            <w:r>
              <w:t>$73.91</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515ABC84" w14:textId="77777777" w:rsidR="001E1A5D" w:rsidRDefault="001E1A5D" w:rsidP="007612F7">
            <w:pPr>
              <w:spacing w:after="0" w:line="240" w:lineRule="auto"/>
              <w:rPr>
                <w:rFonts w:ascii="Calibri" w:hAnsi="Calibri"/>
              </w:rPr>
            </w:pPr>
            <w:r>
              <w:t>$7,686.60</w:t>
            </w:r>
          </w:p>
        </w:tc>
      </w:tr>
      <w:tr w:rsidR="001E1A5D" w14:paraId="7C71AF14" w14:textId="77777777" w:rsidTr="007612F7">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C5561" w14:textId="77777777" w:rsidR="001E1A5D" w:rsidRDefault="001E1A5D" w:rsidP="007612F7">
            <w:pPr>
              <w:spacing w:after="0" w:line="240" w:lineRule="auto"/>
              <w:rPr>
                <w:rFonts w:ascii="Calibri" w:hAnsi="Calibri"/>
              </w:rPr>
            </w:pPr>
            <w:r>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47346F63" w14:textId="77777777" w:rsidR="001E1A5D" w:rsidRDefault="001E1A5D" w:rsidP="007612F7">
            <w:pPr>
              <w:spacing w:after="0" w:line="240" w:lineRule="auto"/>
              <w:rPr>
                <w:rFonts w:ascii="Calibri" w:hAnsi="Calibri"/>
              </w:rPr>
            </w:pPr>
            <w: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41A1FA43" w14:textId="77777777" w:rsidR="001E1A5D" w:rsidRDefault="001E1A5D" w:rsidP="007612F7">
            <w:pPr>
              <w:spacing w:after="0" w:line="240" w:lineRule="auto"/>
              <w:rPr>
                <w:rFonts w:ascii="Calibri" w:hAnsi="Calibri"/>
              </w:rPr>
            </w:pPr>
            <w:r>
              <w:t>$73.91</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7E0AB93F" w14:textId="77777777" w:rsidR="001E1A5D" w:rsidRDefault="001E1A5D" w:rsidP="007612F7">
            <w:pPr>
              <w:spacing w:after="0" w:line="240" w:lineRule="auto"/>
              <w:rPr>
                <w:rFonts w:ascii="Calibri" w:hAnsi="Calibri"/>
              </w:rPr>
            </w:pPr>
            <w:r>
              <w:t>$7,686.60</w:t>
            </w:r>
          </w:p>
        </w:tc>
      </w:tr>
      <w:tr w:rsidR="001E1A5D" w14:paraId="3D0A37A4" w14:textId="77777777" w:rsidTr="007612F7">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68296" w14:textId="77777777" w:rsidR="001E1A5D" w:rsidRDefault="001E1A5D" w:rsidP="007612F7">
            <w:pPr>
              <w:spacing w:after="0" w:line="240" w:lineRule="auto"/>
              <w:rPr>
                <w:rFonts w:ascii="Calibri" w:hAnsi="Calibri"/>
              </w:rPr>
            </w:pPr>
            <w:r>
              <w:t>GS 13</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01DC72C3" w14:textId="77777777" w:rsidR="001E1A5D" w:rsidRDefault="001E1A5D" w:rsidP="007612F7">
            <w:pPr>
              <w:spacing w:after="0" w:line="240" w:lineRule="auto"/>
              <w:rPr>
                <w:rFonts w:ascii="Calibri" w:hAnsi="Calibri"/>
              </w:rPr>
            </w:pPr>
            <w:r>
              <w:t>416</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012B5426" w14:textId="77777777" w:rsidR="001E1A5D" w:rsidRDefault="001E1A5D" w:rsidP="007612F7">
            <w:pPr>
              <w:spacing w:after="0" w:line="240" w:lineRule="auto"/>
              <w:rPr>
                <w:rFonts w:ascii="Calibri" w:hAnsi="Calibri"/>
              </w:rPr>
            </w:pPr>
            <w:r>
              <w:t>$62.55</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7647D6D9" w14:textId="77777777" w:rsidR="001E1A5D" w:rsidRDefault="001E1A5D" w:rsidP="007612F7">
            <w:pPr>
              <w:spacing w:after="0" w:line="240" w:lineRule="auto"/>
              <w:rPr>
                <w:rFonts w:ascii="Calibri" w:hAnsi="Calibri"/>
              </w:rPr>
            </w:pPr>
            <w:r>
              <w:t>$26,020.80</w:t>
            </w:r>
          </w:p>
        </w:tc>
      </w:tr>
      <w:tr w:rsidR="001E1A5D" w14:paraId="6997A289" w14:textId="77777777" w:rsidTr="007612F7">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55C21" w14:textId="77777777" w:rsidR="001E1A5D" w:rsidRDefault="001E1A5D" w:rsidP="007612F7">
            <w:pPr>
              <w:spacing w:after="0" w:line="240" w:lineRule="auto"/>
              <w:rPr>
                <w:rFonts w:ascii="Calibri" w:hAnsi="Calibri"/>
              </w:rPr>
            </w:pPr>
            <w:r>
              <w:t>GS 13</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04AC37C2" w14:textId="77777777" w:rsidR="001E1A5D" w:rsidRDefault="001E1A5D" w:rsidP="007612F7">
            <w:pPr>
              <w:spacing w:after="0" w:line="240" w:lineRule="auto"/>
              <w:rPr>
                <w:rFonts w:ascii="Calibri" w:hAnsi="Calibri"/>
              </w:rPr>
            </w:pPr>
            <w:r>
              <w:t>312</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5DE3B1D1" w14:textId="77777777" w:rsidR="001E1A5D" w:rsidRDefault="001E1A5D" w:rsidP="007612F7">
            <w:pPr>
              <w:spacing w:after="0" w:line="240" w:lineRule="auto"/>
              <w:rPr>
                <w:rFonts w:ascii="Calibri" w:hAnsi="Calibri"/>
              </w:rPr>
            </w:pPr>
            <w:r>
              <w:t>$62.55</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03297C71" w14:textId="77777777" w:rsidR="001E1A5D" w:rsidRDefault="001E1A5D" w:rsidP="007612F7">
            <w:pPr>
              <w:spacing w:after="0" w:line="240" w:lineRule="auto"/>
              <w:rPr>
                <w:rFonts w:ascii="Calibri" w:hAnsi="Calibri"/>
                <w:highlight w:val="yellow"/>
              </w:rPr>
            </w:pPr>
            <w:r w:rsidRPr="00126401">
              <w:t>$19,515.60</w:t>
            </w:r>
          </w:p>
        </w:tc>
      </w:tr>
      <w:tr w:rsidR="001E1A5D" w14:paraId="1E500935" w14:textId="77777777" w:rsidTr="007612F7">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35768" w14:textId="77777777" w:rsidR="001E1A5D" w:rsidRPr="00F97B74" w:rsidRDefault="001E1A5D" w:rsidP="007612F7">
            <w:pPr>
              <w:spacing w:after="0" w:line="240" w:lineRule="auto"/>
              <w:rPr>
                <w:rFonts w:ascii="Calibri" w:hAnsi="Calibri"/>
                <w:b/>
              </w:rPr>
            </w:pPr>
            <w:r w:rsidRPr="00F97B74">
              <w:rPr>
                <w:b/>
              </w:rPr>
              <w:t>Total</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277D285E" w14:textId="446C0C40" w:rsidR="001E1A5D" w:rsidRPr="00F97B74" w:rsidRDefault="001E1A5D" w:rsidP="007612F7">
            <w:pPr>
              <w:spacing w:after="0" w:line="240" w:lineRule="auto"/>
              <w:rPr>
                <w:rFonts w:ascii="Calibri" w:hAnsi="Calibri"/>
                <w:b/>
              </w:rPr>
            </w:pPr>
            <w:r w:rsidRPr="00F97B74">
              <w:rPr>
                <w:b/>
              </w:rPr>
              <w:t>1</w:t>
            </w:r>
            <w:r w:rsidR="000F4600">
              <w:rPr>
                <w:b/>
              </w:rPr>
              <w:t>,</w:t>
            </w:r>
            <w:r w:rsidRPr="00F97B74">
              <w:rPr>
                <w:b/>
              </w:rPr>
              <w:t>040</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07827418" w14:textId="77777777" w:rsidR="001E1A5D" w:rsidRPr="00F97B74" w:rsidRDefault="001E1A5D" w:rsidP="007612F7">
            <w:pPr>
              <w:spacing w:after="0" w:line="240" w:lineRule="auto"/>
              <w:rPr>
                <w:rFonts w:ascii="Calibri" w:hAnsi="Calibri"/>
                <w:b/>
              </w:rPr>
            </w:pPr>
            <w:r w:rsidRPr="00F97B74">
              <w:rPr>
                <w:b/>
              </w:rPr>
              <w:t>N/A</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32AC7D4F" w14:textId="77777777" w:rsidR="001E1A5D" w:rsidRPr="00F97B74" w:rsidRDefault="001E1A5D" w:rsidP="007612F7">
            <w:pPr>
              <w:spacing w:after="0" w:line="240" w:lineRule="auto"/>
              <w:rPr>
                <w:rFonts w:ascii="Calibri" w:hAnsi="Calibri"/>
                <w:b/>
                <w:highlight w:val="yellow"/>
              </w:rPr>
            </w:pPr>
            <w:r w:rsidRPr="00F97B74">
              <w:rPr>
                <w:b/>
              </w:rPr>
              <w:t>$69,952.40</w:t>
            </w:r>
          </w:p>
        </w:tc>
      </w:tr>
    </w:tbl>
    <w:p w14:paraId="08B4AF56" w14:textId="77777777" w:rsidR="00391C85" w:rsidRDefault="00391C85" w:rsidP="00391C85">
      <w:pPr>
        <w:pStyle w:val="ListParagraph"/>
        <w:rPr>
          <w:rFonts w:ascii="Times New Roman" w:hAnsi="Times New Roman" w:cs="Times New Roman"/>
          <w:b/>
          <w:sz w:val="24"/>
          <w:szCs w:val="24"/>
        </w:rPr>
      </w:pPr>
    </w:p>
    <w:p w14:paraId="1E85EDF5" w14:textId="7F2D8262"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Explain the reasons for any program changes or adjustments reported in Items</w:t>
      </w:r>
      <w:r w:rsidR="00FF5834" w:rsidRPr="004E7506">
        <w:rPr>
          <w:rFonts w:ascii="Times New Roman" w:hAnsi="Times New Roman" w:cs="Times New Roman"/>
          <w:b/>
          <w:sz w:val="24"/>
          <w:szCs w:val="24"/>
        </w:rPr>
        <w:t xml:space="preserve"> 13 or 14 of the OMB Form 83-I.</w:t>
      </w:r>
    </w:p>
    <w:p w14:paraId="1306A2F4" w14:textId="77777777" w:rsidR="0068336A" w:rsidRPr="004E7506" w:rsidRDefault="0050323A" w:rsidP="004E7506">
      <w:pPr>
        <w:ind w:firstLine="360"/>
        <w:rPr>
          <w:rFonts w:ascii="Times New Roman" w:hAnsi="Times New Roman" w:cs="Times New Roman"/>
          <w:b/>
          <w:sz w:val="24"/>
          <w:szCs w:val="24"/>
        </w:rPr>
      </w:pPr>
      <w:r w:rsidRPr="004E7506">
        <w:rPr>
          <w:rFonts w:ascii="Times New Roman" w:hAnsi="Times New Roman" w:cs="Times New Roman"/>
          <w:sz w:val="24"/>
          <w:szCs w:val="24"/>
        </w:rPr>
        <w:t>This is a new data collection.</w:t>
      </w:r>
    </w:p>
    <w:p w14:paraId="00A6210B" w14:textId="3E4BB257"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w:t>
      </w:r>
      <w:r w:rsidR="00FF5834" w:rsidRPr="004E7506">
        <w:rPr>
          <w:rFonts w:ascii="Times New Roman" w:hAnsi="Times New Roman" w:cs="Times New Roman"/>
          <w:b/>
          <w:sz w:val="24"/>
          <w:szCs w:val="24"/>
        </w:rPr>
        <w:t>ation dates, and other actions.</w:t>
      </w:r>
    </w:p>
    <w:p w14:paraId="365023C4" w14:textId="2083F7F2" w:rsidR="009043CA" w:rsidRPr="004E7506" w:rsidRDefault="009043CA" w:rsidP="004E7506">
      <w:pPr>
        <w:ind w:left="360"/>
        <w:rPr>
          <w:rFonts w:ascii="Times New Roman" w:hAnsi="Times New Roman" w:cs="Times New Roman"/>
          <w:sz w:val="24"/>
          <w:szCs w:val="24"/>
        </w:rPr>
      </w:pPr>
      <w:r w:rsidRPr="004E7506">
        <w:rPr>
          <w:rFonts w:ascii="Times New Roman" w:hAnsi="Times New Roman" w:cs="Times New Roman"/>
          <w:sz w:val="24"/>
          <w:szCs w:val="24"/>
        </w:rPr>
        <w:t xml:space="preserve">A combination of </w:t>
      </w:r>
      <w:r w:rsidR="00342999" w:rsidRPr="004E7506">
        <w:rPr>
          <w:rFonts w:ascii="Times New Roman" w:hAnsi="Times New Roman" w:cs="Times New Roman"/>
          <w:sz w:val="24"/>
          <w:szCs w:val="24"/>
        </w:rPr>
        <w:t>53</w:t>
      </w:r>
      <w:r w:rsidR="005C2D9D" w:rsidRPr="004E7506">
        <w:rPr>
          <w:rFonts w:ascii="Times New Roman" w:hAnsi="Times New Roman" w:cs="Times New Roman"/>
          <w:sz w:val="24"/>
          <w:szCs w:val="24"/>
        </w:rPr>
        <w:t xml:space="preserve"> states </w:t>
      </w:r>
      <w:r w:rsidRPr="004E7506">
        <w:rPr>
          <w:rFonts w:ascii="Times New Roman" w:hAnsi="Times New Roman" w:cs="Times New Roman"/>
          <w:sz w:val="24"/>
          <w:szCs w:val="24"/>
        </w:rPr>
        <w:t xml:space="preserve">and/or territories </w:t>
      </w:r>
      <w:r w:rsidR="005C2D9D" w:rsidRPr="004E7506">
        <w:rPr>
          <w:rFonts w:ascii="Times New Roman" w:hAnsi="Times New Roman" w:cs="Times New Roman"/>
          <w:sz w:val="24"/>
          <w:szCs w:val="24"/>
        </w:rPr>
        <w:t xml:space="preserve">will be surveyed </w:t>
      </w:r>
      <w:r w:rsidR="00342999" w:rsidRPr="004E7506">
        <w:rPr>
          <w:rFonts w:ascii="Times New Roman" w:hAnsi="Times New Roman" w:cs="Times New Roman"/>
          <w:sz w:val="24"/>
          <w:szCs w:val="24"/>
        </w:rPr>
        <w:t>over three</w:t>
      </w:r>
      <w:r w:rsidR="00995F13" w:rsidRPr="004E7506">
        <w:rPr>
          <w:rFonts w:ascii="Times New Roman" w:hAnsi="Times New Roman" w:cs="Times New Roman"/>
          <w:sz w:val="24"/>
          <w:szCs w:val="24"/>
        </w:rPr>
        <w:t xml:space="preserve"> </w:t>
      </w:r>
      <w:r w:rsidR="005C2D9D" w:rsidRPr="004E7506">
        <w:rPr>
          <w:rFonts w:ascii="Times New Roman" w:hAnsi="Times New Roman" w:cs="Times New Roman"/>
          <w:sz w:val="24"/>
          <w:szCs w:val="24"/>
        </w:rPr>
        <w:t>year</w:t>
      </w:r>
      <w:r w:rsidR="00342999" w:rsidRPr="004E7506">
        <w:rPr>
          <w:rFonts w:ascii="Times New Roman" w:hAnsi="Times New Roman" w:cs="Times New Roman"/>
          <w:sz w:val="24"/>
          <w:szCs w:val="24"/>
        </w:rPr>
        <w:t>s</w:t>
      </w:r>
      <w:r w:rsidR="00A27A32" w:rsidRPr="004E7506">
        <w:rPr>
          <w:rFonts w:ascii="Times New Roman" w:hAnsi="Times New Roman" w:cs="Times New Roman"/>
          <w:sz w:val="24"/>
          <w:szCs w:val="24"/>
        </w:rPr>
        <w:t>.</w:t>
      </w:r>
      <w:r w:rsidR="005C2D9D" w:rsidRPr="004E7506">
        <w:rPr>
          <w:rFonts w:ascii="Times New Roman" w:hAnsi="Times New Roman" w:cs="Times New Roman"/>
          <w:sz w:val="24"/>
          <w:szCs w:val="24"/>
        </w:rPr>
        <w:t xml:space="preserve"> </w:t>
      </w:r>
      <w:r w:rsidR="00A27A32" w:rsidRPr="004E7506">
        <w:rPr>
          <w:rFonts w:ascii="Times New Roman" w:hAnsi="Times New Roman" w:cs="Times New Roman"/>
          <w:sz w:val="24"/>
          <w:szCs w:val="24"/>
        </w:rPr>
        <w:t xml:space="preserve">In Year 1, </w:t>
      </w:r>
      <w:r w:rsidR="00342999" w:rsidRPr="004E7506">
        <w:rPr>
          <w:rFonts w:ascii="Times New Roman" w:hAnsi="Times New Roman" w:cs="Times New Roman"/>
          <w:sz w:val="24"/>
          <w:szCs w:val="24"/>
        </w:rPr>
        <w:t xml:space="preserve">18 states/territories </w:t>
      </w:r>
      <w:r w:rsidR="00A27A32" w:rsidRPr="004E7506">
        <w:rPr>
          <w:rFonts w:ascii="Times New Roman" w:hAnsi="Times New Roman" w:cs="Times New Roman"/>
          <w:sz w:val="24"/>
          <w:szCs w:val="24"/>
        </w:rPr>
        <w:t xml:space="preserve">will be </w:t>
      </w:r>
      <w:r w:rsidR="00342999" w:rsidRPr="004E7506">
        <w:rPr>
          <w:rFonts w:ascii="Times New Roman" w:hAnsi="Times New Roman" w:cs="Times New Roman"/>
          <w:sz w:val="24"/>
          <w:szCs w:val="24"/>
        </w:rPr>
        <w:t>surveyed</w:t>
      </w:r>
      <w:r w:rsidR="00A27A32" w:rsidRPr="004E7506">
        <w:rPr>
          <w:rFonts w:ascii="Times New Roman" w:hAnsi="Times New Roman" w:cs="Times New Roman"/>
          <w:sz w:val="24"/>
          <w:szCs w:val="24"/>
        </w:rPr>
        <w:t>.</w:t>
      </w:r>
      <w:r w:rsidR="00342999" w:rsidRPr="004E7506">
        <w:rPr>
          <w:rFonts w:ascii="Times New Roman" w:hAnsi="Times New Roman" w:cs="Times New Roman"/>
          <w:sz w:val="24"/>
          <w:szCs w:val="24"/>
        </w:rPr>
        <w:t xml:space="preserve"> </w:t>
      </w:r>
      <w:r w:rsidR="00A27A32" w:rsidRPr="004E7506">
        <w:rPr>
          <w:rFonts w:ascii="Times New Roman" w:hAnsi="Times New Roman" w:cs="Times New Roman"/>
          <w:sz w:val="24"/>
          <w:szCs w:val="24"/>
        </w:rPr>
        <w:t xml:space="preserve">In Year </w:t>
      </w:r>
      <w:r w:rsidR="00342999" w:rsidRPr="004E7506">
        <w:rPr>
          <w:rFonts w:ascii="Times New Roman" w:hAnsi="Times New Roman" w:cs="Times New Roman"/>
          <w:sz w:val="24"/>
          <w:szCs w:val="24"/>
        </w:rPr>
        <w:t>2</w:t>
      </w:r>
      <w:r w:rsidR="00A27A32" w:rsidRPr="004E7506">
        <w:rPr>
          <w:rFonts w:ascii="Times New Roman" w:hAnsi="Times New Roman" w:cs="Times New Roman"/>
          <w:sz w:val="24"/>
          <w:szCs w:val="24"/>
        </w:rPr>
        <w:t>, 18 states/territories will also be surveyed.</w:t>
      </w:r>
      <w:r w:rsidR="00342999" w:rsidRPr="004E7506">
        <w:rPr>
          <w:rFonts w:ascii="Times New Roman" w:hAnsi="Times New Roman" w:cs="Times New Roman"/>
          <w:sz w:val="24"/>
          <w:szCs w:val="24"/>
        </w:rPr>
        <w:t xml:space="preserve"> </w:t>
      </w:r>
      <w:r w:rsidR="00A27A32" w:rsidRPr="004E7506">
        <w:rPr>
          <w:rFonts w:ascii="Times New Roman" w:hAnsi="Times New Roman" w:cs="Times New Roman"/>
          <w:sz w:val="24"/>
          <w:szCs w:val="24"/>
        </w:rPr>
        <w:t xml:space="preserve">In Year 3, </w:t>
      </w:r>
      <w:r w:rsidR="00342999" w:rsidRPr="004E7506">
        <w:rPr>
          <w:rFonts w:ascii="Times New Roman" w:hAnsi="Times New Roman" w:cs="Times New Roman"/>
          <w:sz w:val="24"/>
          <w:szCs w:val="24"/>
        </w:rPr>
        <w:t xml:space="preserve">17 states/territories </w:t>
      </w:r>
      <w:r w:rsidR="00A27A32" w:rsidRPr="004E7506">
        <w:rPr>
          <w:rFonts w:ascii="Times New Roman" w:hAnsi="Times New Roman" w:cs="Times New Roman"/>
          <w:sz w:val="24"/>
          <w:szCs w:val="24"/>
        </w:rPr>
        <w:t xml:space="preserve">will be </w:t>
      </w:r>
      <w:r w:rsidR="00342999" w:rsidRPr="004E7506">
        <w:rPr>
          <w:rFonts w:ascii="Times New Roman" w:hAnsi="Times New Roman" w:cs="Times New Roman"/>
          <w:sz w:val="24"/>
          <w:szCs w:val="24"/>
        </w:rPr>
        <w:t>surveyed. E</w:t>
      </w:r>
      <w:r w:rsidR="005C2D9D" w:rsidRPr="004E7506">
        <w:rPr>
          <w:rFonts w:ascii="Times New Roman" w:hAnsi="Times New Roman" w:cs="Times New Roman"/>
          <w:sz w:val="24"/>
          <w:szCs w:val="24"/>
        </w:rPr>
        <w:t>ach state</w:t>
      </w:r>
      <w:r w:rsidR="00463F68" w:rsidRPr="004E7506">
        <w:rPr>
          <w:rFonts w:ascii="Times New Roman" w:hAnsi="Times New Roman" w:cs="Times New Roman"/>
          <w:sz w:val="24"/>
          <w:szCs w:val="24"/>
        </w:rPr>
        <w:t>/territory</w:t>
      </w:r>
      <w:r w:rsidR="005C2D9D" w:rsidRPr="004E7506">
        <w:rPr>
          <w:rFonts w:ascii="Times New Roman" w:hAnsi="Times New Roman" w:cs="Times New Roman"/>
          <w:sz w:val="24"/>
          <w:szCs w:val="24"/>
        </w:rPr>
        <w:t xml:space="preserve"> will receive a report summarizing their results at the end of the year in which they are surveyed. In addition, annual summary results will be provided to ACL along with that year’s </w:t>
      </w:r>
      <w:r w:rsidR="00342999" w:rsidRPr="004E7506">
        <w:rPr>
          <w:rFonts w:ascii="Times New Roman" w:hAnsi="Times New Roman" w:cs="Times New Roman"/>
          <w:sz w:val="24"/>
          <w:szCs w:val="24"/>
        </w:rPr>
        <w:t xml:space="preserve">17 or </w:t>
      </w:r>
      <w:r w:rsidR="005C2D9D" w:rsidRPr="004E7506">
        <w:rPr>
          <w:rFonts w:ascii="Times New Roman" w:hAnsi="Times New Roman" w:cs="Times New Roman"/>
          <w:sz w:val="24"/>
          <w:szCs w:val="24"/>
        </w:rPr>
        <w:t>18 state</w:t>
      </w:r>
      <w:r w:rsidRPr="004E7506">
        <w:rPr>
          <w:rFonts w:ascii="Times New Roman" w:hAnsi="Times New Roman" w:cs="Times New Roman"/>
          <w:sz w:val="24"/>
          <w:szCs w:val="24"/>
        </w:rPr>
        <w:t>/territory</w:t>
      </w:r>
      <w:r w:rsidR="005C2D9D" w:rsidRPr="004E7506">
        <w:rPr>
          <w:rFonts w:ascii="Times New Roman" w:hAnsi="Times New Roman" w:cs="Times New Roman"/>
          <w:sz w:val="24"/>
          <w:szCs w:val="24"/>
        </w:rPr>
        <w:t xml:space="preserve"> reports.</w:t>
      </w:r>
    </w:p>
    <w:p w14:paraId="0D53D45E" w14:textId="3FC1DB38" w:rsidR="0019666A" w:rsidRDefault="005C2D9D" w:rsidP="0019666A">
      <w:pPr>
        <w:ind w:left="360"/>
        <w:rPr>
          <w:rFonts w:ascii="Times New Roman" w:hAnsi="Times New Roman" w:cs="Times New Roman"/>
          <w:sz w:val="24"/>
          <w:szCs w:val="24"/>
        </w:rPr>
      </w:pPr>
      <w:r w:rsidRPr="004E7506">
        <w:rPr>
          <w:rFonts w:ascii="Times New Roman" w:hAnsi="Times New Roman" w:cs="Times New Roman"/>
          <w:sz w:val="24"/>
          <w:szCs w:val="24"/>
        </w:rPr>
        <w:t xml:space="preserve">At the conclusion of the three-year cycle, a national report </w:t>
      </w:r>
      <w:r w:rsidR="009043CA" w:rsidRPr="004E7506">
        <w:rPr>
          <w:rFonts w:ascii="Times New Roman" w:hAnsi="Times New Roman" w:cs="Times New Roman"/>
          <w:sz w:val="24"/>
          <w:szCs w:val="24"/>
        </w:rPr>
        <w:t>which summarizes results across all 5</w:t>
      </w:r>
      <w:r w:rsidR="00342999" w:rsidRPr="004E7506">
        <w:rPr>
          <w:rFonts w:ascii="Times New Roman" w:hAnsi="Times New Roman" w:cs="Times New Roman"/>
          <w:sz w:val="24"/>
          <w:szCs w:val="24"/>
        </w:rPr>
        <w:t>3</w:t>
      </w:r>
      <w:r w:rsidR="009043CA" w:rsidRPr="004E7506">
        <w:rPr>
          <w:rFonts w:ascii="Times New Roman" w:hAnsi="Times New Roman" w:cs="Times New Roman"/>
          <w:sz w:val="24"/>
          <w:szCs w:val="24"/>
        </w:rPr>
        <w:t xml:space="preserve"> states and territories </w:t>
      </w:r>
      <w:r w:rsidRPr="004E7506">
        <w:rPr>
          <w:rFonts w:ascii="Times New Roman" w:hAnsi="Times New Roman" w:cs="Times New Roman"/>
          <w:sz w:val="24"/>
          <w:szCs w:val="24"/>
        </w:rPr>
        <w:t>will be created</w:t>
      </w:r>
      <w:r w:rsidR="009043CA" w:rsidRPr="004E7506">
        <w:rPr>
          <w:rFonts w:ascii="Times New Roman" w:hAnsi="Times New Roman" w:cs="Times New Roman"/>
          <w:sz w:val="24"/>
          <w:szCs w:val="24"/>
        </w:rPr>
        <w:t>.</w:t>
      </w:r>
      <w:r w:rsidRPr="004E7506">
        <w:rPr>
          <w:rFonts w:ascii="Times New Roman" w:hAnsi="Times New Roman" w:cs="Times New Roman"/>
          <w:sz w:val="24"/>
          <w:szCs w:val="24"/>
        </w:rPr>
        <w:t xml:space="preserve"> </w:t>
      </w:r>
      <w:r w:rsidR="009043CA" w:rsidRPr="004E7506">
        <w:rPr>
          <w:rFonts w:ascii="Times New Roman" w:hAnsi="Times New Roman" w:cs="Times New Roman"/>
          <w:sz w:val="24"/>
          <w:szCs w:val="24"/>
        </w:rPr>
        <w:t xml:space="preserve">This national report will also evaluate </w:t>
      </w:r>
      <w:r w:rsidRPr="004E7506">
        <w:rPr>
          <w:rFonts w:ascii="Times New Roman" w:hAnsi="Times New Roman" w:cs="Times New Roman"/>
          <w:sz w:val="24"/>
          <w:szCs w:val="24"/>
        </w:rPr>
        <w:t>answer frequency, question correlation, and overall program performance.</w:t>
      </w:r>
      <w:r w:rsidR="00882978" w:rsidRPr="00882978">
        <w:rPr>
          <w:rFonts w:ascii="Times New Roman" w:hAnsi="Times New Roman" w:cs="Times New Roman"/>
          <w:sz w:val="24"/>
          <w:szCs w:val="24"/>
        </w:rPr>
        <w:t xml:space="preserve"> </w:t>
      </w:r>
      <w:r w:rsidR="00882978">
        <w:rPr>
          <w:rFonts w:ascii="Times New Roman" w:hAnsi="Times New Roman" w:cs="Times New Roman"/>
          <w:sz w:val="24"/>
          <w:szCs w:val="24"/>
        </w:rPr>
        <w:t>At this time, ACL does not plan to make th</w:t>
      </w:r>
      <w:r w:rsidR="0019666A">
        <w:rPr>
          <w:rFonts w:ascii="Times New Roman" w:hAnsi="Times New Roman" w:cs="Times New Roman"/>
          <w:sz w:val="24"/>
          <w:szCs w:val="24"/>
        </w:rPr>
        <w:t>is national</w:t>
      </w:r>
      <w:r w:rsidR="00882978">
        <w:rPr>
          <w:rFonts w:ascii="Times New Roman" w:hAnsi="Times New Roman" w:cs="Times New Roman"/>
          <w:sz w:val="24"/>
          <w:szCs w:val="24"/>
        </w:rPr>
        <w:t xml:space="preserve"> report public</w:t>
      </w:r>
      <w:r w:rsidR="0019666A">
        <w:rPr>
          <w:rFonts w:ascii="Times New Roman" w:hAnsi="Times New Roman" w:cs="Times New Roman"/>
          <w:sz w:val="24"/>
          <w:szCs w:val="24"/>
        </w:rPr>
        <w:t>, but will supply states/territories with an analysis of their individual performance, and how that performance compares to national averages</w:t>
      </w:r>
      <w:r w:rsidR="00882978">
        <w:rPr>
          <w:rFonts w:ascii="Times New Roman" w:hAnsi="Times New Roman" w:cs="Times New Roman"/>
          <w:sz w:val="24"/>
          <w:szCs w:val="24"/>
        </w:rPr>
        <w:t xml:space="preserve">. </w:t>
      </w:r>
    </w:p>
    <w:p w14:paraId="579A7A2A" w14:textId="4D4F0BF7" w:rsidR="005C2D9D" w:rsidRPr="004E7506" w:rsidRDefault="0019666A" w:rsidP="0019666A">
      <w:pPr>
        <w:ind w:left="360"/>
        <w:rPr>
          <w:rFonts w:ascii="Times New Roman" w:hAnsi="Times New Roman" w:cs="Times New Roman"/>
          <w:sz w:val="24"/>
          <w:szCs w:val="24"/>
        </w:rPr>
      </w:pPr>
      <w:r>
        <w:rPr>
          <w:rFonts w:ascii="Times New Roman" w:hAnsi="Times New Roman" w:cs="Times New Roman"/>
          <w:sz w:val="24"/>
          <w:szCs w:val="24"/>
        </w:rPr>
        <w:t>In addition,</w:t>
      </w:r>
      <w:r w:rsidR="00882978">
        <w:rPr>
          <w:rFonts w:ascii="Times New Roman" w:hAnsi="Times New Roman" w:cs="Times New Roman"/>
          <w:sz w:val="24"/>
          <w:szCs w:val="24"/>
        </w:rPr>
        <w:t xml:space="preserve"> </w:t>
      </w:r>
      <w:r w:rsidR="00882978" w:rsidRPr="004E7506">
        <w:rPr>
          <w:rFonts w:ascii="Times New Roman" w:hAnsi="Times New Roman" w:cs="Times New Roman"/>
          <w:sz w:val="24"/>
          <w:szCs w:val="24"/>
        </w:rPr>
        <w:t xml:space="preserve">ACL will update each of the states/territories surveyed in a given year on the number of surveys collected per </w:t>
      </w:r>
      <w:r w:rsidR="0066742D">
        <w:rPr>
          <w:rFonts w:ascii="Times New Roman" w:hAnsi="Times New Roman" w:cs="Times New Roman"/>
          <w:sz w:val="24"/>
          <w:szCs w:val="24"/>
        </w:rPr>
        <w:t>Month</w:t>
      </w:r>
      <w:r w:rsidR="00882978" w:rsidRPr="004E7506">
        <w:rPr>
          <w:rFonts w:ascii="Times New Roman" w:hAnsi="Times New Roman" w:cs="Times New Roman"/>
          <w:sz w:val="24"/>
          <w:szCs w:val="24"/>
        </w:rPr>
        <w:t xml:space="preserve">, and their compliance with the established criteria on the </w:t>
      </w:r>
      <w:r w:rsidR="0066742D">
        <w:rPr>
          <w:rFonts w:ascii="Times New Roman" w:hAnsi="Times New Roman" w:cs="Times New Roman"/>
          <w:sz w:val="24"/>
          <w:szCs w:val="24"/>
        </w:rPr>
        <w:t>Monthly</w:t>
      </w:r>
      <w:r w:rsidR="00882978" w:rsidRPr="004E7506">
        <w:rPr>
          <w:rFonts w:ascii="Times New Roman" w:hAnsi="Times New Roman" w:cs="Times New Roman"/>
          <w:sz w:val="24"/>
          <w:szCs w:val="24"/>
        </w:rPr>
        <w:t xml:space="preserve"> Status Check dates (Tasks 6-</w:t>
      </w:r>
      <w:r w:rsidR="0066742D">
        <w:rPr>
          <w:rFonts w:ascii="Times New Roman" w:hAnsi="Times New Roman" w:cs="Times New Roman"/>
          <w:sz w:val="24"/>
          <w:szCs w:val="24"/>
        </w:rPr>
        <w:t>10</w:t>
      </w:r>
      <w:r w:rsidR="00882978" w:rsidRPr="004E7506">
        <w:rPr>
          <w:rFonts w:ascii="Times New Roman" w:hAnsi="Times New Roman" w:cs="Times New Roman"/>
          <w:sz w:val="24"/>
          <w:szCs w:val="24"/>
        </w:rPr>
        <w:t>).</w:t>
      </w:r>
      <w:r w:rsidR="005C2D9D" w:rsidRPr="004E7506">
        <w:rPr>
          <w:rFonts w:ascii="Times New Roman" w:hAnsi="Times New Roman" w:cs="Times New Roman"/>
          <w:sz w:val="24"/>
          <w:szCs w:val="24"/>
        </w:rPr>
        <w:t>Assuming this project has been approved and is ready to begin on J</w:t>
      </w:r>
      <w:r w:rsidR="0066742D">
        <w:rPr>
          <w:rFonts w:ascii="Times New Roman" w:hAnsi="Times New Roman" w:cs="Times New Roman"/>
          <w:sz w:val="24"/>
          <w:szCs w:val="24"/>
        </w:rPr>
        <w:t>ul</w:t>
      </w:r>
      <w:r w:rsidR="005C2D9D" w:rsidRPr="004E7506">
        <w:rPr>
          <w:rFonts w:ascii="Times New Roman" w:hAnsi="Times New Roman" w:cs="Times New Roman"/>
          <w:sz w:val="24"/>
          <w:szCs w:val="24"/>
        </w:rPr>
        <w:t>y 1, 2017, the followi</w:t>
      </w:r>
      <w:r w:rsidR="003D5C01" w:rsidRPr="004E7506">
        <w:rPr>
          <w:rFonts w:ascii="Times New Roman" w:hAnsi="Times New Roman" w:cs="Times New Roman"/>
          <w:sz w:val="24"/>
          <w:szCs w:val="24"/>
        </w:rPr>
        <w:t xml:space="preserve">ng timeline would be applicable (any shifts to the approval date will have a corresponding impact on the dates listed </w:t>
      </w:r>
      <w:r w:rsidR="00FD4E26" w:rsidRPr="004E7506">
        <w:rPr>
          <w:rFonts w:ascii="Times New Roman" w:hAnsi="Times New Roman" w:cs="Times New Roman"/>
          <w:sz w:val="24"/>
          <w:szCs w:val="24"/>
        </w:rPr>
        <w:t xml:space="preserve">in Table </w:t>
      </w:r>
      <w:r w:rsidR="00313513" w:rsidRPr="004E7506">
        <w:rPr>
          <w:rFonts w:ascii="Times New Roman" w:hAnsi="Times New Roman" w:cs="Times New Roman"/>
          <w:sz w:val="24"/>
          <w:szCs w:val="24"/>
        </w:rPr>
        <w:t>A-</w:t>
      </w:r>
      <w:r w:rsidR="00FD4E26" w:rsidRPr="004E7506">
        <w:rPr>
          <w:rFonts w:ascii="Times New Roman" w:hAnsi="Times New Roman" w:cs="Times New Roman"/>
          <w:sz w:val="24"/>
          <w:szCs w:val="24"/>
        </w:rPr>
        <w:t>16</w:t>
      </w:r>
      <w:r w:rsidR="00313513" w:rsidRPr="004E7506">
        <w:rPr>
          <w:rFonts w:ascii="Times New Roman" w:hAnsi="Times New Roman" w:cs="Times New Roman"/>
          <w:sz w:val="24"/>
          <w:szCs w:val="24"/>
        </w:rPr>
        <w:t>-1</w:t>
      </w:r>
      <w:r w:rsidR="003D5C01" w:rsidRPr="004E7506">
        <w:rPr>
          <w:rFonts w:ascii="Times New Roman" w:hAnsi="Times New Roman" w:cs="Times New Roman"/>
          <w:sz w:val="24"/>
          <w:szCs w:val="24"/>
        </w:rPr>
        <w:t>):</w:t>
      </w:r>
    </w:p>
    <w:p w14:paraId="28DD0FCC" w14:textId="0DF3FE30" w:rsidR="00FD4E26" w:rsidRDefault="009043CA" w:rsidP="00E41476">
      <w:pPr>
        <w:spacing w:after="0"/>
        <w:rPr>
          <w:rFonts w:ascii="Times New Roman" w:hAnsi="Times New Roman" w:cs="Times New Roman"/>
          <w:b/>
          <w:sz w:val="24"/>
          <w:szCs w:val="24"/>
        </w:rPr>
      </w:pPr>
      <w:r w:rsidRPr="004E7506">
        <w:rPr>
          <w:rFonts w:ascii="Times New Roman" w:hAnsi="Times New Roman" w:cs="Times New Roman"/>
          <w:b/>
          <w:sz w:val="24"/>
          <w:szCs w:val="24"/>
        </w:rPr>
        <w:t xml:space="preserve">Table </w:t>
      </w:r>
      <w:r w:rsidR="00313513" w:rsidRPr="004E7506">
        <w:rPr>
          <w:rFonts w:ascii="Times New Roman" w:hAnsi="Times New Roman" w:cs="Times New Roman"/>
          <w:b/>
          <w:sz w:val="24"/>
          <w:szCs w:val="24"/>
        </w:rPr>
        <w:t>A-</w:t>
      </w:r>
      <w:r w:rsidRPr="004E7506">
        <w:rPr>
          <w:rFonts w:ascii="Times New Roman" w:hAnsi="Times New Roman" w:cs="Times New Roman"/>
          <w:b/>
          <w:sz w:val="24"/>
          <w:szCs w:val="24"/>
        </w:rPr>
        <w:t>16</w:t>
      </w:r>
      <w:r w:rsidR="00313513" w:rsidRPr="004E7506">
        <w:rPr>
          <w:rFonts w:ascii="Times New Roman" w:hAnsi="Times New Roman" w:cs="Times New Roman"/>
          <w:b/>
          <w:sz w:val="24"/>
          <w:szCs w:val="24"/>
        </w:rPr>
        <w:t>-1</w:t>
      </w:r>
      <w:r w:rsidR="00FD4E26" w:rsidRPr="004E7506">
        <w:rPr>
          <w:rFonts w:ascii="Times New Roman" w:hAnsi="Times New Roman" w:cs="Times New Roman"/>
          <w:b/>
          <w:sz w:val="24"/>
          <w:szCs w:val="24"/>
        </w:rPr>
        <w:t>: SMP Survey Project Time Schedule</w:t>
      </w:r>
    </w:p>
    <w:p w14:paraId="646B273D" w14:textId="77777777" w:rsidR="00E41476" w:rsidRPr="00E41476" w:rsidRDefault="00E41476" w:rsidP="00E41476">
      <w:pPr>
        <w:spacing w:after="0"/>
        <w:rPr>
          <w:rFonts w:ascii="Times New Roman" w:hAnsi="Times New Roman" w:cs="Times New Roman"/>
          <w:b/>
          <w:sz w:val="24"/>
          <w:szCs w:val="24"/>
        </w:rPr>
      </w:pPr>
    </w:p>
    <w:tbl>
      <w:tblPr>
        <w:tblW w:w="9350" w:type="dxa"/>
        <w:tblCellMar>
          <w:left w:w="0" w:type="dxa"/>
          <w:right w:w="0" w:type="dxa"/>
        </w:tblCellMar>
        <w:tblLook w:val="04A0" w:firstRow="1" w:lastRow="0" w:firstColumn="1" w:lastColumn="0" w:noHBand="0" w:noVBand="1"/>
      </w:tblPr>
      <w:tblGrid>
        <w:gridCol w:w="1790"/>
        <w:gridCol w:w="737"/>
        <w:gridCol w:w="2575"/>
        <w:gridCol w:w="1420"/>
        <w:gridCol w:w="1420"/>
        <w:gridCol w:w="1420"/>
      </w:tblGrid>
      <w:tr w:rsidR="00E41476" w14:paraId="3397232D" w14:textId="77777777" w:rsidTr="00E41476">
        <w:trPr>
          <w:trHeight w:val="315"/>
        </w:trPr>
        <w:tc>
          <w:tcPr>
            <w:tcW w:w="177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7A3E7262" w14:textId="77777777" w:rsidR="00E41476" w:rsidRDefault="00E41476">
            <w:pPr>
              <w:jc w:val="center"/>
              <w:rPr>
                <w:rFonts w:ascii="Times New Roman" w:eastAsia="PMingLiU" w:hAnsi="Times New Roman" w:cs="Times New Roman"/>
                <w:color w:val="FFFFFF"/>
                <w:sz w:val="24"/>
                <w:szCs w:val="24"/>
                <w:lang w:eastAsia="zh-TW"/>
              </w:rPr>
            </w:pPr>
            <w:r>
              <w:rPr>
                <w:rFonts w:ascii="Times New Roman" w:hAnsi="Times New Roman" w:cs="Times New Roman"/>
                <w:b/>
                <w:bCs/>
                <w:color w:val="FFFFFF"/>
                <w:sz w:val="24"/>
                <w:szCs w:val="24"/>
              </w:rPr>
              <w:t>Survey Phase</w:t>
            </w:r>
          </w:p>
        </w:tc>
        <w:tc>
          <w:tcPr>
            <w:tcW w:w="737"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14:paraId="48B725A4" w14:textId="77777777" w:rsidR="00E41476" w:rsidRDefault="00E41476">
            <w:pPr>
              <w:jc w:val="center"/>
              <w:rPr>
                <w:rFonts w:ascii="Times New Roman" w:eastAsia="PMingLiU" w:hAnsi="Times New Roman" w:cs="Times New Roman"/>
                <w:color w:val="FFFFFF"/>
                <w:sz w:val="24"/>
                <w:szCs w:val="24"/>
                <w:lang w:eastAsia="zh-TW"/>
              </w:rPr>
            </w:pPr>
            <w:r>
              <w:rPr>
                <w:rFonts w:ascii="Times New Roman" w:hAnsi="Times New Roman" w:cs="Times New Roman"/>
                <w:b/>
                <w:bCs/>
                <w:color w:val="FFFFFF"/>
                <w:sz w:val="24"/>
                <w:szCs w:val="24"/>
              </w:rPr>
              <w:t>#</w:t>
            </w:r>
          </w:p>
        </w:tc>
        <w:tc>
          <w:tcPr>
            <w:tcW w:w="2575"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14:paraId="352BF126" w14:textId="77777777" w:rsidR="00E41476" w:rsidRDefault="00E41476">
            <w:pPr>
              <w:jc w:val="center"/>
              <w:rPr>
                <w:rFonts w:ascii="Times New Roman" w:eastAsia="PMingLiU" w:hAnsi="Times New Roman" w:cs="Times New Roman"/>
                <w:color w:val="FFFFFF"/>
                <w:sz w:val="24"/>
                <w:szCs w:val="24"/>
                <w:lang w:eastAsia="zh-TW"/>
              </w:rPr>
            </w:pPr>
            <w:r>
              <w:rPr>
                <w:rFonts w:ascii="Times New Roman" w:hAnsi="Times New Roman" w:cs="Times New Roman"/>
                <w:b/>
                <w:bCs/>
                <w:color w:val="FFFFFF"/>
                <w:sz w:val="24"/>
                <w:szCs w:val="24"/>
              </w:rPr>
              <w:t>Task</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14:paraId="71CF2035" w14:textId="77777777" w:rsidR="00E41476" w:rsidRDefault="00E41476">
            <w:pPr>
              <w:jc w:val="center"/>
              <w:rPr>
                <w:rFonts w:ascii="Times New Roman" w:eastAsia="PMingLiU" w:hAnsi="Times New Roman" w:cs="Times New Roman"/>
                <w:color w:val="FFFFFF"/>
                <w:sz w:val="24"/>
                <w:szCs w:val="24"/>
                <w:lang w:eastAsia="zh-TW"/>
              </w:rPr>
            </w:pPr>
            <w:r>
              <w:rPr>
                <w:rFonts w:ascii="Times New Roman" w:hAnsi="Times New Roman" w:cs="Times New Roman"/>
                <w:b/>
                <w:bCs/>
                <w:color w:val="FFFFFF"/>
                <w:sz w:val="24"/>
                <w:szCs w:val="24"/>
              </w:rPr>
              <w:t>Year 1</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14:paraId="3213968D" w14:textId="77777777" w:rsidR="00E41476" w:rsidRDefault="00E41476">
            <w:pPr>
              <w:jc w:val="center"/>
              <w:rPr>
                <w:rFonts w:ascii="Times New Roman" w:eastAsia="PMingLiU" w:hAnsi="Times New Roman" w:cs="Times New Roman"/>
                <w:color w:val="FFFFFF"/>
                <w:sz w:val="24"/>
                <w:szCs w:val="24"/>
                <w:lang w:eastAsia="zh-TW"/>
              </w:rPr>
            </w:pPr>
            <w:r>
              <w:rPr>
                <w:rFonts w:ascii="Times New Roman" w:hAnsi="Times New Roman" w:cs="Times New Roman"/>
                <w:b/>
                <w:bCs/>
                <w:color w:val="FFFFFF"/>
                <w:sz w:val="24"/>
                <w:szCs w:val="24"/>
              </w:rPr>
              <w:t>Year 2</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hideMark/>
          </w:tcPr>
          <w:p w14:paraId="34837E75" w14:textId="77777777" w:rsidR="00E41476" w:rsidRDefault="00E41476">
            <w:pPr>
              <w:jc w:val="center"/>
              <w:rPr>
                <w:rFonts w:ascii="Times New Roman" w:eastAsia="PMingLiU" w:hAnsi="Times New Roman" w:cs="Times New Roman"/>
                <w:color w:val="FFFFFF"/>
                <w:sz w:val="24"/>
                <w:szCs w:val="24"/>
                <w:lang w:eastAsia="zh-TW"/>
              </w:rPr>
            </w:pPr>
            <w:r>
              <w:rPr>
                <w:rFonts w:ascii="Times New Roman" w:hAnsi="Times New Roman" w:cs="Times New Roman"/>
                <w:b/>
                <w:bCs/>
                <w:color w:val="FFFFFF"/>
                <w:sz w:val="24"/>
                <w:szCs w:val="24"/>
              </w:rPr>
              <w:t>Year 3</w:t>
            </w:r>
          </w:p>
        </w:tc>
      </w:tr>
      <w:tr w:rsidR="00E41476" w14:paraId="439008EE" w14:textId="77777777" w:rsidTr="00E41476">
        <w:trPr>
          <w:trHeight w:val="300"/>
        </w:trPr>
        <w:tc>
          <w:tcPr>
            <w:tcW w:w="1778" w:type="dxa"/>
            <w:vMerge w:val="restart"/>
            <w:tcBorders>
              <w:top w:val="nil"/>
              <w:left w:val="single" w:sz="8" w:space="0" w:color="000000"/>
              <w:bottom w:val="single" w:sz="8" w:space="0" w:color="auto"/>
              <w:right w:val="single" w:sz="8" w:space="0" w:color="auto"/>
            </w:tcBorders>
            <w:shd w:val="clear" w:color="auto" w:fill="D9D9D9"/>
            <w:tcMar>
              <w:top w:w="0" w:type="dxa"/>
              <w:left w:w="108" w:type="dxa"/>
              <w:bottom w:w="0" w:type="dxa"/>
              <w:right w:w="108" w:type="dxa"/>
            </w:tcMar>
            <w:hideMark/>
          </w:tcPr>
          <w:p w14:paraId="482D3290"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b/>
                <w:bCs/>
                <w:color w:val="000000"/>
                <w:sz w:val="24"/>
                <w:szCs w:val="24"/>
              </w:rPr>
              <w:t>Preparation</w:t>
            </w: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08F9A784"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1</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6C9C2753"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Announcement letter sent to states</w:t>
            </w:r>
            <w:r>
              <w:rPr>
                <w:rFonts w:ascii="Times New Roman" w:hAnsi="Times New Roman" w:cs="Times New Roman"/>
                <w:b/>
                <w:bCs/>
                <w:sz w:val="24"/>
                <w:szCs w:val="24"/>
              </w:rPr>
              <w:t>/territories</w:t>
            </w:r>
            <w:r>
              <w:rPr>
                <w:rFonts w:ascii="Times New Roman" w:hAnsi="Times New Roman" w:cs="Times New Roman"/>
                <w:b/>
                <w:bCs/>
                <w:color w:val="000000"/>
                <w:sz w:val="24"/>
                <w:szCs w:val="24"/>
              </w:rPr>
              <w:t xml:space="preserve"> selected for survey</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3D9D9A15"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9/25/17</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622CE5ED"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9/24/18</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F7DAE2E"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9/23/19</w:t>
            </w:r>
          </w:p>
        </w:tc>
      </w:tr>
      <w:tr w:rsidR="00E41476" w14:paraId="68733B35" w14:textId="77777777" w:rsidTr="00E41476">
        <w:trPr>
          <w:trHeight w:val="300"/>
        </w:trPr>
        <w:tc>
          <w:tcPr>
            <w:tcW w:w="0" w:type="auto"/>
            <w:vMerge/>
            <w:tcBorders>
              <w:top w:val="nil"/>
              <w:left w:val="single" w:sz="8" w:space="0" w:color="000000"/>
              <w:bottom w:val="single" w:sz="8" w:space="0" w:color="auto"/>
              <w:right w:val="single" w:sz="8" w:space="0" w:color="auto"/>
            </w:tcBorders>
            <w:vAlign w:val="center"/>
            <w:hideMark/>
          </w:tcPr>
          <w:p w14:paraId="07B373CC"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0A6E0AB7"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2</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3A9DCB66"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Survey training</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5290D561"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10/9/17</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1956D577"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10/8/18</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3347E6EF"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10/7/19</w:t>
            </w:r>
          </w:p>
        </w:tc>
      </w:tr>
      <w:tr w:rsidR="00E41476" w14:paraId="02AFECE6" w14:textId="77777777" w:rsidTr="00E41476">
        <w:trPr>
          <w:trHeight w:val="300"/>
        </w:trPr>
        <w:tc>
          <w:tcPr>
            <w:tcW w:w="1778" w:type="dxa"/>
            <w:vMerge w:val="restart"/>
            <w:tcBorders>
              <w:top w:val="nil"/>
              <w:left w:val="single" w:sz="8" w:space="0" w:color="000000"/>
              <w:bottom w:val="single" w:sz="8" w:space="0" w:color="auto"/>
              <w:right w:val="single" w:sz="8" w:space="0" w:color="auto"/>
            </w:tcBorders>
            <w:shd w:val="clear" w:color="auto" w:fill="D9D9D9"/>
            <w:tcMar>
              <w:top w:w="0" w:type="dxa"/>
              <w:left w:w="108" w:type="dxa"/>
              <w:bottom w:w="0" w:type="dxa"/>
              <w:right w:w="108" w:type="dxa"/>
            </w:tcMar>
            <w:hideMark/>
          </w:tcPr>
          <w:p w14:paraId="27B35F09"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b/>
                <w:bCs/>
                <w:color w:val="000000"/>
                <w:sz w:val="24"/>
                <w:szCs w:val="24"/>
              </w:rPr>
              <w:t>Administration &amp; Analysis</w:t>
            </w: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27519CA3"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3</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00F2CDD2"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Begin surveying events</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7DCE9207"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10/16/17</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78C52534"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10/15/18</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E3141A3"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10/14/19</w:t>
            </w:r>
          </w:p>
        </w:tc>
      </w:tr>
      <w:tr w:rsidR="00E41476" w14:paraId="2ADA3B44" w14:textId="77777777" w:rsidTr="00E41476">
        <w:trPr>
          <w:trHeight w:val="300"/>
        </w:trPr>
        <w:tc>
          <w:tcPr>
            <w:tcW w:w="0" w:type="auto"/>
            <w:vMerge/>
            <w:tcBorders>
              <w:top w:val="nil"/>
              <w:left w:val="single" w:sz="8" w:space="0" w:color="000000"/>
              <w:bottom w:val="single" w:sz="8" w:space="0" w:color="auto"/>
              <w:right w:val="single" w:sz="8" w:space="0" w:color="auto"/>
            </w:tcBorders>
            <w:vAlign w:val="center"/>
            <w:hideMark/>
          </w:tcPr>
          <w:p w14:paraId="321FEF80"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0E33C0F8"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4</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727EAECD"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Data Analysis and Event Tracking Starts</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0104DDF8"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10/16/17</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32C4315C"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10/15/18</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2BA66E17"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10/14/19</w:t>
            </w:r>
          </w:p>
        </w:tc>
      </w:tr>
      <w:tr w:rsidR="00E41476" w14:paraId="741B0E28" w14:textId="77777777" w:rsidTr="00E41476">
        <w:trPr>
          <w:trHeight w:val="300"/>
        </w:trPr>
        <w:tc>
          <w:tcPr>
            <w:tcW w:w="0" w:type="auto"/>
            <w:vMerge/>
            <w:tcBorders>
              <w:top w:val="nil"/>
              <w:left w:val="single" w:sz="8" w:space="0" w:color="000000"/>
              <w:bottom w:val="single" w:sz="8" w:space="0" w:color="auto"/>
              <w:right w:val="single" w:sz="8" w:space="0" w:color="auto"/>
            </w:tcBorders>
            <w:vAlign w:val="center"/>
            <w:hideMark/>
          </w:tcPr>
          <w:p w14:paraId="112065CD"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22EE2D3F"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5</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264A9BD3"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Data Analysis and Event Tracking Ends</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1748A5E4"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3/30/17</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5910C872"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3/29/18</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3E6B0D7"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3/28/19</w:t>
            </w:r>
          </w:p>
        </w:tc>
      </w:tr>
      <w:tr w:rsidR="00E41476" w14:paraId="042261A2" w14:textId="77777777" w:rsidTr="00E41476">
        <w:trPr>
          <w:trHeight w:val="300"/>
        </w:trPr>
        <w:tc>
          <w:tcPr>
            <w:tcW w:w="0" w:type="auto"/>
            <w:vMerge/>
            <w:tcBorders>
              <w:top w:val="nil"/>
              <w:left w:val="single" w:sz="8" w:space="0" w:color="000000"/>
              <w:bottom w:val="single" w:sz="8" w:space="0" w:color="auto"/>
              <w:right w:val="single" w:sz="8" w:space="0" w:color="auto"/>
            </w:tcBorders>
            <w:vAlign w:val="center"/>
            <w:hideMark/>
          </w:tcPr>
          <w:p w14:paraId="4CFAFD81"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53DC2A22"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6</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40494640"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Status Check 1: November</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5618CE4E"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11/6/17</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10AF6400"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11/5/18</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339C096D"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11/4/19</w:t>
            </w:r>
          </w:p>
        </w:tc>
      </w:tr>
      <w:tr w:rsidR="00E41476" w14:paraId="65A00F18" w14:textId="77777777" w:rsidTr="00E41476">
        <w:trPr>
          <w:trHeight w:val="300"/>
        </w:trPr>
        <w:tc>
          <w:tcPr>
            <w:tcW w:w="0" w:type="auto"/>
            <w:vMerge/>
            <w:tcBorders>
              <w:top w:val="nil"/>
              <w:left w:val="single" w:sz="8" w:space="0" w:color="000000"/>
              <w:bottom w:val="single" w:sz="8" w:space="0" w:color="auto"/>
              <w:right w:val="single" w:sz="8" w:space="0" w:color="auto"/>
            </w:tcBorders>
            <w:vAlign w:val="center"/>
            <w:hideMark/>
          </w:tcPr>
          <w:p w14:paraId="36083ED2"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755ED640"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7</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524E5EE4"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Status Check 2: December</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239B4498"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12/4/17</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16A3470D"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12/3/18</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0E96A4F"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12/2/19</w:t>
            </w:r>
          </w:p>
        </w:tc>
      </w:tr>
      <w:tr w:rsidR="00E41476" w14:paraId="506E3450" w14:textId="77777777" w:rsidTr="00E41476">
        <w:trPr>
          <w:trHeight w:val="300"/>
        </w:trPr>
        <w:tc>
          <w:tcPr>
            <w:tcW w:w="0" w:type="auto"/>
            <w:vMerge/>
            <w:tcBorders>
              <w:top w:val="nil"/>
              <w:left w:val="single" w:sz="8" w:space="0" w:color="000000"/>
              <w:bottom w:val="single" w:sz="8" w:space="0" w:color="auto"/>
              <w:right w:val="single" w:sz="8" w:space="0" w:color="auto"/>
            </w:tcBorders>
            <w:vAlign w:val="center"/>
            <w:hideMark/>
          </w:tcPr>
          <w:p w14:paraId="487006FA"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0CC876F2"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8</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0187D864"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Status Check 3: January</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538529D3"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1/15/17</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36A27805"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1/14/18</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E31A22"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1/13/19</w:t>
            </w:r>
          </w:p>
        </w:tc>
      </w:tr>
      <w:tr w:rsidR="00E41476" w14:paraId="1C9532C5" w14:textId="77777777" w:rsidTr="00E41476">
        <w:trPr>
          <w:trHeight w:val="300"/>
        </w:trPr>
        <w:tc>
          <w:tcPr>
            <w:tcW w:w="0" w:type="auto"/>
            <w:vMerge/>
            <w:tcBorders>
              <w:top w:val="nil"/>
              <w:left w:val="single" w:sz="8" w:space="0" w:color="000000"/>
              <w:bottom w:val="single" w:sz="8" w:space="0" w:color="auto"/>
              <w:right w:val="single" w:sz="8" w:space="0" w:color="auto"/>
            </w:tcBorders>
            <w:vAlign w:val="center"/>
            <w:hideMark/>
          </w:tcPr>
          <w:p w14:paraId="2ED9B01D"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70461436"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9</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4B8246FD"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Status Check 4: February</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5FEA3CFD"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2/12/17</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38329106"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2/11/18</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6F2683A"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2/10/19</w:t>
            </w:r>
          </w:p>
        </w:tc>
      </w:tr>
      <w:tr w:rsidR="00E41476" w14:paraId="43011982" w14:textId="77777777" w:rsidTr="00E41476">
        <w:trPr>
          <w:trHeight w:val="300"/>
        </w:trPr>
        <w:tc>
          <w:tcPr>
            <w:tcW w:w="0" w:type="auto"/>
            <w:vMerge/>
            <w:tcBorders>
              <w:top w:val="nil"/>
              <w:left w:val="single" w:sz="8" w:space="0" w:color="000000"/>
              <w:bottom w:val="single" w:sz="8" w:space="0" w:color="auto"/>
              <w:right w:val="single" w:sz="8" w:space="0" w:color="auto"/>
            </w:tcBorders>
            <w:vAlign w:val="center"/>
            <w:hideMark/>
          </w:tcPr>
          <w:p w14:paraId="22C95DCD"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222037B9"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10</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49067B2A"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Status Check 5: March</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18AFD4A0"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3/12/17</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2C7CB3DA"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3/11/18</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470C6EBD"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3/10/19</w:t>
            </w:r>
          </w:p>
        </w:tc>
      </w:tr>
      <w:tr w:rsidR="00E41476" w14:paraId="319ADD06" w14:textId="77777777" w:rsidTr="00E41476">
        <w:trPr>
          <w:trHeight w:val="300"/>
        </w:trPr>
        <w:tc>
          <w:tcPr>
            <w:tcW w:w="1778" w:type="dxa"/>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C3C69B2"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b/>
                <w:bCs/>
                <w:color w:val="000000"/>
                <w:sz w:val="24"/>
                <w:szCs w:val="24"/>
              </w:rPr>
              <w:t>Reporting</w:t>
            </w: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54AF807E"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11</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6BE14FC4"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Report Creation Start</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3DBE04EB"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4/2/18</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3DCF88CF"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4/1/19</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DC03414"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3/31/20</w:t>
            </w:r>
          </w:p>
        </w:tc>
      </w:tr>
      <w:tr w:rsidR="00E41476" w14:paraId="7492C6DC" w14:textId="77777777" w:rsidTr="00E41476">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1D1E0F64"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25412B7F"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12</w:t>
            </w:r>
          </w:p>
        </w:tc>
        <w:tc>
          <w:tcPr>
            <w:tcW w:w="25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502E7B81"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Report Creation Delivery</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2244F1EF"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5/2/18</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4A023125"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5/1/19</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hideMark/>
          </w:tcPr>
          <w:p w14:paraId="512431AE"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4/30/20</w:t>
            </w:r>
          </w:p>
        </w:tc>
      </w:tr>
      <w:tr w:rsidR="00E41476" w14:paraId="38C2383B" w14:textId="77777777" w:rsidTr="00E4147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DE3E048" w14:textId="77777777" w:rsidR="00E41476" w:rsidRDefault="00E41476">
            <w:pPr>
              <w:rPr>
                <w:rFonts w:ascii="Times New Roman" w:eastAsia="PMingLiU" w:hAnsi="Times New Roman" w:cs="Times New Roman"/>
                <w:color w:val="000000"/>
                <w:sz w:val="24"/>
                <w:szCs w:val="24"/>
                <w:lang w:eastAsia="zh-TW"/>
              </w:rPr>
            </w:pPr>
          </w:p>
        </w:tc>
        <w:tc>
          <w:tcPr>
            <w:tcW w:w="737"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6A1FF575"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13</w:t>
            </w:r>
          </w:p>
        </w:tc>
        <w:tc>
          <w:tcPr>
            <w:tcW w:w="2575" w:type="dxa"/>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hideMark/>
          </w:tcPr>
          <w:p w14:paraId="67187865" w14:textId="77777777" w:rsidR="00E41476" w:rsidRDefault="00E41476">
            <w:pPr>
              <w:jc w:val="center"/>
              <w:rPr>
                <w:rFonts w:ascii="Times New Roman" w:eastAsia="PMingLiU" w:hAnsi="Times New Roman" w:cs="Times New Roman"/>
                <w:b/>
                <w:bCs/>
                <w:color w:val="000000"/>
                <w:sz w:val="24"/>
                <w:szCs w:val="24"/>
                <w:lang w:eastAsia="zh-TW"/>
              </w:rPr>
            </w:pPr>
            <w:r>
              <w:rPr>
                <w:rFonts w:ascii="Times New Roman" w:hAnsi="Times New Roman" w:cs="Times New Roman"/>
                <w:b/>
                <w:bCs/>
                <w:color w:val="000000"/>
                <w:sz w:val="24"/>
                <w:szCs w:val="24"/>
              </w:rPr>
              <w:t>Report Briefing</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30CFB44D"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5/9/18</w:t>
            </w:r>
          </w:p>
        </w:tc>
        <w:tc>
          <w:tcPr>
            <w:tcW w:w="1420" w:type="dxa"/>
            <w:tcBorders>
              <w:top w:val="nil"/>
              <w:left w:val="nil"/>
              <w:bottom w:val="single" w:sz="8" w:space="0" w:color="000000"/>
              <w:right w:val="single" w:sz="8" w:space="0" w:color="auto"/>
            </w:tcBorders>
            <w:noWrap/>
            <w:tcMar>
              <w:top w:w="0" w:type="dxa"/>
              <w:left w:w="108" w:type="dxa"/>
              <w:bottom w:w="0" w:type="dxa"/>
              <w:right w:w="108" w:type="dxa"/>
            </w:tcMar>
            <w:hideMark/>
          </w:tcPr>
          <w:p w14:paraId="2B44C03F"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5/8/19</w:t>
            </w:r>
          </w:p>
        </w:tc>
        <w:tc>
          <w:tcPr>
            <w:tcW w:w="1420"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78FF54D" w14:textId="77777777" w:rsidR="00E41476" w:rsidRDefault="00E41476">
            <w:pPr>
              <w:jc w:val="center"/>
              <w:rPr>
                <w:rFonts w:ascii="Times New Roman" w:eastAsia="PMingLiU" w:hAnsi="Times New Roman" w:cs="Times New Roman"/>
                <w:color w:val="000000"/>
                <w:sz w:val="24"/>
                <w:szCs w:val="24"/>
                <w:lang w:eastAsia="zh-TW"/>
              </w:rPr>
            </w:pPr>
            <w:r>
              <w:rPr>
                <w:rFonts w:ascii="Times New Roman" w:hAnsi="Times New Roman" w:cs="Times New Roman"/>
                <w:color w:val="000000"/>
                <w:sz w:val="24"/>
                <w:szCs w:val="24"/>
              </w:rPr>
              <w:t>5/7/20</w:t>
            </w:r>
          </w:p>
        </w:tc>
      </w:tr>
    </w:tbl>
    <w:p w14:paraId="55FF01AA" w14:textId="77777777" w:rsidR="00E41476" w:rsidRPr="004E7506" w:rsidRDefault="00E41476" w:rsidP="004E7506">
      <w:pPr>
        <w:ind w:left="360"/>
        <w:rPr>
          <w:rFonts w:ascii="Times New Roman" w:hAnsi="Times New Roman" w:cs="Times New Roman"/>
          <w:sz w:val="24"/>
          <w:szCs w:val="24"/>
        </w:rPr>
      </w:pPr>
    </w:p>
    <w:p w14:paraId="796CB523" w14:textId="353CF69A" w:rsidR="00B67777" w:rsidRPr="004E7506" w:rsidRDefault="003D5C01" w:rsidP="004E7506">
      <w:pPr>
        <w:ind w:left="360"/>
        <w:rPr>
          <w:rFonts w:ascii="Times New Roman" w:hAnsi="Times New Roman" w:cs="Times New Roman"/>
          <w:sz w:val="24"/>
          <w:szCs w:val="24"/>
        </w:rPr>
      </w:pPr>
      <w:r w:rsidRPr="004E7506">
        <w:rPr>
          <w:rFonts w:ascii="Times New Roman" w:hAnsi="Times New Roman" w:cs="Times New Roman"/>
          <w:sz w:val="24"/>
          <w:szCs w:val="24"/>
        </w:rPr>
        <w:t>Aside from providing each state</w:t>
      </w:r>
      <w:r w:rsidR="00463F68" w:rsidRPr="004E7506">
        <w:rPr>
          <w:rFonts w:ascii="Times New Roman" w:hAnsi="Times New Roman" w:cs="Times New Roman"/>
          <w:sz w:val="24"/>
          <w:szCs w:val="24"/>
        </w:rPr>
        <w:t>/territory</w:t>
      </w:r>
      <w:r w:rsidRPr="004E7506">
        <w:rPr>
          <w:rFonts w:ascii="Times New Roman" w:hAnsi="Times New Roman" w:cs="Times New Roman"/>
          <w:sz w:val="24"/>
          <w:szCs w:val="24"/>
        </w:rPr>
        <w:t xml:space="preserve"> with training at the beginning of the year</w:t>
      </w:r>
      <w:r w:rsidR="006E23CB" w:rsidRPr="004E7506">
        <w:rPr>
          <w:rFonts w:ascii="Times New Roman" w:hAnsi="Times New Roman" w:cs="Times New Roman"/>
          <w:sz w:val="24"/>
          <w:szCs w:val="24"/>
        </w:rPr>
        <w:t xml:space="preserve"> (Task 2)</w:t>
      </w:r>
      <w:r w:rsidRPr="004E7506">
        <w:rPr>
          <w:rFonts w:ascii="Times New Roman" w:hAnsi="Times New Roman" w:cs="Times New Roman"/>
          <w:sz w:val="24"/>
          <w:szCs w:val="24"/>
        </w:rPr>
        <w:t>, ACL will track events throughout the year to ensure that each state</w:t>
      </w:r>
      <w:r w:rsidR="00463F68" w:rsidRPr="004E7506">
        <w:rPr>
          <w:rFonts w:ascii="Times New Roman" w:hAnsi="Times New Roman" w:cs="Times New Roman"/>
          <w:sz w:val="24"/>
          <w:szCs w:val="24"/>
        </w:rPr>
        <w:t>/territory</w:t>
      </w:r>
      <w:r w:rsidRPr="004E7506">
        <w:rPr>
          <w:rFonts w:ascii="Times New Roman" w:hAnsi="Times New Roman" w:cs="Times New Roman"/>
          <w:sz w:val="24"/>
          <w:szCs w:val="24"/>
        </w:rPr>
        <w:t xml:space="preserve"> is effectively applying the identified criteria to the survey process. ACL will also use </w:t>
      </w:r>
      <w:r w:rsidR="00291E4E" w:rsidRPr="004E7506">
        <w:rPr>
          <w:rFonts w:ascii="Times New Roman" w:hAnsi="Times New Roman" w:cs="Times New Roman"/>
          <w:sz w:val="24"/>
          <w:szCs w:val="24"/>
        </w:rPr>
        <w:t xml:space="preserve">a </w:t>
      </w:r>
      <w:r w:rsidRPr="004E7506">
        <w:rPr>
          <w:rFonts w:ascii="Times New Roman" w:hAnsi="Times New Roman" w:cs="Times New Roman"/>
          <w:sz w:val="24"/>
          <w:szCs w:val="24"/>
        </w:rPr>
        <w:t>rolling process to collect data throughout the year and provide technical assistance as needed</w:t>
      </w:r>
      <w:r w:rsidR="006E23CB" w:rsidRPr="004E7506">
        <w:rPr>
          <w:rFonts w:ascii="Times New Roman" w:hAnsi="Times New Roman" w:cs="Times New Roman"/>
          <w:sz w:val="24"/>
          <w:szCs w:val="24"/>
        </w:rPr>
        <w:t xml:space="preserve"> (Tasks 4-5)</w:t>
      </w:r>
      <w:r w:rsidRPr="004E7506">
        <w:rPr>
          <w:rFonts w:ascii="Times New Roman" w:hAnsi="Times New Roman" w:cs="Times New Roman"/>
          <w:sz w:val="24"/>
          <w:szCs w:val="24"/>
        </w:rPr>
        <w:t xml:space="preserve">. </w:t>
      </w:r>
    </w:p>
    <w:p w14:paraId="5A6E095B" w14:textId="07766961" w:rsidR="00B67777" w:rsidRPr="004E7506" w:rsidRDefault="00291E4E" w:rsidP="004E7506">
      <w:pPr>
        <w:ind w:left="360"/>
        <w:rPr>
          <w:rFonts w:ascii="Times New Roman" w:hAnsi="Times New Roman" w:cs="Times New Roman"/>
          <w:sz w:val="24"/>
          <w:szCs w:val="24"/>
        </w:rPr>
      </w:pPr>
      <w:r w:rsidRPr="004E7506">
        <w:rPr>
          <w:rFonts w:ascii="Times New Roman" w:hAnsi="Times New Roman" w:cs="Times New Roman"/>
          <w:sz w:val="24"/>
          <w:szCs w:val="24"/>
        </w:rPr>
        <w:t xml:space="preserve">Blank surveys </w:t>
      </w:r>
      <w:r w:rsidR="003D5C01" w:rsidRPr="004E7506">
        <w:rPr>
          <w:rFonts w:ascii="Times New Roman" w:hAnsi="Times New Roman" w:cs="Times New Roman"/>
          <w:sz w:val="24"/>
          <w:szCs w:val="24"/>
        </w:rPr>
        <w:t xml:space="preserve">will be made available at the conclusion of pre-selected group education sessions, and attendees will have the ability to voluntarily complete comment card surveys with the OMB control number presented at the top of the page. </w:t>
      </w:r>
      <w:r w:rsidR="00175195" w:rsidRPr="004E7506">
        <w:rPr>
          <w:rFonts w:ascii="Times New Roman" w:hAnsi="Times New Roman" w:cs="Times New Roman"/>
          <w:sz w:val="24"/>
          <w:szCs w:val="24"/>
        </w:rPr>
        <w:t>SMP</w:t>
      </w:r>
      <w:r w:rsidR="003D5C01" w:rsidRPr="004E7506">
        <w:rPr>
          <w:rFonts w:ascii="Times New Roman" w:hAnsi="Times New Roman" w:cs="Times New Roman"/>
          <w:sz w:val="24"/>
          <w:szCs w:val="24"/>
        </w:rPr>
        <w:t xml:space="preserve"> presenters will notify attendees about the opportunity to complete a survey </w:t>
      </w:r>
      <w:r w:rsidR="0066742D">
        <w:rPr>
          <w:rFonts w:ascii="Times New Roman" w:hAnsi="Times New Roman" w:cs="Times New Roman"/>
          <w:sz w:val="24"/>
          <w:szCs w:val="24"/>
        </w:rPr>
        <w:t xml:space="preserve">and will distribute surveys to </w:t>
      </w:r>
      <w:r w:rsidR="005319F2">
        <w:rPr>
          <w:rFonts w:ascii="Times New Roman" w:hAnsi="Times New Roman" w:cs="Times New Roman"/>
          <w:sz w:val="24"/>
          <w:szCs w:val="24"/>
        </w:rPr>
        <w:t>the participants on a voluntary basis</w:t>
      </w:r>
      <w:r w:rsidR="005D6368">
        <w:rPr>
          <w:rFonts w:ascii="Times New Roman" w:hAnsi="Times New Roman" w:cs="Times New Roman"/>
          <w:sz w:val="24"/>
          <w:szCs w:val="24"/>
        </w:rPr>
        <w:t>.</w:t>
      </w:r>
      <w:r w:rsidR="00E312FF" w:rsidRPr="004E7506">
        <w:rPr>
          <w:rFonts w:ascii="Times New Roman" w:hAnsi="Times New Roman" w:cs="Times New Roman"/>
          <w:sz w:val="24"/>
          <w:szCs w:val="24"/>
        </w:rPr>
        <w:t xml:space="preserve"> These steps will be taken to maintain anonymity in the survey process. </w:t>
      </w:r>
      <w:r w:rsidR="00175195" w:rsidRPr="004E7506">
        <w:rPr>
          <w:rFonts w:ascii="Times New Roman" w:hAnsi="Times New Roman" w:cs="Times New Roman"/>
          <w:sz w:val="24"/>
          <w:szCs w:val="24"/>
        </w:rPr>
        <w:t>SMP</w:t>
      </w:r>
      <w:r w:rsidR="00E312FF" w:rsidRPr="004E7506">
        <w:rPr>
          <w:rFonts w:ascii="Times New Roman" w:hAnsi="Times New Roman" w:cs="Times New Roman"/>
          <w:sz w:val="24"/>
          <w:szCs w:val="24"/>
        </w:rPr>
        <w:t xml:space="preserve"> presenters will be available to answer questions or provide assistance if requested, but will not </w:t>
      </w:r>
      <w:r w:rsidR="003F39A7">
        <w:rPr>
          <w:rFonts w:ascii="Times New Roman" w:hAnsi="Times New Roman" w:cs="Times New Roman"/>
          <w:sz w:val="24"/>
          <w:szCs w:val="24"/>
        </w:rPr>
        <w:t>otherwise interact with the respondents while they are completing the surveys.</w:t>
      </w:r>
      <w:r w:rsidR="009642AE">
        <w:rPr>
          <w:rFonts w:ascii="Times New Roman" w:hAnsi="Times New Roman" w:cs="Times New Roman"/>
          <w:sz w:val="24"/>
          <w:szCs w:val="24"/>
        </w:rPr>
        <w:t xml:space="preserve"> If a potential respondent requires special assistance, such as the presenter reading the questions aloud, the presenter will be available to do so, but will not supply or suggest answers to the respondent.</w:t>
      </w:r>
    </w:p>
    <w:p w14:paraId="4A69DBD3" w14:textId="6209A5E1" w:rsidR="00E312FF" w:rsidRPr="004E7506" w:rsidRDefault="00E312FF" w:rsidP="004E7506">
      <w:pPr>
        <w:ind w:left="360"/>
        <w:rPr>
          <w:rFonts w:ascii="Times New Roman" w:hAnsi="Times New Roman" w:cs="Times New Roman"/>
          <w:sz w:val="24"/>
          <w:szCs w:val="24"/>
        </w:rPr>
      </w:pPr>
      <w:r w:rsidRPr="004E7506">
        <w:rPr>
          <w:rFonts w:ascii="Times New Roman" w:hAnsi="Times New Roman" w:cs="Times New Roman"/>
          <w:sz w:val="24"/>
          <w:szCs w:val="24"/>
        </w:rPr>
        <w:t xml:space="preserve">All materials related to survey completion (comment cards and pencils) will be provided by the ACL presenter. After the event, ACL will scan </w:t>
      </w:r>
      <w:r w:rsidR="00291E4E" w:rsidRPr="004E7506">
        <w:rPr>
          <w:rFonts w:ascii="Times New Roman" w:hAnsi="Times New Roman" w:cs="Times New Roman"/>
          <w:sz w:val="24"/>
          <w:szCs w:val="24"/>
        </w:rPr>
        <w:t xml:space="preserve">and send </w:t>
      </w:r>
      <w:r w:rsidRPr="004E7506">
        <w:rPr>
          <w:rFonts w:ascii="Times New Roman" w:hAnsi="Times New Roman" w:cs="Times New Roman"/>
          <w:sz w:val="24"/>
          <w:szCs w:val="24"/>
        </w:rPr>
        <w:t>the completed surveys to a third</w:t>
      </w:r>
      <w:r w:rsidR="00816D50" w:rsidRPr="004E7506">
        <w:rPr>
          <w:rFonts w:ascii="Times New Roman" w:hAnsi="Times New Roman" w:cs="Times New Roman"/>
          <w:sz w:val="24"/>
          <w:szCs w:val="24"/>
        </w:rPr>
        <w:t>-</w:t>
      </w:r>
      <w:r w:rsidRPr="004E7506">
        <w:rPr>
          <w:rFonts w:ascii="Times New Roman" w:hAnsi="Times New Roman" w:cs="Times New Roman"/>
          <w:sz w:val="24"/>
          <w:szCs w:val="24"/>
        </w:rPr>
        <w:t>party contractor</w:t>
      </w:r>
      <w:r w:rsidR="00291E4E" w:rsidRPr="004E7506">
        <w:rPr>
          <w:rFonts w:ascii="Times New Roman" w:hAnsi="Times New Roman" w:cs="Times New Roman"/>
          <w:sz w:val="24"/>
          <w:szCs w:val="24"/>
        </w:rPr>
        <w:t>.</w:t>
      </w:r>
      <w:r w:rsidRPr="004E7506">
        <w:rPr>
          <w:rFonts w:ascii="Times New Roman" w:hAnsi="Times New Roman" w:cs="Times New Roman"/>
          <w:sz w:val="24"/>
          <w:szCs w:val="24"/>
        </w:rPr>
        <w:t xml:space="preserve"> </w:t>
      </w:r>
      <w:r w:rsidR="00291E4E" w:rsidRPr="004E7506">
        <w:rPr>
          <w:rFonts w:ascii="Times New Roman" w:hAnsi="Times New Roman" w:cs="Times New Roman"/>
          <w:sz w:val="24"/>
          <w:szCs w:val="24"/>
        </w:rPr>
        <w:t xml:space="preserve">The contractor </w:t>
      </w:r>
      <w:r w:rsidRPr="004E7506">
        <w:rPr>
          <w:rFonts w:ascii="Times New Roman" w:hAnsi="Times New Roman" w:cs="Times New Roman"/>
          <w:sz w:val="24"/>
          <w:szCs w:val="24"/>
        </w:rPr>
        <w:t xml:space="preserve">will collect and aggregate the survey results, which will assist </w:t>
      </w:r>
      <w:r w:rsidR="003F39A7">
        <w:rPr>
          <w:rFonts w:ascii="Times New Roman" w:hAnsi="Times New Roman" w:cs="Times New Roman"/>
          <w:sz w:val="24"/>
          <w:szCs w:val="24"/>
        </w:rPr>
        <w:t xml:space="preserve">with ACL’s </w:t>
      </w:r>
      <w:r w:rsidRPr="004E7506">
        <w:rPr>
          <w:rFonts w:ascii="Times New Roman" w:hAnsi="Times New Roman" w:cs="Times New Roman"/>
          <w:sz w:val="24"/>
          <w:szCs w:val="24"/>
        </w:rPr>
        <w:t xml:space="preserve">ongoing </w:t>
      </w:r>
      <w:r w:rsidR="003F39A7">
        <w:rPr>
          <w:rFonts w:ascii="Times New Roman" w:hAnsi="Times New Roman" w:cs="Times New Roman"/>
          <w:sz w:val="24"/>
          <w:szCs w:val="24"/>
        </w:rPr>
        <w:t xml:space="preserve">provision of </w:t>
      </w:r>
      <w:r w:rsidRPr="004E7506">
        <w:rPr>
          <w:rFonts w:ascii="Times New Roman" w:hAnsi="Times New Roman" w:cs="Times New Roman"/>
          <w:sz w:val="24"/>
          <w:szCs w:val="24"/>
        </w:rPr>
        <w:t>technical assistance and the Q</w:t>
      </w:r>
      <w:r w:rsidR="002B3C14" w:rsidRPr="004E7506">
        <w:rPr>
          <w:rFonts w:ascii="Times New Roman" w:hAnsi="Times New Roman" w:cs="Times New Roman"/>
          <w:sz w:val="24"/>
          <w:szCs w:val="24"/>
        </w:rPr>
        <w:t xml:space="preserve">uarter </w:t>
      </w:r>
      <w:r w:rsidRPr="004E7506">
        <w:rPr>
          <w:rFonts w:ascii="Times New Roman" w:hAnsi="Times New Roman" w:cs="Times New Roman"/>
          <w:sz w:val="24"/>
          <w:szCs w:val="24"/>
        </w:rPr>
        <w:t xml:space="preserve">1, </w:t>
      </w:r>
      <w:r w:rsidR="002B3C14" w:rsidRPr="004E7506">
        <w:rPr>
          <w:rFonts w:ascii="Times New Roman" w:hAnsi="Times New Roman" w:cs="Times New Roman"/>
          <w:sz w:val="24"/>
          <w:szCs w:val="24"/>
        </w:rPr>
        <w:t xml:space="preserve">Quarter </w:t>
      </w:r>
      <w:r w:rsidRPr="004E7506">
        <w:rPr>
          <w:rFonts w:ascii="Times New Roman" w:hAnsi="Times New Roman" w:cs="Times New Roman"/>
          <w:sz w:val="24"/>
          <w:szCs w:val="24"/>
        </w:rPr>
        <w:t xml:space="preserve">2, and </w:t>
      </w:r>
      <w:r w:rsidR="002B3C14" w:rsidRPr="004E7506">
        <w:rPr>
          <w:rFonts w:ascii="Times New Roman" w:hAnsi="Times New Roman" w:cs="Times New Roman"/>
          <w:sz w:val="24"/>
          <w:szCs w:val="24"/>
        </w:rPr>
        <w:t xml:space="preserve">Quarter </w:t>
      </w:r>
      <w:r w:rsidRPr="004E7506">
        <w:rPr>
          <w:rFonts w:ascii="Times New Roman" w:hAnsi="Times New Roman" w:cs="Times New Roman"/>
          <w:sz w:val="24"/>
          <w:szCs w:val="24"/>
        </w:rPr>
        <w:t>3 Status Checks.</w:t>
      </w:r>
    </w:p>
    <w:p w14:paraId="5A22F97A" w14:textId="5A586F34" w:rsidR="0043338F"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If seeking approval to not display the expiration date for OMB approval of the information collection, explain the reasons that </w:t>
      </w:r>
      <w:r w:rsidR="00FF5834" w:rsidRPr="004E7506">
        <w:rPr>
          <w:rFonts w:ascii="Times New Roman" w:hAnsi="Times New Roman" w:cs="Times New Roman"/>
          <w:b/>
          <w:sz w:val="24"/>
          <w:szCs w:val="24"/>
        </w:rPr>
        <w:t>display would be inappropriate.</w:t>
      </w:r>
    </w:p>
    <w:p w14:paraId="0AC9B6A2" w14:textId="4D24AF13" w:rsidR="0068336A" w:rsidRPr="004E7506" w:rsidRDefault="0050323A" w:rsidP="00092851">
      <w:pPr>
        <w:ind w:left="360"/>
        <w:rPr>
          <w:rFonts w:ascii="Times New Roman" w:hAnsi="Times New Roman" w:cs="Times New Roman"/>
          <w:b/>
          <w:sz w:val="24"/>
          <w:szCs w:val="24"/>
        </w:rPr>
      </w:pPr>
      <w:r w:rsidRPr="004E7506">
        <w:rPr>
          <w:rFonts w:ascii="Times New Roman" w:hAnsi="Times New Roman" w:cs="Times New Roman"/>
          <w:sz w:val="24"/>
          <w:szCs w:val="24"/>
        </w:rPr>
        <w:t>ACL will display OMB’s expiration date on the survey.</w:t>
      </w:r>
      <w:r w:rsidR="0095767E">
        <w:rPr>
          <w:rFonts w:ascii="Times New Roman" w:hAnsi="Times New Roman" w:cs="Times New Roman"/>
          <w:sz w:val="24"/>
          <w:szCs w:val="24"/>
        </w:rPr>
        <w:t xml:space="preserve"> </w:t>
      </w:r>
      <w:r w:rsidR="0095767E" w:rsidRPr="00126401">
        <w:rPr>
          <w:rFonts w:ascii="Times New Roman" w:hAnsi="Times New Roman" w:cs="Times New Roman"/>
          <w:sz w:val="24"/>
          <w:szCs w:val="24"/>
        </w:rPr>
        <w:t>ACL will notify respondents that this is an approved collection and will identify t</w:t>
      </w:r>
      <w:r w:rsidR="0095767E">
        <w:rPr>
          <w:rFonts w:ascii="Times New Roman" w:hAnsi="Times New Roman" w:cs="Times New Roman"/>
          <w:sz w:val="24"/>
          <w:szCs w:val="24"/>
        </w:rPr>
        <w:t>he OMB approval expiration date</w:t>
      </w:r>
      <w:r w:rsidR="00CB3A6F">
        <w:rPr>
          <w:rFonts w:ascii="Times New Roman" w:hAnsi="Times New Roman" w:cs="Times New Roman"/>
          <w:sz w:val="24"/>
          <w:szCs w:val="24"/>
        </w:rPr>
        <w:t xml:space="preserve"> on the survey</w:t>
      </w:r>
    </w:p>
    <w:p w14:paraId="77701B3F" w14:textId="77777777" w:rsidR="0068336A" w:rsidRPr="004E7506" w:rsidRDefault="0043338F" w:rsidP="004E750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Explain each exception to the certification statement identified in Item 19, "Certification for Paperwork Reduction Act Submissions," of OMB Form 83-I.</w:t>
      </w:r>
    </w:p>
    <w:p w14:paraId="16928D85" w14:textId="77777777" w:rsidR="00182B46" w:rsidRPr="004E7506" w:rsidRDefault="0068336A" w:rsidP="004E7506">
      <w:pPr>
        <w:ind w:firstLine="360"/>
        <w:rPr>
          <w:rFonts w:ascii="Times New Roman" w:hAnsi="Times New Roman" w:cs="Times New Roman"/>
          <w:b/>
          <w:sz w:val="24"/>
          <w:szCs w:val="24"/>
        </w:rPr>
      </w:pPr>
      <w:r w:rsidRPr="004E7506">
        <w:rPr>
          <w:rFonts w:ascii="Times New Roman" w:hAnsi="Times New Roman" w:cs="Times New Roman"/>
          <w:sz w:val="24"/>
          <w:szCs w:val="24"/>
        </w:rPr>
        <w:t>The</w:t>
      </w:r>
      <w:r w:rsidR="0050323A" w:rsidRPr="004E7506">
        <w:rPr>
          <w:rFonts w:ascii="Times New Roman" w:hAnsi="Times New Roman" w:cs="Times New Roman"/>
          <w:sz w:val="24"/>
          <w:szCs w:val="24"/>
        </w:rPr>
        <w:t>re are no exceptions to the certification.</w:t>
      </w:r>
    </w:p>
    <w:sectPr w:rsidR="00182B46" w:rsidRPr="004E7506">
      <w:headerReference w:type="default"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7190B5" w15:done="0"/>
  <w15:commentEx w15:paraId="3DA32DB0" w15:done="0"/>
  <w15:commentEx w15:paraId="237E845B" w15:paraIdParent="3DA32DB0" w15:done="0"/>
  <w15:commentEx w15:paraId="60BF054E" w15:done="0"/>
  <w15:commentEx w15:paraId="6DAD6A9D" w15:paraIdParent="60BF054E" w15:done="0"/>
  <w15:commentEx w15:paraId="75AAE79C" w15:done="0"/>
  <w15:commentEx w15:paraId="68789CB7" w15:paraIdParent="75AAE79C" w15:done="0"/>
  <w15:commentEx w15:paraId="5E30BAE3" w15:done="0"/>
  <w15:commentEx w15:paraId="6D253ED0" w15:paraIdParent="5E30BAE3" w15:done="0"/>
  <w15:commentEx w15:paraId="449CEE5E" w15:done="0"/>
  <w15:commentEx w15:paraId="0E6E51B0" w15:paraIdParent="449CEE5E" w15:done="0"/>
  <w15:commentEx w15:paraId="4C4B63B8" w15:done="0"/>
  <w15:commentEx w15:paraId="008B7BD7" w15:paraIdParent="4C4B63B8" w15:done="0"/>
  <w15:commentEx w15:paraId="2BE63111" w15:done="0"/>
  <w15:commentEx w15:paraId="121FA64F" w15:paraIdParent="2BE63111" w15:done="0"/>
  <w15:commentEx w15:paraId="232B002D" w15:done="0"/>
  <w15:commentEx w15:paraId="726A1075" w15:paraIdParent="232B002D" w15:done="0"/>
  <w15:commentEx w15:paraId="0DE45430" w15:done="0"/>
  <w15:commentEx w15:paraId="4F3948A9" w15:paraIdParent="0DE45430" w15:done="0"/>
  <w15:commentEx w15:paraId="4DFDAA23" w15:done="0"/>
  <w15:commentEx w15:paraId="45BF3FF9" w15:paraIdParent="4DFDAA23" w15:done="0"/>
  <w15:commentEx w15:paraId="6B565717" w15:done="0"/>
  <w15:commentEx w15:paraId="7AA416AA" w15:paraIdParent="6B5657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59FD9" w14:textId="77777777" w:rsidR="0033530C" w:rsidRDefault="0033530C" w:rsidP="004444C9">
      <w:pPr>
        <w:spacing w:after="0" w:line="240" w:lineRule="auto"/>
      </w:pPr>
      <w:r>
        <w:separator/>
      </w:r>
    </w:p>
  </w:endnote>
  <w:endnote w:type="continuationSeparator" w:id="0">
    <w:p w14:paraId="60C6CAF4" w14:textId="77777777" w:rsidR="0033530C" w:rsidRDefault="0033530C" w:rsidP="004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57223"/>
      <w:docPartObj>
        <w:docPartGallery w:val="Page Numbers (Bottom of Page)"/>
        <w:docPartUnique/>
      </w:docPartObj>
    </w:sdtPr>
    <w:sdtEndPr>
      <w:rPr>
        <w:noProof/>
      </w:rPr>
    </w:sdtEndPr>
    <w:sdtContent>
      <w:p w14:paraId="12B65DB8" w14:textId="55FBD44D" w:rsidR="007612F7" w:rsidRDefault="007612F7">
        <w:pPr>
          <w:pStyle w:val="Footer"/>
          <w:jc w:val="right"/>
        </w:pPr>
        <w:r>
          <w:fldChar w:fldCharType="begin"/>
        </w:r>
        <w:r>
          <w:instrText xml:space="preserve"> PAGE   \* MERGEFORMAT </w:instrText>
        </w:r>
        <w:r>
          <w:fldChar w:fldCharType="separate"/>
        </w:r>
        <w:r w:rsidR="00E20499">
          <w:rPr>
            <w:noProof/>
          </w:rPr>
          <w:t>1</w:t>
        </w:r>
        <w:r>
          <w:rPr>
            <w:noProof/>
          </w:rPr>
          <w:fldChar w:fldCharType="end"/>
        </w:r>
      </w:p>
    </w:sdtContent>
  </w:sdt>
  <w:p w14:paraId="6F868293" w14:textId="77777777" w:rsidR="007612F7" w:rsidRDefault="00761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A8F24" w14:textId="77777777" w:rsidR="0033530C" w:rsidRDefault="0033530C" w:rsidP="004444C9">
      <w:pPr>
        <w:spacing w:after="0" w:line="240" w:lineRule="auto"/>
      </w:pPr>
      <w:r>
        <w:separator/>
      </w:r>
    </w:p>
  </w:footnote>
  <w:footnote w:type="continuationSeparator" w:id="0">
    <w:p w14:paraId="538A4A25" w14:textId="77777777" w:rsidR="0033530C" w:rsidRDefault="0033530C" w:rsidP="004444C9">
      <w:pPr>
        <w:spacing w:after="0" w:line="240" w:lineRule="auto"/>
      </w:pPr>
      <w:r>
        <w:continuationSeparator/>
      </w:r>
    </w:p>
  </w:footnote>
  <w:footnote w:id="1">
    <w:p w14:paraId="75322F98" w14:textId="77777777" w:rsidR="007612F7" w:rsidRPr="00A634D7" w:rsidRDefault="007612F7" w:rsidP="008962E5">
      <w:pPr>
        <w:pStyle w:val="FootnoteText"/>
      </w:pPr>
      <w:r>
        <w:rPr>
          <w:rStyle w:val="FootnoteReference"/>
        </w:rPr>
        <w:footnoteRef/>
      </w:r>
      <w:r>
        <w:t xml:space="preserve"> </w:t>
      </w:r>
      <w:r w:rsidRPr="00A634D7">
        <w:t>Attachment 1</w:t>
      </w:r>
      <w:r>
        <w:t>:</w:t>
      </w:r>
      <w:r w:rsidRPr="00A634D7">
        <w:t xml:space="preserve"> Section 301 of the Public Health Service Act</w:t>
      </w:r>
    </w:p>
  </w:footnote>
  <w:footnote w:id="2">
    <w:p w14:paraId="2158D22E" w14:textId="77777777" w:rsidR="007612F7" w:rsidRDefault="007612F7" w:rsidP="008962E5">
      <w:pPr>
        <w:pStyle w:val="FootnoteText"/>
      </w:pPr>
      <w:r>
        <w:rPr>
          <w:rStyle w:val="FootnoteReference"/>
        </w:rPr>
        <w:footnoteRef/>
      </w:r>
      <w:r>
        <w:t xml:space="preserve"> Attachment 2: </w:t>
      </w:r>
      <w:r w:rsidRPr="00B16A8E">
        <w:rPr>
          <w:rFonts w:ascii="Times New Roman" w:hAnsi="Times New Roman" w:cs="Times New Roman"/>
          <w:bCs/>
        </w:rPr>
        <w:t xml:space="preserve">Memorandum on </w:t>
      </w:r>
      <w:r w:rsidRPr="00B16A8E">
        <w:t>Conducting Conversations with America to Further Improve Customer Service</w:t>
      </w:r>
    </w:p>
  </w:footnote>
  <w:footnote w:id="3">
    <w:p w14:paraId="67840134" w14:textId="77777777" w:rsidR="007612F7" w:rsidRDefault="007612F7" w:rsidP="008962E5">
      <w:pPr>
        <w:pStyle w:val="FootnoteText"/>
      </w:pPr>
      <w:r>
        <w:rPr>
          <w:rStyle w:val="FootnoteReference"/>
        </w:rPr>
        <w:footnoteRef/>
      </w:r>
      <w:r>
        <w:t xml:space="preserve"> Attachment 3: </w:t>
      </w:r>
      <w:r w:rsidRPr="00D32F9A">
        <w:t>Executive Order (E.O.) 12862</w:t>
      </w:r>
    </w:p>
  </w:footnote>
  <w:footnote w:id="4">
    <w:p w14:paraId="3BFFAD1A" w14:textId="482545DA" w:rsidR="007612F7" w:rsidRDefault="007612F7">
      <w:pPr>
        <w:pStyle w:val="FootnoteText"/>
      </w:pPr>
      <w:r>
        <w:rPr>
          <w:rStyle w:val="FootnoteReference"/>
        </w:rPr>
        <w:footnoteRef/>
      </w:r>
      <w:r>
        <w:t xml:space="preserve"> Attachment 4: 60-day Federal Register Notice - , vol. 81, No. 125; pp 42360-42362.</w:t>
      </w:r>
    </w:p>
  </w:footnote>
  <w:footnote w:id="5">
    <w:p w14:paraId="1EC9D435" w14:textId="03CEDA28" w:rsidR="007612F7" w:rsidRPr="00391C85" w:rsidRDefault="007612F7" w:rsidP="00BA2986">
      <w:pPr>
        <w:spacing w:after="0" w:line="240" w:lineRule="auto"/>
        <w:ind w:left="360"/>
        <w:rPr>
          <w:rFonts w:ascii="Times New Roman" w:hAnsi="Times New Roman" w:cs="Times New Roman"/>
          <w:sz w:val="20"/>
          <w:szCs w:val="24"/>
        </w:rPr>
      </w:pPr>
      <w:r>
        <w:rPr>
          <w:rStyle w:val="FootnoteReference"/>
        </w:rPr>
        <w:footnoteRef/>
      </w:r>
      <w:r>
        <w:t xml:space="preserve"> </w:t>
      </w:r>
      <w:r w:rsidRPr="00391C85">
        <w:rPr>
          <w:rFonts w:ascii="Times New Roman" w:hAnsi="Times New Roman" w:cs="Times New Roman"/>
          <w:sz w:val="20"/>
          <w:szCs w:val="20"/>
        </w:rPr>
        <w:t>Source: OPM 2016 Salary Table (</w:t>
      </w:r>
      <w:hyperlink r:id="rId1" w:history="1">
        <w:r w:rsidRPr="00391C85">
          <w:rPr>
            <w:rStyle w:val="Hyperlink"/>
            <w:rFonts w:ascii="Times New Roman" w:hAnsi="Times New Roman" w:cs="Times New Roman"/>
            <w:sz w:val="20"/>
            <w:szCs w:val="20"/>
          </w:rPr>
          <w:t>https://www.opm.gov/policy-data-oversight/pay-leave/salaries-wages/salary-tables/pdf/2016/DCB_h.pdf</w:t>
        </w:r>
      </w:hyperlink>
      <w:r w:rsidRPr="00391C85">
        <w:rPr>
          <w:rFonts w:ascii="Times New Roman" w:hAnsi="Times New Roman" w:cs="Times New Roman"/>
          <w:sz w:val="20"/>
          <w:szCs w:val="20"/>
        </w:rPr>
        <w:t>). All Grades are listed at Step 5</w:t>
      </w:r>
      <w:r>
        <w:rPr>
          <w:rFonts w:ascii="Times New Roman" w:hAnsi="Times New Roman" w:cs="Times New Roman"/>
          <w:sz w:val="20"/>
          <w:szCs w:val="20"/>
        </w:rPr>
        <w:t xml:space="preserve"> and include an additional 25% for benefits.</w:t>
      </w:r>
      <w:r w:rsidRPr="00391C85">
        <w:rPr>
          <w:rFonts w:ascii="Times New Roman" w:hAnsi="Times New Roman" w:cs="Times New Roman"/>
          <w:sz w:val="20"/>
          <w:szCs w:val="20"/>
        </w:rPr>
        <w:t xml:space="preserve"> </w:t>
      </w:r>
    </w:p>
    <w:p w14:paraId="74408014" w14:textId="323B0F61" w:rsidR="007612F7" w:rsidRDefault="007612F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6426" w14:textId="77777777" w:rsidR="007612F7" w:rsidRPr="004444C9" w:rsidRDefault="007612F7">
    <w:pPr>
      <w:pStyle w:val="Header"/>
      <w:rPr>
        <w:b/>
        <w:sz w:val="18"/>
        <w:szCs w:val="18"/>
      </w:rPr>
    </w:pPr>
    <w:r w:rsidRPr="004444C9">
      <w:rPr>
        <w:b/>
        <w:sz w:val="18"/>
        <w:szCs w:val="18"/>
      </w:rPr>
      <w:t>SMP Customer Satisfaction Survey</w:t>
    </w:r>
    <w:r w:rsidRPr="004444C9">
      <w:rPr>
        <w:b/>
        <w:sz w:val="18"/>
        <w:szCs w:val="18"/>
      </w:rPr>
      <w:tab/>
    </w:r>
    <w:r w:rsidRPr="004444C9">
      <w:rPr>
        <w:b/>
        <w:sz w:val="18"/>
        <w:szCs w:val="18"/>
      </w:rPr>
      <w:tab/>
      <w:t>Supporting Statement</w:t>
    </w:r>
  </w:p>
  <w:p w14:paraId="686ACE2F" w14:textId="77777777" w:rsidR="007612F7" w:rsidRDefault="00761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E0"/>
    <w:multiLevelType w:val="hybridMultilevel"/>
    <w:tmpl w:val="BD82A1A6"/>
    <w:lvl w:ilvl="0" w:tplc="BE52BF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A2E04"/>
    <w:multiLevelType w:val="hybridMultilevel"/>
    <w:tmpl w:val="14CC3E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A5A07"/>
    <w:multiLevelType w:val="hybridMultilevel"/>
    <w:tmpl w:val="243C5870"/>
    <w:lvl w:ilvl="0" w:tplc="150247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80AA5"/>
    <w:multiLevelType w:val="hybridMultilevel"/>
    <w:tmpl w:val="20FA80E8"/>
    <w:lvl w:ilvl="0" w:tplc="1ADCF08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F4112"/>
    <w:multiLevelType w:val="hybridMultilevel"/>
    <w:tmpl w:val="3342DFF4"/>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61610B2"/>
    <w:multiLevelType w:val="hybridMultilevel"/>
    <w:tmpl w:val="D19CC8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E7142"/>
    <w:multiLevelType w:val="hybridMultilevel"/>
    <w:tmpl w:val="B12201A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A415A">
      <w:start w:val="1"/>
      <w:numFmt w:val="lowerLetter"/>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C65F2"/>
    <w:multiLevelType w:val="hybridMultilevel"/>
    <w:tmpl w:val="6AA6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837FC"/>
    <w:multiLevelType w:val="hybridMultilevel"/>
    <w:tmpl w:val="D862E316"/>
    <w:lvl w:ilvl="0" w:tplc="88E094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F0F9F"/>
    <w:multiLevelType w:val="hybridMultilevel"/>
    <w:tmpl w:val="0572529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276F18E2"/>
    <w:multiLevelType w:val="hybridMultilevel"/>
    <w:tmpl w:val="53569978"/>
    <w:lvl w:ilvl="0" w:tplc="0409000F">
      <w:start w:val="1"/>
      <w:numFmt w:val="decimal"/>
      <w:lvlText w:val="%1."/>
      <w:lvlJc w:val="left"/>
      <w:pPr>
        <w:ind w:left="720" w:hanging="360"/>
      </w:pPr>
      <w:rPr>
        <w:rFonts w:hint="default"/>
      </w:rPr>
    </w:lvl>
    <w:lvl w:ilvl="1" w:tplc="24E6D214">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E7040"/>
    <w:multiLevelType w:val="hybridMultilevel"/>
    <w:tmpl w:val="391072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9D4825"/>
    <w:multiLevelType w:val="hybridMultilevel"/>
    <w:tmpl w:val="D842D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93F40"/>
    <w:multiLevelType w:val="hybridMultilevel"/>
    <w:tmpl w:val="79E84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924E7"/>
    <w:multiLevelType w:val="hybridMultilevel"/>
    <w:tmpl w:val="E0329254"/>
    <w:lvl w:ilvl="0" w:tplc="6458E4E6">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58E414B"/>
    <w:multiLevelType w:val="hybridMultilevel"/>
    <w:tmpl w:val="330241A0"/>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68B2B4C"/>
    <w:multiLevelType w:val="hybridMultilevel"/>
    <w:tmpl w:val="69D480E0"/>
    <w:lvl w:ilvl="0" w:tplc="7D2464D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4028E"/>
    <w:multiLevelType w:val="hybridMultilevel"/>
    <w:tmpl w:val="7E8EAE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41F2157F"/>
    <w:multiLevelType w:val="hybridMultilevel"/>
    <w:tmpl w:val="AAD0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641ED"/>
    <w:multiLevelType w:val="hybridMultilevel"/>
    <w:tmpl w:val="29B2E05A"/>
    <w:lvl w:ilvl="0" w:tplc="889C48CC">
      <w:start w:val="1"/>
      <w:numFmt w:val="decimal"/>
      <w:lvlText w:val="%1."/>
      <w:lvlJc w:val="left"/>
      <w:pPr>
        <w:ind w:left="720" w:hanging="360"/>
      </w:pPr>
      <w:rPr>
        <w:rFonts w:hint="default"/>
        <w:b/>
      </w:rPr>
    </w:lvl>
    <w:lvl w:ilvl="1" w:tplc="9808DA88">
      <w:start w:val="2"/>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C0EE6"/>
    <w:multiLevelType w:val="hybridMultilevel"/>
    <w:tmpl w:val="7798691E"/>
    <w:lvl w:ilvl="0" w:tplc="0BE24F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C23320"/>
    <w:multiLevelType w:val="hybridMultilevel"/>
    <w:tmpl w:val="21283E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8A21FE"/>
    <w:multiLevelType w:val="hybridMultilevel"/>
    <w:tmpl w:val="6FB02EC0"/>
    <w:lvl w:ilvl="0" w:tplc="3B2210E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541778"/>
    <w:multiLevelType w:val="hybridMultilevel"/>
    <w:tmpl w:val="0400B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6F3DBC"/>
    <w:multiLevelType w:val="hybridMultilevel"/>
    <w:tmpl w:val="236073D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64A738BB"/>
    <w:multiLevelType w:val="hybridMultilevel"/>
    <w:tmpl w:val="53E4C8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5F539FA"/>
    <w:multiLevelType w:val="hybridMultilevel"/>
    <w:tmpl w:val="8F18EE06"/>
    <w:lvl w:ilvl="0" w:tplc="558EC4B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A5174EB"/>
    <w:multiLevelType w:val="hybridMultilevel"/>
    <w:tmpl w:val="78A82996"/>
    <w:lvl w:ilvl="0" w:tplc="D50264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973EA4"/>
    <w:multiLevelType w:val="hybridMultilevel"/>
    <w:tmpl w:val="ADC264A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476930"/>
    <w:multiLevelType w:val="hybridMultilevel"/>
    <w:tmpl w:val="5A9208A8"/>
    <w:lvl w:ilvl="0" w:tplc="B1045C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FF4C2E"/>
    <w:multiLevelType w:val="hybridMultilevel"/>
    <w:tmpl w:val="33C8F876"/>
    <w:lvl w:ilvl="0" w:tplc="6458E4E6">
      <w:start w:val="1"/>
      <w:numFmt w:val="decimal"/>
      <w:lvlText w:val="%1."/>
      <w:lvlJc w:val="left"/>
      <w:pPr>
        <w:tabs>
          <w:tab w:val="num" w:pos="1800"/>
        </w:tabs>
        <w:ind w:left="1800" w:hanging="360"/>
      </w:pPr>
      <w:rPr>
        <w:rFonts w:hint="default"/>
        <w:b/>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7EB776A3"/>
    <w:multiLevelType w:val="hybridMultilevel"/>
    <w:tmpl w:val="7C8C6474"/>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5"/>
  </w:num>
  <w:num w:numId="3">
    <w:abstractNumId w:val="7"/>
  </w:num>
  <w:num w:numId="4">
    <w:abstractNumId w:val="6"/>
  </w:num>
  <w:num w:numId="5">
    <w:abstractNumId w:val="18"/>
  </w:num>
  <w:num w:numId="6">
    <w:abstractNumId w:val="19"/>
  </w:num>
  <w:num w:numId="7">
    <w:abstractNumId w:val="15"/>
  </w:num>
  <w:num w:numId="8">
    <w:abstractNumId w:val="4"/>
  </w:num>
  <w:num w:numId="9">
    <w:abstractNumId w:val="30"/>
  </w:num>
  <w:num w:numId="10">
    <w:abstractNumId w:val="14"/>
  </w:num>
  <w:num w:numId="11">
    <w:abstractNumId w:val="9"/>
  </w:num>
  <w:num w:numId="12">
    <w:abstractNumId w:val="24"/>
  </w:num>
  <w:num w:numId="13">
    <w:abstractNumId w:val="26"/>
  </w:num>
  <w:num w:numId="14">
    <w:abstractNumId w:val="13"/>
  </w:num>
  <w:num w:numId="15">
    <w:abstractNumId w:val="12"/>
  </w:num>
  <w:num w:numId="16">
    <w:abstractNumId w:val="1"/>
  </w:num>
  <w:num w:numId="17">
    <w:abstractNumId w:val="8"/>
  </w:num>
  <w:num w:numId="18">
    <w:abstractNumId w:val="0"/>
  </w:num>
  <w:num w:numId="19">
    <w:abstractNumId w:val="27"/>
  </w:num>
  <w:num w:numId="20">
    <w:abstractNumId w:val="3"/>
  </w:num>
  <w:num w:numId="21">
    <w:abstractNumId w:val="22"/>
  </w:num>
  <w:num w:numId="22">
    <w:abstractNumId w:val="16"/>
  </w:num>
  <w:num w:numId="23">
    <w:abstractNumId w:val="29"/>
  </w:num>
  <w:num w:numId="24">
    <w:abstractNumId w:val="2"/>
  </w:num>
  <w:num w:numId="25">
    <w:abstractNumId w:val="20"/>
  </w:num>
  <w:num w:numId="26">
    <w:abstractNumId w:val="28"/>
  </w:num>
  <w:num w:numId="27">
    <w:abstractNumId w:val="10"/>
  </w:num>
  <w:num w:numId="28">
    <w:abstractNumId w:val="17"/>
  </w:num>
  <w:num w:numId="29">
    <w:abstractNumId w:val="21"/>
  </w:num>
  <w:num w:numId="30">
    <w:abstractNumId w:val="25"/>
  </w:num>
  <w:num w:numId="31">
    <w:abstractNumId w:val="11"/>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Spak">
    <w15:presenceInfo w15:providerId="AD" w15:userId="S-1-5-21-1214440339-413027322-725345543-26774"/>
  </w15:person>
  <w15:person w15:author="Greenwald, Elyse F. EOP/OMB">
    <w15:presenceInfo w15:providerId="AD" w15:userId="S-1-5-21-481821332-259741479-317593308-16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8F"/>
    <w:rsid w:val="00002CE9"/>
    <w:rsid w:val="000034C6"/>
    <w:rsid w:val="00005CE1"/>
    <w:rsid w:val="00050C88"/>
    <w:rsid w:val="00063378"/>
    <w:rsid w:val="00064242"/>
    <w:rsid w:val="0007072E"/>
    <w:rsid w:val="00072969"/>
    <w:rsid w:val="00073D79"/>
    <w:rsid w:val="000759C9"/>
    <w:rsid w:val="00092851"/>
    <w:rsid w:val="000B4A8D"/>
    <w:rsid w:val="000C042D"/>
    <w:rsid w:val="000C25AD"/>
    <w:rsid w:val="000F05DE"/>
    <w:rsid w:val="000F4600"/>
    <w:rsid w:val="000F5F7D"/>
    <w:rsid w:val="000F7A95"/>
    <w:rsid w:val="00102FEE"/>
    <w:rsid w:val="0010446E"/>
    <w:rsid w:val="00110FEF"/>
    <w:rsid w:val="00123A20"/>
    <w:rsid w:val="00131B50"/>
    <w:rsid w:val="00156FB8"/>
    <w:rsid w:val="00160A25"/>
    <w:rsid w:val="001618C8"/>
    <w:rsid w:val="0016444D"/>
    <w:rsid w:val="00174C32"/>
    <w:rsid w:val="00175195"/>
    <w:rsid w:val="00175B2A"/>
    <w:rsid w:val="00177632"/>
    <w:rsid w:val="00182B46"/>
    <w:rsid w:val="00185172"/>
    <w:rsid w:val="0019537E"/>
    <w:rsid w:val="00195B71"/>
    <w:rsid w:val="0019666A"/>
    <w:rsid w:val="001A0E7A"/>
    <w:rsid w:val="001A7F54"/>
    <w:rsid w:val="001B0ED8"/>
    <w:rsid w:val="001E0369"/>
    <w:rsid w:val="001E15ED"/>
    <w:rsid w:val="001E1A5D"/>
    <w:rsid w:val="001E451F"/>
    <w:rsid w:val="001E7C24"/>
    <w:rsid w:val="001E7D1A"/>
    <w:rsid w:val="001F3AB8"/>
    <w:rsid w:val="001F3B21"/>
    <w:rsid w:val="00202AE5"/>
    <w:rsid w:val="00214525"/>
    <w:rsid w:val="00247888"/>
    <w:rsid w:val="00256825"/>
    <w:rsid w:val="00256F6B"/>
    <w:rsid w:val="002659CC"/>
    <w:rsid w:val="00281857"/>
    <w:rsid w:val="002858B4"/>
    <w:rsid w:val="00291DFC"/>
    <w:rsid w:val="00291E4E"/>
    <w:rsid w:val="0029469D"/>
    <w:rsid w:val="002B06A5"/>
    <w:rsid w:val="002B0E0E"/>
    <w:rsid w:val="002B3C14"/>
    <w:rsid w:val="002C23AE"/>
    <w:rsid w:val="002C45AE"/>
    <w:rsid w:val="002D1F5C"/>
    <w:rsid w:val="002D2101"/>
    <w:rsid w:val="002E3F84"/>
    <w:rsid w:val="002E7BB1"/>
    <w:rsid w:val="002F01C6"/>
    <w:rsid w:val="002F1F4C"/>
    <w:rsid w:val="002F43ED"/>
    <w:rsid w:val="002F4942"/>
    <w:rsid w:val="003005EC"/>
    <w:rsid w:val="00303A55"/>
    <w:rsid w:val="00311ED7"/>
    <w:rsid w:val="00313513"/>
    <w:rsid w:val="00322A96"/>
    <w:rsid w:val="00327C33"/>
    <w:rsid w:val="003320C2"/>
    <w:rsid w:val="0033530C"/>
    <w:rsid w:val="00342005"/>
    <w:rsid w:val="00342999"/>
    <w:rsid w:val="0035416D"/>
    <w:rsid w:val="00385024"/>
    <w:rsid w:val="00391C85"/>
    <w:rsid w:val="00392677"/>
    <w:rsid w:val="003B25BA"/>
    <w:rsid w:val="003B7862"/>
    <w:rsid w:val="003B7891"/>
    <w:rsid w:val="003D204E"/>
    <w:rsid w:val="003D4F20"/>
    <w:rsid w:val="003D5C01"/>
    <w:rsid w:val="003E1F23"/>
    <w:rsid w:val="003E43EF"/>
    <w:rsid w:val="003F39A7"/>
    <w:rsid w:val="003F3F9E"/>
    <w:rsid w:val="00400205"/>
    <w:rsid w:val="0042321F"/>
    <w:rsid w:val="0043338F"/>
    <w:rsid w:val="00436025"/>
    <w:rsid w:val="004444C9"/>
    <w:rsid w:val="00444FD2"/>
    <w:rsid w:val="0046236C"/>
    <w:rsid w:val="00463F68"/>
    <w:rsid w:val="00470CE8"/>
    <w:rsid w:val="00470E91"/>
    <w:rsid w:val="004A18C4"/>
    <w:rsid w:val="004B3183"/>
    <w:rsid w:val="004C72C2"/>
    <w:rsid w:val="004E7506"/>
    <w:rsid w:val="004F629D"/>
    <w:rsid w:val="0050323A"/>
    <w:rsid w:val="005062EE"/>
    <w:rsid w:val="0052379F"/>
    <w:rsid w:val="005319F2"/>
    <w:rsid w:val="00535131"/>
    <w:rsid w:val="00535659"/>
    <w:rsid w:val="005356F0"/>
    <w:rsid w:val="00546F9A"/>
    <w:rsid w:val="00564994"/>
    <w:rsid w:val="00564AD5"/>
    <w:rsid w:val="005666BC"/>
    <w:rsid w:val="00571406"/>
    <w:rsid w:val="005817F7"/>
    <w:rsid w:val="005A1858"/>
    <w:rsid w:val="005C0F59"/>
    <w:rsid w:val="005C2D9D"/>
    <w:rsid w:val="005D6368"/>
    <w:rsid w:val="005E0756"/>
    <w:rsid w:val="005E2740"/>
    <w:rsid w:val="005E73FD"/>
    <w:rsid w:val="00601607"/>
    <w:rsid w:val="00602CD8"/>
    <w:rsid w:val="00623CAF"/>
    <w:rsid w:val="00627275"/>
    <w:rsid w:val="00636DFA"/>
    <w:rsid w:val="006371FA"/>
    <w:rsid w:val="0065745A"/>
    <w:rsid w:val="00663B20"/>
    <w:rsid w:val="00666F6D"/>
    <w:rsid w:val="0066742D"/>
    <w:rsid w:val="0067599F"/>
    <w:rsid w:val="0068336A"/>
    <w:rsid w:val="006A5C14"/>
    <w:rsid w:val="006E23CB"/>
    <w:rsid w:val="006E5ADE"/>
    <w:rsid w:val="00704DDF"/>
    <w:rsid w:val="00704FFB"/>
    <w:rsid w:val="00710C1C"/>
    <w:rsid w:val="007207F8"/>
    <w:rsid w:val="007415F1"/>
    <w:rsid w:val="0074525C"/>
    <w:rsid w:val="00757D53"/>
    <w:rsid w:val="00760BC9"/>
    <w:rsid w:val="007612F7"/>
    <w:rsid w:val="00770B84"/>
    <w:rsid w:val="00772238"/>
    <w:rsid w:val="00774573"/>
    <w:rsid w:val="00775A54"/>
    <w:rsid w:val="007C6E56"/>
    <w:rsid w:val="007E3CDE"/>
    <w:rsid w:val="007F5289"/>
    <w:rsid w:val="007F5D49"/>
    <w:rsid w:val="00800D10"/>
    <w:rsid w:val="00801A1A"/>
    <w:rsid w:val="00804457"/>
    <w:rsid w:val="008145B7"/>
    <w:rsid w:val="00816D50"/>
    <w:rsid w:val="0083357A"/>
    <w:rsid w:val="00835046"/>
    <w:rsid w:val="00845FEC"/>
    <w:rsid w:val="00855F97"/>
    <w:rsid w:val="00865EB7"/>
    <w:rsid w:val="008705CB"/>
    <w:rsid w:val="00870A25"/>
    <w:rsid w:val="00882978"/>
    <w:rsid w:val="00883B5C"/>
    <w:rsid w:val="008914E8"/>
    <w:rsid w:val="008962E5"/>
    <w:rsid w:val="008B75AC"/>
    <w:rsid w:val="008C05E4"/>
    <w:rsid w:val="008C71AA"/>
    <w:rsid w:val="008D6E00"/>
    <w:rsid w:val="008F0FCD"/>
    <w:rsid w:val="00901DF7"/>
    <w:rsid w:val="00903418"/>
    <w:rsid w:val="0090352E"/>
    <w:rsid w:val="009043CA"/>
    <w:rsid w:val="00913C0B"/>
    <w:rsid w:val="00927056"/>
    <w:rsid w:val="009363D4"/>
    <w:rsid w:val="0095767E"/>
    <w:rsid w:val="00962322"/>
    <w:rsid w:val="009642AE"/>
    <w:rsid w:val="00995F13"/>
    <w:rsid w:val="009A485C"/>
    <w:rsid w:val="009B1E7E"/>
    <w:rsid w:val="009D4298"/>
    <w:rsid w:val="009E247A"/>
    <w:rsid w:val="009E4935"/>
    <w:rsid w:val="009F62FE"/>
    <w:rsid w:val="00A02AC9"/>
    <w:rsid w:val="00A16CA9"/>
    <w:rsid w:val="00A26EA3"/>
    <w:rsid w:val="00A27A32"/>
    <w:rsid w:val="00A33FCC"/>
    <w:rsid w:val="00A832E0"/>
    <w:rsid w:val="00A97C28"/>
    <w:rsid w:val="00AA0482"/>
    <w:rsid w:val="00AC285C"/>
    <w:rsid w:val="00AC4185"/>
    <w:rsid w:val="00AC7B5A"/>
    <w:rsid w:val="00AE7329"/>
    <w:rsid w:val="00B1594E"/>
    <w:rsid w:val="00B20978"/>
    <w:rsid w:val="00B22DCB"/>
    <w:rsid w:val="00B2619C"/>
    <w:rsid w:val="00B304B9"/>
    <w:rsid w:val="00B3469A"/>
    <w:rsid w:val="00B36215"/>
    <w:rsid w:val="00B41596"/>
    <w:rsid w:val="00B5110D"/>
    <w:rsid w:val="00B63BB0"/>
    <w:rsid w:val="00B67777"/>
    <w:rsid w:val="00B96B42"/>
    <w:rsid w:val="00BA2986"/>
    <w:rsid w:val="00BA74C1"/>
    <w:rsid w:val="00BB4D92"/>
    <w:rsid w:val="00BC1227"/>
    <w:rsid w:val="00BC640C"/>
    <w:rsid w:val="00BD1816"/>
    <w:rsid w:val="00BD34B3"/>
    <w:rsid w:val="00C15520"/>
    <w:rsid w:val="00C170A0"/>
    <w:rsid w:val="00C3041B"/>
    <w:rsid w:val="00C423CA"/>
    <w:rsid w:val="00C46EE3"/>
    <w:rsid w:val="00C47278"/>
    <w:rsid w:val="00C62CDE"/>
    <w:rsid w:val="00C66D03"/>
    <w:rsid w:val="00C80C31"/>
    <w:rsid w:val="00C80E39"/>
    <w:rsid w:val="00C87AF6"/>
    <w:rsid w:val="00CA1790"/>
    <w:rsid w:val="00CA4220"/>
    <w:rsid w:val="00CA7B52"/>
    <w:rsid w:val="00CB3A6F"/>
    <w:rsid w:val="00CB7FEA"/>
    <w:rsid w:val="00CC7D45"/>
    <w:rsid w:val="00CD2DE6"/>
    <w:rsid w:val="00CD4DFA"/>
    <w:rsid w:val="00CE198A"/>
    <w:rsid w:val="00D024A8"/>
    <w:rsid w:val="00D049C5"/>
    <w:rsid w:val="00D2462C"/>
    <w:rsid w:val="00D2621F"/>
    <w:rsid w:val="00D31FCB"/>
    <w:rsid w:val="00D351ED"/>
    <w:rsid w:val="00D42356"/>
    <w:rsid w:val="00D60193"/>
    <w:rsid w:val="00D740A5"/>
    <w:rsid w:val="00D9009C"/>
    <w:rsid w:val="00D90F16"/>
    <w:rsid w:val="00DA0BE9"/>
    <w:rsid w:val="00DA162A"/>
    <w:rsid w:val="00DA3D03"/>
    <w:rsid w:val="00DA4949"/>
    <w:rsid w:val="00DB3EDC"/>
    <w:rsid w:val="00DB4395"/>
    <w:rsid w:val="00DB567D"/>
    <w:rsid w:val="00DE729C"/>
    <w:rsid w:val="00DF51FB"/>
    <w:rsid w:val="00DF798C"/>
    <w:rsid w:val="00E016D9"/>
    <w:rsid w:val="00E01FF4"/>
    <w:rsid w:val="00E20499"/>
    <w:rsid w:val="00E2182C"/>
    <w:rsid w:val="00E2378A"/>
    <w:rsid w:val="00E24408"/>
    <w:rsid w:val="00E312FF"/>
    <w:rsid w:val="00E3362E"/>
    <w:rsid w:val="00E34D08"/>
    <w:rsid w:val="00E41476"/>
    <w:rsid w:val="00E515EF"/>
    <w:rsid w:val="00E561BD"/>
    <w:rsid w:val="00E873F6"/>
    <w:rsid w:val="00EB4EDF"/>
    <w:rsid w:val="00EB501F"/>
    <w:rsid w:val="00EB55B0"/>
    <w:rsid w:val="00EC33B8"/>
    <w:rsid w:val="00EC4E8B"/>
    <w:rsid w:val="00EC5951"/>
    <w:rsid w:val="00EE4317"/>
    <w:rsid w:val="00EE48AD"/>
    <w:rsid w:val="00EF18A9"/>
    <w:rsid w:val="00EF522E"/>
    <w:rsid w:val="00F03816"/>
    <w:rsid w:val="00F20058"/>
    <w:rsid w:val="00F52CB0"/>
    <w:rsid w:val="00F54609"/>
    <w:rsid w:val="00F63746"/>
    <w:rsid w:val="00F72156"/>
    <w:rsid w:val="00F8324E"/>
    <w:rsid w:val="00F905C0"/>
    <w:rsid w:val="00F97B74"/>
    <w:rsid w:val="00FA2966"/>
    <w:rsid w:val="00FC0EF0"/>
    <w:rsid w:val="00FC3A32"/>
    <w:rsid w:val="00FD4E26"/>
    <w:rsid w:val="00FE329F"/>
    <w:rsid w:val="00FF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C9"/>
  </w:style>
  <w:style w:type="paragraph" w:styleId="Footer">
    <w:name w:val="footer"/>
    <w:basedOn w:val="Normal"/>
    <w:link w:val="FooterChar"/>
    <w:uiPriority w:val="99"/>
    <w:unhideWhenUsed/>
    <w:rsid w:val="004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C9"/>
  </w:style>
  <w:style w:type="paragraph" w:styleId="BalloonText">
    <w:name w:val="Balloon Text"/>
    <w:basedOn w:val="Normal"/>
    <w:link w:val="BalloonTextChar"/>
    <w:uiPriority w:val="99"/>
    <w:semiHidden/>
    <w:unhideWhenUsed/>
    <w:rsid w:val="0044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C9"/>
    <w:rPr>
      <w:rFonts w:ascii="Segoe UI" w:hAnsi="Segoe UI" w:cs="Segoe UI"/>
      <w:sz w:val="18"/>
      <w:szCs w:val="18"/>
    </w:rPr>
  </w:style>
  <w:style w:type="character" w:styleId="CommentReference">
    <w:name w:val="annotation reference"/>
    <w:basedOn w:val="DefaultParagraphFont"/>
    <w:uiPriority w:val="99"/>
    <w:semiHidden/>
    <w:unhideWhenUsed/>
    <w:rsid w:val="0042321F"/>
    <w:rPr>
      <w:sz w:val="16"/>
      <w:szCs w:val="16"/>
    </w:rPr>
  </w:style>
  <w:style w:type="paragraph" w:styleId="CommentText">
    <w:name w:val="annotation text"/>
    <w:basedOn w:val="Normal"/>
    <w:link w:val="CommentTextChar"/>
    <w:uiPriority w:val="99"/>
    <w:unhideWhenUsed/>
    <w:rsid w:val="0042321F"/>
    <w:pPr>
      <w:spacing w:line="240" w:lineRule="auto"/>
    </w:pPr>
    <w:rPr>
      <w:sz w:val="20"/>
      <w:szCs w:val="20"/>
    </w:rPr>
  </w:style>
  <w:style w:type="character" w:customStyle="1" w:styleId="CommentTextChar">
    <w:name w:val="Comment Text Char"/>
    <w:basedOn w:val="DefaultParagraphFont"/>
    <w:link w:val="CommentText"/>
    <w:uiPriority w:val="99"/>
    <w:rsid w:val="0042321F"/>
    <w:rPr>
      <w:sz w:val="20"/>
      <w:szCs w:val="20"/>
    </w:rPr>
  </w:style>
  <w:style w:type="paragraph" w:styleId="CommentSubject">
    <w:name w:val="annotation subject"/>
    <w:basedOn w:val="CommentText"/>
    <w:next w:val="CommentText"/>
    <w:link w:val="CommentSubjectChar"/>
    <w:uiPriority w:val="99"/>
    <w:semiHidden/>
    <w:unhideWhenUsed/>
    <w:rsid w:val="0042321F"/>
    <w:rPr>
      <w:b/>
      <w:bCs/>
    </w:rPr>
  </w:style>
  <w:style w:type="character" w:customStyle="1" w:styleId="CommentSubjectChar">
    <w:name w:val="Comment Subject Char"/>
    <w:basedOn w:val="CommentTextChar"/>
    <w:link w:val="CommentSubject"/>
    <w:uiPriority w:val="99"/>
    <w:semiHidden/>
    <w:rsid w:val="0042321F"/>
    <w:rPr>
      <w:b/>
      <w:bCs/>
      <w:sz w:val="20"/>
      <w:szCs w:val="20"/>
    </w:rPr>
  </w:style>
  <w:style w:type="paragraph" w:styleId="Revision">
    <w:name w:val="Revision"/>
    <w:hidden/>
    <w:uiPriority w:val="99"/>
    <w:semiHidden/>
    <w:rsid w:val="00463F68"/>
    <w:pPr>
      <w:spacing w:after="0" w:line="240" w:lineRule="auto"/>
    </w:pPr>
  </w:style>
  <w:style w:type="paragraph" w:styleId="FootnoteText">
    <w:name w:val="footnote text"/>
    <w:basedOn w:val="Normal"/>
    <w:link w:val="FootnoteTextChar"/>
    <w:uiPriority w:val="99"/>
    <w:semiHidden/>
    <w:unhideWhenUsed/>
    <w:rsid w:val="00896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E5"/>
    <w:rPr>
      <w:sz w:val="20"/>
      <w:szCs w:val="20"/>
    </w:rPr>
  </w:style>
  <w:style w:type="character" w:styleId="FootnoteReference">
    <w:name w:val="footnote reference"/>
    <w:basedOn w:val="DefaultParagraphFont"/>
    <w:uiPriority w:val="99"/>
    <w:semiHidden/>
    <w:unhideWhenUsed/>
    <w:rsid w:val="008962E5"/>
    <w:rPr>
      <w:vertAlign w:val="superscript"/>
    </w:rPr>
  </w:style>
  <w:style w:type="table" w:styleId="LightList">
    <w:name w:val="Light List"/>
    <w:basedOn w:val="TableNormal"/>
    <w:uiPriority w:val="61"/>
    <w:rsid w:val="009576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C9"/>
  </w:style>
  <w:style w:type="paragraph" w:styleId="Footer">
    <w:name w:val="footer"/>
    <w:basedOn w:val="Normal"/>
    <w:link w:val="FooterChar"/>
    <w:uiPriority w:val="99"/>
    <w:unhideWhenUsed/>
    <w:rsid w:val="004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C9"/>
  </w:style>
  <w:style w:type="paragraph" w:styleId="BalloonText">
    <w:name w:val="Balloon Text"/>
    <w:basedOn w:val="Normal"/>
    <w:link w:val="BalloonTextChar"/>
    <w:uiPriority w:val="99"/>
    <w:semiHidden/>
    <w:unhideWhenUsed/>
    <w:rsid w:val="0044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C9"/>
    <w:rPr>
      <w:rFonts w:ascii="Segoe UI" w:hAnsi="Segoe UI" w:cs="Segoe UI"/>
      <w:sz w:val="18"/>
      <w:szCs w:val="18"/>
    </w:rPr>
  </w:style>
  <w:style w:type="character" w:styleId="CommentReference">
    <w:name w:val="annotation reference"/>
    <w:basedOn w:val="DefaultParagraphFont"/>
    <w:uiPriority w:val="99"/>
    <w:semiHidden/>
    <w:unhideWhenUsed/>
    <w:rsid w:val="0042321F"/>
    <w:rPr>
      <w:sz w:val="16"/>
      <w:szCs w:val="16"/>
    </w:rPr>
  </w:style>
  <w:style w:type="paragraph" w:styleId="CommentText">
    <w:name w:val="annotation text"/>
    <w:basedOn w:val="Normal"/>
    <w:link w:val="CommentTextChar"/>
    <w:uiPriority w:val="99"/>
    <w:unhideWhenUsed/>
    <w:rsid w:val="0042321F"/>
    <w:pPr>
      <w:spacing w:line="240" w:lineRule="auto"/>
    </w:pPr>
    <w:rPr>
      <w:sz w:val="20"/>
      <w:szCs w:val="20"/>
    </w:rPr>
  </w:style>
  <w:style w:type="character" w:customStyle="1" w:styleId="CommentTextChar">
    <w:name w:val="Comment Text Char"/>
    <w:basedOn w:val="DefaultParagraphFont"/>
    <w:link w:val="CommentText"/>
    <w:uiPriority w:val="99"/>
    <w:rsid w:val="0042321F"/>
    <w:rPr>
      <w:sz w:val="20"/>
      <w:szCs w:val="20"/>
    </w:rPr>
  </w:style>
  <w:style w:type="paragraph" w:styleId="CommentSubject">
    <w:name w:val="annotation subject"/>
    <w:basedOn w:val="CommentText"/>
    <w:next w:val="CommentText"/>
    <w:link w:val="CommentSubjectChar"/>
    <w:uiPriority w:val="99"/>
    <w:semiHidden/>
    <w:unhideWhenUsed/>
    <w:rsid w:val="0042321F"/>
    <w:rPr>
      <w:b/>
      <w:bCs/>
    </w:rPr>
  </w:style>
  <w:style w:type="character" w:customStyle="1" w:styleId="CommentSubjectChar">
    <w:name w:val="Comment Subject Char"/>
    <w:basedOn w:val="CommentTextChar"/>
    <w:link w:val="CommentSubject"/>
    <w:uiPriority w:val="99"/>
    <w:semiHidden/>
    <w:rsid w:val="0042321F"/>
    <w:rPr>
      <w:b/>
      <w:bCs/>
      <w:sz w:val="20"/>
      <w:szCs w:val="20"/>
    </w:rPr>
  </w:style>
  <w:style w:type="paragraph" w:styleId="Revision">
    <w:name w:val="Revision"/>
    <w:hidden/>
    <w:uiPriority w:val="99"/>
    <w:semiHidden/>
    <w:rsid w:val="00463F68"/>
    <w:pPr>
      <w:spacing w:after="0" w:line="240" w:lineRule="auto"/>
    </w:pPr>
  </w:style>
  <w:style w:type="paragraph" w:styleId="FootnoteText">
    <w:name w:val="footnote text"/>
    <w:basedOn w:val="Normal"/>
    <w:link w:val="FootnoteTextChar"/>
    <w:uiPriority w:val="99"/>
    <w:semiHidden/>
    <w:unhideWhenUsed/>
    <w:rsid w:val="00896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E5"/>
    <w:rPr>
      <w:sz w:val="20"/>
      <w:szCs w:val="20"/>
    </w:rPr>
  </w:style>
  <w:style w:type="character" w:styleId="FootnoteReference">
    <w:name w:val="footnote reference"/>
    <w:basedOn w:val="DefaultParagraphFont"/>
    <w:uiPriority w:val="99"/>
    <w:semiHidden/>
    <w:unhideWhenUsed/>
    <w:rsid w:val="008962E5"/>
    <w:rPr>
      <w:vertAlign w:val="superscript"/>
    </w:rPr>
  </w:style>
  <w:style w:type="table" w:styleId="LightList">
    <w:name w:val="Light List"/>
    <w:basedOn w:val="TableNormal"/>
    <w:uiPriority w:val="61"/>
    <w:rsid w:val="009576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011">
      <w:bodyDiv w:val="1"/>
      <w:marLeft w:val="0"/>
      <w:marRight w:val="0"/>
      <w:marTop w:val="0"/>
      <w:marBottom w:val="0"/>
      <w:divBdr>
        <w:top w:val="none" w:sz="0" w:space="0" w:color="auto"/>
        <w:left w:val="none" w:sz="0" w:space="0" w:color="auto"/>
        <w:bottom w:val="none" w:sz="0" w:space="0" w:color="auto"/>
        <w:right w:val="none" w:sz="0" w:space="0" w:color="auto"/>
      </w:divBdr>
    </w:div>
    <w:div w:id="118497463">
      <w:bodyDiv w:val="1"/>
      <w:marLeft w:val="0"/>
      <w:marRight w:val="0"/>
      <w:marTop w:val="0"/>
      <w:marBottom w:val="0"/>
      <w:divBdr>
        <w:top w:val="none" w:sz="0" w:space="0" w:color="auto"/>
        <w:left w:val="none" w:sz="0" w:space="0" w:color="auto"/>
        <w:bottom w:val="none" w:sz="0" w:space="0" w:color="auto"/>
        <w:right w:val="none" w:sz="0" w:space="0" w:color="auto"/>
      </w:divBdr>
    </w:div>
    <w:div w:id="206534205">
      <w:bodyDiv w:val="1"/>
      <w:marLeft w:val="0"/>
      <w:marRight w:val="0"/>
      <w:marTop w:val="0"/>
      <w:marBottom w:val="0"/>
      <w:divBdr>
        <w:top w:val="none" w:sz="0" w:space="0" w:color="auto"/>
        <w:left w:val="none" w:sz="0" w:space="0" w:color="auto"/>
        <w:bottom w:val="none" w:sz="0" w:space="0" w:color="auto"/>
        <w:right w:val="none" w:sz="0" w:space="0" w:color="auto"/>
      </w:divBdr>
    </w:div>
    <w:div w:id="272902193">
      <w:bodyDiv w:val="1"/>
      <w:marLeft w:val="0"/>
      <w:marRight w:val="0"/>
      <w:marTop w:val="0"/>
      <w:marBottom w:val="0"/>
      <w:divBdr>
        <w:top w:val="none" w:sz="0" w:space="0" w:color="auto"/>
        <w:left w:val="none" w:sz="0" w:space="0" w:color="auto"/>
        <w:bottom w:val="none" w:sz="0" w:space="0" w:color="auto"/>
        <w:right w:val="none" w:sz="0" w:space="0" w:color="auto"/>
      </w:divBdr>
    </w:div>
    <w:div w:id="512308917">
      <w:bodyDiv w:val="1"/>
      <w:marLeft w:val="0"/>
      <w:marRight w:val="0"/>
      <w:marTop w:val="0"/>
      <w:marBottom w:val="0"/>
      <w:divBdr>
        <w:top w:val="none" w:sz="0" w:space="0" w:color="auto"/>
        <w:left w:val="none" w:sz="0" w:space="0" w:color="auto"/>
        <w:bottom w:val="none" w:sz="0" w:space="0" w:color="auto"/>
        <w:right w:val="none" w:sz="0" w:space="0" w:color="auto"/>
      </w:divBdr>
    </w:div>
    <w:div w:id="841821512">
      <w:bodyDiv w:val="1"/>
      <w:marLeft w:val="0"/>
      <w:marRight w:val="0"/>
      <w:marTop w:val="0"/>
      <w:marBottom w:val="0"/>
      <w:divBdr>
        <w:top w:val="none" w:sz="0" w:space="0" w:color="auto"/>
        <w:left w:val="none" w:sz="0" w:space="0" w:color="auto"/>
        <w:bottom w:val="none" w:sz="0" w:space="0" w:color="auto"/>
        <w:right w:val="none" w:sz="0" w:space="0" w:color="auto"/>
      </w:divBdr>
    </w:div>
    <w:div w:id="17801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6/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A97C498-F8AD-4B79-86E1-CB9D9E2DA21A}">
  <we:reference id="wa104043061" version="1.1.1.0" store="en-US" storeType="OMEX"/>
  <we:alternateReferences>
    <we:reference id="wa104043061" version="1.1.1.0" store="wa10404306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C0B613E-E52F-40EF-BB4D-B74A381C2F76}">
  <we:reference id="wa104041485" version="1.1.1.0" store="en-US" storeType="OMEX"/>
  <we:alternateReferences>
    <we:reference id="wa104041485" version="1.1.1.0" store="wa10404148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0C3F5-A06F-4222-A95A-0BF4C7DB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3703</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Spak</dc:creator>
  <cp:lastModifiedBy>SYSTEM</cp:lastModifiedBy>
  <cp:revision>2</cp:revision>
  <cp:lastPrinted>2017-07-21T21:00:00Z</cp:lastPrinted>
  <dcterms:created xsi:type="dcterms:W3CDTF">2017-08-28T19:16:00Z</dcterms:created>
  <dcterms:modified xsi:type="dcterms:W3CDTF">2017-08-28T19:16:00Z</dcterms:modified>
</cp:coreProperties>
</file>