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E3C12" w14:textId="77777777" w:rsidR="002C4F75" w:rsidRPr="000E7AEF" w:rsidRDefault="002C4F75" w:rsidP="002C4F75">
      <w:pPr>
        <w:jc w:val="center"/>
        <w:rPr>
          <w:rFonts w:cs="Arial"/>
          <w:b/>
        </w:rPr>
      </w:pPr>
    </w:p>
    <w:p w14:paraId="02232295" w14:textId="77777777" w:rsidR="002C4F75" w:rsidRPr="000E7AEF" w:rsidRDefault="002C4F75" w:rsidP="002C4F75">
      <w:pPr>
        <w:pStyle w:val="ReportCover-Title"/>
        <w:rPr>
          <w:rFonts w:asciiTheme="minorHAnsi" w:hAnsiTheme="minorHAnsi" w:cs="Arial"/>
          <w:color w:val="auto"/>
        </w:rPr>
      </w:pPr>
    </w:p>
    <w:p w14:paraId="18F26FC5" w14:textId="2085A03C" w:rsidR="008C32B7" w:rsidRPr="00E7529F" w:rsidRDefault="008C32B7" w:rsidP="00E7529F">
      <w:pPr>
        <w:pStyle w:val="Heading1"/>
        <w:jc w:val="center"/>
        <w:rPr>
          <w:rFonts w:asciiTheme="minorHAnsi" w:hAnsiTheme="minorHAnsi" w:cs="Arial"/>
          <w:sz w:val="40"/>
          <w:szCs w:val="40"/>
        </w:rPr>
      </w:pPr>
      <w:bookmarkStart w:id="0" w:name="_Toc203996771"/>
      <w:bookmarkStart w:id="1" w:name="_Toc203996676"/>
      <w:bookmarkStart w:id="2" w:name="_Toc212348478"/>
      <w:bookmarkStart w:id="3" w:name="_Toc204675296"/>
      <w:r w:rsidRPr="00E7529F">
        <w:rPr>
          <w:rFonts w:asciiTheme="minorHAnsi" w:hAnsiTheme="minorHAnsi" w:cs="Arial"/>
          <w:sz w:val="40"/>
          <w:szCs w:val="40"/>
        </w:rPr>
        <w:t>Formative Data Collections</w:t>
      </w:r>
      <w:bookmarkEnd w:id="0"/>
      <w:bookmarkEnd w:id="1"/>
      <w:r w:rsidRPr="00E7529F">
        <w:rPr>
          <w:rFonts w:asciiTheme="minorHAnsi" w:hAnsiTheme="minorHAnsi" w:cs="Arial"/>
          <w:sz w:val="40"/>
          <w:szCs w:val="40"/>
        </w:rPr>
        <w:t xml:space="preserve"> for </w:t>
      </w:r>
      <w:bookmarkEnd w:id="2"/>
      <w:bookmarkEnd w:id="3"/>
      <w:r w:rsidR="0058085C">
        <w:rPr>
          <w:rFonts w:asciiTheme="minorHAnsi" w:hAnsiTheme="minorHAnsi" w:cs="Arial"/>
          <w:sz w:val="40"/>
          <w:szCs w:val="40"/>
        </w:rPr>
        <w:t xml:space="preserve">Culture of Continuous Learning Project: A Breakthrough Series Collaborative for Improving </w:t>
      </w:r>
      <w:r w:rsidR="00494793" w:rsidRPr="00E7529F">
        <w:rPr>
          <w:rFonts w:asciiTheme="minorHAnsi" w:hAnsiTheme="minorHAnsi" w:cs="Arial"/>
          <w:sz w:val="40"/>
          <w:szCs w:val="40"/>
        </w:rPr>
        <w:t>Child Care and Head Start</w:t>
      </w:r>
      <w:r w:rsidR="0058085C">
        <w:rPr>
          <w:rFonts w:asciiTheme="minorHAnsi" w:hAnsiTheme="minorHAnsi" w:cs="Arial"/>
          <w:sz w:val="40"/>
          <w:szCs w:val="40"/>
        </w:rPr>
        <w:t xml:space="preserve"> Quality</w:t>
      </w:r>
    </w:p>
    <w:p w14:paraId="27B6908B" w14:textId="77777777" w:rsidR="002C4F75" w:rsidRPr="000E7AEF" w:rsidRDefault="002C4F75" w:rsidP="002C4F75">
      <w:pPr>
        <w:pStyle w:val="ReportCover-Title"/>
        <w:rPr>
          <w:rFonts w:asciiTheme="minorHAnsi" w:hAnsiTheme="minorHAnsi" w:cs="Arial"/>
          <w:color w:val="auto"/>
        </w:rPr>
      </w:pPr>
    </w:p>
    <w:p w14:paraId="21D3E2EA" w14:textId="77777777" w:rsidR="002C4F75" w:rsidRPr="000E7AEF" w:rsidRDefault="002C4F75" w:rsidP="002C4F75">
      <w:pPr>
        <w:pStyle w:val="ReportCover-Title"/>
        <w:rPr>
          <w:rFonts w:asciiTheme="minorHAnsi" w:hAnsiTheme="minorHAnsi" w:cs="Arial"/>
          <w:color w:val="auto"/>
        </w:rPr>
      </w:pPr>
    </w:p>
    <w:p w14:paraId="58B4EA3F" w14:textId="77777777" w:rsidR="002C4F75" w:rsidRPr="000E7AEF" w:rsidRDefault="002C4F75" w:rsidP="002C4F75">
      <w:pPr>
        <w:pStyle w:val="ReportCover-Title"/>
        <w:jc w:val="center"/>
        <w:rPr>
          <w:rFonts w:asciiTheme="minorHAnsi" w:hAnsiTheme="minorHAnsi" w:cs="Arial"/>
          <w:color w:val="auto"/>
          <w:sz w:val="32"/>
          <w:szCs w:val="32"/>
        </w:rPr>
      </w:pPr>
      <w:r w:rsidRPr="000E7AEF">
        <w:rPr>
          <w:rFonts w:asciiTheme="minorHAnsi" w:hAnsiTheme="minorHAnsi" w:cs="Arial"/>
          <w:color w:val="auto"/>
          <w:sz w:val="32"/>
          <w:szCs w:val="32"/>
        </w:rPr>
        <w:t>OMB Information Collection Request</w:t>
      </w:r>
    </w:p>
    <w:p w14:paraId="011F09C7" w14:textId="77777777" w:rsidR="00060EC6" w:rsidRPr="00060EC6" w:rsidRDefault="00060EC6" w:rsidP="00060EC6">
      <w:pPr>
        <w:pStyle w:val="ReportCover-Title"/>
        <w:jc w:val="center"/>
        <w:rPr>
          <w:rFonts w:asciiTheme="minorHAnsi" w:hAnsiTheme="minorHAnsi" w:cs="Arial"/>
          <w:color w:val="auto"/>
          <w:sz w:val="32"/>
          <w:szCs w:val="32"/>
        </w:rPr>
      </w:pPr>
      <w:r w:rsidRPr="00060EC6">
        <w:rPr>
          <w:rFonts w:asciiTheme="minorHAnsi" w:hAnsiTheme="minorHAnsi" w:cs="Arial"/>
          <w:color w:val="auto"/>
          <w:sz w:val="32"/>
          <w:szCs w:val="32"/>
        </w:rPr>
        <w:t>0970-0356</w:t>
      </w:r>
    </w:p>
    <w:p w14:paraId="0FCBB912" w14:textId="77777777" w:rsidR="002C4F75" w:rsidRPr="000E7AEF" w:rsidRDefault="002C4F75" w:rsidP="002C4F75">
      <w:pPr>
        <w:rPr>
          <w:rFonts w:cs="Arial"/>
          <w:szCs w:val="22"/>
        </w:rPr>
      </w:pPr>
    </w:p>
    <w:p w14:paraId="1587A3DC" w14:textId="77777777" w:rsidR="002C4F75" w:rsidRPr="000E7AEF" w:rsidRDefault="002C4F75" w:rsidP="002C4F75">
      <w:pPr>
        <w:pStyle w:val="ReportCover-Date"/>
        <w:jc w:val="center"/>
        <w:rPr>
          <w:rFonts w:asciiTheme="minorHAnsi" w:hAnsiTheme="minorHAnsi" w:cs="Arial"/>
          <w:color w:val="auto"/>
        </w:rPr>
      </w:pPr>
    </w:p>
    <w:p w14:paraId="0FA5EADE" w14:textId="77777777" w:rsidR="002C4F75" w:rsidRPr="000E7AEF" w:rsidRDefault="002C4F75" w:rsidP="002C4F75">
      <w:pPr>
        <w:pStyle w:val="ReportCover-Date"/>
        <w:spacing w:after="360" w:line="240" w:lineRule="auto"/>
        <w:jc w:val="center"/>
        <w:rPr>
          <w:rFonts w:asciiTheme="minorHAnsi" w:hAnsiTheme="minorHAnsi" w:cs="Arial"/>
          <w:color w:val="auto"/>
          <w:sz w:val="48"/>
          <w:szCs w:val="48"/>
        </w:rPr>
      </w:pPr>
      <w:r w:rsidRPr="000E7AEF">
        <w:rPr>
          <w:rFonts w:asciiTheme="minorHAnsi" w:hAnsiTheme="minorHAnsi" w:cs="Arial"/>
          <w:color w:val="auto"/>
          <w:sz w:val="48"/>
          <w:szCs w:val="48"/>
        </w:rPr>
        <w:t>Supporting Statement</w:t>
      </w:r>
    </w:p>
    <w:p w14:paraId="6B30061C" w14:textId="77777777" w:rsidR="002C4F75" w:rsidRPr="000E7AEF" w:rsidRDefault="002C4F75" w:rsidP="002C4F75">
      <w:pPr>
        <w:pStyle w:val="ReportCover-Date"/>
        <w:spacing w:after="360" w:line="240" w:lineRule="auto"/>
        <w:jc w:val="center"/>
        <w:rPr>
          <w:rFonts w:asciiTheme="minorHAnsi" w:hAnsiTheme="minorHAnsi" w:cs="Arial"/>
          <w:color w:val="auto"/>
          <w:sz w:val="48"/>
          <w:szCs w:val="48"/>
        </w:rPr>
      </w:pPr>
      <w:r w:rsidRPr="000E7AEF">
        <w:rPr>
          <w:rFonts w:asciiTheme="minorHAnsi" w:hAnsiTheme="minorHAnsi" w:cs="Arial"/>
          <w:color w:val="auto"/>
          <w:sz w:val="48"/>
          <w:szCs w:val="48"/>
        </w:rPr>
        <w:t>Part A</w:t>
      </w:r>
    </w:p>
    <w:p w14:paraId="2C675A9B" w14:textId="17F41788" w:rsidR="002C4F75" w:rsidRPr="000E7AEF" w:rsidRDefault="00CC2470" w:rsidP="00B45C1A">
      <w:pPr>
        <w:pStyle w:val="ReportCover-Date"/>
        <w:spacing w:after="0"/>
        <w:jc w:val="center"/>
        <w:rPr>
          <w:rFonts w:asciiTheme="minorHAnsi" w:hAnsiTheme="minorHAnsi" w:cs="Arial"/>
          <w:color w:val="auto"/>
        </w:rPr>
      </w:pPr>
      <w:r>
        <w:rPr>
          <w:rFonts w:asciiTheme="minorHAnsi" w:hAnsiTheme="minorHAnsi" w:cs="Arial"/>
          <w:color w:val="auto"/>
        </w:rPr>
        <w:t xml:space="preserve">March </w:t>
      </w:r>
      <w:r w:rsidR="00494793">
        <w:rPr>
          <w:rFonts w:asciiTheme="minorHAnsi" w:hAnsiTheme="minorHAnsi" w:cs="Arial"/>
          <w:color w:val="auto"/>
        </w:rPr>
        <w:t>2017</w:t>
      </w:r>
    </w:p>
    <w:p w14:paraId="140BBEA8" w14:textId="77777777" w:rsidR="00B45C1A" w:rsidRPr="000E7AEF" w:rsidRDefault="00B45C1A" w:rsidP="00B45C1A">
      <w:pPr>
        <w:pStyle w:val="ReportCover-Date"/>
        <w:spacing w:after="0"/>
        <w:jc w:val="center"/>
        <w:rPr>
          <w:rFonts w:asciiTheme="minorHAnsi" w:hAnsiTheme="minorHAnsi" w:cs="Arial"/>
          <w:color w:val="auto"/>
        </w:rPr>
      </w:pPr>
    </w:p>
    <w:p w14:paraId="219DFE69" w14:textId="77777777" w:rsidR="00B45C1A" w:rsidRPr="000E7AEF" w:rsidRDefault="00B45C1A" w:rsidP="005C1633">
      <w:pPr>
        <w:pStyle w:val="Heading1"/>
        <w:jc w:val="center"/>
        <w:rPr>
          <w:rFonts w:asciiTheme="minorHAnsi" w:hAnsiTheme="minorHAnsi" w:cs="Arial"/>
        </w:rPr>
      </w:pPr>
    </w:p>
    <w:p w14:paraId="4535D1A5" w14:textId="77777777" w:rsidR="00B45C1A" w:rsidRPr="000E7AEF" w:rsidRDefault="00B45C1A" w:rsidP="00B45C1A">
      <w:pPr>
        <w:pStyle w:val="ReportCover-Date"/>
        <w:spacing w:after="0"/>
        <w:jc w:val="center"/>
        <w:rPr>
          <w:rFonts w:asciiTheme="minorHAnsi" w:hAnsiTheme="minorHAnsi" w:cs="Arial"/>
          <w:color w:val="auto"/>
        </w:rPr>
      </w:pPr>
    </w:p>
    <w:p w14:paraId="3CB87611" w14:textId="77777777" w:rsidR="00B45C1A" w:rsidRPr="000E7AEF" w:rsidRDefault="00B45C1A" w:rsidP="00B45C1A">
      <w:pPr>
        <w:pStyle w:val="ReportCover-Date"/>
        <w:spacing w:after="0"/>
        <w:jc w:val="center"/>
        <w:rPr>
          <w:rFonts w:asciiTheme="minorHAnsi" w:hAnsiTheme="minorHAnsi" w:cs="Arial"/>
          <w:color w:val="auto"/>
        </w:rPr>
      </w:pPr>
    </w:p>
    <w:p w14:paraId="0B963CD3" w14:textId="77777777" w:rsidR="00B45C1A" w:rsidRPr="000E7AEF" w:rsidRDefault="00B45C1A" w:rsidP="00384CCA">
      <w:pPr>
        <w:pStyle w:val="ReportCover-Date"/>
        <w:spacing w:after="0"/>
        <w:rPr>
          <w:rFonts w:asciiTheme="minorHAnsi" w:hAnsiTheme="minorHAnsi" w:cs="Arial"/>
          <w:color w:val="auto"/>
        </w:rPr>
      </w:pPr>
    </w:p>
    <w:p w14:paraId="1DA82B8B" w14:textId="77777777" w:rsidR="002C4F75" w:rsidRPr="000E7AEF" w:rsidRDefault="002C4F75" w:rsidP="002C4F75">
      <w:pPr>
        <w:jc w:val="center"/>
        <w:rPr>
          <w:rFonts w:cs="Arial"/>
        </w:rPr>
      </w:pPr>
    </w:p>
    <w:p w14:paraId="579B3282" w14:textId="77777777" w:rsidR="002C4F75" w:rsidRPr="000E7AEF" w:rsidRDefault="002C4F75" w:rsidP="002C4F75">
      <w:pPr>
        <w:jc w:val="center"/>
        <w:rPr>
          <w:rFonts w:cs="Arial"/>
        </w:rPr>
      </w:pPr>
      <w:r w:rsidRPr="000E7AEF">
        <w:rPr>
          <w:rFonts w:cs="Arial"/>
        </w:rPr>
        <w:t>Submitted By:</w:t>
      </w:r>
    </w:p>
    <w:p w14:paraId="77ED9C36" w14:textId="77777777" w:rsidR="002C4F75" w:rsidRPr="000E7AEF" w:rsidRDefault="002C4F75" w:rsidP="002C4F75">
      <w:pPr>
        <w:jc w:val="center"/>
        <w:rPr>
          <w:rFonts w:cs="Arial"/>
        </w:rPr>
      </w:pPr>
      <w:r w:rsidRPr="000E7AEF">
        <w:rPr>
          <w:rFonts w:cs="Arial"/>
        </w:rPr>
        <w:t>Office of Planning, Research and Evaluation</w:t>
      </w:r>
    </w:p>
    <w:p w14:paraId="718EAE8A" w14:textId="77777777" w:rsidR="002C4F75" w:rsidRPr="000E7AEF" w:rsidRDefault="002C4F75" w:rsidP="002C4F75">
      <w:pPr>
        <w:jc w:val="center"/>
        <w:rPr>
          <w:rFonts w:cs="Arial"/>
        </w:rPr>
      </w:pPr>
      <w:r w:rsidRPr="000E7AEF">
        <w:rPr>
          <w:rFonts w:cs="Arial"/>
        </w:rPr>
        <w:t xml:space="preserve">Administration for Children and Families </w:t>
      </w:r>
    </w:p>
    <w:p w14:paraId="09CAC5C5" w14:textId="77777777" w:rsidR="002C4F75" w:rsidRPr="000E7AEF" w:rsidRDefault="002C4F75" w:rsidP="002C4F75">
      <w:pPr>
        <w:jc w:val="center"/>
        <w:rPr>
          <w:rFonts w:cs="Arial"/>
        </w:rPr>
      </w:pPr>
      <w:r w:rsidRPr="000E7AEF">
        <w:rPr>
          <w:rFonts w:cs="Arial"/>
        </w:rPr>
        <w:t>U.S. Department of Health and Human Services</w:t>
      </w:r>
    </w:p>
    <w:p w14:paraId="4311BDC1" w14:textId="77777777" w:rsidR="002C4F75" w:rsidRPr="000E7AEF" w:rsidRDefault="002C4F75" w:rsidP="002C4F75">
      <w:pPr>
        <w:jc w:val="center"/>
        <w:rPr>
          <w:rFonts w:cs="Arial"/>
        </w:rPr>
      </w:pPr>
    </w:p>
    <w:p w14:paraId="1AA96EE1" w14:textId="0B943275" w:rsidR="002C4F75" w:rsidRPr="000E7AEF" w:rsidRDefault="00D15503" w:rsidP="002C4F75">
      <w:pPr>
        <w:jc w:val="center"/>
        <w:rPr>
          <w:rFonts w:cs="Arial"/>
        </w:rPr>
      </w:pPr>
      <w:r>
        <w:rPr>
          <w:rFonts w:cs="Arial"/>
        </w:rPr>
        <w:t>4</w:t>
      </w:r>
      <w:r w:rsidR="002C4F75" w:rsidRPr="000E7AEF">
        <w:rPr>
          <w:rFonts w:cs="Arial"/>
          <w:vertAlign w:val="superscript"/>
        </w:rPr>
        <w:t>th</w:t>
      </w:r>
      <w:r w:rsidR="002C4F75" w:rsidRPr="000E7AEF">
        <w:rPr>
          <w:rFonts w:cs="Arial"/>
        </w:rPr>
        <w:t xml:space="preserve"> Floor, </w:t>
      </w:r>
      <w:r>
        <w:rPr>
          <w:rFonts w:cs="Arial"/>
        </w:rPr>
        <w:t>Mary E. Switzer</w:t>
      </w:r>
      <w:r w:rsidR="002C4F75" w:rsidRPr="000E7AEF">
        <w:rPr>
          <w:rFonts w:cs="Arial"/>
        </w:rPr>
        <w:t xml:space="preserve"> Building</w:t>
      </w:r>
    </w:p>
    <w:p w14:paraId="710F7870" w14:textId="4F606933" w:rsidR="002C4F75" w:rsidRPr="000E7AEF" w:rsidRDefault="00D15503" w:rsidP="002C4F75">
      <w:pPr>
        <w:jc w:val="center"/>
        <w:rPr>
          <w:rFonts w:cs="Arial"/>
        </w:rPr>
      </w:pPr>
      <w:r>
        <w:rPr>
          <w:rFonts w:cs="Arial"/>
        </w:rPr>
        <w:t>330 C Street</w:t>
      </w:r>
      <w:r w:rsidR="002C4F75" w:rsidRPr="000E7AEF">
        <w:rPr>
          <w:rFonts w:cs="Arial"/>
        </w:rPr>
        <w:t>, SW</w:t>
      </w:r>
    </w:p>
    <w:p w14:paraId="798C648F" w14:textId="40B0BA4B" w:rsidR="00384CCA" w:rsidRDefault="002C4F75" w:rsidP="00E7529F">
      <w:pPr>
        <w:jc w:val="center"/>
        <w:rPr>
          <w:rFonts w:cs="Arial"/>
        </w:rPr>
      </w:pPr>
      <w:r w:rsidRPr="000E7AEF">
        <w:rPr>
          <w:rFonts w:cs="Arial"/>
        </w:rPr>
        <w:t xml:space="preserve">Washington, D.C. </w:t>
      </w:r>
      <w:r w:rsidR="00D15503" w:rsidRPr="000E7AEF">
        <w:rPr>
          <w:rFonts w:cs="Arial"/>
        </w:rPr>
        <w:t>20</w:t>
      </w:r>
      <w:r w:rsidR="00D15503">
        <w:rPr>
          <w:rFonts w:cs="Arial"/>
        </w:rPr>
        <w:t>201</w:t>
      </w:r>
    </w:p>
    <w:p w14:paraId="19FAB62A" w14:textId="77777777" w:rsidR="00384CCA" w:rsidRDefault="00384CCA" w:rsidP="00E7529F">
      <w:pPr>
        <w:jc w:val="center"/>
        <w:rPr>
          <w:rFonts w:cs="Arial"/>
        </w:rPr>
      </w:pPr>
    </w:p>
    <w:p w14:paraId="787AC7CF" w14:textId="36064B7A" w:rsidR="00764536" w:rsidRDefault="00384CCA" w:rsidP="00764536">
      <w:pPr>
        <w:jc w:val="center"/>
      </w:pPr>
      <w:r>
        <w:rPr>
          <w:rFonts w:cs="Arial"/>
        </w:rPr>
        <w:t>Project Officer: Ivelisse Martinez-Beck</w:t>
      </w:r>
    </w:p>
    <w:p w14:paraId="67F9BF96" w14:textId="47E66877" w:rsidR="00E7529F" w:rsidRDefault="00E7529F" w:rsidP="00E7529F">
      <w:pPr>
        <w:sectPr w:rsidR="00E7529F" w:rsidSect="00764536">
          <w:headerReference w:type="default" r:id="rId9"/>
          <w:footerReference w:type="default" r:id="rId10"/>
          <w:pgSz w:w="12240" w:h="15840"/>
          <w:pgMar w:top="1440" w:right="1440" w:bottom="1440" w:left="1440" w:header="720" w:footer="720" w:gutter="0"/>
          <w:cols w:space="720"/>
          <w:titlePg/>
          <w:docGrid w:linePitch="360"/>
        </w:sectPr>
      </w:pPr>
    </w:p>
    <w:p w14:paraId="7337C185" w14:textId="0C0C6D1C" w:rsidR="00945CD6" w:rsidRPr="000E7AEF" w:rsidRDefault="00292B70" w:rsidP="002A3D4A">
      <w:pPr>
        <w:pStyle w:val="OMB1"/>
        <w:outlineLvl w:val="0"/>
      </w:pPr>
      <w:bookmarkStart w:id="4" w:name="_Toc469922489"/>
      <w:r w:rsidRPr="000E7AEF">
        <w:lastRenderedPageBreak/>
        <w:t xml:space="preserve">A1. </w:t>
      </w:r>
      <w:r w:rsidR="00945CD6" w:rsidRPr="000E7AEF">
        <w:t>Necessity for the Data Collection</w:t>
      </w:r>
      <w:bookmarkEnd w:id="4"/>
    </w:p>
    <w:p w14:paraId="0F126B46" w14:textId="0C548A11" w:rsidR="00060EC6" w:rsidRPr="00984D5E" w:rsidRDefault="008C32B7" w:rsidP="00060EC6">
      <w:r w:rsidRPr="000E7AEF">
        <w:t xml:space="preserve">The Office of Planning, Research and Evaluation (OPRE), Administration for Children and Families (ACF), U.S. Department of Health and Human Services (HHS), </w:t>
      </w:r>
      <w:r w:rsidR="00D15503" w:rsidRPr="000E7AEF">
        <w:rPr>
          <w:rFonts w:cs="TimesNewRoman"/>
        </w:rPr>
        <w:t xml:space="preserve">seeks approval to conduct discussions with </w:t>
      </w:r>
      <w:r w:rsidR="005934A4">
        <w:rPr>
          <w:rFonts w:cs="TimesNewRoman"/>
        </w:rPr>
        <w:t xml:space="preserve">a convenience sample of </w:t>
      </w:r>
      <w:r w:rsidR="00060EC6">
        <w:rPr>
          <w:rFonts w:cs="TimesNewRoman"/>
        </w:rPr>
        <w:t xml:space="preserve">Head Start and child care staff in order to </w:t>
      </w:r>
      <w:r w:rsidR="00D15503" w:rsidRPr="000E7AEF">
        <w:rPr>
          <w:rFonts w:cs="TimesNewRoman"/>
        </w:rPr>
        <w:t xml:space="preserve">inform </w:t>
      </w:r>
      <w:r w:rsidR="001C1646">
        <w:rPr>
          <w:rFonts w:cs="TimesNewRoman"/>
        </w:rPr>
        <w:t>the development</w:t>
      </w:r>
      <w:r w:rsidR="00060EC6">
        <w:rPr>
          <w:rFonts w:cs="TimesNewRoman"/>
        </w:rPr>
        <w:t xml:space="preserve"> of </w:t>
      </w:r>
      <w:r w:rsidR="00D15503">
        <w:rPr>
          <w:rFonts w:cs="TimesNewRoman"/>
        </w:rPr>
        <w:t xml:space="preserve">a </w:t>
      </w:r>
      <w:r w:rsidR="00D15503" w:rsidRPr="000E7AEF">
        <w:rPr>
          <w:rFonts w:cs="TimesNewRoman"/>
        </w:rPr>
        <w:t>research</w:t>
      </w:r>
      <w:r w:rsidR="00D15503">
        <w:rPr>
          <w:rFonts w:cs="TimesNewRoman"/>
        </w:rPr>
        <w:t xml:space="preserve"> project entitled </w:t>
      </w:r>
      <w:r w:rsidR="00D15503" w:rsidRPr="00060EC6">
        <w:rPr>
          <w:rFonts w:cs="TimesNewRoman"/>
          <w:i/>
        </w:rPr>
        <w:t>Crea</w:t>
      </w:r>
      <w:r w:rsidR="00060EC6" w:rsidRPr="00060EC6">
        <w:rPr>
          <w:rFonts w:cs="TimesNewRoman"/>
          <w:i/>
        </w:rPr>
        <w:t>ting a Culture of Learning</w:t>
      </w:r>
      <w:r w:rsidR="00060EC6">
        <w:rPr>
          <w:rFonts w:cs="TimesNewRoman"/>
        </w:rPr>
        <w:t xml:space="preserve"> (CCL</w:t>
      </w:r>
      <w:r w:rsidR="00D15503">
        <w:rPr>
          <w:rFonts w:cs="TimesNewRoman"/>
        </w:rPr>
        <w:t xml:space="preserve"> Project</w:t>
      </w:r>
      <w:r w:rsidR="00060EC6">
        <w:rPr>
          <w:rFonts w:cs="TimesNewRoman"/>
        </w:rPr>
        <w:t>)</w:t>
      </w:r>
      <w:r w:rsidR="00D15503">
        <w:rPr>
          <w:rFonts w:cs="TimesNewRoman"/>
        </w:rPr>
        <w:t xml:space="preserve">. </w:t>
      </w:r>
      <w:r w:rsidR="00060EC6">
        <w:rPr>
          <w:rFonts w:cs="TimesNewRoman"/>
        </w:rPr>
        <w:t xml:space="preserve"> </w:t>
      </w:r>
      <w:r w:rsidR="00FA1BB6">
        <w:rPr>
          <w:rFonts w:cs="TimesNewRoman"/>
        </w:rPr>
        <w:t xml:space="preserve">The </w:t>
      </w:r>
      <w:r w:rsidR="0006705D">
        <w:rPr>
          <w:rFonts w:cs="TimesNewRoman"/>
        </w:rPr>
        <w:t xml:space="preserve">goal of the CCL Project is to study the feasibility of </w:t>
      </w:r>
      <w:r w:rsidR="00FA1BB6">
        <w:rPr>
          <w:rFonts w:cs="TimesNewRoman"/>
        </w:rPr>
        <w:t>supporting children’s social and emotional learning using a continuous quality improvement methodology called the Breakthrough Series Collaborative</w:t>
      </w:r>
      <w:r w:rsidR="0006705D">
        <w:rPr>
          <w:rFonts w:cs="TimesNewRoman"/>
        </w:rPr>
        <w:t xml:space="preserve"> (BSC)</w:t>
      </w:r>
      <w:r w:rsidR="00FA1BB6">
        <w:rPr>
          <w:rFonts w:cs="TimesNewRoman"/>
        </w:rPr>
        <w:t xml:space="preserve">. </w:t>
      </w:r>
      <w:r w:rsidR="00060EC6">
        <w:rPr>
          <w:rFonts w:cs="TimesNewRoman"/>
        </w:rPr>
        <w:t>Under</w:t>
      </w:r>
      <w:r w:rsidR="00803899" w:rsidRPr="000E7AEF">
        <w:rPr>
          <w:rFonts w:cs="TimesNewRoman"/>
        </w:rPr>
        <w:t xml:space="preserve"> this generic clearance, </w:t>
      </w:r>
      <w:r w:rsidRPr="000E7AEF">
        <w:rPr>
          <w:rFonts w:cs="TimesNewRoman"/>
        </w:rPr>
        <w:t xml:space="preserve">OPRE </w:t>
      </w:r>
      <w:r w:rsidR="00CA1991">
        <w:rPr>
          <w:rFonts w:cs="TimesNewRoman"/>
        </w:rPr>
        <w:t>will</w:t>
      </w:r>
      <w:r w:rsidRPr="000E7AEF">
        <w:rPr>
          <w:rFonts w:cs="TimesNewRoman"/>
        </w:rPr>
        <w:t xml:space="preserve"> </w:t>
      </w:r>
      <w:r w:rsidR="00CA1991">
        <w:rPr>
          <w:rFonts w:cs="TimesNewRoman"/>
        </w:rPr>
        <w:t>collect information from</w:t>
      </w:r>
      <w:r w:rsidRPr="000E7AEF">
        <w:rPr>
          <w:rFonts w:cs="TimesNewRoman"/>
        </w:rPr>
        <w:t xml:space="preserve"> </w:t>
      </w:r>
      <w:r w:rsidR="00B37D32">
        <w:rPr>
          <w:rFonts w:cs="TimesNewRoman"/>
        </w:rPr>
        <w:t>early childhood care and education</w:t>
      </w:r>
      <w:r w:rsidR="00F91765" w:rsidRPr="000E7AEF">
        <w:rPr>
          <w:rFonts w:cs="TimesNewRoman"/>
        </w:rPr>
        <w:t xml:space="preserve"> providers to</w:t>
      </w:r>
      <w:r w:rsidR="00FA1BB6">
        <w:rPr>
          <w:rFonts w:cs="TimesNewRoman"/>
        </w:rPr>
        <w:t xml:space="preserve"> better understand the </w:t>
      </w:r>
      <w:r w:rsidR="0006705D">
        <w:rPr>
          <w:rFonts w:cs="TimesNewRoman"/>
        </w:rPr>
        <w:t xml:space="preserve">capacity of programs to implement the BSC </w:t>
      </w:r>
      <w:r w:rsidR="00CC3CAA">
        <w:rPr>
          <w:rFonts w:cs="TimesNewRoman"/>
        </w:rPr>
        <w:t>and engage actively in the accompanying research protocols</w:t>
      </w:r>
      <w:r w:rsidR="00FA1BB6">
        <w:rPr>
          <w:rFonts w:cs="TimesNewRoman"/>
        </w:rPr>
        <w:t>.</w:t>
      </w:r>
      <w:r w:rsidR="00F91765" w:rsidRPr="000E7AEF">
        <w:rPr>
          <w:rFonts w:cs="TimesNewRoman"/>
        </w:rPr>
        <w:t xml:space="preserve"> </w:t>
      </w:r>
      <w:r w:rsidRPr="000E7AEF">
        <w:rPr>
          <w:rFonts w:cs="TimesNewRoman"/>
        </w:rPr>
        <w:t xml:space="preserve">OPRE </w:t>
      </w:r>
      <w:r w:rsidR="00525EA2">
        <w:rPr>
          <w:rFonts w:cs="TimesNewRoman"/>
        </w:rPr>
        <w:t>proposes</w:t>
      </w:r>
      <w:r w:rsidR="00525EA2" w:rsidRPr="000E7AEF">
        <w:rPr>
          <w:rFonts w:cs="TimesNewRoman"/>
        </w:rPr>
        <w:t xml:space="preserve"> </w:t>
      </w:r>
      <w:r w:rsidRPr="000E7AEF">
        <w:rPr>
          <w:rFonts w:cs="TimesNewRoman"/>
        </w:rPr>
        <w:t>using a variety of techniques including semi-structured discussions</w:t>
      </w:r>
      <w:r w:rsidR="00060EC6">
        <w:rPr>
          <w:rFonts w:cs="TimesNewRoman"/>
        </w:rPr>
        <w:t xml:space="preserve"> </w:t>
      </w:r>
      <w:r w:rsidRPr="000E7AEF">
        <w:rPr>
          <w:rFonts w:cs="TimesNewRoman"/>
        </w:rPr>
        <w:t xml:space="preserve">and telephone or in-person interviews, in order to </w:t>
      </w:r>
      <w:r w:rsidR="00060EC6">
        <w:rPr>
          <w:rFonts w:cs="TimesNewRoman"/>
        </w:rPr>
        <w:t>achieve</w:t>
      </w:r>
      <w:r w:rsidR="00803899" w:rsidRPr="000E7AEF">
        <w:rPr>
          <w:rFonts w:cs="TimesNewRoman"/>
        </w:rPr>
        <w:t xml:space="preserve"> these goals</w:t>
      </w:r>
      <w:r w:rsidRPr="000E7AEF">
        <w:rPr>
          <w:rFonts w:cs="TimesNewRoman"/>
        </w:rPr>
        <w:t>.</w:t>
      </w:r>
      <w:r w:rsidR="00D15503">
        <w:rPr>
          <w:rFonts w:cs="TimesNewRoman"/>
        </w:rPr>
        <w:t xml:space="preserve"> </w:t>
      </w:r>
      <w:r w:rsidR="00060EC6">
        <w:t xml:space="preserve">The information collected will be used for internal purposes only. </w:t>
      </w:r>
      <w:r w:rsidR="00060EC6" w:rsidRPr="00BB244A">
        <w:t>Permission to collect information for this limited purpose is requested under ACF’s generic clearance for Formative Data Collection for Informing Policy Research (OMB Number 0970-0356).</w:t>
      </w:r>
      <w:r w:rsidR="005E3754" w:rsidRPr="005E3754">
        <w:rPr>
          <w:rFonts w:cs="TimesNewRoman"/>
        </w:rPr>
        <w:t xml:space="preserve"> These activities fulfill the following goals of the formative generic: (1) inform the development of OPRE research,</w:t>
      </w:r>
      <w:r w:rsidR="00EC2A48">
        <w:rPr>
          <w:rFonts w:cs="TimesNewRoman"/>
        </w:rPr>
        <w:t xml:space="preserve"> and</w:t>
      </w:r>
      <w:r w:rsidR="005E3754" w:rsidRPr="005E3754">
        <w:rPr>
          <w:rFonts w:cs="TimesNewRoman"/>
        </w:rPr>
        <w:t xml:space="preserve"> (2) maintain a research agenda that is rigorous and relevant.</w:t>
      </w:r>
      <w:r w:rsidR="005E3754" w:rsidRPr="000E7AEF">
        <w:rPr>
          <w:rFonts w:cs="TimesNewRoman"/>
        </w:rPr>
        <w:t xml:space="preserve"> </w:t>
      </w:r>
    </w:p>
    <w:p w14:paraId="0AB36C36" w14:textId="77777777" w:rsidR="008C32B7" w:rsidRPr="000E7AEF" w:rsidRDefault="008C32B7" w:rsidP="00494793"/>
    <w:p w14:paraId="204B0632" w14:textId="77777777" w:rsidR="00984CA2" w:rsidRPr="000E7AEF" w:rsidRDefault="00984CA2" w:rsidP="002024DE">
      <w:pPr>
        <w:pStyle w:val="OMB2"/>
        <w:outlineLvl w:val="1"/>
      </w:pPr>
      <w:bookmarkStart w:id="5" w:name="_Toc469922490"/>
      <w:r w:rsidRPr="000E7AEF">
        <w:t>Study Background</w:t>
      </w:r>
      <w:bookmarkEnd w:id="5"/>
      <w:r w:rsidRPr="000E7AEF">
        <w:t xml:space="preserve"> </w:t>
      </w:r>
    </w:p>
    <w:p w14:paraId="4336E288" w14:textId="7F7A9454" w:rsidR="00A24B04" w:rsidRDefault="007F032D" w:rsidP="00A24B04">
      <w:pPr>
        <w:autoSpaceDE w:val="0"/>
        <w:autoSpaceDN w:val="0"/>
        <w:adjustRightInd w:val="0"/>
        <w:rPr>
          <w:rFonts w:cs="TimesNewRoman"/>
        </w:rPr>
      </w:pPr>
      <w:r>
        <w:t>A challenge for current efforts to improve the quality of early care and education (ECE) programs is to produce sustained changes</w:t>
      </w:r>
      <w:r w:rsidR="00E76CA9">
        <w:t xml:space="preserve"> in practices that support positive outcomes for children and families</w:t>
      </w:r>
      <w:r>
        <w:t xml:space="preserve">. </w:t>
      </w:r>
      <w:r w:rsidR="00A24B04" w:rsidRPr="00A24B04">
        <w:rPr>
          <w:rFonts w:cs="TimesNewRoman"/>
        </w:rPr>
        <w:t>The field is seeking</w:t>
      </w:r>
      <w:r w:rsidR="00A24B04">
        <w:rPr>
          <w:rFonts w:cs="TimesNewRoman"/>
        </w:rPr>
        <w:t xml:space="preserve"> </w:t>
      </w:r>
      <w:r w:rsidR="00A24B04" w:rsidRPr="00A24B04">
        <w:rPr>
          <w:rFonts w:cs="TimesNewRoman"/>
        </w:rPr>
        <w:t>innovative models that can be tailored for and tested in</w:t>
      </w:r>
      <w:r w:rsidR="00A24B04">
        <w:rPr>
          <w:rFonts w:cs="TimesNewRoman"/>
        </w:rPr>
        <w:t xml:space="preserve"> </w:t>
      </w:r>
      <w:r w:rsidR="00A24B04" w:rsidRPr="00A24B04">
        <w:rPr>
          <w:rFonts w:cs="TimesNewRoman"/>
        </w:rPr>
        <w:t>ECE systems. The Culture of Continuous Learning (CCL)</w:t>
      </w:r>
      <w:r w:rsidR="00A24B04">
        <w:rPr>
          <w:rFonts w:cs="TimesNewRoman"/>
        </w:rPr>
        <w:t xml:space="preserve"> </w:t>
      </w:r>
      <w:r w:rsidR="00A24B04" w:rsidRPr="00A24B04">
        <w:rPr>
          <w:rFonts w:cs="TimesNewRoman"/>
        </w:rPr>
        <w:t>Project, funded by the Administration for Children and</w:t>
      </w:r>
      <w:r w:rsidR="00A24B04">
        <w:rPr>
          <w:rFonts w:cs="TimesNewRoman"/>
        </w:rPr>
        <w:t xml:space="preserve"> </w:t>
      </w:r>
      <w:r w:rsidR="00A24B04" w:rsidRPr="00A24B04">
        <w:rPr>
          <w:rFonts w:cs="TimesNewRoman"/>
        </w:rPr>
        <w:t>Families, Office of Planning, Research and Evaluation, will</w:t>
      </w:r>
      <w:r w:rsidR="00A24B04">
        <w:rPr>
          <w:rFonts w:cs="TimesNewRoman"/>
        </w:rPr>
        <w:t xml:space="preserve"> </w:t>
      </w:r>
      <w:r w:rsidR="00A24B04" w:rsidRPr="00A24B04">
        <w:rPr>
          <w:rFonts w:cs="TimesNewRoman"/>
        </w:rPr>
        <w:t xml:space="preserve">assess the feasibility of implementing </w:t>
      </w:r>
      <w:r w:rsidR="0044098C">
        <w:rPr>
          <w:rFonts w:cs="TimesNewRoman"/>
        </w:rPr>
        <w:t xml:space="preserve">and evaluating </w:t>
      </w:r>
      <w:r w:rsidR="00A24B04" w:rsidRPr="00A24B04">
        <w:rPr>
          <w:rFonts w:cs="TimesNewRoman"/>
        </w:rPr>
        <w:t>a Breakthrough</w:t>
      </w:r>
      <w:r w:rsidR="00A24B04">
        <w:rPr>
          <w:rFonts w:cs="TimesNewRoman"/>
        </w:rPr>
        <w:t xml:space="preserve"> </w:t>
      </w:r>
      <w:r w:rsidR="00A24B04" w:rsidRPr="00A24B04">
        <w:rPr>
          <w:rFonts w:cs="TimesNewRoman"/>
        </w:rPr>
        <w:t>Series Collaborative</w:t>
      </w:r>
      <w:r w:rsidR="0037159C">
        <w:rPr>
          <w:rFonts w:cs="TimesNewRoman"/>
        </w:rPr>
        <w:t xml:space="preserve"> (BSC)</w:t>
      </w:r>
      <w:r w:rsidR="00A24B04" w:rsidRPr="00A24B04">
        <w:rPr>
          <w:rFonts w:cs="TimesNewRoman"/>
        </w:rPr>
        <w:t xml:space="preserve"> in child care and Head Start settings.</w:t>
      </w:r>
    </w:p>
    <w:p w14:paraId="1C60E2AE" w14:textId="77777777" w:rsidR="00A24B04" w:rsidRDefault="00A24B04" w:rsidP="00A24B04">
      <w:pPr>
        <w:autoSpaceDE w:val="0"/>
        <w:autoSpaceDN w:val="0"/>
        <w:adjustRightInd w:val="0"/>
        <w:rPr>
          <w:rFonts w:cs="TimesNewRoman"/>
        </w:rPr>
      </w:pPr>
    </w:p>
    <w:p w14:paraId="793976F0" w14:textId="5400B784" w:rsidR="00F61929" w:rsidRDefault="00005DE8" w:rsidP="00A24B04">
      <w:pPr>
        <w:autoSpaceDE w:val="0"/>
        <w:autoSpaceDN w:val="0"/>
        <w:adjustRightInd w:val="0"/>
        <w:rPr>
          <w:rFonts w:cs="TimesNewRoman"/>
        </w:rPr>
      </w:pPr>
      <w:r>
        <w:rPr>
          <w:rFonts w:cs="TimesNewRoman"/>
        </w:rPr>
        <w:t xml:space="preserve">The </w:t>
      </w:r>
      <w:r w:rsidR="0037159C">
        <w:rPr>
          <w:rFonts w:cs="TimesNewRoman"/>
        </w:rPr>
        <w:t>BSC</w:t>
      </w:r>
      <w:r>
        <w:rPr>
          <w:rFonts w:cs="TimesNewRoman"/>
        </w:rPr>
        <w:t xml:space="preserve"> differs from other ECE quality improvement initiatives. Rather than supporting changes in individual practice through a single coach or consultant, it supports change by building capacity and recognizing leaders across an organization. The model promotes change through collaborative teams that include staff (at all levels) and families; it engages teams in problem-solving that takes local context into account. A goal is to spread and sustain change in the use of evidence-based practices. The </w:t>
      </w:r>
      <w:r w:rsidR="003320C6">
        <w:rPr>
          <w:rFonts w:cs="TimesNewRoman"/>
        </w:rPr>
        <w:t xml:space="preserve">BSC </w:t>
      </w:r>
      <w:r>
        <w:rPr>
          <w:rFonts w:cs="TimesNewRoman"/>
        </w:rPr>
        <w:t xml:space="preserve">model has supported practice and process improvements in the health, child trauma, and child welfare fields, but has not been widely tested in ECE. </w:t>
      </w:r>
    </w:p>
    <w:p w14:paraId="2C94E008" w14:textId="77777777" w:rsidR="00005DE8" w:rsidRDefault="00005DE8" w:rsidP="00F61929">
      <w:pPr>
        <w:autoSpaceDE w:val="0"/>
        <w:autoSpaceDN w:val="0"/>
        <w:adjustRightInd w:val="0"/>
        <w:rPr>
          <w:rFonts w:cs="TimesNewRoman"/>
        </w:rPr>
      </w:pPr>
    </w:p>
    <w:p w14:paraId="271378ED" w14:textId="7D738190" w:rsidR="00B81EC4" w:rsidRDefault="00FD7215" w:rsidP="00B81EC4">
      <w:r>
        <w:rPr>
          <w:noProof/>
        </w:rPr>
        <w:t xml:space="preserve">The data collected under this formative generic clearance will inform the development of the main phase of the CCL project. </w:t>
      </w:r>
      <w:r w:rsidR="00495D06">
        <w:rPr>
          <w:noProof/>
        </w:rPr>
        <w:t xml:space="preserve">During the main phase of the </w:t>
      </w:r>
      <w:r w:rsidR="0058085C">
        <w:rPr>
          <w:noProof/>
        </w:rPr>
        <w:t>CCL</w:t>
      </w:r>
      <w:r w:rsidR="00005DE8">
        <w:rPr>
          <w:noProof/>
        </w:rPr>
        <w:t xml:space="preserve"> project</w:t>
      </w:r>
      <w:r w:rsidR="00CA7376">
        <w:rPr>
          <w:noProof/>
        </w:rPr>
        <w:t>,</w:t>
      </w:r>
      <w:r w:rsidR="00005DE8">
        <w:rPr>
          <w:noProof/>
        </w:rPr>
        <w:t xml:space="preserve"> staff </w:t>
      </w:r>
      <w:r w:rsidR="00922285">
        <w:rPr>
          <w:noProof/>
        </w:rPr>
        <w:t xml:space="preserve">(i.e., OPRE’s contractors) </w:t>
      </w:r>
      <w:r w:rsidR="00005DE8">
        <w:rPr>
          <w:noProof/>
        </w:rPr>
        <w:t xml:space="preserve">will implement </w:t>
      </w:r>
      <w:r w:rsidR="00CF69AD">
        <w:rPr>
          <w:noProof/>
        </w:rPr>
        <w:t xml:space="preserve">the </w:t>
      </w:r>
      <w:r w:rsidR="003320C6">
        <w:rPr>
          <w:noProof/>
        </w:rPr>
        <w:t>BSC</w:t>
      </w:r>
      <w:r w:rsidR="00005DE8">
        <w:rPr>
          <w:rFonts w:cs="Calibri"/>
        </w:rPr>
        <w:t xml:space="preserve"> with ECE programs</w:t>
      </w:r>
      <w:r w:rsidR="0058085C">
        <w:rPr>
          <w:rFonts w:cs="Calibri"/>
        </w:rPr>
        <w:t xml:space="preserve"> </w:t>
      </w:r>
      <w:r w:rsidR="001135CF">
        <w:rPr>
          <w:rFonts w:cs="Calibri"/>
        </w:rPr>
        <w:t>in a sample of convenience</w:t>
      </w:r>
      <w:r w:rsidR="00005DE8">
        <w:rPr>
          <w:rFonts w:cs="Calibri"/>
        </w:rPr>
        <w:t xml:space="preserve"> </w:t>
      </w:r>
      <w:r w:rsidR="00005DE8">
        <w:rPr>
          <w:rFonts w:cs="Calibri"/>
        </w:rPr>
        <w:t>for approximately 12</w:t>
      </w:r>
      <w:r w:rsidR="0058085C">
        <w:rPr>
          <w:rFonts w:cs="Calibri"/>
        </w:rPr>
        <w:t>-15</w:t>
      </w:r>
      <w:r w:rsidR="00005DE8">
        <w:rPr>
          <w:rFonts w:cs="Calibri"/>
        </w:rPr>
        <w:t xml:space="preserve"> months. </w:t>
      </w:r>
      <w:r w:rsidR="0058085C">
        <w:rPr>
          <w:rFonts w:cs="Calibri"/>
        </w:rPr>
        <w:t xml:space="preserve">The </w:t>
      </w:r>
      <w:r w:rsidR="003320C6">
        <w:rPr>
          <w:rFonts w:cs="Calibri"/>
        </w:rPr>
        <w:t xml:space="preserve">BSC </w:t>
      </w:r>
      <w:r w:rsidR="0058085C">
        <w:rPr>
          <w:rFonts w:cs="Calibri"/>
        </w:rPr>
        <w:t xml:space="preserve">will focus on improvements in practices to support children’s social and emotional learning. </w:t>
      </w:r>
      <w:r w:rsidR="00005DE8">
        <w:rPr>
          <w:rFonts w:cs="Calibri"/>
        </w:rPr>
        <w:t xml:space="preserve">ECE programs </w:t>
      </w:r>
      <w:r w:rsidR="001135CF">
        <w:rPr>
          <w:rFonts w:cs="Calibri"/>
        </w:rPr>
        <w:t xml:space="preserve">in a constrained geographic area </w:t>
      </w:r>
      <w:r w:rsidR="00005DE8">
        <w:rPr>
          <w:rFonts w:cs="Calibri"/>
        </w:rPr>
        <w:t>will apply to participate</w:t>
      </w:r>
      <w:r w:rsidR="005D1C54">
        <w:rPr>
          <w:rFonts w:cs="Calibri"/>
        </w:rPr>
        <w:t xml:space="preserve"> in the BSC</w:t>
      </w:r>
      <w:r w:rsidR="00005DE8">
        <w:rPr>
          <w:rFonts w:cs="Calibri"/>
        </w:rPr>
        <w:t>, and project staff will identify team members within each Head Start or child care program to participate in Collaborative</w:t>
      </w:r>
      <w:r w:rsidR="003320C6">
        <w:rPr>
          <w:rFonts w:cs="Calibri"/>
        </w:rPr>
        <w:t xml:space="preserve"> Learning Teams</w:t>
      </w:r>
      <w:r w:rsidR="00005DE8">
        <w:rPr>
          <w:rFonts w:cs="Calibri"/>
        </w:rPr>
        <w:t xml:space="preserve">. Team members will attend three </w:t>
      </w:r>
      <w:r w:rsidR="00A35A20">
        <w:rPr>
          <w:rFonts w:cs="Calibri"/>
        </w:rPr>
        <w:t xml:space="preserve">or four </w:t>
      </w:r>
      <w:r w:rsidR="00005DE8">
        <w:rPr>
          <w:rFonts w:cs="Calibri"/>
        </w:rPr>
        <w:t xml:space="preserve">in-person learning sessions with content experts and quality improvement </w:t>
      </w:r>
      <w:r w:rsidR="00005DE8">
        <w:rPr>
          <w:rFonts w:cs="Calibri"/>
        </w:rPr>
        <w:lastRenderedPageBreak/>
        <w:t xml:space="preserve">specialists over the course of the year. Between each learning session, teams will test the practices and processes they identify primarily using </w:t>
      </w:r>
      <w:r w:rsidR="003320C6">
        <w:rPr>
          <w:rFonts w:cs="Calibri"/>
        </w:rPr>
        <w:t xml:space="preserve">a </w:t>
      </w:r>
      <w:r w:rsidR="00005DE8">
        <w:rPr>
          <w:rFonts w:cs="Calibri"/>
        </w:rPr>
        <w:t xml:space="preserve">plan-do-study-act (PDSA) </w:t>
      </w:r>
      <w:r w:rsidR="003320C6">
        <w:rPr>
          <w:rFonts w:cs="Calibri"/>
        </w:rPr>
        <w:t xml:space="preserve">improvement cycle approach to test small adjustments in practice </w:t>
      </w:r>
      <w:r w:rsidR="00005DE8">
        <w:rPr>
          <w:rFonts w:cs="Calibri"/>
        </w:rPr>
        <w:t>as they strive to implement, spread, and sustain the improvements across their organization.</w:t>
      </w:r>
      <w:r w:rsidR="00495D06">
        <w:rPr>
          <w:noProof/>
        </w:rPr>
        <w:t xml:space="preserve"> </w:t>
      </w:r>
      <w:r w:rsidR="00A35A20">
        <w:rPr>
          <w:noProof/>
        </w:rPr>
        <w:t>CCL</w:t>
      </w:r>
      <w:r w:rsidR="00005DE8">
        <w:rPr>
          <w:noProof/>
        </w:rPr>
        <w:t xml:space="preserve"> project staff</w:t>
      </w:r>
      <w:r w:rsidR="00005DE8">
        <w:rPr>
          <w:rFonts w:cs="Calibri"/>
        </w:rPr>
        <w:t xml:space="preserve"> </w:t>
      </w:r>
      <w:r w:rsidR="003320C6">
        <w:rPr>
          <w:rFonts w:cs="Calibri"/>
        </w:rPr>
        <w:t xml:space="preserve">in charge of evaluation of the BSC model </w:t>
      </w:r>
      <w:r w:rsidR="00005DE8">
        <w:rPr>
          <w:rFonts w:cs="Calibri"/>
        </w:rPr>
        <w:t xml:space="preserve">will gather information throughout </w:t>
      </w:r>
      <w:r w:rsidR="003320C6">
        <w:rPr>
          <w:rFonts w:cs="Calibri"/>
        </w:rPr>
        <w:t xml:space="preserve">the </w:t>
      </w:r>
      <w:r w:rsidR="00005DE8">
        <w:rPr>
          <w:rFonts w:cs="Calibri"/>
        </w:rPr>
        <w:t xml:space="preserve">implementation of </w:t>
      </w:r>
      <w:r w:rsidR="00CF69AD">
        <w:rPr>
          <w:rFonts w:cs="Calibri"/>
        </w:rPr>
        <w:t xml:space="preserve">the </w:t>
      </w:r>
      <w:r w:rsidR="003320C6">
        <w:rPr>
          <w:rFonts w:cs="Calibri"/>
        </w:rPr>
        <w:t xml:space="preserve">BSC </w:t>
      </w:r>
      <w:r w:rsidR="00005DE8">
        <w:rPr>
          <w:rFonts w:cs="Calibri"/>
        </w:rPr>
        <w:t xml:space="preserve">to assess the feasibility and potential effectiveness of the model. Research questions will address </w:t>
      </w:r>
      <w:r w:rsidR="003320C6">
        <w:rPr>
          <w:rFonts w:cs="Calibri"/>
        </w:rPr>
        <w:t xml:space="preserve">both implementation </w:t>
      </w:r>
      <w:r w:rsidR="00A54D51">
        <w:rPr>
          <w:rFonts w:cs="Calibri"/>
        </w:rPr>
        <w:t xml:space="preserve">processes </w:t>
      </w:r>
      <w:r w:rsidR="003320C6">
        <w:rPr>
          <w:rFonts w:cs="Calibri"/>
        </w:rPr>
        <w:t xml:space="preserve">and proximal outcomes of the BSC model. </w:t>
      </w:r>
      <w:r w:rsidR="00005DE8">
        <w:t xml:space="preserve">Findings will inform quality rating and improvement systems, child care and Head Start training and technical assistance, and professional development for early care and education. </w:t>
      </w:r>
      <w:r w:rsidR="00B81EC4">
        <w:t xml:space="preserve">OPRE will also use this information to inform future child care </w:t>
      </w:r>
      <w:r w:rsidR="0044098C">
        <w:t xml:space="preserve">and early education </w:t>
      </w:r>
      <w:r w:rsidR="00B81EC4">
        <w:t>research planning.</w:t>
      </w:r>
    </w:p>
    <w:p w14:paraId="43CC96A4" w14:textId="77777777" w:rsidR="00495D06" w:rsidRDefault="00495D06" w:rsidP="00B81EC4"/>
    <w:p w14:paraId="1ABBD996" w14:textId="1A6FE335" w:rsidR="00495D06" w:rsidRDefault="006A238F" w:rsidP="00B81EC4">
      <w:r>
        <w:t xml:space="preserve">The current information request is to </w:t>
      </w:r>
      <w:r w:rsidR="00C95255">
        <w:t>plan</w:t>
      </w:r>
      <w:r>
        <w:t xml:space="preserve"> for the implementation of the BSC model and the accompanying data collection. </w:t>
      </w:r>
      <w:r w:rsidR="00CA7376">
        <w:t xml:space="preserve">Specifically, information will be gathered to inform the types of </w:t>
      </w:r>
      <w:r w:rsidR="001C1646">
        <w:t>supports</w:t>
      </w:r>
      <w:r w:rsidR="00CA7376">
        <w:t xml:space="preserve"> necessary for ECE programs to </w:t>
      </w:r>
      <w:r w:rsidR="000C7BEB">
        <w:t>actively participate</w:t>
      </w:r>
      <w:r w:rsidR="00CA7376">
        <w:t xml:space="preserve"> in the BSC</w:t>
      </w:r>
      <w:r w:rsidR="004B545D">
        <w:t xml:space="preserve"> </w:t>
      </w:r>
      <w:r w:rsidR="000C7BEB">
        <w:t>and accompanying data collections</w:t>
      </w:r>
      <w:r w:rsidR="00CA7376" w:rsidRPr="001C1646">
        <w:t>.</w:t>
      </w:r>
      <w:r>
        <w:t xml:space="preserve"> </w:t>
      </w:r>
    </w:p>
    <w:p w14:paraId="0E99F7DB" w14:textId="77777777" w:rsidR="00723CEE" w:rsidRDefault="00723CEE" w:rsidP="00723CEE">
      <w:bookmarkStart w:id="6" w:name="_Toc469922491"/>
    </w:p>
    <w:p w14:paraId="43C635D8" w14:textId="77777777" w:rsidR="00984CA2" w:rsidRPr="000E7AEF" w:rsidRDefault="00984CA2" w:rsidP="002024DE">
      <w:pPr>
        <w:pStyle w:val="OMB2"/>
        <w:outlineLvl w:val="1"/>
      </w:pPr>
      <w:r w:rsidRPr="000E7AEF">
        <w:t>Legal or Administrative Requirements that Necessitate the Collection</w:t>
      </w:r>
      <w:bookmarkEnd w:id="6"/>
      <w:r w:rsidRPr="000E7AEF">
        <w:t xml:space="preserve"> </w:t>
      </w:r>
    </w:p>
    <w:p w14:paraId="3407166E" w14:textId="6ACB37D1" w:rsidR="00FD7215" w:rsidRDefault="00F97B07" w:rsidP="00FD7215">
      <w:r>
        <w:t xml:space="preserve">There are no legal or administrative requirements that necessitate the collection. </w:t>
      </w:r>
      <w:r w:rsidR="00FD7215">
        <w:t>ACF proposes</w:t>
      </w:r>
      <w:r w:rsidR="00FD7215" w:rsidRPr="00866229">
        <w:t xml:space="preserve"> th</w:t>
      </w:r>
      <w:r w:rsidR="00FD7215">
        <w:t>is</w:t>
      </w:r>
      <w:r w:rsidR="00FD7215" w:rsidRPr="00866229">
        <w:t xml:space="preserve"> information collection at the discretion of the agency.</w:t>
      </w:r>
      <w:r w:rsidR="00FD7215">
        <w:t xml:space="preserve"> </w:t>
      </w:r>
    </w:p>
    <w:p w14:paraId="260C7C88" w14:textId="7B88F219" w:rsidR="0020382F" w:rsidRPr="000E7AEF" w:rsidRDefault="0020382F" w:rsidP="00866229"/>
    <w:p w14:paraId="481237CF" w14:textId="77777777" w:rsidR="00005DE8" w:rsidRDefault="00005DE8" w:rsidP="00005DE8">
      <w:bookmarkStart w:id="7" w:name="_Toc469922492"/>
    </w:p>
    <w:p w14:paraId="7DF3E832" w14:textId="77777777" w:rsidR="00945CD6" w:rsidRPr="000E7AEF" w:rsidRDefault="00292B70" w:rsidP="002A3D4A">
      <w:pPr>
        <w:pStyle w:val="OMB1"/>
        <w:outlineLvl w:val="0"/>
      </w:pPr>
      <w:r w:rsidRPr="000E7AEF">
        <w:t xml:space="preserve">A2. </w:t>
      </w:r>
      <w:r w:rsidR="00945CD6" w:rsidRPr="000E7AEF">
        <w:t>Purpose of Survey and Data Collection Procedures</w:t>
      </w:r>
      <w:bookmarkEnd w:id="7"/>
    </w:p>
    <w:p w14:paraId="111FCADE" w14:textId="77777777" w:rsidR="00F61929" w:rsidRPr="000E7AEF" w:rsidRDefault="00F61929" w:rsidP="00F61929">
      <w:pPr>
        <w:rPr>
          <w:b/>
          <w:i/>
        </w:rPr>
      </w:pPr>
    </w:p>
    <w:p w14:paraId="0BB64E24" w14:textId="77777777" w:rsidR="00984CA2" w:rsidRPr="000E7AEF" w:rsidRDefault="00984CA2" w:rsidP="002024DE">
      <w:pPr>
        <w:pStyle w:val="OMB2"/>
        <w:outlineLvl w:val="1"/>
      </w:pPr>
      <w:bookmarkStart w:id="8" w:name="_Toc469922493"/>
      <w:r w:rsidRPr="000E7AEF">
        <w:t>Overview of Purpose and Approach</w:t>
      </w:r>
      <w:bookmarkEnd w:id="8"/>
    </w:p>
    <w:p w14:paraId="392F329F" w14:textId="615CFA04" w:rsidR="00EC2A48" w:rsidRDefault="00DB7B28" w:rsidP="00F61929">
      <w:pPr>
        <w:autoSpaceDE w:val="0"/>
        <w:autoSpaceDN w:val="0"/>
        <w:adjustRightInd w:val="0"/>
      </w:pPr>
      <w:r>
        <w:rPr>
          <w:rFonts w:cs="TimesNewRoman"/>
        </w:rPr>
        <w:t xml:space="preserve">The information collected under this </w:t>
      </w:r>
      <w:r w:rsidR="009F6432">
        <w:rPr>
          <w:rFonts w:cs="TimesNewRoman"/>
        </w:rPr>
        <w:t xml:space="preserve">formative generic </w:t>
      </w:r>
      <w:r>
        <w:rPr>
          <w:rFonts w:cs="TimesNewRoman"/>
        </w:rPr>
        <w:t xml:space="preserve">clearance will be used to help OPRE make decisions about </w:t>
      </w:r>
      <w:r w:rsidR="001C1646">
        <w:rPr>
          <w:rFonts w:cs="TimesNewRoman"/>
        </w:rPr>
        <w:t>necessary supports</w:t>
      </w:r>
      <w:r>
        <w:rPr>
          <w:rFonts w:cs="TimesNewRoman"/>
        </w:rPr>
        <w:t xml:space="preserve"> </w:t>
      </w:r>
      <w:r w:rsidR="001C1646">
        <w:rPr>
          <w:rFonts w:cs="TimesNewRoman"/>
        </w:rPr>
        <w:t>for programs to implement the BSC model</w:t>
      </w:r>
      <w:r w:rsidR="002F77E3">
        <w:rPr>
          <w:rFonts w:cs="TimesNewRoman"/>
        </w:rPr>
        <w:t>,</w:t>
      </w:r>
      <w:r w:rsidR="001C1646">
        <w:rPr>
          <w:rFonts w:cs="TimesNewRoman"/>
        </w:rPr>
        <w:t xml:space="preserve"> to inform the</w:t>
      </w:r>
      <w:r>
        <w:rPr>
          <w:rFonts w:cs="TimesNewRoman"/>
        </w:rPr>
        <w:t xml:space="preserve"> plan </w:t>
      </w:r>
      <w:r w:rsidR="001C1646">
        <w:rPr>
          <w:rFonts w:cs="TimesNewRoman"/>
        </w:rPr>
        <w:t xml:space="preserve">for the </w:t>
      </w:r>
      <w:r>
        <w:rPr>
          <w:rFonts w:cs="TimesNewRoman"/>
        </w:rPr>
        <w:t>CCL research study.</w:t>
      </w:r>
      <w:r w:rsidR="0022030E" w:rsidRPr="000E7AEF">
        <w:rPr>
          <w:rFonts w:cs="TimesNewRoman"/>
        </w:rPr>
        <w:t xml:space="preserve"> </w:t>
      </w:r>
      <w:r w:rsidR="00922285">
        <w:rPr>
          <w:rFonts w:cs="TimesNewRoman"/>
        </w:rPr>
        <w:t>The contractors</w:t>
      </w:r>
      <w:r>
        <w:rPr>
          <w:rFonts w:cs="TimesNewRoman"/>
        </w:rPr>
        <w:t xml:space="preserve"> plan to conduct in-person or telephone interviews with staff from u</w:t>
      </w:r>
      <w:r w:rsidR="00C4339D">
        <w:rPr>
          <w:rFonts w:cs="TimesNewRoman"/>
        </w:rPr>
        <w:t>p to 20 early care and education (ECE) sites</w:t>
      </w:r>
      <w:r w:rsidR="001135CF">
        <w:rPr>
          <w:rFonts w:cs="TimesNewRoman"/>
        </w:rPr>
        <w:t>, using a sample of convenience</w:t>
      </w:r>
      <w:r w:rsidR="00C4339D">
        <w:rPr>
          <w:rFonts w:cs="TimesNewRoman"/>
        </w:rPr>
        <w:t xml:space="preserve"> in </w:t>
      </w:r>
      <w:r w:rsidR="001135CF">
        <w:rPr>
          <w:rFonts w:cs="TimesNewRoman"/>
        </w:rPr>
        <w:t>a limited geographic area</w:t>
      </w:r>
      <w:r w:rsidR="00C4339D">
        <w:rPr>
          <w:rFonts w:cs="TimesNewRoman"/>
        </w:rPr>
        <w:t xml:space="preserve">. </w:t>
      </w:r>
    </w:p>
    <w:p w14:paraId="767BB0D6" w14:textId="77777777" w:rsidR="00EC2A48" w:rsidRDefault="00EC2A48" w:rsidP="00F61929">
      <w:pPr>
        <w:autoSpaceDE w:val="0"/>
        <w:autoSpaceDN w:val="0"/>
        <w:adjustRightInd w:val="0"/>
      </w:pPr>
    </w:p>
    <w:p w14:paraId="3FD3DDDC" w14:textId="22DBEC15" w:rsidR="00355D65" w:rsidRDefault="00EC2A48" w:rsidP="00F61929">
      <w:pPr>
        <w:autoSpaceDE w:val="0"/>
        <w:autoSpaceDN w:val="0"/>
        <w:adjustRightInd w:val="0"/>
        <w:rPr>
          <w:rFonts w:cs="TimesNewRoman"/>
        </w:rPr>
      </w:pPr>
      <w:r>
        <w:rPr>
          <w:rFonts w:cs="TimesNewRoman"/>
        </w:rPr>
        <w:t>The</w:t>
      </w:r>
      <w:r w:rsidR="007860F0">
        <w:rPr>
          <w:rFonts w:cs="TimesNewRoman"/>
        </w:rPr>
        <w:t xml:space="preserve"> interviews </w:t>
      </w:r>
      <w:r>
        <w:rPr>
          <w:rFonts w:cs="TimesNewRoman"/>
        </w:rPr>
        <w:t xml:space="preserve">to be conducted under this formative generic clearance will </w:t>
      </w:r>
      <w:r w:rsidR="007860F0">
        <w:rPr>
          <w:rFonts w:cs="TimesNewRoman"/>
        </w:rPr>
        <w:t xml:space="preserve">allow for the collection of in-depth information and follow-up questions </w:t>
      </w:r>
      <w:r w:rsidR="00C4339D">
        <w:rPr>
          <w:rFonts w:cs="TimesNewRoman"/>
        </w:rPr>
        <w:t xml:space="preserve">to assess and gauge the extent to which the ECE sites are </w:t>
      </w:r>
      <w:r w:rsidR="00355D65">
        <w:rPr>
          <w:rFonts w:cs="TimesNewRoman"/>
        </w:rPr>
        <w:t>ready and capable of implementing the Breakthrough Series Collaborative change framework</w:t>
      </w:r>
      <w:r w:rsidR="00CC3CAA">
        <w:rPr>
          <w:rFonts w:cs="TimesNewRoman"/>
        </w:rPr>
        <w:t>, including active engagement with the research and data collection protocols</w:t>
      </w:r>
      <w:r w:rsidR="00355D65">
        <w:rPr>
          <w:rFonts w:cs="TimesNewRoman"/>
        </w:rPr>
        <w:t xml:space="preserve">. The </w:t>
      </w:r>
      <w:r w:rsidR="009F6432">
        <w:rPr>
          <w:rFonts w:cs="TimesNewRoman"/>
        </w:rPr>
        <w:t>CCL</w:t>
      </w:r>
      <w:r w:rsidR="00355D65">
        <w:rPr>
          <w:rFonts w:cs="TimesNewRoman"/>
        </w:rPr>
        <w:t xml:space="preserve"> project team </w:t>
      </w:r>
      <w:r w:rsidR="009F6432">
        <w:rPr>
          <w:rFonts w:cs="TimesNewRoman"/>
        </w:rPr>
        <w:t xml:space="preserve">also </w:t>
      </w:r>
      <w:r w:rsidR="00355D65">
        <w:rPr>
          <w:rFonts w:cs="TimesNewRoman"/>
        </w:rPr>
        <w:t xml:space="preserve">proposes to </w:t>
      </w:r>
      <w:r w:rsidR="00B63291">
        <w:rPr>
          <w:rFonts w:cs="TimesNewRoman"/>
        </w:rPr>
        <w:t>hold information sessions</w:t>
      </w:r>
      <w:r w:rsidR="00355D65">
        <w:rPr>
          <w:rFonts w:cs="TimesNewRoman"/>
        </w:rPr>
        <w:t xml:space="preserve"> with </w:t>
      </w:r>
      <w:r w:rsidR="00A35A20">
        <w:rPr>
          <w:rFonts w:cs="TimesNewRoman"/>
        </w:rPr>
        <w:t xml:space="preserve">child care </w:t>
      </w:r>
      <w:r w:rsidR="00355D65">
        <w:rPr>
          <w:rFonts w:cs="TimesNewRoman"/>
        </w:rPr>
        <w:t xml:space="preserve">program directors, </w:t>
      </w:r>
      <w:r w:rsidR="00A35A20">
        <w:rPr>
          <w:rFonts w:cs="TimesNewRoman"/>
        </w:rPr>
        <w:t>Head Start center managers</w:t>
      </w:r>
      <w:r w:rsidR="00355D65">
        <w:rPr>
          <w:rFonts w:cs="TimesNewRoman"/>
        </w:rPr>
        <w:t xml:space="preserve">, quality </w:t>
      </w:r>
      <w:r w:rsidR="00A35A20">
        <w:rPr>
          <w:rFonts w:cs="TimesNewRoman"/>
        </w:rPr>
        <w:t xml:space="preserve">improvement </w:t>
      </w:r>
      <w:r w:rsidR="00355D65">
        <w:rPr>
          <w:rFonts w:cs="TimesNewRoman"/>
        </w:rPr>
        <w:t xml:space="preserve">consultants, content trainers, and teachers. </w:t>
      </w:r>
      <w:r w:rsidR="00C95255">
        <w:rPr>
          <w:rFonts w:cs="TimesNewRoman"/>
        </w:rPr>
        <w:t xml:space="preserve">The purpose of these sessions is to educate the local ECE community about the BSC </w:t>
      </w:r>
      <w:r w:rsidR="00B4006D">
        <w:rPr>
          <w:rFonts w:cs="TimesNewRoman"/>
        </w:rPr>
        <w:t>so that they can accurately report on their strengths and needs</w:t>
      </w:r>
      <w:r w:rsidR="00C95255">
        <w:rPr>
          <w:rFonts w:cs="TimesNewRoman"/>
        </w:rPr>
        <w:t xml:space="preserve"> in </w:t>
      </w:r>
      <w:r w:rsidR="00B4006D">
        <w:rPr>
          <w:rFonts w:cs="TimesNewRoman"/>
        </w:rPr>
        <w:t xml:space="preserve">order to participate </w:t>
      </w:r>
      <w:r w:rsidR="00C95255">
        <w:rPr>
          <w:rFonts w:cs="TimesNewRoman"/>
        </w:rPr>
        <w:t xml:space="preserve">in this </w:t>
      </w:r>
      <w:r w:rsidR="00DA64D3">
        <w:rPr>
          <w:rFonts w:cs="TimesNewRoman"/>
        </w:rPr>
        <w:t xml:space="preserve">type of </w:t>
      </w:r>
      <w:r w:rsidR="00046D44" w:rsidRPr="00CF4B8C">
        <w:rPr>
          <w:rFonts w:cs="TimesNewRoman"/>
        </w:rPr>
        <w:t>quality improvement</w:t>
      </w:r>
      <w:r w:rsidR="00DA64D3" w:rsidRPr="00CF4B8C">
        <w:rPr>
          <w:rFonts w:cs="TimesNewRoman"/>
        </w:rPr>
        <w:t xml:space="preserve"> activity.</w:t>
      </w:r>
      <w:r w:rsidR="00DA64D3">
        <w:rPr>
          <w:rFonts w:cs="TimesNewRoman"/>
        </w:rPr>
        <w:t xml:space="preserve"> </w:t>
      </w:r>
      <w:r w:rsidR="009F6432">
        <w:rPr>
          <w:rFonts w:cs="TimesNewRoman"/>
        </w:rPr>
        <w:t>Both data gathering activities are</w:t>
      </w:r>
      <w:r w:rsidR="00355D65">
        <w:rPr>
          <w:rFonts w:cs="TimesNewRoman"/>
        </w:rPr>
        <w:t xml:space="preserve"> designed to </w:t>
      </w:r>
      <w:r w:rsidR="006916C9">
        <w:rPr>
          <w:rFonts w:cs="TimesNewRoman"/>
        </w:rPr>
        <w:t>explore the preparedness of ECE sites and staff members</w:t>
      </w:r>
      <w:r w:rsidR="007860F0">
        <w:rPr>
          <w:rFonts w:cs="TimesNewRoman"/>
        </w:rPr>
        <w:t xml:space="preserve"> for quality improvement efforts around social and emotional learning</w:t>
      </w:r>
      <w:r w:rsidR="006916C9">
        <w:rPr>
          <w:rFonts w:cs="TimesNewRoman"/>
        </w:rPr>
        <w:t xml:space="preserve">. </w:t>
      </w:r>
    </w:p>
    <w:p w14:paraId="3DF307A8" w14:textId="77777777" w:rsidR="00355D65" w:rsidRDefault="00355D65" w:rsidP="00F61929">
      <w:pPr>
        <w:autoSpaceDE w:val="0"/>
        <w:autoSpaceDN w:val="0"/>
        <w:adjustRightInd w:val="0"/>
        <w:rPr>
          <w:rFonts w:cs="TimesNewRoman"/>
        </w:rPr>
      </w:pPr>
    </w:p>
    <w:p w14:paraId="6CBC8E2D" w14:textId="11CE005F" w:rsidR="002338AC" w:rsidRDefault="00A54D51" w:rsidP="00A54D51">
      <w:pPr>
        <w:pStyle w:val="OMB2"/>
        <w:outlineLvl w:val="1"/>
        <w:rPr>
          <w:b w:val="0"/>
          <w:i w:val="0"/>
        </w:rPr>
      </w:pPr>
      <w:r w:rsidRPr="00A54D51">
        <w:lastRenderedPageBreak/>
        <w:t>Research</w:t>
      </w:r>
      <w:r>
        <w:rPr>
          <w:b w:val="0"/>
          <w:i w:val="0"/>
        </w:rPr>
        <w:t xml:space="preserve"> </w:t>
      </w:r>
      <w:r w:rsidRPr="00A54D51">
        <w:t>Questions</w:t>
      </w:r>
    </w:p>
    <w:p w14:paraId="31672142" w14:textId="77777777" w:rsidR="00B33AB4" w:rsidRDefault="00B33AB4" w:rsidP="00A54D51">
      <w:pPr>
        <w:autoSpaceDE w:val="0"/>
        <w:autoSpaceDN w:val="0"/>
        <w:adjustRightInd w:val="0"/>
        <w:rPr>
          <w:rFonts w:cs="Calibri"/>
        </w:rPr>
      </w:pPr>
      <w:r>
        <w:rPr>
          <w:rFonts w:cs="Calibri"/>
        </w:rPr>
        <w:t>The questions that will be explored for this formative clearance include:</w:t>
      </w:r>
    </w:p>
    <w:p w14:paraId="43EF8362" w14:textId="436AEA66" w:rsidR="00B33AB4" w:rsidRDefault="00B33AB4" w:rsidP="00CF4B8C">
      <w:pPr>
        <w:pStyle w:val="ListParagraph"/>
        <w:numPr>
          <w:ilvl w:val="0"/>
          <w:numId w:val="20"/>
        </w:numPr>
        <w:autoSpaceDE w:val="0"/>
        <w:autoSpaceDN w:val="0"/>
        <w:adjustRightInd w:val="0"/>
      </w:pPr>
      <w:r>
        <w:t xml:space="preserve">What </w:t>
      </w:r>
      <w:r w:rsidR="00CC68A9">
        <w:t xml:space="preserve">will </w:t>
      </w:r>
      <w:r>
        <w:t>the BSC</w:t>
      </w:r>
      <w:r w:rsidR="00CC68A9">
        <w:t xml:space="preserve"> look like in early care and education settings</w:t>
      </w:r>
      <w:r>
        <w:t xml:space="preserve">, and what </w:t>
      </w:r>
      <w:r w:rsidR="00515218">
        <w:t>is</w:t>
      </w:r>
      <w:r>
        <w:t xml:space="preserve"> its potential for quality improvement in </w:t>
      </w:r>
      <w:r w:rsidR="00CC68A9">
        <w:t>this</w:t>
      </w:r>
      <w:r>
        <w:t xml:space="preserve"> context?</w:t>
      </w:r>
    </w:p>
    <w:p w14:paraId="6FE477FA" w14:textId="77777777" w:rsidR="00B33AB4" w:rsidRPr="00B33AB4" w:rsidRDefault="00B33AB4" w:rsidP="00CF4B8C">
      <w:pPr>
        <w:pStyle w:val="ListParagraph"/>
        <w:numPr>
          <w:ilvl w:val="0"/>
          <w:numId w:val="20"/>
        </w:numPr>
        <w:autoSpaceDE w:val="0"/>
        <w:autoSpaceDN w:val="0"/>
        <w:adjustRightInd w:val="0"/>
        <w:rPr>
          <w:rFonts w:cs="Calibri"/>
        </w:rPr>
      </w:pPr>
      <w:r>
        <w:t>What are the needs of programs for support in social and emotional learning practices?</w:t>
      </w:r>
    </w:p>
    <w:p w14:paraId="5A74026B" w14:textId="6E3FA3AD" w:rsidR="00B33AB4" w:rsidRPr="00B33AB4" w:rsidRDefault="00B33AB4" w:rsidP="00CF4B8C">
      <w:pPr>
        <w:pStyle w:val="ListParagraph"/>
        <w:numPr>
          <w:ilvl w:val="0"/>
          <w:numId w:val="20"/>
        </w:numPr>
        <w:autoSpaceDE w:val="0"/>
        <w:autoSpaceDN w:val="0"/>
        <w:adjustRightInd w:val="0"/>
        <w:rPr>
          <w:rFonts w:cs="Calibri"/>
        </w:rPr>
      </w:pPr>
      <w:r>
        <w:t>What are programs’ capacity for doing the type of work involved in implementing a BSC</w:t>
      </w:r>
      <w:r w:rsidR="00CC68A9">
        <w:t xml:space="preserve"> and engaging in accompanying research protocols</w:t>
      </w:r>
      <w:r>
        <w:t>?</w:t>
      </w:r>
    </w:p>
    <w:p w14:paraId="4CCA03A5" w14:textId="77777777" w:rsidR="00B33AB4" w:rsidRDefault="00B33AB4" w:rsidP="00A54D51">
      <w:pPr>
        <w:autoSpaceDE w:val="0"/>
        <w:autoSpaceDN w:val="0"/>
        <w:adjustRightInd w:val="0"/>
        <w:rPr>
          <w:rFonts w:cs="Calibri"/>
        </w:rPr>
      </w:pPr>
    </w:p>
    <w:p w14:paraId="26F10019" w14:textId="77777777" w:rsidR="00A54D51" w:rsidRPr="00A54D51" w:rsidRDefault="00A54D51" w:rsidP="00A54D51"/>
    <w:p w14:paraId="61D74B6B" w14:textId="7AEBA76F" w:rsidR="00F61929" w:rsidRPr="00CD7787" w:rsidRDefault="00A44209" w:rsidP="00CD7787">
      <w:pPr>
        <w:pStyle w:val="OMB2"/>
        <w:outlineLvl w:val="1"/>
      </w:pPr>
      <w:bookmarkStart w:id="9" w:name="_Toc469922494"/>
      <w:r w:rsidRPr="000E7AEF">
        <w:t>Study Design</w:t>
      </w:r>
      <w:bookmarkEnd w:id="9"/>
    </w:p>
    <w:p w14:paraId="4CEAD288" w14:textId="1946FEC9" w:rsidR="00EB7397" w:rsidRDefault="009F6432" w:rsidP="009F6432">
      <w:pPr>
        <w:rPr>
          <w:rFonts w:cs="Arial"/>
        </w:rPr>
      </w:pPr>
      <w:r>
        <w:rPr>
          <w:rFonts w:cs="Arial"/>
        </w:rPr>
        <w:t xml:space="preserve">For this formative portion of the CCL study, we will </w:t>
      </w:r>
      <w:r w:rsidR="00EB7397">
        <w:rPr>
          <w:rFonts w:cs="TimesNewRoman"/>
        </w:rPr>
        <w:t>be doing extensive outreach</w:t>
      </w:r>
      <w:r>
        <w:rPr>
          <w:rFonts w:cs="TimesNewRoman"/>
        </w:rPr>
        <w:t xml:space="preserve"> with staff from up to </w:t>
      </w:r>
      <w:r w:rsidR="0008743F">
        <w:rPr>
          <w:rFonts w:cs="TimesNewRoman"/>
        </w:rPr>
        <w:t>4</w:t>
      </w:r>
      <w:r>
        <w:rPr>
          <w:rFonts w:cs="TimesNewRoman"/>
        </w:rPr>
        <w:t xml:space="preserve">0 early care and education (ECE) sites in </w:t>
      </w:r>
      <w:r w:rsidR="001135CF">
        <w:rPr>
          <w:rFonts w:cs="TimesNewRoman"/>
        </w:rPr>
        <w:t>a constrained geographic area</w:t>
      </w:r>
      <w:r>
        <w:rPr>
          <w:rFonts w:cs="TimesNewRoman"/>
        </w:rPr>
        <w:t>. A</w:t>
      </w:r>
      <w:r>
        <w:rPr>
          <w:rFonts w:cs="Arial"/>
        </w:rPr>
        <w:t xml:space="preserve"> member of the CCL project team will </w:t>
      </w:r>
      <w:r w:rsidR="00B33AB4">
        <w:rPr>
          <w:rFonts w:cs="Arial"/>
        </w:rPr>
        <w:t xml:space="preserve">use administrative lists of programs </w:t>
      </w:r>
      <w:r w:rsidR="00EB7397">
        <w:rPr>
          <w:rFonts w:cs="Arial"/>
        </w:rPr>
        <w:t xml:space="preserve">to identify child care centers and Head Start programs that already have been trained in the </w:t>
      </w:r>
      <w:r w:rsidR="00EB7397" w:rsidRPr="00D03935">
        <w:rPr>
          <w:rFonts w:cs="Arial"/>
        </w:rPr>
        <w:t xml:space="preserve">CSEFEL Pyramid </w:t>
      </w:r>
      <w:r w:rsidR="00EB7397">
        <w:rPr>
          <w:rFonts w:cs="Arial"/>
        </w:rPr>
        <w:t>model.</w:t>
      </w:r>
      <w:r w:rsidR="00F5030B">
        <w:rPr>
          <w:rStyle w:val="FootnoteReference"/>
          <w:rFonts w:cs="Arial"/>
        </w:rPr>
        <w:footnoteReference w:id="1"/>
      </w:r>
      <w:r w:rsidR="00EB7397">
        <w:rPr>
          <w:rFonts w:cs="Arial"/>
        </w:rPr>
        <w:t xml:space="preserve"> </w:t>
      </w:r>
      <w:r w:rsidR="00D03935">
        <w:rPr>
          <w:rFonts w:cs="Arial"/>
        </w:rPr>
        <w:t xml:space="preserve"> T</w:t>
      </w:r>
      <w:r w:rsidR="00233CB8">
        <w:rPr>
          <w:rFonts w:cs="Arial"/>
        </w:rPr>
        <w:t>he identified</w:t>
      </w:r>
      <w:r w:rsidR="00EB7397">
        <w:rPr>
          <w:rFonts w:cs="Arial"/>
        </w:rPr>
        <w:t xml:space="preserve"> sites will be contacted via email outreach (see Appendix </w:t>
      </w:r>
      <w:r w:rsidR="0008743F">
        <w:rPr>
          <w:rFonts w:cs="Arial"/>
        </w:rPr>
        <w:t xml:space="preserve">A </w:t>
      </w:r>
      <w:r w:rsidR="00EB7397">
        <w:rPr>
          <w:rFonts w:cs="Arial"/>
        </w:rPr>
        <w:t>for the outreach email)</w:t>
      </w:r>
      <w:r w:rsidR="00CC68A9">
        <w:rPr>
          <w:rFonts w:cs="Arial"/>
        </w:rPr>
        <w:t>.</w:t>
      </w:r>
      <w:r w:rsidR="00EB7397">
        <w:rPr>
          <w:rFonts w:cs="Arial"/>
        </w:rPr>
        <w:t xml:space="preserve"> This initial email will be used to </w:t>
      </w:r>
      <w:r>
        <w:rPr>
          <w:rFonts w:cs="Arial"/>
        </w:rPr>
        <w:t xml:space="preserve">invite them to </w:t>
      </w:r>
      <w:r w:rsidR="00233CB8" w:rsidRPr="00D03935">
        <w:rPr>
          <w:rFonts w:cs="Arial"/>
        </w:rPr>
        <w:t xml:space="preserve">participate in </w:t>
      </w:r>
      <w:r w:rsidRPr="00D03935">
        <w:rPr>
          <w:rFonts w:cs="Arial"/>
        </w:rPr>
        <w:t xml:space="preserve">a semi-structured discussion </w:t>
      </w:r>
      <w:r w:rsidR="00EB7397" w:rsidRPr="00D03935">
        <w:rPr>
          <w:rFonts w:cs="Arial"/>
        </w:rPr>
        <w:t xml:space="preserve">with </w:t>
      </w:r>
      <w:r w:rsidRPr="00D03935">
        <w:rPr>
          <w:rFonts w:cs="Arial"/>
        </w:rPr>
        <w:t>other potential participants</w:t>
      </w:r>
      <w:r w:rsidR="00233CB8" w:rsidRPr="00D03935">
        <w:rPr>
          <w:rFonts w:cs="Arial"/>
        </w:rPr>
        <w:t>. Programs who respond to the invitation will receive a</w:t>
      </w:r>
      <w:r w:rsidR="00EB7397" w:rsidRPr="00D03935">
        <w:rPr>
          <w:rFonts w:cs="Arial"/>
        </w:rPr>
        <w:t xml:space="preserve"> follow-up email with further information about</w:t>
      </w:r>
      <w:r w:rsidR="00EB7397">
        <w:rPr>
          <w:rFonts w:cs="Arial"/>
        </w:rPr>
        <w:t xml:space="preserve"> attending the </w:t>
      </w:r>
      <w:r w:rsidR="00EB7397" w:rsidRPr="00556448">
        <w:rPr>
          <w:rFonts w:cs="Arial"/>
        </w:rPr>
        <w:t xml:space="preserve">discussion (see Appendix </w:t>
      </w:r>
      <w:r w:rsidR="008E1A86" w:rsidRPr="00556448">
        <w:rPr>
          <w:rFonts w:cs="Arial"/>
        </w:rPr>
        <w:t>B</w:t>
      </w:r>
      <w:r w:rsidR="00EB7397" w:rsidRPr="00556448">
        <w:rPr>
          <w:rFonts w:cs="Arial"/>
        </w:rPr>
        <w:t xml:space="preserve"> for the confirmatory email script).</w:t>
      </w:r>
      <w:r w:rsidR="00CC68A9">
        <w:rPr>
          <w:rFonts w:cs="Arial"/>
        </w:rPr>
        <w:t xml:space="preserve"> In the event that more than 20 ECE sites respond to the initial outreach, participation in the semi-structured discussion</w:t>
      </w:r>
      <w:r w:rsidR="005F1FFE">
        <w:rPr>
          <w:rFonts w:cs="Arial"/>
        </w:rPr>
        <w:t>s</w:t>
      </w:r>
      <w:r w:rsidR="00CC68A9">
        <w:rPr>
          <w:rFonts w:cs="Arial"/>
        </w:rPr>
        <w:t xml:space="preserve"> will be limited to the first 20 sites that respond.</w:t>
      </w:r>
    </w:p>
    <w:p w14:paraId="06907838" w14:textId="77777777" w:rsidR="00EB7397" w:rsidRDefault="00EB7397" w:rsidP="009F6432">
      <w:pPr>
        <w:rPr>
          <w:rFonts w:cs="Arial"/>
        </w:rPr>
      </w:pPr>
    </w:p>
    <w:p w14:paraId="0A70944F" w14:textId="408DA6B7" w:rsidR="009F6432" w:rsidRDefault="00EB7397" w:rsidP="009F6432">
      <w:pPr>
        <w:rPr>
          <w:rFonts w:cs="Arial"/>
        </w:rPr>
      </w:pPr>
      <w:r>
        <w:rPr>
          <w:rFonts w:cs="Arial"/>
        </w:rPr>
        <w:t xml:space="preserve">The CCL project team anticipates conducting two to three of these semi-structured discussions in order to accommodate various schedules and availability of </w:t>
      </w:r>
      <w:r w:rsidR="00FB77C3">
        <w:rPr>
          <w:rFonts w:cs="Arial"/>
        </w:rPr>
        <w:t xml:space="preserve">participants from </w:t>
      </w:r>
      <w:r>
        <w:rPr>
          <w:rFonts w:cs="Arial"/>
        </w:rPr>
        <w:t xml:space="preserve">interested sites. </w:t>
      </w:r>
      <w:r w:rsidR="00503462">
        <w:rPr>
          <w:rFonts w:cs="Arial"/>
        </w:rPr>
        <w:t>One of the discussions will be scheduled using a video/telephone conference call format. The other</w:t>
      </w:r>
      <w:r w:rsidR="00FB77C3">
        <w:rPr>
          <w:rFonts w:cs="Arial"/>
        </w:rPr>
        <w:t xml:space="preserve"> one or</w:t>
      </w:r>
      <w:r w:rsidR="00503462">
        <w:rPr>
          <w:rFonts w:cs="Arial"/>
        </w:rPr>
        <w:t xml:space="preserve"> two semi-structured discussions will be conducted in-person</w:t>
      </w:r>
      <w:r w:rsidR="00FB77C3">
        <w:rPr>
          <w:rFonts w:cs="Arial"/>
        </w:rPr>
        <w:t xml:space="preserve"> at a central location convenient for participants from multiple sites to attend</w:t>
      </w:r>
      <w:r w:rsidR="00503462">
        <w:rPr>
          <w:rFonts w:cs="Arial"/>
        </w:rPr>
        <w:t xml:space="preserve">. </w:t>
      </w:r>
      <w:r>
        <w:rPr>
          <w:rFonts w:cs="Arial"/>
        </w:rPr>
        <w:t>The</w:t>
      </w:r>
      <w:r w:rsidR="00783FE3">
        <w:rPr>
          <w:rFonts w:cs="Arial"/>
        </w:rPr>
        <w:t xml:space="preserve"> semi-structured group discussion </w:t>
      </w:r>
      <w:r>
        <w:rPr>
          <w:rFonts w:cs="Arial"/>
        </w:rPr>
        <w:t xml:space="preserve">will be used to share information about </w:t>
      </w:r>
      <w:r w:rsidR="00783FE3">
        <w:rPr>
          <w:rFonts w:cs="Arial"/>
        </w:rPr>
        <w:t xml:space="preserve">the </w:t>
      </w:r>
      <w:r>
        <w:rPr>
          <w:rFonts w:cs="Arial"/>
        </w:rPr>
        <w:t xml:space="preserve">use of the </w:t>
      </w:r>
      <w:r w:rsidR="00783FE3">
        <w:rPr>
          <w:rFonts w:cs="Arial"/>
        </w:rPr>
        <w:t xml:space="preserve">BSC methodology and </w:t>
      </w:r>
      <w:r w:rsidR="00CC695B">
        <w:rPr>
          <w:rFonts w:cs="TimesNewRoman"/>
        </w:rPr>
        <w:t xml:space="preserve">gauge interest </w:t>
      </w:r>
      <w:r w:rsidR="00B4006D">
        <w:rPr>
          <w:rFonts w:cs="TimesNewRoman"/>
        </w:rPr>
        <w:t>and capacity of</w:t>
      </w:r>
      <w:r w:rsidR="00CC695B">
        <w:rPr>
          <w:rFonts w:cs="TimesNewRoman"/>
        </w:rPr>
        <w:t xml:space="preserve"> ECE sites </w:t>
      </w:r>
      <w:r w:rsidR="00B4006D">
        <w:rPr>
          <w:rFonts w:cs="TimesNewRoman"/>
        </w:rPr>
        <w:t>to participate</w:t>
      </w:r>
      <w:r w:rsidR="00CC695B">
        <w:rPr>
          <w:rFonts w:cs="TimesNewRoman"/>
        </w:rPr>
        <w:t xml:space="preserve"> in this type of </w:t>
      </w:r>
      <w:r w:rsidR="00CC695B" w:rsidRPr="00CC695B">
        <w:rPr>
          <w:rFonts w:cs="TimesNewRoman"/>
        </w:rPr>
        <w:t>quality improvement activity</w:t>
      </w:r>
      <w:r w:rsidR="00CC695B" w:rsidRPr="00CC695B">
        <w:rPr>
          <w:rFonts w:cs="Arial"/>
        </w:rPr>
        <w:t xml:space="preserve"> </w:t>
      </w:r>
      <w:r w:rsidR="00783FE3" w:rsidRPr="00D03935">
        <w:rPr>
          <w:rFonts w:cs="Arial"/>
        </w:rPr>
        <w:t xml:space="preserve">to support </w:t>
      </w:r>
      <w:r w:rsidR="00233CB8" w:rsidRPr="00D03935">
        <w:rPr>
          <w:rFonts w:cs="Arial"/>
        </w:rPr>
        <w:t xml:space="preserve">children’s </w:t>
      </w:r>
      <w:r w:rsidR="00783FE3" w:rsidRPr="00D03935">
        <w:rPr>
          <w:rFonts w:cs="Arial"/>
        </w:rPr>
        <w:t>social and emotional learning.</w:t>
      </w:r>
      <w:r w:rsidR="00783FE3">
        <w:rPr>
          <w:rFonts w:cs="Arial"/>
        </w:rPr>
        <w:t xml:space="preserve">  </w:t>
      </w:r>
    </w:p>
    <w:p w14:paraId="56AC3163" w14:textId="77777777" w:rsidR="008E1A86" w:rsidRDefault="008E1A86" w:rsidP="009F6432">
      <w:pPr>
        <w:rPr>
          <w:rFonts w:cs="Arial"/>
        </w:rPr>
      </w:pPr>
    </w:p>
    <w:p w14:paraId="54344EE8" w14:textId="50B0FF4C" w:rsidR="007C1DF1" w:rsidRDefault="008E1A86" w:rsidP="007C1DF1">
      <w:pPr>
        <w:rPr>
          <w:rFonts w:cs="Arial"/>
        </w:rPr>
      </w:pPr>
      <w:r>
        <w:rPr>
          <w:rFonts w:cs="Arial"/>
        </w:rPr>
        <w:t xml:space="preserve">The CCL project team will lead the semi-structured discussions. They will use a set of standard talking points to frame and guide the discussion (see Appendix C). </w:t>
      </w:r>
      <w:r w:rsidR="00C50FDB">
        <w:rPr>
          <w:rFonts w:cs="Arial"/>
        </w:rPr>
        <w:t xml:space="preserve">At the conclusion of the </w:t>
      </w:r>
      <w:r w:rsidR="007C1DF1">
        <w:rPr>
          <w:rFonts w:cs="Arial"/>
        </w:rPr>
        <w:t>semi-structured discussion</w:t>
      </w:r>
      <w:r w:rsidR="00C50FDB">
        <w:rPr>
          <w:rFonts w:cs="Arial"/>
        </w:rPr>
        <w:t>s</w:t>
      </w:r>
      <w:r w:rsidR="007C1DF1">
        <w:rPr>
          <w:rFonts w:cs="Arial"/>
        </w:rPr>
        <w:t xml:space="preserve">, </w:t>
      </w:r>
      <w:r w:rsidR="005E5267">
        <w:rPr>
          <w:rFonts w:cs="Arial"/>
        </w:rPr>
        <w:t>the CCL project team</w:t>
      </w:r>
      <w:r w:rsidR="007C1DF1">
        <w:rPr>
          <w:rFonts w:cs="Arial"/>
        </w:rPr>
        <w:t xml:space="preserve"> will </w:t>
      </w:r>
      <w:r w:rsidR="00C50FDB">
        <w:rPr>
          <w:rFonts w:cs="Arial"/>
        </w:rPr>
        <w:t xml:space="preserve">ask </w:t>
      </w:r>
      <w:r w:rsidR="00DA64D3">
        <w:rPr>
          <w:rFonts w:cs="Arial"/>
        </w:rPr>
        <w:t xml:space="preserve">participants </w:t>
      </w:r>
      <w:r w:rsidR="00C50FDB">
        <w:rPr>
          <w:rFonts w:cs="Arial"/>
        </w:rPr>
        <w:t xml:space="preserve">to complete a standard </w:t>
      </w:r>
      <w:r w:rsidR="0022140B">
        <w:rPr>
          <w:rFonts w:cs="Arial"/>
        </w:rPr>
        <w:t>Strengths and Needs Assessment</w:t>
      </w:r>
      <w:r w:rsidR="00CC695B">
        <w:rPr>
          <w:rFonts w:cs="Arial"/>
        </w:rPr>
        <w:t xml:space="preserve"> </w:t>
      </w:r>
      <w:r w:rsidR="00C50FDB">
        <w:rPr>
          <w:rFonts w:cs="Arial"/>
        </w:rPr>
        <w:t xml:space="preserve">to assess </w:t>
      </w:r>
      <w:r w:rsidR="00CC695B">
        <w:rPr>
          <w:rFonts w:cs="Arial"/>
        </w:rPr>
        <w:t xml:space="preserve">capacity to </w:t>
      </w:r>
      <w:r>
        <w:rPr>
          <w:rFonts w:cs="Arial"/>
        </w:rPr>
        <w:t>participat</w:t>
      </w:r>
      <w:r w:rsidR="00CC695B">
        <w:rPr>
          <w:rFonts w:cs="Arial"/>
        </w:rPr>
        <w:t>e</w:t>
      </w:r>
      <w:r>
        <w:rPr>
          <w:rFonts w:cs="Arial"/>
        </w:rPr>
        <w:t xml:space="preserve"> in the BSC </w:t>
      </w:r>
      <w:r w:rsidR="007C1DF1">
        <w:rPr>
          <w:rFonts w:cs="Arial"/>
        </w:rPr>
        <w:t>(</w:t>
      </w:r>
      <w:r w:rsidR="007C1DF1" w:rsidRPr="008E1A86">
        <w:rPr>
          <w:rFonts w:cs="Arial"/>
        </w:rPr>
        <w:t xml:space="preserve">see </w:t>
      </w:r>
      <w:r w:rsidRPr="008E1A86">
        <w:rPr>
          <w:rFonts w:cs="Arial"/>
        </w:rPr>
        <w:t>Appendix D</w:t>
      </w:r>
      <w:r w:rsidR="007C1DF1" w:rsidRPr="008E1A86">
        <w:rPr>
          <w:rFonts w:cs="Arial"/>
        </w:rPr>
        <w:t>)</w:t>
      </w:r>
      <w:r w:rsidRPr="008E1A86">
        <w:rPr>
          <w:rFonts w:cs="Arial"/>
        </w:rPr>
        <w:t>.</w:t>
      </w:r>
      <w:r w:rsidR="0008743F">
        <w:rPr>
          <w:rFonts w:cs="Arial"/>
        </w:rPr>
        <w:t xml:space="preserve"> </w:t>
      </w:r>
      <w:r w:rsidR="0008743F" w:rsidRPr="00386232">
        <w:t>The</w:t>
      </w:r>
      <w:r w:rsidR="0008743F">
        <w:t xml:space="preserve"> </w:t>
      </w:r>
      <w:r w:rsidR="0022140B">
        <w:t>Strengths and Needs Assessment</w:t>
      </w:r>
      <w:r w:rsidR="0008743F">
        <w:t xml:space="preserve"> </w:t>
      </w:r>
      <w:r w:rsidR="0008743F" w:rsidRPr="00386232">
        <w:t xml:space="preserve">includes a series of questions to understand more about the </w:t>
      </w:r>
      <w:r w:rsidR="0022140B">
        <w:t xml:space="preserve">capacity of </w:t>
      </w:r>
      <w:r w:rsidR="001135CF">
        <w:t xml:space="preserve">the </w:t>
      </w:r>
      <w:r w:rsidR="0008743F" w:rsidRPr="00386232">
        <w:t xml:space="preserve">ECE programs </w:t>
      </w:r>
      <w:r w:rsidR="0008743F">
        <w:t xml:space="preserve">to engage in the </w:t>
      </w:r>
      <w:r w:rsidR="0022140B">
        <w:t>BSC activities</w:t>
      </w:r>
      <w:r w:rsidR="0008743F" w:rsidRPr="00386232">
        <w:t>.</w:t>
      </w:r>
      <w:r w:rsidR="009424E5">
        <w:t xml:space="preserve"> </w:t>
      </w:r>
    </w:p>
    <w:p w14:paraId="0061E58A" w14:textId="102831DF" w:rsidR="007C1DF1" w:rsidRPr="00E13E68" w:rsidRDefault="007C1DF1" w:rsidP="007C1DF1">
      <w:pPr>
        <w:rPr>
          <w:rFonts w:cs="Arial"/>
        </w:rPr>
      </w:pPr>
    </w:p>
    <w:p w14:paraId="05F91F63" w14:textId="313EF355" w:rsidR="00783FE3" w:rsidRPr="000E7AEF" w:rsidRDefault="00F61929" w:rsidP="00F61929">
      <w:pPr>
        <w:autoSpaceDE w:val="0"/>
        <w:autoSpaceDN w:val="0"/>
        <w:adjustRightInd w:val="0"/>
        <w:rPr>
          <w:rFonts w:cs="TimesNewRoman"/>
        </w:rPr>
      </w:pPr>
      <w:r w:rsidRPr="000E7AEF">
        <w:rPr>
          <w:rFonts w:cs="TimesNewRoman"/>
        </w:rPr>
        <w:lastRenderedPageBreak/>
        <w:t>In general, we expect that information collections conducted under this clearan</w:t>
      </w:r>
      <w:r w:rsidR="00D9780B">
        <w:rPr>
          <w:rFonts w:cs="TimesNewRoman"/>
        </w:rPr>
        <w:t>ce will involve a minimum of 10</w:t>
      </w:r>
      <w:r w:rsidRPr="000E7AEF">
        <w:rPr>
          <w:rFonts w:cs="TimesNewRoman"/>
        </w:rPr>
        <w:t xml:space="preserve"> respondents </w:t>
      </w:r>
      <w:r w:rsidR="00CD7787">
        <w:rPr>
          <w:rFonts w:cs="TimesNewRoman"/>
        </w:rPr>
        <w:t xml:space="preserve">and a maximum of </w:t>
      </w:r>
      <w:r w:rsidR="002214DB">
        <w:rPr>
          <w:rFonts w:cs="TimesNewRoman"/>
        </w:rPr>
        <w:t>2</w:t>
      </w:r>
      <w:r w:rsidRPr="000E7AEF">
        <w:rPr>
          <w:rFonts w:cs="TimesNewRoman"/>
        </w:rPr>
        <w:t>0 respondents</w:t>
      </w:r>
      <w:r w:rsidR="00CF4B8C">
        <w:rPr>
          <w:rFonts w:cs="TimesNewRoman"/>
        </w:rPr>
        <w:t xml:space="preserve"> over a three-</w:t>
      </w:r>
      <w:r w:rsidR="0022140B">
        <w:rPr>
          <w:rFonts w:cs="TimesNewRoman"/>
        </w:rPr>
        <w:t>month period</w:t>
      </w:r>
      <w:r w:rsidRPr="000E7AEF">
        <w:rPr>
          <w:rFonts w:cs="TimesNewRoman"/>
        </w:rPr>
        <w:t>.</w:t>
      </w:r>
      <w:r w:rsidR="008E1A86">
        <w:rPr>
          <w:rFonts w:cs="TimesNewRoman"/>
        </w:rPr>
        <w:t xml:space="preserve"> </w:t>
      </w:r>
      <w:r w:rsidR="00783FE3" w:rsidRPr="00783FE3">
        <w:t xml:space="preserve">The </w:t>
      </w:r>
      <w:r w:rsidR="00C50FDB">
        <w:t xml:space="preserve">outreach efforts </w:t>
      </w:r>
      <w:r w:rsidR="00783FE3">
        <w:t>are</w:t>
      </w:r>
      <w:r w:rsidR="00783FE3" w:rsidRPr="00783FE3">
        <w:t xml:space="preserve"> </w:t>
      </w:r>
      <w:r w:rsidR="008E1A86" w:rsidRPr="00783FE3">
        <w:t>strengt</w:t>
      </w:r>
      <w:r w:rsidR="008E1A86">
        <w:t>hs</w:t>
      </w:r>
      <w:r w:rsidR="00783FE3" w:rsidRPr="00783FE3">
        <w:t xml:space="preserve"> of the </w:t>
      </w:r>
      <w:r w:rsidR="00C50FDB">
        <w:t>project, as they</w:t>
      </w:r>
      <w:r w:rsidR="00783FE3" w:rsidRPr="00783FE3">
        <w:t xml:space="preserve"> will allow the </w:t>
      </w:r>
      <w:r w:rsidR="008E1A86">
        <w:t xml:space="preserve">CCL </w:t>
      </w:r>
      <w:r w:rsidR="00783FE3" w:rsidRPr="00783FE3">
        <w:t xml:space="preserve">team to gather more in-depth information </w:t>
      </w:r>
      <w:r w:rsidR="00C50FDB">
        <w:t xml:space="preserve">about </w:t>
      </w:r>
      <w:r w:rsidR="005F1FFE">
        <w:t>the local context</w:t>
      </w:r>
      <w:r w:rsidR="00364CE2" w:rsidRPr="00364CE2">
        <w:t xml:space="preserve"> </w:t>
      </w:r>
      <w:r w:rsidR="00364CE2">
        <w:t xml:space="preserve">and tailor the </w:t>
      </w:r>
      <w:r w:rsidR="00351DC8">
        <w:t xml:space="preserve">ultimate </w:t>
      </w:r>
      <w:r w:rsidR="005F1FFE">
        <w:t>research design and recruitment approach to accommodate the strengths and needs of</w:t>
      </w:r>
      <w:r w:rsidR="00364CE2">
        <w:t xml:space="preserve"> ECE sites</w:t>
      </w:r>
      <w:r w:rsidR="00C50FDB">
        <w:t xml:space="preserve">. </w:t>
      </w:r>
    </w:p>
    <w:p w14:paraId="6C7CE985" w14:textId="77777777" w:rsidR="00624352" w:rsidRDefault="00624352" w:rsidP="00624352"/>
    <w:p w14:paraId="7A0572D3" w14:textId="2DCEAAD8" w:rsidR="00624352" w:rsidRPr="00624352" w:rsidRDefault="00624352" w:rsidP="00624352">
      <w:pPr>
        <w:rPr>
          <w:b/>
          <w:i/>
        </w:rPr>
      </w:pPr>
      <w:r w:rsidRPr="00624352">
        <w:rPr>
          <w:b/>
          <w:i/>
        </w:rPr>
        <w:t>Universe of Data Collection Efforts</w:t>
      </w:r>
    </w:p>
    <w:p w14:paraId="4BA985D4" w14:textId="44E6ED6C" w:rsidR="00386232" w:rsidRDefault="00624352" w:rsidP="00624352">
      <w:r w:rsidRPr="00E62464">
        <w:t>The universe of data collection efforts includes</w:t>
      </w:r>
      <w:r w:rsidR="00E62464" w:rsidRPr="00E62464">
        <w:t xml:space="preserve"> </w:t>
      </w:r>
      <w:r w:rsidR="00A95E2F">
        <w:t xml:space="preserve">semi-structured </w:t>
      </w:r>
      <w:r w:rsidR="00C50FDB">
        <w:t xml:space="preserve">discussion session talking </w:t>
      </w:r>
      <w:r w:rsidR="00A95E2F">
        <w:t xml:space="preserve">points, </w:t>
      </w:r>
      <w:r w:rsidR="0022140B">
        <w:t xml:space="preserve">and </w:t>
      </w:r>
      <w:r w:rsidR="00C50FDB">
        <w:t xml:space="preserve">a </w:t>
      </w:r>
      <w:r w:rsidR="0022140B" w:rsidRPr="00CF4B8C">
        <w:t>Strengths and Needs Assessment</w:t>
      </w:r>
      <w:r w:rsidR="00C50FDB" w:rsidRPr="00CF4B8C">
        <w:t xml:space="preserve"> </w:t>
      </w:r>
      <w:r w:rsidR="0022140B" w:rsidRPr="00CF4B8C">
        <w:t xml:space="preserve">completed by </w:t>
      </w:r>
      <w:r w:rsidR="00C50FDB" w:rsidRPr="00CF4B8C">
        <w:t>interested sites</w:t>
      </w:r>
      <w:r w:rsidR="0022140B" w:rsidRPr="00CF4B8C">
        <w:t>.  Supplementary documents include an outreach email</w:t>
      </w:r>
      <w:r w:rsidR="00FB77C3">
        <w:t xml:space="preserve"> and</w:t>
      </w:r>
      <w:r w:rsidR="0022140B" w:rsidRPr="00CF4B8C">
        <w:t xml:space="preserve"> a confirmation email</w:t>
      </w:r>
      <w:r w:rsidR="00C50FDB">
        <w:t xml:space="preserve">. </w:t>
      </w:r>
    </w:p>
    <w:p w14:paraId="3AD0E654" w14:textId="3489A9F8" w:rsidR="00D77219" w:rsidRPr="000E7AEF" w:rsidRDefault="00D77219" w:rsidP="00292B70">
      <w:pPr>
        <w:rPr>
          <w:b/>
        </w:rPr>
      </w:pPr>
    </w:p>
    <w:p w14:paraId="7B20EB18" w14:textId="77777777" w:rsidR="00945CD6" w:rsidRPr="000E7AEF" w:rsidRDefault="00292B70" w:rsidP="002A3D4A">
      <w:pPr>
        <w:pStyle w:val="OMB1"/>
        <w:outlineLvl w:val="0"/>
      </w:pPr>
      <w:bookmarkStart w:id="10" w:name="_Toc469922495"/>
      <w:r w:rsidRPr="000E7AEF">
        <w:t xml:space="preserve">A3. </w:t>
      </w:r>
      <w:r w:rsidR="00945CD6" w:rsidRPr="000E7AEF">
        <w:t>Improved Information Technology to Reduce Burden</w:t>
      </w:r>
      <w:bookmarkEnd w:id="10"/>
    </w:p>
    <w:p w14:paraId="38E7FBF8" w14:textId="5709CCDC" w:rsidR="00D90EF6" w:rsidRPr="000E7AEF" w:rsidRDefault="00CD7787" w:rsidP="00F61929">
      <w:pPr>
        <w:autoSpaceDE w:val="0"/>
        <w:autoSpaceDN w:val="0"/>
        <w:adjustRightInd w:val="0"/>
      </w:pPr>
      <w:r>
        <w:t>Whenever possible, advanced technology will be used to gather and process information to</w:t>
      </w:r>
      <w:r w:rsidR="00991F49">
        <w:t xml:space="preserve"> reduce respondent burden</w:t>
      </w:r>
      <w:r w:rsidR="0074266A">
        <w:t xml:space="preserve"> and make data processing and reporting more timely and efficient</w:t>
      </w:r>
      <w:r w:rsidR="00991F49">
        <w:t xml:space="preserve">. </w:t>
      </w:r>
      <w:r w:rsidR="0074266A">
        <w:t xml:space="preserve">To reduce burden, we will communicate with all </w:t>
      </w:r>
      <w:r w:rsidR="007735D8">
        <w:t>participants</w:t>
      </w:r>
      <w:r w:rsidR="0074266A">
        <w:t xml:space="preserve"> through email</w:t>
      </w:r>
      <w:r w:rsidR="00A95E2F">
        <w:t xml:space="preserve">. The telephone contact information of the </w:t>
      </w:r>
      <w:r w:rsidR="00351DC8">
        <w:t xml:space="preserve">project </w:t>
      </w:r>
      <w:r w:rsidR="00A95E2F">
        <w:t xml:space="preserve">team will also be made available in the outreach materials in case a site wishes to call a member of the CCL project team. </w:t>
      </w:r>
      <w:r w:rsidR="007735D8">
        <w:t xml:space="preserve">We will conduct the </w:t>
      </w:r>
      <w:r w:rsidR="00A95E2F">
        <w:t xml:space="preserve">in-person </w:t>
      </w:r>
      <w:r w:rsidR="007735D8">
        <w:t>se</w:t>
      </w:r>
      <w:r w:rsidR="00A95E2F">
        <w:t xml:space="preserve">mi-structured discussions </w:t>
      </w:r>
      <w:r w:rsidR="007735D8">
        <w:t xml:space="preserve">in an easily-accessible, central location. We will email a reminder with the date and time of the semi-structured group discussion unless participants indicate a preference to receive this information in another format. </w:t>
      </w:r>
      <w:r w:rsidR="0074266A">
        <w:t xml:space="preserve"> </w:t>
      </w:r>
      <w:r w:rsidR="00556448">
        <w:t xml:space="preserve">In addition, we will conduct one semi-structured discussion via conference call. The conference call will be conducted using a webinar platform; however, those interested in attending only need </w:t>
      </w:r>
      <w:r w:rsidR="0022140B">
        <w:t xml:space="preserve">to </w:t>
      </w:r>
      <w:r w:rsidR="00556448">
        <w:t>have access to a telephone. It will not be required to connect using a computer and video.</w:t>
      </w:r>
    </w:p>
    <w:p w14:paraId="1DF0A724" w14:textId="51C4B421" w:rsidR="00D77219" w:rsidRPr="000E7AEF" w:rsidRDefault="00D77219" w:rsidP="00292B70">
      <w:pPr>
        <w:rPr>
          <w:b/>
        </w:rPr>
      </w:pPr>
    </w:p>
    <w:p w14:paraId="3448C80D" w14:textId="77777777" w:rsidR="00945CD6" w:rsidRPr="000E7AEF" w:rsidRDefault="00292B70" w:rsidP="002A3D4A">
      <w:pPr>
        <w:pStyle w:val="OMB1"/>
        <w:outlineLvl w:val="0"/>
      </w:pPr>
      <w:bookmarkStart w:id="11" w:name="_Toc469922496"/>
      <w:r w:rsidRPr="000E7AEF">
        <w:t xml:space="preserve">A4. </w:t>
      </w:r>
      <w:r w:rsidR="00945CD6" w:rsidRPr="000E7AEF">
        <w:t>Efforts to Identify Duplication</w:t>
      </w:r>
      <w:bookmarkEnd w:id="11"/>
    </w:p>
    <w:p w14:paraId="05C24A12" w14:textId="40AC365A" w:rsidR="00C60038" w:rsidRDefault="00B8058E" w:rsidP="00B8058E">
      <w:pPr>
        <w:autoSpaceDE w:val="0"/>
        <w:autoSpaceDN w:val="0"/>
        <w:adjustRightInd w:val="0"/>
        <w:rPr>
          <w:rFonts w:cs="TimesNewRoman"/>
        </w:rPr>
      </w:pPr>
      <w:r w:rsidRPr="000E7AEF">
        <w:rPr>
          <w:rFonts w:cs="TimesNewRoman"/>
        </w:rPr>
        <w:t xml:space="preserve">This research does not duplicate any other work being done by ACF. The purpose of this clearance is to </w:t>
      </w:r>
      <w:r w:rsidR="00C60038">
        <w:rPr>
          <w:rFonts w:cs="TimesNewRoman"/>
        </w:rPr>
        <w:t>determine</w:t>
      </w:r>
      <w:r w:rsidRPr="000E7AEF">
        <w:rPr>
          <w:rFonts w:cs="TimesNewRoman"/>
        </w:rPr>
        <w:t xml:space="preserve"> </w:t>
      </w:r>
      <w:r w:rsidR="00C60038">
        <w:rPr>
          <w:rFonts w:cs="TimesNewRoman"/>
        </w:rPr>
        <w:t xml:space="preserve">the feasibility of implementing a Breakthrough Series Collaborative in child care and Head Start settings </w:t>
      </w:r>
      <w:r w:rsidR="003905CC">
        <w:rPr>
          <w:rFonts w:cs="TimesNewRoman"/>
        </w:rPr>
        <w:t xml:space="preserve">to support </w:t>
      </w:r>
      <w:r w:rsidR="00C60038">
        <w:rPr>
          <w:rFonts w:cs="TimesNewRoman"/>
        </w:rPr>
        <w:t>children’s social and emotional development</w:t>
      </w:r>
      <w:r w:rsidR="003905CC">
        <w:rPr>
          <w:rFonts w:cs="TimesNewRoman"/>
        </w:rPr>
        <w:t xml:space="preserve"> and </w:t>
      </w:r>
      <w:r w:rsidR="003905CC" w:rsidRPr="00D03935">
        <w:rPr>
          <w:rFonts w:cs="TimesNewRoman"/>
        </w:rPr>
        <w:t xml:space="preserve">inform </w:t>
      </w:r>
      <w:r w:rsidR="00233CB8" w:rsidRPr="00D03935">
        <w:rPr>
          <w:rFonts w:cs="TimesNewRoman"/>
        </w:rPr>
        <w:t xml:space="preserve">the design of </w:t>
      </w:r>
      <w:r w:rsidR="003905CC" w:rsidRPr="00D03935">
        <w:rPr>
          <w:rFonts w:cs="TimesNewRoman"/>
        </w:rPr>
        <w:t>a</w:t>
      </w:r>
      <w:r w:rsidR="003905CC">
        <w:rPr>
          <w:rFonts w:cs="TimesNewRoman"/>
        </w:rPr>
        <w:t xml:space="preserve"> research study of this implementation effort</w:t>
      </w:r>
      <w:r w:rsidR="00C60038">
        <w:rPr>
          <w:rFonts w:cs="TimesNewRoman"/>
        </w:rPr>
        <w:t>. The BSC model has supported practice and process improvements in the child trauma, and child welfare fields, but has not been widely tested in ECE. We have conducted a thorough literature revi</w:t>
      </w:r>
      <w:r w:rsidR="00061B4D">
        <w:rPr>
          <w:rFonts w:cs="TimesNewRoman"/>
        </w:rPr>
        <w:t xml:space="preserve">ew and consulted experts in the field </w:t>
      </w:r>
      <w:r w:rsidR="00C60038">
        <w:rPr>
          <w:rFonts w:cs="TimesNewRoman"/>
        </w:rPr>
        <w:t>about implementing a BSC in ECE settings. Our</w:t>
      </w:r>
      <w:r w:rsidR="00AC2155">
        <w:rPr>
          <w:rFonts w:cs="TimesNewRoman"/>
        </w:rPr>
        <w:t xml:space="preserve"> literature review yielded little evidence pointing to wide use of a BSC in </w:t>
      </w:r>
      <w:r w:rsidR="00061B4D">
        <w:rPr>
          <w:rFonts w:cs="TimesNewRoman"/>
        </w:rPr>
        <w:t>this context</w:t>
      </w:r>
      <w:r w:rsidR="00AC2155">
        <w:rPr>
          <w:rFonts w:cs="TimesNewRoman"/>
        </w:rPr>
        <w:t xml:space="preserve">; additionally, technical experts we have consulted </w:t>
      </w:r>
      <w:r w:rsidR="00061B4D">
        <w:rPr>
          <w:rFonts w:cs="TimesNewRoman"/>
        </w:rPr>
        <w:t xml:space="preserve">agree that the field lacks </w:t>
      </w:r>
      <w:r w:rsidR="00AC2155">
        <w:rPr>
          <w:rFonts w:cs="TimesNewRoman"/>
        </w:rPr>
        <w:t xml:space="preserve">information </w:t>
      </w:r>
      <w:r w:rsidR="00061B4D">
        <w:rPr>
          <w:rFonts w:cs="TimesNewRoman"/>
        </w:rPr>
        <w:t xml:space="preserve">about this kind of process improvement approach </w:t>
      </w:r>
      <w:r w:rsidR="00AC2155">
        <w:rPr>
          <w:rFonts w:cs="TimesNewRoman"/>
        </w:rPr>
        <w:t xml:space="preserve">and that a research study examining the feasibility of such </w:t>
      </w:r>
      <w:r w:rsidR="005A24B4">
        <w:rPr>
          <w:rFonts w:cs="TimesNewRoman"/>
        </w:rPr>
        <w:t>a method</w:t>
      </w:r>
      <w:r w:rsidR="00AC2155">
        <w:rPr>
          <w:rFonts w:cs="TimesNewRoman"/>
        </w:rPr>
        <w:t xml:space="preserve"> would be valuable. </w:t>
      </w:r>
    </w:p>
    <w:p w14:paraId="504CC98A" w14:textId="68EC6ED3" w:rsidR="002338AC" w:rsidRPr="000E7AEF" w:rsidRDefault="002338AC" w:rsidP="007735D8"/>
    <w:p w14:paraId="23EDE8D4" w14:textId="4EAAD220" w:rsidR="005A24B4" w:rsidRDefault="00292B70" w:rsidP="005A24B4">
      <w:pPr>
        <w:pStyle w:val="OMB1"/>
        <w:outlineLvl w:val="0"/>
      </w:pPr>
      <w:bookmarkStart w:id="12" w:name="_Toc469922497"/>
      <w:r w:rsidRPr="000E7AEF">
        <w:t xml:space="preserve">A5. </w:t>
      </w:r>
      <w:r w:rsidR="00945CD6" w:rsidRPr="000E7AEF">
        <w:t>Involvement of Small Organizations</w:t>
      </w:r>
      <w:bookmarkEnd w:id="12"/>
    </w:p>
    <w:p w14:paraId="0A4BF6A9" w14:textId="1C48CE8D" w:rsidR="005A24B4" w:rsidRPr="005A24B4" w:rsidRDefault="005A24B4" w:rsidP="005A24B4">
      <w:pPr>
        <w:pStyle w:val="OMB1"/>
        <w:outlineLvl w:val="0"/>
        <w:rPr>
          <w:b w:val="0"/>
        </w:rPr>
      </w:pPr>
      <w:r w:rsidRPr="005A24B4">
        <w:rPr>
          <w:b w:val="0"/>
        </w:rPr>
        <w:t xml:space="preserve">This </w:t>
      </w:r>
      <w:r w:rsidR="0045249F">
        <w:rPr>
          <w:b w:val="0"/>
        </w:rPr>
        <w:t>study</w:t>
      </w:r>
      <w:r w:rsidRPr="005A24B4">
        <w:rPr>
          <w:b w:val="0"/>
        </w:rPr>
        <w:t xml:space="preserve"> may involve small businesses.</w:t>
      </w:r>
      <w:r>
        <w:rPr>
          <w:b w:val="0"/>
        </w:rPr>
        <w:t xml:space="preserve"> Ce</w:t>
      </w:r>
      <w:r w:rsidR="00A658C4">
        <w:rPr>
          <w:b w:val="0"/>
        </w:rPr>
        <w:t xml:space="preserve">nter-based child care programs </w:t>
      </w:r>
      <w:r w:rsidR="006D03CE" w:rsidRPr="0045249F">
        <w:rPr>
          <w:b w:val="0"/>
        </w:rPr>
        <w:t xml:space="preserve">that </w:t>
      </w:r>
      <w:r w:rsidR="0045249F" w:rsidRPr="0045249F">
        <w:rPr>
          <w:b w:val="0"/>
        </w:rPr>
        <w:t xml:space="preserve">participate in the in-person or telephone interviews </w:t>
      </w:r>
      <w:r w:rsidR="006D03CE" w:rsidRPr="0045249F">
        <w:rPr>
          <w:b w:val="0"/>
        </w:rPr>
        <w:t xml:space="preserve">and attend the information </w:t>
      </w:r>
      <w:r w:rsidR="00F5030B">
        <w:rPr>
          <w:b w:val="0"/>
        </w:rPr>
        <w:t>session</w:t>
      </w:r>
      <w:r w:rsidR="006D03CE">
        <w:rPr>
          <w:b w:val="0"/>
        </w:rPr>
        <w:t xml:space="preserve"> may be privately owned corporations, partnerships, or sole proprietorships. Head Start programs</w:t>
      </w:r>
      <w:r w:rsidR="0045249F">
        <w:rPr>
          <w:b w:val="0"/>
        </w:rPr>
        <w:t xml:space="preserve"> will also participate in the study but they</w:t>
      </w:r>
      <w:r w:rsidR="006D03CE">
        <w:rPr>
          <w:b w:val="0"/>
        </w:rPr>
        <w:t xml:space="preserve"> are not considered small business because they receive federal funding and are considered service agencies. </w:t>
      </w:r>
    </w:p>
    <w:p w14:paraId="4B77A525" w14:textId="77777777" w:rsidR="0045249F" w:rsidRDefault="0045249F" w:rsidP="00E7529F">
      <w:pPr>
        <w:autoSpaceDE w:val="0"/>
        <w:autoSpaceDN w:val="0"/>
        <w:adjustRightInd w:val="0"/>
        <w:rPr>
          <w:rFonts w:cs="TimesNewRoman"/>
        </w:rPr>
      </w:pPr>
      <w:bookmarkStart w:id="13" w:name="_Toc469922498"/>
    </w:p>
    <w:p w14:paraId="6476DEF8" w14:textId="6A2F2D89" w:rsidR="00624352" w:rsidRPr="00984D5E" w:rsidRDefault="0045249F" w:rsidP="0045249F">
      <w:pPr>
        <w:autoSpaceDE w:val="0"/>
        <w:autoSpaceDN w:val="0"/>
        <w:adjustRightInd w:val="0"/>
        <w:rPr>
          <w:b/>
        </w:rPr>
      </w:pPr>
      <w:r>
        <w:rPr>
          <w:rFonts w:cs="TimesNewRoman"/>
        </w:rPr>
        <w:lastRenderedPageBreak/>
        <w:t xml:space="preserve">We will attempt to reduce any negative impact on </w:t>
      </w:r>
      <w:r w:rsidR="006D03CE">
        <w:rPr>
          <w:rFonts w:cs="TimesNewRoman"/>
        </w:rPr>
        <w:t xml:space="preserve">small center-based child care programs </w:t>
      </w:r>
      <w:r>
        <w:rPr>
          <w:rFonts w:cs="TimesNewRoman"/>
        </w:rPr>
        <w:t xml:space="preserve">by conducting </w:t>
      </w:r>
      <w:r w:rsidR="00556448">
        <w:rPr>
          <w:rFonts w:cs="TimesNewRoman"/>
        </w:rPr>
        <w:t>outreach by email</w:t>
      </w:r>
      <w:r>
        <w:rPr>
          <w:rFonts w:cs="TimesNewRoman"/>
        </w:rPr>
        <w:t xml:space="preserve"> and scheduling the </w:t>
      </w:r>
      <w:r w:rsidR="00F5030B">
        <w:rPr>
          <w:rFonts w:cs="TimesNewRoman"/>
        </w:rPr>
        <w:t>information sessions</w:t>
      </w:r>
      <w:r>
        <w:rPr>
          <w:rFonts w:cs="TimesNewRoman"/>
        </w:rPr>
        <w:t xml:space="preserve"> at a time and location that would be convenient to them. </w:t>
      </w:r>
      <w:r w:rsidR="00BC5A90">
        <w:rPr>
          <w:rFonts w:cs="TimesNewRoman"/>
        </w:rPr>
        <w:t>Information collected under this generic clearance will assist the CCL team in identifying the types of outreach and support that may best support small businesses’ participation in the BSC</w:t>
      </w:r>
      <w:r w:rsidR="003905CC">
        <w:rPr>
          <w:rFonts w:cs="TimesNewRoman"/>
        </w:rPr>
        <w:t xml:space="preserve"> and research project</w:t>
      </w:r>
      <w:r w:rsidR="00BC5A90">
        <w:rPr>
          <w:rFonts w:cs="TimesNewRoman"/>
        </w:rPr>
        <w:t xml:space="preserve">. </w:t>
      </w:r>
    </w:p>
    <w:p w14:paraId="0629ABF2" w14:textId="0F4FDA2C" w:rsidR="006D03CE" w:rsidRDefault="006D03CE" w:rsidP="00E7529F">
      <w:pPr>
        <w:autoSpaceDE w:val="0"/>
        <w:autoSpaceDN w:val="0"/>
        <w:adjustRightInd w:val="0"/>
        <w:rPr>
          <w:rFonts w:cs="TimesNewRoman"/>
        </w:rPr>
      </w:pPr>
    </w:p>
    <w:p w14:paraId="7F748A60" w14:textId="77777777" w:rsidR="00945CD6" w:rsidRPr="00E7529F" w:rsidRDefault="00292B70" w:rsidP="00384CCA">
      <w:pPr>
        <w:pStyle w:val="OMB1"/>
        <w:outlineLvl w:val="0"/>
        <w:rPr>
          <w:rFonts w:cs="TimesNewRoman"/>
        </w:rPr>
      </w:pPr>
      <w:r w:rsidRPr="000E7AEF">
        <w:t xml:space="preserve">A6. </w:t>
      </w:r>
      <w:r w:rsidR="00945CD6" w:rsidRPr="000E7AEF">
        <w:t>Consequences of Less Frequent Data Collection</w:t>
      </w:r>
      <w:bookmarkEnd w:id="13"/>
    </w:p>
    <w:p w14:paraId="74A419AF" w14:textId="45F143F2" w:rsidR="00624352" w:rsidRPr="00624352" w:rsidRDefault="00624352" w:rsidP="00624352">
      <w:pPr>
        <w:autoSpaceDE w:val="0"/>
        <w:autoSpaceDN w:val="0"/>
        <w:adjustRightInd w:val="0"/>
        <w:rPr>
          <w:rFonts w:cs="TimesNewRoman"/>
        </w:rPr>
      </w:pPr>
      <w:r w:rsidRPr="0045249F">
        <w:rPr>
          <w:rFonts w:cs="TimesNewRoman"/>
        </w:rPr>
        <w:t xml:space="preserve">This is a one-time </w:t>
      </w:r>
      <w:r w:rsidR="0045249F" w:rsidRPr="0045249F">
        <w:rPr>
          <w:rFonts w:cs="TimesNewRoman"/>
        </w:rPr>
        <w:t xml:space="preserve">formative </w:t>
      </w:r>
      <w:r w:rsidRPr="0045249F">
        <w:rPr>
          <w:rFonts w:cs="TimesNewRoman"/>
        </w:rPr>
        <w:t xml:space="preserve">data collection; participants will be asked to </w:t>
      </w:r>
      <w:r w:rsidR="0045249F" w:rsidRPr="0045249F">
        <w:rPr>
          <w:rFonts w:cs="TimesNewRoman"/>
        </w:rPr>
        <w:t>attend</w:t>
      </w:r>
      <w:r w:rsidRPr="0045249F">
        <w:rPr>
          <w:rFonts w:cs="TimesNewRoman"/>
        </w:rPr>
        <w:t xml:space="preserve"> a single </w:t>
      </w:r>
      <w:r w:rsidR="0045249F" w:rsidRPr="0045249F">
        <w:rPr>
          <w:rFonts w:cs="TimesNewRoman"/>
        </w:rPr>
        <w:t>group discussion session</w:t>
      </w:r>
      <w:r w:rsidR="00556448">
        <w:rPr>
          <w:rFonts w:cs="TimesNewRoman"/>
        </w:rPr>
        <w:t xml:space="preserve"> and to </w:t>
      </w:r>
      <w:r w:rsidR="00556448" w:rsidRPr="0045249F">
        <w:rPr>
          <w:rFonts w:cs="TimesNewRoman"/>
        </w:rPr>
        <w:t xml:space="preserve">share some initial information </w:t>
      </w:r>
      <w:r w:rsidR="00556448">
        <w:rPr>
          <w:rFonts w:cs="TimesNewRoman"/>
        </w:rPr>
        <w:t xml:space="preserve">in the </w:t>
      </w:r>
      <w:r w:rsidR="003905CC">
        <w:rPr>
          <w:rFonts w:cs="Arial"/>
        </w:rPr>
        <w:t>Strengths and Needs Assessment</w:t>
      </w:r>
      <w:r w:rsidR="00556448">
        <w:rPr>
          <w:rFonts w:cs="TimesNewRoman"/>
        </w:rPr>
        <w:t>.</w:t>
      </w:r>
    </w:p>
    <w:p w14:paraId="00E00D8A" w14:textId="7807BB4D" w:rsidR="002338AC" w:rsidRPr="000E7AEF" w:rsidRDefault="002338AC" w:rsidP="00556448"/>
    <w:p w14:paraId="2E742673" w14:textId="77777777" w:rsidR="00945CD6" w:rsidRPr="000E7AEF" w:rsidRDefault="00292B70" w:rsidP="002A3D4A">
      <w:pPr>
        <w:pStyle w:val="OMB1"/>
        <w:outlineLvl w:val="0"/>
      </w:pPr>
      <w:bookmarkStart w:id="14" w:name="_Toc469922499"/>
      <w:r w:rsidRPr="000E7AEF">
        <w:t xml:space="preserve">A7. </w:t>
      </w:r>
      <w:r w:rsidR="00945CD6" w:rsidRPr="000E7AEF">
        <w:t>Special Circumstances</w:t>
      </w:r>
      <w:bookmarkEnd w:id="14"/>
    </w:p>
    <w:p w14:paraId="38F3CFEA" w14:textId="77777777" w:rsidR="0020382F" w:rsidRPr="006647A8" w:rsidRDefault="00D90EF6" w:rsidP="00B8058E">
      <w:r w:rsidRPr="006647A8">
        <w:t>There are no special circumstances for the proposed data collection efforts.</w:t>
      </w:r>
    </w:p>
    <w:p w14:paraId="3CA25CDF" w14:textId="6D0F9194" w:rsidR="002338AC" w:rsidRPr="000E7AEF" w:rsidRDefault="002338AC" w:rsidP="00B8058E">
      <w:pPr>
        <w:rPr>
          <w:b/>
        </w:rPr>
      </w:pPr>
    </w:p>
    <w:p w14:paraId="3BD1A6A9" w14:textId="77777777" w:rsidR="00D90EF6" w:rsidRPr="000E7AEF" w:rsidRDefault="00292B70" w:rsidP="002A3D4A">
      <w:pPr>
        <w:pStyle w:val="OMB1"/>
        <w:outlineLvl w:val="0"/>
      </w:pPr>
      <w:bookmarkStart w:id="15" w:name="_Toc469922500"/>
      <w:r w:rsidRPr="000E7AEF">
        <w:t xml:space="preserve">A8. </w:t>
      </w:r>
      <w:r w:rsidR="00945CD6" w:rsidRPr="000E7AEF">
        <w:t>Federal Register Notice and Consultation</w:t>
      </w:r>
      <w:bookmarkEnd w:id="15"/>
    </w:p>
    <w:p w14:paraId="74F37E74" w14:textId="77777777" w:rsidR="00B8058E" w:rsidRPr="000E7AEF" w:rsidRDefault="00B8058E" w:rsidP="00B8058E">
      <w:pPr>
        <w:rPr>
          <w:b/>
          <w:i/>
        </w:rPr>
      </w:pPr>
    </w:p>
    <w:p w14:paraId="3C4718E9" w14:textId="77777777" w:rsidR="00B91D97" w:rsidRPr="000E7AEF" w:rsidRDefault="00B91D97" w:rsidP="002024DE">
      <w:pPr>
        <w:pStyle w:val="OMB2"/>
        <w:outlineLvl w:val="1"/>
      </w:pPr>
      <w:bookmarkStart w:id="16" w:name="_Toc469922501"/>
      <w:r w:rsidRPr="000E7AEF">
        <w:t>Federal Register Notice and Comments</w:t>
      </w:r>
      <w:bookmarkEnd w:id="16"/>
    </w:p>
    <w:p w14:paraId="2DC12102" w14:textId="34409E10" w:rsidR="00624352" w:rsidRDefault="00624352" w:rsidP="00624352">
      <w:proofErr w:type="gramStart"/>
      <w:r>
        <w:rPr>
          <w:color w:val="000000"/>
        </w:rPr>
        <w:t>In accordance with the Paperwork Reduction Act of 1995 (Pub.</w:t>
      </w:r>
      <w:proofErr w:type="gramEnd"/>
      <w:r>
        <w:rPr>
          <w:color w:val="000000"/>
        </w:rPr>
        <w:t xml:space="preserve"> L. 104-13) and Office of Management and Budget (OMB) regulations at 5 CFR Part 1320 (60 FR 44978, August 29, 1995), ACF published a notice in the Federal Register announcing the agency’s intention to request an OMB review of the generic clearance for information collection. This notice was published on </w:t>
      </w:r>
      <w:r w:rsidR="00045975" w:rsidRPr="00CF5004">
        <w:t>September 15, 2014, Volume 79, Number 178, page 54985</w:t>
      </w:r>
      <w:r>
        <w:rPr>
          <w:color w:val="000000"/>
        </w:rPr>
        <w:t>, and provided a sixty-day period for public comment. The second notice was published on</w:t>
      </w:r>
      <w:r w:rsidR="00045975">
        <w:rPr>
          <w:color w:val="000000"/>
        </w:rPr>
        <w:t xml:space="preserve"> January 9, 2015, Volume 80, Number 6, page 1420</w:t>
      </w:r>
      <w:r>
        <w:rPr>
          <w:color w:val="000000"/>
        </w:rPr>
        <w:t>, and provided a thirty-day period for public comment. ACF did not receive any comments.</w:t>
      </w:r>
    </w:p>
    <w:p w14:paraId="0E93645C" w14:textId="0B5DEFB1" w:rsidR="008F10A2" w:rsidRPr="000E7AEF" w:rsidRDefault="008F10A2" w:rsidP="00B8058E"/>
    <w:p w14:paraId="477DDC5D" w14:textId="77777777" w:rsidR="00B91D97" w:rsidRPr="000E7AEF" w:rsidRDefault="00B91D97" w:rsidP="002024DE">
      <w:pPr>
        <w:pStyle w:val="OMB2"/>
        <w:outlineLvl w:val="1"/>
      </w:pPr>
      <w:bookmarkStart w:id="17" w:name="_Toc469922502"/>
      <w:r w:rsidRPr="000E7AEF">
        <w:t>Consultation with Experts Outside of the Study</w:t>
      </w:r>
      <w:bookmarkEnd w:id="17"/>
    </w:p>
    <w:p w14:paraId="4073A58A" w14:textId="53C8877C" w:rsidR="00624352" w:rsidRPr="00062280" w:rsidRDefault="00624352" w:rsidP="00624352">
      <w:r w:rsidRPr="00062280">
        <w:t xml:space="preserve">The </w:t>
      </w:r>
      <w:r w:rsidR="00DB6283">
        <w:t>CCL P</w:t>
      </w:r>
      <w:r w:rsidRPr="00062280">
        <w:t xml:space="preserve">roject </w:t>
      </w:r>
      <w:r w:rsidR="00062280" w:rsidRPr="00062280">
        <w:t>will</w:t>
      </w:r>
      <w:r w:rsidRPr="00062280">
        <w:t xml:space="preserve"> benefit from consultation with experts who </w:t>
      </w:r>
      <w:r w:rsidR="00062280" w:rsidRPr="00062280">
        <w:t xml:space="preserve">will </w:t>
      </w:r>
      <w:r w:rsidRPr="00062280">
        <w:t>serve on an expert panel to provide guidance on this project and</w:t>
      </w:r>
      <w:r w:rsidR="00B14B5D">
        <w:t xml:space="preserve"> specifically</w:t>
      </w:r>
      <w:r w:rsidRPr="00062280">
        <w:t xml:space="preserve"> the development of </w:t>
      </w:r>
      <w:r w:rsidR="00062280" w:rsidRPr="00062280">
        <w:t xml:space="preserve">the project plan and feasibility study. </w:t>
      </w:r>
      <w:r w:rsidRPr="00062280">
        <w:t>Experts include:</w:t>
      </w:r>
    </w:p>
    <w:p w14:paraId="2FA262CB" w14:textId="7C5A2374" w:rsidR="00624352" w:rsidRPr="00062280" w:rsidRDefault="00624352" w:rsidP="00624352">
      <w:pPr>
        <w:ind w:firstLine="720"/>
      </w:pPr>
    </w:p>
    <w:p w14:paraId="4D11EDBE" w14:textId="2D1BA108" w:rsidR="00624352" w:rsidRDefault="00922285" w:rsidP="00624352">
      <w:pPr>
        <w:widowControl w:val="0"/>
        <w:numPr>
          <w:ilvl w:val="0"/>
          <w:numId w:val="18"/>
        </w:numPr>
        <w:tabs>
          <w:tab w:val="left" w:pos="220"/>
          <w:tab w:val="left" w:pos="360"/>
          <w:tab w:val="left" w:pos="720"/>
        </w:tabs>
        <w:autoSpaceDE w:val="0"/>
        <w:autoSpaceDN w:val="0"/>
        <w:adjustRightInd w:val="0"/>
        <w:ind w:left="720" w:right="360"/>
      </w:pPr>
      <w:r w:rsidRPr="00922285">
        <w:t xml:space="preserve">Lindsey Allard </w:t>
      </w:r>
      <w:proofErr w:type="spellStart"/>
      <w:r w:rsidRPr="00922285">
        <w:t>Agnamba</w:t>
      </w:r>
      <w:proofErr w:type="spellEnd"/>
      <w:r w:rsidR="00624352" w:rsidRPr="00922285">
        <w:t xml:space="preserve">, </w:t>
      </w:r>
      <w:r>
        <w:t>School Readiness Consulting</w:t>
      </w:r>
    </w:p>
    <w:p w14:paraId="17FD75AB" w14:textId="5FF6C7BE" w:rsidR="00922285" w:rsidRPr="00922285" w:rsidRDefault="00922285" w:rsidP="00B14B5D">
      <w:pPr>
        <w:widowControl w:val="0"/>
        <w:numPr>
          <w:ilvl w:val="0"/>
          <w:numId w:val="18"/>
        </w:numPr>
        <w:tabs>
          <w:tab w:val="left" w:pos="220"/>
          <w:tab w:val="left" w:pos="360"/>
          <w:tab w:val="left" w:pos="720"/>
        </w:tabs>
        <w:autoSpaceDE w:val="0"/>
        <w:autoSpaceDN w:val="0"/>
        <w:adjustRightInd w:val="0"/>
        <w:ind w:left="720" w:right="360"/>
      </w:pPr>
      <w:r>
        <w:t xml:space="preserve">Karen </w:t>
      </w:r>
      <w:proofErr w:type="spellStart"/>
      <w:r>
        <w:t>Bierman</w:t>
      </w:r>
      <w:proofErr w:type="spellEnd"/>
      <w:r>
        <w:t xml:space="preserve">, </w:t>
      </w:r>
      <w:r w:rsidR="00B14B5D" w:rsidRPr="00B14B5D">
        <w:t>Penn State University</w:t>
      </w:r>
    </w:p>
    <w:p w14:paraId="46D0BA76" w14:textId="6C9600AD" w:rsidR="00922285" w:rsidRDefault="00922285" w:rsidP="00B14B5D">
      <w:pPr>
        <w:widowControl w:val="0"/>
        <w:numPr>
          <w:ilvl w:val="0"/>
          <w:numId w:val="18"/>
        </w:numPr>
        <w:tabs>
          <w:tab w:val="left" w:pos="220"/>
          <w:tab w:val="left" w:pos="360"/>
          <w:tab w:val="left" w:pos="720"/>
        </w:tabs>
        <w:autoSpaceDE w:val="0"/>
        <w:autoSpaceDN w:val="0"/>
        <w:adjustRightInd w:val="0"/>
        <w:ind w:left="720" w:right="360"/>
      </w:pPr>
      <w:r w:rsidRPr="00922285">
        <w:t xml:space="preserve">Paula </w:t>
      </w:r>
      <w:proofErr w:type="spellStart"/>
      <w:r w:rsidRPr="00922285">
        <w:t>Jorde</w:t>
      </w:r>
      <w:proofErr w:type="spellEnd"/>
      <w:r w:rsidRPr="00922285">
        <w:t xml:space="preserve"> Bloom</w:t>
      </w:r>
      <w:r w:rsidR="00624352" w:rsidRPr="00922285">
        <w:t xml:space="preserve">, </w:t>
      </w:r>
      <w:r w:rsidR="00B14B5D" w:rsidRPr="00B14B5D">
        <w:t>McCormick Center for Early Childhood Leadership at National Louis University</w:t>
      </w:r>
    </w:p>
    <w:p w14:paraId="039D7339" w14:textId="67F5DDF6" w:rsidR="00624352" w:rsidRDefault="00922285" w:rsidP="00B14B5D">
      <w:pPr>
        <w:widowControl w:val="0"/>
        <w:numPr>
          <w:ilvl w:val="0"/>
          <w:numId w:val="18"/>
        </w:numPr>
        <w:tabs>
          <w:tab w:val="left" w:pos="220"/>
          <w:tab w:val="left" w:pos="360"/>
          <w:tab w:val="left" w:pos="720"/>
        </w:tabs>
        <w:autoSpaceDE w:val="0"/>
        <w:autoSpaceDN w:val="0"/>
        <w:adjustRightInd w:val="0"/>
        <w:ind w:left="720" w:right="360"/>
      </w:pPr>
      <w:r w:rsidRPr="00922285">
        <w:t>Debi Mathias</w:t>
      </w:r>
      <w:r w:rsidR="00624352" w:rsidRPr="00922285">
        <w:t xml:space="preserve">, </w:t>
      </w:r>
      <w:r w:rsidR="00B14B5D" w:rsidRPr="00B14B5D">
        <w:t>BUILD Initiative</w:t>
      </w:r>
    </w:p>
    <w:p w14:paraId="31E12A40" w14:textId="740D3E16" w:rsidR="00922285" w:rsidRDefault="00B14B5D" w:rsidP="00B14B5D">
      <w:pPr>
        <w:widowControl w:val="0"/>
        <w:numPr>
          <w:ilvl w:val="0"/>
          <w:numId w:val="18"/>
        </w:numPr>
        <w:tabs>
          <w:tab w:val="left" w:pos="220"/>
          <w:tab w:val="left" w:pos="360"/>
          <w:tab w:val="left" w:pos="720"/>
        </w:tabs>
        <w:autoSpaceDE w:val="0"/>
        <w:autoSpaceDN w:val="0"/>
        <w:adjustRightInd w:val="0"/>
        <w:ind w:left="720" w:right="360"/>
      </w:pPr>
      <w:r>
        <w:t>Megan McCl</w:t>
      </w:r>
      <w:r w:rsidR="00922285">
        <w:t xml:space="preserve">elland, </w:t>
      </w:r>
      <w:r w:rsidRPr="00B14B5D">
        <w:t>Oregon State University</w:t>
      </w:r>
    </w:p>
    <w:p w14:paraId="4758469A" w14:textId="5BD3BDA9" w:rsidR="00922285" w:rsidRDefault="00922285" w:rsidP="00922285">
      <w:pPr>
        <w:widowControl w:val="0"/>
        <w:numPr>
          <w:ilvl w:val="0"/>
          <w:numId w:val="18"/>
        </w:numPr>
        <w:tabs>
          <w:tab w:val="left" w:pos="220"/>
          <w:tab w:val="left" w:pos="360"/>
          <w:tab w:val="left" w:pos="720"/>
        </w:tabs>
        <w:autoSpaceDE w:val="0"/>
        <w:autoSpaceDN w:val="0"/>
        <w:adjustRightInd w:val="0"/>
        <w:ind w:left="720" w:right="360"/>
      </w:pPr>
      <w:r>
        <w:t>Allison Metz, National Implementation Research Network</w:t>
      </w:r>
    </w:p>
    <w:p w14:paraId="651FE598" w14:textId="3F7EF92C" w:rsidR="00922285" w:rsidRDefault="00922285" w:rsidP="00B14B5D">
      <w:pPr>
        <w:widowControl w:val="0"/>
        <w:numPr>
          <w:ilvl w:val="0"/>
          <w:numId w:val="18"/>
        </w:numPr>
        <w:tabs>
          <w:tab w:val="left" w:pos="220"/>
          <w:tab w:val="left" w:pos="360"/>
          <w:tab w:val="left" w:pos="720"/>
        </w:tabs>
        <w:autoSpaceDE w:val="0"/>
        <w:autoSpaceDN w:val="0"/>
        <w:adjustRightInd w:val="0"/>
        <w:ind w:left="720" w:right="360"/>
      </w:pPr>
      <w:r>
        <w:t xml:space="preserve">Pamela Morris, </w:t>
      </w:r>
      <w:r w:rsidR="00B14B5D" w:rsidRPr="00B14B5D">
        <w:t>New York University</w:t>
      </w:r>
    </w:p>
    <w:p w14:paraId="50B4FA85" w14:textId="09039615" w:rsidR="00922285" w:rsidRPr="00922285" w:rsidRDefault="00922285" w:rsidP="00B14B5D">
      <w:pPr>
        <w:widowControl w:val="0"/>
        <w:numPr>
          <w:ilvl w:val="0"/>
          <w:numId w:val="18"/>
        </w:numPr>
        <w:tabs>
          <w:tab w:val="left" w:pos="220"/>
          <w:tab w:val="left" w:pos="360"/>
          <w:tab w:val="left" w:pos="720"/>
        </w:tabs>
        <w:autoSpaceDE w:val="0"/>
        <w:autoSpaceDN w:val="0"/>
        <w:adjustRightInd w:val="0"/>
        <w:ind w:left="720" w:right="360"/>
      </w:pPr>
      <w:r w:rsidRPr="00922285">
        <w:t xml:space="preserve">Yvette Rodriguez, </w:t>
      </w:r>
      <w:r w:rsidR="00B14B5D" w:rsidRPr="00B14B5D">
        <w:t xml:space="preserve">Vice President, Head Start &amp; Children Services; Action for </w:t>
      </w:r>
      <w:bookmarkStart w:id="18" w:name="_GoBack"/>
      <w:r w:rsidR="00B14B5D" w:rsidRPr="00B14B5D">
        <w:t>Boston</w:t>
      </w:r>
      <w:bookmarkEnd w:id="18"/>
      <w:r w:rsidR="00B14B5D" w:rsidRPr="00B14B5D">
        <w:t xml:space="preserve"> Community Development</w:t>
      </w:r>
    </w:p>
    <w:p w14:paraId="65909FE2" w14:textId="6826760F" w:rsidR="00922285" w:rsidRPr="00922285" w:rsidRDefault="00922285" w:rsidP="00B14B5D">
      <w:pPr>
        <w:widowControl w:val="0"/>
        <w:numPr>
          <w:ilvl w:val="0"/>
          <w:numId w:val="18"/>
        </w:numPr>
        <w:tabs>
          <w:tab w:val="left" w:pos="220"/>
          <w:tab w:val="left" w:pos="360"/>
          <w:tab w:val="left" w:pos="720"/>
        </w:tabs>
        <w:autoSpaceDE w:val="0"/>
        <w:autoSpaceDN w:val="0"/>
        <w:adjustRightInd w:val="0"/>
        <w:ind w:left="720" w:right="360"/>
      </w:pPr>
      <w:r w:rsidRPr="00922285">
        <w:t xml:space="preserve">Andrea </w:t>
      </w:r>
      <w:proofErr w:type="spellStart"/>
      <w:r w:rsidRPr="00922285">
        <w:t>Urbano</w:t>
      </w:r>
      <w:proofErr w:type="spellEnd"/>
      <w:r w:rsidR="00B14B5D">
        <w:t>, University</w:t>
      </w:r>
      <w:r w:rsidR="00B14B5D" w:rsidRPr="00B14B5D">
        <w:t xml:space="preserve"> of Mass</w:t>
      </w:r>
      <w:r w:rsidR="00B14B5D">
        <w:t xml:space="preserve">achusetts, </w:t>
      </w:r>
      <w:r w:rsidR="00B14B5D" w:rsidRPr="00B14B5D">
        <w:t>Donahue Institute</w:t>
      </w:r>
    </w:p>
    <w:p w14:paraId="522ED0F5" w14:textId="59D471F4" w:rsidR="00922285" w:rsidRPr="00922285" w:rsidRDefault="00922285" w:rsidP="00922285">
      <w:pPr>
        <w:widowControl w:val="0"/>
        <w:numPr>
          <w:ilvl w:val="0"/>
          <w:numId w:val="18"/>
        </w:numPr>
        <w:tabs>
          <w:tab w:val="left" w:pos="220"/>
          <w:tab w:val="left" w:pos="360"/>
          <w:tab w:val="left" w:pos="720"/>
        </w:tabs>
        <w:autoSpaceDE w:val="0"/>
        <w:autoSpaceDN w:val="0"/>
        <w:adjustRightInd w:val="0"/>
        <w:ind w:left="720" w:right="360"/>
      </w:pPr>
      <w:r>
        <w:lastRenderedPageBreak/>
        <w:t xml:space="preserve">Adam </w:t>
      </w:r>
      <w:proofErr w:type="spellStart"/>
      <w:r>
        <w:t>Winsler</w:t>
      </w:r>
      <w:proofErr w:type="spellEnd"/>
      <w:r>
        <w:t>, George Mason University</w:t>
      </w:r>
    </w:p>
    <w:p w14:paraId="5A6FF848" w14:textId="77777777" w:rsidR="00B14B5D" w:rsidRDefault="00B14B5D" w:rsidP="00292B70"/>
    <w:p w14:paraId="4279D583" w14:textId="45BD4886" w:rsidR="004778EC" w:rsidRDefault="004778EC" w:rsidP="00292B70">
      <w:r>
        <w:t>In addition, the following experts have agreed to provide one-on-one consultation to the CCL Project, as necessary, given their content expertise:</w:t>
      </w:r>
    </w:p>
    <w:p w14:paraId="09940630" w14:textId="77777777" w:rsidR="00246382" w:rsidRDefault="00246382" w:rsidP="00292B70"/>
    <w:p w14:paraId="402BDA2A" w14:textId="53617E3B" w:rsidR="00B14B5D" w:rsidRDefault="00B14B5D" w:rsidP="00A01A87">
      <w:pPr>
        <w:widowControl w:val="0"/>
        <w:numPr>
          <w:ilvl w:val="0"/>
          <w:numId w:val="18"/>
        </w:numPr>
        <w:tabs>
          <w:tab w:val="left" w:pos="220"/>
          <w:tab w:val="left" w:pos="360"/>
          <w:tab w:val="left" w:pos="720"/>
        </w:tabs>
        <w:autoSpaceDE w:val="0"/>
        <w:autoSpaceDN w:val="0"/>
        <w:adjustRightInd w:val="0"/>
        <w:ind w:left="720" w:right="360"/>
      </w:pPr>
      <w:r w:rsidRPr="00B14B5D">
        <w:t xml:space="preserve">Anthony </w:t>
      </w:r>
      <w:proofErr w:type="spellStart"/>
      <w:r w:rsidRPr="00B14B5D">
        <w:t>Bryk</w:t>
      </w:r>
      <w:proofErr w:type="spellEnd"/>
      <w:r>
        <w:t>, Carnegie Foundation</w:t>
      </w:r>
      <w:r w:rsidR="00A01A87" w:rsidRPr="00A01A87">
        <w:t xml:space="preserve"> for the Advancement of Teaching</w:t>
      </w:r>
    </w:p>
    <w:p w14:paraId="25DE58E7" w14:textId="77777777" w:rsidR="00B14B5D" w:rsidRDefault="00B14B5D" w:rsidP="00B14B5D">
      <w:pPr>
        <w:widowControl w:val="0"/>
        <w:numPr>
          <w:ilvl w:val="0"/>
          <w:numId w:val="18"/>
        </w:numPr>
        <w:tabs>
          <w:tab w:val="left" w:pos="220"/>
          <w:tab w:val="left" w:pos="360"/>
          <w:tab w:val="left" w:pos="720"/>
        </w:tabs>
        <w:autoSpaceDE w:val="0"/>
        <w:autoSpaceDN w:val="0"/>
        <w:adjustRightInd w:val="0"/>
        <w:ind w:left="720" w:right="360"/>
      </w:pPr>
      <w:r w:rsidRPr="00B14B5D">
        <w:t>Jason Downer</w:t>
      </w:r>
      <w:r>
        <w:t>, University of Virginia</w:t>
      </w:r>
    </w:p>
    <w:p w14:paraId="76E846FD" w14:textId="59E9C56D" w:rsidR="00B14B5D" w:rsidRDefault="00B14B5D" w:rsidP="00B14B5D">
      <w:pPr>
        <w:widowControl w:val="0"/>
        <w:numPr>
          <w:ilvl w:val="0"/>
          <w:numId w:val="18"/>
        </w:numPr>
        <w:tabs>
          <w:tab w:val="left" w:pos="220"/>
          <w:tab w:val="left" w:pos="360"/>
          <w:tab w:val="left" w:pos="720"/>
        </w:tabs>
        <w:autoSpaceDE w:val="0"/>
        <w:autoSpaceDN w:val="0"/>
        <w:adjustRightInd w:val="0"/>
        <w:ind w:left="720" w:right="360"/>
      </w:pPr>
      <w:r>
        <w:t>Steven Ellis, Independent consultant</w:t>
      </w:r>
      <w:r w:rsidR="00C907AB">
        <w:t xml:space="preserve"> on evaluation methodology</w:t>
      </w:r>
    </w:p>
    <w:p w14:paraId="4C204A73" w14:textId="3FA352E7" w:rsidR="004778EC" w:rsidRDefault="00B14B5D" w:rsidP="00B14B5D">
      <w:pPr>
        <w:widowControl w:val="0"/>
        <w:numPr>
          <w:ilvl w:val="0"/>
          <w:numId w:val="18"/>
        </w:numPr>
        <w:tabs>
          <w:tab w:val="left" w:pos="220"/>
          <w:tab w:val="left" w:pos="360"/>
          <w:tab w:val="left" w:pos="720"/>
        </w:tabs>
        <w:autoSpaceDE w:val="0"/>
        <w:autoSpaceDN w:val="0"/>
        <w:adjustRightInd w:val="0"/>
        <w:ind w:left="720" w:right="360"/>
      </w:pPr>
      <w:r w:rsidRPr="00B14B5D">
        <w:t>Walter Gilliam, Yale University</w:t>
      </w:r>
    </w:p>
    <w:p w14:paraId="2286BE7E" w14:textId="035147CC" w:rsidR="00B14B5D" w:rsidRPr="00B14B5D" w:rsidRDefault="00B14B5D" w:rsidP="00B14B5D">
      <w:pPr>
        <w:widowControl w:val="0"/>
        <w:numPr>
          <w:ilvl w:val="0"/>
          <w:numId w:val="18"/>
        </w:numPr>
        <w:tabs>
          <w:tab w:val="left" w:pos="220"/>
          <w:tab w:val="left" w:pos="360"/>
          <w:tab w:val="left" w:pos="720"/>
        </w:tabs>
        <w:autoSpaceDE w:val="0"/>
        <w:autoSpaceDN w:val="0"/>
        <w:adjustRightInd w:val="0"/>
        <w:ind w:left="720" w:right="360"/>
      </w:pPr>
      <w:r w:rsidRPr="00B14B5D">
        <w:t xml:space="preserve">Sabrina </w:t>
      </w:r>
      <w:proofErr w:type="spellStart"/>
      <w:r w:rsidRPr="00B14B5D">
        <w:t>Selk</w:t>
      </w:r>
      <w:proofErr w:type="spellEnd"/>
      <w:r>
        <w:t xml:space="preserve">, </w:t>
      </w:r>
      <w:r w:rsidRPr="00B14B5D">
        <w:t>National Institute for Children’s Health Quality</w:t>
      </w:r>
      <w:r>
        <w:t xml:space="preserve"> (NICHQ</w:t>
      </w:r>
      <w:r w:rsidRPr="00B14B5D">
        <w:t>)</w:t>
      </w:r>
    </w:p>
    <w:p w14:paraId="033FF707" w14:textId="77777777" w:rsidR="004778EC" w:rsidRPr="00062280" w:rsidRDefault="004778EC" w:rsidP="00292B70"/>
    <w:p w14:paraId="1C86A8BC" w14:textId="077677A0" w:rsidR="00D77219" w:rsidRDefault="00DB6283" w:rsidP="00292B70">
      <w:r>
        <w:t>The expert consultants and technical expert panel members</w:t>
      </w:r>
      <w:r w:rsidR="00062280" w:rsidRPr="00062280">
        <w:t>, however, are not involved in reviewing or consulting on the f</w:t>
      </w:r>
      <w:r w:rsidR="004778EC">
        <w:t>ormative information collection</w:t>
      </w:r>
      <w:r w:rsidR="00062280" w:rsidRPr="00062280">
        <w:t xml:space="preserve"> under this generic clearance request.</w:t>
      </w:r>
    </w:p>
    <w:p w14:paraId="338C26CA" w14:textId="77777777" w:rsidR="004778EC" w:rsidRPr="000E7AEF" w:rsidRDefault="004778EC" w:rsidP="00292B70">
      <w:pPr>
        <w:rPr>
          <w:b/>
        </w:rPr>
      </w:pPr>
    </w:p>
    <w:p w14:paraId="7503EF1D" w14:textId="77777777" w:rsidR="00945CD6" w:rsidRPr="000E7AEF" w:rsidRDefault="00292B70" w:rsidP="002024DE">
      <w:pPr>
        <w:pStyle w:val="OMB1"/>
        <w:outlineLvl w:val="0"/>
      </w:pPr>
      <w:bookmarkStart w:id="19" w:name="_Toc469922503"/>
      <w:r w:rsidRPr="000E7AEF">
        <w:t xml:space="preserve">A9. </w:t>
      </w:r>
      <w:r w:rsidR="00B66874" w:rsidRPr="000E7AEF">
        <w:t>Incentives for</w:t>
      </w:r>
      <w:r w:rsidR="00945CD6" w:rsidRPr="000E7AEF">
        <w:t xml:space="preserve"> Respondents</w:t>
      </w:r>
      <w:bookmarkEnd w:id="19"/>
    </w:p>
    <w:p w14:paraId="3FBC2657" w14:textId="7E13F35B" w:rsidR="005B3666" w:rsidRPr="006647A8" w:rsidRDefault="005B3666" w:rsidP="005B3666">
      <w:pPr>
        <w:rPr>
          <w:rFonts w:cs="TimesNewRoman"/>
        </w:rPr>
      </w:pPr>
      <w:r w:rsidRPr="006647A8">
        <w:rPr>
          <w:rFonts w:cs="TimesNewRoman"/>
        </w:rPr>
        <w:t xml:space="preserve">No incentives for respondents are proposed </w:t>
      </w:r>
      <w:r w:rsidR="00DC7826" w:rsidRPr="006647A8">
        <w:rPr>
          <w:rFonts w:cs="TimesNewRoman"/>
        </w:rPr>
        <w:t xml:space="preserve">under this generic clearance. </w:t>
      </w:r>
      <w:r w:rsidRPr="006647A8">
        <w:rPr>
          <w:rFonts w:cs="TimesNewRoman"/>
        </w:rPr>
        <w:t xml:space="preserve"> </w:t>
      </w:r>
    </w:p>
    <w:p w14:paraId="15E88C25" w14:textId="77777777" w:rsidR="005B3666" w:rsidRPr="000E7AEF" w:rsidRDefault="005B3666" w:rsidP="004222F8">
      <w:pPr>
        <w:spacing w:after="120"/>
        <w:rPr>
          <w:b/>
        </w:rPr>
      </w:pPr>
    </w:p>
    <w:p w14:paraId="155519B9" w14:textId="77777777" w:rsidR="004222F8" w:rsidRPr="000E7AEF" w:rsidRDefault="004222F8" w:rsidP="002024DE">
      <w:pPr>
        <w:pStyle w:val="OMB1"/>
        <w:outlineLvl w:val="0"/>
      </w:pPr>
      <w:bookmarkStart w:id="20" w:name="_Toc469922504"/>
      <w:r w:rsidRPr="000E7AEF">
        <w:t>A10. Privacy of Respondents</w:t>
      </w:r>
      <w:bookmarkEnd w:id="20"/>
    </w:p>
    <w:p w14:paraId="2726BAFF" w14:textId="77777777" w:rsidR="00DC2B8F" w:rsidRDefault="004222F8" w:rsidP="00DC2B8F">
      <w:pPr>
        <w:widowControl w:val="0"/>
        <w:autoSpaceDE w:val="0"/>
        <w:autoSpaceDN w:val="0"/>
        <w:adjustRightInd w:val="0"/>
        <w:rPr>
          <w:rFonts w:cs="Arial"/>
        </w:rPr>
      </w:pPr>
      <w:r w:rsidRPr="000E7AEF">
        <w:rPr>
          <w:rFonts w:cs="Arial"/>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DC2B8F">
        <w:rPr>
          <w:rFonts w:cs="Arial"/>
        </w:rPr>
        <w:t xml:space="preserve">This project falls outside of IRB requirements because the project does not constitute research (i.e., the information gathered will not </w:t>
      </w:r>
      <w:r w:rsidR="00DC2B8F" w:rsidRPr="00EA117C">
        <w:rPr>
          <w:rFonts w:cs="Arial"/>
        </w:rPr>
        <w:t>develop or contribute to generalizable knowledge</w:t>
      </w:r>
      <w:r w:rsidR="00DC2B8F">
        <w:rPr>
          <w:rFonts w:cs="Arial"/>
        </w:rPr>
        <w:t>).</w:t>
      </w:r>
    </w:p>
    <w:p w14:paraId="32749023" w14:textId="77777777" w:rsidR="004222F8" w:rsidRPr="000E7AEF" w:rsidRDefault="004222F8" w:rsidP="004222F8">
      <w:pPr>
        <w:widowControl w:val="0"/>
        <w:autoSpaceDE w:val="0"/>
        <w:autoSpaceDN w:val="0"/>
        <w:adjustRightInd w:val="0"/>
        <w:rPr>
          <w:rFonts w:cs="Arial"/>
          <w:szCs w:val="26"/>
        </w:rPr>
      </w:pPr>
    </w:p>
    <w:p w14:paraId="3CCA5705" w14:textId="2DFCACFF" w:rsidR="004222F8" w:rsidRPr="000E7AEF" w:rsidRDefault="006647A8" w:rsidP="004222F8">
      <w:pPr>
        <w:widowControl w:val="0"/>
        <w:autoSpaceDE w:val="0"/>
        <w:autoSpaceDN w:val="0"/>
        <w:adjustRightInd w:val="0"/>
        <w:rPr>
          <w:rFonts w:cs="Arial"/>
          <w:szCs w:val="26"/>
        </w:rPr>
      </w:pPr>
      <w:r>
        <w:rPr>
          <w:rFonts w:cs="Arial"/>
          <w:szCs w:val="26"/>
        </w:rPr>
        <w:t>T</w:t>
      </w:r>
      <w:r w:rsidR="00E9452C" w:rsidRPr="000E7AEF">
        <w:rPr>
          <w:rFonts w:cs="Arial"/>
          <w:szCs w:val="26"/>
        </w:rPr>
        <w:t xml:space="preserve">he </w:t>
      </w:r>
      <w:r w:rsidR="00B8058E" w:rsidRPr="000E7AEF">
        <w:rPr>
          <w:rFonts w:cs="Arial"/>
          <w:szCs w:val="26"/>
        </w:rPr>
        <w:t>c</w:t>
      </w:r>
      <w:r w:rsidR="004222F8" w:rsidRPr="000E7AEF">
        <w:rPr>
          <w:rFonts w:cs="Arial"/>
          <w:szCs w:val="26"/>
        </w:rPr>
        <w:t>ontractor</w:t>
      </w:r>
      <w:r w:rsidR="00B8058E" w:rsidRPr="000E7AEF">
        <w:rPr>
          <w:rFonts w:cs="Arial"/>
          <w:szCs w:val="26"/>
        </w:rPr>
        <w:t xml:space="preserve"> performing the data collection</w:t>
      </w:r>
      <w:r w:rsidR="004222F8" w:rsidRPr="000E7AEF">
        <w:rPr>
          <w:rFonts w:cs="Arial"/>
          <w:szCs w:val="26"/>
        </w:rPr>
        <w:t xml:space="preserve"> shall protect respondent privacy to the extent permitted by law and will comply with all Federal and Departmental regulations for private information. </w:t>
      </w:r>
      <w:r>
        <w:rPr>
          <w:rFonts w:cs="Arial"/>
          <w:szCs w:val="26"/>
        </w:rPr>
        <w:t xml:space="preserve">The Contractor has developed a Data Security Plan that protects respondents’ personally identifiable </w:t>
      </w:r>
      <w:r w:rsidRPr="00556448">
        <w:rPr>
          <w:rFonts w:cs="Arial"/>
          <w:szCs w:val="26"/>
        </w:rPr>
        <w:t xml:space="preserve">information (see Appendix </w:t>
      </w:r>
      <w:r w:rsidR="00FB77C3">
        <w:rPr>
          <w:rFonts w:cs="Arial"/>
          <w:szCs w:val="26"/>
        </w:rPr>
        <w:t>E</w:t>
      </w:r>
      <w:r w:rsidRPr="00556448">
        <w:rPr>
          <w:rFonts w:cs="Arial"/>
          <w:szCs w:val="26"/>
        </w:rPr>
        <w:t>).</w:t>
      </w:r>
      <w:r>
        <w:rPr>
          <w:rFonts w:cs="Arial"/>
          <w:szCs w:val="26"/>
        </w:rPr>
        <w:t xml:space="preserve"> </w:t>
      </w:r>
      <w:r w:rsidR="004222F8" w:rsidRPr="000E7AEF">
        <w:rPr>
          <w:rFonts w:cs="Arial"/>
          <w:szCs w:val="26"/>
        </w:rPr>
        <w:t xml:space="preserve">The Contractor shall ensure that all of its employees, subcontractors (at all tiers), and employees of each subcontractor, who perform work under this contract/subcontract, are trained on data privacy issues and comply with the above requirements. </w:t>
      </w:r>
    </w:p>
    <w:p w14:paraId="39793F85" w14:textId="77777777" w:rsidR="004222F8" w:rsidRPr="000E7AEF" w:rsidRDefault="004222F8" w:rsidP="004222F8">
      <w:pPr>
        <w:widowControl w:val="0"/>
        <w:autoSpaceDE w:val="0"/>
        <w:autoSpaceDN w:val="0"/>
        <w:adjustRightInd w:val="0"/>
        <w:rPr>
          <w:rFonts w:cs="Arial"/>
          <w:szCs w:val="26"/>
        </w:rPr>
      </w:pPr>
    </w:p>
    <w:p w14:paraId="499F818B" w14:textId="77777777" w:rsidR="00DC2B8F" w:rsidRDefault="00DC2B8F" w:rsidP="00DC2B8F">
      <w:pPr>
        <w:widowControl w:val="0"/>
        <w:autoSpaceDE w:val="0"/>
        <w:autoSpaceDN w:val="0"/>
        <w:adjustRightInd w:val="0"/>
        <w:rPr>
          <w:rFonts w:cs="Arial"/>
        </w:rPr>
      </w:pPr>
      <w:r w:rsidRPr="004E5D04">
        <w:rPr>
          <w:rFonts w:cs="Arial"/>
        </w:rPr>
        <w:t>As noted in Section A11, there is no sensitive information collected in this study.</w:t>
      </w:r>
      <w:r>
        <w:rPr>
          <w:rFonts w:cs="Arial"/>
        </w:rPr>
        <w:t xml:space="preserve"> </w:t>
      </w:r>
    </w:p>
    <w:p w14:paraId="7918E6EC" w14:textId="49A2732E" w:rsidR="00D77219" w:rsidRPr="000E7AEF" w:rsidRDefault="00D77219" w:rsidP="00D77219">
      <w:pPr>
        <w:widowControl w:val="0"/>
        <w:autoSpaceDE w:val="0"/>
        <w:autoSpaceDN w:val="0"/>
        <w:adjustRightInd w:val="0"/>
        <w:rPr>
          <w:rFonts w:cs="Tahoma"/>
          <w:szCs w:val="32"/>
        </w:rPr>
      </w:pPr>
    </w:p>
    <w:p w14:paraId="4B5FF06F" w14:textId="77777777" w:rsidR="00945CD6" w:rsidRPr="000E7AEF" w:rsidRDefault="00292B70" w:rsidP="002024DE">
      <w:pPr>
        <w:pStyle w:val="OMB1"/>
        <w:outlineLvl w:val="0"/>
      </w:pPr>
      <w:bookmarkStart w:id="21" w:name="_Toc469922505"/>
      <w:r w:rsidRPr="000E7AEF">
        <w:t xml:space="preserve">A11. </w:t>
      </w:r>
      <w:r w:rsidR="00945CD6" w:rsidRPr="000E7AEF">
        <w:t>Sensitive Questions</w:t>
      </w:r>
      <w:bookmarkEnd w:id="21"/>
    </w:p>
    <w:p w14:paraId="2A598D59" w14:textId="77777777" w:rsidR="005B3666" w:rsidRPr="006647A8" w:rsidRDefault="005B3666" w:rsidP="006647A8">
      <w:pPr>
        <w:widowControl w:val="0"/>
        <w:autoSpaceDE w:val="0"/>
        <w:autoSpaceDN w:val="0"/>
        <w:adjustRightInd w:val="0"/>
        <w:rPr>
          <w:rFonts w:cs="Arial"/>
          <w:szCs w:val="26"/>
        </w:rPr>
      </w:pPr>
      <w:r w:rsidRPr="006647A8">
        <w:rPr>
          <w:rFonts w:cs="Arial"/>
          <w:szCs w:val="26"/>
        </w:rPr>
        <w:t xml:space="preserve">There are no sensitive questions in this data collection. </w:t>
      </w:r>
    </w:p>
    <w:p w14:paraId="6CD75EDB" w14:textId="7B4F03B7" w:rsidR="00D77219" w:rsidRPr="000E7AEF" w:rsidRDefault="00D77219" w:rsidP="00292B70">
      <w:pPr>
        <w:rPr>
          <w:b/>
        </w:rPr>
      </w:pPr>
    </w:p>
    <w:p w14:paraId="1D5EDFA3" w14:textId="77777777" w:rsidR="00945CD6" w:rsidRPr="000E7AEF" w:rsidRDefault="00292B70" w:rsidP="002024DE">
      <w:pPr>
        <w:pStyle w:val="OMB1"/>
        <w:outlineLvl w:val="0"/>
      </w:pPr>
      <w:bookmarkStart w:id="22" w:name="_Toc469922506"/>
      <w:r w:rsidRPr="000E7AEF">
        <w:t xml:space="preserve">A12. </w:t>
      </w:r>
      <w:r w:rsidR="00945CD6" w:rsidRPr="000E7AEF">
        <w:t>Estimation of Information Collection Burden</w:t>
      </w:r>
      <w:bookmarkEnd w:id="22"/>
    </w:p>
    <w:p w14:paraId="1F69755C" w14:textId="77777777" w:rsidR="00A35B0D" w:rsidRPr="000E7AEF" w:rsidRDefault="00A35B0D" w:rsidP="002024DE">
      <w:pPr>
        <w:pStyle w:val="OMB2"/>
        <w:outlineLvl w:val="1"/>
      </w:pPr>
      <w:bookmarkStart w:id="23" w:name="_Toc469922508"/>
      <w:r w:rsidRPr="000E7AEF">
        <w:t>Newly Requested Information Collections</w:t>
      </w:r>
      <w:bookmarkEnd w:id="23"/>
    </w:p>
    <w:p w14:paraId="601C4A9D" w14:textId="1D2D1E09" w:rsidR="005C1633" w:rsidRDefault="005C1633" w:rsidP="00C17943">
      <w:pPr>
        <w:rPr>
          <w:rFonts w:cs="TimesNewRoman"/>
          <w:b/>
          <w:bCs/>
          <w:i/>
        </w:rPr>
      </w:pPr>
      <w:r w:rsidRPr="005C1633">
        <w:rPr>
          <w:rFonts w:cs="TimesNewRoman"/>
        </w:rPr>
        <w:t xml:space="preserve">The total hours </w:t>
      </w:r>
      <w:r w:rsidRPr="00C17943">
        <w:t>for</w:t>
      </w:r>
      <w:r w:rsidRPr="005C1633">
        <w:rPr>
          <w:rFonts w:cs="TimesNewRoman"/>
        </w:rPr>
        <w:t xml:space="preserve"> this data collection activity is estimated to be </w:t>
      </w:r>
      <w:r w:rsidR="009636CE">
        <w:rPr>
          <w:rFonts w:cs="TimesNewRoman"/>
        </w:rPr>
        <w:t>4</w:t>
      </w:r>
      <w:r w:rsidR="002F6073">
        <w:rPr>
          <w:rFonts w:cs="TimesNewRoman"/>
        </w:rPr>
        <w:t>0</w:t>
      </w:r>
      <w:r w:rsidRPr="003645AF">
        <w:rPr>
          <w:rFonts w:cs="TimesNewRoman"/>
        </w:rPr>
        <w:t xml:space="preserve"> hours,</w:t>
      </w:r>
      <w:r w:rsidRPr="005C1633">
        <w:rPr>
          <w:rFonts w:cs="TimesNewRoman"/>
        </w:rPr>
        <w:t xml:space="preserve"> including time for </w:t>
      </w:r>
      <w:r w:rsidR="00556448">
        <w:rPr>
          <w:rFonts w:cs="TimesNewRoman"/>
        </w:rPr>
        <w:t>outreach</w:t>
      </w:r>
      <w:r w:rsidRPr="005C1633">
        <w:rPr>
          <w:rFonts w:cs="TimesNewRoman"/>
        </w:rPr>
        <w:t xml:space="preserve">, scheduling, and participation in the </w:t>
      </w:r>
      <w:r w:rsidR="00556448">
        <w:rPr>
          <w:rFonts w:cs="TimesNewRoman"/>
        </w:rPr>
        <w:t xml:space="preserve">semi-structured discussion and completing the </w:t>
      </w:r>
      <w:r w:rsidR="002F6073">
        <w:rPr>
          <w:rFonts w:cs="TimesNewRoman"/>
        </w:rPr>
        <w:t>Strengths and Needs Assessment</w:t>
      </w:r>
      <w:r w:rsidRPr="005C1633">
        <w:rPr>
          <w:rFonts w:cs="TimesNewRoman"/>
        </w:rPr>
        <w:t>.</w:t>
      </w:r>
    </w:p>
    <w:p w14:paraId="3649A55A" w14:textId="77777777" w:rsidR="00A11FCA" w:rsidRPr="000E7AEF" w:rsidRDefault="00A11FCA" w:rsidP="002338AC">
      <w:pPr>
        <w:ind w:left="180"/>
        <w:rPr>
          <w:b/>
        </w:rPr>
      </w:pPr>
    </w:p>
    <w:p w14:paraId="42593C85" w14:textId="77777777" w:rsidR="00A35B0D" w:rsidRPr="000E7AEF" w:rsidRDefault="00A35B0D" w:rsidP="002024DE">
      <w:pPr>
        <w:pStyle w:val="OMB2"/>
        <w:outlineLvl w:val="1"/>
      </w:pPr>
      <w:bookmarkStart w:id="24" w:name="_Toc469922509"/>
      <w:r w:rsidRPr="000E7AEF">
        <w:t>Total Burden Requested Under this Information Collection</w:t>
      </w:r>
      <w:bookmarkEnd w:id="24"/>
    </w:p>
    <w:p w14:paraId="2C06F98F" w14:textId="0DA968F2" w:rsidR="00C17943" w:rsidRDefault="00C17943" w:rsidP="00C17943">
      <w:r w:rsidRPr="00764536">
        <w:t xml:space="preserve">The proposed information collection does not impose a financial burden on respondents. Respondents will not incur any expenses other than the time spent in conversation with the contractor. We will invite </w:t>
      </w:r>
      <w:r w:rsidR="00303CED">
        <w:t>representatives of 4</w:t>
      </w:r>
      <w:r w:rsidR="00FC215B" w:rsidRPr="00764536">
        <w:t>0</w:t>
      </w:r>
      <w:r w:rsidRPr="00764536">
        <w:t xml:space="preserve"> </w:t>
      </w:r>
      <w:r w:rsidR="00FC215B" w:rsidRPr="00764536">
        <w:t xml:space="preserve">child care and/or Head Start sites in </w:t>
      </w:r>
      <w:r w:rsidR="001135CF">
        <w:t>a constrained geographic</w:t>
      </w:r>
      <w:r w:rsidR="00FC215B" w:rsidRPr="00764536">
        <w:t xml:space="preserve"> area </w:t>
      </w:r>
      <w:r w:rsidRPr="00764536">
        <w:t xml:space="preserve">to participate in </w:t>
      </w:r>
      <w:r w:rsidR="00303CED">
        <w:t>the</w:t>
      </w:r>
      <w:r w:rsidR="00FC215B" w:rsidRPr="00764536">
        <w:t xml:space="preserve"> s</w:t>
      </w:r>
      <w:r w:rsidR="00303CED">
        <w:t>emi-structured</w:t>
      </w:r>
      <w:r w:rsidR="00FC215B" w:rsidRPr="00764536">
        <w:t xml:space="preserve"> group discussion sessions.  We anticipate </w:t>
      </w:r>
      <w:r w:rsidR="00303CED">
        <w:t xml:space="preserve">up to </w:t>
      </w:r>
      <w:r w:rsidR="002B4D45">
        <w:t xml:space="preserve">20 </w:t>
      </w:r>
      <w:r w:rsidR="00FC215B" w:rsidRPr="00764536">
        <w:t xml:space="preserve">participants will attend the </w:t>
      </w:r>
      <w:r w:rsidR="00303CED">
        <w:t xml:space="preserve">semi-structured </w:t>
      </w:r>
      <w:r w:rsidR="00FC215B" w:rsidRPr="00764536">
        <w:t>group discussions</w:t>
      </w:r>
      <w:r w:rsidR="00FB77C3">
        <w:t xml:space="preserve"> and complete the strengths and needs assessment</w:t>
      </w:r>
      <w:r w:rsidR="00FC215B" w:rsidRPr="00764536">
        <w:t>.</w:t>
      </w:r>
    </w:p>
    <w:p w14:paraId="5ECEC2A2" w14:textId="285CFDE8" w:rsidR="00C17943" w:rsidRDefault="00C17943" w:rsidP="00C17943"/>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88"/>
        <w:gridCol w:w="1388"/>
        <w:gridCol w:w="1392"/>
        <w:gridCol w:w="1299"/>
        <w:gridCol w:w="1094"/>
        <w:gridCol w:w="890"/>
        <w:gridCol w:w="990"/>
        <w:gridCol w:w="1035"/>
      </w:tblGrid>
      <w:tr w:rsidR="00CF4B8C" w:rsidRPr="00984D5E" w14:paraId="7E3FDC02" w14:textId="77777777" w:rsidTr="00CF4B8C">
        <w:trPr>
          <w:jc w:val="center"/>
        </w:trPr>
        <w:tc>
          <w:tcPr>
            <w:tcW w:w="1488" w:type="dxa"/>
            <w:shd w:val="clear" w:color="auto" w:fill="BFBFBF"/>
            <w:vAlign w:val="center"/>
          </w:tcPr>
          <w:p w14:paraId="0A68F7CF" w14:textId="77777777" w:rsidR="00C17943" w:rsidRPr="009763A3" w:rsidRDefault="00C17943" w:rsidP="00BE6B3E">
            <w:pPr>
              <w:jc w:val="center"/>
              <w:rPr>
                <w:sz w:val="20"/>
                <w:szCs w:val="20"/>
              </w:rPr>
            </w:pPr>
            <w:r w:rsidRPr="009763A3">
              <w:rPr>
                <w:sz w:val="20"/>
                <w:szCs w:val="20"/>
              </w:rPr>
              <w:t>Instrument</w:t>
            </w:r>
          </w:p>
        </w:tc>
        <w:tc>
          <w:tcPr>
            <w:tcW w:w="1388" w:type="dxa"/>
            <w:shd w:val="clear" w:color="auto" w:fill="BFBFBF"/>
            <w:vAlign w:val="center"/>
          </w:tcPr>
          <w:p w14:paraId="77F77A44" w14:textId="77777777" w:rsidR="00C17943" w:rsidRPr="009763A3" w:rsidRDefault="00C17943" w:rsidP="00BE6B3E">
            <w:pPr>
              <w:jc w:val="center"/>
              <w:rPr>
                <w:sz w:val="20"/>
                <w:szCs w:val="20"/>
              </w:rPr>
            </w:pPr>
            <w:r w:rsidRPr="009763A3">
              <w:rPr>
                <w:sz w:val="20"/>
                <w:szCs w:val="20"/>
              </w:rPr>
              <w:t>Total Number of Respondents</w:t>
            </w:r>
          </w:p>
        </w:tc>
        <w:tc>
          <w:tcPr>
            <w:tcW w:w="1392" w:type="dxa"/>
            <w:shd w:val="clear" w:color="auto" w:fill="BFBFBF"/>
            <w:vAlign w:val="center"/>
          </w:tcPr>
          <w:p w14:paraId="6C1A7A23" w14:textId="090C7149" w:rsidR="00C17943" w:rsidRPr="009763A3" w:rsidRDefault="00C17943" w:rsidP="00BE6B3E">
            <w:pPr>
              <w:jc w:val="center"/>
              <w:rPr>
                <w:sz w:val="20"/>
                <w:szCs w:val="20"/>
              </w:rPr>
            </w:pPr>
          </w:p>
        </w:tc>
        <w:tc>
          <w:tcPr>
            <w:tcW w:w="1299" w:type="dxa"/>
            <w:shd w:val="clear" w:color="auto" w:fill="BFBFBF"/>
            <w:vAlign w:val="center"/>
          </w:tcPr>
          <w:p w14:paraId="4ECC7F3C" w14:textId="77777777" w:rsidR="00C17943" w:rsidRPr="009763A3" w:rsidRDefault="00C17943" w:rsidP="00BE6B3E">
            <w:pPr>
              <w:jc w:val="center"/>
              <w:rPr>
                <w:sz w:val="20"/>
                <w:szCs w:val="20"/>
              </w:rPr>
            </w:pPr>
            <w:r w:rsidRPr="009763A3">
              <w:rPr>
                <w:sz w:val="20"/>
                <w:szCs w:val="20"/>
              </w:rPr>
              <w:t>Number of Responses Per Respondent</w:t>
            </w:r>
          </w:p>
        </w:tc>
        <w:tc>
          <w:tcPr>
            <w:tcW w:w="1094" w:type="dxa"/>
            <w:shd w:val="clear" w:color="auto" w:fill="BFBFBF"/>
            <w:vAlign w:val="center"/>
          </w:tcPr>
          <w:p w14:paraId="1639F7A4" w14:textId="77777777" w:rsidR="00C17943" w:rsidRPr="009763A3" w:rsidRDefault="00C17943" w:rsidP="00BE6B3E">
            <w:pPr>
              <w:jc w:val="center"/>
              <w:rPr>
                <w:sz w:val="20"/>
                <w:szCs w:val="20"/>
              </w:rPr>
            </w:pPr>
            <w:r w:rsidRPr="009763A3">
              <w:rPr>
                <w:sz w:val="20"/>
                <w:szCs w:val="20"/>
              </w:rPr>
              <w:t>Average Burden Hours Per Response</w:t>
            </w:r>
          </w:p>
        </w:tc>
        <w:tc>
          <w:tcPr>
            <w:tcW w:w="890" w:type="dxa"/>
            <w:shd w:val="clear" w:color="auto" w:fill="BFBFBF"/>
            <w:vAlign w:val="center"/>
          </w:tcPr>
          <w:p w14:paraId="48DE160F" w14:textId="77777777" w:rsidR="00C17943" w:rsidRPr="009763A3" w:rsidRDefault="00C17943" w:rsidP="00BE6B3E">
            <w:pPr>
              <w:jc w:val="center"/>
              <w:rPr>
                <w:bCs/>
                <w:sz w:val="20"/>
                <w:szCs w:val="20"/>
              </w:rPr>
            </w:pPr>
            <w:r w:rsidRPr="009763A3">
              <w:rPr>
                <w:bCs/>
                <w:sz w:val="20"/>
                <w:szCs w:val="20"/>
              </w:rPr>
              <w:t>Annual Burden Hours</w:t>
            </w:r>
          </w:p>
        </w:tc>
        <w:tc>
          <w:tcPr>
            <w:tcW w:w="990" w:type="dxa"/>
            <w:shd w:val="clear" w:color="auto" w:fill="BFBFBF"/>
            <w:vAlign w:val="center"/>
          </w:tcPr>
          <w:p w14:paraId="0B01223B" w14:textId="77777777" w:rsidR="00C17943" w:rsidRPr="009763A3" w:rsidRDefault="00C17943" w:rsidP="00BE6B3E">
            <w:pPr>
              <w:jc w:val="center"/>
              <w:rPr>
                <w:sz w:val="20"/>
                <w:szCs w:val="20"/>
              </w:rPr>
            </w:pPr>
            <w:r w:rsidRPr="009763A3">
              <w:rPr>
                <w:bCs/>
                <w:sz w:val="20"/>
                <w:szCs w:val="20"/>
              </w:rPr>
              <w:t>Average Hourly Wage</w:t>
            </w:r>
          </w:p>
        </w:tc>
        <w:tc>
          <w:tcPr>
            <w:tcW w:w="1035" w:type="dxa"/>
            <w:shd w:val="clear" w:color="auto" w:fill="BFBFBF"/>
            <w:vAlign w:val="center"/>
          </w:tcPr>
          <w:p w14:paraId="458AF0AC" w14:textId="77777777" w:rsidR="00C17943" w:rsidRPr="009763A3" w:rsidRDefault="00C17943" w:rsidP="00BE6B3E">
            <w:pPr>
              <w:jc w:val="center"/>
              <w:rPr>
                <w:sz w:val="20"/>
                <w:szCs w:val="20"/>
              </w:rPr>
            </w:pPr>
            <w:r w:rsidRPr="009763A3">
              <w:rPr>
                <w:bCs/>
                <w:sz w:val="20"/>
                <w:szCs w:val="20"/>
              </w:rPr>
              <w:t>Total Annual Cost</w:t>
            </w:r>
          </w:p>
        </w:tc>
      </w:tr>
      <w:tr w:rsidR="002420E9" w:rsidRPr="00984D5E" w14:paraId="41BCF967" w14:textId="77777777" w:rsidTr="00CF4B8C">
        <w:trPr>
          <w:trHeight w:val="432"/>
          <w:jc w:val="center"/>
        </w:trPr>
        <w:tc>
          <w:tcPr>
            <w:tcW w:w="1488" w:type="dxa"/>
            <w:vAlign w:val="center"/>
          </w:tcPr>
          <w:p w14:paraId="425983C3" w14:textId="7E785BA7" w:rsidR="002420E9" w:rsidRPr="000E7AEF" w:rsidRDefault="008B13A1" w:rsidP="00BE6B3E">
            <w:pPr>
              <w:tabs>
                <w:tab w:val="center" w:pos="4320"/>
                <w:tab w:val="right" w:pos="8640"/>
              </w:tabs>
              <w:rPr>
                <w:sz w:val="20"/>
                <w:szCs w:val="20"/>
              </w:rPr>
            </w:pPr>
            <w:r w:rsidRPr="000E7AEF">
              <w:rPr>
                <w:sz w:val="20"/>
                <w:szCs w:val="20"/>
              </w:rPr>
              <w:t>Semi-Structured Discussion</w:t>
            </w:r>
          </w:p>
        </w:tc>
        <w:tc>
          <w:tcPr>
            <w:tcW w:w="1388" w:type="dxa"/>
            <w:vAlign w:val="center"/>
          </w:tcPr>
          <w:p w14:paraId="7F20A375" w14:textId="6EB0E8AE" w:rsidR="002420E9" w:rsidRDefault="00B94386" w:rsidP="00BE6B3E">
            <w:pPr>
              <w:tabs>
                <w:tab w:val="center" w:pos="4320"/>
                <w:tab w:val="right" w:pos="8640"/>
              </w:tabs>
              <w:jc w:val="center"/>
              <w:rPr>
                <w:sz w:val="22"/>
              </w:rPr>
            </w:pPr>
            <w:r>
              <w:rPr>
                <w:sz w:val="22"/>
              </w:rPr>
              <w:t>20</w:t>
            </w:r>
          </w:p>
        </w:tc>
        <w:tc>
          <w:tcPr>
            <w:tcW w:w="1392" w:type="dxa"/>
            <w:vAlign w:val="center"/>
          </w:tcPr>
          <w:p w14:paraId="222BB49E" w14:textId="3D62A3BC" w:rsidR="002420E9" w:rsidRDefault="002420E9" w:rsidP="00BE6B3E">
            <w:pPr>
              <w:tabs>
                <w:tab w:val="center" w:pos="4320"/>
                <w:tab w:val="right" w:pos="8640"/>
              </w:tabs>
              <w:jc w:val="center"/>
              <w:rPr>
                <w:sz w:val="22"/>
              </w:rPr>
            </w:pPr>
          </w:p>
        </w:tc>
        <w:tc>
          <w:tcPr>
            <w:tcW w:w="1299" w:type="dxa"/>
            <w:vAlign w:val="center"/>
          </w:tcPr>
          <w:p w14:paraId="01BCE7A5" w14:textId="49A40E73" w:rsidR="002420E9" w:rsidRDefault="00C74AC1" w:rsidP="00BE6B3E">
            <w:pPr>
              <w:tabs>
                <w:tab w:val="center" w:pos="4320"/>
                <w:tab w:val="right" w:pos="8640"/>
              </w:tabs>
              <w:jc w:val="center"/>
              <w:rPr>
                <w:sz w:val="22"/>
              </w:rPr>
            </w:pPr>
            <w:r>
              <w:rPr>
                <w:sz w:val="22"/>
              </w:rPr>
              <w:t>1</w:t>
            </w:r>
          </w:p>
        </w:tc>
        <w:tc>
          <w:tcPr>
            <w:tcW w:w="1094" w:type="dxa"/>
            <w:vAlign w:val="center"/>
          </w:tcPr>
          <w:p w14:paraId="470F5B0A" w14:textId="1299FD7F" w:rsidR="002420E9" w:rsidRDefault="00B94386" w:rsidP="00BE6B3E">
            <w:pPr>
              <w:tabs>
                <w:tab w:val="center" w:pos="4320"/>
                <w:tab w:val="right" w:pos="8640"/>
              </w:tabs>
              <w:jc w:val="center"/>
              <w:rPr>
                <w:sz w:val="22"/>
              </w:rPr>
            </w:pPr>
            <w:r>
              <w:rPr>
                <w:sz w:val="22"/>
              </w:rPr>
              <w:t>1.5</w:t>
            </w:r>
          </w:p>
        </w:tc>
        <w:tc>
          <w:tcPr>
            <w:tcW w:w="890" w:type="dxa"/>
            <w:vAlign w:val="center"/>
          </w:tcPr>
          <w:p w14:paraId="33246E05" w14:textId="4ADEBC5C" w:rsidR="002420E9" w:rsidRDefault="002B4D45" w:rsidP="00BE6B3E">
            <w:pPr>
              <w:tabs>
                <w:tab w:val="center" w:pos="4320"/>
                <w:tab w:val="right" w:pos="8640"/>
              </w:tabs>
              <w:jc w:val="center"/>
              <w:rPr>
                <w:sz w:val="22"/>
              </w:rPr>
            </w:pPr>
            <w:r>
              <w:rPr>
                <w:sz w:val="22"/>
              </w:rPr>
              <w:t>30</w:t>
            </w:r>
          </w:p>
        </w:tc>
        <w:tc>
          <w:tcPr>
            <w:tcW w:w="990" w:type="dxa"/>
            <w:vAlign w:val="center"/>
          </w:tcPr>
          <w:p w14:paraId="179D8911" w14:textId="7241C709" w:rsidR="002420E9" w:rsidRDefault="00C74AC1" w:rsidP="00C17943">
            <w:pPr>
              <w:tabs>
                <w:tab w:val="center" w:pos="4320"/>
                <w:tab w:val="right" w:pos="8640"/>
              </w:tabs>
              <w:jc w:val="center"/>
              <w:rPr>
                <w:sz w:val="22"/>
              </w:rPr>
            </w:pPr>
            <w:r>
              <w:rPr>
                <w:sz w:val="22"/>
              </w:rPr>
              <w:t>$</w:t>
            </w:r>
            <w:r w:rsidR="00F2430B">
              <w:rPr>
                <w:sz w:val="22"/>
              </w:rPr>
              <w:t>20.22</w:t>
            </w:r>
          </w:p>
        </w:tc>
        <w:tc>
          <w:tcPr>
            <w:tcW w:w="1035" w:type="dxa"/>
            <w:vAlign w:val="center"/>
          </w:tcPr>
          <w:p w14:paraId="119FFD16" w14:textId="40959F9C" w:rsidR="002420E9" w:rsidRDefault="00B94386" w:rsidP="002B4D45">
            <w:pPr>
              <w:tabs>
                <w:tab w:val="center" w:pos="4320"/>
                <w:tab w:val="right" w:pos="8640"/>
              </w:tabs>
              <w:jc w:val="center"/>
              <w:rPr>
                <w:sz w:val="22"/>
              </w:rPr>
            </w:pPr>
            <w:r>
              <w:rPr>
                <w:sz w:val="22"/>
              </w:rPr>
              <w:t>$</w:t>
            </w:r>
            <w:r w:rsidR="002B4D45">
              <w:rPr>
                <w:sz w:val="22"/>
              </w:rPr>
              <w:t>6</w:t>
            </w:r>
            <w:r w:rsidR="00F2430B">
              <w:rPr>
                <w:sz w:val="22"/>
              </w:rPr>
              <w:t>06</w:t>
            </w:r>
            <w:r w:rsidR="003645AF">
              <w:rPr>
                <w:sz w:val="22"/>
              </w:rPr>
              <w:t>.6</w:t>
            </w:r>
            <w:r w:rsidR="002B4D45">
              <w:rPr>
                <w:sz w:val="22"/>
              </w:rPr>
              <w:t>0</w:t>
            </w:r>
          </w:p>
        </w:tc>
      </w:tr>
      <w:tr w:rsidR="003645AF" w:rsidRPr="00984D5E" w14:paraId="481450A9" w14:textId="77777777" w:rsidTr="00CF4B8C">
        <w:trPr>
          <w:trHeight w:val="432"/>
          <w:jc w:val="center"/>
        </w:trPr>
        <w:tc>
          <w:tcPr>
            <w:tcW w:w="1488" w:type="dxa"/>
            <w:vAlign w:val="center"/>
          </w:tcPr>
          <w:p w14:paraId="2ABCEE01" w14:textId="6967A5CF" w:rsidR="003645AF" w:rsidRPr="000E7AEF" w:rsidRDefault="002F6073" w:rsidP="002F6073">
            <w:pPr>
              <w:tabs>
                <w:tab w:val="center" w:pos="4320"/>
                <w:tab w:val="right" w:pos="8640"/>
              </w:tabs>
              <w:rPr>
                <w:sz w:val="20"/>
                <w:szCs w:val="20"/>
              </w:rPr>
            </w:pPr>
            <w:r>
              <w:rPr>
                <w:sz w:val="20"/>
                <w:szCs w:val="20"/>
              </w:rPr>
              <w:t>Strengths and Needs Assessment</w:t>
            </w:r>
          </w:p>
        </w:tc>
        <w:tc>
          <w:tcPr>
            <w:tcW w:w="1388" w:type="dxa"/>
            <w:vAlign w:val="center"/>
          </w:tcPr>
          <w:p w14:paraId="2D0362DF" w14:textId="40331630" w:rsidR="003645AF" w:rsidRDefault="002214DB" w:rsidP="003645AF">
            <w:pPr>
              <w:tabs>
                <w:tab w:val="center" w:pos="4320"/>
                <w:tab w:val="right" w:pos="8640"/>
              </w:tabs>
              <w:jc w:val="center"/>
              <w:rPr>
                <w:sz w:val="22"/>
              </w:rPr>
            </w:pPr>
            <w:r>
              <w:rPr>
                <w:sz w:val="22"/>
              </w:rPr>
              <w:t>2</w:t>
            </w:r>
            <w:r w:rsidR="003645AF">
              <w:rPr>
                <w:sz w:val="22"/>
              </w:rPr>
              <w:t>0</w:t>
            </w:r>
          </w:p>
        </w:tc>
        <w:tc>
          <w:tcPr>
            <w:tcW w:w="1392" w:type="dxa"/>
            <w:vAlign w:val="center"/>
          </w:tcPr>
          <w:p w14:paraId="75F4DBED" w14:textId="4850D3EF" w:rsidR="003645AF" w:rsidRDefault="003645AF" w:rsidP="003645AF">
            <w:pPr>
              <w:tabs>
                <w:tab w:val="center" w:pos="4320"/>
                <w:tab w:val="right" w:pos="8640"/>
              </w:tabs>
              <w:jc w:val="center"/>
              <w:rPr>
                <w:sz w:val="22"/>
              </w:rPr>
            </w:pPr>
          </w:p>
        </w:tc>
        <w:tc>
          <w:tcPr>
            <w:tcW w:w="1299" w:type="dxa"/>
            <w:vAlign w:val="center"/>
          </w:tcPr>
          <w:p w14:paraId="4DA607E9" w14:textId="7CCA390A" w:rsidR="003645AF" w:rsidRDefault="003645AF" w:rsidP="003645AF">
            <w:pPr>
              <w:tabs>
                <w:tab w:val="center" w:pos="4320"/>
                <w:tab w:val="right" w:pos="8640"/>
              </w:tabs>
              <w:jc w:val="center"/>
              <w:rPr>
                <w:sz w:val="22"/>
              </w:rPr>
            </w:pPr>
            <w:r>
              <w:rPr>
                <w:sz w:val="22"/>
              </w:rPr>
              <w:t>1</w:t>
            </w:r>
          </w:p>
        </w:tc>
        <w:tc>
          <w:tcPr>
            <w:tcW w:w="1094" w:type="dxa"/>
            <w:vAlign w:val="center"/>
          </w:tcPr>
          <w:p w14:paraId="758A5660" w14:textId="5FDF5A94" w:rsidR="003645AF" w:rsidRDefault="003645AF" w:rsidP="00B07527">
            <w:pPr>
              <w:tabs>
                <w:tab w:val="center" w:pos="4320"/>
                <w:tab w:val="right" w:pos="8640"/>
              </w:tabs>
              <w:jc w:val="center"/>
              <w:rPr>
                <w:sz w:val="22"/>
              </w:rPr>
            </w:pPr>
            <w:r>
              <w:rPr>
                <w:sz w:val="22"/>
              </w:rPr>
              <w:t>0.</w:t>
            </w:r>
            <w:r w:rsidR="00B07527">
              <w:rPr>
                <w:sz w:val="22"/>
              </w:rPr>
              <w:t>33</w:t>
            </w:r>
          </w:p>
        </w:tc>
        <w:tc>
          <w:tcPr>
            <w:tcW w:w="890" w:type="dxa"/>
            <w:vAlign w:val="center"/>
          </w:tcPr>
          <w:p w14:paraId="57208DD2" w14:textId="16A2C90B" w:rsidR="003645AF" w:rsidRDefault="00B07527" w:rsidP="003645AF">
            <w:pPr>
              <w:tabs>
                <w:tab w:val="center" w:pos="4320"/>
                <w:tab w:val="right" w:pos="8640"/>
              </w:tabs>
              <w:jc w:val="center"/>
              <w:rPr>
                <w:sz w:val="22"/>
              </w:rPr>
            </w:pPr>
            <w:r>
              <w:rPr>
                <w:sz w:val="22"/>
              </w:rPr>
              <w:t>7</w:t>
            </w:r>
          </w:p>
        </w:tc>
        <w:tc>
          <w:tcPr>
            <w:tcW w:w="990" w:type="dxa"/>
            <w:vAlign w:val="center"/>
          </w:tcPr>
          <w:p w14:paraId="16ED8F54" w14:textId="52DFB550" w:rsidR="003645AF" w:rsidRDefault="003645AF" w:rsidP="003645AF">
            <w:pPr>
              <w:tabs>
                <w:tab w:val="center" w:pos="4320"/>
                <w:tab w:val="right" w:pos="8640"/>
              </w:tabs>
              <w:jc w:val="center"/>
              <w:rPr>
                <w:sz w:val="22"/>
              </w:rPr>
            </w:pPr>
            <w:r>
              <w:rPr>
                <w:sz w:val="22"/>
              </w:rPr>
              <w:t>$20.22</w:t>
            </w:r>
          </w:p>
        </w:tc>
        <w:tc>
          <w:tcPr>
            <w:tcW w:w="1035" w:type="dxa"/>
            <w:vAlign w:val="center"/>
          </w:tcPr>
          <w:p w14:paraId="32A03B6B" w14:textId="7E076656" w:rsidR="003645AF" w:rsidRDefault="003645AF" w:rsidP="00B07527">
            <w:pPr>
              <w:tabs>
                <w:tab w:val="center" w:pos="4320"/>
                <w:tab w:val="right" w:pos="8640"/>
              </w:tabs>
              <w:jc w:val="center"/>
              <w:rPr>
                <w:sz w:val="22"/>
              </w:rPr>
            </w:pPr>
            <w:r>
              <w:rPr>
                <w:sz w:val="22"/>
              </w:rPr>
              <w:t>$</w:t>
            </w:r>
            <w:r w:rsidR="00B07527">
              <w:rPr>
                <w:sz w:val="22"/>
              </w:rPr>
              <w:t>141.54</w:t>
            </w:r>
          </w:p>
        </w:tc>
      </w:tr>
      <w:tr w:rsidR="003645AF" w:rsidRPr="00984D5E" w14:paraId="0062DE9E" w14:textId="77777777" w:rsidTr="00CF4B8C">
        <w:trPr>
          <w:jc w:val="center"/>
        </w:trPr>
        <w:tc>
          <w:tcPr>
            <w:tcW w:w="6661" w:type="dxa"/>
            <w:gridSpan w:val="5"/>
            <w:vAlign w:val="center"/>
          </w:tcPr>
          <w:p w14:paraId="1CEA3B5C" w14:textId="77777777" w:rsidR="003645AF" w:rsidRPr="00572A08" w:rsidRDefault="003645AF" w:rsidP="003645AF">
            <w:pPr>
              <w:tabs>
                <w:tab w:val="center" w:pos="4320"/>
                <w:tab w:val="right" w:pos="8640"/>
              </w:tabs>
              <w:jc w:val="right"/>
              <w:rPr>
                <w:b/>
                <w:sz w:val="22"/>
              </w:rPr>
            </w:pPr>
            <w:r w:rsidRPr="00572A08">
              <w:rPr>
                <w:b/>
                <w:sz w:val="22"/>
              </w:rPr>
              <w:t xml:space="preserve">Estimated Annual Burden Sub-total </w:t>
            </w:r>
          </w:p>
        </w:tc>
        <w:tc>
          <w:tcPr>
            <w:tcW w:w="890" w:type="dxa"/>
          </w:tcPr>
          <w:p w14:paraId="60F3F496" w14:textId="3D5F0188" w:rsidR="003645AF" w:rsidRPr="00572A08" w:rsidRDefault="003645AF" w:rsidP="003645AF">
            <w:pPr>
              <w:tabs>
                <w:tab w:val="center" w:pos="4320"/>
                <w:tab w:val="right" w:pos="8640"/>
              </w:tabs>
              <w:jc w:val="center"/>
              <w:rPr>
                <w:b/>
                <w:sz w:val="22"/>
              </w:rPr>
            </w:pPr>
            <w:r>
              <w:rPr>
                <w:b/>
                <w:sz w:val="22"/>
              </w:rPr>
              <w:t>4</w:t>
            </w:r>
            <w:r w:rsidR="002F6073">
              <w:rPr>
                <w:b/>
                <w:sz w:val="22"/>
              </w:rPr>
              <w:t>0</w:t>
            </w:r>
          </w:p>
        </w:tc>
        <w:tc>
          <w:tcPr>
            <w:tcW w:w="990" w:type="dxa"/>
          </w:tcPr>
          <w:p w14:paraId="09FB193A" w14:textId="77777777" w:rsidR="003645AF" w:rsidRPr="00572A08" w:rsidRDefault="003645AF" w:rsidP="003645AF">
            <w:pPr>
              <w:tabs>
                <w:tab w:val="center" w:pos="4320"/>
                <w:tab w:val="right" w:pos="8640"/>
              </w:tabs>
              <w:jc w:val="center"/>
              <w:rPr>
                <w:b/>
                <w:sz w:val="22"/>
              </w:rPr>
            </w:pPr>
          </w:p>
        </w:tc>
        <w:tc>
          <w:tcPr>
            <w:tcW w:w="1035" w:type="dxa"/>
            <w:vAlign w:val="center"/>
          </w:tcPr>
          <w:p w14:paraId="01038DC8" w14:textId="4E857D79" w:rsidR="003645AF" w:rsidRPr="00B169BF" w:rsidRDefault="003645AF" w:rsidP="00B07527">
            <w:pPr>
              <w:tabs>
                <w:tab w:val="center" w:pos="4320"/>
                <w:tab w:val="right" w:pos="8640"/>
              </w:tabs>
              <w:jc w:val="center"/>
              <w:rPr>
                <w:b/>
                <w:sz w:val="22"/>
              </w:rPr>
            </w:pPr>
            <w:r w:rsidRPr="00B169BF">
              <w:rPr>
                <w:b/>
                <w:sz w:val="22"/>
              </w:rPr>
              <w:t>$</w:t>
            </w:r>
            <w:r w:rsidR="00B07527">
              <w:rPr>
                <w:b/>
                <w:sz w:val="22"/>
              </w:rPr>
              <w:t>748.14</w:t>
            </w:r>
          </w:p>
        </w:tc>
      </w:tr>
    </w:tbl>
    <w:p w14:paraId="6C030646" w14:textId="77777777" w:rsidR="00C17943" w:rsidRPr="00984D5E" w:rsidRDefault="00C17943" w:rsidP="00C17943"/>
    <w:p w14:paraId="44B34C33" w14:textId="77777777" w:rsidR="00AB66D6" w:rsidRPr="000E7AEF" w:rsidRDefault="00AB66D6" w:rsidP="005046F0">
      <w:pPr>
        <w:ind w:left="360"/>
      </w:pPr>
    </w:p>
    <w:p w14:paraId="2D7F0790" w14:textId="77777777" w:rsidR="002338AC" w:rsidRPr="000E7AEF" w:rsidRDefault="002338AC" w:rsidP="002024DE">
      <w:pPr>
        <w:pStyle w:val="OMB2"/>
        <w:outlineLvl w:val="1"/>
      </w:pPr>
      <w:bookmarkStart w:id="25" w:name="_Toc469922510"/>
      <w:r w:rsidRPr="000E7AEF">
        <w:t>Total Annual Cost</w:t>
      </w:r>
      <w:bookmarkEnd w:id="25"/>
    </w:p>
    <w:p w14:paraId="37E0EFEF" w14:textId="2D0C265C" w:rsidR="00AA0D7F" w:rsidRPr="00B169BF" w:rsidRDefault="00AB66D6" w:rsidP="00AA0D7F">
      <w:pPr>
        <w:tabs>
          <w:tab w:val="left" w:pos="720"/>
        </w:tabs>
      </w:pPr>
      <w:r w:rsidRPr="000E7AEF">
        <w:t xml:space="preserve">To calculate the annualized cost to respondents for the hour burden, we assume that the typical respondent will be </w:t>
      </w:r>
      <w:r w:rsidR="00F2430B">
        <w:t>Head Start grantee staff</w:t>
      </w:r>
      <w:r w:rsidR="006818C1">
        <w:t xml:space="preserve"> (including Head Start collaboration managers/administrators)</w:t>
      </w:r>
      <w:r w:rsidRPr="000E7AEF">
        <w:t xml:space="preserve"> </w:t>
      </w:r>
      <w:r w:rsidR="00F2430B">
        <w:t>and child care</w:t>
      </w:r>
      <w:r w:rsidRPr="000E7AEF">
        <w:t xml:space="preserve"> service providers</w:t>
      </w:r>
      <w:r w:rsidR="006818C1">
        <w:t xml:space="preserve"> (both directors and teachers)</w:t>
      </w:r>
      <w:r w:rsidRPr="000E7AEF">
        <w:t>.</w:t>
      </w:r>
      <w:r w:rsidR="00921B4D" w:rsidRPr="000E7AEF">
        <w:t xml:space="preserve"> </w:t>
      </w:r>
      <w:r w:rsidRPr="000E7AEF">
        <w:t>Based on data on our expected respondents from the Bureau of Labor Statistics, we use a mean hourly wage of $2</w:t>
      </w:r>
      <w:r w:rsidR="009A5881">
        <w:t>0.22</w:t>
      </w:r>
      <w:r w:rsidRPr="000E7AEF">
        <w:rPr>
          <w:rStyle w:val="FootnoteReference"/>
        </w:rPr>
        <w:footnoteReference w:id="2"/>
      </w:r>
      <w:r w:rsidRPr="000E7AEF">
        <w:t>.</w:t>
      </w:r>
      <w:r w:rsidR="00AA0D7F" w:rsidRPr="00AA0D7F">
        <w:t xml:space="preserve"> </w:t>
      </w:r>
      <w:r w:rsidR="00AA0D7F" w:rsidRPr="00B169BF">
        <w:t>There will be no direct cost to the respondents other than their</w:t>
      </w:r>
      <w:r w:rsidR="003645AF">
        <w:t xml:space="preserve"> time to participate in the outreach materials</w:t>
      </w:r>
      <w:r w:rsidR="00AA0D7F" w:rsidRPr="00B169BF">
        <w:t xml:space="preserve">. </w:t>
      </w:r>
    </w:p>
    <w:p w14:paraId="7D51DA47" w14:textId="25C606F3" w:rsidR="00AB66D6" w:rsidRPr="000E7AEF" w:rsidRDefault="00AB66D6" w:rsidP="00AB66D6">
      <w:pPr>
        <w:tabs>
          <w:tab w:val="left" w:pos="540"/>
        </w:tabs>
      </w:pPr>
    </w:p>
    <w:p w14:paraId="482FD41F" w14:textId="77777777" w:rsidR="002338AC" w:rsidRPr="000E7AEF" w:rsidRDefault="002338AC" w:rsidP="005046F0">
      <w:pPr>
        <w:ind w:left="360"/>
      </w:pPr>
    </w:p>
    <w:p w14:paraId="6DE98CB0" w14:textId="77777777" w:rsidR="00945CD6" w:rsidRPr="000E7AEF" w:rsidRDefault="00292B70" w:rsidP="002024DE">
      <w:pPr>
        <w:pStyle w:val="OMB1"/>
        <w:outlineLvl w:val="0"/>
      </w:pPr>
      <w:bookmarkStart w:id="26" w:name="_Toc469922511"/>
      <w:r w:rsidRPr="000E7AEF">
        <w:t xml:space="preserve">A13. </w:t>
      </w:r>
      <w:r w:rsidR="00945CD6" w:rsidRPr="000E7AEF">
        <w:t>Cost Burden to Respondents or Record Keepers</w:t>
      </w:r>
      <w:bookmarkEnd w:id="26"/>
    </w:p>
    <w:p w14:paraId="33C73D91" w14:textId="77777777" w:rsidR="002338AC" w:rsidRPr="00185BCE" w:rsidRDefault="00B91D97" w:rsidP="00E7529F">
      <w:r w:rsidRPr="00185BCE">
        <w:t>There are no additional costs to respondents.</w:t>
      </w:r>
    </w:p>
    <w:p w14:paraId="14B96889" w14:textId="77777777" w:rsidR="00185BCE" w:rsidRDefault="00185BCE" w:rsidP="002024DE">
      <w:pPr>
        <w:pStyle w:val="OMB1"/>
        <w:outlineLvl w:val="0"/>
      </w:pPr>
      <w:bookmarkStart w:id="27" w:name="_Toc469922512"/>
    </w:p>
    <w:p w14:paraId="7D91A070" w14:textId="30324CCF" w:rsidR="00945CD6" w:rsidRPr="000E7AEF" w:rsidRDefault="00292B70" w:rsidP="002024DE">
      <w:pPr>
        <w:pStyle w:val="OMB1"/>
        <w:outlineLvl w:val="0"/>
      </w:pPr>
      <w:r w:rsidRPr="000E7AEF">
        <w:t xml:space="preserve">A14. </w:t>
      </w:r>
      <w:r w:rsidR="00945CD6" w:rsidRPr="000E7AEF">
        <w:t>Estimate of Cost to the Federal Government</w:t>
      </w:r>
      <w:bookmarkEnd w:id="27"/>
    </w:p>
    <w:p w14:paraId="43C890EA" w14:textId="3CB9FBA3" w:rsidR="00520737" w:rsidRPr="000E7AEF" w:rsidRDefault="00AA0D7F" w:rsidP="00FB3712">
      <w:r w:rsidRPr="00FB3712">
        <w:t xml:space="preserve">The total estimated cost to the Federal Government for the data collection activities under this current request will be </w:t>
      </w:r>
      <w:r w:rsidR="00FB3712">
        <w:t>$29,331</w:t>
      </w:r>
      <w:r w:rsidRPr="00FB3712">
        <w:t>. Th</w:t>
      </w:r>
      <w:r w:rsidR="00FB3712">
        <w:t>is includes personnel effort (50</w:t>
      </w:r>
      <w:r w:rsidRPr="00FB3712">
        <w:t xml:space="preserve"> hours</w:t>
      </w:r>
      <w:r w:rsidR="00FB3712">
        <w:t xml:space="preserve"> for a Class I Senior staff, 34 hours for a second Class I Senior staff, and 108 hours for a Class IV Junior</w:t>
      </w:r>
      <w:r w:rsidR="00E84F0B">
        <w:t xml:space="preserve"> staff</w:t>
      </w:r>
      <w:r w:rsidRPr="00FB3712">
        <w:t>) plus other direct costs and indirect costs.</w:t>
      </w:r>
    </w:p>
    <w:p w14:paraId="006C3CF3" w14:textId="77777777" w:rsidR="002338AC" w:rsidRPr="000E7AEF" w:rsidRDefault="002338AC" w:rsidP="005046F0">
      <w:pPr>
        <w:ind w:left="360"/>
      </w:pPr>
    </w:p>
    <w:p w14:paraId="536AE4E2" w14:textId="77777777" w:rsidR="00945CD6" w:rsidRPr="000E7AEF" w:rsidRDefault="00292B70" w:rsidP="002024DE">
      <w:pPr>
        <w:pStyle w:val="OMB1"/>
        <w:outlineLvl w:val="0"/>
      </w:pPr>
      <w:bookmarkStart w:id="28" w:name="_Toc469922513"/>
      <w:r w:rsidRPr="000E7AEF">
        <w:t xml:space="preserve">A15. </w:t>
      </w:r>
      <w:r w:rsidR="00945CD6" w:rsidRPr="000E7AEF">
        <w:t>Change in Burden</w:t>
      </w:r>
      <w:bookmarkEnd w:id="28"/>
    </w:p>
    <w:p w14:paraId="46DB8B31" w14:textId="744CAF6E" w:rsidR="00D550E6" w:rsidRPr="000E7AEF" w:rsidRDefault="00AA0D7F" w:rsidP="00D550E6">
      <w:pPr>
        <w:autoSpaceDE w:val="0"/>
        <w:autoSpaceDN w:val="0"/>
        <w:adjustRightInd w:val="0"/>
        <w:rPr>
          <w:rFonts w:cs="TimesNewRoman"/>
        </w:rPr>
      </w:pPr>
      <w:r>
        <w:rPr>
          <w:rFonts w:cs="TimesNewRoman"/>
        </w:rPr>
        <w:lastRenderedPageBreak/>
        <w:t>No program changes are expected</w:t>
      </w:r>
      <w:r w:rsidR="00D550E6" w:rsidRPr="000E7AEF">
        <w:rPr>
          <w:rFonts w:cs="TimesNewRoman"/>
        </w:rPr>
        <w:t xml:space="preserve">. </w:t>
      </w:r>
    </w:p>
    <w:p w14:paraId="6F77BAFA" w14:textId="77777777" w:rsidR="00520737" w:rsidRPr="000E7AEF" w:rsidRDefault="00520737" w:rsidP="005046F0">
      <w:pPr>
        <w:ind w:left="360"/>
      </w:pPr>
    </w:p>
    <w:p w14:paraId="5F4D0367" w14:textId="77777777" w:rsidR="002338AC" w:rsidRPr="000E7AEF" w:rsidRDefault="002338AC" w:rsidP="005046F0">
      <w:pPr>
        <w:ind w:left="360"/>
      </w:pPr>
    </w:p>
    <w:p w14:paraId="2888668D" w14:textId="77777777" w:rsidR="00945CD6" w:rsidRPr="000E7AEF" w:rsidRDefault="00292B70" w:rsidP="002024DE">
      <w:pPr>
        <w:pStyle w:val="OMB1"/>
        <w:outlineLvl w:val="0"/>
      </w:pPr>
      <w:bookmarkStart w:id="29" w:name="_Toc469922514"/>
      <w:r w:rsidRPr="000E7AEF">
        <w:t xml:space="preserve">A16. </w:t>
      </w:r>
      <w:r w:rsidR="00945CD6" w:rsidRPr="000E7AEF">
        <w:t>Plan and Time Schedule for Information Collection, Tabulation and Publication</w:t>
      </w:r>
      <w:bookmarkEnd w:id="29"/>
    </w:p>
    <w:p w14:paraId="13D30ACA" w14:textId="273A0FE5" w:rsidR="005B3666" w:rsidRPr="00303CED" w:rsidRDefault="005B3666" w:rsidP="005B3666">
      <w:pPr>
        <w:rPr>
          <w:rFonts w:cs="TimesNewRoman"/>
        </w:rPr>
      </w:pPr>
      <w:r w:rsidRPr="00303CED">
        <w:rPr>
          <w:rFonts w:cs="TimesNewRoman"/>
        </w:rPr>
        <w:t xml:space="preserve">The timeline for the project is provided in the chart below. The </w:t>
      </w:r>
      <w:r w:rsidR="00303CED" w:rsidRPr="00303CED">
        <w:rPr>
          <w:rFonts w:cs="TimesNewRoman"/>
        </w:rPr>
        <w:t>outreach</w:t>
      </w:r>
      <w:r w:rsidRPr="00303CED">
        <w:rPr>
          <w:rFonts w:cs="TimesNewRoman"/>
        </w:rPr>
        <w:t xml:space="preserve"> process could take </w:t>
      </w:r>
      <w:r w:rsidR="00303CED" w:rsidRPr="00303CED">
        <w:rPr>
          <w:rFonts w:cs="TimesNewRoman"/>
        </w:rPr>
        <w:t xml:space="preserve">place over the course of three months. </w:t>
      </w:r>
      <w:r w:rsidR="00303CED">
        <w:rPr>
          <w:rFonts w:cs="TimesNewRoman"/>
        </w:rPr>
        <w:t>As a part of the outreach</w:t>
      </w:r>
      <w:r w:rsidRPr="00303CED">
        <w:rPr>
          <w:rFonts w:cs="TimesNewRoman"/>
        </w:rPr>
        <w:t xml:space="preserve"> process, an initial email will be sent to </w:t>
      </w:r>
      <w:r w:rsidR="00303CED">
        <w:rPr>
          <w:rFonts w:cs="TimesNewRoman"/>
        </w:rPr>
        <w:t xml:space="preserve">child care and Head Start sites </w:t>
      </w:r>
      <w:r w:rsidR="001135CF">
        <w:rPr>
          <w:rFonts w:cs="TimesNewRoman"/>
        </w:rPr>
        <w:t>in a constrained geographic</w:t>
      </w:r>
      <w:r w:rsidR="00303CED">
        <w:rPr>
          <w:rFonts w:cs="TimesNewRoman"/>
        </w:rPr>
        <w:t xml:space="preserve"> area</w:t>
      </w:r>
      <w:r w:rsidRPr="00303CED">
        <w:rPr>
          <w:rFonts w:cs="TimesNewRoman"/>
        </w:rPr>
        <w:t>.</w:t>
      </w:r>
      <w:r w:rsidR="00303CED">
        <w:rPr>
          <w:rFonts w:cs="TimesNewRoman"/>
        </w:rPr>
        <w:t xml:space="preserve"> The initial email will include a brief description of the project and will announce the timing of the semi-structured discussion(s). A reminder email will be sent to sites that do not RSVP to attend a semi-structured discussion. The reminder email will contain the same information as the initial email. See appendices A-F for outreach materials. </w:t>
      </w:r>
    </w:p>
    <w:p w14:paraId="22519983" w14:textId="77777777" w:rsidR="005B3666" w:rsidRPr="00B52A6D" w:rsidRDefault="005B3666" w:rsidP="005B3666">
      <w:pPr>
        <w:rPr>
          <w:rFonts w:cs="TimesNewRoman"/>
          <w:highlight w:val="yellow"/>
        </w:rPr>
      </w:pPr>
    </w:p>
    <w:p w14:paraId="1C6C1D94" w14:textId="77777777" w:rsidR="005B3666" w:rsidRPr="00B52A6D" w:rsidRDefault="005B3666" w:rsidP="005B3666">
      <w:pPr>
        <w:rPr>
          <w:rFonts w:cs="TimesNewRoman"/>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1620"/>
        <w:gridCol w:w="1710"/>
        <w:gridCol w:w="1440"/>
      </w:tblGrid>
      <w:tr w:rsidR="00303CED" w:rsidRPr="005B3666" w14:paraId="665BD4D8" w14:textId="77777777" w:rsidTr="00CF4B8C">
        <w:trPr>
          <w:tblHeader/>
        </w:trPr>
        <w:tc>
          <w:tcPr>
            <w:tcW w:w="5490" w:type="dxa"/>
          </w:tcPr>
          <w:p w14:paraId="5235E3C2" w14:textId="77777777" w:rsidR="00303CED" w:rsidRPr="00A65ECE" w:rsidRDefault="00303CED" w:rsidP="005B3666">
            <w:pPr>
              <w:rPr>
                <w:b/>
              </w:rPr>
            </w:pPr>
          </w:p>
        </w:tc>
        <w:tc>
          <w:tcPr>
            <w:tcW w:w="4770" w:type="dxa"/>
            <w:gridSpan w:val="3"/>
          </w:tcPr>
          <w:p w14:paraId="016A4EC0" w14:textId="6B0CBE3C" w:rsidR="00303CED" w:rsidRPr="00A65ECE" w:rsidRDefault="00303CED" w:rsidP="00303CED">
            <w:pPr>
              <w:jc w:val="center"/>
              <w:rPr>
                <w:b/>
              </w:rPr>
            </w:pPr>
            <w:r w:rsidRPr="00A65ECE">
              <w:rPr>
                <w:b/>
              </w:rPr>
              <w:t>2017</w:t>
            </w:r>
          </w:p>
        </w:tc>
      </w:tr>
      <w:tr w:rsidR="00303CED" w:rsidRPr="005B3666" w14:paraId="77BE4C34" w14:textId="77777777" w:rsidTr="00CF4B8C">
        <w:trPr>
          <w:tblHeader/>
        </w:trPr>
        <w:tc>
          <w:tcPr>
            <w:tcW w:w="5490" w:type="dxa"/>
          </w:tcPr>
          <w:p w14:paraId="707744E5" w14:textId="77777777" w:rsidR="00303CED" w:rsidRPr="00A65ECE" w:rsidRDefault="00303CED" w:rsidP="005B3666">
            <w:pPr>
              <w:rPr>
                <w:b/>
              </w:rPr>
            </w:pPr>
          </w:p>
        </w:tc>
        <w:tc>
          <w:tcPr>
            <w:tcW w:w="1620" w:type="dxa"/>
            <w:hideMark/>
          </w:tcPr>
          <w:p w14:paraId="0CAA0A2B" w14:textId="5BC675E1" w:rsidR="00303CED" w:rsidRPr="00A65ECE" w:rsidRDefault="002F6073" w:rsidP="00A65ECE">
            <w:pPr>
              <w:jc w:val="center"/>
              <w:rPr>
                <w:b/>
              </w:rPr>
            </w:pPr>
            <w:r>
              <w:rPr>
                <w:b/>
              </w:rPr>
              <w:t>Month 1</w:t>
            </w:r>
          </w:p>
        </w:tc>
        <w:tc>
          <w:tcPr>
            <w:tcW w:w="1710" w:type="dxa"/>
            <w:hideMark/>
          </w:tcPr>
          <w:p w14:paraId="7254DC13" w14:textId="67A52455" w:rsidR="00303CED" w:rsidRPr="00A65ECE" w:rsidRDefault="002F6073" w:rsidP="00A65ECE">
            <w:pPr>
              <w:jc w:val="center"/>
              <w:rPr>
                <w:b/>
              </w:rPr>
            </w:pPr>
            <w:r>
              <w:rPr>
                <w:b/>
              </w:rPr>
              <w:t>Month 2</w:t>
            </w:r>
          </w:p>
        </w:tc>
        <w:tc>
          <w:tcPr>
            <w:tcW w:w="1440" w:type="dxa"/>
            <w:hideMark/>
          </w:tcPr>
          <w:p w14:paraId="3C8BB78B" w14:textId="456FCACA" w:rsidR="00303CED" w:rsidRPr="00A65ECE" w:rsidRDefault="002F6073" w:rsidP="002F6073">
            <w:pPr>
              <w:jc w:val="center"/>
              <w:rPr>
                <w:b/>
              </w:rPr>
            </w:pPr>
            <w:r>
              <w:rPr>
                <w:b/>
              </w:rPr>
              <w:t>Month 3</w:t>
            </w:r>
          </w:p>
        </w:tc>
      </w:tr>
      <w:tr w:rsidR="00303CED" w:rsidRPr="005B3666" w14:paraId="0DC1D274" w14:textId="77777777" w:rsidTr="00CF4B8C">
        <w:tc>
          <w:tcPr>
            <w:tcW w:w="5490" w:type="dxa"/>
            <w:hideMark/>
          </w:tcPr>
          <w:p w14:paraId="5A7E715B" w14:textId="62A785F4" w:rsidR="00303CED" w:rsidRPr="00A65ECE" w:rsidRDefault="00303CED" w:rsidP="005B3666">
            <w:r w:rsidRPr="00A65ECE">
              <w:t>Initial email announcement</w:t>
            </w:r>
          </w:p>
        </w:tc>
        <w:tc>
          <w:tcPr>
            <w:tcW w:w="1620" w:type="dxa"/>
            <w:shd w:val="clear" w:color="auto" w:fill="A6A6A6" w:themeFill="background1" w:themeFillShade="A6"/>
          </w:tcPr>
          <w:p w14:paraId="4794D4D2" w14:textId="77777777" w:rsidR="00303CED" w:rsidRPr="00A65ECE" w:rsidRDefault="00303CED" w:rsidP="005B3666">
            <w:pPr>
              <w:rPr>
                <w:b/>
              </w:rPr>
            </w:pPr>
          </w:p>
        </w:tc>
        <w:tc>
          <w:tcPr>
            <w:tcW w:w="1710" w:type="dxa"/>
            <w:shd w:val="clear" w:color="auto" w:fill="auto"/>
          </w:tcPr>
          <w:p w14:paraId="33B55887" w14:textId="77777777" w:rsidR="00303CED" w:rsidRPr="00A65ECE" w:rsidRDefault="00303CED" w:rsidP="005B3666">
            <w:pPr>
              <w:rPr>
                <w:b/>
              </w:rPr>
            </w:pPr>
          </w:p>
        </w:tc>
        <w:tc>
          <w:tcPr>
            <w:tcW w:w="1440" w:type="dxa"/>
            <w:shd w:val="clear" w:color="auto" w:fill="auto"/>
          </w:tcPr>
          <w:p w14:paraId="4F11FD85" w14:textId="77777777" w:rsidR="00303CED" w:rsidRPr="00A65ECE" w:rsidRDefault="00303CED" w:rsidP="005B3666">
            <w:pPr>
              <w:rPr>
                <w:b/>
              </w:rPr>
            </w:pPr>
          </w:p>
        </w:tc>
      </w:tr>
      <w:tr w:rsidR="002F6073" w:rsidRPr="005B3666" w14:paraId="61CBBC76" w14:textId="77777777" w:rsidTr="002F6073">
        <w:tc>
          <w:tcPr>
            <w:tcW w:w="5490" w:type="dxa"/>
          </w:tcPr>
          <w:p w14:paraId="1B32E8F4" w14:textId="4CD9F834" w:rsidR="00303CED" w:rsidRPr="00A65ECE" w:rsidRDefault="00303CED" w:rsidP="005B3666">
            <w:r w:rsidRPr="00A65ECE">
              <w:t xml:space="preserve">Conduct semi-structured discussions </w:t>
            </w:r>
          </w:p>
        </w:tc>
        <w:tc>
          <w:tcPr>
            <w:tcW w:w="1620" w:type="dxa"/>
            <w:shd w:val="clear" w:color="auto" w:fill="A6A6A6" w:themeFill="background1" w:themeFillShade="A6"/>
          </w:tcPr>
          <w:p w14:paraId="0B1F939D" w14:textId="77777777" w:rsidR="00303CED" w:rsidRPr="00A65ECE" w:rsidRDefault="00303CED" w:rsidP="005B3666">
            <w:pPr>
              <w:rPr>
                <w:b/>
              </w:rPr>
            </w:pPr>
          </w:p>
        </w:tc>
        <w:tc>
          <w:tcPr>
            <w:tcW w:w="1710" w:type="dxa"/>
            <w:shd w:val="clear" w:color="auto" w:fill="A6A6A6" w:themeFill="background1" w:themeFillShade="A6"/>
          </w:tcPr>
          <w:p w14:paraId="556E9FA3" w14:textId="77777777" w:rsidR="00303CED" w:rsidRPr="00A65ECE" w:rsidRDefault="00303CED" w:rsidP="005B3666">
            <w:pPr>
              <w:rPr>
                <w:b/>
              </w:rPr>
            </w:pPr>
          </w:p>
        </w:tc>
        <w:tc>
          <w:tcPr>
            <w:tcW w:w="1440" w:type="dxa"/>
            <w:shd w:val="clear" w:color="auto" w:fill="A6A6A6" w:themeFill="background1" w:themeFillShade="A6"/>
          </w:tcPr>
          <w:p w14:paraId="0FEF1380" w14:textId="77777777" w:rsidR="00303CED" w:rsidRPr="00A65ECE" w:rsidRDefault="00303CED" w:rsidP="005B3666">
            <w:pPr>
              <w:rPr>
                <w:b/>
              </w:rPr>
            </w:pPr>
          </w:p>
        </w:tc>
      </w:tr>
      <w:tr w:rsidR="002F6073" w:rsidRPr="005B3666" w14:paraId="56CFDE8C" w14:textId="77777777" w:rsidTr="002F6073">
        <w:tc>
          <w:tcPr>
            <w:tcW w:w="5490" w:type="dxa"/>
          </w:tcPr>
          <w:p w14:paraId="3904A271" w14:textId="2E2D1E14" w:rsidR="00303CED" w:rsidRPr="00A65ECE" w:rsidRDefault="00303CED" w:rsidP="005B3666">
            <w:r w:rsidRPr="00A65ECE">
              <w:t xml:space="preserve">Semi-structured discussion attendees complete </w:t>
            </w:r>
            <w:r w:rsidR="00E84EBF">
              <w:rPr>
                <w:rFonts w:cs="Arial"/>
              </w:rPr>
              <w:t>Strengths and Needs Assessment</w:t>
            </w:r>
          </w:p>
        </w:tc>
        <w:tc>
          <w:tcPr>
            <w:tcW w:w="1620" w:type="dxa"/>
            <w:shd w:val="clear" w:color="auto" w:fill="A6A6A6" w:themeFill="background1" w:themeFillShade="A6"/>
          </w:tcPr>
          <w:p w14:paraId="01D88A51" w14:textId="77777777" w:rsidR="00303CED" w:rsidRPr="00A65ECE" w:rsidRDefault="00303CED" w:rsidP="005B3666">
            <w:pPr>
              <w:rPr>
                <w:b/>
              </w:rPr>
            </w:pPr>
          </w:p>
        </w:tc>
        <w:tc>
          <w:tcPr>
            <w:tcW w:w="1710" w:type="dxa"/>
            <w:shd w:val="clear" w:color="auto" w:fill="A6A6A6" w:themeFill="background1" w:themeFillShade="A6"/>
          </w:tcPr>
          <w:p w14:paraId="6B3F00EB" w14:textId="77777777" w:rsidR="00303CED" w:rsidRPr="00A65ECE" w:rsidRDefault="00303CED" w:rsidP="005B3666">
            <w:pPr>
              <w:rPr>
                <w:b/>
              </w:rPr>
            </w:pPr>
          </w:p>
        </w:tc>
        <w:tc>
          <w:tcPr>
            <w:tcW w:w="1440" w:type="dxa"/>
            <w:shd w:val="clear" w:color="auto" w:fill="A6A6A6" w:themeFill="background1" w:themeFillShade="A6"/>
          </w:tcPr>
          <w:p w14:paraId="6B1319C1" w14:textId="77777777" w:rsidR="00303CED" w:rsidRPr="00A65ECE" w:rsidRDefault="00303CED" w:rsidP="005B3666">
            <w:pPr>
              <w:rPr>
                <w:b/>
              </w:rPr>
            </w:pPr>
          </w:p>
        </w:tc>
      </w:tr>
    </w:tbl>
    <w:p w14:paraId="1154EC86" w14:textId="77777777" w:rsidR="005B3666" w:rsidRPr="005B3666" w:rsidRDefault="005B3666" w:rsidP="005B3666">
      <w:pPr>
        <w:rPr>
          <w:rFonts w:ascii="Times New Roman" w:hAnsi="Times New Roman"/>
          <w:b/>
        </w:rPr>
      </w:pPr>
    </w:p>
    <w:p w14:paraId="02027E9D" w14:textId="77777777" w:rsidR="002338AC" w:rsidRPr="000E7AEF" w:rsidRDefault="002338AC" w:rsidP="00D550E6">
      <w:pPr>
        <w:rPr>
          <w:b/>
        </w:rPr>
      </w:pPr>
    </w:p>
    <w:p w14:paraId="34C00DC6" w14:textId="77777777" w:rsidR="002338AC" w:rsidRPr="000E7AEF" w:rsidRDefault="002338AC" w:rsidP="00292B70">
      <w:pPr>
        <w:rPr>
          <w:b/>
        </w:rPr>
      </w:pPr>
    </w:p>
    <w:p w14:paraId="46DD3C60" w14:textId="77777777" w:rsidR="00945CD6" w:rsidRPr="000E7AEF" w:rsidRDefault="00292B70" w:rsidP="002024DE">
      <w:pPr>
        <w:pStyle w:val="OMB1"/>
        <w:outlineLvl w:val="0"/>
      </w:pPr>
      <w:bookmarkStart w:id="30" w:name="_Toc469922515"/>
      <w:r w:rsidRPr="000E7AEF">
        <w:t xml:space="preserve">A17. </w:t>
      </w:r>
      <w:r w:rsidR="00945CD6" w:rsidRPr="000E7AEF">
        <w:t>Reasons Not to Display OMB Expiration Date</w:t>
      </w:r>
      <w:bookmarkEnd w:id="30"/>
    </w:p>
    <w:p w14:paraId="3061F862" w14:textId="77777777" w:rsidR="00D90EF6" w:rsidRPr="000E7AEF" w:rsidRDefault="00D90EF6" w:rsidP="00D550E6">
      <w:r w:rsidRPr="000E7AEF">
        <w:t>All instruments will display the expiration date for OMB approval.</w:t>
      </w:r>
    </w:p>
    <w:p w14:paraId="39828259" w14:textId="77777777" w:rsidR="005046F0" w:rsidRPr="000E7AEF" w:rsidRDefault="005046F0" w:rsidP="005046F0">
      <w:pPr>
        <w:ind w:left="360"/>
      </w:pPr>
    </w:p>
    <w:p w14:paraId="5ECF5364" w14:textId="77777777" w:rsidR="002338AC" w:rsidRPr="000E7AEF" w:rsidRDefault="002338AC" w:rsidP="005046F0">
      <w:pPr>
        <w:ind w:left="360"/>
      </w:pPr>
    </w:p>
    <w:p w14:paraId="52BF12F8" w14:textId="77777777" w:rsidR="00945CD6" w:rsidRPr="000E7AEF" w:rsidRDefault="00292B70" w:rsidP="002024DE">
      <w:pPr>
        <w:pStyle w:val="OMB1"/>
        <w:outlineLvl w:val="0"/>
      </w:pPr>
      <w:bookmarkStart w:id="31" w:name="_Toc469922516"/>
      <w:r w:rsidRPr="000E7AEF">
        <w:t>A18.</w:t>
      </w:r>
      <w:r w:rsidR="000B5EA8" w:rsidRPr="000E7AEF">
        <w:t xml:space="preserve"> Exceptions to Certification for Paperwork Reduction Act Submissions</w:t>
      </w:r>
      <w:bookmarkEnd w:id="31"/>
    </w:p>
    <w:p w14:paraId="51D21C2E" w14:textId="4E97659F" w:rsidR="0072204D" w:rsidRPr="000E7AEF" w:rsidRDefault="00D90EF6">
      <w:r w:rsidRPr="000E7AEF">
        <w:rPr>
          <w:szCs w:val="22"/>
        </w:rPr>
        <w:t>No exceptions are necessary for this information collection.</w:t>
      </w:r>
      <w:r w:rsidR="00764536">
        <w:rPr>
          <w:szCs w:val="22"/>
        </w:rPr>
        <w:t xml:space="preserve"> </w:t>
      </w:r>
    </w:p>
    <w:sectPr w:rsidR="0072204D" w:rsidRPr="000E7AEF" w:rsidSect="0076453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46EC9" w14:textId="77777777" w:rsidR="0006748F" w:rsidRDefault="0006748F">
      <w:r>
        <w:separator/>
      </w:r>
    </w:p>
  </w:endnote>
  <w:endnote w:type="continuationSeparator" w:id="0">
    <w:p w14:paraId="6277BAFE" w14:textId="77777777" w:rsidR="0006748F" w:rsidRDefault="0006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970111"/>
      <w:docPartObj>
        <w:docPartGallery w:val="Page Numbers (Bottom of Page)"/>
        <w:docPartUnique/>
      </w:docPartObj>
    </w:sdtPr>
    <w:sdtEndPr>
      <w:rPr>
        <w:noProof/>
      </w:rPr>
    </w:sdtEndPr>
    <w:sdtContent>
      <w:p w14:paraId="76F3A98A" w14:textId="41BDC17F" w:rsidR="00E62464" w:rsidRDefault="00E62464">
        <w:pPr>
          <w:pStyle w:val="Footer"/>
          <w:jc w:val="center"/>
        </w:pPr>
        <w:r>
          <w:fldChar w:fldCharType="begin"/>
        </w:r>
        <w:r>
          <w:instrText xml:space="preserve"> PAGE   \* MERGEFORMAT </w:instrText>
        </w:r>
        <w:r>
          <w:fldChar w:fldCharType="separate"/>
        </w:r>
        <w:r w:rsidR="005934A4">
          <w:rPr>
            <w:noProof/>
          </w:rPr>
          <w:t>6</w:t>
        </w:r>
        <w:r>
          <w:rPr>
            <w:noProof/>
          </w:rPr>
          <w:fldChar w:fldCharType="end"/>
        </w:r>
      </w:p>
    </w:sdtContent>
  </w:sdt>
  <w:p w14:paraId="77C8A81A" w14:textId="77777777" w:rsidR="00E62464" w:rsidRDefault="00E62464"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2317D" w14:textId="77777777" w:rsidR="0006748F" w:rsidRDefault="0006748F">
      <w:r>
        <w:separator/>
      </w:r>
    </w:p>
  </w:footnote>
  <w:footnote w:type="continuationSeparator" w:id="0">
    <w:p w14:paraId="69E29B6C" w14:textId="77777777" w:rsidR="0006748F" w:rsidRDefault="0006748F">
      <w:r>
        <w:continuationSeparator/>
      </w:r>
    </w:p>
  </w:footnote>
  <w:footnote w:id="1">
    <w:p w14:paraId="12516BE1" w14:textId="450FD9A6" w:rsidR="00F5030B" w:rsidRDefault="00F5030B">
      <w:pPr>
        <w:pStyle w:val="FootnoteText"/>
      </w:pPr>
      <w:r>
        <w:rPr>
          <w:rStyle w:val="FootnoteReference"/>
        </w:rPr>
        <w:footnoteRef/>
      </w:r>
      <w:r>
        <w:t xml:space="preserve"> </w:t>
      </w:r>
      <w:r w:rsidRPr="00F5030B">
        <w:t xml:space="preserve">The Center for the Social and Emotional Foundations for Early Learning (CSEFEL) developed the Pyramid model intervention (Fox, Dunlap, </w:t>
      </w:r>
      <w:proofErr w:type="spellStart"/>
      <w:r w:rsidRPr="00F5030B">
        <w:t>Hemmeter</w:t>
      </w:r>
      <w:proofErr w:type="spellEnd"/>
      <w:r w:rsidRPr="00F5030B">
        <w:t xml:space="preserve">, Joseph, &amp; Strain, 2003) to provide early educators with guidance on how to support young children’s social-emotional development and address challenging behavior.  The Pyramid model has been extensively studied in early childhood and early childhood special education settings, and is used widely in child care and Head Start programs. For more information, see </w:t>
      </w:r>
      <w:hyperlink r:id="rId1" w:history="1">
        <w:r w:rsidRPr="00C922E6">
          <w:rPr>
            <w:rStyle w:val="Hyperlink"/>
          </w:rPr>
          <w:t>http://csefel.vanderbilt.edu/</w:t>
        </w:r>
      </w:hyperlink>
      <w:r w:rsidRPr="00F5030B">
        <w:t>.</w:t>
      </w:r>
      <w:r>
        <w:t xml:space="preserve"> </w:t>
      </w:r>
    </w:p>
  </w:footnote>
  <w:footnote w:id="2">
    <w:p w14:paraId="6BBA374D" w14:textId="4404DCB3" w:rsidR="00E62464" w:rsidRDefault="00E62464" w:rsidP="00AB66D6">
      <w:pPr>
        <w:pStyle w:val="CommentText"/>
      </w:pPr>
      <w:r>
        <w:rPr>
          <w:rStyle w:val="FootnoteReference"/>
        </w:rPr>
        <w:footnoteRef/>
      </w:r>
      <w:r>
        <w:t xml:space="preserve"> This is an average of the mean hourly wages for </w:t>
      </w:r>
      <w:r w:rsidR="00880E99">
        <w:t>preschool and childcare workers</w:t>
      </w:r>
      <w:r>
        <w:t xml:space="preserve"> ($</w:t>
      </w:r>
      <w:r w:rsidR="00880E99">
        <w:t>17.63</w:t>
      </w:r>
      <w:r>
        <w:t xml:space="preserve">), </w:t>
      </w:r>
      <w:r w:rsidR="00880E99">
        <w:t>state preschool and childcare workers</w:t>
      </w:r>
      <w:r>
        <w:t xml:space="preserve"> ($</w:t>
      </w:r>
      <w:r w:rsidR="00880E99">
        <w:t>19.15</w:t>
      </w:r>
      <w:r>
        <w:t xml:space="preserve">), and </w:t>
      </w:r>
      <w:r w:rsidR="00880E99">
        <w:t>federal preschool and child care workers</w:t>
      </w:r>
      <w:r>
        <w:t xml:space="preserve"> ($</w:t>
      </w:r>
      <w:r w:rsidR="00880E99">
        <w:t>23.90</w:t>
      </w:r>
      <w:r>
        <w:t xml:space="preserve">). </w:t>
      </w:r>
    </w:p>
    <w:p w14:paraId="61E8664E" w14:textId="77777777" w:rsidR="00E62464" w:rsidRDefault="00E62464" w:rsidP="00AB66D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5C465" w14:textId="77777777" w:rsidR="00E62464" w:rsidRDefault="00E62464" w:rsidP="00BE795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E86BA0"/>
    <w:multiLevelType w:val="hybridMultilevel"/>
    <w:tmpl w:val="06BE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042B6E"/>
    <w:multiLevelType w:val="hybridMultilevel"/>
    <w:tmpl w:val="C86E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EF5DEB"/>
    <w:multiLevelType w:val="hybridMultilevel"/>
    <w:tmpl w:val="1696C3B0"/>
    <w:lvl w:ilvl="0" w:tplc="86249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2C7056"/>
    <w:multiLevelType w:val="hybridMultilevel"/>
    <w:tmpl w:val="B9905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EE52396"/>
    <w:multiLevelType w:val="hybridMultilevel"/>
    <w:tmpl w:val="AFE4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EE27FE"/>
    <w:multiLevelType w:val="hybridMultilevel"/>
    <w:tmpl w:val="FCD288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3"/>
  </w:num>
  <w:num w:numId="4">
    <w:abstractNumId w:val="6"/>
  </w:num>
  <w:num w:numId="5">
    <w:abstractNumId w:val="7"/>
  </w:num>
  <w:num w:numId="6">
    <w:abstractNumId w:val="15"/>
  </w:num>
  <w:num w:numId="7">
    <w:abstractNumId w:val="14"/>
  </w:num>
  <w:num w:numId="8">
    <w:abstractNumId w:val="9"/>
  </w:num>
  <w:num w:numId="9">
    <w:abstractNumId w:val="10"/>
  </w:num>
  <w:num w:numId="10">
    <w:abstractNumId w:val="2"/>
  </w:num>
  <w:num w:numId="11">
    <w:abstractNumId w:val="0"/>
  </w:num>
  <w:num w:numId="12">
    <w:abstractNumId w:val="3"/>
  </w:num>
  <w:num w:numId="13">
    <w:abstractNumId w:val="16"/>
  </w:num>
  <w:num w:numId="14">
    <w:abstractNumId w:val="5"/>
  </w:num>
  <w:num w:numId="15">
    <w:abstractNumId w:val="8"/>
  </w:num>
  <w:num w:numId="16">
    <w:abstractNumId w:val="11"/>
  </w:num>
  <w:num w:numId="17">
    <w:abstractNumId w:val="18"/>
  </w:num>
  <w:num w:numId="18">
    <w:abstractNumId w:val="17"/>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3CFB"/>
    <w:rsid w:val="00005DE8"/>
    <w:rsid w:val="000431B8"/>
    <w:rsid w:val="00045975"/>
    <w:rsid w:val="000465D9"/>
    <w:rsid w:val="00046D44"/>
    <w:rsid w:val="000506C0"/>
    <w:rsid w:val="00060EC6"/>
    <w:rsid w:val="00061B4D"/>
    <w:rsid w:val="00062280"/>
    <w:rsid w:val="0006705D"/>
    <w:rsid w:val="0006748F"/>
    <w:rsid w:val="000753DD"/>
    <w:rsid w:val="000822B7"/>
    <w:rsid w:val="0008743F"/>
    <w:rsid w:val="00091C59"/>
    <w:rsid w:val="000A7213"/>
    <w:rsid w:val="000B060E"/>
    <w:rsid w:val="000B5EA8"/>
    <w:rsid w:val="000C7BEB"/>
    <w:rsid w:val="000D53DF"/>
    <w:rsid w:val="000E7AEF"/>
    <w:rsid w:val="001135CF"/>
    <w:rsid w:val="00124EBF"/>
    <w:rsid w:val="001279EA"/>
    <w:rsid w:val="00131D40"/>
    <w:rsid w:val="001327A5"/>
    <w:rsid w:val="001508B3"/>
    <w:rsid w:val="0016012E"/>
    <w:rsid w:val="00183C0F"/>
    <w:rsid w:val="00185BCE"/>
    <w:rsid w:val="001A5AF9"/>
    <w:rsid w:val="001B7036"/>
    <w:rsid w:val="001C0530"/>
    <w:rsid w:val="001C1646"/>
    <w:rsid w:val="001C4D60"/>
    <w:rsid w:val="001D6F79"/>
    <w:rsid w:val="001E51F5"/>
    <w:rsid w:val="002024DE"/>
    <w:rsid w:val="0020382F"/>
    <w:rsid w:val="00205A4F"/>
    <w:rsid w:val="0022030E"/>
    <w:rsid w:val="0022140B"/>
    <w:rsid w:val="002214DB"/>
    <w:rsid w:val="002231FA"/>
    <w:rsid w:val="002338AC"/>
    <w:rsid w:val="00233CB8"/>
    <w:rsid w:val="00234E8D"/>
    <w:rsid w:val="00235A6D"/>
    <w:rsid w:val="002408DE"/>
    <w:rsid w:val="002420E9"/>
    <w:rsid w:val="0024439E"/>
    <w:rsid w:val="00246382"/>
    <w:rsid w:val="00250E03"/>
    <w:rsid w:val="0025173C"/>
    <w:rsid w:val="00253148"/>
    <w:rsid w:val="002714B5"/>
    <w:rsid w:val="002732FC"/>
    <w:rsid w:val="00277C2B"/>
    <w:rsid w:val="00292B70"/>
    <w:rsid w:val="002A1F68"/>
    <w:rsid w:val="002A3D4A"/>
    <w:rsid w:val="002B4D45"/>
    <w:rsid w:val="002B4DBE"/>
    <w:rsid w:val="002C0C33"/>
    <w:rsid w:val="002C3AEF"/>
    <w:rsid w:val="002C4F75"/>
    <w:rsid w:val="002E6082"/>
    <w:rsid w:val="002F6073"/>
    <w:rsid w:val="002F77E3"/>
    <w:rsid w:val="00303CED"/>
    <w:rsid w:val="00327B2E"/>
    <w:rsid w:val="003310FC"/>
    <w:rsid w:val="003320C6"/>
    <w:rsid w:val="00351DC8"/>
    <w:rsid w:val="0035598A"/>
    <w:rsid w:val="00355D65"/>
    <w:rsid w:val="003645AF"/>
    <w:rsid w:val="00364CE2"/>
    <w:rsid w:val="00364E8A"/>
    <w:rsid w:val="0037159C"/>
    <w:rsid w:val="00374DAB"/>
    <w:rsid w:val="0038291A"/>
    <w:rsid w:val="00384CCA"/>
    <w:rsid w:val="00386232"/>
    <w:rsid w:val="003905CC"/>
    <w:rsid w:val="003D5231"/>
    <w:rsid w:val="003F007D"/>
    <w:rsid w:val="004222F8"/>
    <w:rsid w:val="00422C1B"/>
    <w:rsid w:val="00430AC6"/>
    <w:rsid w:val="0044098C"/>
    <w:rsid w:val="004522FF"/>
    <w:rsid w:val="0045249F"/>
    <w:rsid w:val="004554B1"/>
    <w:rsid w:val="00456E2F"/>
    <w:rsid w:val="00461790"/>
    <w:rsid w:val="0047529F"/>
    <w:rsid w:val="004778EC"/>
    <w:rsid w:val="0048110F"/>
    <w:rsid w:val="00482DDE"/>
    <w:rsid w:val="004862BF"/>
    <w:rsid w:val="00491BDA"/>
    <w:rsid w:val="00494793"/>
    <w:rsid w:val="00495D06"/>
    <w:rsid w:val="004A44DD"/>
    <w:rsid w:val="004B545D"/>
    <w:rsid w:val="004B587E"/>
    <w:rsid w:val="004C09AA"/>
    <w:rsid w:val="004C2ADD"/>
    <w:rsid w:val="004C7051"/>
    <w:rsid w:val="004D0BDC"/>
    <w:rsid w:val="004D6CA9"/>
    <w:rsid w:val="004D7AF7"/>
    <w:rsid w:val="004E5D04"/>
    <w:rsid w:val="004F1F12"/>
    <w:rsid w:val="004F2E1F"/>
    <w:rsid w:val="004F4E1D"/>
    <w:rsid w:val="00503462"/>
    <w:rsid w:val="005046F0"/>
    <w:rsid w:val="00515218"/>
    <w:rsid w:val="00517D9F"/>
    <w:rsid w:val="00520737"/>
    <w:rsid w:val="00525EA2"/>
    <w:rsid w:val="00532B3E"/>
    <w:rsid w:val="005353B7"/>
    <w:rsid w:val="00541024"/>
    <w:rsid w:val="00544EE3"/>
    <w:rsid w:val="00556448"/>
    <w:rsid w:val="00563092"/>
    <w:rsid w:val="0058085C"/>
    <w:rsid w:val="005850FE"/>
    <w:rsid w:val="005934A4"/>
    <w:rsid w:val="005944D0"/>
    <w:rsid w:val="005A24B4"/>
    <w:rsid w:val="005A64C5"/>
    <w:rsid w:val="005A75BC"/>
    <w:rsid w:val="005B3666"/>
    <w:rsid w:val="005B4FBE"/>
    <w:rsid w:val="005C0061"/>
    <w:rsid w:val="005C1633"/>
    <w:rsid w:val="005C6AED"/>
    <w:rsid w:val="005D1C54"/>
    <w:rsid w:val="005E2A2A"/>
    <w:rsid w:val="005E3754"/>
    <w:rsid w:val="005E5267"/>
    <w:rsid w:val="005F1FFE"/>
    <w:rsid w:val="005F2061"/>
    <w:rsid w:val="006014BA"/>
    <w:rsid w:val="00607351"/>
    <w:rsid w:val="0061096A"/>
    <w:rsid w:val="0062352A"/>
    <w:rsid w:val="00624352"/>
    <w:rsid w:val="00635108"/>
    <w:rsid w:val="00651DBA"/>
    <w:rsid w:val="006550C2"/>
    <w:rsid w:val="00657424"/>
    <w:rsid w:val="00661F36"/>
    <w:rsid w:val="006647A8"/>
    <w:rsid w:val="006818C1"/>
    <w:rsid w:val="006916C9"/>
    <w:rsid w:val="00697AD8"/>
    <w:rsid w:val="006A238F"/>
    <w:rsid w:val="006B07D2"/>
    <w:rsid w:val="006B6845"/>
    <w:rsid w:val="006C0DE9"/>
    <w:rsid w:val="006C3583"/>
    <w:rsid w:val="006D03CE"/>
    <w:rsid w:val="006D0DAC"/>
    <w:rsid w:val="006F382E"/>
    <w:rsid w:val="00701045"/>
    <w:rsid w:val="007064A1"/>
    <w:rsid w:val="00706DBD"/>
    <w:rsid w:val="00711BC5"/>
    <w:rsid w:val="00721E52"/>
    <w:rsid w:val="0072204D"/>
    <w:rsid w:val="00723CEE"/>
    <w:rsid w:val="00736F1D"/>
    <w:rsid w:val="0074266A"/>
    <w:rsid w:val="00746911"/>
    <w:rsid w:val="00747B3E"/>
    <w:rsid w:val="00756671"/>
    <w:rsid w:val="00764536"/>
    <w:rsid w:val="00765204"/>
    <w:rsid w:val="00772457"/>
    <w:rsid w:val="007727C9"/>
    <w:rsid w:val="007735D8"/>
    <w:rsid w:val="007827DE"/>
    <w:rsid w:val="00783FE3"/>
    <w:rsid w:val="00784137"/>
    <w:rsid w:val="007860F0"/>
    <w:rsid w:val="007A0550"/>
    <w:rsid w:val="007A36A4"/>
    <w:rsid w:val="007A6FAE"/>
    <w:rsid w:val="007C1DF1"/>
    <w:rsid w:val="007C3711"/>
    <w:rsid w:val="007C4EB7"/>
    <w:rsid w:val="007D295D"/>
    <w:rsid w:val="007F032D"/>
    <w:rsid w:val="007F2FB5"/>
    <w:rsid w:val="00803899"/>
    <w:rsid w:val="00846A87"/>
    <w:rsid w:val="00850928"/>
    <w:rsid w:val="008625EA"/>
    <w:rsid w:val="00866229"/>
    <w:rsid w:val="0087234E"/>
    <w:rsid w:val="00880E99"/>
    <w:rsid w:val="008B138E"/>
    <w:rsid w:val="008B13A1"/>
    <w:rsid w:val="008B7F2C"/>
    <w:rsid w:val="008C32B7"/>
    <w:rsid w:val="008E1A86"/>
    <w:rsid w:val="008F10A2"/>
    <w:rsid w:val="008F3843"/>
    <w:rsid w:val="00901ACF"/>
    <w:rsid w:val="0091359F"/>
    <w:rsid w:val="00914EAB"/>
    <w:rsid w:val="00915080"/>
    <w:rsid w:val="00921B4D"/>
    <w:rsid w:val="00922285"/>
    <w:rsid w:val="009315E6"/>
    <w:rsid w:val="00932D71"/>
    <w:rsid w:val="009358A3"/>
    <w:rsid w:val="009424E5"/>
    <w:rsid w:val="00942D2A"/>
    <w:rsid w:val="00945CD6"/>
    <w:rsid w:val="00955A28"/>
    <w:rsid w:val="00957AE3"/>
    <w:rsid w:val="009636CE"/>
    <w:rsid w:val="009648CE"/>
    <w:rsid w:val="0096683F"/>
    <w:rsid w:val="00984CA2"/>
    <w:rsid w:val="00991F49"/>
    <w:rsid w:val="009A5881"/>
    <w:rsid w:val="009B1638"/>
    <w:rsid w:val="009B76FF"/>
    <w:rsid w:val="009C20E2"/>
    <w:rsid w:val="009D21F3"/>
    <w:rsid w:val="009D47D2"/>
    <w:rsid w:val="009F6432"/>
    <w:rsid w:val="00A01A87"/>
    <w:rsid w:val="00A07431"/>
    <w:rsid w:val="00A11FCA"/>
    <w:rsid w:val="00A24B04"/>
    <w:rsid w:val="00A35A20"/>
    <w:rsid w:val="00A35B0D"/>
    <w:rsid w:val="00A35E23"/>
    <w:rsid w:val="00A375F7"/>
    <w:rsid w:val="00A44209"/>
    <w:rsid w:val="00A5085A"/>
    <w:rsid w:val="00A54D51"/>
    <w:rsid w:val="00A60D97"/>
    <w:rsid w:val="00A658C4"/>
    <w:rsid w:val="00A65ECE"/>
    <w:rsid w:val="00A7221D"/>
    <w:rsid w:val="00A771A9"/>
    <w:rsid w:val="00A95D09"/>
    <w:rsid w:val="00A95E2F"/>
    <w:rsid w:val="00AA0D7F"/>
    <w:rsid w:val="00AA19AC"/>
    <w:rsid w:val="00AA29C0"/>
    <w:rsid w:val="00AA444D"/>
    <w:rsid w:val="00AA5992"/>
    <w:rsid w:val="00AB66D6"/>
    <w:rsid w:val="00AC2155"/>
    <w:rsid w:val="00AC6BCD"/>
    <w:rsid w:val="00AC7F6C"/>
    <w:rsid w:val="00AE1CF7"/>
    <w:rsid w:val="00B04942"/>
    <w:rsid w:val="00B07527"/>
    <w:rsid w:val="00B14396"/>
    <w:rsid w:val="00B14B5D"/>
    <w:rsid w:val="00B33AB4"/>
    <w:rsid w:val="00B363D6"/>
    <w:rsid w:val="00B37D32"/>
    <w:rsid w:val="00B4006D"/>
    <w:rsid w:val="00B45C1A"/>
    <w:rsid w:val="00B52A6D"/>
    <w:rsid w:val="00B63291"/>
    <w:rsid w:val="00B66874"/>
    <w:rsid w:val="00B73ACF"/>
    <w:rsid w:val="00B8058E"/>
    <w:rsid w:val="00B81EC4"/>
    <w:rsid w:val="00B863E8"/>
    <w:rsid w:val="00B91D97"/>
    <w:rsid w:val="00B94386"/>
    <w:rsid w:val="00B97F80"/>
    <w:rsid w:val="00BC577E"/>
    <w:rsid w:val="00BC5A90"/>
    <w:rsid w:val="00BD43BA"/>
    <w:rsid w:val="00BD4CFB"/>
    <w:rsid w:val="00BE69DD"/>
    <w:rsid w:val="00BE6B3E"/>
    <w:rsid w:val="00BE7952"/>
    <w:rsid w:val="00BF3209"/>
    <w:rsid w:val="00C12B95"/>
    <w:rsid w:val="00C1674B"/>
    <w:rsid w:val="00C17943"/>
    <w:rsid w:val="00C4339D"/>
    <w:rsid w:val="00C43638"/>
    <w:rsid w:val="00C50FDB"/>
    <w:rsid w:val="00C56EA9"/>
    <w:rsid w:val="00C60038"/>
    <w:rsid w:val="00C653AE"/>
    <w:rsid w:val="00C67D2B"/>
    <w:rsid w:val="00C74AC1"/>
    <w:rsid w:val="00C82EA4"/>
    <w:rsid w:val="00C907AB"/>
    <w:rsid w:val="00C95255"/>
    <w:rsid w:val="00CA1991"/>
    <w:rsid w:val="00CA7376"/>
    <w:rsid w:val="00CC2470"/>
    <w:rsid w:val="00CC293B"/>
    <w:rsid w:val="00CC3CAA"/>
    <w:rsid w:val="00CC68A9"/>
    <w:rsid w:val="00CC695B"/>
    <w:rsid w:val="00CD7787"/>
    <w:rsid w:val="00CE6EFF"/>
    <w:rsid w:val="00CF2339"/>
    <w:rsid w:val="00CF4B8C"/>
    <w:rsid w:val="00CF5004"/>
    <w:rsid w:val="00CF69AD"/>
    <w:rsid w:val="00D012A6"/>
    <w:rsid w:val="00D031A2"/>
    <w:rsid w:val="00D03935"/>
    <w:rsid w:val="00D06D5F"/>
    <w:rsid w:val="00D07B17"/>
    <w:rsid w:val="00D148D8"/>
    <w:rsid w:val="00D15503"/>
    <w:rsid w:val="00D511B9"/>
    <w:rsid w:val="00D519D9"/>
    <w:rsid w:val="00D550E6"/>
    <w:rsid w:val="00D77219"/>
    <w:rsid w:val="00D90EF6"/>
    <w:rsid w:val="00D91A8B"/>
    <w:rsid w:val="00D939D0"/>
    <w:rsid w:val="00D96304"/>
    <w:rsid w:val="00D9780B"/>
    <w:rsid w:val="00D97A89"/>
    <w:rsid w:val="00DA1DCB"/>
    <w:rsid w:val="00DA2A62"/>
    <w:rsid w:val="00DA64D3"/>
    <w:rsid w:val="00DB6283"/>
    <w:rsid w:val="00DB7B28"/>
    <w:rsid w:val="00DC2B8F"/>
    <w:rsid w:val="00DC7826"/>
    <w:rsid w:val="00DD7417"/>
    <w:rsid w:val="00E00860"/>
    <w:rsid w:val="00E05A0A"/>
    <w:rsid w:val="00E06D02"/>
    <w:rsid w:val="00E41D46"/>
    <w:rsid w:val="00E5214D"/>
    <w:rsid w:val="00E577F3"/>
    <w:rsid w:val="00E62464"/>
    <w:rsid w:val="00E72E9A"/>
    <w:rsid w:val="00E7529F"/>
    <w:rsid w:val="00E76CA9"/>
    <w:rsid w:val="00E800CD"/>
    <w:rsid w:val="00E827A2"/>
    <w:rsid w:val="00E84934"/>
    <w:rsid w:val="00E84EBF"/>
    <w:rsid w:val="00E84F0B"/>
    <w:rsid w:val="00E86DB9"/>
    <w:rsid w:val="00E9452C"/>
    <w:rsid w:val="00EA5642"/>
    <w:rsid w:val="00EB2299"/>
    <w:rsid w:val="00EB5B54"/>
    <w:rsid w:val="00EB7397"/>
    <w:rsid w:val="00EC2A48"/>
    <w:rsid w:val="00EC329F"/>
    <w:rsid w:val="00ED0528"/>
    <w:rsid w:val="00ED0816"/>
    <w:rsid w:val="00EE34FB"/>
    <w:rsid w:val="00F2430B"/>
    <w:rsid w:val="00F44FF3"/>
    <w:rsid w:val="00F5030B"/>
    <w:rsid w:val="00F61929"/>
    <w:rsid w:val="00F659C1"/>
    <w:rsid w:val="00F73374"/>
    <w:rsid w:val="00F91765"/>
    <w:rsid w:val="00F975E8"/>
    <w:rsid w:val="00F97B07"/>
    <w:rsid w:val="00FA05FE"/>
    <w:rsid w:val="00FA1BB6"/>
    <w:rsid w:val="00FB3712"/>
    <w:rsid w:val="00FB77C3"/>
    <w:rsid w:val="00FC04C5"/>
    <w:rsid w:val="00FC215B"/>
    <w:rsid w:val="00FC5EF5"/>
    <w:rsid w:val="00FC6E73"/>
    <w:rsid w:val="00FD1B70"/>
    <w:rsid w:val="00FD261D"/>
    <w:rsid w:val="00FD27C6"/>
    <w:rsid w:val="00FD7215"/>
    <w:rsid w:val="00FD760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F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3"/>
    <w:rPr>
      <w:rFonts w:asciiTheme="minorHAnsi" w:hAnsiTheme="minorHAnsi"/>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C32B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semiHidden/>
    <w:rsid w:val="008C32B7"/>
    <w:rPr>
      <w:rFonts w:ascii="Cambria" w:eastAsia="Times New Roman" w:hAnsi="Cambria" w:cs="Times New Roman"/>
      <w:b/>
      <w:bCs/>
      <w:i/>
      <w:iCs/>
      <w:sz w:val="28"/>
      <w:szCs w:val="28"/>
    </w:rPr>
  </w:style>
  <w:style w:type="paragraph" w:styleId="ListParagraph">
    <w:name w:val="List Paragraph"/>
    <w:basedOn w:val="Normal"/>
    <w:uiPriority w:val="34"/>
    <w:qFormat/>
    <w:rsid w:val="00F61929"/>
    <w:pPr>
      <w:ind w:left="720"/>
    </w:pPr>
  </w:style>
  <w:style w:type="paragraph" w:styleId="FootnoteText">
    <w:name w:val="footnote text"/>
    <w:basedOn w:val="Normal"/>
    <w:link w:val="FootnoteTextChar"/>
    <w:rsid w:val="00AB66D6"/>
    <w:rPr>
      <w:sz w:val="20"/>
      <w:szCs w:val="20"/>
    </w:rPr>
  </w:style>
  <w:style w:type="character" w:customStyle="1" w:styleId="FootnoteTextChar">
    <w:name w:val="Footnote Text Char"/>
    <w:basedOn w:val="DefaultParagraphFont"/>
    <w:link w:val="FootnoteText"/>
    <w:rsid w:val="00AB66D6"/>
  </w:style>
  <w:style w:type="character" w:styleId="FootnoteReference">
    <w:name w:val="footnote reference"/>
    <w:rsid w:val="00AB66D6"/>
    <w:rPr>
      <w:vertAlign w:val="superscript"/>
    </w:rPr>
  </w:style>
  <w:style w:type="paragraph" w:customStyle="1" w:styleId="OMB1">
    <w:name w:val="OMB1"/>
    <w:basedOn w:val="Normal"/>
    <w:link w:val="OMB1Char"/>
    <w:qFormat/>
    <w:rsid w:val="002A3D4A"/>
    <w:rPr>
      <w:b/>
    </w:rPr>
  </w:style>
  <w:style w:type="paragraph" w:customStyle="1" w:styleId="OMB2">
    <w:name w:val="OMB2"/>
    <w:basedOn w:val="Heading4"/>
    <w:link w:val="OMB2Char"/>
    <w:qFormat/>
    <w:rsid w:val="002A3D4A"/>
    <w:pPr>
      <w:numPr>
        <w:ilvl w:val="3"/>
      </w:numPr>
      <w:tabs>
        <w:tab w:val="num" w:pos="180"/>
      </w:tabs>
      <w:spacing w:before="60" w:line="264" w:lineRule="auto"/>
    </w:pPr>
    <w:rPr>
      <w:rFonts w:asciiTheme="minorHAnsi" w:hAnsiTheme="minorHAnsi"/>
      <w:i/>
      <w:sz w:val="24"/>
      <w:szCs w:val="24"/>
    </w:rPr>
  </w:style>
  <w:style w:type="character" w:customStyle="1" w:styleId="OMB1Char">
    <w:name w:val="OMB1 Char"/>
    <w:basedOn w:val="DefaultParagraphFont"/>
    <w:link w:val="OMB1"/>
    <w:rsid w:val="002A3D4A"/>
    <w:rPr>
      <w:rFonts w:asciiTheme="minorHAnsi" w:hAnsiTheme="minorHAnsi"/>
      <w:b/>
      <w:sz w:val="24"/>
      <w:szCs w:val="24"/>
    </w:rPr>
  </w:style>
  <w:style w:type="paragraph" w:styleId="TOC2">
    <w:name w:val="toc 2"/>
    <w:basedOn w:val="Normal"/>
    <w:next w:val="Normal"/>
    <w:autoRedefine/>
    <w:uiPriority w:val="39"/>
    <w:rsid w:val="00E7529F"/>
    <w:pPr>
      <w:spacing w:after="100"/>
      <w:ind w:left="240"/>
    </w:pPr>
  </w:style>
  <w:style w:type="character" w:customStyle="1" w:styleId="OMB2Char">
    <w:name w:val="OMB2 Char"/>
    <w:basedOn w:val="Heading4Char"/>
    <w:link w:val="OMB2"/>
    <w:rsid w:val="002A3D4A"/>
    <w:rPr>
      <w:rFonts w:asciiTheme="minorHAnsi" w:eastAsia="Times New Roman" w:hAnsiTheme="minorHAnsi" w:cs="Times New Roman"/>
      <w:b/>
      <w:bCs/>
      <w:i/>
      <w:sz w:val="24"/>
      <w:szCs w:val="24"/>
    </w:rPr>
  </w:style>
  <w:style w:type="paragraph" w:styleId="TOC1">
    <w:name w:val="toc 1"/>
    <w:basedOn w:val="Normal"/>
    <w:next w:val="Normal"/>
    <w:autoRedefine/>
    <w:uiPriority w:val="39"/>
    <w:rsid w:val="00E7529F"/>
    <w:pPr>
      <w:tabs>
        <w:tab w:val="right" w:leader="dot" w:pos="9350"/>
      </w:tabs>
      <w:spacing w:after="100"/>
      <w:jc w:val="center"/>
    </w:pPr>
    <w:rPr>
      <w:noProof/>
    </w:rPr>
  </w:style>
  <w:style w:type="paragraph" w:customStyle="1" w:styleId="ParagraphSSLAST">
    <w:name w:val="ParagraphSS (LAST)"/>
    <w:basedOn w:val="Normal"/>
    <w:next w:val="Normal"/>
    <w:qFormat/>
    <w:rsid w:val="00624352"/>
    <w:pPr>
      <w:tabs>
        <w:tab w:val="left" w:pos="432"/>
      </w:tabs>
      <w:spacing w:after="480"/>
      <w:ind w:firstLine="432"/>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3"/>
    <w:rPr>
      <w:rFonts w:asciiTheme="minorHAnsi" w:hAnsiTheme="minorHAnsi"/>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C32B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semiHidden/>
    <w:rsid w:val="008C32B7"/>
    <w:rPr>
      <w:rFonts w:ascii="Cambria" w:eastAsia="Times New Roman" w:hAnsi="Cambria" w:cs="Times New Roman"/>
      <w:b/>
      <w:bCs/>
      <w:i/>
      <w:iCs/>
      <w:sz w:val="28"/>
      <w:szCs w:val="28"/>
    </w:rPr>
  </w:style>
  <w:style w:type="paragraph" w:styleId="ListParagraph">
    <w:name w:val="List Paragraph"/>
    <w:basedOn w:val="Normal"/>
    <w:uiPriority w:val="34"/>
    <w:qFormat/>
    <w:rsid w:val="00F61929"/>
    <w:pPr>
      <w:ind w:left="720"/>
    </w:pPr>
  </w:style>
  <w:style w:type="paragraph" w:styleId="FootnoteText">
    <w:name w:val="footnote text"/>
    <w:basedOn w:val="Normal"/>
    <w:link w:val="FootnoteTextChar"/>
    <w:rsid w:val="00AB66D6"/>
    <w:rPr>
      <w:sz w:val="20"/>
      <w:szCs w:val="20"/>
    </w:rPr>
  </w:style>
  <w:style w:type="character" w:customStyle="1" w:styleId="FootnoteTextChar">
    <w:name w:val="Footnote Text Char"/>
    <w:basedOn w:val="DefaultParagraphFont"/>
    <w:link w:val="FootnoteText"/>
    <w:rsid w:val="00AB66D6"/>
  </w:style>
  <w:style w:type="character" w:styleId="FootnoteReference">
    <w:name w:val="footnote reference"/>
    <w:rsid w:val="00AB66D6"/>
    <w:rPr>
      <w:vertAlign w:val="superscript"/>
    </w:rPr>
  </w:style>
  <w:style w:type="paragraph" w:customStyle="1" w:styleId="OMB1">
    <w:name w:val="OMB1"/>
    <w:basedOn w:val="Normal"/>
    <w:link w:val="OMB1Char"/>
    <w:qFormat/>
    <w:rsid w:val="002A3D4A"/>
    <w:rPr>
      <w:b/>
    </w:rPr>
  </w:style>
  <w:style w:type="paragraph" w:customStyle="1" w:styleId="OMB2">
    <w:name w:val="OMB2"/>
    <w:basedOn w:val="Heading4"/>
    <w:link w:val="OMB2Char"/>
    <w:qFormat/>
    <w:rsid w:val="002A3D4A"/>
    <w:pPr>
      <w:numPr>
        <w:ilvl w:val="3"/>
      </w:numPr>
      <w:tabs>
        <w:tab w:val="num" w:pos="180"/>
      </w:tabs>
      <w:spacing w:before="60" w:line="264" w:lineRule="auto"/>
    </w:pPr>
    <w:rPr>
      <w:rFonts w:asciiTheme="minorHAnsi" w:hAnsiTheme="minorHAnsi"/>
      <w:i/>
      <w:sz w:val="24"/>
      <w:szCs w:val="24"/>
    </w:rPr>
  </w:style>
  <w:style w:type="character" w:customStyle="1" w:styleId="OMB1Char">
    <w:name w:val="OMB1 Char"/>
    <w:basedOn w:val="DefaultParagraphFont"/>
    <w:link w:val="OMB1"/>
    <w:rsid w:val="002A3D4A"/>
    <w:rPr>
      <w:rFonts w:asciiTheme="minorHAnsi" w:hAnsiTheme="minorHAnsi"/>
      <w:b/>
      <w:sz w:val="24"/>
      <w:szCs w:val="24"/>
    </w:rPr>
  </w:style>
  <w:style w:type="paragraph" w:styleId="TOC2">
    <w:name w:val="toc 2"/>
    <w:basedOn w:val="Normal"/>
    <w:next w:val="Normal"/>
    <w:autoRedefine/>
    <w:uiPriority w:val="39"/>
    <w:rsid w:val="00E7529F"/>
    <w:pPr>
      <w:spacing w:after="100"/>
      <w:ind w:left="240"/>
    </w:pPr>
  </w:style>
  <w:style w:type="character" w:customStyle="1" w:styleId="OMB2Char">
    <w:name w:val="OMB2 Char"/>
    <w:basedOn w:val="Heading4Char"/>
    <w:link w:val="OMB2"/>
    <w:rsid w:val="002A3D4A"/>
    <w:rPr>
      <w:rFonts w:asciiTheme="minorHAnsi" w:eastAsia="Times New Roman" w:hAnsiTheme="minorHAnsi" w:cs="Times New Roman"/>
      <w:b/>
      <w:bCs/>
      <w:i/>
      <w:sz w:val="24"/>
      <w:szCs w:val="24"/>
    </w:rPr>
  </w:style>
  <w:style w:type="paragraph" w:styleId="TOC1">
    <w:name w:val="toc 1"/>
    <w:basedOn w:val="Normal"/>
    <w:next w:val="Normal"/>
    <w:autoRedefine/>
    <w:uiPriority w:val="39"/>
    <w:rsid w:val="00E7529F"/>
    <w:pPr>
      <w:tabs>
        <w:tab w:val="right" w:leader="dot" w:pos="9350"/>
      </w:tabs>
      <w:spacing w:after="100"/>
      <w:jc w:val="center"/>
    </w:pPr>
    <w:rPr>
      <w:noProof/>
    </w:rPr>
  </w:style>
  <w:style w:type="paragraph" w:customStyle="1" w:styleId="ParagraphSSLAST">
    <w:name w:val="ParagraphSS (LAST)"/>
    <w:basedOn w:val="Normal"/>
    <w:next w:val="Normal"/>
    <w:qFormat/>
    <w:rsid w:val="00624352"/>
    <w:pPr>
      <w:tabs>
        <w:tab w:val="left" w:pos="432"/>
      </w:tabs>
      <w:spacing w:after="480"/>
      <w:ind w:firstLine="432"/>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57899">
      <w:bodyDiv w:val="1"/>
      <w:marLeft w:val="0"/>
      <w:marRight w:val="0"/>
      <w:marTop w:val="0"/>
      <w:marBottom w:val="0"/>
      <w:divBdr>
        <w:top w:val="none" w:sz="0" w:space="0" w:color="auto"/>
        <w:left w:val="none" w:sz="0" w:space="0" w:color="auto"/>
        <w:bottom w:val="none" w:sz="0" w:space="0" w:color="auto"/>
        <w:right w:val="none" w:sz="0" w:space="0" w:color="auto"/>
      </w:divBdr>
    </w:div>
    <w:div w:id="864246701">
      <w:bodyDiv w:val="1"/>
      <w:marLeft w:val="0"/>
      <w:marRight w:val="0"/>
      <w:marTop w:val="0"/>
      <w:marBottom w:val="0"/>
      <w:divBdr>
        <w:top w:val="none" w:sz="0" w:space="0" w:color="auto"/>
        <w:left w:val="none" w:sz="0" w:space="0" w:color="auto"/>
        <w:bottom w:val="none" w:sz="0" w:space="0" w:color="auto"/>
        <w:right w:val="none" w:sz="0" w:space="0" w:color="auto"/>
      </w:divBdr>
    </w:div>
    <w:div w:id="13081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csefel.vanderbil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F9F7E-BBF0-447D-92F1-57D0CCD34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3040</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Windows User</cp:lastModifiedBy>
  <cp:revision>4</cp:revision>
  <cp:lastPrinted>2009-01-26T17:35:00Z</cp:lastPrinted>
  <dcterms:created xsi:type="dcterms:W3CDTF">2017-03-14T15:31:00Z</dcterms:created>
  <dcterms:modified xsi:type="dcterms:W3CDTF">2017-03-14T15:53:00Z</dcterms:modified>
</cp:coreProperties>
</file>