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DE52A" w14:textId="77777777" w:rsidR="0090446A" w:rsidRDefault="0090446A" w:rsidP="001B0F23">
      <w:pPr>
        <w:pStyle w:val="NoSpacing"/>
        <w:jc w:val="center"/>
        <w:rPr>
          <w:rStyle w:val="Heading11"/>
        </w:rPr>
      </w:pPr>
      <w:bookmarkStart w:id="0" w:name="_GoBack"/>
      <w:bookmarkEnd w:id="0"/>
    </w:p>
    <w:p w14:paraId="131D5354" w14:textId="77777777" w:rsidR="00F60108" w:rsidRDefault="00F60108" w:rsidP="001B0F23">
      <w:pPr>
        <w:pStyle w:val="NoSpacing"/>
        <w:jc w:val="center"/>
        <w:rPr>
          <w:rStyle w:val="Heading11"/>
        </w:rPr>
      </w:pPr>
    </w:p>
    <w:p w14:paraId="67127389" w14:textId="77777777" w:rsidR="0090446A" w:rsidRDefault="0090446A" w:rsidP="001B0F23">
      <w:pPr>
        <w:pStyle w:val="NoSpacing"/>
        <w:jc w:val="center"/>
        <w:rPr>
          <w:rStyle w:val="Heading11"/>
        </w:rPr>
      </w:pPr>
    </w:p>
    <w:p w14:paraId="49E74D8C" w14:textId="77777777" w:rsidR="0090446A" w:rsidRDefault="0090446A" w:rsidP="001B0F23">
      <w:pPr>
        <w:pStyle w:val="NoSpacing"/>
        <w:jc w:val="center"/>
        <w:rPr>
          <w:rStyle w:val="Heading11"/>
        </w:rPr>
      </w:pPr>
    </w:p>
    <w:p w14:paraId="4996DA96" w14:textId="77777777" w:rsidR="00233877" w:rsidRPr="00233877" w:rsidRDefault="00233877" w:rsidP="001B0F23">
      <w:pPr>
        <w:pStyle w:val="NoSpacing"/>
        <w:jc w:val="center"/>
        <w:rPr>
          <w:rStyle w:val="Heading11"/>
        </w:rPr>
      </w:pPr>
    </w:p>
    <w:p w14:paraId="3B4C8775" w14:textId="77777777" w:rsidR="00233877" w:rsidRPr="00A556F2" w:rsidRDefault="00A556F2" w:rsidP="001B0F23">
      <w:pPr>
        <w:pStyle w:val="NoSpacing"/>
        <w:jc w:val="center"/>
        <w:rPr>
          <w:b/>
        </w:rPr>
      </w:pPr>
      <w:r w:rsidRPr="00A556F2">
        <w:rPr>
          <w:b/>
        </w:rPr>
        <w:t>“</w:t>
      </w:r>
      <w:r w:rsidR="00233877" w:rsidRPr="00A556F2">
        <w:rPr>
          <w:b/>
        </w:rPr>
        <w:t xml:space="preserve">SURVEY OF STD PROVIDER POLICIES AND </w:t>
      </w:r>
      <w:r w:rsidRPr="00A556F2">
        <w:rPr>
          <w:b/>
        </w:rPr>
        <w:t>PRACTICES IN THE UNITED STATES”</w:t>
      </w:r>
    </w:p>
    <w:p w14:paraId="01F55A9D" w14:textId="77777777" w:rsidR="00233877" w:rsidRDefault="00D36EEB" w:rsidP="001B0F23">
      <w:pPr>
        <w:pStyle w:val="NoSpacing"/>
        <w:jc w:val="center"/>
      </w:pPr>
      <w:r w:rsidDel="00D36EEB">
        <w:t xml:space="preserve"> </w:t>
      </w:r>
      <w:r w:rsidR="00233877" w:rsidRPr="00233877">
        <w:t xml:space="preserve">(OMB No. </w:t>
      </w:r>
      <w:r w:rsidR="004103CD">
        <w:t>0920</w:t>
      </w:r>
      <w:r w:rsidR="00233877" w:rsidRPr="00233877">
        <w:t>-XXXX)</w:t>
      </w:r>
    </w:p>
    <w:p w14:paraId="3CA1FAF9" w14:textId="77777777" w:rsidR="004103CD" w:rsidRPr="00233877" w:rsidRDefault="004103CD" w:rsidP="001B0F23">
      <w:pPr>
        <w:pStyle w:val="NoSpacing"/>
        <w:jc w:val="center"/>
      </w:pPr>
      <w:r>
        <w:t>Exp. xx/xx/xxxx</w:t>
      </w:r>
    </w:p>
    <w:p w14:paraId="2D25F64E" w14:textId="77777777" w:rsidR="00233877" w:rsidRPr="00233877" w:rsidRDefault="00233877" w:rsidP="001B0F23">
      <w:pPr>
        <w:pStyle w:val="NoSpacing"/>
        <w:jc w:val="center"/>
      </w:pPr>
    </w:p>
    <w:p w14:paraId="2466E2A2" w14:textId="77777777" w:rsidR="0090446A" w:rsidRDefault="0090446A" w:rsidP="0090446A">
      <w:pPr>
        <w:pStyle w:val="NoSpacing"/>
        <w:jc w:val="center"/>
        <w:rPr>
          <w:rStyle w:val="Heading11"/>
        </w:rPr>
      </w:pPr>
    </w:p>
    <w:p w14:paraId="1A112198" w14:textId="77777777" w:rsidR="00A556F2" w:rsidRDefault="00A556F2" w:rsidP="0090446A">
      <w:pPr>
        <w:pStyle w:val="NoSpacing"/>
        <w:jc w:val="center"/>
        <w:rPr>
          <w:rStyle w:val="Heading11"/>
        </w:rPr>
      </w:pPr>
    </w:p>
    <w:p w14:paraId="1E42754D" w14:textId="77777777" w:rsidR="00A556F2" w:rsidRDefault="00A556F2" w:rsidP="0090446A">
      <w:pPr>
        <w:pStyle w:val="NoSpacing"/>
        <w:jc w:val="center"/>
        <w:rPr>
          <w:rStyle w:val="Heading11"/>
        </w:rPr>
      </w:pPr>
    </w:p>
    <w:p w14:paraId="769ABD79" w14:textId="77777777" w:rsidR="00A556F2" w:rsidRDefault="00A556F2" w:rsidP="0090446A">
      <w:pPr>
        <w:pStyle w:val="NoSpacing"/>
        <w:jc w:val="center"/>
        <w:rPr>
          <w:rStyle w:val="Heading11"/>
        </w:rPr>
      </w:pPr>
    </w:p>
    <w:p w14:paraId="2963B522" w14:textId="77777777" w:rsidR="00A556F2" w:rsidRDefault="00A556F2" w:rsidP="0090446A">
      <w:pPr>
        <w:pStyle w:val="NoSpacing"/>
        <w:jc w:val="center"/>
        <w:rPr>
          <w:rStyle w:val="Heading11"/>
        </w:rPr>
      </w:pPr>
    </w:p>
    <w:p w14:paraId="71289BA9" w14:textId="77777777" w:rsidR="0090446A" w:rsidRPr="00233877" w:rsidRDefault="0090446A" w:rsidP="0090446A">
      <w:pPr>
        <w:pStyle w:val="NoSpacing"/>
        <w:jc w:val="center"/>
        <w:rPr>
          <w:rStyle w:val="Heading11"/>
        </w:rPr>
      </w:pPr>
      <w:r w:rsidRPr="00233877">
        <w:rPr>
          <w:rStyle w:val="Heading11"/>
        </w:rPr>
        <w:t xml:space="preserve">SUPPORTING STATEMENT </w:t>
      </w:r>
      <w:r>
        <w:rPr>
          <w:rStyle w:val="Heading11"/>
        </w:rPr>
        <w:t>A</w:t>
      </w:r>
    </w:p>
    <w:p w14:paraId="3DE89915" w14:textId="77777777" w:rsidR="00233877" w:rsidRPr="00233877" w:rsidRDefault="00233877" w:rsidP="001B0F23">
      <w:pPr>
        <w:pStyle w:val="NoSpacing"/>
        <w:jc w:val="center"/>
      </w:pPr>
    </w:p>
    <w:p w14:paraId="1F4589AE" w14:textId="77777777" w:rsidR="0090446A" w:rsidRDefault="0090446A" w:rsidP="001B0F23">
      <w:pPr>
        <w:pStyle w:val="NoSpacing"/>
        <w:jc w:val="center"/>
      </w:pPr>
    </w:p>
    <w:p w14:paraId="49BFA3E3" w14:textId="77777777" w:rsidR="0090446A" w:rsidRDefault="0090446A" w:rsidP="001B0F23">
      <w:pPr>
        <w:pStyle w:val="NoSpacing"/>
        <w:jc w:val="center"/>
      </w:pPr>
    </w:p>
    <w:p w14:paraId="57FF26D6" w14:textId="77777777" w:rsidR="0090446A" w:rsidRDefault="0090446A" w:rsidP="001B0F23">
      <w:pPr>
        <w:pStyle w:val="NoSpacing"/>
        <w:jc w:val="center"/>
      </w:pPr>
    </w:p>
    <w:p w14:paraId="7281C4BE" w14:textId="77777777" w:rsidR="0090446A" w:rsidRDefault="0090446A" w:rsidP="001B0F23">
      <w:pPr>
        <w:pStyle w:val="NoSpacing"/>
        <w:jc w:val="center"/>
      </w:pPr>
    </w:p>
    <w:p w14:paraId="7765A787" w14:textId="77777777" w:rsidR="0090446A" w:rsidRDefault="0090446A" w:rsidP="001B0F23">
      <w:pPr>
        <w:pStyle w:val="NoSpacing"/>
        <w:jc w:val="center"/>
      </w:pPr>
    </w:p>
    <w:p w14:paraId="11D8E5A6" w14:textId="77777777" w:rsidR="0090446A" w:rsidRDefault="0090446A" w:rsidP="001B0F23">
      <w:pPr>
        <w:pStyle w:val="NoSpacing"/>
        <w:jc w:val="center"/>
      </w:pPr>
    </w:p>
    <w:p w14:paraId="48EED1AB" w14:textId="77777777" w:rsidR="0090446A" w:rsidRDefault="0090446A" w:rsidP="001B0F23">
      <w:pPr>
        <w:pStyle w:val="NoSpacing"/>
        <w:jc w:val="center"/>
      </w:pPr>
    </w:p>
    <w:p w14:paraId="0CEE6816" w14:textId="77777777" w:rsidR="0090446A" w:rsidRDefault="0090446A" w:rsidP="001B0F23">
      <w:pPr>
        <w:pStyle w:val="NoSpacing"/>
        <w:jc w:val="center"/>
      </w:pPr>
    </w:p>
    <w:p w14:paraId="311BDB1A" w14:textId="77777777" w:rsidR="0090446A" w:rsidRDefault="0090446A" w:rsidP="001B0F23">
      <w:pPr>
        <w:pStyle w:val="NoSpacing"/>
        <w:jc w:val="center"/>
      </w:pPr>
    </w:p>
    <w:p w14:paraId="14B13663" w14:textId="77777777" w:rsidR="0090446A" w:rsidRDefault="0090446A" w:rsidP="001B0F23">
      <w:pPr>
        <w:pStyle w:val="NoSpacing"/>
        <w:jc w:val="center"/>
      </w:pPr>
    </w:p>
    <w:p w14:paraId="6D802172" w14:textId="77777777" w:rsidR="0090446A" w:rsidRDefault="0090446A" w:rsidP="001B0F23">
      <w:pPr>
        <w:pStyle w:val="NoSpacing"/>
        <w:jc w:val="center"/>
      </w:pPr>
    </w:p>
    <w:p w14:paraId="678FF611" w14:textId="6C420521" w:rsidR="00233877" w:rsidRPr="00233877" w:rsidRDefault="00565386" w:rsidP="001B0F23">
      <w:pPr>
        <w:pStyle w:val="NoSpacing"/>
        <w:jc w:val="center"/>
      </w:pPr>
      <w:r>
        <w:t>October 23</w:t>
      </w:r>
      <w:r w:rsidR="004103CD">
        <w:t>, 2017</w:t>
      </w:r>
    </w:p>
    <w:p w14:paraId="18DFDA7F" w14:textId="77777777" w:rsidR="00233877" w:rsidRPr="00233877" w:rsidRDefault="00233877" w:rsidP="001B0F23">
      <w:pPr>
        <w:pStyle w:val="NoSpacing"/>
        <w:jc w:val="center"/>
      </w:pPr>
    </w:p>
    <w:p w14:paraId="5ECDF853" w14:textId="77777777" w:rsidR="00233877" w:rsidRPr="00233877" w:rsidRDefault="00233877" w:rsidP="001B0F23">
      <w:pPr>
        <w:pStyle w:val="NoSpacing"/>
        <w:jc w:val="center"/>
      </w:pPr>
    </w:p>
    <w:p w14:paraId="1EBC7F37" w14:textId="77777777" w:rsidR="00233877" w:rsidRPr="00233877" w:rsidRDefault="00233877" w:rsidP="001B0F23">
      <w:pPr>
        <w:pStyle w:val="NoSpacing"/>
        <w:jc w:val="center"/>
      </w:pPr>
      <w:r w:rsidRPr="00233877">
        <w:t>Submitted by:</w:t>
      </w:r>
    </w:p>
    <w:p w14:paraId="40692C82" w14:textId="77777777" w:rsidR="00233877" w:rsidRPr="00233877" w:rsidRDefault="00233877" w:rsidP="001B0F23">
      <w:pPr>
        <w:pStyle w:val="NoSpacing"/>
        <w:jc w:val="center"/>
      </w:pPr>
      <w:r w:rsidRPr="00233877">
        <w:t xml:space="preserve">Division of </w:t>
      </w:r>
      <w:r>
        <w:t>Sexually Transmitted Disease Prevention</w:t>
      </w:r>
    </w:p>
    <w:p w14:paraId="1DDD54AA" w14:textId="77777777" w:rsidR="00233877" w:rsidRPr="00233877" w:rsidRDefault="00233877" w:rsidP="001B0F23">
      <w:pPr>
        <w:pStyle w:val="NoSpacing"/>
        <w:jc w:val="center"/>
      </w:pPr>
      <w:r w:rsidRPr="00233877">
        <w:t>Centers for Disease Control and Prevention</w:t>
      </w:r>
    </w:p>
    <w:p w14:paraId="4F05C4A4" w14:textId="77777777" w:rsidR="00233877" w:rsidRPr="00233877" w:rsidRDefault="00233877" w:rsidP="001B0F23">
      <w:pPr>
        <w:pStyle w:val="NoSpacing"/>
        <w:jc w:val="center"/>
      </w:pPr>
      <w:r w:rsidRPr="00233877">
        <w:t>Department of Health and Human Services</w:t>
      </w:r>
    </w:p>
    <w:p w14:paraId="2B559AFA" w14:textId="77777777" w:rsidR="00233877" w:rsidRPr="00233877" w:rsidRDefault="00233877" w:rsidP="001B0F23">
      <w:pPr>
        <w:pStyle w:val="NoSpacing"/>
        <w:jc w:val="center"/>
      </w:pPr>
    </w:p>
    <w:p w14:paraId="0E2722AB" w14:textId="77777777" w:rsidR="00233877" w:rsidRPr="00233877" w:rsidRDefault="00233877" w:rsidP="001B0F23">
      <w:pPr>
        <w:pStyle w:val="NoSpacing"/>
        <w:jc w:val="center"/>
      </w:pPr>
    </w:p>
    <w:p w14:paraId="0E69B64B" w14:textId="77777777" w:rsidR="00233877" w:rsidRPr="00233877" w:rsidRDefault="00233877" w:rsidP="001B0F23">
      <w:pPr>
        <w:pStyle w:val="NoSpacing"/>
        <w:jc w:val="center"/>
      </w:pPr>
    </w:p>
    <w:p w14:paraId="08830941" w14:textId="77777777" w:rsidR="00233877" w:rsidRPr="00233877" w:rsidRDefault="00233877" w:rsidP="001B0F23">
      <w:pPr>
        <w:pStyle w:val="NoSpacing"/>
        <w:jc w:val="center"/>
      </w:pPr>
      <w:r w:rsidRPr="00233877">
        <w:t>Refer questions to:</w:t>
      </w:r>
    </w:p>
    <w:p w14:paraId="2606CA52" w14:textId="77777777" w:rsidR="00233877" w:rsidRPr="00233877" w:rsidRDefault="00233877" w:rsidP="001B0F23">
      <w:pPr>
        <w:pStyle w:val="NoSpacing"/>
        <w:jc w:val="center"/>
      </w:pPr>
    </w:p>
    <w:p w14:paraId="6D8C7F1B" w14:textId="77777777" w:rsidR="00233877" w:rsidRDefault="00233877" w:rsidP="001B0F23">
      <w:pPr>
        <w:pStyle w:val="NoSpacing"/>
        <w:jc w:val="center"/>
      </w:pPr>
      <w:r>
        <w:t>Jami Leichliter, PhD</w:t>
      </w:r>
    </w:p>
    <w:p w14:paraId="41F52E69" w14:textId="77777777" w:rsidR="00233877" w:rsidRDefault="00233877" w:rsidP="001B0F23">
      <w:pPr>
        <w:pStyle w:val="NoSpacing"/>
        <w:jc w:val="center"/>
      </w:pPr>
      <w:r>
        <w:t>Policy Science, Team Lead</w:t>
      </w:r>
    </w:p>
    <w:p w14:paraId="760258DE" w14:textId="77777777" w:rsidR="00233877" w:rsidRDefault="00233877" w:rsidP="001B0F23">
      <w:pPr>
        <w:pStyle w:val="NoSpacing"/>
        <w:jc w:val="center"/>
      </w:pPr>
      <w:r>
        <w:t>Division of STD Prevention</w:t>
      </w:r>
    </w:p>
    <w:p w14:paraId="53183DF9" w14:textId="77777777" w:rsidR="00233877" w:rsidRDefault="00233877" w:rsidP="001B0F23">
      <w:pPr>
        <w:pStyle w:val="NoSpacing"/>
        <w:jc w:val="center"/>
      </w:pPr>
      <w:r>
        <w:t>Centers for Disease Control and Prevention</w:t>
      </w:r>
    </w:p>
    <w:p w14:paraId="640E6713" w14:textId="77777777" w:rsidR="00233877" w:rsidRDefault="00233877" w:rsidP="001B0F23">
      <w:pPr>
        <w:pStyle w:val="NoSpacing"/>
        <w:jc w:val="center"/>
      </w:pPr>
    </w:p>
    <w:p w14:paraId="17953A24" w14:textId="77777777" w:rsidR="00233877" w:rsidRPr="00233877" w:rsidRDefault="00E32202" w:rsidP="001B0F23">
      <w:pPr>
        <w:pStyle w:val="NoSpacing"/>
        <w:jc w:val="center"/>
      </w:pPr>
      <w:r>
        <w:t>1600 Clifton Rd NE, MS E-02</w:t>
      </w:r>
    </w:p>
    <w:p w14:paraId="52E442AE" w14:textId="77777777" w:rsidR="00233877" w:rsidRPr="00233877" w:rsidRDefault="00233877" w:rsidP="001B0F23">
      <w:pPr>
        <w:pStyle w:val="NoSpacing"/>
        <w:jc w:val="center"/>
      </w:pPr>
      <w:r w:rsidRPr="00233877">
        <w:t xml:space="preserve">Atlanta, Georgia </w:t>
      </w:r>
      <w:r w:rsidR="00945473">
        <w:t>30329</w:t>
      </w:r>
    </w:p>
    <w:p w14:paraId="19DEF19E" w14:textId="77777777" w:rsidR="00233877" w:rsidRPr="00233877" w:rsidRDefault="00233877" w:rsidP="001B0F23">
      <w:pPr>
        <w:pStyle w:val="NoSpacing"/>
        <w:jc w:val="center"/>
        <w:rPr>
          <w:lang w:val="pt-BR"/>
        </w:rPr>
      </w:pPr>
      <w:r w:rsidRPr="00233877">
        <w:rPr>
          <w:lang w:val="pt-BR"/>
        </w:rPr>
        <w:t>(404</w:t>
      </w:r>
      <w:r w:rsidR="00DF1291">
        <w:rPr>
          <w:lang w:val="pt-BR"/>
        </w:rPr>
        <w:t xml:space="preserve">) </w:t>
      </w:r>
      <w:r w:rsidRPr="00233877">
        <w:rPr>
          <w:lang w:val="pt-BR"/>
        </w:rPr>
        <w:t>639-1821</w:t>
      </w:r>
    </w:p>
    <w:p w14:paraId="18E7FD2A" w14:textId="77777777" w:rsidR="00233877" w:rsidRPr="00233877" w:rsidRDefault="00233877" w:rsidP="001B0F23">
      <w:pPr>
        <w:pStyle w:val="NoSpacing"/>
        <w:jc w:val="center"/>
        <w:rPr>
          <w:lang w:val="pt-BR"/>
        </w:rPr>
      </w:pPr>
      <w:r w:rsidRPr="00233877">
        <w:rPr>
          <w:lang w:val="pt-BR"/>
        </w:rPr>
        <w:t>FAX (</w:t>
      </w:r>
      <w:r>
        <w:rPr>
          <w:lang w:val="pt-BR"/>
        </w:rPr>
        <w:t>404</w:t>
      </w:r>
      <w:r w:rsidRPr="00233877">
        <w:rPr>
          <w:lang w:val="pt-BR"/>
        </w:rPr>
        <w:t xml:space="preserve">) </w:t>
      </w:r>
      <w:r w:rsidR="00DF1291">
        <w:rPr>
          <w:lang w:val="pt-BR"/>
        </w:rPr>
        <w:t>639</w:t>
      </w:r>
      <w:r>
        <w:rPr>
          <w:lang w:val="pt-BR"/>
        </w:rPr>
        <w:t>-</w:t>
      </w:r>
      <w:r w:rsidR="00945473">
        <w:rPr>
          <w:lang w:val="pt-BR"/>
        </w:rPr>
        <w:t>8622</w:t>
      </w:r>
    </w:p>
    <w:p w14:paraId="16E7E1AB" w14:textId="77777777" w:rsidR="00233877" w:rsidRDefault="00233877" w:rsidP="001B0F23">
      <w:pPr>
        <w:pStyle w:val="NoSpacing"/>
        <w:jc w:val="center"/>
      </w:pPr>
      <w:r>
        <w:t xml:space="preserve">Email: </w:t>
      </w:r>
      <w:hyperlink r:id="rId9" w:history="1">
        <w:r w:rsidRPr="007A411B">
          <w:rPr>
            <w:rStyle w:val="Hyperlink"/>
          </w:rPr>
          <w:t>jleichliter@cdc.gov</w:t>
        </w:r>
      </w:hyperlink>
    </w:p>
    <w:p w14:paraId="58C91371" w14:textId="77777777" w:rsidR="00233877" w:rsidRPr="00233877" w:rsidRDefault="00233877" w:rsidP="00233877">
      <w:pPr>
        <w:tabs>
          <w:tab w:val="center" w:pos="4680"/>
        </w:tabs>
        <w:jc w:val="center"/>
        <w:rPr>
          <w:lang w:val="pt-BR"/>
        </w:rPr>
      </w:pPr>
    </w:p>
    <w:sdt>
      <w:sdtPr>
        <w:rPr>
          <w:rFonts w:eastAsia="Times New Roman" w:cs="Times New Roman"/>
          <w:b w:val="0"/>
          <w:bCs w:val="0"/>
          <w:color w:val="auto"/>
          <w:szCs w:val="24"/>
          <w:lang w:eastAsia="en-US"/>
        </w:rPr>
        <w:id w:val="-604578985"/>
        <w:docPartObj>
          <w:docPartGallery w:val="Table of Contents"/>
          <w:docPartUnique/>
        </w:docPartObj>
      </w:sdtPr>
      <w:sdtEndPr>
        <w:rPr>
          <w:noProof/>
        </w:rPr>
      </w:sdtEndPr>
      <w:sdtContent>
        <w:p w14:paraId="34FBCA57" w14:textId="77777777" w:rsidR="001B0F23" w:rsidRDefault="001B0F23">
          <w:pPr>
            <w:pStyle w:val="TOCHeading"/>
          </w:pPr>
          <w:r>
            <w:t>Table of Contents</w:t>
          </w:r>
        </w:p>
        <w:p w14:paraId="3A8E41D9" w14:textId="46D26B10" w:rsidR="00A86FC8" w:rsidRDefault="001B0F23">
          <w:pPr>
            <w:pStyle w:val="TOC1"/>
            <w:tabs>
              <w:tab w:val="left" w:pos="660"/>
              <w:tab w:val="right" w:leader="dot" w:pos="100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2298371" w:history="1">
            <w:r w:rsidR="00A86FC8" w:rsidRPr="00EA57D7">
              <w:rPr>
                <w:rStyle w:val="Hyperlink"/>
                <w:noProof/>
              </w:rPr>
              <w:t>A.1</w:t>
            </w:r>
            <w:r w:rsidR="00A86FC8">
              <w:rPr>
                <w:rFonts w:asciiTheme="minorHAnsi" w:eastAsiaTheme="minorEastAsia" w:hAnsiTheme="minorHAnsi" w:cstheme="minorBidi"/>
                <w:noProof/>
                <w:sz w:val="22"/>
                <w:szCs w:val="22"/>
              </w:rPr>
              <w:tab/>
            </w:r>
            <w:r w:rsidR="00A86FC8" w:rsidRPr="00EA57D7">
              <w:rPr>
                <w:rStyle w:val="Hyperlink"/>
                <w:noProof/>
              </w:rPr>
              <w:t>Circumstances Making the Collection of Information Necessary</w:t>
            </w:r>
            <w:r w:rsidR="00A86FC8">
              <w:rPr>
                <w:noProof/>
                <w:webHidden/>
              </w:rPr>
              <w:tab/>
            </w:r>
            <w:r w:rsidR="00A86FC8">
              <w:rPr>
                <w:noProof/>
                <w:webHidden/>
              </w:rPr>
              <w:fldChar w:fldCharType="begin"/>
            </w:r>
            <w:r w:rsidR="00A86FC8">
              <w:rPr>
                <w:noProof/>
                <w:webHidden/>
              </w:rPr>
              <w:instrText xml:space="preserve"> PAGEREF _Toc462298371 \h </w:instrText>
            </w:r>
            <w:r w:rsidR="00A86FC8">
              <w:rPr>
                <w:noProof/>
                <w:webHidden/>
              </w:rPr>
            </w:r>
            <w:r w:rsidR="00A86FC8">
              <w:rPr>
                <w:noProof/>
                <w:webHidden/>
              </w:rPr>
              <w:fldChar w:fldCharType="separate"/>
            </w:r>
            <w:r w:rsidR="005812D9">
              <w:rPr>
                <w:noProof/>
                <w:webHidden/>
              </w:rPr>
              <w:t>3</w:t>
            </w:r>
            <w:r w:rsidR="00A86FC8">
              <w:rPr>
                <w:noProof/>
                <w:webHidden/>
              </w:rPr>
              <w:fldChar w:fldCharType="end"/>
            </w:r>
          </w:hyperlink>
        </w:p>
        <w:p w14:paraId="7E80FE4A" w14:textId="5B30620D" w:rsidR="00A86FC8" w:rsidRDefault="00A46AB2">
          <w:pPr>
            <w:pStyle w:val="TOC1"/>
            <w:tabs>
              <w:tab w:val="left" w:pos="660"/>
              <w:tab w:val="right" w:leader="dot" w:pos="10070"/>
            </w:tabs>
            <w:rPr>
              <w:rFonts w:asciiTheme="minorHAnsi" w:eastAsiaTheme="minorEastAsia" w:hAnsiTheme="minorHAnsi" w:cstheme="minorBidi"/>
              <w:noProof/>
              <w:sz w:val="22"/>
              <w:szCs w:val="22"/>
            </w:rPr>
          </w:pPr>
          <w:hyperlink w:anchor="_Toc462298372" w:history="1">
            <w:r w:rsidR="00A86FC8" w:rsidRPr="00EA57D7">
              <w:rPr>
                <w:rStyle w:val="Hyperlink"/>
                <w:noProof/>
              </w:rPr>
              <w:t>A.2</w:t>
            </w:r>
            <w:r w:rsidR="00A86FC8">
              <w:rPr>
                <w:rFonts w:asciiTheme="minorHAnsi" w:eastAsiaTheme="minorEastAsia" w:hAnsiTheme="minorHAnsi" w:cstheme="minorBidi"/>
                <w:noProof/>
                <w:sz w:val="22"/>
                <w:szCs w:val="22"/>
              </w:rPr>
              <w:tab/>
            </w:r>
            <w:r w:rsidR="00A86FC8" w:rsidRPr="00EA57D7">
              <w:rPr>
                <w:rStyle w:val="Hyperlink"/>
                <w:noProof/>
              </w:rPr>
              <w:t>Purpose and Use of the Information Collection</w:t>
            </w:r>
            <w:r w:rsidR="00A86FC8">
              <w:rPr>
                <w:noProof/>
                <w:webHidden/>
              </w:rPr>
              <w:tab/>
            </w:r>
            <w:r w:rsidR="00A86FC8">
              <w:rPr>
                <w:noProof/>
                <w:webHidden/>
              </w:rPr>
              <w:fldChar w:fldCharType="begin"/>
            </w:r>
            <w:r w:rsidR="00A86FC8">
              <w:rPr>
                <w:noProof/>
                <w:webHidden/>
              </w:rPr>
              <w:instrText xml:space="preserve"> PAGEREF _Toc462298372 \h </w:instrText>
            </w:r>
            <w:r w:rsidR="00A86FC8">
              <w:rPr>
                <w:noProof/>
                <w:webHidden/>
              </w:rPr>
            </w:r>
            <w:r w:rsidR="00A86FC8">
              <w:rPr>
                <w:noProof/>
                <w:webHidden/>
              </w:rPr>
              <w:fldChar w:fldCharType="separate"/>
            </w:r>
            <w:r w:rsidR="005812D9">
              <w:rPr>
                <w:noProof/>
                <w:webHidden/>
              </w:rPr>
              <w:t>4</w:t>
            </w:r>
            <w:r w:rsidR="00A86FC8">
              <w:rPr>
                <w:noProof/>
                <w:webHidden/>
              </w:rPr>
              <w:fldChar w:fldCharType="end"/>
            </w:r>
          </w:hyperlink>
        </w:p>
        <w:p w14:paraId="35A862A1" w14:textId="102C9E19" w:rsidR="00A86FC8" w:rsidRDefault="00A46AB2">
          <w:pPr>
            <w:pStyle w:val="TOC1"/>
            <w:tabs>
              <w:tab w:val="left" w:pos="660"/>
              <w:tab w:val="right" w:leader="dot" w:pos="10070"/>
            </w:tabs>
            <w:rPr>
              <w:rFonts w:asciiTheme="minorHAnsi" w:eastAsiaTheme="minorEastAsia" w:hAnsiTheme="minorHAnsi" w:cstheme="minorBidi"/>
              <w:noProof/>
              <w:sz w:val="22"/>
              <w:szCs w:val="22"/>
            </w:rPr>
          </w:pPr>
          <w:hyperlink w:anchor="_Toc462298373" w:history="1">
            <w:r w:rsidR="00A86FC8" w:rsidRPr="00EA57D7">
              <w:rPr>
                <w:rStyle w:val="Hyperlink"/>
                <w:noProof/>
              </w:rPr>
              <w:t>A.3</w:t>
            </w:r>
            <w:r w:rsidR="00A86FC8">
              <w:rPr>
                <w:rFonts w:asciiTheme="minorHAnsi" w:eastAsiaTheme="minorEastAsia" w:hAnsiTheme="minorHAnsi" w:cstheme="minorBidi"/>
                <w:noProof/>
                <w:sz w:val="22"/>
                <w:szCs w:val="22"/>
              </w:rPr>
              <w:tab/>
            </w:r>
            <w:r w:rsidR="00A86FC8" w:rsidRPr="00EA57D7">
              <w:rPr>
                <w:rStyle w:val="Hyperlink"/>
                <w:noProof/>
              </w:rPr>
              <w:t>Use of Improved Information Technology and Burden Reduction</w:t>
            </w:r>
            <w:r w:rsidR="00A86FC8">
              <w:rPr>
                <w:noProof/>
                <w:webHidden/>
              </w:rPr>
              <w:tab/>
            </w:r>
            <w:r w:rsidR="00A86FC8">
              <w:rPr>
                <w:noProof/>
                <w:webHidden/>
              </w:rPr>
              <w:fldChar w:fldCharType="begin"/>
            </w:r>
            <w:r w:rsidR="00A86FC8">
              <w:rPr>
                <w:noProof/>
                <w:webHidden/>
              </w:rPr>
              <w:instrText xml:space="preserve"> PAGEREF _Toc462298373 \h </w:instrText>
            </w:r>
            <w:r w:rsidR="00A86FC8">
              <w:rPr>
                <w:noProof/>
                <w:webHidden/>
              </w:rPr>
            </w:r>
            <w:r w:rsidR="00A86FC8">
              <w:rPr>
                <w:noProof/>
                <w:webHidden/>
              </w:rPr>
              <w:fldChar w:fldCharType="separate"/>
            </w:r>
            <w:r w:rsidR="005812D9">
              <w:rPr>
                <w:noProof/>
                <w:webHidden/>
              </w:rPr>
              <w:t>5</w:t>
            </w:r>
            <w:r w:rsidR="00A86FC8">
              <w:rPr>
                <w:noProof/>
                <w:webHidden/>
              </w:rPr>
              <w:fldChar w:fldCharType="end"/>
            </w:r>
          </w:hyperlink>
        </w:p>
        <w:p w14:paraId="17DC9D2C" w14:textId="77762DE5" w:rsidR="00A86FC8" w:rsidRDefault="00A46AB2">
          <w:pPr>
            <w:pStyle w:val="TOC1"/>
            <w:tabs>
              <w:tab w:val="left" w:pos="660"/>
              <w:tab w:val="right" w:leader="dot" w:pos="10070"/>
            </w:tabs>
            <w:rPr>
              <w:rFonts w:asciiTheme="minorHAnsi" w:eastAsiaTheme="minorEastAsia" w:hAnsiTheme="minorHAnsi" w:cstheme="minorBidi"/>
              <w:noProof/>
              <w:sz w:val="22"/>
              <w:szCs w:val="22"/>
            </w:rPr>
          </w:pPr>
          <w:hyperlink w:anchor="_Toc462298374" w:history="1">
            <w:r w:rsidR="00A86FC8" w:rsidRPr="00EA57D7">
              <w:rPr>
                <w:rStyle w:val="Hyperlink"/>
                <w:noProof/>
              </w:rPr>
              <w:t>A.4</w:t>
            </w:r>
            <w:r w:rsidR="00A86FC8">
              <w:rPr>
                <w:rFonts w:asciiTheme="minorHAnsi" w:eastAsiaTheme="minorEastAsia" w:hAnsiTheme="minorHAnsi" w:cstheme="minorBidi"/>
                <w:noProof/>
                <w:sz w:val="22"/>
                <w:szCs w:val="22"/>
              </w:rPr>
              <w:tab/>
            </w:r>
            <w:r w:rsidR="00A86FC8" w:rsidRPr="00EA57D7">
              <w:rPr>
                <w:rStyle w:val="Hyperlink"/>
                <w:noProof/>
              </w:rPr>
              <w:t>Efforts to Identify Duplication and Use of Similar Information</w:t>
            </w:r>
            <w:r w:rsidR="00A86FC8">
              <w:rPr>
                <w:noProof/>
                <w:webHidden/>
              </w:rPr>
              <w:tab/>
            </w:r>
            <w:r w:rsidR="00A86FC8">
              <w:rPr>
                <w:noProof/>
                <w:webHidden/>
              </w:rPr>
              <w:fldChar w:fldCharType="begin"/>
            </w:r>
            <w:r w:rsidR="00A86FC8">
              <w:rPr>
                <w:noProof/>
                <w:webHidden/>
              </w:rPr>
              <w:instrText xml:space="preserve"> PAGEREF _Toc462298374 \h </w:instrText>
            </w:r>
            <w:r w:rsidR="00A86FC8">
              <w:rPr>
                <w:noProof/>
                <w:webHidden/>
              </w:rPr>
            </w:r>
            <w:r w:rsidR="00A86FC8">
              <w:rPr>
                <w:noProof/>
                <w:webHidden/>
              </w:rPr>
              <w:fldChar w:fldCharType="separate"/>
            </w:r>
            <w:r w:rsidR="005812D9">
              <w:rPr>
                <w:noProof/>
                <w:webHidden/>
              </w:rPr>
              <w:t>6</w:t>
            </w:r>
            <w:r w:rsidR="00A86FC8">
              <w:rPr>
                <w:noProof/>
                <w:webHidden/>
              </w:rPr>
              <w:fldChar w:fldCharType="end"/>
            </w:r>
          </w:hyperlink>
        </w:p>
        <w:p w14:paraId="05865CEE" w14:textId="047E6EAA" w:rsidR="00A86FC8" w:rsidRDefault="00A46AB2">
          <w:pPr>
            <w:pStyle w:val="TOC1"/>
            <w:tabs>
              <w:tab w:val="left" w:pos="660"/>
              <w:tab w:val="right" w:leader="dot" w:pos="10070"/>
            </w:tabs>
            <w:rPr>
              <w:rFonts w:asciiTheme="minorHAnsi" w:eastAsiaTheme="minorEastAsia" w:hAnsiTheme="minorHAnsi" w:cstheme="minorBidi"/>
              <w:noProof/>
              <w:sz w:val="22"/>
              <w:szCs w:val="22"/>
            </w:rPr>
          </w:pPr>
          <w:hyperlink w:anchor="_Toc462298375" w:history="1">
            <w:r w:rsidR="00A86FC8" w:rsidRPr="00EA57D7">
              <w:rPr>
                <w:rStyle w:val="Hyperlink"/>
                <w:noProof/>
              </w:rPr>
              <w:t>A.5</w:t>
            </w:r>
            <w:r w:rsidR="00A86FC8">
              <w:rPr>
                <w:rFonts w:asciiTheme="minorHAnsi" w:eastAsiaTheme="minorEastAsia" w:hAnsiTheme="minorHAnsi" w:cstheme="minorBidi"/>
                <w:noProof/>
                <w:sz w:val="22"/>
                <w:szCs w:val="22"/>
              </w:rPr>
              <w:tab/>
            </w:r>
            <w:r w:rsidR="00A86FC8" w:rsidRPr="00EA57D7">
              <w:rPr>
                <w:rStyle w:val="Hyperlink"/>
                <w:noProof/>
              </w:rPr>
              <w:t>Impact on Small Businesses or Other Small Entities</w:t>
            </w:r>
            <w:r w:rsidR="00A86FC8">
              <w:rPr>
                <w:noProof/>
                <w:webHidden/>
              </w:rPr>
              <w:tab/>
            </w:r>
            <w:r w:rsidR="00A86FC8">
              <w:rPr>
                <w:noProof/>
                <w:webHidden/>
              </w:rPr>
              <w:fldChar w:fldCharType="begin"/>
            </w:r>
            <w:r w:rsidR="00A86FC8">
              <w:rPr>
                <w:noProof/>
                <w:webHidden/>
              </w:rPr>
              <w:instrText xml:space="preserve"> PAGEREF _Toc462298375 \h </w:instrText>
            </w:r>
            <w:r w:rsidR="00A86FC8">
              <w:rPr>
                <w:noProof/>
                <w:webHidden/>
              </w:rPr>
            </w:r>
            <w:r w:rsidR="00A86FC8">
              <w:rPr>
                <w:noProof/>
                <w:webHidden/>
              </w:rPr>
              <w:fldChar w:fldCharType="separate"/>
            </w:r>
            <w:r w:rsidR="005812D9">
              <w:rPr>
                <w:noProof/>
                <w:webHidden/>
              </w:rPr>
              <w:t>6</w:t>
            </w:r>
            <w:r w:rsidR="00A86FC8">
              <w:rPr>
                <w:noProof/>
                <w:webHidden/>
              </w:rPr>
              <w:fldChar w:fldCharType="end"/>
            </w:r>
          </w:hyperlink>
        </w:p>
        <w:p w14:paraId="0EA7D5EE" w14:textId="40094416" w:rsidR="00A86FC8" w:rsidRDefault="00A46AB2">
          <w:pPr>
            <w:pStyle w:val="TOC1"/>
            <w:tabs>
              <w:tab w:val="left" w:pos="660"/>
              <w:tab w:val="right" w:leader="dot" w:pos="10070"/>
            </w:tabs>
            <w:rPr>
              <w:rFonts w:asciiTheme="minorHAnsi" w:eastAsiaTheme="minorEastAsia" w:hAnsiTheme="minorHAnsi" w:cstheme="minorBidi"/>
              <w:noProof/>
              <w:sz w:val="22"/>
              <w:szCs w:val="22"/>
            </w:rPr>
          </w:pPr>
          <w:hyperlink w:anchor="_Toc462298376" w:history="1">
            <w:r w:rsidR="00A86FC8" w:rsidRPr="00EA57D7">
              <w:rPr>
                <w:rStyle w:val="Hyperlink"/>
                <w:noProof/>
              </w:rPr>
              <w:t>A.6</w:t>
            </w:r>
            <w:r w:rsidR="00A86FC8">
              <w:rPr>
                <w:rFonts w:asciiTheme="minorHAnsi" w:eastAsiaTheme="minorEastAsia" w:hAnsiTheme="minorHAnsi" w:cstheme="minorBidi"/>
                <w:noProof/>
                <w:sz w:val="22"/>
                <w:szCs w:val="22"/>
              </w:rPr>
              <w:tab/>
            </w:r>
            <w:r w:rsidR="00A86FC8" w:rsidRPr="00EA57D7">
              <w:rPr>
                <w:rStyle w:val="Hyperlink"/>
                <w:noProof/>
              </w:rPr>
              <w:t xml:space="preserve">Consequences of Collecting the Information Less frequently </w:t>
            </w:r>
            <w:r w:rsidR="00A86FC8">
              <w:rPr>
                <w:noProof/>
                <w:webHidden/>
              </w:rPr>
              <w:tab/>
            </w:r>
            <w:r w:rsidR="00A86FC8">
              <w:rPr>
                <w:noProof/>
                <w:webHidden/>
              </w:rPr>
              <w:fldChar w:fldCharType="begin"/>
            </w:r>
            <w:r w:rsidR="00A86FC8">
              <w:rPr>
                <w:noProof/>
                <w:webHidden/>
              </w:rPr>
              <w:instrText xml:space="preserve"> PAGEREF _Toc462298376 \h </w:instrText>
            </w:r>
            <w:r w:rsidR="00A86FC8">
              <w:rPr>
                <w:noProof/>
                <w:webHidden/>
              </w:rPr>
            </w:r>
            <w:r w:rsidR="00A86FC8">
              <w:rPr>
                <w:noProof/>
                <w:webHidden/>
              </w:rPr>
              <w:fldChar w:fldCharType="separate"/>
            </w:r>
            <w:r w:rsidR="005812D9">
              <w:rPr>
                <w:noProof/>
                <w:webHidden/>
              </w:rPr>
              <w:t>7</w:t>
            </w:r>
            <w:r w:rsidR="00A86FC8">
              <w:rPr>
                <w:noProof/>
                <w:webHidden/>
              </w:rPr>
              <w:fldChar w:fldCharType="end"/>
            </w:r>
          </w:hyperlink>
        </w:p>
        <w:p w14:paraId="57C6B92B" w14:textId="04E7FCD2" w:rsidR="00A86FC8" w:rsidRDefault="00A46AB2">
          <w:pPr>
            <w:pStyle w:val="TOC1"/>
            <w:tabs>
              <w:tab w:val="left" w:pos="660"/>
              <w:tab w:val="right" w:leader="dot" w:pos="10070"/>
            </w:tabs>
            <w:rPr>
              <w:rFonts w:asciiTheme="minorHAnsi" w:eastAsiaTheme="minorEastAsia" w:hAnsiTheme="minorHAnsi" w:cstheme="minorBidi"/>
              <w:noProof/>
              <w:sz w:val="22"/>
              <w:szCs w:val="22"/>
            </w:rPr>
          </w:pPr>
          <w:hyperlink w:anchor="_Toc462298377" w:history="1">
            <w:r w:rsidR="00A86FC8" w:rsidRPr="00EA57D7">
              <w:rPr>
                <w:rStyle w:val="Hyperlink"/>
                <w:noProof/>
              </w:rPr>
              <w:t>A.7</w:t>
            </w:r>
            <w:r w:rsidR="00A86FC8">
              <w:rPr>
                <w:rFonts w:asciiTheme="minorHAnsi" w:eastAsiaTheme="minorEastAsia" w:hAnsiTheme="minorHAnsi" w:cstheme="minorBidi"/>
                <w:noProof/>
                <w:sz w:val="22"/>
                <w:szCs w:val="22"/>
              </w:rPr>
              <w:tab/>
            </w:r>
            <w:r w:rsidR="00A86FC8" w:rsidRPr="00EA57D7">
              <w:rPr>
                <w:rStyle w:val="Hyperlink"/>
                <w:noProof/>
              </w:rPr>
              <w:t>Special Circumstances Relating to the Guidelines of 5 CFR 1320.5</w:t>
            </w:r>
            <w:r w:rsidR="00A86FC8">
              <w:rPr>
                <w:noProof/>
                <w:webHidden/>
              </w:rPr>
              <w:tab/>
            </w:r>
            <w:r w:rsidR="00A86FC8">
              <w:rPr>
                <w:noProof/>
                <w:webHidden/>
              </w:rPr>
              <w:fldChar w:fldCharType="begin"/>
            </w:r>
            <w:r w:rsidR="00A86FC8">
              <w:rPr>
                <w:noProof/>
                <w:webHidden/>
              </w:rPr>
              <w:instrText xml:space="preserve"> PAGEREF _Toc462298377 \h </w:instrText>
            </w:r>
            <w:r w:rsidR="00A86FC8">
              <w:rPr>
                <w:noProof/>
                <w:webHidden/>
              </w:rPr>
            </w:r>
            <w:r w:rsidR="00A86FC8">
              <w:rPr>
                <w:noProof/>
                <w:webHidden/>
              </w:rPr>
              <w:fldChar w:fldCharType="separate"/>
            </w:r>
            <w:r w:rsidR="005812D9">
              <w:rPr>
                <w:noProof/>
                <w:webHidden/>
              </w:rPr>
              <w:t>7</w:t>
            </w:r>
            <w:r w:rsidR="00A86FC8">
              <w:rPr>
                <w:noProof/>
                <w:webHidden/>
              </w:rPr>
              <w:fldChar w:fldCharType="end"/>
            </w:r>
          </w:hyperlink>
        </w:p>
        <w:p w14:paraId="7DBA78D0" w14:textId="016511E2" w:rsidR="00A86FC8" w:rsidRDefault="00A46AB2">
          <w:pPr>
            <w:pStyle w:val="TOC1"/>
            <w:tabs>
              <w:tab w:val="left" w:pos="660"/>
              <w:tab w:val="right" w:leader="dot" w:pos="10070"/>
            </w:tabs>
            <w:rPr>
              <w:rFonts w:asciiTheme="minorHAnsi" w:eastAsiaTheme="minorEastAsia" w:hAnsiTheme="minorHAnsi" w:cstheme="minorBidi"/>
              <w:noProof/>
              <w:sz w:val="22"/>
              <w:szCs w:val="22"/>
            </w:rPr>
          </w:pPr>
          <w:hyperlink w:anchor="_Toc462298378" w:history="1">
            <w:r w:rsidR="00A86FC8" w:rsidRPr="00EA57D7">
              <w:rPr>
                <w:rStyle w:val="Hyperlink"/>
                <w:noProof/>
              </w:rPr>
              <w:t>A.8</w:t>
            </w:r>
            <w:r w:rsidR="00A86FC8">
              <w:rPr>
                <w:rFonts w:asciiTheme="minorHAnsi" w:eastAsiaTheme="minorEastAsia" w:hAnsiTheme="minorHAnsi" w:cstheme="minorBidi"/>
                <w:noProof/>
                <w:sz w:val="22"/>
                <w:szCs w:val="22"/>
              </w:rPr>
              <w:tab/>
            </w:r>
            <w:r w:rsidR="00A86FC8" w:rsidRPr="00EA57D7">
              <w:rPr>
                <w:rStyle w:val="Hyperlink"/>
                <w:noProof/>
              </w:rPr>
              <w:t>Comments in Response to the FRN and Efforts to Consult Outside the Agency</w:t>
            </w:r>
            <w:r w:rsidR="00A86FC8">
              <w:rPr>
                <w:noProof/>
                <w:webHidden/>
              </w:rPr>
              <w:tab/>
            </w:r>
            <w:r w:rsidR="00A86FC8">
              <w:rPr>
                <w:noProof/>
                <w:webHidden/>
              </w:rPr>
              <w:fldChar w:fldCharType="begin"/>
            </w:r>
            <w:r w:rsidR="00A86FC8">
              <w:rPr>
                <w:noProof/>
                <w:webHidden/>
              </w:rPr>
              <w:instrText xml:space="preserve"> PAGEREF _Toc462298378 \h </w:instrText>
            </w:r>
            <w:r w:rsidR="00A86FC8">
              <w:rPr>
                <w:noProof/>
                <w:webHidden/>
              </w:rPr>
            </w:r>
            <w:r w:rsidR="00A86FC8">
              <w:rPr>
                <w:noProof/>
                <w:webHidden/>
              </w:rPr>
              <w:fldChar w:fldCharType="separate"/>
            </w:r>
            <w:r w:rsidR="005812D9">
              <w:rPr>
                <w:noProof/>
                <w:webHidden/>
              </w:rPr>
              <w:t>7</w:t>
            </w:r>
            <w:r w:rsidR="00A86FC8">
              <w:rPr>
                <w:noProof/>
                <w:webHidden/>
              </w:rPr>
              <w:fldChar w:fldCharType="end"/>
            </w:r>
          </w:hyperlink>
        </w:p>
        <w:p w14:paraId="75B9CDBA" w14:textId="46BF4214" w:rsidR="00A86FC8" w:rsidRDefault="00A46AB2">
          <w:pPr>
            <w:pStyle w:val="TOC1"/>
            <w:tabs>
              <w:tab w:val="left" w:pos="660"/>
              <w:tab w:val="right" w:leader="dot" w:pos="10070"/>
            </w:tabs>
            <w:rPr>
              <w:rFonts w:asciiTheme="minorHAnsi" w:eastAsiaTheme="minorEastAsia" w:hAnsiTheme="minorHAnsi" w:cstheme="minorBidi"/>
              <w:noProof/>
              <w:sz w:val="22"/>
              <w:szCs w:val="22"/>
            </w:rPr>
          </w:pPr>
          <w:hyperlink w:anchor="_Toc462298379" w:history="1">
            <w:r w:rsidR="00A86FC8" w:rsidRPr="00EA57D7">
              <w:rPr>
                <w:rStyle w:val="Hyperlink"/>
                <w:noProof/>
              </w:rPr>
              <w:t>A.9</w:t>
            </w:r>
            <w:r w:rsidR="00A86FC8">
              <w:rPr>
                <w:rFonts w:asciiTheme="minorHAnsi" w:eastAsiaTheme="minorEastAsia" w:hAnsiTheme="minorHAnsi" w:cstheme="minorBidi"/>
                <w:noProof/>
                <w:sz w:val="22"/>
                <w:szCs w:val="22"/>
              </w:rPr>
              <w:tab/>
            </w:r>
            <w:r w:rsidR="00A86FC8" w:rsidRPr="00EA57D7">
              <w:rPr>
                <w:rStyle w:val="Hyperlink"/>
                <w:noProof/>
              </w:rPr>
              <w:t>Explanation of Any Payment or Gift to Respondents</w:t>
            </w:r>
            <w:r w:rsidR="00A86FC8">
              <w:rPr>
                <w:noProof/>
                <w:webHidden/>
              </w:rPr>
              <w:tab/>
            </w:r>
            <w:r w:rsidR="00A86FC8">
              <w:rPr>
                <w:noProof/>
                <w:webHidden/>
              </w:rPr>
              <w:fldChar w:fldCharType="begin"/>
            </w:r>
            <w:r w:rsidR="00A86FC8">
              <w:rPr>
                <w:noProof/>
                <w:webHidden/>
              </w:rPr>
              <w:instrText xml:space="preserve"> PAGEREF _Toc462298379 \h </w:instrText>
            </w:r>
            <w:r w:rsidR="00A86FC8">
              <w:rPr>
                <w:noProof/>
                <w:webHidden/>
              </w:rPr>
            </w:r>
            <w:r w:rsidR="00A86FC8">
              <w:rPr>
                <w:noProof/>
                <w:webHidden/>
              </w:rPr>
              <w:fldChar w:fldCharType="separate"/>
            </w:r>
            <w:r w:rsidR="005812D9">
              <w:rPr>
                <w:noProof/>
                <w:webHidden/>
              </w:rPr>
              <w:t>7</w:t>
            </w:r>
            <w:r w:rsidR="00A86FC8">
              <w:rPr>
                <w:noProof/>
                <w:webHidden/>
              </w:rPr>
              <w:fldChar w:fldCharType="end"/>
            </w:r>
          </w:hyperlink>
        </w:p>
        <w:p w14:paraId="741656AC" w14:textId="3B450316" w:rsidR="00A86FC8" w:rsidRDefault="00A46AB2">
          <w:pPr>
            <w:pStyle w:val="TOC1"/>
            <w:tabs>
              <w:tab w:val="left" w:pos="880"/>
              <w:tab w:val="right" w:leader="dot" w:pos="10070"/>
            </w:tabs>
            <w:rPr>
              <w:rFonts w:asciiTheme="minorHAnsi" w:eastAsiaTheme="minorEastAsia" w:hAnsiTheme="minorHAnsi" w:cstheme="minorBidi"/>
              <w:noProof/>
              <w:sz w:val="22"/>
              <w:szCs w:val="22"/>
            </w:rPr>
          </w:pPr>
          <w:hyperlink w:anchor="_Toc462298380" w:history="1">
            <w:r w:rsidR="00A86FC8" w:rsidRPr="00EA57D7">
              <w:rPr>
                <w:rStyle w:val="Hyperlink"/>
                <w:noProof/>
              </w:rPr>
              <w:t>A.10</w:t>
            </w:r>
            <w:r w:rsidR="00A86FC8">
              <w:rPr>
                <w:rFonts w:asciiTheme="minorHAnsi" w:eastAsiaTheme="minorEastAsia" w:hAnsiTheme="minorHAnsi" w:cstheme="minorBidi"/>
                <w:noProof/>
                <w:sz w:val="22"/>
                <w:szCs w:val="22"/>
              </w:rPr>
              <w:tab/>
            </w:r>
            <w:r w:rsidR="00A86FC8" w:rsidRPr="00EA57D7">
              <w:rPr>
                <w:rStyle w:val="Hyperlink"/>
                <w:noProof/>
              </w:rPr>
              <w:t>Assurance of Confidentiality Provided to Respondents</w:t>
            </w:r>
            <w:r w:rsidR="00A86FC8">
              <w:rPr>
                <w:noProof/>
                <w:webHidden/>
              </w:rPr>
              <w:tab/>
            </w:r>
            <w:r w:rsidR="00A86FC8">
              <w:rPr>
                <w:noProof/>
                <w:webHidden/>
              </w:rPr>
              <w:fldChar w:fldCharType="begin"/>
            </w:r>
            <w:r w:rsidR="00A86FC8">
              <w:rPr>
                <w:noProof/>
                <w:webHidden/>
              </w:rPr>
              <w:instrText xml:space="preserve"> PAGEREF _Toc462298380 \h </w:instrText>
            </w:r>
            <w:r w:rsidR="00A86FC8">
              <w:rPr>
                <w:noProof/>
                <w:webHidden/>
              </w:rPr>
            </w:r>
            <w:r w:rsidR="00A86FC8">
              <w:rPr>
                <w:noProof/>
                <w:webHidden/>
              </w:rPr>
              <w:fldChar w:fldCharType="separate"/>
            </w:r>
            <w:r w:rsidR="005812D9">
              <w:rPr>
                <w:noProof/>
                <w:webHidden/>
              </w:rPr>
              <w:t>8</w:t>
            </w:r>
            <w:r w:rsidR="00A86FC8">
              <w:rPr>
                <w:noProof/>
                <w:webHidden/>
              </w:rPr>
              <w:fldChar w:fldCharType="end"/>
            </w:r>
          </w:hyperlink>
        </w:p>
        <w:p w14:paraId="1807F94D" w14:textId="3BCBA9A4" w:rsidR="00A86FC8" w:rsidRDefault="00A46AB2">
          <w:pPr>
            <w:pStyle w:val="TOC1"/>
            <w:tabs>
              <w:tab w:val="left" w:pos="880"/>
              <w:tab w:val="right" w:leader="dot" w:pos="10070"/>
            </w:tabs>
            <w:rPr>
              <w:rFonts w:asciiTheme="minorHAnsi" w:eastAsiaTheme="minorEastAsia" w:hAnsiTheme="minorHAnsi" w:cstheme="minorBidi"/>
              <w:noProof/>
              <w:sz w:val="22"/>
              <w:szCs w:val="22"/>
            </w:rPr>
          </w:pPr>
          <w:hyperlink w:anchor="_Toc462298381" w:history="1">
            <w:r w:rsidR="00A86FC8" w:rsidRPr="00EA57D7">
              <w:rPr>
                <w:rStyle w:val="Hyperlink"/>
                <w:noProof/>
              </w:rPr>
              <w:t>A.11</w:t>
            </w:r>
            <w:r w:rsidR="00A86FC8">
              <w:rPr>
                <w:rFonts w:asciiTheme="minorHAnsi" w:eastAsiaTheme="minorEastAsia" w:hAnsiTheme="minorHAnsi" w:cstheme="minorBidi"/>
                <w:noProof/>
                <w:sz w:val="22"/>
                <w:szCs w:val="22"/>
              </w:rPr>
              <w:tab/>
            </w:r>
            <w:r w:rsidR="00A86FC8" w:rsidRPr="00EA57D7">
              <w:rPr>
                <w:rStyle w:val="Hyperlink"/>
                <w:noProof/>
              </w:rPr>
              <w:t>Institutional Review Board (IRB) and Justification for Sensitive Questions</w:t>
            </w:r>
            <w:r w:rsidR="00A86FC8">
              <w:rPr>
                <w:noProof/>
                <w:webHidden/>
              </w:rPr>
              <w:tab/>
            </w:r>
            <w:r w:rsidR="00A86FC8">
              <w:rPr>
                <w:noProof/>
                <w:webHidden/>
              </w:rPr>
              <w:fldChar w:fldCharType="begin"/>
            </w:r>
            <w:r w:rsidR="00A86FC8">
              <w:rPr>
                <w:noProof/>
                <w:webHidden/>
              </w:rPr>
              <w:instrText xml:space="preserve"> PAGEREF _Toc462298381 \h </w:instrText>
            </w:r>
            <w:r w:rsidR="00A86FC8">
              <w:rPr>
                <w:noProof/>
                <w:webHidden/>
              </w:rPr>
            </w:r>
            <w:r w:rsidR="00A86FC8">
              <w:rPr>
                <w:noProof/>
                <w:webHidden/>
              </w:rPr>
              <w:fldChar w:fldCharType="separate"/>
            </w:r>
            <w:r w:rsidR="005812D9">
              <w:rPr>
                <w:noProof/>
                <w:webHidden/>
              </w:rPr>
              <w:t>9</w:t>
            </w:r>
            <w:r w:rsidR="00A86FC8">
              <w:rPr>
                <w:noProof/>
                <w:webHidden/>
              </w:rPr>
              <w:fldChar w:fldCharType="end"/>
            </w:r>
          </w:hyperlink>
        </w:p>
        <w:p w14:paraId="04F3B959" w14:textId="426B71C6" w:rsidR="00A86FC8" w:rsidRDefault="00A46AB2">
          <w:pPr>
            <w:pStyle w:val="TOC1"/>
            <w:tabs>
              <w:tab w:val="left" w:pos="880"/>
              <w:tab w:val="right" w:leader="dot" w:pos="10070"/>
            </w:tabs>
            <w:rPr>
              <w:rFonts w:asciiTheme="minorHAnsi" w:eastAsiaTheme="minorEastAsia" w:hAnsiTheme="minorHAnsi" w:cstheme="minorBidi"/>
              <w:noProof/>
              <w:sz w:val="22"/>
              <w:szCs w:val="22"/>
            </w:rPr>
          </w:pPr>
          <w:hyperlink w:anchor="_Toc462298382" w:history="1">
            <w:r w:rsidR="00A86FC8" w:rsidRPr="00EA57D7">
              <w:rPr>
                <w:rStyle w:val="Hyperlink"/>
                <w:noProof/>
              </w:rPr>
              <w:t>A.12</w:t>
            </w:r>
            <w:r w:rsidR="00A86FC8">
              <w:rPr>
                <w:rFonts w:asciiTheme="minorHAnsi" w:eastAsiaTheme="minorEastAsia" w:hAnsiTheme="minorHAnsi" w:cstheme="minorBidi"/>
                <w:noProof/>
                <w:sz w:val="22"/>
                <w:szCs w:val="22"/>
              </w:rPr>
              <w:tab/>
            </w:r>
            <w:r w:rsidR="00A86FC8" w:rsidRPr="00EA57D7">
              <w:rPr>
                <w:rStyle w:val="Hyperlink"/>
                <w:noProof/>
              </w:rPr>
              <w:t>Provide an Estimate in Hours of the Burden of the Collection of Information</w:t>
            </w:r>
            <w:r w:rsidR="00A86FC8">
              <w:rPr>
                <w:noProof/>
                <w:webHidden/>
              </w:rPr>
              <w:tab/>
            </w:r>
            <w:r w:rsidR="00A86FC8">
              <w:rPr>
                <w:noProof/>
                <w:webHidden/>
              </w:rPr>
              <w:fldChar w:fldCharType="begin"/>
            </w:r>
            <w:r w:rsidR="00A86FC8">
              <w:rPr>
                <w:noProof/>
                <w:webHidden/>
              </w:rPr>
              <w:instrText xml:space="preserve"> PAGEREF _Toc462298382 \h </w:instrText>
            </w:r>
            <w:r w:rsidR="00A86FC8">
              <w:rPr>
                <w:noProof/>
                <w:webHidden/>
              </w:rPr>
            </w:r>
            <w:r w:rsidR="00A86FC8">
              <w:rPr>
                <w:noProof/>
                <w:webHidden/>
              </w:rPr>
              <w:fldChar w:fldCharType="separate"/>
            </w:r>
            <w:r w:rsidR="005812D9">
              <w:rPr>
                <w:noProof/>
                <w:webHidden/>
              </w:rPr>
              <w:t>9</w:t>
            </w:r>
            <w:r w:rsidR="00A86FC8">
              <w:rPr>
                <w:noProof/>
                <w:webHidden/>
              </w:rPr>
              <w:fldChar w:fldCharType="end"/>
            </w:r>
          </w:hyperlink>
        </w:p>
        <w:p w14:paraId="151A2B8E" w14:textId="58CC222E" w:rsidR="00A86FC8" w:rsidRDefault="00A46AB2">
          <w:pPr>
            <w:pStyle w:val="TOC1"/>
            <w:tabs>
              <w:tab w:val="left" w:pos="880"/>
              <w:tab w:val="right" w:leader="dot" w:pos="10070"/>
            </w:tabs>
            <w:rPr>
              <w:rFonts w:asciiTheme="minorHAnsi" w:eastAsiaTheme="minorEastAsia" w:hAnsiTheme="minorHAnsi" w:cstheme="minorBidi"/>
              <w:noProof/>
              <w:sz w:val="22"/>
              <w:szCs w:val="22"/>
            </w:rPr>
          </w:pPr>
          <w:hyperlink w:anchor="_Toc462298383" w:history="1">
            <w:r w:rsidR="00A86FC8" w:rsidRPr="00EA57D7">
              <w:rPr>
                <w:rStyle w:val="Hyperlink"/>
                <w:noProof/>
              </w:rPr>
              <w:t>A.13</w:t>
            </w:r>
            <w:r w:rsidR="00A86FC8">
              <w:rPr>
                <w:rFonts w:asciiTheme="minorHAnsi" w:eastAsiaTheme="minorEastAsia" w:hAnsiTheme="minorHAnsi" w:cstheme="minorBidi"/>
                <w:noProof/>
                <w:sz w:val="22"/>
                <w:szCs w:val="22"/>
              </w:rPr>
              <w:tab/>
            </w:r>
            <w:r w:rsidR="00A86FC8" w:rsidRPr="00EA57D7">
              <w:rPr>
                <w:rStyle w:val="Hyperlink"/>
                <w:noProof/>
              </w:rPr>
              <w:t>Estimates of Other Total Annual Cost Burden to Respondents or Record Keepers</w:t>
            </w:r>
            <w:r w:rsidR="00A86FC8">
              <w:rPr>
                <w:noProof/>
                <w:webHidden/>
              </w:rPr>
              <w:tab/>
            </w:r>
            <w:r w:rsidR="00A86FC8">
              <w:rPr>
                <w:noProof/>
                <w:webHidden/>
              </w:rPr>
              <w:fldChar w:fldCharType="begin"/>
            </w:r>
            <w:r w:rsidR="00A86FC8">
              <w:rPr>
                <w:noProof/>
                <w:webHidden/>
              </w:rPr>
              <w:instrText xml:space="preserve"> PAGEREF _Toc462298383 \h </w:instrText>
            </w:r>
            <w:r w:rsidR="00A86FC8">
              <w:rPr>
                <w:noProof/>
                <w:webHidden/>
              </w:rPr>
            </w:r>
            <w:r w:rsidR="00A86FC8">
              <w:rPr>
                <w:noProof/>
                <w:webHidden/>
              </w:rPr>
              <w:fldChar w:fldCharType="separate"/>
            </w:r>
            <w:r w:rsidR="005812D9">
              <w:rPr>
                <w:noProof/>
                <w:webHidden/>
              </w:rPr>
              <w:t>10</w:t>
            </w:r>
            <w:r w:rsidR="00A86FC8">
              <w:rPr>
                <w:noProof/>
                <w:webHidden/>
              </w:rPr>
              <w:fldChar w:fldCharType="end"/>
            </w:r>
          </w:hyperlink>
        </w:p>
        <w:p w14:paraId="28059E1C" w14:textId="07E9ADBE" w:rsidR="00A86FC8" w:rsidRDefault="00A46AB2">
          <w:pPr>
            <w:pStyle w:val="TOC1"/>
            <w:tabs>
              <w:tab w:val="left" w:pos="880"/>
              <w:tab w:val="right" w:leader="dot" w:pos="10070"/>
            </w:tabs>
            <w:rPr>
              <w:rFonts w:asciiTheme="minorHAnsi" w:eastAsiaTheme="minorEastAsia" w:hAnsiTheme="minorHAnsi" w:cstheme="minorBidi"/>
              <w:noProof/>
              <w:sz w:val="22"/>
              <w:szCs w:val="22"/>
            </w:rPr>
          </w:pPr>
          <w:hyperlink w:anchor="_Toc462298384" w:history="1">
            <w:r w:rsidR="00A86FC8" w:rsidRPr="00EA57D7">
              <w:rPr>
                <w:rStyle w:val="Hyperlink"/>
                <w:noProof/>
              </w:rPr>
              <w:t>A.14</w:t>
            </w:r>
            <w:r w:rsidR="00A86FC8">
              <w:rPr>
                <w:rFonts w:asciiTheme="minorHAnsi" w:eastAsiaTheme="minorEastAsia" w:hAnsiTheme="minorHAnsi" w:cstheme="minorBidi"/>
                <w:noProof/>
                <w:sz w:val="22"/>
                <w:szCs w:val="22"/>
              </w:rPr>
              <w:tab/>
            </w:r>
            <w:r w:rsidR="00A86FC8" w:rsidRPr="00EA57D7">
              <w:rPr>
                <w:rStyle w:val="Hyperlink"/>
                <w:noProof/>
              </w:rPr>
              <w:t>Annualized Cost to the Government</w:t>
            </w:r>
            <w:r w:rsidR="00A86FC8">
              <w:rPr>
                <w:noProof/>
                <w:webHidden/>
              </w:rPr>
              <w:tab/>
            </w:r>
            <w:r w:rsidR="00A86FC8">
              <w:rPr>
                <w:noProof/>
                <w:webHidden/>
              </w:rPr>
              <w:fldChar w:fldCharType="begin"/>
            </w:r>
            <w:r w:rsidR="00A86FC8">
              <w:rPr>
                <w:noProof/>
                <w:webHidden/>
              </w:rPr>
              <w:instrText xml:space="preserve"> PAGEREF _Toc462298384 \h </w:instrText>
            </w:r>
            <w:r w:rsidR="00A86FC8">
              <w:rPr>
                <w:noProof/>
                <w:webHidden/>
              </w:rPr>
            </w:r>
            <w:r w:rsidR="00A86FC8">
              <w:rPr>
                <w:noProof/>
                <w:webHidden/>
              </w:rPr>
              <w:fldChar w:fldCharType="separate"/>
            </w:r>
            <w:r w:rsidR="005812D9">
              <w:rPr>
                <w:noProof/>
                <w:webHidden/>
              </w:rPr>
              <w:t>10</w:t>
            </w:r>
            <w:r w:rsidR="00A86FC8">
              <w:rPr>
                <w:noProof/>
                <w:webHidden/>
              </w:rPr>
              <w:fldChar w:fldCharType="end"/>
            </w:r>
          </w:hyperlink>
        </w:p>
        <w:p w14:paraId="7A8F627F" w14:textId="4B5B071B" w:rsidR="00A86FC8" w:rsidRDefault="00A46AB2">
          <w:pPr>
            <w:pStyle w:val="TOC1"/>
            <w:tabs>
              <w:tab w:val="left" w:pos="880"/>
              <w:tab w:val="right" w:leader="dot" w:pos="10070"/>
            </w:tabs>
            <w:rPr>
              <w:rFonts w:asciiTheme="minorHAnsi" w:eastAsiaTheme="minorEastAsia" w:hAnsiTheme="minorHAnsi" w:cstheme="minorBidi"/>
              <w:noProof/>
              <w:sz w:val="22"/>
              <w:szCs w:val="22"/>
            </w:rPr>
          </w:pPr>
          <w:hyperlink w:anchor="_Toc462298385" w:history="1">
            <w:r w:rsidR="00A86FC8" w:rsidRPr="00EA57D7">
              <w:rPr>
                <w:rStyle w:val="Hyperlink"/>
                <w:noProof/>
              </w:rPr>
              <w:t>A.15</w:t>
            </w:r>
            <w:r w:rsidR="00A86FC8">
              <w:rPr>
                <w:rFonts w:asciiTheme="minorHAnsi" w:eastAsiaTheme="minorEastAsia" w:hAnsiTheme="minorHAnsi" w:cstheme="minorBidi"/>
                <w:noProof/>
                <w:sz w:val="22"/>
                <w:szCs w:val="22"/>
              </w:rPr>
              <w:tab/>
            </w:r>
            <w:r w:rsidR="00A86FC8" w:rsidRPr="00EA57D7">
              <w:rPr>
                <w:rStyle w:val="Hyperlink"/>
                <w:noProof/>
              </w:rPr>
              <w:t>Explanation for Program Changes or Adjustments</w:t>
            </w:r>
            <w:r w:rsidR="00A86FC8">
              <w:rPr>
                <w:noProof/>
                <w:webHidden/>
              </w:rPr>
              <w:tab/>
            </w:r>
            <w:r w:rsidR="00A86FC8">
              <w:rPr>
                <w:noProof/>
                <w:webHidden/>
              </w:rPr>
              <w:fldChar w:fldCharType="begin"/>
            </w:r>
            <w:r w:rsidR="00A86FC8">
              <w:rPr>
                <w:noProof/>
                <w:webHidden/>
              </w:rPr>
              <w:instrText xml:space="preserve"> PAGEREF _Toc462298385 \h </w:instrText>
            </w:r>
            <w:r w:rsidR="00A86FC8">
              <w:rPr>
                <w:noProof/>
                <w:webHidden/>
              </w:rPr>
            </w:r>
            <w:r w:rsidR="00A86FC8">
              <w:rPr>
                <w:noProof/>
                <w:webHidden/>
              </w:rPr>
              <w:fldChar w:fldCharType="separate"/>
            </w:r>
            <w:r w:rsidR="005812D9">
              <w:rPr>
                <w:noProof/>
                <w:webHidden/>
              </w:rPr>
              <w:t>11</w:t>
            </w:r>
            <w:r w:rsidR="00A86FC8">
              <w:rPr>
                <w:noProof/>
                <w:webHidden/>
              </w:rPr>
              <w:fldChar w:fldCharType="end"/>
            </w:r>
          </w:hyperlink>
        </w:p>
        <w:p w14:paraId="69C2A988" w14:textId="6F8D83FE" w:rsidR="00A86FC8" w:rsidRDefault="00A46AB2">
          <w:pPr>
            <w:pStyle w:val="TOC1"/>
            <w:tabs>
              <w:tab w:val="left" w:pos="880"/>
              <w:tab w:val="right" w:leader="dot" w:pos="10070"/>
            </w:tabs>
            <w:rPr>
              <w:rFonts w:asciiTheme="minorHAnsi" w:eastAsiaTheme="minorEastAsia" w:hAnsiTheme="minorHAnsi" w:cstheme="minorBidi"/>
              <w:noProof/>
              <w:sz w:val="22"/>
              <w:szCs w:val="22"/>
            </w:rPr>
          </w:pPr>
          <w:hyperlink w:anchor="_Toc462298386" w:history="1">
            <w:r w:rsidR="00A86FC8" w:rsidRPr="00EA57D7">
              <w:rPr>
                <w:rStyle w:val="Hyperlink"/>
                <w:noProof/>
              </w:rPr>
              <w:t>A.16</w:t>
            </w:r>
            <w:r w:rsidR="00A86FC8">
              <w:rPr>
                <w:rFonts w:asciiTheme="minorHAnsi" w:eastAsiaTheme="minorEastAsia" w:hAnsiTheme="minorHAnsi" w:cstheme="minorBidi"/>
                <w:noProof/>
                <w:sz w:val="22"/>
                <w:szCs w:val="22"/>
              </w:rPr>
              <w:tab/>
            </w:r>
            <w:r w:rsidR="00A86FC8" w:rsidRPr="00EA57D7">
              <w:rPr>
                <w:rStyle w:val="Hyperlink"/>
                <w:noProof/>
              </w:rPr>
              <w:t>Plans for Tabulation and Publication and Project Time Schedule</w:t>
            </w:r>
            <w:r w:rsidR="00A86FC8">
              <w:rPr>
                <w:noProof/>
                <w:webHidden/>
              </w:rPr>
              <w:tab/>
            </w:r>
            <w:r w:rsidR="00A86FC8">
              <w:rPr>
                <w:noProof/>
                <w:webHidden/>
              </w:rPr>
              <w:fldChar w:fldCharType="begin"/>
            </w:r>
            <w:r w:rsidR="00A86FC8">
              <w:rPr>
                <w:noProof/>
                <w:webHidden/>
              </w:rPr>
              <w:instrText xml:space="preserve"> PAGEREF _Toc462298386 \h </w:instrText>
            </w:r>
            <w:r w:rsidR="00A86FC8">
              <w:rPr>
                <w:noProof/>
                <w:webHidden/>
              </w:rPr>
            </w:r>
            <w:r w:rsidR="00A86FC8">
              <w:rPr>
                <w:noProof/>
                <w:webHidden/>
              </w:rPr>
              <w:fldChar w:fldCharType="separate"/>
            </w:r>
            <w:r w:rsidR="005812D9">
              <w:rPr>
                <w:noProof/>
                <w:webHidden/>
              </w:rPr>
              <w:t>11</w:t>
            </w:r>
            <w:r w:rsidR="00A86FC8">
              <w:rPr>
                <w:noProof/>
                <w:webHidden/>
              </w:rPr>
              <w:fldChar w:fldCharType="end"/>
            </w:r>
          </w:hyperlink>
        </w:p>
        <w:p w14:paraId="6BEEA8EF" w14:textId="29592921" w:rsidR="00A86FC8" w:rsidRDefault="00A46AB2">
          <w:pPr>
            <w:pStyle w:val="TOC1"/>
            <w:tabs>
              <w:tab w:val="left" w:pos="880"/>
              <w:tab w:val="right" w:leader="dot" w:pos="10070"/>
            </w:tabs>
            <w:rPr>
              <w:rFonts w:asciiTheme="minorHAnsi" w:eastAsiaTheme="minorEastAsia" w:hAnsiTheme="minorHAnsi" w:cstheme="minorBidi"/>
              <w:noProof/>
              <w:sz w:val="22"/>
              <w:szCs w:val="22"/>
            </w:rPr>
          </w:pPr>
          <w:hyperlink w:anchor="_Toc462298387" w:history="1">
            <w:r w:rsidR="00A86FC8" w:rsidRPr="00EA57D7">
              <w:rPr>
                <w:rStyle w:val="Hyperlink"/>
                <w:noProof/>
              </w:rPr>
              <w:t>A.17</w:t>
            </w:r>
            <w:r w:rsidR="00A86FC8">
              <w:rPr>
                <w:rFonts w:asciiTheme="minorHAnsi" w:eastAsiaTheme="minorEastAsia" w:hAnsiTheme="minorHAnsi" w:cstheme="minorBidi"/>
                <w:noProof/>
                <w:sz w:val="22"/>
                <w:szCs w:val="22"/>
              </w:rPr>
              <w:tab/>
            </w:r>
            <w:r w:rsidR="00A86FC8" w:rsidRPr="00EA57D7">
              <w:rPr>
                <w:rStyle w:val="Hyperlink"/>
                <w:noProof/>
              </w:rPr>
              <w:t>Reason(s) Display of OMB Expiration Date is Inappropriate</w:t>
            </w:r>
            <w:r w:rsidR="00A86FC8">
              <w:rPr>
                <w:noProof/>
                <w:webHidden/>
              </w:rPr>
              <w:tab/>
            </w:r>
            <w:r w:rsidR="00A86FC8">
              <w:rPr>
                <w:noProof/>
                <w:webHidden/>
              </w:rPr>
              <w:fldChar w:fldCharType="begin"/>
            </w:r>
            <w:r w:rsidR="00A86FC8">
              <w:rPr>
                <w:noProof/>
                <w:webHidden/>
              </w:rPr>
              <w:instrText xml:space="preserve"> PAGEREF _Toc462298387 \h </w:instrText>
            </w:r>
            <w:r w:rsidR="00A86FC8">
              <w:rPr>
                <w:noProof/>
                <w:webHidden/>
              </w:rPr>
            </w:r>
            <w:r w:rsidR="00A86FC8">
              <w:rPr>
                <w:noProof/>
                <w:webHidden/>
              </w:rPr>
              <w:fldChar w:fldCharType="separate"/>
            </w:r>
            <w:r w:rsidR="005812D9">
              <w:rPr>
                <w:noProof/>
                <w:webHidden/>
              </w:rPr>
              <w:t>12</w:t>
            </w:r>
            <w:r w:rsidR="00A86FC8">
              <w:rPr>
                <w:noProof/>
                <w:webHidden/>
              </w:rPr>
              <w:fldChar w:fldCharType="end"/>
            </w:r>
          </w:hyperlink>
        </w:p>
        <w:p w14:paraId="3DD3D38F" w14:textId="225B1CF8" w:rsidR="00A86FC8" w:rsidRDefault="00A46AB2">
          <w:pPr>
            <w:pStyle w:val="TOC1"/>
            <w:tabs>
              <w:tab w:val="left" w:pos="880"/>
              <w:tab w:val="right" w:leader="dot" w:pos="10070"/>
            </w:tabs>
            <w:rPr>
              <w:rFonts w:asciiTheme="minorHAnsi" w:eastAsiaTheme="minorEastAsia" w:hAnsiTheme="minorHAnsi" w:cstheme="minorBidi"/>
              <w:noProof/>
              <w:sz w:val="22"/>
              <w:szCs w:val="22"/>
            </w:rPr>
          </w:pPr>
          <w:hyperlink w:anchor="_Toc462298388" w:history="1">
            <w:r w:rsidR="00A86FC8" w:rsidRPr="00EA57D7">
              <w:rPr>
                <w:rStyle w:val="Hyperlink"/>
                <w:noProof/>
              </w:rPr>
              <w:t>A.18</w:t>
            </w:r>
            <w:r w:rsidR="00A86FC8">
              <w:rPr>
                <w:rFonts w:asciiTheme="minorHAnsi" w:eastAsiaTheme="minorEastAsia" w:hAnsiTheme="minorHAnsi" w:cstheme="minorBidi"/>
                <w:noProof/>
                <w:sz w:val="22"/>
                <w:szCs w:val="22"/>
              </w:rPr>
              <w:tab/>
            </w:r>
            <w:r w:rsidR="00A86FC8" w:rsidRPr="00EA57D7">
              <w:rPr>
                <w:rStyle w:val="Hyperlink"/>
                <w:noProof/>
              </w:rPr>
              <w:t>Exceptions to Certification for Paperwork Reduction Act Submissions</w:t>
            </w:r>
            <w:r w:rsidR="00A86FC8">
              <w:rPr>
                <w:noProof/>
                <w:webHidden/>
              </w:rPr>
              <w:tab/>
            </w:r>
            <w:r w:rsidR="00A86FC8">
              <w:rPr>
                <w:noProof/>
                <w:webHidden/>
              </w:rPr>
              <w:fldChar w:fldCharType="begin"/>
            </w:r>
            <w:r w:rsidR="00A86FC8">
              <w:rPr>
                <w:noProof/>
                <w:webHidden/>
              </w:rPr>
              <w:instrText xml:space="preserve"> PAGEREF _Toc462298388 \h </w:instrText>
            </w:r>
            <w:r w:rsidR="00A86FC8">
              <w:rPr>
                <w:noProof/>
                <w:webHidden/>
              </w:rPr>
            </w:r>
            <w:r w:rsidR="00A86FC8">
              <w:rPr>
                <w:noProof/>
                <w:webHidden/>
              </w:rPr>
              <w:fldChar w:fldCharType="separate"/>
            </w:r>
            <w:r w:rsidR="005812D9">
              <w:rPr>
                <w:noProof/>
                <w:webHidden/>
              </w:rPr>
              <w:t>12</w:t>
            </w:r>
            <w:r w:rsidR="00A86FC8">
              <w:rPr>
                <w:noProof/>
                <w:webHidden/>
              </w:rPr>
              <w:fldChar w:fldCharType="end"/>
            </w:r>
          </w:hyperlink>
        </w:p>
        <w:p w14:paraId="0267DCCF" w14:textId="77777777" w:rsidR="001B0F23" w:rsidRDefault="001B0F23">
          <w:r>
            <w:rPr>
              <w:b/>
              <w:bCs/>
              <w:noProof/>
            </w:rPr>
            <w:fldChar w:fldCharType="end"/>
          </w:r>
        </w:p>
      </w:sdtContent>
    </w:sdt>
    <w:p w14:paraId="658EAC17" w14:textId="77777777" w:rsidR="00973ADE" w:rsidRPr="00973ADE" w:rsidRDefault="00973ADE">
      <w:pPr>
        <w:widowControl/>
        <w:autoSpaceDE/>
        <w:autoSpaceDN/>
        <w:adjustRightInd/>
        <w:spacing w:after="160" w:line="259" w:lineRule="auto"/>
        <w:rPr>
          <w:rFonts w:eastAsiaTheme="majorEastAsia" w:cstheme="majorBidi"/>
          <w:b/>
          <w:bCs/>
          <w:color w:val="1F4E79" w:themeColor="accent1" w:themeShade="80"/>
          <w:szCs w:val="28"/>
        </w:rPr>
      </w:pPr>
      <w:bookmarkStart w:id="1" w:name="_Toc457409138"/>
      <w:r w:rsidRPr="00973ADE">
        <w:rPr>
          <w:b/>
        </w:rPr>
        <w:t xml:space="preserve">List of </w:t>
      </w:r>
      <w:r w:rsidR="006F0DCD">
        <w:rPr>
          <w:b/>
        </w:rPr>
        <w:t>Attachments</w:t>
      </w:r>
    </w:p>
    <w:p w14:paraId="2D6CE5B8" w14:textId="77777777" w:rsidR="009359B4" w:rsidRDefault="009359B4" w:rsidP="009359B4">
      <w:pPr>
        <w:pStyle w:val="ListParagraph"/>
        <w:widowControl/>
        <w:numPr>
          <w:ilvl w:val="0"/>
          <w:numId w:val="10"/>
        </w:numPr>
        <w:autoSpaceDE/>
        <w:autoSpaceDN/>
        <w:adjustRightInd/>
        <w:spacing w:after="0"/>
      </w:pPr>
      <w:r>
        <w:t>Authorizing Legislation</w:t>
      </w:r>
    </w:p>
    <w:p w14:paraId="45B59BE2" w14:textId="77777777" w:rsidR="009359B4" w:rsidRDefault="009359B4" w:rsidP="009359B4">
      <w:pPr>
        <w:pStyle w:val="ListParagraph"/>
        <w:widowControl/>
        <w:numPr>
          <w:ilvl w:val="0"/>
          <w:numId w:val="10"/>
        </w:numPr>
        <w:autoSpaceDE/>
        <w:autoSpaceDN/>
        <w:adjustRightInd/>
        <w:spacing w:after="0"/>
      </w:pPr>
      <w:r>
        <w:t>60-Day FRN</w:t>
      </w:r>
      <w:r w:rsidRPr="008F13BD">
        <w:t xml:space="preserve"> </w:t>
      </w:r>
    </w:p>
    <w:p w14:paraId="632A1759" w14:textId="77777777" w:rsidR="00F60108" w:rsidRDefault="00F60108" w:rsidP="00F60108">
      <w:pPr>
        <w:widowControl/>
        <w:autoSpaceDE/>
        <w:autoSpaceDN/>
        <w:adjustRightInd/>
        <w:spacing w:after="0"/>
        <w:ind w:left="1080"/>
      </w:pPr>
      <w:r>
        <w:t>2a. Public Comments</w:t>
      </w:r>
    </w:p>
    <w:p w14:paraId="60CEA0E6" w14:textId="77777777" w:rsidR="009359B4" w:rsidRDefault="009359B4" w:rsidP="009359B4">
      <w:pPr>
        <w:pStyle w:val="ListParagraph"/>
        <w:widowControl/>
        <w:numPr>
          <w:ilvl w:val="0"/>
          <w:numId w:val="10"/>
        </w:numPr>
        <w:autoSpaceDE/>
        <w:autoSpaceDN/>
        <w:adjustRightInd/>
        <w:spacing w:after="0"/>
      </w:pPr>
      <w:r>
        <w:t>Mailed Survey</w:t>
      </w:r>
    </w:p>
    <w:p w14:paraId="71FF8326" w14:textId="77777777" w:rsidR="009359B4" w:rsidRDefault="009359B4" w:rsidP="009359B4">
      <w:pPr>
        <w:pStyle w:val="ListParagraph"/>
        <w:widowControl/>
        <w:numPr>
          <w:ilvl w:val="0"/>
          <w:numId w:val="10"/>
        </w:numPr>
        <w:autoSpaceDE/>
        <w:autoSpaceDN/>
        <w:adjustRightInd/>
        <w:spacing w:after="0"/>
      </w:pPr>
      <w:r>
        <w:t xml:space="preserve">Web </w:t>
      </w:r>
      <w:r w:rsidR="00653DDF">
        <w:t xml:space="preserve">Survey </w:t>
      </w:r>
      <w:r>
        <w:t>Screen Shots</w:t>
      </w:r>
    </w:p>
    <w:p w14:paraId="725742B6" w14:textId="77777777" w:rsidR="009359B4" w:rsidRDefault="009359B4" w:rsidP="009359B4">
      <w:pPr>
        <w:pStyle w:val="ListParagraph"/>
        <w:widowControl/>
        <w:numPr>
          <w:ilvl w:val="0"/>
          <w:numId w:val="10"/>
        </w:numPr>
        <w:autoSpaceDE/>
        <w:autoSpaceDN/>
        <w:adjustRightInd/>
        <w:spacing w:after="0"/>
      </w:pPr>
      <w:r>
        <w:t>Mail Survey Invite</w:t>
      </w:r>
    </w:p>
    <w:p w14:paraId="18A72E57" w14:textId="77777777" w:rsidR="009359B4" w:rsidRDefault="009359B4" w:rsidP="009359B4">
      <w:pPr>
        <w:pStyle w:val="ListParagraph"/>
        <w:widowControl/>
        <w:numPr>
          <w:ilvl w:val="0"/>
          <w:numId w:val="10"/>
        </w:numPr>
        <w:autoSpaceDE/>
        <w:autoSpaceDN/>
        <w:adjustRightInd/>
        <w:spacing w:after="0"/>
      </w:pPr>
      <w:r>
        <w:t>Mail Survey Reminder 1</w:t>
      </w:r>
    </w:p>
    <w:p w14:paraId="60A97A93" w14:textId="77777777" w:rsidR="009359B4" w:rsidRDefault="009359B4" w:rsidP="009359B4">
      <w:pPr>
        <w:pStyle w:val="ListParagraph"/>
        <w:widowControl/>
        <w:numPr>
          <w:ilvl w:val="0"/>
          <w:numId w:val="10"/>
        </w:numPr>
        <w:autoSpaceDE/>
        <w:autoSpaceDN/>
        <w:adjustRightInd/>
        <w:spacing w:after="0"/>
      </w:pPr>
      <w:r>
        <w:t>Mail Survey Reminder 2</w:t>
      </w:r>
    </w:p>
    <w:p w14:paraId="60D0315E" w14:textId="77777777" w:rsidR="009359B4" w:rsidRDefault="009359B4" w:rsidP="009359B4">
      <w:pPr>
        <w:pStyle w:val="ListParagraph"/>
        <w:widowControl/>
        <w:numPr>
          <w:ilvl w:val="0"/>
          <w:numId w:val="10"/>
        </w:numPr>
        <w:autoSpaceDE/>
        <w:autoSpaceDN/>
        <w:adjustRightInd/>
        <w:spacing w:after="0"/>
      </w:pPr>
      <w:r>
        <w:t xml:space="preserve">Thank </w:t>
      </w:r>
      <w:r w:rsidR="00104F76">
        <w:t>Y</w:t>
      </w:r>
      <w:r>
        <w:t xml:space="preserve">ou Letter </w:t>
      </w:r>
      <w:r w:rsidR="000D7DF9">
        <w:t xml:space="preserve">–Web Survey </w:t>
      </w:r>
    </w:p>
    <w:p w14:paraId="2E02C66E" w14:textId="77777777" w:rsidR="009359B4" w:rsidRDefault="009359B4" w:rsidP="009359B4">
      <w:pPr>
        <w:pStyle w:val="ListParagraph"/>
        <w:widowControl/>
        <w:numPr>
          <w:ilvl w:val="0"/>
          <w:numId w:val="10"/>
        </w:numPr>
        <w:autoSpaceDE/>
        <w:autoSpaceDN/>
        <w:adjustRightInd/>
        <w:spacing w:after="0"/>
      </w:pPr>
      <w:r>
        <w:t>Web Survey Invite</w:t>
      </w:r>
    </w:p>
    <w:p w14:paraId="3B83374A" w14:textId="77777777" w:rsidR="009359B4" w:rsidRDefault="009359B4" w:rsidP="009359B4">
      <w:pPr>
        <w:pStyle w:val="ListParagraph"/>
        <w:numPr>
          <w:ilvl w:val="0"/>
          <w:numId w:val="10"/>
        </w:numPr>
      </w:pPr>
      <w:r>
        <w:t>Web Survey Reminder</w:t>
      </w:r>
    </w:p>
    <w:p w14:paraId="33ECD6BE" w14:textId="77777777" w:rsidR="009359B4" w:rsidRDefault="009359B4" w:rsidP="009359B4">
      <w:pPr>
        <w:pStyle w:val="ListParagraph"/>
        <w:widowControl/>
        <w:numPr>
          <w:ilvl w:val="0"/>
          <w:numId w:val="10"/>
        </w:numPr>
        <w:autoSpaceDE/>
        <w:autoSpaceDN/>
        <w:adjustRightInd/>
        <w:spacing w:after="0"/>
      </w:pPr>
      <w:r>
        <w:t>IRB Approval</w:t>
      </w:r>
    </w:p>
    <w:p w14:paraId="1FF70E18" w14:textId="77777777" w:rsidR="006D56CD" w:rsidRPr="00ED6A65" w:rsidRDefault="006D56CD" w:rsidP="006F0DCD">
      <w:pPr>
        <w:pStyle w:val="ListParagraph"/>
        <w:widowControl/>
        <w:numPr>
          <w:ilvl w:val="0"/>
          <w:numId w:val="10"/>
        </w:numPr>
        <w:autoSpaceDE/>
        <w:autoSpaceDN/>
        <w:adjustRightInd/>
        <w:spacing w:after="0"/>
      </w:pPr>
      <w:r>
        <w:br w:type="page"/>
      </w:r>
    </w:p>
    <w:bookmarkEnd w:id="1"/>
    <w:p w14:paraId="63E464BD" w14:textId="77777777" w:rsidR="00A17E6C" w:rsidRDefault="00A17E6C" w:rsidP="000A414B">
      <w:pPr>
        <w:pStyle w:val="Heading1"/>
      </w:pPr>
    </w:p>
    <w:tbl>
      <w:tblPr>
        <w:tblStyle w:val="TableGrid"/>
        <w:tblW w:w="9839" w:type="dxa"/>
        <w:tblInd w:w="558" w:type="dxa"/>
        <w:tblLook w:val="04A0" w:firstRow="1" w:lastRow="0" w:firstColumn="1" w:lastColumn="0" w:noHBand="0" w:noVBand="1"/>
      </w:tblPr>
      <w:tblGrid>
        <w:gridCol w:w="9839"/>
      </w:tblGrid>
      <w:tr w:rsidR="00233877" w14:paraId="075521CA" w14:textId="77777777" w:rsidTr="00E166B2">
        <w:trPr>
          <w:trHeight w:val="4490"/>
        </w:trPr>
        <w:tc>
          <w:tcPr>
            <w:tcW w:w="9839" w:type="dxa"/>
          </w:tcPr>
          <w:p w14:paraId="4BF9A570" w14:textId="77777777" w:rsidR="00233877" w:rsidRDefault="00233877" w:rsidP="00233877">
            <w:pPr>
              <w:spacing w:after="60"/>
              <w:rPr>
                <w:b/>
                <w:u w:val="single"/>
              </w:rPr>
            </w:pPr>
          </w:p>
          <w:p w14:paraId="434CA06A" w14:textId="77777777" w:rsidR="00233877" w:rsidRPr="00B90A70" w:rsidRDefault="00233877" w:rsidP="00233877">
            <w:pPr>
              <w:spacing w:after="60"/>
            </w:pPr>
            <w:r w:rsidRPr="00B90A70">
              <w:rPr>
                <w:b/>
                <w:u w:val="single"/>
              </w:rPr>
              <w:t>Goal of the study</w:t>
            </w:r>
            <w:r w:rsidRPr="00B90A70">
              <w:rPr>
                <w:b/>
              </w:rPr>
              <w:t xml:space="preserve">: </w:t>
            </w:r>
            <w:r w:rsidR="003608D6" w:rsidRPr="003608D6">
              <w:t xml:space="preserve">The primary goal of this study is to better understand policies and practices for STD care delivery among medical providers </w:t>
            </w:r>
            <w:r w:rsidR="00A329B3">
              <w:t xml:space="preserve">in </w:t>
            </w:r>
            <w:r w:rsidR="00083469">
              <w:t xml:space="preserve">five </w:t>
            </w:r>
            <w:r w:rsidR="00A329B3">
              <w:t>specialties</w:t>
            </w:r>
            <w:r w:rsidR="003608D6" w:rsidRPr="003608D6">
              <w:t>. Another goal is to assess awareness and use of CDC’s STD treatment guidelines</w:t>
            </w:r>
            <w:r w:rsidR="00BC025E">
              <w:t>.</w:t>
            </w:r>
          </w:p>
          <w:p w14:paraId="6DB2DD78" w14:textId="77777777" w:rsidR="00233877" w:rsidRPr="00B90A70" w:rsidRDefault="00233877" w:rsidP="00233877">
            <w:pPr>
              <w:spacing w:after="60"/>
              <w:rPr>
                <w:b/>
              </w:rPr>
            </w:pPr>
            <w:r w:rsidRPr="00B90A70">
              <w:rPr>
                <w:b/>
                <w:u w:val="single"/>
              </w:rPr>
              <w:t>Intended use of the resulting data</w:t>
            </w:r>
            <w:r w:rsidRPr="00B90A70">
              <w:rPr>
                <w:b/>
              </w:rPr>
              <w:t xml:space="preserve">: </w:t>
            </w:r>
            <w:r w:rsidR="003608D6">
              <w:t>Resulting data will be used to help CDC prioritize STD prevention activities and determine STD prevention needs by provider type.</w:t>
            </w:r>
          </w:p>
          <w:p w14:paraId="01E73211" w14:textId="77777777" w:rsidR="00233877" w:rsidRPr="003608D6" w:rsidRDefault="00233877" w:rsidP="00233877">
            <w:pPr>
              <w:spacing w:after="60"/>
              <w:rPr>
                <w:sz w:val="22"/>
                <w:szCs w:val="22"/>
                <w:u w:val="single"/>
              </w:rPr>
            </w:pPr>
            <w:r w:rsidRPr="00F9779C">
              <w:rPr>
                <w:b/>
                <w:u w:val="single"/>
              </w:rPr>
              <w:t>Methods to be used to collect data</w:t>
            </w:r>
            <w:r w:rsidRPr="00F9779C">
              <w:rPr>
                <w:b/>
              </w:rPr>
              <w:t xml:space="preserve">: </w:t>
            </w:r>
            <w:r w:rsidR="003608D6">
              <w:t xml:space="preserve">Surveys will be sent to a random sample of </w:t>
            </w:r>
            <w:r w:rsidR="00536139">
              <w:t>5</w:t>
            </w:r>
            <w:r w:rsidR="003608D6">
              <w:t>,</w:t>
            </w:r>
            <w:r w:rsidR="00536139">
              <w:t>0</w:t>
            </w:r>
            <w:r w:rsidR="003608D6">
              <w:t xml:space="preserve">00 U.S. physicians across </w:t>
            </w:r>
            <w:r w:rsidR="00083469">
              <w:t xml:space="preserve">five </w:t>
            </w:r>
            <w:r w:rsidR="003608D6">
              <w:t xml:space="preserve">specialties using the American Medical Association Master file. Using a multimode design (mail and </w:t>
            </w:r>
            <w:r w:rsidR="005F2687">
              <w:t>web</w:t>
            </w:r>
            <w:r w:rsidR="003608D6">
              <w:t>), multiple reminders will be sent to non-responders in order to reach the target of 3,</w:t>
            </w:r>
            <w:r w:rsidR="00083469">
              <w:t>5</w:t>
            </w:r>
            <w:r w:rsidR="003608D6">
              <w:t>00 completed surveys.</w:t>
            </w:r>
            <w:r w:rsidR="008B6E89">
              <w:t xml:space="preserve"> </w:t>
            </w:r>
          </w:p>
          <w:p w14:paraId="1D787831" w14:textId="77777777" w:rsidR="00233877" w:rsidRPr="00F9779C" w:rsidRDefault="00233877" w:rsidP="00233877">
            <w:pPr>
              <w:spacing w:after="60"/>
              <w:rPr>
                <w:b/>
              </w:rPr>
            </w:pPr>
            <w:r w:rsidRPr="00F9779C">
              <w:rPr>
                <w:b/>
                <w:u w:val="single"/>
              </w:rPr>
              <w:t>How data will be analyzed</w:t>
            </w:r>
            <w:r w:rsidRPr="00F9779C">
              <w:rPr>
                <w:b/>
              </w:rPr>
              <w:t>:</w:t>
            </w:r>
            <w:r w:rsidR="003608D6">
              <w:rPr>
                <w:b/>
              </w:rPr>
              <w:t xml:space="preserve"> </w:t>
            </w:r>
            <w:r w:rsidR="003608D6">
              <w:t>Data will be weighted to generate unbiased population estimates.  Data will be analyzed and summarized using quantitative statistical methods specifically for complex survey data. </w:t>
            </w:r>
          </w:p>
          <w:p w14:paraId="31A7A441" w14:textId="77777777" w:rsidR="00233877" w:rsidRDefault="00233877" w:rsidP="00A17E6C">
            <w:pPr>
              <w:spacing w:after="60"/>
              <w:rPr>
                <w:b/>
                <w:u w:val="single"/>
              </w:rPr>
            </w:pPr>
          </w:p>
        </w:tc>
      </w:tr>
    </w:tbl>
    <w:p w14:paraId="67FE037E" w14:textId="77777777" w:rsidR="00233877" w:rsidRDefault="00233877" w:rsidP="00233877">
      <w:pPr>
        <w:spacing w:after="60"/>
        <w:rPr>
          <w:b/>
          <w:u w:val="single"/>
        </w:rPr>
      </w:pPr>
    </w:p>
    <w:p w14:paraId="16D8F30F" w14:textId="77777777" w:rsidR="00E166B2" w:rsidRDefault="00E166B2" w:rsidP="00233877">
      <w:pPr>
        <w:spacing w:after="60"/>
        <w:rPr>
          <w:b/>
          <w:u w:val="single"/>
        </w:rPr>
      </w:pPr>
    </w:p>
    <w:p w14:paraId="1BF14AB6" w14:textId="77777777" w:rsidR="00233877" w:rsidRDefault="0090446A" w:rsidP="00233877">
      <w:pPr>
        <w:spacing w:after="60"/>
        <w:rPr>
          <w:b/>
          <w:u w:val="single"/>
        </w:rPr>
      </w:pPr>
      <w:r>
        <w:rPr>
          <w:b/>
          <w:u w:val="single"/>
        </w:rPr>
        <w:t>Justification</w:t>
      </w:r>
    </w:p>
    <w:p w14:paraId="12CBEDCE" w14:textId="77777777" w:rsidR="00855CC1" w:rsidRPr="00233877" w:rsidRDefault="00A17E6C" w:rsidP="00A17E6C">
      <w:pPr>
        <w:pStyle w:val="Heading1"/>
      </w:pPr>
      <w:bookmarkStart w:id="2" w:name="_Toc457409139"/>
      <w:bookmarkStart w:id="3" w:name="_Toc462298371"/>
      <w:r>
        <w:t>A.1</w:t>
      </w:r>
      <w:r>
        <w:tab/>
      </w:r>
      <w:r w:rsidR="006D76AC" w:rsidRPr="00233877">
        <w:t>Circumstances Making the Collection of Information Necessary</w:t>
      </w:r>
      <w:bookmarkEnd w:id="2"/>
      <w:bookmarkEnd w:id="3"/>
      <w:r w:rsidR="006D76AC" w:rsidRPr="00233877">
        <w:t xml:space="preserve"> </w:t>
      </w:r>
      <w:r w:rsidR="006D56CD">
        <w:t xml:space="preserve"> </w:t>
      </w:r>
    </w:p>
    <w:p w14:paraId="346EA877" w14:textId="77777777" w:rsidR="00A17E6C" w:rsidRDefault="00855CC1" w:rsidP="001B0F23">
      <w:pPr>
        <w:widowControl/>
        <w:autoSpaceDE/>
        <w:autoSpaceDN/>
        <w:adjustRightInd/>
        <w:ind w:right="-4"/>
      </w:pPr>
      <w:r w:rsidRPr="001B0F23">
        <w:t xml:space="preserve">The </w:t>
      </w:r>
      <w:r w:rsidR="0054533E" w:rsidRPr="001B0F23">
        <w:t xml:space="preserve">Division of Sexually Transmitted Diseases Prevention (DSTDP) at the </w:t>
      </w:r>
      <w:r w:rsidRPr="001B0F23">
        <w:t>Centers for Disease Control</w:t>
      </w:r>
      <w:r w:rsidRPr="00233877">
        <w:t xml:space="preserve"> and Prevention (CDC) and the U.S. Department of Health and Human Services (USDHHS) is seeking </w:t>
      </w:r>
      <w:r w:rsidR="00A556F2">
        <w:t xml:space="preserve"> a 3-year </w:t>
      </w:r>
      <w:r w:rsidRPr="00233877">
        <w:t xml:space="preserve">approval from the Office of Management and Budget (OMB) to conduct </w:t>
      </w:r>
      <w:r w:rsidR="00945473">
        <w:t>a</w:t>
      </w:r>
      <w:r w:rsidR="00945473" w:rsidRPr="00233877">
        <w:t xml:space="preserve"> </w:t>
      </w:r>
      <w:r w:rsidR="00A556F2">
        <w:t>“</w:t>
      </w:r>
      <w:r w:rsidRPr="00233877">
        <w:t>Survey of Sexually Transmitted Disease (STD) Provider Practices in the United States</w:t>
      </w:r>
      <w:r w:rsidR="00A556F2">
        <w:t>”</w:t>
      </w:r>
      <w:r w:rsidRPr="00233877">
        <w:t xml:space="preserve"> (</w:t>
      </w:r>
      <w:r w:rsidR="00196945" w:rsidRPr="00233877">
        <w:t>hereafter</w:t>
      </w:r>
      <w:r w:rsidRPr="00233877">
        <w:t xml:space="preserve"> STD Provider Survey)</w:t>
      </w:r>
      <w:r w:rsidR="00A17E6C">
        <w:t xml:space="preserve">. </w:t>
      </w:r>
      <w:r w:rsidR="00A17E6C" w:rsidRPr="00374DC8">
        <w:t>CDC’s authority to collect information f</w:t>
      </w:r>
      <w:r w:rsidR="00A17E6C">
        <w:t xml:space="preserve">or the STD Provider Survey </w:t>
      </w:r>
      <w:r w:rsidR="00A17E6C" w:rsidRPr="00374DC8">
        <w:t xml:space="preserve">is provided by </w:t>
      </w:r>
      <w:r w:rsidR="00A17E6C" w:rsidRPr="007A5B91">
        <w:rPr>
          <w:color w:val="000000" w:themeColor="text1"/>
        </w:rPr>
        <w:t>Section 301 of the Public Health Service Act (42 U.S.C. 241) [280-1a] (</w:t>
      </w:r>
      <w:r w:rsidR="00A17E6C" w:rsidRPr="00A556F2">
        <w:rPr>
          <w:b/>
          <w:color w:val="000000" w:themeColor="text1"/>
        </w:rPr>
        <w:t>A</w:t>
      </w:r>
      <w:r w:rsidR="00B80A03" w:rsidRPr="00A556F2">
        <w:rPr>
          <w:b/>
          <w:color w:val="000000" w:themeColor="text1"/>
        </w:rPr>
        <w:t xml:space="preserve">ttachment </w:t>
      </w:r>
      <w:r w:rsidR="008C1C14" w:rsidRPr="00A556F2">
        <w:rPr>
          <w:b/>
          <w:color w:val="000000" w:themeColor="text1"/>
        </w:rPr>
        <w:t>1</w:t>
      </w:r>
      <w:r w:rsidR="00A17E6C" w:rsidRPr="007A5B91">
        <w:rPr>
          <w:color w:val="000000" w:themeColor="text1"/>
        </w:rPr>
        <w:t xml:space="preserve">).  </w:t>
      </w:r>
    </w:p>
    <w:p w14:paraId="1441B2A7" w14:textId="77777777" w:rsidR="007A5B91" w:rsidRPr="00233877" w:rsidRDefault="0054533E" w:rsidP="004B7D23">
      <w:pPr>
        <w:widowControl/>
        <w:autoSpaceDE/>
        <w:autoSpaceDN/>
        <w:adjustRightInd/>
        <w:spacing w:before="240"/>
        <w:ind w:right="-4"/>
      </w:pPr>
      <w:r w:rsidRPr="00233877">
        <w:t xml:space="preserve">Each year, 19.7 million sexually transmitted </w:t>
      </w:r>
      <w:r w:rsidR="00F968F5">
        <w:t>diseases</w:t>
      </w:r>
      <w:r w:rsidR="00F968F5" w:rsidRPr="00233877">
        <w:t xml:space="preserve"> </w:t>
      </w:r>
      <w:r w:rsidRPr="00233877">
        <w:t>(ST</w:t>
      </w:r>
      <w:r w:rsidR="00970834">
        <w:t>D</w:t>
      </w:r>
      <w:r w:rsidRPr="00233877">
        <w:t>s) occur in the U.S., half of which strike youth 15−24 years of age.</w:t>
      </w:r>
      <w:r w:rsidR="007A5B91" w:rsidRPr="00233877">
        <w:rPr>
          <w:rStyle w:val="EndnoteReference"/>
        </w:rPr>
        <w:endnoteReference w:id="1"/>
      </w:r>
      <w:r w:rsidR="007A5B91" w:rsidRPr="00233877">
        <w:rPr>
          <w:vertAlign w:val="superscript"/>
        </w:rPr>
        <w:t>-</w:t>
      </w:r>
      <w:r w:rsidR="007A5B91" w:rsidRPr="00233877">
        <w:rPr>
          <w:rStyle w:val="EndnoteReference"/>
        </w:rPr>
        <w:endnoteReference w:id="2"/>
      </w:r>
      <w:r w:rsidR="007A5B91" w:rsidRPr="00233877">
        <w:t xml:space="preserve"> The public health burden of STDs is compounded by their economic impact. In 2010, an estimated $15.6 billion in direct medical costs were attributed to STDs.</w:t>
      </w:r>
      <w:r w:rsidR="007A5B91" w:rsidRPr="00233877">
        <w:rPr>
          <w:rStyle w:val="EndnoteReference"/>
        </w:rPr>
        <w:endnoteReference w:id="3"/>
      </w:r>
      <w:r w:rsidR="007A5B91" w:rsidRPr="00233877">
        <w:t xml:space="preserve"> </w:t>
      </w:r>
      <w:r w:rsidR="007A5B91">
        <w:t>U</w:t>
      </w:r>
      <w:r w:rsidR="007A5B91" w:rsidRPr="00233877">
        <w:t xml:space="preserve">ndiagnosed and untreated STDs can lead to serious long-term health consequences, especially for adolescent girls and young </w:t>
      </w:r>
      <w:r w:rsidR="007A5B91">
        <w:t xml:space="preserve">adult </w:t>
      </w:r>
      <w:r w:rsidR="007A5B91" w:rsidRPr="00233877">
        <w:t>women. For example, every year, about 24,000 young women become infertile as a result of undiagnosed and untreated STDs.</w:t>
      </w:r>
      <w:r w:rsidR="007A5B91" w:rsidRPr="00233877">
        <w:rPr>
          <w:rStyle w:val="EndnoteReference"/>
        </w:rPr>
        <w:endnoteReference w:id="4"/>
      </w:r>
      <w:r w:rsidR="007A5B91" w:rsidRPr="00233877">
        <w:t xml:space="preserve"> The STD Provider Survey will collect much needed data from U.S. health care providers in </w:t>
      </w:r>
      <w:r w:rsidR="00083469">
        <w:t xml:space="preserve">five </w:t>
      </w:r>
      <w:r w:rsidR="007A5B91" w:rsidRPr="00233877">
        <w:t>specialties</w:t>
      </w:r>
      <w:r w:rsidR="00083469">
        <w:t>:</w:t>
      </w:r>
      <w:r w:rsidR="00083469" w:rsidRPr="00083469">
        <w:t xml:space="preserve"> primary care (including internal medicine), general or family practice, obstetrics/gynecology, emergency medicine, and pediatrics.</w:t>
      </w:r>
      <w:r w:rsidR="007A5B91" w:rsidRPr="00233877">
        <w:t xml:space="preserve">  Knowledge of provider practices relative to guidelines and state-level laws and policies will provide information useful to stakeholders at all levels regarding the delivery of STD preventive services and treatment by health care providers in the U.S. </w:t>
      </w:r>
      <w:r w:rsidR="007A5B91">
        <w:t xml:space="preserve">As providers are one of the few professionals who have face-to-face contact with persons infected with STDs, they are also a potential intervention point for attempts to reduce re-infection and halt the further transmission of STDs.  </w:t>
      </w:r>
    </w:p>
    <w:p w14:paraId="376F66D8" w14:textId="77777777" w:rsidR="007A5B91" w:rsidRPr="00233877" w:rsidRDefault="007A5B91" w:rsidP="00A17E6C">
      <w:pPr>
        <w:widowControl/>
        <w:autoSpaceDE/>
        <w:autoSpaceDN/>
        <w:adjustRightInd/>
        <w:spacing w:before="240"/>
        <w:ind w:right="-4"/>
      </w:pPr>
      <w:r w:rsidRPr="00233877">
        <w:t>The mission of the DSTDP is “to provide national leadership, research, policy development, and scientific information to help people live safer, healthier lives by the prevention of STDs and their complications.”</w:t>
      </w:r>
      <w:r w:rsidRPr="00233877">
        <w:rPr>
          <w:rStyle w:val="EndnoteReference"/>
        </w:rPr>
        <w:endnoteReference w:id="5"/>
      </w:r>
      <w:r w:rsidRPr="00233877">
        <w:t xml:space="preserve">  A major component of this objective is delivering timely STD preventive and treatment services </w:t>
      </w:r>
      <w:r>
        <w:t>to reduce</w:t>
      </w:r>
      <w:r w:rsidRPr="00233877">
        <w:t xml:space="preserve"> the number of newly acquired STDs and </w:t>
      </w:r>
      <w:r>
        <w:t>prevent</w:t>
      </w:r>
      <w:r w:rsidRPr="00233877">
        <w:t xml:space="preserve"> STD-related sequelae. Monitoring service delivery by healthcare providers is critically important to understanding practice trends and adherence to STD-related guidelines and policies. The STD Provider Survey will provide data to aid in this goal.</w:t>
      </w:r>
      <w:r>
        <w:t xml:space="preserve"> Specifically, the DSTDP will </w:t>
      </w:r>
      <w:r w:rsidRPr="00233877">
        <w:t xml:space="preserve">use </w:t>
      </w:r>
      <w:r>
        <w:t xml:space="preserve">survey data </w:t>
      </w:r>
      <w:r w:rsidRPr="00233877">
        <w:t xml:space="preserve">to assess current provider: (1) policies and practices in relation to several STD-related policy issues including the Affordable Care Act (ACA) and </w:t>
      </w:r>
      <w:r>
        <w:t>passage of state laws permitting</w:t>
      </w:r>
      <w:r w:rsidRPr="00233877">
        <w:t xml:space="preserve"> Expedited Partner Therapy (EPT</w:t>
      </w:r>
      <w:r>
        <w:t xml:space="preserve"> or providing infected patients with medication to give to their sex partners</w:t>
      </w:r>
      <w:r w:rsidRPr="00233877">
        <w:t>); and (2) awareness and use of the CDC’s newly released STD Treatment Guidelines.</w:t>
      </w:r>
      <w:r w:rsidRPr="00233877">
        <w:rPr>
          <w:rStyle w:val="EndnoteReference"/>
        </w:rPr>
        <w:endnoteReference w:id="6"/>
      </w:r>
      <w:r w:rsidRPr="00233877">
        <w:t xml:space="preserve"> </w:t>
      </w:r>
      <w:r>
        <w:t xml:space="preserve"> In 1998-99, DSTDP funded and completed its first survey of providers</w:t>
      </w:r>
      <w:r w:rsidR="00E80975">
        <w:t xml:space="preserve"> from five specialties (</w:t>
      </w:r>
      <w:r w:rsidR="00E80975" w:rsidRPr="00083469">
        <w:t xml:space="preserve">primary care </w:t>
      </w:r>
      <w:r w:rsidR="00E80975">
        <w:t xml:space="preserve">including internal medicine, </w:t>
      </w:r>
      <w:r w:rsidR="00E80975" w:rsidRPr="00083469">
        <w:t>general or family practice, obstetrics/gynecology, emergency medicine, and pediatrics</w:t>
      </w:r>
      <w:r w:rsidR="00BC025E">
        <w:t>)</w:t>
      </w:r>
      <w:r>
        <w:t>.</w:t>
      </w:r>
      <w:r>
        <w:rPr>
          <w:rStyle w:val="EndnoteReference"/>
        </w:rPr>
        <w:endnoteReference w:id="7"/>
      </w:r>
      <w:r>
        <w:t xml:space="preserve">  The current survey will allow DSTDP to make comparisons over time for provider practices related to STD screening, clinical actions and partner notification (efforts to notify partners of patients diagnosed with a STD).  </w:t>
      </w:r>
    </w:p>
    <w:p w14:paraId="47C92C75" w14:textId="77777777" w:rsidR="007A5B91" w:rsidRPr="00233877" w:rsidRDefault="007A5B91" w:rsidP="00A17E6C">
      <w:pPr>
        <w:pStyle w:val="Heading1"/>
      </w:pPr>
      <w:bookmarkStart w:id="4" w:name="_Toc457409140"/>
      <w:bookmarkStart w:id="5" w:name="_Toc462298372"/>
      <w:r>
        <w:t>A.2</w:t>
      </w:r>
      <w:r>
        <w:tab/>
      </w:r>
      <w:r w:rsidRPr="00233877">
        <w:t>Purpose and Use of the Information Collection</w:t>
      </w:r>
      <w:bookmarkEnd w:id="4"/>
      <w:bookmarkEnd w:id="5"/>
      <w:r w:rsidRPr="00233877">
        <w:t xml:space="preserve"> </w:t>
      </w:r>
    </w:p>
    <w:p w14:paraId="0BBB62FE" w14:textId="77777777" w:rsidR="009C5F9E" w:rsidRDefault="007A5B91" w:rsidP="009C5F9E">
      <w:r w:rsidRPr="00233877">
        <w:t xml:space="preserve">The purpose of this survey is to conduct a nationally representative survey of physicians </w:t>
      </w:r>
      <w:r w:rsidR="00A329B3">
        <w:t xml:space="preserve">in </w:t>
      </w:r>
      <w:r w:rsidR="003614E3">
        <w:t xml:space="preserve">five </w:t>
      </w:r>
      <w:r w:rsidR="00A329B3">
        <w:t>specialties</w:t>
      </w:r>
      <w:r w:rsidR="003614E3">
        <w:t xml:space="preserve">: </w:t>
      </w:r>
      <w:r w:rsidR="003614E3" w:rsidRPr="003614E3">
        <w:t>primary care (including internal medicine), general or family practice, obstetrics/gynecology, emergency medicine, and pediatrics</w:t>
      </w:r>
      <w:r w:rsidR="00BC025E">
        <w:t>.</w:t>
      </w:r>
      <w:r w:rsidRPr="00233877">
        <w:t xml:space="preserve"> </w:t>
      </w:r>
      <w:r w:rsidR="00BC025E">
        <w:t xml:space="preserve">This will </w:t>
      </w:r>
      <w:r w:rsidRPr="00233877">
        <w:t xml:space="preserve">allow for national estimates and comparisons among specialties.  </w:t>
      </w:r>
      <w:r w:rsidR="009C5F9E">
        <w:t>A</w:t>
      </w:r>
      <w:r w:rsidR="009C5F9E">
        <w:rPr>
          <w:color w:val="000000" w:themeColor="text1"/>
        </w:rPr>
        <w:t xml:space="preserve"> sample of </w:t>
      </w:r>
      <w:r w:rsidR="00362694">
        <w:rPr>
          <w:color w:val="000000" w:themeColor="text1"/>
        </w:rPr>
        <w:t xml:space="preserve">5,000 </w:t>
      </w:r>
      <w:r w:rsidR="009C5F9E">
        <w:rPr>
          <w:color w:val="000000" w:themeColor="text1"/>
        </w:rPr>
        <w:t xml:space="preserve">U.S. physicians will be selected </w:t>
      </w:r>
      <w:r w:rsidR="009C5F9E" w:rsidRPr="00C31A9A">
        <w:rPr>
          <w:color w:val="000000" w:themeColor="text1"/>
        </w:rPr>
        <w:t xml:space="preserve">from the </w:t>
      </w:r>
      <w:r w:rsidR="009C5F9E" w:rsidRPr="0036076A">
        <w:t>A</w:t>
      </w:r>
      <w:r w:rsidR="009C5F9E">
        <w:t xml:space="preserve">merican Medical Association (AMA) </w:t>
      </w:r>
      <w:r w:rsidR="009C5F9E" w:rsidRPr="00C31A9A">
        <w:rPr>
          <w:color w:val="000000" w:themeColor="text1"/>
        </w:rPr>
        <w:t>Master File</w:t>
      </w:r>
      <w:r w:rsidR="009C5F9E">
        <w:rPr>
          <w:color w:val="000000" w:themeColor="text1"/>
        </w:rPr>
        <w:t xml:space="preserve">, restricted to the target specialties and stratified along two dimensions. </w:t>
      </w:r>
      <w:r w:rsidR="009C5F9E">
        <w:t xml:space="preserve">First, we will classify physicians based on their specialty. Second, we will classify physicians based on whether they have a public or private practice, using primary practice location or another similar variable available in the AMA Master File.  </w:t>
      </w:r>
      <w:r w:rsidR="00362694">
        <w:t xml:space="preserve">We anticipate a 70% response rate with a total of 3,500 responding physicians. </w:t>
      </w:r>
    </w:p>
    <w:p w14:paraId="2ED15FA0" w14:textId="77777777" w:rsidR="006D56CD" w:rsidRDefault="00227A64" w:rsidP="00C92200">
      <w:r>
        <w:t>T</w:t>
      </w:r>
      <w:r w:rsidR="007A5B91" w:rsidRPr="00233877">
        <w:t>he survey will provide national estimates for comparisons between providers in the public and private sectors.</w:t>
      </w:r>
      <w:r w:rsidR="007A5B91">
        <w:t xml:space="preserve"> Information collected will also be used to determine </w:t>
      </w:r>
      <w:r w:rsidR="00E80975">
        <w:t xml:space="preserve">what </w:t>
      </w:r>
      <w:r w:rsidR="007A5B91">
        <w:t xml:space="preserve">STD prevention activities </w:t>
      </w:r>
      <w:r w:rsidR="00E80975">
        <w:t xml:space="preserve">may be </w:t>
      </w:r>
      <w:r w:rsidR="007A5B91">
        <w:t xml:space="preserve">needed by type of providers (by specialty or public/private) based on </w:t>
      </w:r>
      <w:r w:rsidR="00E80975">
        <w:t xml:space="preserve">survey </w:t>
      </w:r>
      <w:r w:rsidR="007A5B91">
        <w:t xml:space="preserve">findings related to screening and treatment practices for STDs including EPT.  </w:t>
      </w:r>
      <w:r w:rsidR="00E01AA3">
        <w:t xml:space="preserve">Additionally, some subgroups have a disproportionate burden of STDs; therefore, it is important for us to ask selected patient demographic information.  </w:t>
      </w:r>
      <w:r w:rsidR="006D56CD">
        <w:t xml:space="preserve">The survey contains sections on the physician’s specialty areas, primary practice setting, primacy practice policies, patient demographics, </w:t>
      </w:r>
      <w:r w:rsidR="006D56CD" w:rsidRPr="006D56CD">
        <w:t xml:space="preserve">STD </w:t>
      </w:r>
      <w:r w:rsidR="006D56CD">
        <w:t>t</w:t>
      </w:r>
      <w:r w:rsidR="006D56CD" w:rsidRPr="006D56CD">
        <w:t xml:space="preserve">esting and </w:t>
      </w:r>
      <w:r w:rsidR="006D56CD">
        <w:t>d</w:t>
      </w:r>
      <w:r w:rsidR="006D56CD" w:rsidRPr="006D56CD">
        <w:t>iagnosis</w:t>
      </w:r>
      <w:r w:rsidR="006D56CD">
        <w:t xml:space="preserve">, </w:t>
      </w:r>
      <w:r w:rsidR="006D56CD" w:rsidRPr="006D56CD">
        <w:t xml:space="preserve">STD </w:t>
      </w:r>
      <w:r w:rsidR="006D56CD">
        <w:t>c</w:t>
      </w:r>
      <w:r w:rsidR="006D56CD" w:rsidRPr="006D56CD">
        <w:t xml:space="preserve">are and </w:t>
      </w:r>
      <w:r w:rsidR="006D56CD">
        <w:t>t</w:t>
      </w:r>
      <w:r w:rsidR="006D56CD" w:rsidRPr="006D56CD">
        <w:t>reatment</w:t>
      </w:r>
      <w:r w:rsidR="006D56CD">
        <w:t>, and respondent demographics.</w:t>
      </w:r>
      <w:r w:rsidR="00E01AA3">
        <w:t xml:space="preserve">  </w:t>
      </w:r>
    </w:p>
    <w:p w14:paraId="314E3D31" w14:textId="77777777" w:rsidR="00CA6933" w:rsidRDefault="00CA6933" w:rsidP="00CA6933">
      <w:r>
        <w:t xml:space="preserve">We will use </w:t>
      </w:r>
      <w:r w:rsidRPr="00233877">
        <w:t xml:space="preserve">a multimode design for the STD Provider Survey starting with a self-administered questionnaire </w:t>
      </w:r>
      <w:r>
        <w:t xml:space="preserve">(see </w:t>
      </w:r>
      <w:r w:rsidRPr="002B61C8">
        <w:rPr>
          <w:b/>
        </w:rPr>
        <w:t>Attachment 3 - Mailed Survey</w:t>
      </w:r>
      <w:r>
        <w:t xml:space="preserve">) </w:t>
      </w:r>
      <w:r w:rsidRPr="00233877">
        <w:t>followed by a web survey</w:t>
      </w:r>
      <w:r>
        <w:t xml:space="preserve"> (see </w:t>
      </w:r>
      <w:r w:rsidRPr="002B61C8">
        <w:rPr>
          <w:b/>
        </w:rPr>
        <w:t>Attachment 4 - Web Screen Shots</w:t>
      </w:r>
      <w:r>
        <w:t>)</w:t>
      </w:r>
      <w:r w:rsidRPr="00233877">
        <w:t xml:space="preserve"> to non-respondents as illustrated in our contact strategy in Exhibit 1</w:t>
      </w:r>
      <w:r>
        <w:t xml:space="preserve">. First an invitation letter with consent </w:t>
      </w:r>
      <w:r w:rsidRPr="009359B4">
        <w:t xml:space="preserve">(see </w:t>
      </w:r>
      <w:r w:rsidRPr="002B61C8">
        <w:rPr>
          <w:b/>
        </w:rPr>
        <w:t>Attachment 5 -Mail Survey Invite</w:t>
      </w:r>
      <w:r w:rsidRPr="009359B4">
        <w:t>)</w:t>
      </w:r>
      <w:r>
        <w:t xml:space="preserve"> will be sent along with a mail survey</w:t>
      </w:r>
      <w:r w:rsidRPr="009359B4">
        <w:t xml:space="preserve">. Providers who do not return a completed survey will be sent up to two additional </w:t>
      </w:r>
      <w:r>
        <w:t xml:space="preserve">reminder letters with mailed </w:t>
      </w:r>
      <w:r w:rsidRPr="009359B4">
        <w:t>survey</w:t>
      </w:r>
      <w:r>
        <w:t>s</w:t>
      </w:r>
      <w:r w:rsidRPr="009359B4">
        <w:t xml:space="preserve"> (see </w:t>
      </w:r>
      <w:r w:rsidRPr="002B61C8">
        <w:rPr>
          <w:b/>
        </w:rPr>
        <w:t>Attachments 6 and 7</w:t>
      </w:r>
      <w:r w:rsidRPr="009359B4">
        <w:t xml:space="preserve">). </w:t>
      </w:r>
      <w:r>
        <w:t xml:space="preserve"> </w:t>
      </w:r>
      <w:r w:rsidRPr="009359B4">
        <w:t xml:space="preserve">For all </w:t>
      </w:r>
      <w:r w:rsidRPr="00F60409">
        <w:rPr>
          <w:b/>
        </w:rPr>
        <w:t>non-respondents</w:t>
      </w:r>
      <w:r w:rsidRPr="009359B4">
        <w:t xml:space="preserve">, we will send two follow-up mail reminders containing a URL and a Quick Response Code (QR Code) for those who wish to complete the </w:t>
      </w:r>
      <w:r>
        <w:t xml:space="preserve">web </w:t>
      </w:r>
      <w:r w:rsidRPr="009359B4">
        <w:t xml:space="preserve">survey (see </w:t>
      </w:r>
      <w:r w:rsidRPr="002B61C8">
        <w:rPr>
          <w:b/>
        </w:rPr>
        <w:t>Attachments 8 and 9</w:t>
      </w:r>
      <w:r w:rsidRPr="009359B4">
        <w:t>). These invitations and reminders should bypass gatekeepers and increase our chances for a direct contact.</w:t>
      </w:r>
      <w:r>
        <w:t xml:space="preserve"> </w:t>
      </w:r>
      <w:r w:rsidR="00227A64">
        <w:t xml:space="preserve">ICF will send a thank you letter, along with $40, to </w:t>
      </w:r>
      <w:r w:rsidR="00E80975">
        <w:t>physicians</w:t>
      </w:r>
      <w:r w:rsidR="00227A64">
        <w:t xml:space="preserve"> that complete th</w:t>
      </w:r>
      <w:r w:rsidR="00355DBE">
        <w:t>e survey either by mail or web.</w:t>
      </w:r>
    </w:p>
    <w:p w14:paraId="218E3FE5" w14:textId="77777777" w:rsidR="00CA6933" w:rsidRDefault="00CA6933" w:rsidP="00CA6933">
      <w:pPr>
        <w:pStyle w:val="Caption"/>
        <w:keepNext/>
      </w:pPr>
      <w:r>
        <w:t xml:space="preserve">Exhibit </w:t>
      </w:r>
      <w:r w:rsidR="00A46AB2">
        <w:fldChar w:fldCharType="begin"/>
      </w:r>
      <w:r w:rsidR="00A46AB2">
        <w:instrText xml:space="preserve"> SEQ Exhibit \* ARABIC </w:instrText>
      </w:r>
      <w:r w:rsidR="00A46AB2">
        <w:fldChar w:fldCharType="separate"/>
      </w:r>
      <w:r>
        <w:rPr>
          <w:noProof/>
        </w:rPr>
        <w:t>1</w:t>
      </w:r>
      <w:r w:rsidR="00A46AB2">
        <w:rPr>
          <w:noProof/>
        </w:rPr>
        <w:fldChar w:fldCharType="end"/>
      </w:r>
      <w:r>
        <w:t>.</w:t>
      </w:r>
      <w:r w:rsidRPr="001B0F23">
        <w:rPr>
          <w:rFonts w:eastAsia="Arial Narrow"/>
          <w:position w:val="-1"/>
          <w:szCs w:val="24"/>
        </w:rPr>
        <w:t xml:space="preserve"> </w:t>
      </w:r>
      <w:r w:rsidRPr="00233877">
        <w:rPr>
          <w:rFonts w:eastAsia="Arial Narrow"/>
          <w:position w:val="-1"/>
          <w:szCs w:val="24"/>
        </w:rPr>
        <w:t>Da</w:t>
      </w:r>
      <w:r w:rsidRPr="00233877">
        <w:rPr>
          <w:rFonts w:eastAsia="Arial Narrow"/>
          <w:spacing w:val="1"/>
          <w:position w:val="-1"/>
          <w:szCs w:val="24"/>
        </w:rPr>
        <w:t>t</w:t>
      </w:r>
      <w:r w:rsidRPr="00233877">
        <w:rPr>
          <w:rFonts w:eastAsia="Arial Narrow"/>
          <w:position w:val="-1"/>
          <w:szCs w:val="24"/>
        </w:rPr>
        <w:t>a</w:t>
      </w:r>
      <w:r w:rsidRPr="00233877">
        <w:rPr>
          <w:rFonts w:eastAsia="Arial Narrow"/>
          <w:spacing w:val="-4"/>
          <w:position w:val="-1"/>
          <w:szCs w:val="24"/>
        </w:rPr>
        <w:t xml:space="preserve"> </w:t>
      </w:r>
      <w:r w:rsidRPr="00233877">
        <w:rPr>
          <w:rFonts w:eastAsia="Arial Narrow"/>
          <w:position w:val="-1"/>
          <w:szCs w:val="24"/>
        </w:rPr>
        <w:t>C</w:t>
      </w:r>
      <w:r w:rsidRPr="00233877">
        <w:rPr>
          <w:rFonts w:eastAsia="Arial Narrow"/>
          <w:spacing w:val="1"/>
          <w:position w:val="-1"/>
          <w:szCs w:val="24"/>
        </w:rPr>
        <w:t>o</w:t>
      </w:r>
      <w:r w:rsidRPr="00233877">
        <w:rPr>
          <w:rFonts w:eastAsia="Arial Narrow"/>
          <w:position w:val="-1"/>
          <w:szCs w:val="24"/>
        </w:rPr>
        <w:t>ll</w:t>
      </w:r>
      <w:r w:rsidRPr="00233877">
        <w:rPr>
          <w:rFonts w:eastAsia="Arial Narrow"/>
          <w:spacing w:val="1"/>
          <w:position w:val="-1"/>
          <w:szCs w:val="24"/>
        </w:rPr>
        <w:t>e</w:t>
      </w:r>
      <w:r w:rsidRPr="00233877">
        <w:rPr>
          <w:rFonts w:eastAsia="Arial Narrow"/>
          <w:position w:val="-1"/>
          <w:szCs w:val="24"/>
        </w:rPr>
        <w:t>c</w:t>
      </w:r>
      <w:r w:rsidRPr="00233877">
        <w:rPr>
          <w:rFonts w:eastAsia="Arial Narrow"/>
          <w:spacing w:val="1"/>
          <w:position w:val="-1"/>
          <w:szCs w:val="24"/>
        </w:rPr>
        <w:t>t</w:t>
      </w:r>
      <w:r w:rsidRPr="00233877">
        <w:rPr>
          <w:rFonts w:eastAsia="Arial Narrow"/>
          <w:position w:val="-1"/>
          <w:szCs w:val="24"/>
        </w:rPr>
        <w:t>i</w:t>
      </w:r>
      <w:r w:rsidRPr="00233877">
        <w:rPr>
          <w:rFonts w:eastAsia="Arial Narrow"/>
          <w:spacing w:val="1"/>
          <w:position w:val="-1"/>
          <w:szCs w:val="24"/>
        </w:rPr>
        <w:t>o</w:t>
      </w:r>
      <w:r w:rsidRPr="00233877">
        <w:rPr>
          <w:rFonts w:eastAsia="Arial Narrow"/>
          <w:position w:val="-1"/>
          <w:szCs w:val="24"/>
        </w:rPr>
        <w:t>n</w:t>
      </w:r>
      <w:r w:rsidRPr="00233877">
        <w:rPr>
          <w:rFonts w:eastAsia="Arial Narrow"/>
          <w:spacing w:val="-7"/>
          <w:position w:val="-1"/>
          <w:szCs w:val="24"/>
        </w:rPr>
        <w:t xml:space="preserve"> </w:t>
      </w:r>
      <w:r>
        <w:rPr>
          <w:rFonts w:eastAsia="Arial Narrow"/>
          <w:spacing w:val="-7"/>
          <w:position w:val="-1"/>
          <w:szCs w:val="24"/>
        </w:rPr>
        <w:t xml:space="preserve">Communication </w:t>
      </w:r>
      <w:r w:rsidRPr="00233877">
        <w:rPr>
          <w:rFonts w:eastAsia="Arial Narrow"/>
          <w:spacing w:val="-1"/>
          <w:position w:val="-1"/>
          <w:szCs w:val="24"/>
        </w:rPr>
        <w:t>Pr</w:t>
      </w:r>
      <w:r w:rsidRPr="00233877">
        <w:rPr>
          <w:rFonts w:eastAsia="Arial Narrow"/>
          <w:spacing w:val="1"/>
          <w:position w:val="-1"/>
          <w:szCs w:val="24"/>
        </w:rPr>
        <w:t>oto</w:t>
      </w:r>
      <w:r w:rsidRPr="00233877">
        <w:rPr>
          <w:rFonts w:eastAsia="Arial Narrow"/>
          <w:position w:val="-1"/>
          <w:szCs w:val="24"/>
        </w:rPr>
        <w:t>c</w:t>
      </w:r>
      <w:r w:rsidRPr="00233877">
        <w:rPr>
          <w:rFonts w:eastAsia="Arial Narrow"/>
          <w:spacing w:val="1"/>
          <w:position w:val="-1"/>
          <w:szCs w:val="24"/>
        </w:rPr>
        <w:t>o</w:t>
      </w:r>
      <w:r w:rsidRPr="00233877">
        <w:rPr>
          <w:rFonts w:eastAsia="Arial Narrow"/>
          <w:position w:val="-1"/>
          <w:szCs w:val="24"/>
        </w:rPr>
        <w:t>l</w:t>
      </w:r>
      <w:r w:rsidRPr="00233877">
        <w:rPr>
          <w:rFonts w:eastAsia="Arial Narrow"/>
          <w:spacing w:val="-7"/>
          <w:position w:val="-1"/>
          <w:szCs w:val="24"/>
        </w:rPr>
        <w:t xml:space="preserve"> </w:t>
      </w:r>
      <w:r w:rsidRPr="00233877">
        <w:rPr>
          <w:rFonts w:eastAsia="Arial Narrow"/>
          <w:spacing w:val="1"/>
          <w:position w:val="-1"/>
          <w:szCs w:val="24"/>
        </w:rPr>
        <w:t>fo</w:t>
      </w:r>
      <w:r w:rsidRPr="00233877">
        <w:rPr>
          <w:rFonts w:eastAsia="Arial Narrow"/>
          <w:position w:val="-1"/>
          <w:szCs w:val="24"/>
        </w:rPr>
        <w:t>r</w:t>
      </w:r>
      <w:r w:rsidRPr="00233877">
        <w:rPr>
          <w:rFonts w:eastAsia="Arial Narrow"/>
          <w:spacing w:val="-3"/>
          <w:position w:val="-1"/>
          <w:szCs w:val="24"/>
        </w:rPr>
        <w:t xml:space="preserve"> </w:t>
      </w:r>
      <w:r w:rsidRPr="00233877">
        <w:rPr>
          <w:rFonts w:eastAsia="Arial Narrow"/>
          <w:spacing w:val="1"/>
          <w:position w:val="-1"/>
          <w:szCs w:val="24"/>
        </w:rPr>
        <w:t>th</w:t>
      </w:r>
      <w:r w:rsidRPr="00233877">
        <w:rPr>
          <w:rFonts w:eastAsia="Arial Narrow"/>
          <w:position w:val="-1"/>
          <w:szCs w:val="24"/>
        </w:rPr>
        <w:t>e</w:t>
      </w:r>
      <w:r w:rsidRPr="00233877">
        <w:rPr>
          <w:rFonts w:eastAsia="Arial Narrow"/>
          <w:spacing w:val="-2"/>
          <w:position w:val="-1"/>
          <w:szCs w:val="24"/>
        </w:rPr>
        <w:t xml:space="preserve"> </w:t>
      </w:r>
      <w:r w:rsidRPr="00233877">
        <w:rPr>
          <w:rFonts w:eastAsia="Arial Narrow"/>
          <w:position w:val="-1"/>
          <w:szCs w:val="24"/>
        </w:rPr>
        <w:t>STD</w:t>
      </w:r>
      <w:r w:rsidRPr="00233877">
        <w:rPr>
          <w:rFonts w:eastAsia="Arial Narrow"/>
          <w:spacing w:val="-3"/>
          <w:position w:val="-1"/>
          <w:szCs w:val="24"/>
        </w:rPr>
        <w:t xml:space="preserve"> </w:t>
      </w:r>
      <w:r w:rsidRPr="00233877">
        <w:rPr>
          <w:rFonts w:eastAsia="Arial Narrow"/>
          <w:position w:val="-1"/>
          <w:szCs w:val="24"/>
        </w:rPr>
        <w:t>P</w:t>
      </w:r>
      <w:r w:rsidRPr="00233877">
        <w:rPr>
          <w:rFonts w:eastAsia="Arial Narrow"/>
          <w:spacing w:val="-2"/>
          <w:position w:val="-1"/>
          <w:szCs w:val="24"/>
        </w:rPr>
        <w:t>r</w:t>
      </w:r>
      <w:r w:rsidRPr="00233877">
        <w:rPr>
          <w:rFonts w:eastAsia="Arial Narrow"/>
          <w:spacing w:val="1"/>
          <w:position w:val="-1"/>
          <w:szCs w:val="24"/>
        </w:rPr>
        <w:t>o</w:t>
      </w:r>
      <w:r w:rsidRPr="00233877">
        <w:rPr>
          <w:rFonts w:eastAsia="Arial Narrow"/>
          <w:position w:val="-1"/>
          <w:szCs w:val="24"/>
        </w:rPr>
        <w:t>vi</w:t>
      </w:r>
      <w:r w:rsidRPr="00233877">
        <w:rPr>
          <w:rFonts w:eastAsia="Arial Narrow"/>
          <w:spacing w:val="1"/>
          <w:position w:val="-1"/>
          <w:szCs w:val="24"/>
        </w:rPr>
        <w:t>d</w:t>
      </w:r>
      <w:r w:rsidRPr="00233877">
        <w:rPr>
          <w:rFonts w:eastAsia="Arial Narrow"/>
          <w:position w:val="-1"/>
          <w:szCs w:val="24"/>
        </w:rPr>
        <w:t>er</w:t>
      </w:r>
      <w:r w:rsidRPr="00233877">
        <w:rPr>
          <w:rFonts w:eastAsia="Arial Narrow"/>
          <w:spacing w:val="-6"/>
          <w:position w:val="-1"/>
          <w:szCs w:val="24"/>
        </w:rPr>
        <w:t xml:space="preserve"> </w:t>
      </w:r>
      <w:r w:rsidRPr="00233877">
        <w:rPr>
          <w:rFonts w:eastAsia="Arial Narrow"/>
          <w:spacing w:val="-1"/>
          <w:position w:val="-1"/>
          <w:szCs w:val="24"/>
        </w:rPr>
        <w:t>S</w:t>
      </w:r>
      <w:r w:rsidRPr="00233877">
        <w:rPr>
          <w:rFonts w:eastAsia="Arial Narrow"/>
          <w:spacing w:val="1"/>
          <w:position w:val="-1"/>
          <w:szCs w:val="24"/>
        </w:rPr>
        <w:t>u</w:t>
      </w:r>
      <w:r w:rsidRPr="00233877">
        <w:rPr>
          <w:rFonts w:eastAsia="Arial Narrow"/>
          <w:spacing w:val="-1"/>
          <w:position w:val="-1"/>
          <w:szCs w:val="24"/>
        </w:rPr>
        <w:t>r</w:t>
      </w:r>
      <w:r w:rsidRPr="00233877">
        <w:rPr>
          <w:rFonts w:eastAsia="Arial Narrow"/>
          <w:position w:val="-1"/>
          <w:szCs w:val="24"/>
        </w:rPr>
        <w:t>v</w:t>
      </w:r>
      <w:r w:rsidRPr="00233877">
        <w:rPr>
          <w:rFonts w:eastAsia="Arial Narrow"/>
          <w:spacing w:val="9"/>
          <w:position w:val="-1"/>
          <w:szCs w:val="24"/>
        </w:rPr>
        <w:t>e</w:t>
      </w:r>
      <w:r w:rsidRPr="00233877">
        <w:rPr>
          <w:rFonts w:eastAsia="Arial Narrow"/>
          <w:position w:val="-1"/>
          <w:szCs w:val="24"/>
        </w:rPr>
        <w:t>y</w:t>
      </w:r>
    </w:p>
    <w:tbl>
      <w:tblPr>
        <w:tblStyle w:val="TableGrid"/>
        <w:tblW w:w="9918" w:type="dxa"/>
        <w:tblLayout w:type="fixed"/>
        <w:tblLook w:val="01E0" w:firstRow="1" w:lastRow="1" w:firstColumn="1" w:lastColumn="1" w:noHBand="0" w:noVBand="0"/>
      </w:tblPr>
      <w:tblGrid>
        <w:gridCol w:w="2268"/>
        <w:gridCol w:w="4753"/>
        <w:gridCol w:w="1892"/>
        <w:gridCol w:w="1005"/>
      </w:tblGrid>
      <w:tr w:rsidR="00CA6933" w:rsidRPr="00233877" w14:paraId="4193013C" w14:textId="77777777" w:rsidTr="00E4366D">
        <w:trPr>
          <w:trHeight w:hRule="exact" w:val="1225"/>
        </w:trPr>
        <w:tc>
          <w:tcPr>
            <w:tcW w:w="2268" w:type="dxa"/>
          </w:tcPr>
          <w:p w14:paraId="6935E56B" w14:textId="77777777" w:rsidR="00CA6933" w:rsidRPr="00233877" w:rsidRDefault="00CA6933" w:rsidP="00E4366D">
            <w:pPr>
              <w:spacing w:before="15"/>
              <w:ind w:left="102" w:right="-20"/>
              <w:rPr>
                <w:rFonts w:eastAsia="Arial Narrow"/>
              </w:rPr>
            </w:pPr>
            <w:r w:rsidRPr="00233877">
              <w:rPr>
                <w:rFonts w:eastAsia="Arial Narrow"/>
                <w:b/>
                <w:bCs/>
                <w:spacing w:val="1"/>
              </w:rPr>
              <w:t>M</w:t>
            </w:r>
            <w:r w:rsidRPr="00233877">
              <w:rPr>
                <w:rFonts w:eastAsia="Arial Narrow"/>
                <w:b/>
                <w:bCs/>
              </w:rPr>
              <w:t>ail</w:t>
            </w:r>
            <w:r w:rsidRPr="00233877">
              <w:rPr>
                <w:rFonts w:eastAsia="Arial Narrow"/>
                <w:b/>
                <w:bCs/>
                <w:spacing w:val="-3"/>
              </w:rPr>
              <w:t xml:space="preserve"> </w:t>
            </w:r>
            <w:r w:rsidRPr="00233877">
              <w:rPr>
                <w:rFonts w:eastAsia="Arial Narrow"/>
                <w:b/>
                <w:bCs/>
                <w:spacing w:val="-1"/>
              </w:rPr>
              <w:t>S</w:t>
            </w:r>
            <w:r w:rsidRPr="00233877">
              <w:rPr>
                <w:rFonts w:eastAsia="Arial Narrow"/>
                <w:b/>
                <w:bCs/>
                <w:spacing w:val="1"/>
              </w:rPr>
              <w:t>u</w:t>
            </w:r>
            <w:r w:rsidRPr="00233877">
              <w:rPr>
                <w:rFonts w:eastAsia="Arial Narrow"/>
                <w:b/>
                <w:bCs/>
                <w:spacing w:val="-1"/>
              </w:rPr>
              <w:t>r</w:t>
            </w:r>
            <w:r w:rsidRPr="00233877">
              <w:rPr>
                <w:rFonts w:eastAsia="Arial Narrow"/>
                <w:b/>
                <w:bCs/>
              </w:rPr>
              <w:t>v</w:t>
            </w:r>
            <w:r w:rsidRPr="00233877">
              <w:rPr>
                <w:rFonts w:eastAsia="Arial Narrow"/>
                <w:b/>
                <w:bCs/>
                <w:spacing w:val="1"/>
              </w:rPr>
              <w:t>e</w:t>
            </w:r>
            <w:r w:rsidRPr="00233877">
              <w:rPr>
                <w:rFonts w:eastAsia="Arial Narrow"/>
                <w:b/>
                <w:bCs/>
              </w:rPr>
              <w:t>y</w:t>
            </w:r>
            <w:r w:rsidRPr="00233877">
              <w:rPr>
                <w:rFonts w:eastAsia="Arial Narrow"/>
                <w:b/>
                <w:bCs/>
                <w:spacing w:val="-5"/>
              </w:rPr>
              <w:t xml:space="preserve"> </w:t>
            </w:r>
            <w:r w:rsidRPr="00233877">
              <w:rPr>
                <w:rFonts w:eastAsia="Arial Narrow"/>
                <w:b/>
                <w:bCs/>
              </w:rPr>
              <w:t>1</w:t>
            </w:r>
            <w:r>
              <w:rPr>
                <w:rFonts w:eastAsia="Arial Narrow"/>
                <w:b/>
                <w:bCs/>
              </w:rPr>
              <w:t xml:space="preserve"> (Attachment 5)</w:t>
            </w:r>
          </w:p>
        </w:tc>
        <w:tc>
          <w:tcPr>
            <w:tcW w:w="4753" w:type="dxa"/>
          </w:tcPr>
          <w:p w14:paraId="53AF20AC" w14:textId="77777777" w:rsidR="00CA6933" w:rsidRPr="00233877" w:rsidRDefault="00CA6933" w:rsidP="00CA6933">
            <w:pPr>
              <w:spacing w:before="13"/>
              <w:ind w:left="102" w:right="134"/>
              <w:rPr>
                <w:rFonts w:eastAsia="Arial Narrow"/>
              </w:rPr>
            </w:pPr>
            <w:r w:rsidRPr="00233877">
              <w:rPr>
                <w:rFonts w:eastAsia="Arial Narrow"/>
                <w:spacing w:val="-1"/>
              </w:rPr>
              <w:t>P</w:t>
            </w:r>
            <w:r w:rsidRPr="00233877">
              <w:rPr>
                <w:rFonts w:eastAsia="Arial Narrow"/>
              </w:rPr>
              <w:t>e</w:t>
            </w:r>
            <w:r w:rsidRPr="00233877">
              <w:rPr>
                <w:rFonts w:eastAsia="Arial Narrow"/>
                <w:spacing w:val="1"/>
              </w:rPr>
              <w:t>r</w:t>
            </w:r>
            <w:r w:rsidRPr="00233877">
              <w:rPr>
                <w:rFonts w:eastAsia="Arial Narrow"/>
              </w:rPr>
              <w:t>sonalized</w:t>
            </w:r>
            <w:r w:rsidRPr="00233877">
              <w:rPr>
                <w:rFonts w:eastAsia="Arial Narrow"/>
                <w:spacing w:val="-9"/>
              </w:rPr>
              <w:t xml:space="preserve"> </w:t>
            </w:r>
            <w:r w:rsidRPr="00233877">
              <w:rPr>
                <w:rFonts w:eastAsia="Arial Narrow"/>
              </w:rPr>
              <w:t>cover</w:t>
            </w:r>
            <w:r w:rsidRPr="00233877">
              <w:rPr>
                <w:rFonts w:eastAsia="Arial Narrow"/>
                <w:spacing w:val="-3"/>
              </w:rPr>
              <w:t xml:space="preserve"> </w:t>
            </w:r>
            <w:r w:rsidRPr="00233877">
              <w:rPr>
                <w:rFonts w:eastAsia="Arial Narrow"/>
              </w:rPr>
              <w:t>letter</w:t>
            </w:r>
            <w:r w:rsidRPr="00233877">
              <w:rPr>
                <w:rFonts w:eastAsia="Arial Narrow"/>
                <w:spacing w:val="-3"/>
              </w:rPr>
              <w:t xml:space="preserve"> </w:t>
            </w:r>
            <w:r>
              <w:rPr>
                <w:rFonts w:eastAsia="Arial Narrow"/>
              </w:rPr>
              <w:t>with support</w:t>
            </w:r>
            <w:r w:rsidRPr="00233877">
              <w:rPr>
                <w:rFonts w:eastAsia="Arial Narrow"/>
                <w:spacing w:val="-7"/>
              </w:rPr>
              <w:t xml:space="preserve"> </w:t>
            </w:r>
            <w:r>
              <w:rPr>
                <w:rFonts w:eastAsia="Arial Narrow"/>
                <w:spacing w:val="1"/>
              </w:rPr>
              <w:t>from</w:t>
            </w:r>
            <w:r w:rsidRPr="00233877">
              <w:rPr>
                <w:rFonts w:eastAsia="Arial Narrow"/>
                <w:spacing w:val="-2"/>
              </w:rPr>
              <w:t xml:space="preserve"> </w:t>
            </w:r>
            <w:r w:rsidRPr="00233877">
              <w:rPr>
                <w:rFonts w:eastAsia="Arial Narrow"/>
              </w:rPr>
              <w:t>p</w:t>
            </w:r>
            <w:r w:rsidRPr="00233877">
              <w:rPr>
                <w:rFonts w:eastAsia="Arial Narrow"/>
                <w:spacing w:val="1"/>
              </w:rPr>
              <w:t>r</w:t>
            </w:r>
            <w:r w:rsidRPr="00233877">
              <w:rPr>
                <w:rFonts w:eastAsia="Arial Narrow"/>
              </w:rPr>
              <w:t>of</w:t>
            </w:r>
            <w:r w:rsidRPr="00233877">
              <w:rPr>
                <w:rFonts w:eastAsia="Arial Narrow"/>
                <w:spacing w:val="1"/>
              </w:rPr>
              <w:t>e</w:t>
            </w:r>
            <w:r w:rsidRPr="00233877">
              <w:rPr>
                <w:rFonts w:eastAsia="Arial Narrow"/>
              </w:rPr>
              <w:t>ssional</w:t>
            </w:r>
            <w:r w:rsidRPr="00233877">
              <w:rPr>
                <w:rFonts w:eastAsia="Arial Narrow"/>
                <w:spacing w:val="-9"/>
              </w:rPr>
              <w:t xml:space="preserve"> </w:t>
            </w:r>
            <w:r w:rsidRPr="00233877">
              <w:rPr>
                <w:rFonts w:eastAsia="Arial Narrow"/>
              </w:rPr>
              <w:t>o</w:t>
            </w:r>
            <w:r w:rsidRPr="00233877">
              <w:rPr>
                <w:rFonts w:eastAsia="Arial Narrow"/>
                <w:spacing w:val="1"/>
              </w:rPr>
              <w:t>r</w:t>
            </w:r>
            <w:r w:rsidRPr="00233877">
              <w:rPr>
                <w:rFonts w:eastAsia="Arial Narrow"/>
              </w:rPr>
              <w:t>g</w:t>
            </w:r>
            <w:r w:rsidRPr="00233877">
              <w:rPr>
                <w:rFonts w:eastAsia="Arial Narrow"/>
                <w:spacing w:val="1"/>
              </w:rPr>
              <w:t>a</w:t>
            </w:r>
            <w:r w:rsidRPr="00233877">
              <w:rPr>
                <w:rFonts w:eastAsia="Arial Narrow"/>
              </w:rPr>
              <w:t xml:space="preserve">nizations, </w:t>
            </w:r>
            <w:r>
              <w:rPr>
                <w:rFonts w:eastAsia="Arial Narrow"/>
              </w:rPr>
              <w:t xml:space="preserve">and </w:t>
            </w:r>
            <w:r w:rsidRPr="00233877">
              <w:rPr>
                <w:rFonts w:eastAsia="Arial Narrow"/>
              </w:rPr>
              <w:t>p</w:t>
            </w:r>
            <w:r w:rsidRPr="00233877">
              <w:rPr>
                <w:rFonts w:eastAsia="Arial Narrow"/>
                <w:spacing w:val="1"/>
              </w:rPr>
              <w:t>a</w:t>
            </w:r>
            <w:r w:rsidRPr="00233877">
              <w:rPr>
                <w:rFonts w:eastAsia="Arial Narrow"/>
              </w:rPr>
              <w:t>p</w:t>
            </w:r>
            <w:r w:rsidRPr="00233877">
              <w:rPr>
                <w:rFonts w:eastAsia="Arial Narrow"/>
                <w:spacing w:val="1"/>
              </w:rPr>
              <w:t>e</w:t>
            </w:r>
            <w:r w:rsidRPr="00233877">
              <w:rPr>
                <w:rFonts w:eastAsia="Arial Narrow"/>
              </w:rPr>
              <w:t>r</w:t>
            </w:r>
            <w:r w:rsidRPr="00233877">
              <w:rPr>
                <w:rFonts w:eastAsia="Arial Narrow"/>
                <w:spacing w:val="-4"/>
              </w:rPr>
              <w:t xml:space="preserve"> </w:t>
            </w:r>
            <w:r w:rsidRPr="00233877">
              <w:rPr>
                <w:rFonts w:eastAsia="Arial Narrow"/>
              </w:rPr>
              <w:t>q</w:t>
            </w:r>
            <w:r w:rsidRPr="00233877">
              <w:rPr>
                <w:rFonts w:eastAsia="Arial Narrow"/>
                <w:spacing w:val="1"/>
              </w:rPr>
              <w:t>u</w:t>
            </w:r>
            <w:r w:rsidRPr="00233877">
              <w:rPr>
                <w:rFonts w:eastAsia="Arial Narrow"/>
              </w:rPr>
              <w:t>estio</w:t>
            </w:r>
            <w:r w:rsidRPr="00233877">
              <w:rPr>
                <w:rFonts w:eastAsia="Arial Narrow"/>
                <w:spacing w:val="1"/>
              </w:rPr>
              <w:t>n</w:t>
            </w:r>
            <w:r w:rsidRPr="00233877">
              <w:rPr>
                <w:rFonts w:eastAsia="Arial Narrow"/>
              </w:rPr>
              <w:t>n</w:t>
            </w:r>
            <w:r w:rsidRPr="00233877">
              <w:rPr>
                <w:rFonts w:eastAsia="Arial Narrow"/>
                <w:spacing w:val="1"/>
              </w:rPr>
              <w:t>a</w:t>
            </w:r>
            <w:r w:rsidRPr="00233877">
              <w:rPr>
                <w:rFonts w:eastAsia="Arial Narrow"/>
              </w:rPr>
              <w:t>ir</w:t>
            </w:r>
            <w:r w:rsidRPr="00233877">
              <w:rPr>
                <w:rFonts w:eastAsia="Arial Narrow"/>
                <w:spacing w:val="1"/>
              </w:rPr>
              <w:t>e</w:t>
            </w:r>
            <w:r>
              <w:rPr>
                <w:rFonts w:eastAsia="Arial Narrow"/>
              </w:rPr>
              <w:t>.</w:t>
            </w:r>
          </w:p>
        </w:tc>
        <w:tc>
          <w:tcPr>
            <w:tcW w:w="1892" w:type="dxa"/>
          </w:tcPr>
          <w:p w14:paraId="0085486B" w14:textId="77777777" w:rsidR="00CA6933" w:rsidRPr="00233877" w:rsidRDefault="00CA6933" w:rsidP="00E4366D">
            <w:pPr>
              <w:spacing w:before="15"/>
              <w:ind w:left="102" w:right="-20"/>
              <w:rPr>
                <w:rFonts w:eastAsia="Arial Narrow"/>
              </w:rPr>
            </w:pPr>
            <w:r w:rsidRPr="00233877">
              <w:rPr>
                <w:rFonts w:eastAsia="Arial Narrow"/>
                <w:spacing w:val="-1"/>
              </w:rPr>
              <w:t>A</w:t>
            </w:r>
            <w:r w:rsidRPr="00233877">
              <w:rPr>
                <w:rFonts w:eastAsia="Arial Narrow"/>
              </w:rPr>
              <w:t>ll</w:t>
            </w:r>
            <w:r w:rsidRPr="00233877">
              <w:rPr>
                <w:rFonts w:eastAsia="Arial Narrow"/>
                <w:spacing w:val="-2"/>
              </w:rPr>
              <w:t xml:space="preserve"> </w:t>
            </w:r>
            <w:r w:rsidRPr="00233877">
              <w:rPr>
                <w:rFonts w:eastAsia="Arial Narrow"/>
              </w:rPr>
              <w:t>sa</w:t>
            </w:r>
            <w:r w:rsidRPr="00233877">
              <w:rPr>
                <w:rFonts w:eastAsia="Arial Narrow"/>
                <w:spacing w:val="1"/>
              </w:rPr>
              <w:t>m</w:t>
            </w:r>
            <w:r w:rsidRPr="00233877">
              <w:rPr>
                <w:rFonts w:eastAsia="Arial Narrow"/>
              </w:rPr>
              <w:t>pled</w:t>
            </w:r>
            <w:r w:rsidRPr="00233877">
              <w:rPr>
                <w:rFonts w:eastAsia="Arial Narrow"/>
                <w:spacing w:val="-6"/>
              </w:rPr>
              <w:t xml:space="preserve"> </w:t>
            </w:r>
            <w:r w:rsidRPr="00233877">
              <w:rPr>
                <w:rFonts w:eastAsia="Arial Narrow"/>
              </w:rPr>
              <w:t>p</w:t>
            </w:r>
            <w:r w:rsidRPr="00233877">
              <w:rPr>
                <w:rFonts w:eastAsia="Arial Narrow"/>
                <w:spacing w:val="1"/>
              </w:rPr>
              <w:t>h</w:t>
            </w:r>
            <w:r w:rsidRPr="00233877">
              <w:rPr>
                <w:rFonts w:eastAsia="Arial Narrow"/>
                <w:spacing w:val="2"/>
              </w:rPr>
              <w:t>y</w:t>
            </w:r>
            <w:r w:rsidRPr="00233877">
              <w:rPr>
                <w:rFonts w:eastAsia="Arial Narrow"/>
              </w:rPr>
              <w:t>sic</w:t>
            </w:r>
            <w:r w:rsidRPr="00233877">
              <w:rPr>
                <w:rFonts w:eastAsia="Arial Narrow"/>
                <w:spacing w:val="-1"/>
              </w:rPr>
              <w:t>i</w:t>
            </w:r>
            <w:r w:rsidRPr="00233877">
              <w:rPr>
                <w:rFonts w:eastAsia="Arial Narrow"/>
              </w:rPr>
              <w:t>a</w:t>
            </w:r>
            <w:r w:rsidRPr="00233877">
              <w:rPr>
                <w:rFonts w:eastAsia="Arial Narrow"/>
                <w:spacing w:val="1"/>
              </w:rPr>
              <w:t>n</w:t>
            </w:r>
            <w:r w:rsidRPr="00233877">
              <w:rPr>
                <w:rFonts w:eastAsia="Arial Narrow"/>
              </w:rPr>
              <w:t>s</w:t>
            </w:r>
          </w:p>
        </w:tc>
        <w:tc>
          <w:tcPr>
            <w:tcW w:w="1005" w:type="dxa"/>
          </w:tcPr>
          <w:p w14:paraId="1437F3DC" w14:textId="77777777" w:rsidR="00CA6933" w:rsidRPr="00233877" w:rsidRDefault="00CA6933" w:rsidP="00E4366D">
            <w:pPr>
              <w:spacing w:before="15"/>
              <w:ind w:left="100" w:right="-20"/>
              <w:rPr>
                <w:rFonts w:eastAsia="Arial Narrow"/>
              </w:rPr>
            </w:pPr>
            <w:r w:rsidRPr="00233877">
              <w:rPr>
                <w:rFonts w:eastAsia="Arial Narrow"/>
              </w:rPr>
              <w:t>Day</w:t>
            </w:r>
            <w:r w:rsidRPr="00233877">
              <w:rPr>
                <w:rFonts w:eastAsia="Arial Narrow"/>
                <w:spacing w:val="-3"/>
              </w:rPr>
              <w:t xml:space="preserve"> </w:t>
            </w:r>
            <w:r w:rsidRPr="00233877">
              <w:rPr>
                <w:rFonts w:eastAsia="Arial Narrow"/>
              </w:rPr>
              <w:t>1</w:t>
            </w:r>
          </w:p>
        </w:tc>
      </w:tr>
      <w:tr w:rsidR="00CA6933" w:rsidRPr="00233877" w14:paraId="5AA2DFD2" w14:textId="77777777" w:rsidTr="00E4366D">
        <w:trPr>
          <w:trHeight w:hRule="exact" w:val="847"/>
        </w:trPr>
        <w:tc>
          <w:tcPr>
            <w:tcW w:w="2268" w:type="dxa"/>
          </w:tcPr>
          <w:p w14:paraId="3FA3369F" w14:textId="77777777" w:rsidR="00CA6933" w:rsidRPr="00F60409" w:rsidRDefault="00CA6933" w:rsidP="00E4366D">
            <w:pPr>
              <w:spacing w:before="18"/>
              <w:ind w:left="102" w:right="-20"/>
              <w:rPr>
                <w:rFonts w:eastAsia="Arial Narrow"/>
                <w:b/>
                <w:bCs/>
              </w:rPr>
            </w:pPr>
            <w:r w:rsidRPr="00233877">
              <w:rPr>
                <w:rFonts w:eastAsia="Arial Narrow"/>
                <w:b/>
                <w:bCs/>
                <w:spacing w:val="1"/>
              </w:rPr>
              <w:t>M</w:t>
            </w:r>
            <w:r w:rsidRPr="00233877">
              <w:rPr>
                <w:rFonts w:eastAsia="Arial Narrow"/>
                <w:b/>
                <w:bCs/>
              </w:rPr>
              <w:t>ail</w:t>
            </w:r>
            <w:r w:rsidRPr="00233877">
              <w:rPr>
                <w:rFonts w:eastAsia="Arial Narrow"/>
                <w:b/>
                <w:bCs/>
                <w:spacing w:val="-3"/>
              </w:rPr>
              <w:t xml:space="preserve"> </w:t>
            </w:r>
            <w:r w:rsidRPr="00233877">
              <w:rPr>
                <w:rFonts w:eastAsia="Arial Narrow"/>
                <w:b/>
                <w:bCs/>
                <w:spacing w:val="-1"/>
              </w:rPr>
              <w:t>S</w:t>
            </w:r>
            <w:r w:rsidRPr="00233877">
              <w:rPr>
                <w:rFonts w:eastAsia="Arial Narrow"/>
                <w:b/>
                <w:bCs/>
                <w:spacing w:val="1"/>
              </w:rPr>
              <w:t>u</w:t>
            </w:r>
            <w:r w:rsidRPr="00233877">
              <w:rPr>
                <w:rFonts w:eastAsia="Arial Narrow"/>
                <w:b/>
                <w:bCs/>
                <w:spacing w:val="-1"/>
              </w:rPr>
              <w:t>r</w:t>
            </w:r>
            <w:r w:rsidRPr="00233877">
              <w:rPr>
                <w:rFonts w:eastAsia="Arial Narrow"/>
                <w:b/>
                <w:bCs/>
              </w:rPr>
              <w:t>v</w:t>
            </w:r>
            <w:r w:rsidRPr="00233877">
              <w:rPr>
                <w:rFonts w:eastAsia="Arial Narrow"/>
                <w:b/>
                <w:bCs/>
                <w:spacing w:val="1"/>
              </w:rPr>
              <w:t>e</w:t>
            </w:r>
            <w:r w:rsidRPr="00233877">
              <w:rPr>
                <w:rFonts w:eastAsia="Arial Narrow"/>
                <w:b/>
                <w:bCs/>
              </w:rPr>
              <w:t>y</w:t>
            </w:r>
            <w:r w:rsidRPr="00233877">
              <w:rPr>
                <w:rFonts w:eastAsia="Arial Narrow"/>
                <w:b/>
                <w:bCs/>
                <w:spacing w:val="-5"/>
              </w:rPr>
              <w:t xml:space="preserve"> </w:t>
            </w:r>
            <w:r w:rsidRPr="00233877">
              <w:rPr>
                <w:rFonts w:eastAsia="Arial Narrow"/>
                <w:b/>
                <w:bCs/>
              </w:rPr>
              <w:t>2</w:t>
            </w:r>
            <w:r>
              <w:rPr>
                <w:rFonts w:eastAsia="Arial Narrow"/>
                <w:b/>
                <w:bCs/>
              </w:rPr>
              <w:t xml:space="preserve">  (Attachment 6)</w:t>
            </w:r>
          </w:p>
        </w:tc>
        <w:tc>
          <w:tcPr>
            <w:tcW w:w="4753" w:type="dxa"/>
          </w:tcPr>
          <w:p w14:paraId="73734F6B" w14:textId="77777777" w:rsidR="00CA6933" w:rsidRPr="00233877" w:rsidRDefault="00CA6933" w:rsidP="00E4366D">
            <w:pPr>
              <w:spacing w:before="18"/>
              <w:ind w:left="102" w:right="-20"/>
              <w:rPr>
                <w:rFonts w:eastAsia="Arial Narrow"/>
              </w:rPr>
            </w:pPr>
            <w:r w:rsidRPr="00233877">
              <w:rPr>
                <w:rFonts w:eastAsia="Arial Narrow"/>
              </w:rPr>
              <w:t>Cover</w:t>
            </w:r>
            <w:r w:rsidRPr="00233877">
              <w:rPr>
                <w:rFonts w:eastAsia="Arial Narrow"/>
                <w:spacing w:val="-3"/>
              </w:rPr>
              <w:t xml:space="preserve"> </w:t>
            </w:r>
            <w:r w:rsidRPr="00233877">
              <w:rPr>
                <w:rFonts w:eastAsia="Arial Narrow"/>
              </w:rPr>
              <w:t>letter</w:t>
            </w:r>
            <w:r w:rsidRPr="00233877">
              <w:rPr>
                <w:rFonts w:eastAsia="Arial Narrow"/>
                <w:spacing w:val="-3"/>
              </w:rPr>
              <w:t xml:space="preserve"> </w:t>
            </w:r>
            <w:r w:rsidRPr="00233877">
              <w:rPr>
                <w:rFonts w:eastAsia="Arial Narrow"/>
              </w:rPr>
              <w:t>a</w:t>
            </w:r>
            <w:r w:rsidRPr="00233877">
              <w:rPr>
                <w:rFonts w:eastAsia="Arial Narrow"/>
                <w:spacing w:val="1"/>
              </w:rPr>
              <w:t>n</w:t>
            </w:r>
            <w:r w:rsidRPr="00233877">
              <w:rPr>
                <w:rFonts w:eastAsia="Arial Narrow"/>
              </w:rPr>
              <w:t>d</w:t>
            </w:r>
            <w:r w:rsidRPr="00233877">
              <w:rPr>
                <w:rFonts w:eastAsia="Arial Narrow"/>
                <w:spacing w:val="-3"/>
              </w:rPr>
              <w:t xml:space="preserve"> </w:t>
            </w:r>
            <w:r w:rsidRPr="00233877">
              <w:rPr>
                <w:rFonts w:eastAsia="Arial Narrow"/>
                <w:spacing w:val="1"/>
              </w:rPr>
              <w:t>p</w:t>
            </w:r>
            <w:r w:rsidRPr="00233877">
              <w:rPr>
                <w:rFonts w:eastAsia="Arial Narrow"/>
              </w:rPr>
              <w:t>a</w:t>
            </w:r>
            <w:r w:rsidRPr="00233877">
              <w:rPr>
                <w:rFonts w:eastAsia="Arial Narrow"/>
                <w:spacing w:val="1"/>
              </w:rPr>
              <w:t>p</w:t>
            </w:r>
            <w:r w:rsidRPr="00233877">
              <w:rPr>
                <w:rFonts w:eastAsia="Arial Narrow"/>
              </w:rPr>
              <w:t>er</w:t>
            </w:r>
            <w:r w:rsidRPr="00233877">
              <w:rPr>
                <w:rFonts w:eastAsia="Arial Narrow"/>
                <w:spacing w:val="-3"/>
              </w:rPr>
              <w:t xml:space="preserve"> </w:t>
            </w:r>
            <w:r w:rsidRPr="00233877">
              <w:rPr>
                <w:rFonts w:eastAsia="Arial Narrow"/>
              </w:rPr>
              <w:t>q</w:t>
            </w:r>
            <w:r w:rsidRPr="00233877">
              <w:rPr>
                <w:rFonts w:eastAsia="Arial Narrow"/>
                <w:spacing w:val="1"/>
              </w:rPr>
              <w:t>u</w:t>
            </w:r>
            <w:r w:rsidRPr="00233877">
              <w:rPr>
                <w:rFonts w:eastAsia="Arial Narrow"/>
              </w:rPr>
              <w:t>estio</w:t>
            </w:r>
            <w:r w:rsidRPr="00233877">
              <w:rPr>
                <w:rFonts w:eastAsia="Arial Narrow"/>
                <w:spacing w:val="1"/>
              </w:rPr>
              <w:t>n</w:t>
            </w:r>
            <w:r w:rsidRPr="00233877">
              <w:rPr>
                <w:rFonts w:eastAsia="Arial Narrow"/>
              </w:rPr>
              <w:t>n</w:t>
            </w:r>
            <w:r w:rsidRPr="00233877">
              <w:rPr>
                <w:rFonts w:eastAsia="Arial Narrow"/>
                <w:spacing w:val="1"/>
              </w:rPr>
              <w:t>a</w:t>
            </w:r>
            <w:r w:rsidRPr="00233877">
              <w:rPr>
                <w:rFonts w:eastAsia="Arial Narrow"/>
              </w:rPr>
              <w:t>ir</w:t>
            </w:r>
            <w:r w:rsidRPr="00233877">
              <w:rPr>
                <w:rFonts w:eastAsia="Arial Narrow"/>
                <w:spacing w:val="1"/>
              </w:rPr>
              <w:t>e</w:t>
            </w:r>
            <w:r w:rsidRPr="00233877">
              <w:rPr>
                <w:rFonts w:eastAsia="Arial Narrow"/>
              </w:rPr>
              <w:t>.</w:t>
            </w:r>
          </w:p>
        </w:tc>
        <w:tc>
          <w:tcPr>
            <w:tcW w:w="1892" w:type="dxa"/>
          </w:tcPr>
          <w:p w14:paraId="29BABE06" w14:textId="77777777" w:rsidR="00CA6933" w:rsidRPr="00233877" w:rsidRDefault="00CA6933" w:rsidP="00E4366D">
            <w:pPr>
              <w:spacing w:before="20" w:line="228" w:lineRule="exact"/>
              <w:ind w:left="102" w:right="359"/>
              <w:rPr>
                <w:rFonts w:eastAsia="Arial Narrow"/>
              </w:rPr>
            </w:pPr>
            <w:r w:rsidRPr="00233877">
              <w:rPr>
                <w:rFonts w:eastAsia="Arial Narrow"/>
                <w:spacing w:val="-1"/>
              </w:rPr>
              <w:t>A</w:t>
            </w:r>
            <w:r w:rsidRPr="00233877">
              <w:rPr>
                <w:rFonts w:eastAsia="Arial Narrow"/>
              </w:rPr>
              <w:t>ll</w:t>
            </w:r>
            <w:r w:rsidRPr="00233877">
              <w:rPr>
                <w:rFonts w:eastAsia="Arial Narrow"/>
                <w:spacing w:val="-2"/>
              </w:rPr>
              <w:t xml:space="preserve"> </w:t>
            </w:r>
            <w:r w:rsidRPr="00233877">
              <w:rPr>
                <w:rFonts w:eastAsia="Arial Narrow"/>
              </w:rPr>
              <w:t>no</w:t>
            </w:r>
            <w:r w:rsidRPr="00233877">
              <w:rPr>
                <w:rFonts w:eastAsia="Arial Narrow"/>
                <w:spacing w:val="1"/>
              </w:rPr>
              <w:t>n-r</w:t>
            </w:r>
            <w:r w:rsidRPr="00233877">
              <w:rPr>
                <w:rFonts w:eastAsia="Arial Narrow"/>
              </w:rPr>
              <w:t>espo</w:t>
            </w:r>
            <w:r w:rsidRPr="00233877">
              <w:rPr>
                <w:rFonts w:eastAsia="Arial Narrow"/>
                <w:spacing w:val="1"/>
              </w:rPr>
              <w:t>n</w:t>
            </w:r>
            <w:r w:rsidRPr="00233877">
              <w:rPr>
                <w:rFonts w:eastAsia="Arial Narrow"/>
              </w:rPr>
              <w:t>ding p</w:t>
            </w:r>
            <w:r w:rsidRPr="00233877">
              <w:rPr>
                <w:rFonts w:eastAsia="Arial Narrow"/>
                <w:spacing w:val="1"/>
              </w:rPr>
              <w:t>h</w:t>
            </w:r>
            <w:r w:rsidRPr="00233877">
              <w:rPr>
                <w:rFonts w:eastAsia="Arial Narrow"/>
              </w:rPr>
              <w:t>ysic</w:t>
            </w:r>
            <w:r w:rsidRPr="00233877">
              <w:rPr>
                <w:rFonts w:eastAsia="Arial Narrow"/>
                <w:spacing w:val="-1"/>
              </w:rPr>
              <w:t>i</w:t>
            </w:r>
            <w:r w:rsidRPr="00233877">
              <w:rPr>
                <w:rFonts w:eastAsia="Arial Narrow"/>
              </w:rPr>
              <w:t>a</w:t>
            </w:r>
            <w:r w:rsidRPr="00233877">
              <w:rPr>
                <w:rFonts w:eastAsia="Arial Narrow"/>
                <w:spacing w:val="1"/>
              </w:rPr>
              <w:t>n</w:t>
            </w:r>
            <w:r w:rsidRPr="00233877">
              <w:rPr>
                <w:rFonts w:eastAsia="Arial Narrow"/>
              </w:rPr>
              <w:t>s</w:t>
            </w:r>
          </w:p>
        </w:tc>
        <w:tc>
          <w:tcPr>
            <w:tcW w:w="1005" w:type="dxa"/>
          </w:tcPr>
          <w:p w14:paraId="7C18B349" w14:textId="77777777" w:rsidR="00CA6933" w:rsidRPr="00233877" w:rsidRDefault="00CA6933" w:rsidP="00E4366D">
            <w:pPr>
              <w:spacing w:before="18"/>
              <w:ind w:left="100" w:right="-20"/>
              <w:rPr>
                <w:rFonts w:eastAsia="Arial Narrow"/>
              </w:rPr>
            </w:pPr>
            <w:r w:rsidRPr="00233877">
              <w:rPr>
                <w:rFonts w:eastAsia="Arial Narrow"/>
              </w:rPr>
              <w:t>Day</w:t>
            </w:r>
            <w:r w:rsidRPr="00233877">
              <w:rPr>
                <w:rFonts w:eastAsia="Arial Narrow"/>
                <w:spacing w:val="-3"/>
              </w:rPr>
              <w:t xml:space="preserve"> </w:t>
            </w:r>
            <w:r w:rsidRPr="00233877">
              <w:rPr>
                <w:rFonts w:eastAsia="Arial Narrow"/>
              </w:rPr>
              <w:t>14</w:t>
            </w:r>
          </w:p>
        </w:tc>
      </w:tr>
      <w:tr w:rsidR="00CA6933" w:rsidRPr="00233877" w14:paraId="1577C81F" w14:textId="77777777" w:rsidTr="00E4366D">
        <w:trPr>
          <w:trHeight w:hRule="exact" w:val="937"/>
        </w:trPr>
        <w:tc>
          <w:tcPr>
            <w:tcW w:w="2268" w:type="dxa"/>
          </w:tcPr>
          <w:p w14:paraId="35714F23" w14:textId="77777777" w:rsidR="00CA6933" w:rsidRPr="00233877" w:rsidRDefault="00CA6933" w:rsidP="00E4366D">
            <w:pPr>
              <w:spacing w:before="17"/>
              <w:ind w:left="102" w:right="-20"/>
              <w:rPr>
                <w:rFonts w:eastAsia="Arial Narrow"/>
              </w:rPr>
            </w:pPr>
            <w:r w:rsidRPr="00233877">
              <w:rPr>
                <w:rFonts w:eastAsia="Arial Narrow"/>
                <w:b/>
                <w:bCs/>
                <w:spacing w:val="1"/>
              </w:rPr>
              <w:t>M</w:t>
            </w:r>
            <w:r w:rsidRPr="00233877">
              <w:rPr>
                <w:rFonts w:eastAsia="Arial Narrow"/>
                <w:b/>
                <w:bCs/>
              </w:rPr>
              <w:t>ail</w:t>
            </w:r>
            <w:r w:rsidRPr="00233877">
              <w:rPr>
                <w:rFonts w:eastAsia="Arial Narrow"/>
                <w:b/>
                <w:bCs/>
                <w:spacing w:val="-3"/>
              </w:rPr>
              <w:t xml:space="preserve"> </w:t>
            </w:r>
            <w:r w:rsidRPr="00233877">
              <w:rPr>
                <w:rFonts w:eastAsia="Arial Narrow"/>
                <w:b/>
                <w:bCs/>
                <w:spacing w:val="-1"/>
              </w:rPr>
              <w:t>S</w:t>
            </w:r>
            <w:r w:rsidRPr="00233877">
              <w:rPr>
                <w:rFonts w:eastAsia="Arial Narrow"/>
                <w:b/>
                <w:bCs/>
                <w:spacing w:val="1"/>
              </w:rPr>
              <w:t>u</w:t>
            </w:r>
            <w:r w:rsidRPr="00233877">
              <w:rPr>
                <w:rFonts w:eastAsia="Arial Narrow"/>
                <w:b/>
                <w:bCs/>
                <w:spacing w:val="-1"/>
              </w:rPr>
              <w:t>r</w:t>
            </w:r>
            <w:r w:rsidRPr="00233877">
              <w:rPr>
                <w:rFonts w:eastAsia="Arial Narrow"/>
                <w:b/>
                <w:bCs/>
              </w:rPr>
              <w:t>v</w:t>
            </w:r>
            <w:r w:rsidRPr="00233877">
              <w:rPr>
                <w:rFonts w:eastAsia="Arial Narrow"/>
                <w:b/>
                <w:bCs/>
                <w:spacing w:val="1"/>
              </w:rPr>
              <w:t>e</w:t>
            </w:r>
            <w:r w:rsidRPr="00233877">
              <w:rPr>
                <w:rFonts w:eastAsia="Arial Narrow"/>
                <w:b/>
                <w:bCs/>
              </w:rPr>
              <w:t>y</w:t>
            </w:r>
            <w:r w:rsidRPr="00233877">
              <w:rPr>
                <w:rFonts w:eastAsia="Arial Narrow"/>
                <w:b/>
                <w:bCs/>
                <w:spacing w:val="-5"/>
              </w:rPr>
              <w:t xml:space="preserve"> </w:t>
            </w:r>
            <w:r w:rsidRPr="00233877">
              <w:rPr>
                <w:rFonts w:eastAsia="Arial Narrow"/>
                <w:b/>
                <w:bCs/>
              </w:rPr>
              <w:t>3</w:t>
            </w:r>
            <w:r>
              <w:rPr>
                <w:rFonts w:eastAsia="Arial Narrow"/>
                <w:b/>
                <w:bCs/>
              </w:rPr>
              <w:t xml:space="preserve">  (Attachment 7)</w:t>
            </w:r>
          </w:p>
        </w:tc>
        <w:tc>
          <w:tcPr>
            <w:tcW w:w="4753" w:type="dxa"/>
          </w:tcPr>
          <w:p w14:paraId="56F5AF01" w14:textId="77777777" w:rsidR="00CA6933" w:rsidRPr="00233877" w:rsidRDefault="00CA6933" w:rsidP="00E4366D">
            <w:pPr>
              <w:spacing w:before="17"/>
              <w:ind w:left="102" w:right="-20"/>
              <w:rPr>
                <w:rFonts w:eastAsia="Arial Narrow"/>
              </w:rPr>
            </w:pPr>
            <w:r w:rsidRPr="00233877">
              <w:rPr>
                <w:rFonts w:eastAsia="Arial Narrow"/>
              </w:rPr>
              <w:t>Cover</w:t>
            </w:r>
            <w:r w:rsidRPr="00233877">
              <w:rPr>
                <w:rFonts w:eastAsia="Arial Narrow"/>
                <w:spacing w:val="-3"/>
              </w:rPr>
              <w:t xml:space="preserve"> </w:t>
            </w:r>
            <w:r w:rsidRPr="00233877">
              <w:rPr>
                <w:rFonts w:eastAsia="Arial Narrow"/>
              </w:rPr>
              <w:t>letter</w:t>
            </w:r>
            <w:r w:rsidRPr="00233877">
              <w:rPr>
                <w:rFonts w:eastAsia="Arial Narrow"/>
                <w:spacing w:val="-3"/>
              </w:rPr>
              <w:t xml:space="preserve"> </w:t>
            </w:r>
            <w:r w:rsidRPr="00233877">
              <w:rPr>
                <w:rFonts w:eastAsia="Arial Narrow"/>
              </w:rPr>
              <w:t>a</w:t>
            </w:r>
            <w:r w:rsidRPr="00233877">
              <w:rPr>
                <w:rFonts w:eastAsia="Arial Narrow"/>
                <w:spacing w:val="1"/>
              </w:rPr>
              <w:t>n</w:t>
            </w:r>
            <w:r w:rsidRPr="00233877">
              <w:rPr>
                <w:rFonts w:eastAsia="Arial Narrow"/>
              </w:rPr>
              <w:t>d</w:t>
            </w:r>
            <w:r w:rsidRPr="00233877">
              <w:rPr>
                <w:rFonts w:eastAsia="Arial Narrow"/>
                <w:spacing w:val="-3"/>
              </w:rPr>
              <w:t xml:space="preserve"> </w:t>
            </w:r>
            <w:r w:rsidRPr="00233877">
              <w:rPr>
                <w:rFonts w:eastAsia="Arial Narrow"/>
                <w:spacing w:val="1"/>
              </w:rPr>
              <w:t>p</w:t>
            </w:r>
            <w:r w:rsidRPr="00233877">
              <w:rPr>
                <w:rFonts w:eastAsia="Arial Narrow"/>
              </w:rPr>
              <w:t>a</w:t>
            </w:r>
            <w:r w:rsidRPr="00233877">
              <w:rPr>
                <w:rFonts w:eastAsia="Arial Narrow"/>
                <w:spacing w:val="1"/>
              </w:rPr>
              <w:t>p</w:t>
            </w:r>
            <w:r w:rsidRPr="00233877">
              <w:rPr>
                <w:rFonts w:eastAsia="Arial Narrow"/>
              </w:rPr>
              <w:t>er</w:t>
            </w:r>
            <w:r w:rsidRPr="00233877">
              <w:rPr>
                <w:rFonts w:eastAsia="Arial Narrow"/>
                <w:spacing w:val="-3"/>
              </w:rPr>
              <w:t xml:space="preserve"> </w:t>
            </w:r>
            <w:r w:rsidRPr="00233877">
              <w:rPr>
                <w:rFonts w:eastAsia="Arial Narrow"/>
              </w:rPr>
              <w:t>q</w:t>
            </w:r>
            <w:r w:rsidRPr="00233877">
              <w:rPr>
                <w:rFonts w:eastAsia="Arial Narrow"/>
                <w:spacing w:val="1"/>
              </w:rPr>
              <w:t>u</w:t>
            </w:r>
            <w:r w:rsidRPr="00233877">
              <w:rPr>
                <w:rFonts w:eastAsia="Arial Narrow"/>
              </w:rPr>
              <w:t>estio</w:t>
            </w:r>
            <w:r w:rsidRPr="00233877">
              <w:rPr>
                <w:rFonts w:eastAsia="Arial Narrow"/>
                <w:spacing w:val="1"/>
              </w:rPr>
              <w:t>n</w:t>
            </w:r>
            <w:r w:rsidRPr="00233877">
              <w:rPr>
                <w:rFonts w:eastAsia="Arial Narrow"/>
              </w:rPr>
              <w:t>n</w:t>
            </w:r>
            <w:r w:rsidRPr="00233877">
              <w:rPr>
                <w:rFonts w:eastAsia="Arial Narrow"/>
                <w:spacing w:val="1"/>
              </w:rPr>
              <w:t>a</w:t>
            </w:r>
            <w:r w:rsidRPr="00233877">
              <w:rPr>
                <w:rFonts w:eastAsia="Arial Narrow"/>
              </w:rPr>
              <w:t>ir</w:t>
            </w:r>
            <w:r w:rsidRPr="00233877">
              <w:rPr>
                <w:rFonts w:eastAsia="Arial Narrow"/>
                <w:spacing w:val="1"/>
              </w:rPr>
              <w:t>e</w:t>
            </w:r>
            <w:r w:rsidRPr="00233877">
              <w:rPr>
                <w:rFonts w:eastAsia="Arial Narrow"/>
              </w:rPr>
              <w:t>.</w:t>
            </w:r>
          </w:p>
        </w:tc>
        <w:tc>
          <w:tcPr>
            <w:tcW w:w="1892" w:type="dxa"/>
          </w:tcPr>
          <w:p w14:paraId="2A47A988" w14:textId="77777777" w:rsidR="00CA6933" w:rsidRPr="00233877" w:rsidRDefault="00CA6933" w:rsidP="00E4366D">
            <w:pPr>
              <w:spacing w:before="15"/>
              <w:ind w:left="102" w:right="359"/>
              <w:rPr>
                <w:rFonts w:eastAsia="Arial Narrow"/>
              </w:rPr>
            </w:pPr>
            <w:r w:rsidRPr="00233877">
              <w:rPr>
                <w:rFonts w:eastAsia="Arial Narrow"/>
                <w:spacing w:val="-1"/>
              </w:rPr>
              <w:t>A</w:t>
            </w:r>
            <w:r w:rsidRPr="00233877">
              <w:rPr>
                <w:rFonts w:eastAsia="Arial Narrow"/>
              </w:rPr>
              <w:t>ll</w:t>
            </w:r>
            <w:r w:rsidRPr="00233877">
              <w:rPr>
                <w:rFonts w:eastAsia="Arial Narrow"/>
                <w:spacing w:val="-2"/>
              </w:rPr>
              <w:t xml:space="preserve"> </w:t>
            </w:r>
            <w:r w:rsidRPr="00233877">
              <w:rPr>
                <w:rFonts w:eastAsia="Arial Narrow"/>
              </w:rPr>
              <w:t>no</w:t>
            </w:r>
            <w:r w:rsidRPr="00233877">
              <w:rPr>
                <w:rFonts w:eastAsia="Arial Narrow"/>
                <w:spacing w:val="1"/>
              </w:rPr>
              <w:t>n-r</w:t>
            </w:r>
            <w:r w:rsidRPr="00233877">
              <w:rPr>
                <w:rFonts w:eastAsia="Arial Narrow"/>
              </w:rPr>
              <w:t>espo</w:t>
            </w:r>
            <w:r w:rsidRPr="00233877">
              <w:rPr>
                <w:rFonts w:eastAsia="Arial Narrow"/>
                <w:spacing w:val="1"/>
              </w:rPr>
              <w:t>n</w:t>
            </w:r>
            <w:r w:rsidRPr="00233877">
              <w:rPr>
                <w:rFonts w:eastAsia="Arial Narrow"/>
              </w:rPr>
              <w:t>ding p</w:t>
            </w:r>
            <w:r w:rsidRPr="00233877">
              <w:rPr>
                <w:rFonts w:eastAsia="Arial Narrow"/>
                <w:spacing w:val="1"/>
              </w:rPr>
              <w:t>h</w:t>
            </w:r>
            <w:r w:rsidRPr="00233877">
              <w:rPr>
                <w:rFonts w:eastAsia="Arial Narrow"/>
              </w:rPr>
              <w:t>ysic</w:t>
            </w:r>
            <w:r w:rsidRPr="00233877">
              <w:rPr>
                <w:rFonts w:eastAsia="Arial Narrow"/>
                <w:spacing w:val="-1"/>
              </w:rPr>
              <w:t>i</w:t>
            </w:r>
            <w:r w:rsidRPr="00233877">
              <w:rPr>
                <w:rFonts w:eastAsia="Arial Narrow"/>
              </w:rPr>
              <w:t>a</w:t>
            </w:r>
            <w:r w:rsidRPr="00233877">
              <w:rPr>
                <w:rFonts w:eastAsia="Arial Narrow"/>
                <w:spacing w:val="1"/>
              </w:rPr>
              <w:t>n</w:t>
            </w:r>
            <w:r w:rsidRPr="00233877">
              <w:rPr>
                <w:rFonts w:eastAsia="Arial Narrow"/>
              </w:rPr>
              <w:t>s</w:t>
            </w:r>
          </w:p>
        </w:tc>
        <w:tc>
          <w:tcPr>
            <w:tcW w:w="1005" w:type="dxa"/>
          </w:tcPr>
          <w:p w14:paraId="1A3F9D07" w14:textId="77777777" w:rsidR="00CA6933" w:rsidRPr="00233877" w:rsidRDefault="00CA6933" w:rsidP="00E4366D">
            <w:pPr>
              <w:spacing w:before="17"/>
              <w:ind w:left="100" w:right="-20"/>
              <w:rPr>
                <w:rFonts w:eastAsia="Arial Narrow"/>
              </w:rPr>
            </w:pPr>
            <w:r w:rsidRPr="00233877">
              <w:rPr>
                <w:rFonts w:eastAsia="Arial Narrow"/>
              </w:rPr>
              <w:t>Day</w:t>
            </w:r>
            <w:r w:rsidRPr="00233877">
              <w:rPr>
                <w:rFonts w:eastAsia="Arial Narrow"/>
                <w:spacing w:val="-3"/>
              </w:rPr>
              <w:t xml:space="preserve"> </w:t>
            </w:r>
            <w:r w:rsidRPr="00233877">
              <w:rPr>
                <w:rFonts w:eastAsia="Arial Narrow"/>
              </w:rPr>
              <w:t>28</w:t>
            </w:r>
          </w:p>
        </w:tc>
      </w:tr>
      <w:tr w:rsidR="00CA6933" w:rsidRPr="00233877" w14:paraId="367B97C2" w14:textId="77777777" w:rsidTr="00E4366D">
        <w:trPr>
          <w:trHeight w:hRule="exact" w:val="1207"/>
        </w:trPr>
        <w:tc>
          <w:tcPr>
            <w:tcW w:w="2268" w:type="dxa"/>
          </w:tcPr>
          <w:p w14:paraId="2F45180B" w14:textId="77777777" w:rsidR="00CA6933" w:rsidRPr="00233877" w:rsidRDefault="00CA6933" w:rsidP="00E4366D">
            <w:pPr>
              <w:spacing w:before="15"/>
              <w:ind w:left="102" w:right="132"/>
              <w:rPr>
                <w:rFonts w:eastAsia="Arial Narrow"/>
              </w:rPr>
            </w:pPr>
            <w:r w:rsidRPr="00233877">
              <w:rPr>
                <w:rFonts w:eastAsia="Arial Narrow"/>
                <w:b/>
                <w:bCs/>
              </w:rPr>
              <w:t>I</w:t>
            </w:r>
            <w:r w:rsidRPr="00233877">
              <w:rPr>
                <w:rFonts w:eastAsia="Arial Narrow"/>
                <w:b/>
                <w:bCs/>
                <w:spacing w:val="1"/>
              </w:rPr>
              <w:t>n</w:t>
            </w:r>
            <w:r w:rsidRPr="00233877">
              <w:rPr>
                <w:rFonts w:eastAsia="Arial Narrow"/>
                <w:b/>
                <w:bCs/>
              </w:rPr>
              <w:t>vi</w:t>
            </w:r>
            <w:r w:rsidRPr="00233877">
              <w:rPr>
                <w:rFonts w:eastAsia="Arial Narrow"/>
                <w:b/>
                <w:bCs/>
                <w:spacing w:val="1"/>
              </w:rPr>
              <w:t>t</w:t>
            </w:r>
            <w:r w:rsidRPr="00233877">
              <w:rPr>
                <w:rFonts w:eastAsia="Arial Narrow"/>
                <w:b/>
                <w:bCs/>
              </w:rPr>
              <w:t>a</w:t>
            </w:r>
            <w:r w:rsidRPr="00233877">
              <w:rPr>
                <w:rFonts w:eastAsia="Arial Narrow"/>
                <w:b/>
                <w:bCs/>
                <w:spacing w:val="1"/>
              </w:rPr>
              <w:t>t</w:t>
            </w:r>
            <w:r w:rsidRPr="00233877">
              <w:rPr>
                <w:rFonts w:eastAsia="Arial Narrow"/>
                <w:b/>
                <w:bCs/>
              </w:rPr>
              <w:t>i</w:t>
            </w:r>
            <w:r w:rsidRPr="00233877">
              <w:rPr>
                <w:rFonts w:eastAsia="Arial Narrow"/>
                <w:b/>
                <w:bCs/>
                <w:spacing w:val="-1"/>
              </w:rPr>
              <w:t>o</w:t>
            </w:r>
            <w:r w:rsidRPr="00233877">
              <w:rPr>
                <w:rFonts w:eastAsia="Arial Narrow"/>
                <w:b/>
                <w:bCs/>
              </w:rPr>
              <w:t>n</w:t>
            </w:r>
            <w:r w:rsidRPr="00233877">
              <w:rPr>
                <w:rFonts w:eastAsia="Arial Narrow"/>
                <w:b/>
                <w:bCs/>
                <w:spacing w:val="-6"/>
              </w:rPr>
              <w:t xml:space="preserve"> </w:t>
            </w:r>
            <w:r>
              <w:rPr>
                <w:rFonts w:eastAsia="Arial Narrow"/>
                <w:b/>
                <w:bCs/>
              </w:rPr>
              <w:t>for web survey 1 (Attachment 8)</w:t>
            </w:r>
          </w:p>
        </w:tc>
        <w:tc>
          <w:tcPr>
            <w:tcW w:w="4753" w:type="dxa"/>
          </w:tcPr>
          <w:p w14:paraId="08B81C1E" w14:textId="77777777" w:rsidR="00CA6933" w:rsidRPr="00233877" w:rsidRDefault="00CA6933" w:rsidP="00B8091B">
            <w:pPr>
              <w:spacing w:before="15"/>
              <w:ind w:left="102" w:right="88"/>
              <w:rPr>
                <w:rFonts w:eastAsia="Arial Narrow"/>
              </w:rPr>
            </w:pPr>
            <w:r>
              <w:t>1</w:t>
            </w:r>
            <w:r>
              <w:rPr>
                <w:spacing w:val="1"/>
              </w:rPr>
              <w:t>-</w:t>
            </w:r>
            <w:r>
              <w:t>p</w:t>
            </w:r>
            <w:r>
              <w:rPr>
                <w:spacing w:val="1"/>
              </w:rPr>
              <w:t>a</w:t>
            </w:r>
            <w:r>
              <w:t>ge</w:t>
            </w:r>
            <w:r>
              <w:rPr>
                <w:spacing w:val="-5"/>
              </w:rPr>
              <w:t xml:space="preserve"> </w:t>
            </w:r>
            <w:r>
              <w:t>invitation</w:t>
            </w:r>
            <w:r>
              <w:rPr>
                <w:spacing w:val="-6"/>
              </w:rPr>
              <w:t xml:space="preserve"> </w:t>
            </w:r>
            <w:r>
              <w:rPr>
                <w:spacing w:val="-3"/>
              </w:rPr>
              <w:t xml:space="preserve">to complete a web survey. Letter will </w:t>
            </w:r>
            <w:r>
              <w:t>co</w:t>
            </w:r>
            <w:r>
              <w:rPr>
                <w:spacing w:val="1"/>
              </w:rPr>
              <w:t>n</w:t>
            </w:r>
            <w:r>
              <w:t>tain</w:t>
            </w:r>
            <w:r>
              <w:rPr>
                <w:spacing w:val="-7"/>
              </w:rPr>
              <w:t xml:space="preserve"> </w:t>
            </w:r>
            <w:r>
              <w:t>the</w:t>
            </w:r>
            <w:r>
              <w:rPr>
                <w:spacing w:val="-1"/>
              </w:rPr>
              <w:t xml:space="preserve"> </w:t>
            </w:r>
            <w:r>
              <w:t>URL</w:t>
            </w:r>
            <w:r>
              <w:rPr>
                <w:spacing w:val="-3"/>
              </w:rPr>
              <w:t xml:space="preserve"> </w:t>
            </w:r>
            <w:r>
              <w:t>a</w:t>
            </w:r>
            <w:r>
              <w:rPr>
                <w:spacing w:val="1"/>
              </w:rPr>
              <w:t>n</w:t>
            </w:r>
            <w:r>
              <w:t>d</w:t>
            </w:r>
            <w:r>
              <w:rPr>
                <w:spacing w:val="-3"/>
              </w:rPr>
              <w:t xml:space="preserve"> </w:t>
            </w:r>
            <w:r>
              <w:t>a QR</w:t>
            </w:r>
            <w:r>
              <w:rPr>
                <w:spacing w:val="-2"/>
              </w:rPr>
              <w:t xml:space="preserve"> </w:t>
            </w:r>
            <w:r>
              <w:t>co</w:t>
            </w:r>
            <w:r>
              <w:rPr>
                <w:spacing w:val="1"/>
              </w:rPr>
              <w:t>d</w:t>
            </w:r>
            <w:r>
              <w:t>e</w:t>
            </w:r>
            <w:r w:rsidR="00B8091B">
              <w:t>.</w:t>
            </w:r>
          </w:p>
        </w:tc>
        <w:tc>
          <w:tcPr>
            <w:tcW w:w="1892" w:type="dxa"/>
          </w:tcPr>
          <w:p w14:paraId="1A1B4E44" w14:textId="77777777" w:rsidR="00CA6933" w:rsidRPr="00233877" w:rsidRDefault="00CA6933" w:rsidP="00E4366D">
            <w:pPr>
              <w:spacing w:before="15"/>
              <w:ind w:left="102" w:right="359"/>
              <w:rPr>
                <w:rFonts w:eastAsia="Arial Narrow"/>
              </w:rPr>
            </w:pPr>
            <w:r w:rsidRPr="00233877">
              <w:rPr>
                <w:rFonts w:eastAsia="Arial Narrow"/>
                <w:spacing w:val="-1"/>
              </w:rPr>
              <w:t>A</w:t>
            </w:r>
            <w:r w:rsidRPr="00233877">
              <w:rPr>
                <w:rFonts w:eastAsia="Arial Narrow"/>
              </w:rPr>
              <w:t>ll</w:t>
            </w:r>
            <w:r w:rsidRPr="00233877">
              <w:rPr>
                <w:rFonts w:eastAsia="Arial Narrow"/>
                <w:spacing w:val="-2"/>
              </w:rPr>
              <w:t xml:space="preserve"> </w:t>
            </w:r>
            <w:r w:rsidRPr="00233877">
              <w:rPr>
                <w:rFonts w:eastAsia="Arial Narrow"/>
              </w:rPr>
              <w:t>no</w:t>
            </w:r>
            <w:r w:rsidRPr="00233877">
              <w:rPr>
                <w:rFonts w:eastAsia="Arial Narrow"/>
                <w:spacing w:val="1"/>
              </w:rPr>
              <w:t>n-r</w:t>
            </w:r>
            <w:r w:rsidRPr="00233877">
              <w:rPr>
                <w:rFonts w:eastAsia="Arial Narrow"/>
              </w:rPr>
              <w:t>espo</w:t>
            </w:r>
            <w:r w:rsidRPr="00233877">
              <w:rPr>
                <w:rFonts w:eastAsia="Arial Narrow"/>
                <w:spacing w:val="1"/>
              </w:rPr>
              <w:t>n</w:t>
            </w:r>
            <w:r w:rsidRPr="00233877">
              <w:rPr>
                <w:rFonts w:eastAsia="Arial Narrow"/>
              </w:rPr>
              <w:t>ding p</w:t>
            </w:r>
            <w:r w:rsidRPr="00233877">
              <w:rPr>
                <w:rFonts w:eastAsia="Arial Narrow"/>
                <w:spacing w:val="1"/>
              </w:rPr>
              <w:t>h</w:t>
            </w:r>
            <w:r w:rsidRPr="00233877">
              <w:rPr>
                <w:rFonts w:eastAsia="Arial Narrow"/>
              </w:rPr>
              <w:t>ysic</w:t>
            </w:r>
            <w:r w:rsidRPr="00233877">
              <w:rPr>
                <w:rFonts w:eastAsia="Arial Narrow"/>
                <w:spacing w:val="-1"/>
              </w:rPr>
              <w:t>i</w:t>
            </w:r>
            <w:r w:rsidRPr="00233877">
              <w:rPr>
                <w:rFonts w:eastAsia="Arial Narrow"/>
              </w:rPr>
              <w:t>a</w:t>
            </w:r>
            <w:r w:rsidRPr="00233877">
              <w:rPr>
                <w:rFonts w:eastAsia="Arial Narrow"/>
                <w:spacing w:val="1"/>
              </w:rPr>
              <w:t>n</w:t>
            </w:r>
            <w:r w:rsidRPr="00233877">
              <w:rPr>
                <w:rFonts w:eastAsia="Arial Narrow"/>
              </w:rPr>
              <w:t>s</w:t>
            </w:r>
          </w:p>
        </w:tc>
        <w:tc>
          <w:tcPr>
            <w:tcW w:w="1005" w:type="dxa"/>
          </w:tcPr>
          <w:p w14:paraId="2496565B" w14:textId="77777777" w:rsidR="00CA6933" w:rsidRPr="00233877" w:rsidRDefault="00CA6933" w:rsidP="00E4366D">
            <w:pPr>
              <w:spacing w:before="18"/>
              <w:ind w:left="100" w:right="-20"/>
              <w:rPr>
                <w:rFonts w:eastAsia="Arial Narrow"/>
              </w:rPr>
            </w:pPr>
            <w:r w:rsidRPr="00233877">
              <w:rPr>
                <w:rFonts w:eastAsia="Arial Narrow"/>
              </w:rPr>
              <w:t>Day</w:t>
            </w:r>
            <w:r w:rsidRPr="00233877">
              <w:rPr>
                <w:rFonts w:eastAsia="Arial Narrow"/>
                <w:spacing w:val="-3"/>
              </w:rPr>
              <w:t xml:space="preserve"> </w:t>
            </w:r>
            <w:r w:rsidRPr="00233877">
              <w:rPr>
                <w:rFonts w:eastAsia="Arial Narrow"/>
              </w:rPr>
              <w:t>42</w:t>
            </w:r>
          </w:p>
        </w:tc>
      </w:tr>
      <w:tr w:rsidR="00CA6933" w:rsidRPr="00233877" w14:paraId="762450D0" w14:textId="77777777" w:rsidTr="00E4366D">
        <w:trPr>
          <w:trHeight w:hRule="exact" w:val="1153"/>
        </w:trPr>
        <w:tc>
          <w:tcPr>
            <w:tcW w:w="2268" w:type="dxa"/>
          </w:tcPr>
          <w:p w14:paraId="3E79B7E1" w14:textId="77777777" w:rsidR="00CA6933" w:rsidRPr="00233877" w:rsidRDefault="00CA6933" w:rsidP="00E4366D">
            <w:pPr>
              <w:spacing w:before="13"/>
              <w:ind w:left="102" w:right="132"/>
              <w:rPr>
                <w:rFonts w:eastAsia="Arial Narrow"/>
              </w:rPr>
            </w:pPr>
            <w:r w:rsidRPr="00233877">
              <w:rPr>
                <w:rFonts w:eastAsia="Arial Narrow"/>
                <w:b/>
                <w:bCs/>
              </w:rPr>
              <w:t>I</w:t>
            </w:r>
            <w:r w:rsidRPr="00233877">
              <w:rPr>
                <w:rFonts w:eastAsia="Arial Narrow"/>
                <w:b/>
                <w:bCs/>
                <w:spacing w:val="1"/>
              </w:rPr>
              <w:t>n</w:t>
            </w:r>
            <w:r w:rsidRPr="00233877">
              <w:rPr>
                <w:rFonts w:eastAsia="Arial Narrow"/>
                <w:b/>
                <w:bCs/>
              </w:rPr>
              <w:t>vi</w:t>
            </w:r>
            <w:r w:rsidRPr="00233877">
              <w:rPr>
                <w:rFonts w:eastAsia="Arial Narrow"/>
                <w:b/>
                <w:bCs/>
                <w:spacing w:val="1"/>
              </w:rPr>
              <w:t>t</w:t>
            </w:r>
            <w:r w:rsidRPr="00233877">
              <w:rPr>
                <w:rFonts w:eastAsia="Arial Narrow"/>
                <w:b/>
                <w:bCs/>
              </w:rPr>
              <w:t>a</w:t>
            </w:r>
            <w:r w:rsidRPr="00233877">
              <w:rPr>
                <w:rFonts w:eastAsia="Arial Narrow"/>
                <w:b/>
                <w:bCs/>
                <w:spacing w:val="1"/>
              </w:rPr>
              <w:t>t</w:t>
            </w:r>
            <w:r w:rsidRPr="00233877">
              <w:rPr>
                <w:rFonts w:eastAsia="Arial Narrow"/>
                <w:b/>
                <w:bCs/>
              </w:rPr>
              <w:t>i</w:t>
            </w:r>
            <w:r w:rsidRPr="00233877">
              <w:rPr>
                <w:rFonts w:eastAsia="Arial Narrow"/>
                <w:b/>
                <w:bCs/>
                <w:spacing w:val="-1"/>
              </w:rPr>
              <w:t>o</w:t>
            </w:r>
            <w:r w:rsidRPr="00233877">
              <w:rPr>
                <w:rFonts w:eastAsia="Arial Narrow"/>
                <w:b/>
                <w:bCs/>
              </w:rPr>
              <w:t>n</w:t>
            </w:r>
            <w:r>
              <w:rPr>
                <w:rFonts w:eastAsia="Arial Narrow"/>
                <w:b/>
                <w:bCs/>
              </w:rPr>
              <w:t xml:space="preserve"> for web survey </w:t>
            </w:r>
            <w:r w:rsidRPr="00233877">
              <w:rPr>
                <w:rFonts w:eastAsia="Arial Narrow"/>
                <w:b/>
                <w:bCs/>
                <w:spacing w:val="-6"/>
              </w:rPr>
              <w:t xml:space="preserve"> </w:t>
            </w:r>
            <w:r w:rsidRPr="00233877">
              <w:rPr>
                <w:rFonts w:eastAsia="Arial Narrow"/>
                <w:b/>
                <w:bCs/>
              </w:rPr>
              <w:t>2</w:t>
            </w:r>
            <w:r>
              <w:rPr>
                <w:rFonts w:eastAsia="Arial Narrow"/>
                <w:b/>
                <w:bCs/>
              </w:rPr>
              <w:t xml:space="preserve"> (Attachment 9)</w:t>
            </w:r>
          </w:p>
        </w:tc>
        <w:tc>
          <w:tcPr>
            <w:tcW w:w="4753" w:type="dxa"/>
          </w:tcPr>
          <w:p w14:paraId="5E901ABD" w14:textId="77777777" w:rsidR="00CA6933" w:rsidRPr="00233877" w:rsidRDefault="00CA6933" w:rsidP="00B8091B">
            <w:pPr>
              <w:spacing w:before="13"/>
              <w:ind w:left="102" w:right="88"/>
              <w:rPr>
                <w:rFonts w:eastAsia="Arial Narrow"/>
              </w:rPr>
            </w:pPr>
            <w:r>
              <w:t>1</w:t>
            </w:r>
            <w:r>
              <w:rPr>
                <w:spacing w:val="1"/>
              </w:rPr>
              <w:t>-</w:t>
            </w:r>
            <w:r>
              <w:t>p</w:t>
            </w:r>
            <w:r>
              <w:rPr>
                <w:spacing w:val="1"/>
              </w:rPr>
              <w:t>a</w:t>
            </w:r>
            <w:r>
              <w:t>ge</w:t>
            </w:r>
            <w:r>
              <w:rPr>
                <w:spacing w:val="-5"/>
              </w:rPr>
              <w:t xml:space="preserve"> </w:t>
            </w:r>
            <w:r>
              <w:t>reminder</w:t>
            </w:r>
            <w:r>
              <w:rPr>
                <w:spacing w:val="-6"/>
              </w:rPr>
              <w:t xml:space="preserve"> </w:t>
            </w:r>
            <w:r>
              <w:rPr>
                <w:spacing w:val="-3"/>
              </w:rPr>
              <w:t xml:space="preserve">to complete the web survey. Letter will </w:t>
            </w:r>
            <w:r>
              <w:t>co</w:t>
            </w:r>
            <w:r>
              <w:rPr>
                <w:spacing w:val="1"/>
              </w:rPr>
              <w:t>n</w:t>
            </w:r>
            <w:r>
              <w:t>tain</w:t>
            </w:r>
            <w:r>
              <w:rPr>
                <w:spacing w:val="-7"/>
              </w:rPr>
              <w:t xml:space="preserve"> </w:t>
            </w:r>
            <w:r>
              <w:t>the</w:t>
            </w:r>
            <w:r>
              <w:rPr>
                <w:spacing w:val="-1"/>
              </w:rPr>
              <w:t xml:space="preserve"> </w:t>
            </w:r>
            <w:r>
              <w:t>URL</w:t>
            </w:r>
            <w:r>
              <w:rPr>
                <w:spacing w:val="-3"/>
              </w:rPr>
              <w:t xml:space="preserve"> </w:t>
            </w:r>
            <w:r>
              <w:t>a</w:t>
            </w:r>
            <w:r>
              <w:rPr>
                <w:spacing w:val="1"/>
              </w:rPr>
              <w:t>n</w:t>
            </w:r>
            <w:r>
              <w:t>d</w:t>
            </w:r>
            <w:r>
              <w:rPr>
                <w:spacing w:val="-3"/>
              </w:rPr>
              <w:t xml:space="preserve"> </w:t>
            </w:r>
            <w:r>
              <w:t>a QR</w:t>
            </w:r>
            <w:r>
              <w:rPr>
                <w:spacing w:val="-2"/>
              </w:rPr>
              <w:t xml:space="preserve"> </w:t>
            </w:r>
            <w:r>
              <w:t>co</w:t>
            </w:r>
            <w:r>
              <w:rPr>
                <w:spacing w:val="1"/>
              </w:rPr>
              <w:t>d</w:t>
            </w:r>
            <w:r>
              <w:t>e</w:t>
            </w:r>
            <w:r w:rsidR="00B8091B">
              <w:t>.</w:t>
            </w:r>
          </w:p>
        </w:tc>
        <w:tc>
          <w:tcPr>
            <w:tcW w:w="1892" w:type="dxa"/>
          </w:tcPr>
          <w:p w14:paraId="595EA2FE" w14:textId="77777777" w:rsidR="00CA6933" w:rsidRPr="00233877" w:rsidRDefault="00CA6933" w:rsidP="00E4366D">
            <w:pPr>
              <w:spacing w:before="13"/>
              <w:ind w:left="102" w:right="359"/>
              <w:rPr>
                <w:rFonts w:eastAsia="Arial Narrow"/>
              </w:rPr>
            </w:pPr>
            <w:r w:rsidRPr="00233877">
              <w:rPr>
                <w:rFonts w:eastAsia="Arial Narrow"/>
                <w:spacing w:val="-1"/>
              </w:rPr>
              <w:t>A</w:t>
            </w:r>
            <w:r w:rsidRPr="00233877">
              <w:rPr>
                <w:rFonts w:eastAsia="Arial Narrow"/>
              </w:rPr>
              <w:t>ll</w:t>
            </w:r>
            <w:r w:rsidRPr="00233877">
              <w:rPr>
                <w:rFonts w:eastAsia="Arial Narrow"/>
                <w:spacing w:val="-2"/>
              </w:rPr>
              <w:t xml:space="preserve"> </w:t>
            </w:r>
            <w:r w:rsidRPr="00233877">
              <w:rPr>
                <w:rFonts w:eastAsia="Arial Narrow"/>
              </w:rPr>
              <w:t>no</w:t>
            </w:r>
            <w:r w:rsidRPr="00233877">
              <w:rPr>
                <w:rFonts w:eastAsia="Arial Narrow"/>
                <w:spacing w:val="1"/>
              </w:rPr>
              <w:t>n-r</w:t>
            </w:r>
            <w:r w:rsidRPr="00233877">
              <w:rPr>
                <w:rFonts w:eastAsia="Arial Narrow"/>
              </w:rPr>
              <w:t>espo</w:t>
            </w:r>
            <w:r w:rsidRPr="00233877">
              <w:rPr>
                <w:rFonts w:eastAsia="Arial Narrow"/>
                <w:spacing w:val="1"/>
              </w:rPr>
              <w:t>n</w:t>
            </w:r>
            <w:r w:rsidRPr="00233877">
              <w:rPr>
                <w:rFonts w:eastAsia="Arial Narrow"/>
              </w:rPr>
              <w:t>ding p</w:t>
            </w:r>
            <w:r w:rsidRPr="00233877">
              <w:rPr>
                <w:rFonts w:eastAsia="Arial Narrow"/>
                <w:spacing w:val="1"/>
              </w:rPr>
              <w:t>h</w:t>
            </w:r>
            <w:r w:rsidRPr="00233877">
              <w:rPr>
                <w:rFonts w:eastAsia="Arial Narrow"/>
              </w:rPr>
              <w:t>ysic</w:t>
            </w:r>
            <w:r w:rsidRPr="00233877">
              <w:rPr>
                <w:rFonts w:eastAsia="Arial Narrow"/>
                <w:spacing w:val="-1"/>
              </w:rPr>
              <w:t>i</w:t>
            </w:r>
            <w:r w:rsidRPr="00233877">
              <w:rPr>
                <w:rFonts w:eastAsia="Arial Narrow"/>
              </w:rPr>
              <w:t>a</w:t>
            </w:r>
            <w:r w:rsidRPr="00233877">
              <w:rPr>
                <w:rFonts w:eastAsia="Arial Narrow"/>
                <w:spacing w:val="1"/>
              </w:rPr>
              <w:t>n</w:t>
            </w:r>
            <w:r w:rsidRPr="00233877">
              <w:rPr>
                <w:rFonts w:eastAsia="Arial Narrow"/>
              </w:rPr>
              <w:t>s</w:t>
            </w:r>
          </w:p>
        </w:tc>
        <w:tc>
          <w:tcPr>
            <w:tcW w:w="1005" w:type="dxa"/>
          </w:tcPr>
          <w:p w14:paraId="1E9FDE6A" w14:textId="77777777" w:rsidR="00CA6933" w:rsidRPr="00233877" w:rsidRDefault="00CA6933" w:rsidP="00E4366D">
            <w:pPr>
              <w:spacing w:before="15"/>
              <w:ind w:left="100" w:right="-20"/>
              <w:rPr>
                <w:rFonts w:eastAsia="Arial Narrow"/>
              </w:rPr>
            </w:pPr>
            <w:r w:rsidRPr="00233877">
              <w:rPr>
                <w:rFonts w:eastAsia="Arial Narrow"/>
              </w:rPr>
              <w:t>Day</w:t>
            </w:r>
            <w:r w:rsidRPr="00233877">
              <w:rPr>
                <w:rFonts w:eastAsia="Arial Narrow"/>
                <w:spacing w:val="-3"/>
              </w:rPr>
              <w:t xml:space="preserve"> </w:t>
            </w:r>
            <w:r w:rsidRPr="00233877">
              <w:rPr>
                <w:rFonts w:eastAsia="Arial Narrow"/>
              </w:rPr>
              <w:t>56</w:t>
            </w:r>
          </w:p>
        </w:tc>
      </w:tr>
      <w:tr w:rsidR="00CA6933" w:rsidRPr="00233877" w14:paraId="3949354B" w14:textId="77777777" w:rsidTr="00BC025E">
        <w:trPr>
          <w:trHeight w:hRule="exact" w:val="1513"/>
        </w:trPr>
        <w:tc>
          <w:tcPr>
            <w:tcW w:w="2268" w:type="dxa"/>
          </w:tcPr>
          <w:p w14:paraId="6A3D2044" w14:textId="77777777" w:rsidR="00CA6933" w:rsidRPr="00233877" w:rsidRDefault="00CA6933" w:rsidP="00E4366D">
            <w:pPr>
              <w:spacing w:before="13"/>
              <w:ind w:left="102" w:right="132"/>
              <w:rPr>
                <w:rFonts w:eastAsia="Arial Narrow"/>
                <w:b/>
                <w:bCs/>
              </w:rPr>
            </w:pPr>
            <w:r>
              <w:rPr>
                <w:rFonts w:eastAsia="Arial Narrow"/>
                <w:b/>
                <w:bCs/>
              </w:rPr>
              <w:t>Thank you letter (Attachment 10)</w:t>
            </w:r>
          </w:p>
        </w:tc>
        <w:tc>
          <w:tcPr>
            <w:tcW w:w="4753" w:type="dxa"/>
          </w:tcPr>
          <w:p w14:paraId="460BAF56" w14:textId="77777777" w:rsidR="00CA6933" w:rsidRPr="00233877" w:rsidRDefault="00CA6933" w:rsidP="00BC025E">
            <w:pPr>
              <w:spacing w:before="13"/>
              <w:ind w:left="102" w:right="88"/>
              <w:rPr>
                <w:rFonts w:eastAsia="Arial Narrow"/>
              </w:rPr>
            </w:pPr>
            <w:r>
              <w:rPr>
                <w:rFonts w:eastAsia="Arial Narrow"/>
              </w:rPr>
              <w:t>$40 token of appreciation after completion of mail or web survey.</w:t>
            </w:r>
          </w:p>
        </w:tc>
        <w:tc>
          <w:tcPr>
            <w:tcW w:w="1892" w:type="dxa"/>
          </w:tcPr>
          <w:p w14:paraId="49525FE4" w14:textId="77777777" w:rsidR="00CA6933" w:rsidRPr="00233877" w:rsidRDefault="00CA6933" w:rsidP="00E4366D">
            <w:pPr>
              <w:spacing w:before="13"/>
              <w:ind w:left="102" w:right="359"/>
              <w:rPr>
                <w:rFonts w:eastAsia="Arial Narrow"/>
                <w:spacing w:val="-1"/>
              </w:rPr>
            </w:pPr>
            <w:r>
              <w:rPr>
                <w:rFonts w:eastAsia="Arial Narrow"/>
                <w:spacing w:val="-1"/>
              </w:rPr>
              <w:t>All physicians completing mail or web survey</w:t>
            </w:r>
          </w:p>
        </w:tc>
        <w:tc>
          <w:tcPr>
            <w:tcW w:w="1005" w:type="dxa"/>
          </w:tcPr>
          <w:p w14:paraId="78358C03" w14:textId="77777777" w:rsidR="00CA6933" w:rsidRPr="00233877" w:rsidRDefault="00CA6933" w:rsidP="00E4366D">
            <w:pPr>
              <w:spacing w:before="15"/>
              <w:ind w:left="100" w:right="-20"/>
              <w:rPr>
                <w:rFonts w:eastAsia="Arial Narrow"/>
              </w:rPr>
            </w:pPr>
          </w:p>
        </w:tc>
      </w:tr>
    </w:tbl>
    <w:p w14:paraId="488E4ECB" w14:textId="77777777" w:rsidR="00CA6933" w:rsidRDefault="00CA6933" w:rsidP="00CA6933"/>
    <w:p w14:paraId="1671A5B4" w14:textId="77777777" w:rsidR="008317C0" w:rsidRPr="00233877" w:rsidRDefault="008317C0" w:rsidP="00C92200"/>
    <w:p w14:paraId="20EEA9B5" w14:textId="77777777" w:rsidR="007A5B91" w:rsidRPr="00233877" w:rsidRDefault="007A5B91" w:rsidP="00A17E6C">
      <w:pPr>
        <w:pStyle w:val="Heading1"/>
      </w:pPr>
      <w:bookmarkStart w:id="6" w:name="_Toc457409141"/>
      <w:bookmarkStart w:id="7" w:name="_Toc462298373"/>
      <w:r>
        <w:t>A.3</w:t>
      </w:r>
      <w:r>
        <w:tab/>
      </w:r>
      <w:r w:rsidRPr="00233877">
        <w:t>Use of Improved Information Technology and Burden Reduction</w:t>
      </w:r>
      <w:bookmarkEnd w:id="6"/>
      <w:bookmarkEnd w:id="7"/>
    </w:p>
    <w:p w14:paraId="7EF14AE2" w14:textId="77777777" w:rsidR="007A5B91" w:rsidRDefault="007A5B91" w:rsidP="001B0F23">
      <w:r w:rsidRPr="00233877">
        <w:t>Surveys of providers are known to be challenging for several reasons.</w:t>
      </w:r>
      <w:bookmarkStart w:id="8" w:name="_Ref456879406"/>
      <w:r w:rsidRPr="00233877">
        <w:rPr>
          <w:rStyle w:val="EndnoteReference"/>
        </w:rPr>
        <w:endnoteReference w:id="8"/>
      </w:r>
      <w:bookmarkEnd w:id="8"/>
      <w:r w:rsidRPr="00233877">
        <w:rPr>
          <w:vertAlign w:val="superscript"/>
        </w:rPr>
        <w:t>,</w:t>
      </w:r>
      <w:bookmarkStart w:id="9" w:name="_Ref456879121"/>
      <w:r w:rsidRPr="00233877">
        <w:rPr>
          <w:rStyle w:val="EndnoteReference"/>
        </w:rPr>
        <w:endnoteReference w:id="9"/>
      </w:r>
      <w:bookmarkEnd w:id="9"/>
      <w:r w:rsidRPr="00233877">
        <w:rPr>
          <w:vertAlign w:val="superscript"/>
        </w:rPr>
        <w:t>,</w:t>
      </w:r>
      <w:bookmarkStart w:id="10" w:name="_Ref456872973"/>
      <w:r w:rsidRPr="00233877">
        <w:rPr>
          <w:rStyle w:val="EndnoteReference"/>
        </w:rPr>
        <w:endnoteReference w:id="10"/>
      </w:r>
      <w:bookmarkEnd w:id="10"/>
      <w:r w:rsidRPr="00233877">
        <w:rPr>
          <w:vertAlign w:val="superscript"/>
        </w:rPr>
        <w:t>,</w:t>
      </w:r>
      <w:bookmarkStart w:id="11" w:name="_Ref456879127"/>
      <w:r w:rsidRPr="00233877">
        <w:rPr>
          <w:rStyle w:val="EndnoteReference"/>
        </w:rPr>
        <w:endnoteReference w:id="11"/>
      </w:r>
      <w:bookmarkEnd w:id="11"/>
      <w:r w:rsidRPr="00233877">
        <w:t xml:space="preserve"> First, physicians are a highly specialized group of individuals frequently solicited to participate in surveys. Second, their demanding work schedules negatively impact survey participation rates. Third, any forms of communication with physicians are typically filtered by receptionists, administrative assistants, or other “gatekeepers”— making it difficult to contact the physician directly. </w:t>
      </w:r>
    </w:p>
    <w:p w14:paraId="09D2C0E8" w14:textId="77777777" w:rsidR="00375E00" w:rsidRDefault="007A5B91" w:rsidP="001B0F23">
      <w:r w:rsidRPr="00233877">
        <w:t xml:space="preserve">To address these barriers, we will </w:t>
      </w:r>
      <w:r>
        <w:t xml:space="preserve">use several strategies.  First, we will </w:t>
      </w:r>
      <w:r w:rsidRPr="00233877">
        <w:t xml:space="preserve">survey physicians using their preferred survey mode to increase </w:t>
      </w:r>
      <w:r>
        <w:t xml:space="preserve">the </w:t>
      </w:r>
      <w:r w:rsidRPr="00233877">
        <w:t xml:space="preserve">likelihood of participation. </w:t>
      </w:r>
      <w:r>
        <w:t xml:space="preserve"> </w:t>
      </w:r>
      <w:r w:rsidRPr="00233877">
        <w:t>Several studies have shown that mail surveys seem to be physicians’ preferred survey mode</w:t>
      </w:r>
      <w:r w:rsidRPr="00233877">
        <w:rPr>
          <w:vertAlign w:val="superscript"/>
        </w:rPr>
        <w:fldChar w:fldCharType="begin"/>
      </w:r>
      <w:r w:rsidRPr="00233877">
        <w:rPr>
          <w:vertAlign w:val="superscript"/>
        </w:rPr>
        <w:instrText xml:space="preserve"> NOTEREF _Ref456872973 \h  \* MERGEFORMAT </w:instrText>
      </w:r>
      <w:r w:rsidRPr="00233877">
        <w:rPr>
          <w:vertAlign w:val="superscript"/>
        </w:rPr>
      </w:r>
      <w:r w:rsidRPr="00233877">
        <w:rPr>
          <w:vertAlign w:val="superscript"/>
        </w:rPr>
        <w:fldChar w:fldCharType="separate"/>
      </w:r>
      <w:r>
        <w:rPr>
          <w:vertAlign w:val="superscript"/>
        </w:rPr>
        <w:t>9</w:t>
      </w:r>
      <w:r w:rsidRPr="00233877">
        <w:rPr>
          <w:vertAlign w:val="superscript"/>
        </w:rPr>
        <w:fldChar w:fldCharType="end"/>
      </w:r>
      <w:r w:rsidRPr="00233877">
        <w:rPr>
          <w:vertAlign w:val="superscript"/>
        </w:rPr>
        <w:t>,</w:t>
      </w:r>
      <w:bookmarkStart w:id="12" w:name="_Ref456964789"/>
      <w:r w:rsidRPr="00233877">
        <w:rPr>
          <w:rStyle w:val="EndnoteReference"/>
        </w:rPr>
        <w:endnoteReference w:id="12"/>
      </w:r>
      <w:bookmarkEnd w:id="12"/>
      <w:r w:rsidRPr="00233877">
        <w:rPr>
          <w:vertAlign w:val="superscript"/>
        </w:rPr>
        <w:t>,</w:t>
      </w:r>
      <w:bookmarkStart w:id="13" w:name="_Ref456964791"/>
      <w:r w:rsidRPr="00233877">
        <w:rPr>
          <w:rStyle w:val="EndnoteReference"/>
        </w:rPr>
        <w:endnoteReference w:id="13"/>
      </w:r>
      <w:bookmarkEnd w:id="13"/>
      <w:r w:rsidRPr="00233877">
        <w:t xml:space="preserve"> </w:t>
      </w:r>
      <w:r w:rsidR="00375E00" w:rsidRPr="00233877">
        <w:t xml:space="preserve">and that a multi-mode design encompassing an initial mailing of a self-administered questionnaire </w:t>
      </w:r>
      <w:r w:rsidR="0033236B">
        <w:t xml:space="preserve">(see </w:t>
      </w:r>
      <w:r w:rsidR="0033236B" w:rsidRPr="002B61C8">
        <w:rPr>
          <w:b/>
        </w:rPr>
        <w:t>Attachment 3 - Mailed Survey</w:t>
      </w:r>
      <w:r w:rsidR="0033236B">
        <w:t xml:space="preserve">) </w:t>
      </w:r>
      <w:r w:rsidR="00375E00" w:rsidRPr="00233877">
        <w:t>followed by a web survey</w:t>
      </w:r>
      <w:r w:rsidR="0033236B">
        <w:t xml:space="preserve"> (see </w:t>
      </w:r>
      <w:r w:rsidR="0033236B" w:rsidRPr="002B61C8">
        <w:rPr>
          <w:b/>
        </w:rPr>
        <w:t>Attachment 4 - Web Screen Shots</w:t>
      </w:r>
      <w:r w:rsidR="0033236B">
        <w:t>)</w:t>
      </w:r>
      <w:r w:rsidR="00375E00" w:rsidRPr="00233877">
        <w:t xml:space="preserve"> to non-respondents improves overall response rates.</w:t>
      </w:r>
      <w:r w:rsidR="00361EEC" w:rsidRPr="00233877">
        <w:rPr>
          <w:vertAlign w:val="superscript"/>
        </w:rPr>
        <w:fldChar w:fldCharType="begin"/>
      </w:r>
      <w:r w:rsidR="00361EEC" w:rsidRPr="00233877">
        <w:rPr>
          <w:vertAlign w:val="superscript"/>
        </w:rPr>
        <w:instrText xml:space="preserve"> NOTEREF _Ref456879121 \h  \* MERGEFORMAT </w:instrText>
      </w:r>
      <w:r w:rsidR="00361EEC" w:rsidRPr="00233877">
        <w:rPr>
          <w:vertAlign w:val="superscript"/>
        </w:rPr>
      </w:r>
      <w:r w:rsidR="00361EEC" w:rsidRPr="00233877">
        <w:rPr>
          <w:vertAlign w:val="superscript"/>
        </w:rPr>
        <w:fldChar w:fldCharType="separate"/>
      </w:r>
      <w:r w:rsidR="008951C0">
        <w:rPr>
          <w:vertAlign w:val="superscript"/>
        </w:rPr>
        <w:t>8</w:t>
      </w:r>
      <w:r w:rsidR="00361EEC" w:rsidRPr="00233877">
        <w:rPr>
          <w:vertAlign w:val="superscript"/>
        </w:rPr>
        <w:fldChar w:fldCharType="end"/>
      </w:r>
      <w:r w:rsidR="00361EEC" w:rsidRPr="00233877">
        <w:rPr>
          <w:vertAlign w:val="superscript"/>
        </w:rPr>
        <w:t>,</w:t>
      </w:r>
      <w:r w:rsidR="00361EEC" w:rsidRPr="00233877">
        <w:rPr>
          <w:vertAlign w:val="superscript"/>
        </w:rPr>
        <w:fldChar w:fldCharType="begin"/>
      </w:r>
      <w:r w:rsidR="00361EEC" w:rsidRPr="00233877">
        <w:rPr>
          <w:vertAlign w:val="superscript"/>
        </w:rPr>
        <w:instrText xml:space="preserve"> NOTEREF _Ref456879127 \h  \* MERGEFORMAT </w:instrText>
      </w:r>
      <w:r w:rsidR="00361EEC" w:rsidRPr="00233877">
        <w:rPr>
          <w:vertAlign w:val="superscript"/>
        </w:rPr>
      </w:r>
      <w:r w:rsidR="00361EEC" w:rsidRPr="00233877">
        <w:rPr>
          <w:vertAlign w:val="superscript"/>
        </w:rPr>
        <w:fldChar w:fldCharType="separate"/>
      </w:r>
      <w:r w:rsidR="008951C0">
        <w:rPr>
          <w:vertAlign w:val="superscript"/>
        </w:rPr>
        <w:t>10</w:t>
      </w:r>
      <w:r w:rsidR="00361EEC" w:rsidRPr="00233877">
        <w:rPr>
          <w:vertAlign w:val="superscript"/>
        </w:rPr>
        <w:fldChar w:fldCharType="end"/>
      </w:r>
      <w:r w:rsidR="00375E00" w:rsidRPr="00233877">
        <w:t xml:space="preserve"> For these reasons, we propose using </w:t>
      </w:r>
      <w:r w:rsidR="00CA6933">
        <w:t xml:space="preserve">the multimode design. </w:t>
      </w:r>
      <w:r w:rsidR="00362694">
        <w:t xml:space="preserve">We anticipate that 75% of physicians will respond to the mail survey for a total of 2,625 respondents to the mail survey and 875 respondents to the web survey. </w:t>
      </w:r>
      <w:r w:rsidR="00BC025E">
        <w:t xml:space="preserve">The mail survey takes 20 minutes and the web survey takes 32 minutes, on average. </w:t>
      </w:r>
    </w:p>
    <w:p w14:paraId="753F410C" w14:textId="77777777" w:rsidR="00A413AA" w:rsidRDefault="00A413AA" w:rsidP="00A413AA">
      <w:pPr>
        <w:spacing w:after="60"/>
      </w:pPr>
      <w:r>
        <w:t xml:space="preserve">Web data collection is 100% electronic. </w:t>
      </w:r>
      <w:r w:rsidR="008F5553">
        <w:t xml:space="preserve">The contractor, </w:t>
      </w:r>
      <w:r>
        <w:t xml:space="preserve">ICF will design the </w:t>
      </w:r>
      <w:r w:rsidR="00115714">
        <w:t>w</w:t>
      </w:r>
      <w:r>
        <w:t>ebsite to facilitate the interview process for the respondent and reduce burden.  These features include:</w:t>
      </w:r>
    </w:p>
    <w:p w14:paraId="16AF4F1D" w14:textId="77777777" w:rsidR="00A413AA" w:rsidRDefault="00A413AA" w:rsidP="00A413AA">
      <w:pPr>
        <w:pStyle w:val="OMBBullet"/>
      </w:pPr>
      <w:r>
        <w:t>•</w:t>
      </w:r>
      <w:r>
        <w:tab/>
        <w:t>Basing the visual layout of the questions on principles that people follow in interpreting visual cues</w:t>
      </w:r>
      <w:r w:rsidR="009D06FE">
        <w:t xml:space="preserve"> (quick, hands-on learning)</w:t>
      </w:r>
      <w:r>
        <w:t>;</w:t>
      </w:r>
    </w:p>
    <w:p w14:paraId="5E7AD8C9" w14:textId="77777777" w:rsidR="00A413AA" w:rsidRDefault="00A413AA" w:rsidP="00A413AA">
      <w:pPr>
        <w:pStyle w:val="OMBBullet"/>
      </w:pPr>
      <w:r>
        <w:t>•</w:t>
      </w:r>
      <w:r>
        <w:tab/>
        <w:t xml:space="preserve">Making the survey </w:t>
      </w:r>
      <w:r w:rsidR="009D06FE">
        <w:t>easy to move</w:t>
      </w:r>
      <w:r>
        <w:t xml:space="preserve"> from page to page;</w:t>
      </w:r>
    </w:p>
    <w:p w14:paraId="29DB7B46" w14:textId="77777777" w:rsidR="00A413AA" w:rsidRDefault="00A413AA" w:rsidP="00A413AA">
      <w:pPr>
        <w:pStyle w:val="OMBBullet"/>
      </w:pPr>
      <w:r>
        <w:t>•</w:t>
      </w:r>
      <w:r>
        <w:tab/>
        <w:t>Incorporating user assistance tools, such as help screens for certain items (e.g., the respondent could click a link to get a definition that would come up if needed);</w:t>
      </w:r>
    </w:p>
    <w:p w14:paraId="6415079E" w14:textId="77777777" w:rsidR="00A413AA" w:rsidRDefault="00A413AA" w:rsidP="00A413AA">
      <w:pPr>
        <w:pStyle w:val="OMBBullet"/>
      </w:pPr>
      <w:r>
        <w:t>•</w:t>
      </w:r>
      <w:r>
        <w:tab/>
        <w:t>Inserting placeholders so that respondents can pause and leave the system and then re-enter (at the point of departure) without losing the responses previously entered;  and</w:t>
      </w:r>
    </w:p>
    <w:p w14:paraId="15D2146A" w14:textId="77777777" w:rsidR="00A413AA" w:rsidRDefault="00A413AA" w:rsidP="00A413AA">
      <w:pPr>
        <w:pStyle w:val="OMBBullet"/>
      </w:pPr>
      <w:r>
        <w:t>•</w:t>
      </w:r>
      <w:r>
        <w:tab/>
        <w:t>Programming in consistency checks.</w:t>
      </w:r>
    </w:p>
    <w:p w14:paraId="3765DC15" w14:textId="77777777" w:rsidR="00A413AA" w:rsidRDefault="00A413AA" w:rsidP="00A413AA">
      <w:pPr>
        <w:pStyle w:val="OMBText"/>
        <w:spacing w:before="240"/>
      </w:pPr>
      <w:r>
        <w:t xml:space="preserve">ICF </w:t>
      </w:r>
      <w:r w:rsidR="00435F10">
        <w:t xml:space="preserve">has </w:t>
      </w:r>
      <w:r>
        <w:t>test</w:t>
      </w:r>
      <w:r w:rsidR="00435F10">
        <w:t>ed</w:t>
      </w:r>
      <w:r>
        <w:t xml:space="preserve"> the </w:t>
      </w:r>
      <w:r w:rsidR="005F2687">
        <w:t>w</w:t>
      </w:r>
      <w:r>
        <w:t xml:space="preserve">ebsite by using several different devices (e.g., laptops, smartphones, and tablets) and operating platforms to ensure that the survey functions properly and is easily navigated in the many ways respondents will access the survey.  ICF will compare the mail and </w:t>
      </w:r>
      <w:r w:rsidR="005F2687">
        <w:t>w</w:t>
      </w:r>
      <w:r>
        <w:t>eb responses for systematic differences in response rate, responses, missing data, and respondent breakoff</w:t>
      </w:r>
      <w:r w:rsidR="00A0563D">
        <w:t xml:space="preserve"> (for those who end the survey without completing it)</w:t>
      </w:r>
      <w:r>
        <w:t>.</w:t>
      </w:r>
    </w:p>
    <w:p w14:paraId="59B8E699" w14:textId="77777777" w:rsidR="00BC09A6" w:rsidRPr="00233877" w:rsidRDefault="00906834" w:rsidP="00D06403">
      <w:pPr>
        <w:spacing w:before="240"/>
      </w:pPr>
      <w:r>
        <w:t>A s</w:t>
      </w:r>
      <w:r w:rsidR="00D06403">
        <w:t>econd</w:t>
      </w:r>
      <w:r>
        <w:t xml:space="preserve"> strategy we will use </w:t>
      </w:r>
      <w:r w:rsidR="009D06FE">
        <w:t xml:space="preserve">is </w:t>
      </w:r>
      <w:r>
        <w:t xml:space="preserve">to have the survey </w:t>
      </w:r>
      <w:r w:rsidR="005F2687">
        <w:t xml:space="preserve">supported </w:t>
      </w:r>
      <w:r w:rsidR="00D06403" w:rsidRPr="00233877">
        <w:t>by professional organizations</w:t>
      </w:r>
      <w:r>
        <w:t>, as this</w:t>
      </w:r>
      <w:r w:rsidR="00D06403" w:rsidRPr="00233877">
        <w:t xml:space="preserve"> positively impacts response rates.</w:t>
      </w:r>
      <w:r w:rsidR="00D06403" w:rsidRPr="00233877">
        <w:rPr>
          <w:vertAlign w:val="superscript"/>
        </w:rPr>
        <w:fldChar w:fldCharType="begin"/>
      </w:r>
      <w:r w:rsidR="00D06403" w:rsidRPr="00233877">
        <w:rPr>
          <w:vertAlign w:val="superscript"/>
        </w:rPr>
        <w:instrText xml:space="preserve"> NOTEREF _Ref456879406 \h  \* MERGEFORMAT </w:instrText>
      </w:r>
      <w:r w:rsidR="00D06403" w:rsidRPr="00233877">
        <w:rPr>
          <w:vertAlign w:val="superscript"/>
        </w:rPr>
      </w:r>
      <w:r w:rsidR="00D06403" w:rsidRPr="00233877">
        <w:rPr>
          <w:vertAlign w:val="superscript"/>
        </w:rPr>
        <w:fldChar w:fldCharType="separate"/>
      </w:r>
      <w:r w:rsidR="008951C0">
        <w:rPr>
          <w:vertAlign w:val="superscript"/>
        </w:rPr>
        <w:t>7</w:t>
      </w:r>
      <w:r w:rsidR="00D06403" w:rsidRPr="00233877">
        <w:rPr>
          <w:vertAlign w:val="superscript"/>
        </w:rPr>
        <w:fldChar w:fldCharType="end"/>
      </w:r>
      <w:r w:rsidR="00D06403" w:rsidRPr="00233877">
        <w:rPr>
          <w:vertAlign w:val="superscript"/>
        </w:rPr>
        <w:t>,</w:t>
      </w:r>
      <w:r w:rsidR="00D06403" w:rsidRPr="00233877">
        <w:rPr>
          <w:vertAlign w:val="superscript"/>
        </w:rPr>
        <w:fldChar w:fldCharType="begin"/>
      </w:r>
      <w:r w:rsidR="00D06403" w:rsidRPr="00233877">
        <w:rPr>
          <w:vertAlign w:val="superscript"/>
        </w:rPr>
        <w:instrText xml:space="preserve"> NOTEREF _Ref456879121 \h  \* MERGEFORMAT </w:instrText>
      </w:r>
      <w:r w:rsidR="00D06403" w:rsidRPr="00233877">
        <w:rPr>
          <w:vertAlign w:val="superscript"/>
        </w:rPr>
      </w:r>
      <w:r w:rsidR="00D06403" w:rsidRPr="00233877">
        <w:rPr>
          <w:vertAlign w:val="superscript"/>
        </w:rPr>
        <w:fldChar w:fldCharType="separate"/>
      </w:r>
      <w:r w:rsidR="008951C0">
        <w:rPr>
          <w:vertAlign w:val="superscript"/>
        </w:rPr>
        <w:t>8</w:t>
      </w:r>
      <w:r w:rsidR="00D06403" w:rsidRPr="00233877">
        <w:rPr>
          <w:vertAlign w:val="superscript"/>
        </w:rPr>
        <w:fldChar w:fldCharType="end"/>
      </w:r>
      <w:r w:rsidR="00D06403" w:rsidRPr="00233877">
        <w:t xml:space="preserve"> </w:t>
      </w:r>
      <w:r>
        <w:t xml:space="preserve"> Specifically, </w:t>
      </w:r>
      <w:r w:rsidR="00D06403">
        <w:t>t</w:t>
      </w:r>
      <w:r w:rsidR="00D06403" w:rsidRPr="00233877">
        <w:t>o enhance physician buy-in</w:t>
      </w:r>
      <w:r w:rsidR="00D06403">
        <w:t xml:space="preserve"> and increase the proportion of physicians who complete the survey</w:t>
      </w:r>
      <w:r w:rsidR="00D06403" w:rsidRPr="00233877">
        <w:t xml:space="preserve">, each mail survey will include a cover letter </w:t>
      </w:r>
      <w:r w:rsidR="007F6334">
        <w:t xml:space="preserve">indicating support of </w:t>
      </w:r>
      <w:r w:rsidR="00E4366D">
        <w:t xml:space="preserve">four </w:t>
      </w:r>
      <w:r w:rsidR="00D06403" w:rsidRPr="00D06403">
        <w:t xml:space="preserve">professional organizations: the American College of Physicians (ACP), the American Academy of Family Physicians (AAFP), the American Congress of Obstetricians and Gynecologists (ACOG), </w:t>
      </w:r>
      <w:r w:rsidR="00E4366D">
        <w:t xml:space="preserve">and </w:t>
      </w:r>
      <w:r w:rsidR="00D06403" w:rsidRPr="00D06403">
        <w:t>the American College of Emergency Physicians (ACEP)</w:t>
      </w:r>
      <w:r w:rsidR="00D06403">
        <w:t xml:space="preserve">.  </w:t>
      </w:r>
    </w:p>
    <w:p w14:paraId="257354AC" w14:textId="77777777" w:rsidR="006D76AC" w:rsidRPr="00233877" w:rsidRDefault="00D06403" w:rsidP="00D06403">
      <w:pPr>
        <w:pStyle w:val="Heading1"/>
      </w:pPr>
      <w:bookmarkStart w:id="14" w:name="_Toc462298374"/>
      <w:r>
        <w:t>A.4</w:t>
      </w:r>
      <w:r>
        <w:tab/>
      </w:r>
      <w:r w:rsidR="006D76AC" w:rsidRPr="00233877">
        <w:t>Efforts to Identify Duplication and Use of Similar Information</w:t>
      </w:r>
      <w:bookmarkEnd w:id="14"/>
      <w:r w:rsidR="006D76AC" w:rsidRPr="00233877">
        <w:t xml:space="preserve"> </w:t>
      </w:r>
    </w:p>
    <w:p w14:paraId="54842333" w14:textId="77777777" w:rsidR="00E94CBD" w:rsidRPr="00233877" w:rsidRDefault="006F0DFC" w:rsidP="006F0DFC">
      <w:pPr>
        <w:widowControl/>
        <w:autoSpaceDE/>
        <w:autoSpaceDN/>
        <w:adjustRightInd/>
        <w:spacing w:before="240"/>
        <w:ind w:right="-4"/>
      </w:pPr>
      <w:r w:rsidRPr="00233877">
        <w:t>CDC</w:t>
      </w:r>
      <w:r w:rsidR="00CC3F48">
        <w:t>/DSTDP</w:t>
      </w:r>
      <w:r w:rsidRPr="00233877">
        <w:t xml:space="preserve"> conducts ongoing searches of all major health-related electronic databases, reviews related literature, consults with key outside partners and other experts, and maintains continuing communications with Federal agencies with related missions. These efforts have identified no previous, current or planned efforts to conduct a comprehensive cross-sectional survey of </w:t>
      </w:r>
      <w:r w:rsidR="00E94CBD" w:rsidRPr="00233877">
        <w:t xml:space="preserve">policies and practices in relation to several STD-related policy issues or awareness and use of the CDC’s newly released STD Treatment Guidelines </w:t>
      </w:r>
      <w:r w:rsidRPr="00233877">
        <w:t>among a nationally representative sample of</w:t>
      </w:r>
      <w:r w:rsidR="00C6358C" w:rsidRPr="00233877">
        <w:t xml:space="preserve"> </w:t>
      </w:r>
      <w:r w:rsidR="00E94CBD" w:rsidRPr="00233877">
        <w:t>STD providers</w:t>
      </w:r>
      <w:r w:rsidR="00C6358C" w:rsidRPr="00233877">
        <w:t xml:space="preserve">. </w:t>
      </w:r>
    </w:p>
    <w:p w14:paraId="6C4737C3" w14:textId="77777777" w:rsidR="00CC3F48" w:rsidRDefault="000A1DF8" w:rsidP="008151F4">
      <w:pPr>
        <w:widowControl/>
        <w:autoSpaceDE/>
        <w:autoSpaceDN/>
        <w:adjustRightInd/>
        <w:spacing w:before="240"/>
        <w:ind w:right="-4"/>
      </w:pPr>
      <w:r>
        <w:t xml:space="preserve">DSTDP is aware that </w:t>
      </w:r>
      <w:r w:rsidR="00CC3F48">
        <w:t xml:space="preserve">CDC’s National Center for Health Statistics (NCHS) </w:t>
      </w:r>
      <w:r>
        <w:t xml:space="preserve">conducts two surveys of physicians – the National Ambulatory Medical Care Survey (NAMCS) and the National Hospital Ambulatory Medical Care Survey (NHAMCS).  NAMCS incudes very limited information on STD (limited to chlamydia screening only).  DSTDP and NCHS discussed </w:t>
      </w:r>
      <w:r w:rsidR="00850605">
        <w:t>fielding</w:t>
      </w:r>
      <w:r>
        <w:t xml:space="preserve"> a NAMCS special survey focusing on STD</w:t>
      </w:r>
      <w:r w:rsidR="00850605">
        <w:t xml:space="preserve">; however, there were several limitations with this approach.  The </w:t>
      </w:r>
      <w:r w:rsidR="003608D6">
        <w:t xml:space="preserve">primary </w:t>
      </w:r>
      <w:r w:rsidR="00850605">
        <w:t xml:space="preserve">limitation was that emergency physicians could not be included.  Given the major shift in the healthcare system subsequent to the Affordable Care Act (ACA) and the number of states who chose not to expand Medicaid, it is imperative that we survey emergency physicians as they often serve as a safety net provider for STD services.  </w:t>
      </w:r>
    </w:p>
    <w:p w14:paraId="033324B0" w14:textId="77777777" w:rsidR="00E94CBD" w:rsidRPr="00233877" w:rsidRDefault="00E94CBD" w:rsidP="008151F4">
      <w:pPr>
        <w:widowControl/>
        <w:autoSpaceDE/>
        <w:autoSpaceDN/>
        <w:adjustRightInd/>
        <w:spacing w:before="240"/>
        <w:ind w:right="-4"/>
      </w:pPr>
      <w:r w:rsidRPr="00233877">
        <w:t xml:space="preserve">Other national surveys that ask </w:t>
      </w:r>
      <w:r w:rsidR="00850605">
        <w:t xml:space="preserve">some </w:t>
      </w:r>
      <w:r w:rsidRPr="00233877">
        <w:t>STD-related questions include Kaiser’s National Survey of Women’s Health Care Providers on Reproductive Health: Emergency Contraception and CDC’s Medical Monitoring Project HIV Provider Survey.</w:t>
      </w:r>
      <w:r w:rsidR="008151F4" w:rsidRPr="00233877">
        <w:t xml:space="preserve"> However, this should in no way suggest that other surveys represent duplications. </w:t>
      </w:r>
      <w:r w:rsidR="003608D6">
        <w:t>T</w:t>
      </w:r>
      <w:r w:rsidR="00850605">
        <w:t>hese surveys do not include all</w:t>
      </w:r>
      <w:r w:rsidR="003608D6">
        <w:t xml:space="preserve"> or even most of the</w:t>
      </w:r>
      <w:r w:rsidR="00850605">
        <w:t xml:space="preserve"> relevant STD information and/or do not include all of the major </w:t>
      </w:r>
      <w:r w:rsidR="003614E3">
        <w:t xml:space="preserve">physician </w:t>
      </w:r>
      <w:r w:rsidR="00850605">
        <w:t>specialties</w:t>
      </w:r>
      <w:r w:rsidR="00243E47">
        <w:t xml:space="preserve"> that we are focusing on for this data collection</w:t>
      </w:r>
      <w:r w:rsidR="008151F4" w:rsidRPr="00233877">
        <w:t xml:space="preserve">. </w:t>
      </w:r>
      <w:r w:rsidR="0062574B">
        <w:t>For example, the Medical Monitoring Project HIV Provide</w:t>
      </w:r>
      <w:r w:rsidR="002B61C8">
        <w:t>r</w:t>
      </w:r>
      <w:r w:rsidR="0062574B">
        <w:t xml:space="preserve"> Survey </w:t>
      </w:r>
      <w:r w:rsidR="00134602">
        <w:t>did</w:t>
      </w:r>
      <w:r w:rsidR="0062574B">
        <w:t xml:space="preserve"> not include content related to the diagnosis and treatment of other STDs. The </w:t>
      </w:r>
      <w:r w:rsidR="0062574B" w:rsidRPr="0062574B">
        <w:t>Kaiser National Survey of Women’s Health Care Providers on Reproductive Health: Emergency Contraception</w:t>
      </w:r>
      <w:r w:rsidR="0062574B">
        <w:t xml:space="preserve"> was limited primarily to obstetricians and gynecologists</w:t>
      </w:r>
      <w:r w:rsidR="00134602">
        <w:t xml:space="preserve"> and focused on emergency contraception prescriptions practices. </w:t>
      </w:r>
      <w:r w:rsidR="008151F4" w:rsidRPr="00233877">
        <w:t>Other surveys have tended to be administered in geographic areas below the national level</w:t>
      </w:r>
      <w:r w:rsidR="00D06403">
        <w:t xml:space="preserve">; for instance, </w:t>
      </w:r>
      <w:r w:rsidR="008151F4" w:rsidRPr="00233877">
        <w:t xml:space="preserve">a 2005 New York City Department of Health survey among STD Practices that focused on the knowledge, opinions and practices regarding STD diagnosis screening, reporting and partner notification. </w:t>
      </w:r>
      <w:r w:rsidR="00726C4A" w:rsidRPr="00233877">
        <w:t xml:space="preserve">Localized surveys do not address CDC’s need for national data to support its planning and program development activities.  </w:t>
      </w:r>
    </w:p>
    <w:p w14:paraId="5C131654" w14:textId="77777777" w:rsidR="006D76AC" w:rsidRPr="00233877" w:rsidRDefault="00D06403" w:rsidP="00D06403">
      <w:pPr>
        <w:pStyle w:val="Heading1"/>
      </w:pPr>
      <w:bookmarkStart w:id="15" w:name="_Toc462298375"/>
      <w:r>
        <w:t>A.5</w:t>
      </w:r>
      <w:r>
        <w:tab/>
      </w:r>
      <w:r w:rsidR="006D76AC" w:rsidRPr="00233877">
        <w:t>Impact on Small Businesses or Other Small Entities</w:t>
      </w:r>
      <w:bookmarkEnd w:id="15"/>
    </w:p>
    <w:p w14:paraId="634C7CAB" w14:textId="77777777" w:rsidR="00312AEC" w:rsidRDefault="007948D6" w:rsidP="00FE0BD7">
      <w:r w:rsidRPr="00233877">
        <w:t xml:space="preserve">There will be </w:t>
      </w:r>
      <w:r w:rsidR="001C66F1">
        <w:t>limited</w:t>
      </w:r>
      <w:r w:rsidR="001C66F1" w:rsidRPr="00233877">
        <w:t xml:space="preserve"> </w:t>
      </w:r>
      <w:r w:rsidRPr="00233877">
        <w:t>impact on small businesses or other small entities. The collection of information involves randomly selected eligible physicians restricted to the target specialties.</w:t>
      </w:r>
      <w:r w:rsidR="001C66F1">
        <w:t xml:space="preserve">  It is possible that a small percentage of providers who own their own practice or who are in a practice with a small network of providers may be asked to complete the survey.  The survey only takes 20-32 minutes to complete (depending on survey version); therefore, the impact on a small business would be minimal.  </w:t>
      </w:r>
    </w:p>
    <w:p w14:paraId="08578909" w14:textId="77777777" w:rsidR="006D76AC" w:rsidRPr="00233877" w:rsidRDefault="00D06403" w:rsidP="00D06403">
      <w:pPr>
        <w:pStyle w:val="Heading1"/>
      </w:pPr>
      <w:bookmarkStart w:id="16" w:name="_Toc462298376"/>
      <w:r>
        <w:t>A.6</w:t>
      </w:r>
      <w:r>
        <w:tab/>
      </w:r>
      <w:r w:rsidR="006D76AC" w:rsidRPr="00233877">
        <w:t xml:space="preserve">Consequences of Collecting the Information Less frequently </w:t>
      </w:r>
      <w:bookmarkEnd w:id="16"/>
    </w:p>
    <w:p w14:paraId="2130DABD" w14:textId="77777777" w:rsidR="00977420" w:rsidRPr="007C2E41" w:rsidRDefault="00977420" w:rsidP="00977420">
      <w:pPr>
        <w:pStyle w:val="Heading1"/>
        <w:rPr>
          <w:color w:val="auto"/>
        </w:rPr>
      </w:pPr>
      <w:r w:rsidRPr="007C2E41">
        <w:rPr>
          <w:b w:val="0"/>
          <w:color w:val="auto"/>
        </w:rPr>
        <w:t>The activities involve</w:t>
      </w:r>
      <w:r w:rsidR="008F7A82">
        <w:rPr>
          <w:b w:val="0"/>
          <w:color w:val="auto"/>
        </w:rPr>
        <w:t xml:space="preserve"> </w:t>
      </w:r>
      <w:r w:rsidR="003429C9">
        <w:rPr>
          <w:b w:val="0"/>
          <w:color w:val="auto"/>
        </w:rPr>
        <w:t xml:space="preserve">one </w:t>
      </w:r>
      <w:r w:rsidRPr="007C2E41">
        <w:rPr>
          <w:b w:val="0"/>
          <w:color w:val="auto"/>
        </w:rPr>
        <w:t>collection of data</w:t>
      </w:r>
      <w:r w:rsidR="008F7A82">
        <w:rPr>
          <w:b w:val="0"/>
          <w:color w:val="auto"/>
        </w:rPr>
        <w:t xml:space="preserve"> </w:t>
      </w:r>
      <w:r w:rsidR="003429C9">
        <w:rPr>
          <w:b w:val="0"/>
          <w:color w:val="auto"/>
        </w:rPr>
        <w:t xml:space="preserve">that </w:t>
      </w:r>
      <w:r w:rsidR="001648EB">
        <w:rPr>
          <w:b w:val="0"/>
          <w:color w:val="auto"/>
        </w:rPr>
        <w:t xml:space="preserve">will span </w:t>
      </w:r>
      <w:r w:rsidR="008F7A82">
        <w:rPr>
          <w:b w:val="0"/>
          <w:color w:val="auto"/>
        </w:rPr>
        <w:t xml:space="preserve">approximately </w:t>
      </w:r>
      <w:r w:rsidRPr="007C2E41">
        <w:rPr>
          <w:b w:val="0"/>
          <w:color w:val="auto"/>
        </w:rPr>
        <w:t>4 months</w:t>
      </w:r>
      <w:r w:rsidR="008918F3">
        <w:rPr>
          <w:b w:val="0"/>
          <w:color w:val="auto"/>
        </w:rPr>
        <w:t>.</w:t>
      </w:r>
      <w:r w:rsidR="001648EB">
        <w:rPr>
          <w:b w:val="0"/>
          <w:color w:val="auto"/>
        </w:rPr>
        <w:t xml:space="preserve"> </w:t>
      </w:r>
    </w:p>
    <w:p w14:paraId="6A444E8A" w14:textId="77777777" w:rsidR="00977420" w:rsidRPr="007C2E41" w:rsidRDefault="00977420" w:rsidP="00977420">
      <w:pPr>
        <w:pStyle w:val="Heading1"/>
        <w:rPr>
          <w:b w:val="0"/>
          <w:color w:val="auto"/>
        </w:rPr>
      </w:pPr>
      <w:r w:rsidRPr="007C2E41">
        <w:rPr>
          <w:b w:val="0"/>
          <w:color w:val="auto"/>
        </w:rPr>
        <w:t xml:space="preserve">Not collecting this information would hinder the </w:t>
      </w:r>
      <w:r w:rsidR="00E4366D">
        <w:rPr>
          <w:b w:val="0"/>
          <w:color w:val="auto"/>
        </w:rPr>
        <w:t>D</w:t>
      </w:r>
      <w:r w:rsidR="003614E3">
        <w:rPr>
          <w:b w:val="0"/>
          <w:color w:val="auto"/>
        </w:rPr>
        <w:t>STDP's</w:t>
      </w:r>
      <w:r w:rsidRPr="007C2E41">
        <w:rPr>
          <w:b w:val="0"/>
          <w:color w:val="auto"/>
        </w:rPr>
        <w:t xml:space="preserve"> ability (1) </w:t>
      </w:r>
      <w:r w:rsidR="003614E3">
        <w:rPr>
          <w:b w:val="0"/>
          <w:color w:val="auto"/>
        </w:rPr>
        <w:t xml:space="preserve">to </w:t>
      </w:r>
      <w:r w:rsidRPr="007C2E41">
        <w:rPr>
          <w:b w:val="0"/>
          <w:color w:val="auto"/>
        </w:rPr>
        <w:t>better understand policies and practices for STD care delivery among medical providers , (2) assess awareness and use of CDC’s STD treatment guidelines, (3) help CDC prioritize STD prevention activities, and (4) determine STD prevention needs by provider type.</w:t>
      </w:r>
    </w:p>
    <w:p w14:paraId="5985E1B8" w14:textId="77777777" w:rsidR="006D76AC" w:rsidRPr="00233877" w:rsidRDefault="00D06403" w:rsidP="00D06403">
      <w:pPr>
        <w:pStyle w:val="Heading1"/>
      </w:pPr>
      <w:bookmarkStart w:id="17" w:name="_Toc462298377"/>
      <w:r>
        <w:t>A.7</w:t>
      </w:r>
      <w:r>
        <w:tab/>
      </w:r>
      <w:r w:rsidR="006D76AC" w:rsidRPr="00233877">
        <w:t>Special Circumstances Relating to the Guidelines of 5 CFR 1320.5</w:t>
      </w:r>
      <w:bookmarkEnd w:id="17"/>
      <w:r w:rsidR="006D76AC" w:rsidRPr="00233877">
        <w:t xml:space="preserve"> </w:t>
      </w:r>
    </w:p>
    <w:p w14:paraId="003124AB" w14:textId="77777777" w:rsidR="007948D6" w:rsidRPr="00233877" w:rsidRDefault="007948D6" w:rsidP="00FE0BD7">
      <w:r w:rsidRPr="00FE0BD7">
        <w:t>No special circumstances require the collection to be conducted in a manner inconsistent with the</w:t>
      </w:r>
      <w:r w:rsidRPr="00233877">
        <w:t xml:space="preserve"> guidelines in 5 CFR 1320.6.</w:t>
      </w:r>
    </w:p>
    <w:p w14:paraId="785858E8" w14:textId="77777777" w:rsidR="006D76AC" w:rsidRPr="009D1570" w:rsidRDefault="00D06403" w:rsidP="00D06403">
      <w:pPr>
        <w:pStyle w:val="Heading1"/>
      </w:pPr>
      <w:bookmarkStart w:id="18" w:name="_Toc462298378"/>
      <w:r w:rsidRPr="009D1570">
        <w:t>A.8</w:t>
      </w:r>
      <w:r w:rsidRPr="009D1570">
        <w:tab/>
      </w:r>
      <w:r w:rsidR="006D76AC" w:rsidRPr="009D1570">
        <w:t>Comments in Response to the F</w:t>
      </w:r>
      <w:r w:rsidR="007A5B91">
        <w:t>RN</w:t>
      </w:r>
      <w:r w:rsidR="006D76AC" w:rsidRPr="009D1570">
        <w:t xml:space="preserve"> and Efforts to Consult Outside the Agency</w:t>
      </w:r>
      <w:bookmarkEnd w:id="18"/>
      <w:r w:rsidR="006D76AC" w:rsidRPr="009D1570">
        <w:t xml:space="preserve"> </w:t>
      </w:r>
    </w:p>
    <w:p w14:paraId="7057C39A" w14:textId="77777777" w:rsidR="009D1570" w:rsidRPr="004103CD" w:rsidRDefault="009D1570" w:rsidP="009D1570">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03CD">
        <w:t xml:space="preserve">A 60-Day Federal Register Notice was published in the </w:t>
      </w:r>
      <w:r w:rsidRPr="004103CD">
        <w:rPr>
          <w:i/>
        </w:rPr>
        <w:t xml:space="preserve">Federal Register </w:t>
      </w:r>
      <w:r w:rsidRPr="004103CD">
        <w:t xml:space="preserve">on </w:t>
      </w:r>
      <w:r w:rsidR="00457975" w:rsidRPr="004103CD">
        <w:t>October 4</w:t>
      </w:r>
      <w:r w:rsidRPr="004103CD">
        <w:t xml:space="preserve">, 2016, volume </w:t>
      </w:r>
      <w:r w:rsidR="00457975" w:rsidRPr="004103CD">
        <w:t>81</w:t>
      </w:r>
      <w:r w:rsidRPr="004103CD">
        <w:t xml:space="preserve">, number </w:t>
      </w:r>
      <w:r w:rsidR="00457975" w:rsidRPr="004103CD">
        <w:t>192</w:t>
      </w:r>
      <w:r w:rsidRPr="004103CD">
        <w:t xml:space="preserve">, pp. </w:t>
      </w:r>
      <w:r w:rsidR="00457975" w:rsidRPr="004103CD">
        <w:t xml:space="preserve">68417-68419 </w:t>
      </w:r>
      <w:r w:rsidRPr="004103CD">
        <w:t>(see A</w:t>
      </w:r>
      <w:r w:rsidR="00B80A03" w:rsidRPr="004103CD">
        <w:t xml:space="preserve">ttachment </w:t>
      </w:r>
      <w:r w:rsidR="0033236B" w:rsidRPr="004103CD">
        <w:t>2</w:t>
      </w:r>
      <w:r w:rsidR="00201310" w:rsidRPr="004103CD">
        <w:t xml:space="preserve"> - 60-Day FRN</w:t>
      </w:r>
      <w:r w:rsidRPr="004103CD">
        <w:t xml:space="preserve">).  </w:t>
      </w:r>
      <w:r w:rsidR="00ED28B9">
        <w:t>Three</w:t>
      </w:r>
      <w:r w:rsidR="00ED28B9" w:rsidRPr="004103CD">
        <w:t xml:space="preserve"> </w:t>
      </w:r>
      <w:r w:rsidRPr="004103CD">
        <w:t>comments were received</w:t>
      </w:r>
      <w:r w:rsidR="00457975" w:rsidRPr="004103CD">
        <w:t xml:space="preserve"> (see </w:t>
      </w:r>
      <w:r w:rsidR="00457975" w:rsidRPr="00ED28B9">
        <w:rPr>
          <w:b/>
        </w:rPr>
        <w:t>Attachment 2a</w:t>
      </w:r>
      <w:r w:rsidR="00457975" w:rsidRPr="004103CD">
        <w:t xml:space="preserve"> – Public Comments)</w:t>
      </w:r>
      <w:r w:rsidRPr="004103CD">
        <w:t>.</w:t>
      </w:r>
      <w:r w:rsidR="00ED28B9">
        <w:t xml:space="preserve"> One of the comments from NYC received a direct response from the program as the other 2 comments did not provide contact information for a response. </w:t>
      </w:r>
      <w:r w:rsidRPr="004103CD">
        <w:t xml:space="preserve"> </w:t>
      </w:r>
    </w:p>
    <w:p w14:paraId="71F7D4D1" w14:textId="77777777" w:rsidR="009D1570" w:rsidRPr="00151BBF" w:rsidRDefault="00FE0BD7" w:rsidP="00FE0BD7">
      <w:pPr>
        <w:pStyle w:val="BodyText"/>
        <w:ind w:firstLine="0"/>
      </w:pPr>
      <w:r>
        <w:t xml:space="preserve">CDC has also contracted with ICF to conduct the STD Provider Survey.  ICF has extensive experience with data collection, data analysis, and statistical methods, particularly with respect to national surveys. ICF has supported the CDC in the collection of data for the BRFSS for twenty years and has provided particular expertise in web and mail survey administration. For this project, ICF augmented their technical team with experts from </w:t>
      </w:r>
      <w:r w:rsidRPr="00FE0BD7">
        <w:t>Insight Policy Research</w:t>
      </w:r>
      <w:r>
        <w:t xml:space="preserve"> and the </w:t>
      </w:r>
      <w:r w:rsidRPr="00FE0BD7">
        <w:t xml:space="preserve">Guttmacher </w:t>
      </w:r>
      <w:r w:rsidRPr="00570361">
        <w:t xml:space="preserve">Institute. </w:t>
      </w:r>
      <w:r w:rsidR="00342D48" w:rsidRPr="00570361">
        <w:t>Laura Lindberg</w:t>
      </w:r>
      <w:r w:rsidR="00B142CF" w:rsidRPr="00570361">
        <w:t>, PhD.,</w:t>
      </w:r>
      <w:r w:rsidR="00342D48" w:rsidRPr="00570361">
        <w:t xml:space="preserve"> from the Guttmacher Institute provided expert advice about the survey content prior to cognitive testing. Denise Bellows</w:t>
      </w:r>
      <w:r w:rsidR="00B142CF" w:rsidRPr="00570361">
        <w:t xml:space="preserve">, PhD, </w:t>
      </w:r>
      <w:r w:rsidR="00342D48" w:rsidRPr="00570361">
        <w:t>from Insight Policy Research recruited and conducted cognitive interviews with physicians, and also co-authored the final report detailing both the methodology and findings of the testing.  Three key staff from ICF contributed to this project.</w:t>
      </w:r>
      <w:r w:rsidR="00B142CF" w:rsidRPr="00570361">
        <w:t xml:space="preserve"> </w:t>
      </w:r>
      <w:r w:rsidR="00342D48" w:rsidRPr="00570361">
        <w:t xml:space="preserve"> Shelley Osborn</w:t>
      </w:r>
      <w:r w:rsidR="00B142CF" w:rsidRPr="00570361">
        <w:t>, PhD,</w:t>
      </w:r>
      <w:r w:rsidR="00342D48" w:rsidRPr="00570361">
        <w:t xml:space="preserve"> is the project manager and consulted on the survey content.</w:t>
      </w:r>
      <w:r w:rsidR="00B142CF" w:rsidRPr="00570361">
        <w:t xml:space="preserve"> </w:t>
      </w:r>
      <w:r w:rsidR="00342D48" w:rsidRPr="00570361">
        <w:t xml:space="preserve"> Melissa Cidade</w:t>
      </w:r>
      <w:r w:rsidR="000E66A9">
        <w:t>, PhD,</w:t>
      </w:r>
      <w:r w:rsidR="00B142CF" w:rsidRPr="00570361">
        <w:t xml:space="preserve"> </w:t>
      </w:r>
      <w:r w:rsidR="00342D48" w:rsidRPr="00570361">
        <w:t>is a survey methodologist, and provided expert opinion about the content and placement of survey questions. Ronaldo Iachan</w:t>
      </w:r>
      <w:r w:rsidR="00B142CF" w:rsidRPr="00151BBF">
        <w:t>, PhD,</w:t>
      </w:r>
      <w:r w:rsidR="00342D48" w:rsidRPr="00151BBF">
        <w:t xml:space="preserve"> is a senior sampling statistician with ICF and designed the sampling strategy.</w:t>
      </w:r>
    </w:p>
    <w:p w14:paraId="4BAC4917" w14:textId="77777777" w:rsidR="006D76AC" w:rsidRPr="00233877" w:rsidRDefault="009D1570" w:rsidP="009D1570">
      <w:pPr>
        <w:pStyle w:val="Heading1"/>
      </w:pPr>
      <w:bookmarkStart w:id="19" w:name="_Toc462298379"/>
      <w:r>
        <w:t>A.9</w:t>
      </w:r>
      <w:r>
        <w:tab/>
      </w:r>
      <w:r w:rsidR="006D76AC" w:rsidRPr="00233877">
        <w:t>Explanation of Any Payment or Gift to Respondents</w:t>
      </w:r>
      <w:bookmarkEnd w:id="19"/>
      <w:r w:rsidR="006D76AC" w:rsidRPr="00233877">
        <w:t xml:space="preserve"> </w:t>
      </w:r>
    </w:p>
    <w:p w14:paraId="2B7CD83D" w14:textId="0D0B8FE8" w:rsidR="00F60409" w:rsidRPr="00D524A1" w:rsidRDefault="00F60409" w:rsidP="00F60409">
      <w:pPr>
        <w:widowControl/>
        <w:autoSpaceDE/>
        <w:autoSpaceDN/>
        <w:adjustRightInd/>
        <w:ind w:right="-4"/>
        <w:rPr>
          <w:color w:val="000000" w:themeColor="text1"/>
        </w:rPr>
      </w:pPr>
      <w:r w:rsidRPr="00D524A1">
        <w:rPr>
          <w:color w:val="000000" w:themeColor="text1"/>
        </w:rPr>
        <w:t>The first contact will be an invitation letter</w:t>
      </w:r>
      <w:r w:rsidR="00E80975">
        <w:rPr>
          <w:color w:val="000000" w:themeColor="text1"/>
        </w:rPr>
        <w:t xml:space="preserve"> </w:t>
      </w:r>
      <w:r w:rsidRPr="00D524A1">
        <w:rPr>
          <w:color w:val="000000" w:themeColor="text1"/>
        </w:rPr>
        <w:t xml:space="preserve">and a survey packet mailed to physicians. Up to two reminder survey packets will be sent to non-responding physicians. </w:t>
      </w:r>
      <w:r>
        <w:rPr>
          <w:color w:val="000000" w:themeColor="text1"/>
        </w:rPr>
        <w:t xml:space="preserve">Each physician in the sample will receive a unique Master ID.  This ID will be barcoded onto each envelope and </w:t>
      </w:r>
      <w:r w:rsidRPr="00D524A1">
        <w:rPr>
          <w:color w:val="000000" w:themeColor="text1"/>
        </w:rPr>
        <w:t>survey</w:t>
      </w:r>
      <w:r>
        <w:rPr>
          <w:color w:val="000000" w:themeColor="text1"/>
        </w:rPr>
        <w:t xml:space="preserve">, which will allow ICF to process and track all </w:t>
      </w:r>
      <w:r w:rsidRPr="00D524A1">
        <w:rPr>
          <w:color w:val="000000" w:themeColor="text1"/>
        </w:rPr>
        <w:t>returned mail (undelivered mail, completed surveys, partial surveys, refusals, etc.) daily.</w:t>
      </w:r>
      <w:r>
        <w:rPr>
          <w:color w:val="000000" w:themeColor="text1"/>
        </w:rPr>
        <w:t xml:space="preserve"> Therefore, ICF will have an up-to-date list of people that have or have not completed the survey.</w:t>
      </w:r>
      <w:r w:rsidR="00B142CF">
        <w:rPr>
          <w:color w:val="000000" w:themeColor="text1"/>
        </w:rPr>
        <w:t xml:space="preserve"> Physicians that return a completed mailed survey will be provided with $40 as a token of appreciation.</w:t>
      </w:r>
      <w:r w:rsidR="005642CF">
        <w:rPr>
          <w:color w:val="000000" w:themeColor="text1"/>
        </w:rPr>
        <w:t xml:space="preserve">  Research suggests that providing an incentive upfront significantly increases the response rate among physicians (71% response rate when check is mailed with survey compared to 56% when incentives sent subsequent to survey completion).</w:t>
      </w:r>
      <w:r w:rsidR="00DC7B83" w:rsidRPr="009B2D9E">
        <w:rPr>
          <w:color w:val="000000" w:themeColor="text1"/>
          <w:vertAlign w:val="superscript"/>
        </w:rPr>
        <w:t>14</w:t>
      </w:r>
      <w:r w:rsidR="005642CF">
        <w:rPr>
          <w:color w:val="000000" w:themeColor="text1"/>
        </w:rPr>
        <w:t xml:space="preserve"> Additionally, two other studies tested amount of monetary incentives and found that higher amounts translated into higher response rates.(15-16)  For instance, one study found that increasing monetary incentives are needed in surveys of physicians.</w:t>
      </w:r>
      <w:r w:rsidR="00DC7B83" w:rsidRPr="009B2D9E">
        <w:rPr>
          <w:color w:val="000000" w:themeColor="text1"/>
          <w:vertAlign w:val="superscript"/>
        </w:rPr>
        <w:t>15</w:t>
      </w:r>
      <w:r w:rsidR="005642CF">
        <w:rPr>
          <w:color w:val="000000" w:themeColor="text1"/>
        </w:rPr>
        <w:t xml:space="preserve"> Another study found </w:t>
      </w:r>
      <w:r w:rsidR="00DC7B83">
        <w:rPr>
          <w:color w:val="000000" w:themeColor="text1"/>
        </w:rPr>
        <w:t>that a $50 check resulted in a significantly higher response rate (68%) from physicians than a $20 check (52%).</w:t>
      </w:r>
      <w:r w:rsidR="00DC7B83" w:rsidRPr="009B2D9E">
        <w:rPr>
          <w:color w:val="000000" w:themeColor="text1"/>
          <w:vertAlign w:val="superscript"/>
        </w:rPr>
        <w:t>1</w:t>
      </w:r>
      <w:r w:rsidR="009B2D9E" w:rsidRPr="009B2D9E">
        <w:rPr>
          <w:color w:val="000000" w:themeColor="text1"/>
          <w:vertAlign w:val="superscript"/>
        </w:rPr>
        <w:t>6</w:t>
      </w:r>
      <w:r w:rsidR="005642CF">
        <w:rPr>
          <w:color w:val="000000" w:themeColor="text1"/>
        </w:rPr>
        <w:t xml:space="preserve"> </w:t>
      </w:r>
    </w:p>
    <w:p w14:paraId="6F8070AD" w14:textId="77777777" w:rsidR="00F60409" w:rsidRDefault="00F60409" w:rsidP="00F60409">
      <w:pPr>
        <w:widowControl/>
        <w:autoSpaceDE/>
        <w:autoSpaceDN/>
        <w:adjustRightInd/>
        <w:ind w:right="-4"/>
        <w:rPr>
          <w:color w:val="000000" w:themeColor="text1"/>
        </w:rPr>
      </w:pPr>
      <w:r>
        <w:t>At least two weeks after the last mailed survey, p</w:t>
      </w:r>
      <w:r w:rsidRPr="00D524A1">
        <w:rPr>
          <w:color w:val="000000" w:themeColor="text1"/>
        </w:rPr>
        <w:t>hysicians that d</w:t>
      </w:r>
      <w:r>
        <w:rPr>
          <w:color w:val="000000" w:themeColor="text1"/>
        </w:rPr>
        <w:t>id</w:t>
      </w:r>
      <w:r w:rsidRPr="00D524A1">
        <w:rPr>
          <w:color w:val="000000" w:themeColor="text1"/>
        </w:rPr>
        <w:t xml:space="preserve"> not complete the paper survey </w:t>
      </w:r>
      <w:r>
        <w:rPr>
          <w:color w:val="000000" w:themeColor="text1"/>
        </w:rPr>
        <w:t xml:space="preserve">will be mailed a letter </w:t>
      </w:r>
      <w:r>
        <w:t xml:space="preserve">containing a URL and a Quick Response Code (QR Code) so that they can take a </w:t>
      </w:r>
      <w:r w:rsidR="00403680">
        <w:t>w</w:t>
      </w:r>
      <w:r>
        <w:t xml:space="preserve">eb version of the survey.  Waiting at least two weeks to initiate </w:t>
      </w:r>
      <w:r w:rsidR="00403680">
        <w:t>w</w:t>
      </w:r>
      <w:r>
        <w:t xml:space="preserve">eb data collection will allow ICF to process completed surveys and remove physicians from the sample that will receive the </w:t>
      </w:r>
      <w:r w:rsidR="00403680">
        <w:t>w</w:t>
      </w:r>
      <w:r>
        <w:t xml:space="preserve">eb invitation. The </w:t>
      </w:r>
      <w:r w:rsidR="00403680">
        <w:t>w</w:t>
      </w:r>
      <w:r>
        <w:t xml:space="preserve">eb invitation letter will inform physicians that they will receive a $40 token of appreciation check </w:t>
      </w:r>
      <w:r w:rsidRPr="00B142CF">
        <w:t>after</w:t>
      </w:r>
      <w:r>
        <w:t xml:space="preserve"> they complete the survey via </w:t>
      </w:r>
      <w:r w:rsidR="00403680">
        <w:t>w</w:t>
      </w:r>
      <w:r>
        <w:t xml:space="preserve">eb. A reminder letter containing the same information will be sent to non-responders. Both letters will contain the unique Master ID, which will serve as the password to unlock the </w:t>
      </w:r>
      <w:r w:rsidR="00403680">
        <w:t>w</w:t>
      </w:r>
      <w:r>
        <w:t xml:space="preserve">eb survey—it will be valid only one time (although physicians will be able to pause and restart the survey). </w:t>
      </w:r>
      <w:r>
        <w:rPr>
          <w:color w:val="000000" w:themeColor="text1"/>
        </w:rPr>
        <w:t xml:space="preserve"> </w:t>
      </w:r>
    </w:p>
    <w:p w14:paraId="2D6F98DB" w14:textId="77777777" w:rsidR="00F60409" w:rsidRPr="00E5471F" w:rsidRDefault="00F60409" w:rsidP="00F60409">
      <w:pPr>
        <w:widowControl/>
        <w:autoSpaceDE/>
        <w:autoSpaceDN/>
        <w:adjustRightInd/>
        <w:ind w:right="-4"/>
        <w:rPr>
          <w:color w:val="000000" w:themeColor="text1"/>
        </w:rPr>
      </w:pPr>
      <w:r>
        <w:rPr>
          <w:color w:val="000000" w:themeColor="text1"/>
        </w:rPr>
        <w:t xml:space="preserve">ICF </w:t>
      </w:r>
      <w:r w:rsidRPr="00431529">
        <w:rPr>
          <w:color w:val="000000" w:themeColor="text1"/>
        </w:rPr>
        <w:t xml:space="preserve">will process token of appreciate checks for </w:t>
      </w:r>
      <w:r w:rsidR="00403680">
        <w:rPr>
          <w:color w:val="000000" w:themeColor="text1"/>
        </w:rPr>
        <w:t>w</w:t>
      </w:r>
      <w:r w:rsidRPr="00431529">
        <w:rPr>
          <w:color w:val="000000" w:themeColor="text1"/>
        </w:rPr>
        <w:t xml:space="preserve">eb </w:t>
      </w:r>
      <w:r>
        <w:rPr>
          <w:color w:val="000000" w:themeColor="text1"/>
        </w:rPr>
        <w:t xml:space="preserve">responders </w:t>
      </w:r>
      <w:r w:rsidRPr="00431529">
        <w:rPr>
          <w:color w:val="000000" w:themeColor="text1"/>
        </w:rPr>
        <w:t xml:space="preserve">approximately once per week. This delay will provide ICF with sufficient time to verify that the completion does not duplicate a recently submitted paper survey. </w:t>
      </w:r>
      <w:r>
        <w:rPr>
          <w:color w:val="000000" w:themeColor="text1"/>
        </w:rPr>
        <w:t xml:space="preserve">Therefore, we believe there is minimal risk that any respondent will receive more than a $40 token of appreciation.  </w:t>
      </w:r>
      <w:r w:rsidRPr="00F96E64">
        <w:rPr>
          <w:color w:val="000000" w:themeColor="text1"/>
        </w:rPr>
        <w:t xml:space="preserve">Please </w:t>
      </w:r>
      <w:r w:rsidRPr="00F60409">
        <w:rPr>
          <w:color w:val="000000" w:themeColor="text1"/>
        </w:rPr>
        <w:t xml:space="preserve">see </w:t>
      </w:r>
      <w:r w:rsidRPr="00B0473D">
        <w:rPr>
          <w:b/>
          <w:color w:val="000000" w:themeColor="text1"/>
        </w:rPr>
        <w:t>Attachment 10</w:t>
      </w:r>
      <w:r w:rsidRPr="00F96E64">
        <w:rPr>
          <w:color w:val="000000" w:themeColor="text1"/>
        </w:rPr>
        <w:t xml:space="preserve"> for the letter that will be mailed to physicians that complete the </w:t>
      </w:r>
      <w:r w:rsidR="00B142CF">
        <w:rPr>
          <w:color w:val="000000" w:themeColor="text1"/>
        </w:rPr>
        <w:t xml:space="preserve">mail or web </w:t>
      </w:r>
      <w:r w:rsidRPr="00F96E64">
        <w:rPr>
          <w:color w:val="000000" w:themeColor="text1"/>
        </w:rPr>
        <w:t>survey.</w:t>
      </w:r>
    </w:p>
    <w:p w14:paraId="2D47D4B7" w14:textId="77777777" w:rsidR="006D76AC" w:rsidRPr="00233877" w:rsidRDefault="009D1570" w:rsidP="009D1570">
      <w:pPr>
        <w:pStyle w:val="Heading1"/>
      </w:pPr>
      <w:bookmarkStart w:id="20" w:name="_Toc462298380"/>
      <w:r>
        <w:t>A.10</w:t>
      </w:r>
      <w:r>
        <w:tab/>
      </w:r>
      <w:r w:rsidR="006D76AC" w:rsidRPr="00233877">
        <w:t>Assurance of Confidentiality Provided to Respondents</w:t>
      </w:r>
      <w:bookmarkEnd w:id="20"/>
    </w:p>
    <w:p w14:paraId="7139D6B5" w14:textId="18942CB1" w:rsidR="0023217A" w:rsidRPr="00666CE8" w:rsidRDefault="0023217A" w:rsidP="0023217A">
      <w:pPr>
        <w:widowControl/>
        <w:autoSpaceDE/>
        <w:autoSpaceDN/>
        <w:adjustRightInd/>
        <w:spacing w:after="0"/>
        <w:rPr>
          <w:rFonts w:eastAsiaTheme="minorHAnsi"/>
        </w:rPr>
      </w:pPr>
      <w:r>
        <w:rPr>
          <w:rStyle w:val="CommentReference"/>
        </w:rPr>
        <w:commentReference w:id="21"/>
      </w:r>
      <w:r w:rsidRPr="00666CE8">
        <w:rPr>
          <w:rFonts w:eastAsiaTheme="minorHAnsi"/>
          <w:color w:val="000000"/>
        </w:rPr>
        <w:t xml:space="preserve">The CDC NCHHSTP Privacy and Confidentiality Review Officer and the NCHHSTP IT Security Information System Security Officer (ISSO),  have assessed this package for applicability of 5 U.S.C. § 552a, and determined that the Privacy Act does apply to the overall information collection.  </w:t>
      </w:r>
      <w:r w:rsidRPr="00666CE8">
        <w:rPr>
          <w:rFonts w:eastAsiaTheme="minorHAnsi"/>
        </w:rPr>
        <w:t xml:space="preserve">This information collection is covered under the Privacy Act system of records notice 09-20-0136, “Epidemiologic Studies and Surveillance of Disease Problems. HHS/CDC”, which enables the Centers for Disease Control and Prevention (CDC) officials to collect information to better understand disease patterns in the United States, develop programs for prevention and control of health problems, and communicate new knowledge to the health community. </w:t>
      </w:r>
    </w:p>
    <w:p w14:paraId="52EED650" w14:textId="77777777" w:rsidR="0023217A" w:rsidRPr="00666CE8" w:rsidRDefault="0023217A" w:rsidP="0023217A">
      <w:pPr>
        <w:widowControl/>
        <w:autoSpaceDE/>
        <w:autoSpaceDN/>
        <w:adjustRightInd/>
        <w:spacing w:after="0"/>
        <w:rPr>
          <w:rFonts w:eastAsiaTheme="minorHAnsi"/>
        </w:rPr>
      </w:pPr>
    </w:p>
    <w:p w14:paraId="2FA09EF1" w14:textId="77777777" w:rsidR="0023217A" w:rsidRPr="00666CE8" w:rsidRDefault="0023217A" w:rsidP="0023217A">
      <w:pPr>
        <w:widowControl/>
        <w:autoSpaceDE/>
        <w:autoSpaceDN/>
        <w:adjustRightInd/>
        <w:spacing w:after="0"/>
        <w:rPr>
          <w:rFonts w:eastAsiaTheme="minorHAnsi"/>
          <w:color w:val="000000" w:themeColor="text1"/>
        </w:rPr>
      </w:pPr>
      <w:r w:rsidRPr="00666CE8">
        <w:rPr>
          <w:rFonts w:eastAsiaTheme="minorHAnsi"/>
        </w:rPr>
        <w:t>Names and addresses constituting personally identifiable information (PII) for physicians in five specialties: primary care (including internal medicine), general or family practice, obstetrics/gynecology, emergency medicine, and pediatrics,</w:t>
      </w:r>
      <w:r w:rsidRPr="00666CE8">
        <w:rPr>
          <w:rFonts w:eastAsiaTheme="minorHAnsi"/>
          <w:color w:val="000000" w:themeColor="text1"/>
        </w:rPr>
        <w:t xml:space="preserve"> will be selected from the </w:t>
      </w:r>
      <w:r w:rsidRPr="00666CE8">
        <w:rPr>
          <w:rFonts w:eastAsiaTheme="minorHAnsi"/>
        </w:rPr>
        <w:t xml:space="preserve">American Medical Association (AMA) </w:t>
      </w:r>
      <w:r w:rsidRPr="00666CE8">
        <w:rPr>
          <w:rFonts w:eastAsiaTheme="minorHAnsi"/>
          <w:color w:val="000000" w:themeColor="text1"/>
        </w:rPr>
        <w:t xml:space="preserve">Master File and used by the CDC contractor, ICF, to create a unique Master ID.  </w:t>
      </w:r>
    </w:p>
    <w:p w14:paraId="3FFE6243" w14:textId="77777777" w:rsidR="0023217A" w:rsidRPr="00666CE8" w:rsidRDefault="0023217A" w:rsidP="0023217A">
      <w:pPr>
        <w:widowControl/>
        <w:autoSpaceDE/>
        <w:autoSpaceDN/>
        <w:adjustRightInd/>
        <w:spacing w:after="0"/>
        <w:rPr>
          <w:rFonts w:eastAsiaTheme="minorHAnsi"/>
          <w:color w:val="000000" w:themeColor="text1"/>
        </w:rPr>
      </w:pPr>
    </w:p>
    <w:p w14:paraId="01F2FE0E" w14:textId="23E87854" w:rsidR="0023217A" w:rsidRDefault="0023217A" w:rsidP="0023217A">
      <w:pPr>
        <w:widowControl/>
        <w:autoSpaceDE/>
        <w:autoSpaceDN/>
        <w:adjustRightInd/>
        <w:spacing w:after="0"/>
        <w:ind w:right="-4"/>
        <w:rPr>
          <w:rFonts w:eastAsiaTheme="minorHAnsi"/>
        </w:rPr>
      </w:pPr>
      <w:r w:rsidRPr="00666CE8">
        <w:rPr>
          <w:color w:val="000000" w:themeColor="text1"/>
        </w:rPr>
        <w:t xml:space="preserve">The Master ID will be barcoded onto each envelope and survey, which will allow ICF to process and track all returned mail (undelivered mail, completed surveys, partial surveys, refusals, etc.).  ICF will maintain an up-to-date list of providers that have or have not completed the survey. </w:t>
      </w:r>
      <w:r>
        <w:rPr>
          <w:color w:val="000000" w:themeColor="text1"/>
        </w:rPr>
        <w:t xml:space="preserve">Potential respondents may be contacted multiple times.  </w:t>
      </w:r>
      <w:r w:rsidRPr="00666CE8">
        <w:rPr>
          <w:color w:val="000000" w:themeColor="text1"/>
        </w:rPr>
        <w:t xml:space="preserve">Physicians that return a completed mailed survey will be provided with a token of appreciation.  </w:t>
      </w:r>
      <w:r>
        <w:rPr>
          <w:color w:val="000000" w:themeColor="text1"/>
        </w:rPr>
        <w:t>Survey i</w:t>
      </w:r>
      <w:r w:rsidRPr="00666CE8">
        <w:rPr>
          <w:rFonts w:eastAsiaTheme="minorHAnsi"/>
        </w:rPr>
        <w:t xml:space="preserve">nformation collected will be used to determine what STD prevention activities may be needed by type of providers (by specialty or public/private) based on survey findings related to screening and treatment practices for STDs including Expedited Partner Therapy (EPT or providing infected patients with medication to give to their sex partners).  </w:t>
      </w:r>
    </w:p>
    <w:p w14:paraId="285CE2F8" w14:textId="77777777" w:rsidR="0023217A" w:rsidRPr="0023217A" w:rsidRDefault="0023217A" w:rsidP="0023217A">
      <w:pPr>
        <w:widowControl/>
        <w:autoSpaceDE/>
        <w:autoSpaceDN/>
        <w:adjustRightInd/>
        <w:spacing w:after="0"/>
        <w:ind w:right="-4"/>
        <w:rPr>
          <w:rFonts w:eastAsiaTheme="minorHAnsi"/>
        </w:rPr>
      </w:pPr>
    </w:p>
    <w:p w14:paraId="2F595364" w14:textId="77777777" w:rsidR="002230AB" w:rsidRPr="00233877" w:rsidRDefault="00B3017A" w:rsidP="009D1570">
      <w:r w:rsidRPr="00233877">
        <w:t xml:space="preserve">To comply with CDC’s security requirements, defined as LOW security categorization per the National Institute of Standards and Technology (NIST) framework, </w:t>
      </w:r>
      <w:r w:rsidR="00B142CF">
        <w:t xml:space="preserve">ICF </w:t>
      </w:r>
      <w:r w:rsidRPr="00233877">
        <w:t>will utilize a private cloud environment. This environment provides a</w:t>
      </w:r>
      <w:r w:rsidR="00656AF0">
        <w:t>n</w:t>
      </w:r>
      <w:r w:rsidRPr="00233877">
        <w:t xml:space="preserve"> area with public-facing web servers to collect data, which are then passed through internal firewalls to hardened servers in a client-specific </w:t>
      </w:r>
      <w:r w:rsidR="007A5B91">
        <w:t>virtual local area network (</w:t>
      </w:r>
      <w:r w:rsidRPr="00233877">
        <w:t>VLAN</w:t>
      </w:r>
      <w:r w:rsidR="007A5B91">
        <w:t>)</w:t>
      </w:r>
      <w:r w:rsidRPr="00233877">
        <w:t xml:space="preserve"> and to a client-specific database instance in a firewalled </w:t>
      </w:r>
      <w:r w:rsidR="007A5B91">
        <w:t>structured query language (</w:t>
      </w:r>
      <w:r w:rsidRPr="00233877">
        <w:t>SQL</w:t>
      </w:r>
      <w:r w:rsidR="007A5B91">
        <w:t>)</w:t>
      </w:r>
      <w:r w:rsidRPr="00233877">
        <w:t xml:space="preserve"> server environment reserved for U.S. Government clients.</w:t>
      </w:r>
      <w:r w:rsidR="00E074A0">
        <w:t xml:space="preserve">  </w:t>
      </w:r>
      <w:r w:rsidR="007A5B91" w:rsidRPr="007A5B91">
        <w:t>Federal Information Processing Standards</w:t>
      </w:r>
      <w:r w:rsidR="007A5B91">
        <w:t xml:space="preserve"> (</w:t>
      </w:r>
      <w:r w:rsidRPr="00233877">
        <w:t>FIPS</w:t>
      </w:r>
      <w:r w:rsidR="007A5B91">
        <w:t>)</w:t>
      </w:r>
      <w:r w:rsidRPr="00233877">
        <w:t xml:space="preserve"> 140-2 compliant encryption is available for data in transit and at rest. Availability is enhanced by the resiliency of our virtualized server architecture. </w:t>
      </w:r>
    </w:p>
    <w:p w14:paraId="10E0F4DA" w14:textId="77777777" w:rsidR="00B3017A" w:rsidRPr="00233877" w:rsidRDefault="00B3017A" w:rsidP="009D1570">
      <w:r w:rsidRPr="00233877">
        <w:t xml:space="preserve">All relevant NIST controls are covered in </w:t>
      </w:r>
      <w:r w:rsidR="00B142CF">
        <w:t xml:space="preserve">ICF’s </w:t>
      </w:r>
      <w:r w:rsidRPr="00233877">
        <w:t xml:space="preserve">Security Planning process and implemented in our Security Policies and practices. The servers and workstations used in </w:t>
      </w:r>
      <w:r w:rsidR="00B142CF">
        <w:t>ICF’s</w:t>
      </w:r>
      <w:r w:rsidRPr="00233877">
        <w:t xml:space="preserve"> MODERATE security projects have consistently received top scores as rated against U.S. Government Configuration Baselines and during vulnerability assessments. </w:t>
      </w:r>
      <w:r w:rsidR="00B142CF">
        <w:t xml:space="preserve">ICF’s </w:t>
      </w:r>
      <w:r w:rsidRPr="00233877">
        <w:t xml:space="preserve">environment undergoes regular Security Reviews both by </w:t>
      </w:r>
      <w:r w:rsidR="00B142CF">
        <w:t>its</w:t>
      </w:r>
      <w:r w:rsidRPr="00233877">
        <w:t xml:space="preserve"> independent internal Information Security Team and by Federal clients. </w:t>
      </w:r>
      <w:r w:rsidR="00B142CF">
        <w:t>ICF</w:t>
      </w:r>
      <w:r w:rsidRPr="00233877">
        <w:t xml:space="preserve"> also </w:t>
      </w:r>
      <w:r w:rsidR="00B142CF">
        <w:t xml:space="preserve">has </w:t>
      </w:r>
      <w:r w:rsidRPr="00233877">
        <w:t xml:space="preserve">reserved an external, American Institute of Certified Public Accountants- (AICPA-) accredited accounting firm to perform a SOC2 Type 2 audit of </w:t>
      </w:r>
      <w:r w:rsidR="00B142CF">
        <w:t>its</w:t>
      </w:r>
      <w:r w:rsidRPr="00233877">
        <w:t xml:space="preserve"> environment. ICF employees all receive annual security training provided internally, and </w:t>
      </w:r>
      <w:r w:rsidR="00B142CF">
        <w:t xml:space="preserve">its </w:t>
      </w:r>
      <w:r w:rsidRPr="00233877">
        <w:t>security-cleared technical support and project administration staff all receive additional levels of security training from multiple sources.</w:t>
      </w:r>
    </w:p>
    <w:p w14:paraId="211E1AA6" w14:textId="4F150918" w:rsidR="002230AB" w:rsidRDefault="002230AB" w:rsidP="009D1570">
      <w:r w:rsidRPr="00233877">
        <w:t>The physical security of the data is ensured by the location of file servers, tapes, and tape back-up units in locked areas. Written material stored on-site is kept in locked file cabinets.  Information on the servers is protected from unauthorized users via user names and user level passwords. The files are not encrypted. Access to the data or codes that could identify respondents is controlled by different levels of password-protected access to ICF’s computer systems.  Access is granted to individuals and specified user groups who need to work with the data, including project management staff and sampling statisticians. Data with subject identifiers will not be released. ICF retains all project materials and documentation until five years after the expiration or termination of the contract. After five years, or as instructed by the client, all materials will be deleted, shredded, or otherwise destroyed.</w:t>
      </w:r>
      <w:r w:rsidR="00B44C1D">
        <w:t xml:space="preserve">  </w:t>
      </w:r>
    </w:p>
    <w:p w14:paraId="368FC1DD" w14:textId="77777777" w:rsidR="0023217A" w:rsidRDefault="0023217A" w:rsidP="0023217A">
      <w:pPr>
        <w:widowControl/>
        <w:autoSpaceDE/>
        <w:autoSpaceDN/>
        <w:adjustRightInd/>
        <w:spacing w:after="0"/>
        <w:rPr>
          <w:rFonts w:eastAsiaTheme="minorHAnsi"/>
        </w:rPr>
      </w:pPr>
      <w:r w:rsidRPr="00666CE8">
        <w:rPr>
          <w:rFonts w:eastAsiaTheme="minorHAnsi"/>
        </w:rPr>
        <w:t>The NCHHSTP IT Security Information System Security Officer (ISSO), Mr. Ralph Vaughn, is consulting on the system security described in this section. Th</w:t>
      </w:r>
      <w:r w:rsidRPr="00666CE8">
        <w:rPr>
          <w:rFonts w:eastAsia="Calibri"/>
        </w:rPr>
        <w:t xml:space="preserve">e data system for this collection will reside with the contractor at an external data </w:t>
      </w:r>
      <w:r>
        <w:rPr>
          <w:rFonts w:eastAsia="Calibri"/>
        </w:rPr>
        <w:t>site</w:t>
      </w:r>
      <w:r w:rsidRPr="00666CE8">
        <w:rPr>
          <w:rFonts w:eastAsia="Calibri"/>
        </w:rPr>
        <w:t xml:space="preserve"> and </w:t>
      </w:r>
      <w:r w:rsidRPr="00666CE8">
        <w:rPr>
          <w:rFonts w:eastAsia="Calibri"/>
          <w:u w:val="single"/>
        </w:rPr>
        <w:t>was subject to a Privacy Impact Assessment (PIA) during the SA&amp;A process (Enterprise Systems Catalog, IT Record ID: 2871, STD Provider Survey</w:t>
      </w:r>
      <w:r w:rsidRPr="00666CE8">
        <w:rPr>
          <w:rFonts w:eastAsia="Calibri"/>
        </w:rPr>
        <w:t>).  The data collection is forecast to begin in January 2018.  The contractor’s external sy</w:t>
      </w:r>
      <w:r w:rsidRPr="00666CE8">
        <w:rPr>
          <w:rFonts w:eastAsiaTheme="minorHAnsi"/>
        </w:rPr>
        <w:t xml:space="preserve">stem is in process of completing the SA&amp;A process but has not yet been granted Full Authority to Operate.  </w:t>
      </w:r>
      <w:r>
        <w:rPr>
          <w:rFonts w:eastAsiaTheme="minorHAnsi"/>
        </w:rPr>
        <w:t>AO c</w:t>
      </w:r>
      <w:r w:rsidRPr="00666CE8">
        <w:rPr>
          <w:rFonts w:eastAsiaTheme="minorHAnsi"/>
        </w:rPr>
        <w:t xml:space="preserve">ertification </w:t>
      </w:r>
      <w:r>
        <w:rPr>
          <w:rFonts w:eastAsiaTheme="minorHAnsi"/>
        </w:rPr>
        <w:t xml:space="preserve">will be obtained from Mr. Vaughn’s office </w:t>
      </w:r>
      <w:r w:rsidRPr="00666CE8">
        <w:rPr>
          <w:rFonts w:eastAsiaTheme="minorHAnsi"/>
        </w:rPr>
        <w:t xml:space="preserve">before data collection commences.   </w:t>
      </w:r>
    </w:p>
    <w:p w14:paraId="750AB35C" w14:textId="77777777" w:rsidR="0023217A" w:rsidRPr="00233877" w:rsidRDefault="0023217A" w:rsidP="009D1570"/>
    <w:p w14:paraId="1AF128C6" w14:textId="77777777" w:rsidR="006D76AC" w:rsidRPr="00233877" w:rsidRDefault="009D1570" w:rsidP="009D1570">
      <w:pPr>
        <w:pStyle w:val="Heading1"/>
      </w:pPr>
      <w:bookmarkStart w:id="22" w:name="_Toc462298381"/>
      <w:r>
        <w:t>A.11</w:t>
      </w:r>
      <w:r>
        <w:tab/>
        <w:t xml:space="preserve">Institutional Review Board (IRB) and </w:t>
      </w:r>
      <w:r w:rsidR="006D76AC" w:rsidRPr="00233877">
        <w:t>Justification for Sensitive Questions</w:t>
      </w:r>
      <w:bookmarkEnd w:id="22"/>
      <w:r w:rsidR="006D76AC" w:rsidRPr="00233877">
        <w:t xml:space="preserve"> </w:t>
      </w:r>
    </w:p>
    <w:p w14:paraId="30B5FEEF" w14:textId="77777777" w:rsidR="002E6EA9" w:rsidRPr="001B7573" w:rsidRDefault="002E6EA9" w:rsidP="002E6EA9">
      <w:pPr>
        <w:pStyle w:val="OMBText"/>
      </w:pPr>
      <w:r w:rsidRPr="001B7573">
        <w:t>IRB</w:t>
      </w:r>
    </w:p>
    <w:p w14:paraId="5101E9D8" w14:textId="77777777" w:rsidR="002E6EA9" w:rsidRPr="00816D06" w:rsidRDefault="002E6EA9" w:rsidP="002E6EA9">
      <w:pPr>
        <w:pStyle w:val="OMBText"/>
      </w:pPr>
      <w:r>
        <w:t>ICF has its own IRB (see Attachment 11-IRB Approval), which</w:t>
      </w:r>
      <w:r w:rsidRPr="00816D06">
        <w:t xml:space="preserve"> meets all of the Federal requirements as specified in 45 CFR 46, is registered with the Office for Human Research Protections, and has a Federal Wide Assurance (#FWA00000845). This ensures that all </w:t>
      </w:r>
      <w:r>
        <w:t xml:space="preserve">of its </w:t>
      </w:r>
      <w:r w:rsidRPr="00816D06">
        <w:t>projects involving human subjects comply with Federal regulations.</w:t>
      </w:r>
      <w:r>
        <w:t xml:space="preserve">  The ICF IRB approval letter is included in </w:t>
      </w:r>
      <w:r w:rsidR="00B90B98">
        <w:t>(</w:t>
      </w:r>
      <w:r w:rsidRPr="00B90B98">
        <w:rPr>
          <w:b/>
        </w:rPr>
        <w:t xml:space="preserve">Attachment 11- </w:t>
      </w:r>
      <w:r w:rsidRPr="00B90B98">
        <w:t>IRB Approval</w:t>
      </w:r>
      <w:r w:rsidR="00B90B98">
        <w:t>)</w:t>
      </w:r>
      <w:r>
        <w:t>.</w:t>
      </w:r>
    </w:p>
    <w:p w14:paraId="5174E733" w14:textId="77777777" w:rsidR="002E6EA9" w:rsidRDefault="002E6EA9" w:rsidP="009D1570">
      <w:r>
        <w:t>Justifications for Sensitive Questions</w:t>
      </w:r>
    </w:p>
    <w:p w14:paraId="0CD6604E" w14:textId="511FF48A" w:rsidR="00921DC3" w:rsidRDefault="00921DC3" w:rsidP="009D1570">
      <w:r w:rsidRPr="00233877">
        <w:t>While questions about STDs can often be considered sensitive, the proposed survey intends to collect information on STD treatment from providers</w:t>
      </w:r>
      <w:r w:rsidR="003614E3">
        <w:rPr>
          <w:u w:val="single"/>
        </w:rPr>
        <w:t>—</w:t>
      </w:r>
      <w:r w:rsidR="003614E3" w:rsidRPr="003614E3">
        <w:rPr>
          <w:u w:val="single"/>
        </w:rPr>
        <w:t>not</w:t>
      </w:r>
      <w:r w:rsidR="003614E3">
        <w:rPr>
          <w:u w:val="single"/>
        </w:rPr>
        <w:t xml:space="preserve"> </w:t>
      </w:r>
      <w:r w:rsidRPr="00233877">
        <w:t>patients. Thus, it is unlikely that a respondent will have an adverse reaction to the proposed questions. Regardless, it should be noted that respondents are made aware that participation is completely voluntary, and that they may refuse to answer any questions with w</w:t>
      </w:r>
      <w:r w:rsidR="00881D1D" w:rsidRPr="00233877">
        <w:t xml:space="preserve">hich they feel uncomfortable. It will also be clear that no identifying information about their patients will be requested and that only data </w:t>
      </w:r>
      <w:r w:rsidR="001C66F1">
        <w:t xml:space="preserve">that is aggregated to a group level </w:t>
      </w:r>
      <w:r w:rsidR="00881D1D" w:rsidRPr="00233877">
        <w:t>will be made available to individuals who are not part of the study team.</w:t>
      </w:r>
      <w:r w:rsidR="00403680">
        <w:t xml:space="preserve"> </w:t>
      </w:r>
    </w:p>
    <w:p w14:paraId="17393C79" w14:textId="77777777" w:rsidR="009D1570" w:rsidRPr="009D1570" w:rsidRDefault="009D1570" w:rsidP="009D1570">
      <w:pPr>
        <w:pStyle w:val="Heading1"/>
        <w:rPr>
          <w:rFonts w:ascii="Times New Roman Bold" w:hAnsi="Times New Roman Bold"/>
        </w:rPr>
      </w:pPr>
      <w:bookmarkStart w:id="23" w:name="_Toc456960237"/>
      <w:bookmarkStart w:id="24" w:name="_Toc462298382"/>
      <w:r>
        <w:t>A.1</w:t>
      </w:r>
      <w:r w:rsidR="007F471F">
        <w:t>2</w:t>
      </w:r>
      <w:r>
        <w:tab/>
        <w:t>Provide an Estimate in Hours of the Burden of the Collection of Information</w:t>
      </w:r>
      <w:bookmarkEnd w:id="23"/>
      <w:bookmarkEnd w:id="24"/>
    </w:p>
    <w:p w14:paraId="09D1A0E9" w14:textId="77777777" w:rsidR="008F1D3B" w:rsidRPr="00127DC8" w:rsidRDefault="008F1D3B" w:rsidP="008F1D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color w:val="000000" w:themeColor="text1"/>
        </w:rPr>
      </w:pPr>
      <w:r w:rsidRPr="00B91B3A">
        <w:rPr>
          <w:color w:val="000000" w:themeColor="text1"/>
        </w:rPr>
        <w:t xml:space="preserve">Included in the appendices </w:t>
      </w:r>
      <w:r>
        <w:rPr>
          <w:color w:val="000000" w:themeColor="text1"/>
        </w:rPr>
        <w:t>are</w:t>
      </w:r>
      <w:r w:rsidRPr="00B91B3A">
        <w:rPr>
          <w:color w:val="000000" w:themeColor="text1"/>
        </w:rPr>
        <w:t xml:space="preserve"> the survey instrument that will be mailed to physicians </w:t>
      </w:r>
      <w:r>
        <w:t xml:space="preserve">(see </w:t>
      </w:r>
      <w:r w:rsidRPr="002E6EA9">
        <w:rPr>
          <w:b/>
        </w:rPr>
        <w:t>Attachment 3 - Mailed Survey</w:t>
      </w:r>
      <w:r>
        <w:t xml:space="preserve">) </w:t>
      </w:r>
      <w:r w:rsidRPr="00B91B3A">
        <w:rPr>
          <w:color w:val="000000" w:themeColor="text1"/>
        </w:rPr>
        <w:t>and screen shots of the web-based survey that will be offered to physicians that do not respond to the mailed survey (</w:t>
      </w:r>
      <w:r>
        <w:t xml:space="preserve">see </w:t>
      </w:r>
      <w:r w:rsidRPr="002E6EA9">
        <w:rPr>
          <w:b/>
        </w:rPr>
        <w:t>Attachment 4</w:t>
      </w:r>
      <w:r>
        <w:t xml:space="preserve"> - Web Screen Shots)</w:t>
      </w:r>
      <w:r w:rsidRPr="00B91B3A">
        <w:rPr>
          <w:color w:val="000000" w:themeColor="text1"/>
        </w:rPr>
        <w:t xml:space="preserve">. </w:t>
      </w:r>
      <w:r>
        <w:rPr>
          <w:color w:val="000000" w:themeColor="text1"/>
        </w:rPr>
        <w:t xml:space="preserve"> The full process is as follows: </w:t>
      </w:r>
      <w:r>
        <w:t xml:space="preserve">First an invitation letter with consent (see </w:t>
      </w:r>
      <w:r w:rsidRPr="001B7573">
        <w:rPr>
          <w:b/>
        </w:rPr>
        <w:t>Attachment 5 -Mail Survey Invite</w:t>
      </w:r>
      <w:r>
        <w:t xml:space="preserve">) will be sent along with a mail survey. Providers who do not return a completed survey will be sent up to two additional reminder letters with mailed surveys (see </w:t>
      </w:r>
      <w:r w:rsidRPr="002E6EA9">
        <w:rPr>
          <w:b/>
        </w:rPr>
        <w:t>Attachments 6 and 7</w:t>
      </w:r>
      <w:r>
        <w:t xml:space="preserve">).  For all non-respondents, we will send two follow-up mail reminders containing a URL and a Quick Response Code (QR Code) for those who wish to complete the survey via </w:t>
      </w:r>
      <w:r w:rsidR="00403680">
        <w:t>w</w:t>
      </w:r>
      <w:r>
        <w:t xml:space="preserve">eb (see </w:t>
      </w:r>
      <w:r w:rsidRPr="001B7573">
        <w:rPr>
          <w:b/>
        </w:rPr>
        <w:t>Attachments 8 and 9</w:t>
      </w:r>
      <w:r>
        <w:t xml:space="preserve">). Finally, for those who respond and complete a </w:t>
      </w:r>
      <w:r w:rsidR="00B142CF">
        <w:t xml:space="preserve">mail or </w:t>
      </w:r>
      <w:r>
        <w:t xml:space="preserve">web survey, a thank you letter will be sent along with a $40 token of </w:t>
      </w:r>
      <w:r w:rsidRPr="008F1D3B">
        <w:t xml:space="preserve">appreciation (see </w:t>
      </w:r>
      <w:r w:rsidRPr="002E6EA9">
        <w:rPr>
          <w:b/>
        </w:rPr>
        <w:t>Attachment 10</w:t>
      </w:r>
      <w:r w:rsidRPr="008F1D3B">
        <w:t>).</w:t>
      </w:r>
      <w:r>
        <w:t xml:space="preserve"> </w:t>
      </w:r>
      <w:r w:rsidRPr="00127DC8">
        <w:rPr>
          <w:color w:val="000000" w:themeColor="text1"/>
        </w:rPr>
        <w:t xml:space="preserve">The only difference between the mail and web-based introduction and consent is that the </w:t>
      </w:r>
      <w:r w:rsidR="00403680">
        <w:rPr>
          <w:color w:val="000000" w:themeColor="text1"/>
        </w:rPr>
        <w:t>w</w:t>
      </w:r>
      <w:r w:rsidRPr="00127DC8">
        <w:rPr>
          <w:color w:val="000000" w:themeColor="text1"/>
        </w:rPr>
        <w:t>eb will use a “continue” button to advance to the survey.</w:t>
      </w:r>
    </w:p>
    <w:p w14:paraId="4A16D1E7" w14:textId="77777777" w:rsidR="008F1D3B" w:rsidRPr="00E60099" w:rsidRDefault="008F1D3B" w:rsidP="008F1D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r w:rsidRPr="003154F5">
        <w:t>We estimate that to reach our target of 3,</w:t>
      </w:r>
      <w:r w:rsidR="00362694" w:rsidRPr="003154F5">
        <w:t xml:space="preserve">500 </w:t>
      </w:r>
      <w:r w:rsidRPr="003154F5">
        <w:t>completed interviews, we will need to make contact with 5,000 physicians</w:t>
      </w:r>
      <w:r w:rsidR="0061083D" w:rsidRPr="003154F5">
        <w:t xml:space="preserve"> for </w:t>
      </w:r>
      <w:r w:rsidR="001B7573" w:rsidRPr="003154F5">
        <w:t>each</w:t>
      </w:r>
      <w:r w:rsidR="0061083D" w:rsidRPr="003154F5">
        <w:t xml:space="preserve"> </w:t>
      </w:r>
      <w:r w:rsidR="001B7573" w:rsidRPr="003154F5">
        <w:t xml:space="preserve">data </w:t>
      </w:r>
      <w:r w:rsidR="0061083D" w:rsidRPr="003154F5">
        <w:t>collection</w:t>
      </w:r>
      <w:r w:rsidRPr="003154F5">
        <w:t xml:space="preserve">. </w:t>
      </w:r>
      <w:r w:rsidR="00552B48" w:rsidRPr="003154F5">
        <w:t xml:space="preserve">Additionally, we estimate that 75% of respondents will reply to </w:t>
      </w:r>
      <w:r w:rsidR="00E80975" w:rsidRPr="003154F5">
        <w:t xml:space="preserve">the </w:t>
      </w:r>
      <w:r w:rsidR="00552B48" w:rsidRPr="003154F5">
        <w:t xml:space="preserve">mail survey for a total of 2,625 mail survey respondents and 875 web survey respondents. </w:t>
      </w:r>
      <w:r w:rsidR="003154F5" w:rsidRPr="003154F5">
        <w:t xml:space="preserve">Based on previous experience, most respondents reply after the first few notifications; thus, we estimated that only 25% will complete the web survey.  </w:t>
      </w:r>
      <w:r w:rsidRPr="00B91B3A">
        <w:rPr>
          <w:color w:val="000000" w:themeColor="text1"/>
        </w:rPr>
        <w:t>Based on a pilot test with five physicians, we expect that the mail survey</w:t>
      </w:r>
      <w:r>
        <w:rPr>
          <w:color w:val="000000" w:themeColor="text1"/>
        </w:rPr>
        <w:t xml:space="preserve"> (with the introduction/consent)</w:t>
      </w:r>
      <w:r w:rsidRPr="00B91B3A">
        <w:rPr>
          <w:color w:val="000000" w:themeColor="text1"/>
        </w:rPr>
        <w:t xml:space="preserve"> will take </w:t>
      </w:r>
      <w:r>
        <w:rPr>
          <w:color w:val="000000" w:themeColor="text1"/>
        </w:rPr>
        <w:t>20</w:t>
      </w:r>
      <w:r w:rsidRPr="00B91B3A">
        <w:rPr>
          <w:color w:val="000000" w:themeColor="text1"/>
        </w:rPr>
        <w:t xml:space="preserve"> minutes to complete on average.  Based on a pilot test with two physicians, we expect that the web survey </w:t>
      </w:r>
      <w:r>
        <w:rPr>
          <w:color w:val="000000" w:themeColor="text1"/>
        </w:rPr>
        <w:t xml:space="preserve">(with the introduction/consent) </w:t>
      </w:r>
      <w:r w:rsidRPr="00B91B3A">
        <w:rPr>
          <w:color w:val="000000" w:themeColor="text1"/>
        </w:rPr>
        <w:t xml:space="preserve">will take 32 minutes to complete on average (this omits one physician who stopped, and then restarted the survey over a two-day period). </w:t>
      </w:r>
      <w:r w:rsidR="00552B48">
        <w:rPr>
          <w:color w:val="000000" w:themeColor="text1"/>
        </w:rPr>
        <w:t xml:space="preserve">The mail survey takes less time as there are several series of questions that are easy to answer quickly in a grid.  Despite repeated attempts to make the grid fit in web-format, we were unable to do so for respondents who may use technology other than a desktop computer. </w:t>
      </w:r>
      <w:r w:rsidR="00E80975">
        <w:rPr>
          <w:color w:val="000000" w:themeColor="text1"/>
        </w:rPr>
        <w:t>Thus, the survey takes longer in web-format.</w:t>
      </w:r>
      <w:r w:rsidR="00552B48">
        <w:rPr>
          <w:color w:val="000000" w:themeColor="text1"/>
        </w:rPr>
        <w:t xml:space="preserve"> </w:t>
      </w:r>
      <w:r w:rsidRPr="00B91B3A">
        <w:rPr>
          <w:color w:val="000000" w:themeColor="text1"/>
        </w:rPr>
        <w:t xml:space="preserve">There are a limited number </w:t>
      </w:r>
      <w:r w:rsidRPr="00E60099">
        <w:t xml:space="preserve">of skip patterns in the survey so almost all physicians will be asked to answer each question. Thus, we provide an estimated average for the entire survey—separately for mail and </w:t>
      </w:r>
      <w:r w:rsidR="00403680">
        <w:t>w</w:t>
      </w:r>
      <w:r w:rsidRPr="00E60099">
        <w:t xml:space="preserve">eb given the increased time necessary to complete the </w:t>
      </w:r>
      <w:r w:rsidR="00115714">
        <w:t>w</w:t>
      </w:r>
      <w:r w:rsidRPr="00E60099">
        <w:t>eb version. The total estimated burden hours</w:t>
      </w:r>
      <w:r w:rsidR="00BB47BB">
        <w:t xml:space="preserve"> for </w:t>
      </w:r>
      <w:r w:rsidR="00711BBC">
        <w:t>this data collection is</w:t>
      </w:r>
      <w:r w:rsidRPr="00E60099">
        <w:t xml:space="preserve"> </w:t>
      </w:r>
      <w:r w:rsidR="00E60099">
        <w:t>1,</w:t>
      </w:r>
      <w:r w:rsidR="00552B48">
        <w:t>342 – 875 hours for mail survey and 467 hours for web survey</w:t>
      </w:r>
      <w:r w:rsidR="00711BBC">
        <w:t>.</w:t>
      </w:r>
    </w:p>
    <w:p w14:paraId="687F5ACA" w14:textId="77777777" w:rsidR="008F1D3B" w:rsidRPr="00B91B3A" w:rsidRDefault="008F1D3B" w:rsidP="008F1D3B">
      <w:pPr>
        <w:pStyle w:val="Caption"/>
        <w:keepNext/>
      </w:pPr>
      <w:r w:rsidRPr="00B91B3A">
        <w:t>Table A.12.a. Estimated Annual Burden Hours</w:t>
      </w:r>
      <w:r w:rsidR="00CC0532">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1960"/>
        <w:gridCol w:w="1666"/>
        <w:gridCol w:w="1962"/>
        <w:gridCol w:w="1792"/>
        <w:gridCol w:w="1275"/>
      </w:tblGrid>
      <w:tr w:rsidR="008F1D3B" w:rsidRPr="00B91B3A" w14:paraId="4ECA7C2C" w14:textId="77777777" w:rsidTr="000E5797">
        <w:trPr>
          <w:trHeight w:val="1088"/>
        </w:trPr>
        <w:tc>
          <w:tcPr>
            <w:tcW w:w="797" w:type="pct"/>
            <w:vAlign w:val="center"/>
          </w:tcPr>
          <w:p w14:paraId="78CAE958" w14:textId="77777777" w:rsidR="008F1D3B" w:rsidRPr="000E5797" w:rsidRDefault="008F1D3B" w:rsidP="002C1143">
            <w:pPr>
              <w:spacing w:after="0"/>
              <w:rPr>
                <w:b/>
                <w:color w:val="000000" w:themeColor="text1"/>
              </w:rPr>
            </w:pPr>
            <w:r w:rsidRPr="000E5797">
              <w:rPr>
                <w:b/>
                <w:color w:val="000000" w:themeColor="text1"/>
              </w:rPr>
              <w:t>Type of Respondents</w:t>
            </w:r>
          </w:p>
        </w:tc>
        <w:tc>
          <w:tcPr>
            <w:tcW w:w="952" w:type="pct"/>
          </w:tcPr>
          <w:p w14:paraId="1B66DFBD" w14:textId="77777777" w:rsidR="008F1D3B" w:rsidRPr="000E5797" w:rsidRDefault="008F1D3B" w:rsidP="002C1143">
            <w:pPr>
              <w:spacing w:after="0"/>
              <w:rPr>
                <w:b/>
                <w:color w:val="000000" w:themeColor="text1"/>
              </w:rPr>
            </w:pPr>
          </w:p>
          <w:p w14:paraId="54A2186C" w14:textId="77777777" w:rsidR="008F1D3B" w:rsidRPr="000E5797" w:rsidRDefault="008F1D3B" w:rsidP="002C1143">
            <w:pPr>
              <w:spacing w:after="0"/>
              <w:rPr>
                <w:b/>
                <w:color w:val="000000" w:themeColor="text1"/>
              </w:rPr>
            </w:pPr>
            <w:r w:rsidRPr="000E5797">
              <w:rPr>
                <w:b/>
                <w:color w:val="000000" w:themeColor="text1"/>
              </w:rPr>
              <w:t>Form Name</w:t>
            </w:r>
          </w:p>
        </w:tc>
        <w:tc>
          <w:tcPr>
            <w:tcW w:w="809" w:type="pct"/>
            <w:vAlign w:val="center"/>
          </w:tcPr>
          <w:p w14:paraId="698FBB01" w14:textId="77777777" w:rsidR="008F1D3B" w:rsidRPr="000E5797" w:rsidRDefault="008F1D3B" w:rsidP="002C1143">
            <w:pPr>
              <w:spacing w:after="0"/>
              <w:rPr>
                <w:b/>
                <w:color w:val="000000" w:themeColor="text1"/>
              </w:rPr>
            </w:pPr>
            <w:r w:rsidRPr="000E5797">
              <w:rPr>
                <w:b/>
                <w:color w:val="000000" w:themeColor="text1"/>
              </w:rPr>
              <w:t>Number of Respondents</w:t>
            </w:r>
          </w:p>
        </w:tc>
        <w:tc>
          <w:tcPr>
            <w:tcW w:w="953" w:type="pct"/>
            <w:vAlign w:val="center"/>
          </w:tcPr>
          <w:p w14:paraId="4A05F20D" w14:textId="77777777" w:rsidR="008F1D3B" w:rsidRPr="000E5797" w:rsidRDefault="008F1D3B" w:rsidP="002C1143">
            <w:pPr>
              <w:spacing w:after="0"/>
              <w:rPr>
                <w:b/>
                <w:color w:val="000000" w:themeColor="text1"/>
              </w:rPr>
            </w:pPr>
            <w:r w:rsidRPr="000E5797">
              <w:rPr>
                <w:b/>
                <w:color w:val="000000" w:themeColor="text1"/>
              </w:rPr>
              <w:t>Number of Responses per Respondent</w:t>
            </w:r>
          </w:p>
        </w:tc>
        <w:tc>
          <w:tcPr>
            <w:tcW w:w="870" w:type="pct"/>
            <w:vAlign w:val="center"/>
          </w:tcPr>
          <w:p w14:paraId="6123AAA5" w14:textId="77777777" w:rsidR="008F1D3B" w:rsidRPr="000E5797" w:rsidRDefault="008F1D3B" w:rsidP="002C1143">
            <w:pPr>
              <w:spacing w:after="0"/>
              <w:rPr>
                <w:b/>
                <w:color w:val="000000" w:themeColor="text1"/>
              </w:rPr>
            </w:pPr>
            <w:r w:rsidRPr="000E5797">
              <w:rPr>
                <w:b/>
                <w:color w:val="000000" w:themeColor="text1"/>
              </w:rPr>
              <w:t>Average Burden per Response</w:t>
            </w:r>
          </w:p>
          <w:p w14:paraId="3056788C" w14:textId="77777777" w:rsidR="008F1D3B" w:rsidRPr="000E5797" w:rsidRDefault="008F1D3B" w:rsidP="002C1143">
            <w:pPr>
              <w:spacing w:after="0"/>
              <w:rPr>
                <w:b/>
                <w:color w:val="000000" w:themeColor="text1"/>
              </w:rPr>
            </w:pPr>
            <w:r w:rsidRPr="000E5797">
              <w:rPr>
                <w:b/>
                <w:color w:val="000000" w:themeColor="text1"/>
              </w:rPr>
              <w:t>(in hours)</w:t>
            </w:r>
          </w:p>
        </w:tc>
        <w:tc>
          <w:tcPr>
            <w:tcW w:w="619" w:type="pct"/>
            <w:vAlign w:val="center"/>
          </w:tcPr>
          <w:p w14:paraId="005B6F53" w14:textId="77777777" w:rsidR="008F1D3B" w:rsidRPr="000E5797" w:rsidRDefault="008F1D3B" w:rsidP="002C1143">
            <w:pPr>
              <w:spacing w:after="0"/>
              <w:rPr>
                <w:b/>
                <w:color w:val="000000" w:themeColor="text1"/>
              </w:rPr>
            </w:pPr>
            <w:r w:rsidRPr="000E5797">
              <w:rPr>
                <w:b/>
                <w:color w:val="000000" w:themeColor="text1"/>
              </w:rPr>
              <w:t>Total Burden (in hours)</w:t>
            </w:r>
          </w:p>
        </w:tc>
      </w:tr>
      <w:tr w:rsidR="008F1D3B" w:rsidRPr="00B91B3A" w14:paraId="63E1C1F5" w14:textId="77777777" w:rsidTr="000E5797">
        <w:trPr>
          <w:trHeight w:val="413"/>
        </w:trPr>
        <w:tc>
          <w:tcPr>
            <w:tcW w:w="797" w:type="pct"/>
            <w:vAlign w:val="center"/>
          </w:tcPr>
          <w:p w14:paraId="490A8697" w14:textId="77777777" w:rsidR="008F1D3B" w:rsidRPr="00B91B3A" w:rsidRDefault="008F1D3B" w:rsidP="002C1143">
            <w:pPr>
              <w:spacing w:after="0"/>
              <w:rPr>
                <w:color w:val="000000" w:themeColor="text1"/>
              </w:rPr>
            </w:pPr>
            <w:r w:rsidRPr="00B91B3A">
              <w:rPr>
                <w:color w:val="000000" w:themeColor="text1"/>
              </w:rPr>
              <w:t>Physicians responding via Mail</w:t>
            </w:r>
          </w:p>
        </w:tc>
        <w:tc>
          <w:tcPr>
            <w:tcW w:w="952" w:type="pct"/>
          </w:tcPr>
          <w:p w14:paraId="33DA3895" w14:textId="77777777" w:rsidR="008F1D3B" w:rsidRPr="00B91B3A" w:rsidRDefault="008F1D3B" w:rsidP="002C1143">
            <w:pPr>
              <w:tabs>
                <w:tab w:val="left" w:pos="3817"/>
              </w:tabs>
              <w:spacing w:after="0"/>
              <w:rPr>
                <w:color w:val="000000" w:themeColor="text1"/>
              </w:rPr>
            </w:pPr>
            <w:r w:rsidRPr="00B91B3A">
              <w:rPr>
                <w:color w:val="000000" w:themeColor="text1"/>
              </w:rPr>
              <w:t xml:space="preserve">STD Provider </w:t>
            </w:r>
            <w:r w:rsidR="006701CF">
              <w:rPr>
                <w:color w:val="000000" w:themeColor="text1"/>
              </w:rPr>
              <w:t xml:space="preserve">Mail </w:t>
            </w:r>
            <w:r w:rsidRPr="00B91B3A">
              <w:rPr>
                <w:color w:val="000000" w:themeColor="text1"/>
              </w:rPr>
              <w:t>Survey</w:t>
            </w:r>
          </w:p>
        </w:tc>
        <w:tc>
          <w:tcPr>
            <w:tcW w:w="809" w:type="pct"/>
          </w:tcPr>
          <w:p w14:paraId="55B96AEB" w14:textId="77777777" w:rsidR="008F1D3B" w:rsidRPr="00B91B3A" w:rsidRDefault="00552B48" w:rsidP="002C1143">
            <w:pPr>
              <w:spacing w:after="0"/>
              <w:jc w:val="right"/>
              <w:rPr>
                <w:color w:val="000000" w:themeColor="text1"/>
              </w:rPr>
            </w:pPr>
            <w:r>
              <w:rPr>
                <w:color w:val="000000" w:themeColor="text1"/>
              </w:rPr>
              <w:t>2,625</w:t>
            </w:r>
          </w:p>
        </w:tc>
        <w:tc>
          <w:tcPr>
            <w:tcW w:w="953" w:type="pct"/>
          </w:tcPr>
          <w:p w14:paraId="45479B74" w14:textId="77777777" w:rsidR="008F1D3B" w:rsidRPr="00B91B3A" w:rsidRDefault="008F1D3B" w:rsidP="002C1143">
            <w:pPr>
              <w:spacing w:after="0"/>
              <w:jc w:val="right"/>
              <w:rPr>
                <w:color w:val="000000" w:themeColor="text1"/>
              </w:rPr>
            </w:pPr>
            <w:r w:rsidRPr="00B91B3A">
              <w:rPr>
                <w:color w:val="000000" w:themeColor="text1"/>
              </w:rPr>
              <w:t>1</w:t>
            </w:r>
          </w:p>
        </w:tc>
        <w:tc>
          <w:tcPr>
            <w:tcW w:w="870" w:type="pct"/>
          </w:tcPr>
          <w:p w14:paraId="67238210" w14:textId="77777777" w:rsidR="008F1D3B" w:rsidRPr="00B91B3A" w:rsidRDefault="008F1D3B" w:rsidP="002C1143">
            <w:pPr>
              <w:spacing w:after="0"/>
              <w:jc w:val="right"/>
              <w:rPr>
                <w:color w:val="000000" w:themeColor="text1"/>
              </w:rPr>
            </w:pPr>
            <w:r w:rsidRPr="00B91B3A">
              <w:rPr>
                <w:color w:val="000000" w:themeColor="text1"/>
              </w:rPr>
              <w:t>20/60</w:t>
            </w:r>
          </w:p>
        </w:tc>
        <w:tc>
          <w:tcPr>
            <w:tcW w:w="619" w:type="pct"/>
          </w:tcPr>
          <w:p w14:paraId="5841803E" w14:textId="77777777" w:rsidR="008F1D3B" w:rsidRPr="00B91B3A" w:rsidRDefault="00552B48" w:rsidP="002C1143">
            <w:pPr>
              <w:spacing w:after="0"/>
              <w:jc w:val="right"/>
              <w:rPr>
                <w:color w:val="000000" w:themeColor="text1"/>
              </w:rPr>
            </w:pPr>
            <w:r>
              <w:rPr>
                <w:color w:val="000000" w:themeColor="text1"/>
              </w:rPr>
              <w:t>875</w:t>
            </w:r>
          </w:p>
        </w:tc>
      </w:tr>
      <w:tr w:rsidR="008F1D3B" w:rsidRPr="00B91B3A" w14:paraId="036DE6C2" w14:textId="77777777" w:rsidTr="000E5797">
        <w:trPr>
          <w:trHeight w:val="576"/>
        </w:trPr>
        <w:tc>
          <w:tcPr>
            <w:tcW w:w="797" w:type="pct"/>
            <w:vAlign w:val="center"/>
          </w:tcPr>
          <w:p w14:paraId="66DAC25F" w14:textId="77777777" w:rsidR="008F1D3B" w:rsidRPr="00B91B3A" w:rsidRDefault="008F1D3B" w:rsidP="00115714">
            <w:pPr>
              <w:spacing w:after="0"/>
              <w:rPr>
                <w:color w:val="000000" w:themeColor="text1"/>
              </w:rPr>
            </w:pPr>
            <w:r w:rsidRPr="00B91B3A">
              <w:rPr>
                <w:color w:val="000000" w:themeColor="text1"/>
              </w:rPr>
              <w:t xml:space="preserve">Physicians responding via </w:t>
            </w:r>
            <w:r w:rsidR="00115714">
              <w:rPr>
                <w:color w:val="000000" w:themeColor="text1"/>
              </w:rPr>
              <w:t>W</w:t>
            </w:r>
            <w:r w:rsidRPr="00B91B3A">
              <w:rPr>
                <w:color w:val="000000" w:themeColor="text1"/>
              </w:rPr>
              <w:t>eb</w:t>
            </w:r>
          </w:p>
        </w:tc>
        <w:tc>
          <w:tcPr>
            <w:tcW w:w="952" w:type="pct"/>
          </w:tcPr>
          <w:p w14:paraId="715FA5B4" w14:textId="77777777" w:rsidR="008F1D3B" w:rsidRPr="00B91B3A" w:rsidRDefault="008F1D3B" w:rsidP="002C1143">
            <w:pPr>
              <w:tabs>
                <w:tab w:val="left" w:pos="3817"/>
              </w:tabs>
              <w:spacing w:after="0"/>
              <w:rPr>
                <w:color w:val="000000" w:themeColor="text1"/>
              </w:rPr>
            </w:pPr>
            <w:r w:rsidRPr="00B91B3A">
              <w:rPr>
                <w:color w:val="000000" w:themeColor="text1"/>
              </w:rPr>
              <w:t xml:space="preserve">STD Provider </w:t>
            </w:r>
            <w:r w:rsidR="006701CF">
              <w:rPr>
                <w:color w:val="000000" w:themeColor="text1"/>
              </w:rPr>
              <w:t xml:space="preserve">Web </w:t>
            </w:r>
            <w:r w:rsidRPr="00B91B3A">
              <w:rPr>
                <w:color w:val="000000" w:themeColor="text1"/>
              </w:rPr>
              <w:t>Survey</w:t>
            </w:r>
          </w:p>
        </w:tc>
        <w:tc>
          <w:tcPr>
            <w:tcW w:w="809" w:type="pct"/>
          </w:tcPr>
          <w:p w14:paraId="7D64D982" w14:textId="77777777" w:rsidR="008F1D3B" w:rsidRPr="00B91B3A" w:rsidRDefault="00552B48" w:rsidP="002C1143">
            <w:pPr>
              <w:spacing w:after="0"/>
              <w:jc w:val="right"/>
              <w:rPr>
                <w:color w:val="000000" w:themeColor="text1"/>
              </w:rPr>
            </w:pPr>
            <w:r>
              <w:rPr>
                <w:color w:val="000000" w:themeColor="text1"/>
              </w:rPr>
              <w:t>875</w:t>
            </w:r>
          </w:p>
        </w:tc>
        <w:tc>
          <w:tcPr>
            <w:tcW w:w="953" w:type="pct"/>
          </w:tcPr>
          <w:p w14:paraId="20F93874" w14:textId="77777777" w:rsidR="008F1D3B" w:rsidRPr="00B91B3A" w:rsidRDefault="008F1D3B" w:rsidP="002C1143">
            <w:pPr>
              <w:spacing w:after="0"/>
              <w:jc w:val="right"/>
              <w:rPr>
                <w:color w:val="000000" w:themeColor="text1"/>
              </w:rPr>
            </w:pPr>
            <w:r w:rsidRPr="00B91B3A">
              <w:rPr>
                <w:color w:val="000000" w:themeColor="text1"/>
              </w:rPr>
              <w:t>1</w:t>
            </w:r>
          </w:p>
        </w:tc>
        <w:tc>
          <w:tcPr>
            <w:tcW w:w="870" w:type="pct"/>
          </w:tcPr>
          <w:p w14:paraId="13F78718" w14:textId="77777777" w:rsidR="008F1D3B" w:rsidRPr="00B91B3A" w:rsidRDefault="008F1D3B" w:rsidP="002C1143">
            <w:pPr>
              <w:spacing w:after="0"/>
              <w:jc w:val="right"/>
              <w:rPr>
                <w:color w:val="000000" w:themeColor="text1"/>
              </w:rPr>
            </w:pPr>
            <w:r w:rsidRPr="00B91B3A">
              <w:rPr>
                <w:color w:val="000000" w:themeColor="text1"/>
              </w:rPr>
              <w:t>32/60</w:t>
            </w:r>
          </w:p>
        </w:tc>
        <w:tc>
          <w:tcPr>
            <w:tcW w:w="619" w:type="pct"/>
          </w:tcPr>
          <w:p w14:paraId="1A066C1A" w14:textId="77777777" w:rsidR="008F1D3B" w:rsidRPr="00B91B3A" w:rsidRDefault="00552B48" w:rsidP="002C1143">
            <w:pPr>
              <w:spacing w:after="0"/>
              <w:jc w:val="right"/>
              <w:rPr>
                <w:color w:val="000000" w:themeColor="text1"/>
              </w:rPr>
            </w:pPr>
            <w:r>
              <w:rPr>
                <w:color w:val="000000" w:themeColor="text1"/>
              </w:rPr>
              <w:t>467</w:t>
            </w:r>
          </w:p>
        </w:tc>
      </w:tr>
      <w:tr w:rsidR="008F1D3B" w:rsidRPr="00E60099" w14:paraId="55215478" w14:textId="77777777" w:rsidTr="000E5797">
        <w:trPr>
          <w:trHeight w:val="287"/>
        </w:trPr>
        <w:tc>
          <w:tcPr>
            <w:tcW w:w="4381" w:type="pct"/>
            <w:gridSpan w:val="5"/>
          </w:tcPr>
          <w:p w14:paraId="2A3A54A1" w14:textId="77777777" w:rsidR="008F1D3B" w:rsidRPr="001B7573" w:rsidRDefault="008F1D3B" w:rsidP="002C1143">
            <w:pPr>
              <w:jc w:val="right"/>
              <w:rPr>
                <w:b/>
                <w:color w:val="000000" w:themeColor="text1"/>
              </w:rPr>
            </w:pPr>
            <w:r w:rsidRPr="001B7573">
              <w:rPr>
                <w:b/>
                <w:color w:val="000000" w:themeColor="text1"/>
              </w:rPr>
              <w:t>Total Annual Burden Hours</w:t>
            </w:r>
          </w:p>
        </w:tc>
        <w:tc>
          <w:tcPr>
            <w:tcW w:w="619" w:type="pct"/>
          </w:tcPr>
          <w:p w14:paraId="1ACD6827" w14:textId="77777777" w:rsidR="008F1D3B" w:rsidRPr="00E60099" w:rsidRDefault="008F1D3B" w:rsidP="00552B48">
            <w:pPr>
              <w:jc w:val="right"/>
            </w:pPr>
            <w:r w:rsidRPr="00E60099">
              <w:t>1,</w:t>
            </w:r>
            <w:r w:rsidR="00552B48">
              <w:t>342</w:t>
            </w:r>
          </w:p>
        </w:tc>
      </w:tr>
    </w:tbl>
    <w:p w14:paraId="7AB25130" w14:textId="77777777" w:rsidR="008F1D3B" w:rsidRPr="00E91FD1" w:rsidRDefault="008F1D3B" w:rsidP="008F1D3B">
      <w:pPr>
        <w:pStyle w:val="Bulleted"/>
        <w:numPr>
          <w:ilvl w:val="0"/>
          <w:numId w:val="0"/>
        </w:numPr>
        <w:rPr>
          <w:color w:val="C00000"/>
        </w:rPr>
      </w:pPr>
    </w:p>
    <w:p w14:paraId="25E19739" w14:textId="77777777" w:rsidR="008F1D3B" w:rsidRPr="00E60099" w:rsidRDefault="008F1D3B" w:rsidP="008F1D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r w:rsidRPr="00B91B3A">
        <w:rPr>
          <w:rStyle w:val="Footer1"/>
          <w:color w:val="000000" w:themeColor="text1"/>
        </w:rPr>
        <w:t xml:space="preserve">For this information collection, there are no direct costs to the respondents themselves. However, the cost to physician respondents can be calculated in terms of the time it will take to respond to the survey. </w:t>
      </w:r>
      <w:r w:rsidRPr="00B91B3A">
        <w:rPr>
          <w:color w:val="000000" w:themeColor="text1"/>
        </w:rPr>
        <w:t xml:space="preserve">Table A.12.b illustrates the total calculation of costs to respondents for the survey. The estimated respondent burden hours have been multiplied by an estimated average hourly salary for “physicians and surgeons.”  The estimated burden cost in terms of the value of time physicians spend in responding is based on information provided by the U.S. Department of Labor, Bureau of Labor Statistics, at </w:t>
      </w:r>
      <w:hyperlink r:id="rId11" w:history="1">
        <w:r w:rsidRPr="00B91B3A">
          <w:rPr>
            <w:rStyle w:val="Hyperlink"/>
            <w:color w:val="000000" w:themeColor="text1"/>
          </w:rPr>
          <w:t>http://www.bls.gov/oes/current/oes_nat.htm</w:t>
        </w:r>
      </w:hyperlink>
      <w:r w:rsidRPr="00B91B3A">
        <w:rPr>
          <w:color w:val="000000" w:themeColor="text1"/>
        </w:rPr>
        <w:t xml:space="preserve">, which estimates the latest (May 2015) mean hourly earnings among physicians and surgeons (Occupation code 29-1060) of $97.33/hour. At that hourly rate, the total annual cost burden for the time spent by physicians is </w:t>
      </w:r>
      <w:r w:rsidRPr="00E60099">
        <w:t>$</w:t>
      </w:r>
      <w:r w:rsidR="007B4E51">
        <w:t>130</w:t>
      </w:r>
      <w:r w:rsidR="00711BBC">
        <w:t>,</w:t>
      </w:r>
      <w:r w:rsidR="007B4E51">
        <w:t>617</w:t>
      </w:r>
      <w:r w:rsidRPr="00E60099">
        <w:t xml:space="preserve">.  </w:t>
      </w:r>
    </w:p>
    <w:p w14:paraId="5A73380D" w14:textId="77777777" w:rsidR="008F1D3B" w:rsidRPr="00E60099" w:rsidRDefault="008F1D3B" w:rsidP="008F1D3B">
      <w:pPr>
        <w:pStyle w:val="Caption"/>
        <w:keepNext/>
        <w:rPr>
          <w:color w:val="auto"/>
        </w:rPr>
      </w:pPr>
      <w:r w:rsidRPr="00E60099">
        <w:rPr>
          <w:color w:val="auto"/>
        </w:rPr>
        <w:t>Table A.12.b. Estimated Annual Burden Cost</w:t>
      </w:r>
    </w:p>
    <w:tbl>
      <w:tblPr>
        <w:tblStyle w:val="TableGrid"/>
        <w:tblW w:w="5000" w:type="pct"/>
        <w:tblLayout w:type="fixed"/>
        <w:tblLook w:val="04A0" w:firstRow="1" w:lastRow="0" w:firstColumn="1" w:lastColumn="0" w:noHBand="0" w:noVBand="1"/>
      </w:tblPr>
      <w:tblGrid>
        <w:gridCol w:w="1862"/>
        <w:gridCol w:w="2724"/>
        <w:gridCol w:w="1219"/>
        <w:gridCol w:w="2518"/>
        <w:gridCol w:w="1973"/>
      </w:tblGrid>
      <w:tr w:rsidR="008F1D3B" w:rsidRPr="00E60099" w14:paraId="0A0A45F1" w14:textId="77777777" w:rsidTr="001B7573">
        <w:trPr>
          <w:trHeight w:val="1115"/>
        </w:trPr>
        <w:tc>
          <w:tcPr>
            <w:tcW w:w="904" w:type="pct"/>
          </w:tcPr>
          <w:p w14:paraId="113A3C78" w14:textId="77777777" w:rsidR="008F1D3B" w:rsidRPr="001B7573" w:rsidRDefault="008F1D3B" w:rsidP="002C1143">
            <w:pPr>
              <w:spacing w:after="0"/>
              <w:rPr>
                <w:rFonts w:eastAsia="Batang"/>
                <w:b/>
              </w:rPr>
            </w:pPr>
          </w:p>
          <w:p w14:paraId="022E70BC" w14:textId="77777777" w:rsidR="008F1D3B" w:rsidRPr="001B7573" w:rsidRDefault="008F1D3B" w:rsidP="002C1143">
            <w:pPr>
              <w:spacing w:after="0"/>
              <w:jc w:val="center"/>
              <w:rPr>
                <w:rFonts w:eastAsia="Batang"/>
                <w:b/>
              </w:rPr>
            </w:pPr>
            <w:r w:rsidRPr="001B7573">
              <w:rPr>
                <w:rFonts w:eastAsia="Batang"/>
                <w:b/>
              </w:rPr>
              <w:t>Type of Respondent</w:t>
            </w:r>
          </w:p>
        </w:tc>
        <w:tc>
          <w:tcPr>
            <w:tcW w:w="1323" w:type="pct"/>
          </w:tcPr>
          <w:p w14:paraId="4AA7850F" w14:textId="77777777" w:rsidR="008F1D3B" w:rsidRPr="001B7573" w:rsidRDefault="008F1D3B" w:rsidP="002C1143">
            <w:pPr>
              <w:spacing w:after="0"/>
              <w:rPr>
                <w:rFonts w:eastAsia="Batang"/>
                <w:b/>
              </w:rPr>
            </w:pPr>
          </w:p>
          <w:p w14:paraId="17A8631A" w14:textId="77777777" w:rsidR="008F1D3B" w:rsidRPr="001B7573" w:rsidRDefault="008F1D3B" w:rsidP="002C1143">
            <w:pPr>
              <w:spacing w:after="0"/>
              <w:rPr>
                <w:rFonts w:eastAsia="Batang"/>
                <w:b/>
              </w:rPr>
            </w:pPr>
            <w:r w:rsidRPr="001B7573">
              <w:rPr>
                <w:rFonts w:eastAsia="Batang"/>
                <w:b/>
              </w:rPr>
              <w:t>Form Name</w:t>
            </w:r>
          </w:p>
        </w:tc>
        <w:tc>
          <w:tcPr>
            <w:tcW w:w="592" w:type="pct"/>
            <w:vAlign w:val="center"/>
          </w:tcPr>
          <w:p w14:paraId="31EE8DF9" w14:textId="77777777" w:rsidR="008F1D3B" w:rsidRPr="001B7573" w:rsidRDefault="008F1D3B" w:rsidP="002C1143">
            <w:pPr>
              <w:spacing w:after="0"/>
              <w:rPr>
                <w:rFonts w:eastAsia="Batang"/>
                <w:b/>
              </w:rPr>
            </w:pPr>
            <w:r w:rsidRPr="001B7573">
              <w:rPr>
                <w:rFonts w:eastAsia="Batang"/>
                <w:b/>
              </w:rPr>
              <w:t>Total Burden Hours</w:t>
            </w:r>
          </w:p>
        </w:tc>
        <w:tc>
          <w:tcPr>
            <w:tcW w:w="1223" w:type="pct"/>
            <w:vAlign w:val="center"/>
          </w:tcPr>
          <w:p w14:paraId="27C965C5" w14:textId="77777777" w:rsidR="008F1D3B" w:rsidRPr="001B7573" w:rsidRDefault="008F1D3B" w:rsidP="002C1143">
            <w:pPr>
              <w:spacing w:after="0"/>
              <w:jc w:val="center"/>
              <w:rPr>
                <w:rFonts w:eastAsia="Batang"/>
                <w:b/>
              </w:rPr>
            </w:pPr>
            <w:r w:rsidRPr="001B7573">
              <w:rPr>
                <w:rFonts w:eastAsia="Batang"/>
                <w:b/>
              </w:rPr>
              <w:t>Average Hourly Wage Rate (in dollars)</w:t>
            </w:r>
          </w:p>
        </w:tc>
        <w:tc>
          <w:tcPr>
            <w:tcW w:w="958" w:type="pct"/>
            <w:vAlign w:val="center"/>
          </w:tcPr>
          <w:p w14:paraId="74520803" w14:textId="77777777" w:rsidR="008F1D3B" w:rsidRPr="001B7573" w:rsidRDefault="008F1D3B" w:rsidP="002C1143">
            <w:pPr>
              <w:spacing w:after="0"/>
              <w:jc w:val="center"/>
              <w:rPr>
                <w:rFonts w:eastAsia="Batang"/>
                <w:b/>
              </w:rPr>
            </w:pPr>
            <w:r w:rsidRPr="001B7573">
              <w:rPr>
                <w:rFonts w:eastAsia="Batang"/>
                <w:b/>
              </w:rPr>
              <w:t>Total Respondent Costs</w:t>
            </w:r>
          </w:p>
        </w:tc>
      </w:tr>
      <w:tr w:rsidR="008F1D3B" w:rsidRPr="00E60099" w14:paraId="4DAC7C5D" w14:textId="77777777" w:rsidTr="001B7573">
        <w:trPr>
          <w:trHeight w:val="561"/>
        </w:trPr>
        <w:tc>
          <w:tcPr>
            <w:tcW w:w="904" w:type="pct"/>
            <w:vAlign w:val="center"/>
          </w:tcPr>
          <w:p w14:paraId="4729E2ED" w14:textId="77777777" w:rsidR="008F1D3B" w:rsidRPr="00E60099" w:rsidRDefault="008F1D3B" w:rsidP="002C1143">
            <w:pPr>
              <w:tabs>
                <w:tab w:val="left" w:pos="3817"/>
              </w:tabs>
              <w:spacing w:after="0"/>
            </w:pPr>
            <w:r w:rsidRPr="00E60099">
              <w:t>Physicians responding via Mail</w:t>
            </w:r>
          </w:p>
        </w:tc>
        <w:tc>
          <w:tcPr>
            <w:tcW w:w="1323" w:type="pct"/>
          </w:tcPr>
          <w:p w14:paraId="2CF376AA" w14:textId="77777777" w:rsidR="008F1D3B" w:rsidRPr="00E60099" w:rsidRDefault="008F1D3B" w:rsidP="002C1143">
            <w:pPr>
              <w:tabs>
                <w:tab w:val="left" w:pos="3817"/>
              </w:tabs>
              <w:spacing w:after="0"/>
            </w:pPr>
            <w:r w:rsidRPr="00E60099">
              <w:t>STD Provider Survey</w:t>
            </w:r>
          </w:p>
        </w:tc>
        <w:tc>
          <w:tcPr>
            <w:tcW w:w="592" w:type="pct"/>
          </w:tcPr>
          <w:p w14:paraId="131C2610" w14:textId="77777777" w:rsidR="008F1D3B" w:rsidRPr="00E60099" w:rsidRDefault="00552B48" w:rsidP="002C1143">
            <w:pPr>
              <w:tabs>
                <w:tab w:val="left" w:pos="3817"/>
              </w:tabs>
              <w:spacing w:after="0"/>
              <w:jc w:val="right"/>
            </w:pPr>
            <w:r>
              <w:t>875</w:t>
            </w:r>
          </w:p>
        </w:tc>
        <w:tc>
          <w:tcPr>
            <w:tcW w:w="1223" w:type="pct"/>
          </w:tcPr>
          <w:p w14:paraId="39ECE02C" w14:textId="77777777" w:rsidR="008F1D3B" w:rsidRPr="00E60099" w:rsidRDefault="008F1D3B" w:rsidP="002C1143">
            <w:pPr>
              <w:tabs>
                <w:tab w:val="left" w:pos="3817"/>
              </w:tabs>
              <w:spacing w:after="0"/>
              <w:jc w:val="right"/>
            </w:pPr>
            <w:r w:rsidRPr="00E60099">
              <w:t>$97.33</w:t>
            </w:r>
          </w:p>
        </w:tc>
        <w:tc>
          <w:tcPr>
            <w:tcW w:w="958" w:type="pct"/>
          </w:tcPr>
          <w:p w14:paraId="4F60BFD7" w14:textId="77777777" w:rsidR="008F1D3B" w:rsidRPr="00E60099" w:rsidRDefault="008F1D3B" w:rsidP="00552B48">
            <w:pPr>
              <w:tabs>
                <w:tab w:val="left" w:pos="3817"/>
              </w:tabs>
              <w:spacing w:after="0"/>
              <w:jc w:val="right"/>
            </w:pPr>
            <w:r w:rsidRPr="00E60099">
              <w:t>$</w:t>
            </w:r>
            <w:r w:rsidR="00552B48">
              <w:t>85,164</w:t>
            </w:r>
          </w:p>
        </w:tc>
      </w:tr>
      <w:tr w:rsidR="008F1D3B" w:rsidRPr="00E60099" w14:paraId="136F632C" w14:textId="77777777" w:rsidTr="001B7573">
        <w:trPr>
          <w:trHeight w:val="561"/>
        </w:trPr>
        <w:tc>
          <w:tcPr>
            <w:tcW w:w="904" w:type="pct"/>
            <w:vAlign w:val="center"/>
          </w:tcPr>
          <w:p w14:paraId="6D2BCCC8" w14:textId="77777777" w:rsidR="008F1D3B" w:rsidRPr="00E60099" w:rsidRDefault="008F1D3B" w:rsidP="002C1143">
            <w:pPr>
              <w:tabs>
                <w:tab w:val="left" w:pos="3817"/>
              </w:tabs>
              <w:spacing w:after="0"/>
            </w:pPr>
            <w:r w:rsidRPr="00E60099">
              <w:t>Physicians responding via Web</w:t>
            </w:r>
          </w:p>
        </w:tc>
        <w:tc>
          <w:tcPr>
            <w:tcW w:w="1323" w:type="pct"/>
          </w:tcPr>
          <w:p w14:paraId="445BFC0F" w14:textId="77777777" w:rsidR="008F1D3B" w:rsidRPr="00E60099" w:rsidRDefault="008F1D3B" w:rsidP="002C1143">
            <w:pPr>
              <w:tabs>
                <w:tab w:val="left" w:pos="3817"/>
              </w:tabs>
              <w:spacing w:after="0"/>
            </w:pPr>
            <w:r w:rsidRPr="00E60099">
              <w:t>STD Provider Survey</w:t>
            </w:r>
          </w:p>
        </w:tc>
        <w:tc>
          <w:tcPr>
            <w:tcW w:w="592" w:type="pct"/>
          </w:tcPr>
          <w:p w14:paraId="17E19867" w14:textId="77777777" w:rsidR="008F1D3B" w:rsidRPr="00E60099" w:rsidRDefault="00552B48" w:rsidP="002C1143">
            <w:pPr>
              <w:tabs>
                <w:tab w:val="left" w:pos="3817"/>
              </w:tabs>
              <w:spacing w:after="0"/>
              <w:jc w:val="right"/>
            </w:pPr>
            <w:r>
              <w:t>467</w:t>
            </w:r>
          </w:p>
        </w:tc>
        <w:tc>
          <w:tcPr>
            <w:tcW w:w="1223" w:type="pct"/>
          </w:tcPr>
          <w:p w14:paraId="44A06FCC" w14:textId="77777777" w:rsidR="008F1D3B" w:rsidRPr="00E60099" w:rsidRDefault="008F1D3B" w:rsidP="002C1143">
            <w:pPr>
              <w:tabs>
                <w:tab w:val="left" w:pos="3817"/>
              </w:tabs>
              <w:spacing w:after="0"/>
              <w:jc w:val="right"/>
            </w:pPr>
            <w:r w:rsidRPr="00E60099">
              <w:t>$97.33</w:t>
            </w:r>
          </w:p>
        </w:tc>
        <w:tc>
          <w:tcPr>
            <w:tcW w:w="958" w:type="pct"/>
          </w:tcPr>
          <w:p w14:paraId="59EDD0C8" w14:textId="77777777" w:rsidR="008F1D3B" w:rsidRPr="00E60099" w:rsidRDefault="008F1D3B" w:rsidP="00552B48">
            <w:pPr>
              <w:tabs>
                <w:tab w:val="left" w:pos="3817"/>
              </w:tabs>
              <w:spacing w:after="0"/>
              <w:jc w:val="right"/>
            </w:pPr>
            <w:r w:rsidRPr="00E60099">
              <w:t>$</w:t>
            </w:r>
            <w:r w:rsidR="00552B48">
              <w:t>45,453</w:t>
            </w:r>
          </w:p>
        </w:tc>
      </w:tr>
      <w:tr w:rsidR="008F1D3B" w:rsidRPr="00E60099" w14:paraId="7CA931E7" w14:textId="77777777" w:rsidTr="001B7573">
        <w:trPr>
          <w:trHeight w:val="561"/>
        </w:trPr>
        <w:tc>
          <w:tcPr>
            <w:tcW w:w="4042" w:type="pct"/>
            <w:gridSpan w:val="4"/>
            <w:vAlign w:val="center"/>
          </w:tcPr>
          <w:p w14:paraId="333C52A5" w14:textId="77777777" w:rsidR="008F1D3B" w:rsidRPr="001B7573" w:rsidRDefault="008F1D3B" w:rsidP="002C1143">
            <w:pPr>
              <w:tabs>
                <w:tab w:val="left" w:pos="3817"/>
              </w:tabs>
              <w:jc w:val="right"/>
              <w:rPr>
                <w:b/>
              </w:rPr>
            </w:pPr>
            <w:r w:rsidRPr="001B7573">
              <w:rPr>
                <w:b/>
              </w:rPr>
              <w:t>Total Annual Burden Cost</w:t>
            </w:r>
          </w:p>
        </w:tc>
        <w:tc>
          <w:tcPr>
            <w:tcW w:w="958" w:type="pct"/>
          </w:tcPr>
          <w:p w14:paraId="2C3B5E9B" w14:textId="77777777" w:rsidR="008F1D3B" w:rsidRPr="00E60099" w:rsidRDefault="008F1D3B" w:rsidP="00552B48">
            <w:pPr>
              <w:tabs>
                <w:tab w:val="left" w:pos="3817"/>
              </w:tabs>
              <w:jc w:val="right"/>
            </w:pPr>
            <w:r w:rsidRPr="00E60099">
              <w:t>$</w:t>
            </w:r>
            <w:r w:rsidR="00552B48">
              <w:t>130,617</w:t>
            </w:r>
          </w:p>
        </w:tc>
      </w:tr>
    </w:tbl>
    <w:p w14:paraId="01EC63B5" w14:textId="77777777" w:rsidR="008F1D3B" w:rsidRPr="00233877" w:rsidRDefault="008F1D3B" w:rsidP="008F1D3B">
      <w:pPr>
        <w:spacing w:before="240"/>
        <w:ind w:left="540" w:right="-4" w:firstLine="360"/>
      </w:pPr>
    </w:p>
    <w:p w14:paraId="64B9C2BC" w14:textId="77777777" w:rsidR="007F471F" w:rsidRDefault="007F471F" w:rsidP="007F471F">
      <w:pPr>
        <w:pStyle w:val="Heading1"/>
      </w:pPr>
      <w:bookmarkStart w:id="25" w:name="_Toc462298383"/>
      <w:r>
        <w:t>A.13</w:t>
      </w:r>
      <w:r>
        <w:tab/>
        <w:t>Estimates of Other Total Annual Cost Burden to Respondents or Record Keepers</w:t>
      </w:r>
      <w:bookmarkEnd w:id="25"/>
    </w:p>
    <w:p w14:paraId="4570980A" w14:textId="77777777" w:rsidR="007F471F" w:rsidRPr="007F471F" w:rsidRDefault="007F471F" w:rsidP="007F471F">
      <w:r>
        <w:t>No capital or maintenance costs are expected.</w:t>
      </w:r>
    </w:p>
    <w:p w14:paraId="0B859E23" w14:textId="77777777" w:rsidR="007F471F" w:rsidRPr="00FF2C07" w:rsidRDefault="007F471F" w:rsidP="007F471F">
      <w:pPr>
        <w:pStyle w:val="Heading1"/>
      </w:pPr>
      <w:bookmarkStart w:id="26" w:name="_Toc462298384"/>
      <w:r w:rsidRPr="00FF2C07">
        <w:t>A.14</w:t>
      </w:r>
      <w:r w:rsidRPr="00FF2C07">
        <w:tab/>
        <w:t>Annualized Cost to the Government</w:t>
      </w:r>
      <w:bookmarkEnd w:id="26"/>
    </w:p>
    <w:p w14:paraId="20106AC6" w14:textId="77777777" w:rsidR="007F471F" w:rsidRPr="00FF2C07" w:rsidRDefault="00E80975" w:rsidP="007F471F">
      <w:r>
        <w:t>T</w:t>
      </w:r>
      <w:r w:rsidR="007F471F" w:rsidRPr="00FF2C07">
        <w:t>he estimated annualized contractor cost is $</w:t>
      </w:r>
      <w:r w:rsidR="00FF2C07" w:rsidRPr="00FF2C07">
        <w:t>453,708</w:t>
      </w:r>
      <w:r>
        <w:t xml:space="preserve"> for this data collection</w:t>
      </w:r>
      <w:r w:rsidR="007F471F" w:rsidRPr="00FF2C07">
        <w:t xml:space="preserve">.  Additional costs will be incurred indirectly by the government in personnel costs of staff involved in the study oversight and data analysis. It is estimated that </w:t>
      </w:r>
      <w:r w:rsidR="00D876A1" w:rsidRPr="00FF2C07">
        <w:t xml:space="preserve">two </w:t>
      </w:r>
      <w:r w:rsidR="007F471F" w:rsidRPr="00FF2C07">
        <w:t xml:space="preserve">CDC employees will be involved for approximately </w:t>
      </w:r>
      <w:r w:rsidR="00D876A1" w:rsidRPr="00FF2C07">
        <w:t>5</w:t>
      </w:r>
      <w:r w:rsidR="007F471F" w:rsidRPr="00FF2C07">
        <w:t xml:space="preserve">% of their time </w:t>
      </w:r>
      <w:r w:rsidR="00D876A1" w:rsidRPr="00FF2C07">
        <w:t xml:space="preserve">each </w:t>
      </w:r>
      <w:r w:rsidR="007F471F" w:rsidRPr="00FF2C07">
        <w:t>(for federal personnel 100% time = 2,080 hours annually).  The two salaries are $</w:t>
      </w:r>
      <w:r w:rsidR="00D876A1" w:rsidRPr="00FF2C07">
        <w:t>37.95</w:t>
      </w:r>
      <w:r w:rsidR="007F471F" w:rsidRPr="00FF2C07">
        <w:t xml:space="preserve"> and $</w:t>
      </w:r>
      <w:r w:rsidR="00D876A1" w:rsidRPr="00FF2C07">
        <w:t>65.00</w:t>
      </w:r>
      <w:r w:rsidR="007F471F" w:rsidRPr="00FF2C07">
        <w:t xml:space="preserve"> per hour.  The direct annual costs in CDC staff time will be approximately $</w:t>
      </w:r>
      <w:r w:rsidR="00D876A1" w:rsidRPr="00FF2C07">
        <w:t>11,540</w:t>
      </w:r>
      <w:r w:rsidR="007F471F" w:rsidRPr="00FF2C07">
        <w:t xml:space="preserve"> annually.  </w:t>
      </w:r>
    </w:p>
    <w:p w14:paraId="30DD0167" w14:textId="77777777" w:rsidR="00FF2C07" w:rsidRDefault="00FF2C07" w:rsidP="00FF2C07">
      <w:pPr>
        <w:pStyle w:val="Caption"/>
        <w:keepNext/>
        <w:rPr>
          <w:szCs w:val="24"/>
        </w:rPr>
      </w:pPr>
      <w:r>
        <w:t>Table A.14.a. Annualized Cost to the Government</w:t>
      </w:r>
    </w:p>
    <w:tbl>
      <w:tblPr>
        <w:tblW w:w="7890" w:type="dxa"/>
        <w:tblCellMar>
          <w:left w:w="0" w:type="dxa"/>
          <w:right w:w="0" w:type="dxa"/>
        </w:tblCellMar>
        <w:tblLook w:val="04A0" w:firstRow="1" w:lastRow="0" w:firstColumn="1" w:lastColumn="0" w:noHBand="0" w:noVBand="1"/>
      </w:tblPr>
      <w:tblGrid>
        <w:gridCol w:w="5854"/>
        <w:gridCol w:w="2036"/>
      </w:tblGrid>
      <w:tr w:rsidR="00FF2C07" w14:paraId="0398A937" w14:textId="77777777" w:rsidTr="0053049A">
        <w:tc>
          <w:tcPr>
            <w:tcW w:w="5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8B8D3C" w14:textId="77777777" w:rsidR="00FF2C07" w:rsidRDefault="00FF2C07">
            <w:pPr>
              <w:spacing w:line="276" w:lineRule="auto"/>
              <w:rPr>
                <w:b/>
                <w:bCs/>
              </w:rPr>
            </w:pPr>
            <w:r>
              <w:rPr>
                <w:b/>
                <w:bCs/>
              </w:rPr>
              <w:t>Type of Cost</w:t>
            </w:r>
          </w:p>
        </w:tc>
        <w:tc>
          <w:tcPr>
            <w:tcW w:w="20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B5EED7" w14:textId="77777777" w:rsidR="00FF2C07" w:rsidRDefault="00FF2C07">
            <w:pPr>
              <w:spacing w:line="276" w:lineRule="auto"/>
              <w:rPr>
                <w:b/>
                <w:bCs/>
              </w:rPr>
            </w:pPr>
            <w:r>
              <w:rPr>
                <w:b/>
                <w:bCs/>
              </w:rPr>
              <w:t>Annualized Cost</w:t>
            </w:r>
          </w:p>
        </w:tc>
      </w:tr>
      <w:tr w:rsidR="00FF2C07" w14:paraId="2F2E0D5B" w14:textId="77777777" w:rsidTr="0053049A">
        <w:tc>
          <w:tcPr>
            <w:tcW w:w="58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0672B" w14:textId="77777777" w:rsidR="0053049A" w:rsidRDefault="00FF2C07" w:rsidP="006B74BC">
            <w:pPr>
              <w:spacing w:line="276" w:lineRule="auto"/>
              <w:ind w:left="72"/>
              <w:rPr>
                <w:i/>
                <w:iCs/>
              </w:rPr>
            </w:pPr>
            <w:r>
              <w:rPr>
                <w:i/>
                <w:iCs/>
              </w:rPr>
              <w:t>Contractor Costs</w:t>
            </w:r>
            <w:r w:rsidR="0053049A">
              <w:rPr>
                <w:i/>
                <w:iCs/>
              </w:rPr>
              <w:t xml:space="preserve">:  ICF </w:t>
            </w:r>
          </w:p>
        </w:tc>
        <w:tc>
          <w:tcPr>
            <w:tcW w:w="2036" w:type="dxa"/>
            <w:tcBorders>
              <w:top w:val="nil"/>
              <w:left w:val="nil"/>
              <w:bottom w:val="single" w:sz="8" w:space="0" w:color="auto"/>
              <w:right w:val="single" w:sz="8" w:space="0" w:color="auto"/>
            </w:tcBorders>
            <w:tcMar>
              <w:top w:w="0" w:type="dxa"/>
              <w:left w:w="108" w:type="dxa"/>
              <w:bottom w:w="0" w:type="dxa"/>
              <w:right w:w="108" w:type="dxa"/>
            </w:tcMar>
            <w:hideMark/>
          </w:tcPr>
          <w:p w14:paraId="2EA29B56" w14:textId="77777777" w:rsidR="00FF2C07" w:rsidRDefault="00FF2C07">
            <w:pPr>
              <w:spacing w:line="276" w:lineRule="auto"/>
              <w:jc w:val="right"/>
            </w:pPr>
            <w:r>
              <w:t>$453,708</w:t>
            </w:r>
          </w:p>
        </w:tc>
      </w:tr>
      <w:tr w:rsidR="00FF2C07" w14:paraId="64E43375" w14:textId="77777777" w:rsidTr="0053049A">
        <w:tc>
          <w:tcPr>
            <w:tcW w:w="58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C3311B" w14:textId="77777777" w:rsidR="00FF2C07" w:rsidRDefault="00FF2C07">
            <w:pPr>
              <w:spacing w:line="276" w:lineRule="auto"/>
              <w:ind w:left="72"/>
              <w:rPr>
                <w:i/>
                <w:iCs/>
              </w:rPr>
            </w:pPr>
            <w:r>
              <w:rPr>
                <w:i/>
                <w:iCs/>
              </w:rPr>
              <w:t>Federal Employee Time Costs</w:t>
            </w:r>
          </w:p>
        </w:tc>
        <w:tc>
          <w:tcPr>
            <w:tcW w:w="2036" w:type="dxa"/>
            <w:tcBorders>
              <w:top w:val="nil"/>
              <w:left w:val="nil"/>
              <w:bottom w:val="single" w:sz="8" w:space="0" w:color="auto"/>
              <w:right w:val="single" w:sz="8" w:space="0" w:color="auto"/>
            </w:tcBorders>
            <w:tcMar>
              <w:top w:w="0" w:type="dxa"/>
              <w:left w:w="108" w:type="dxa"/>
              <w:bottom w:w="0" w:type="dxa"/>
              <w:right w:w="108" w:type="dxa"/>
            </w:tcMar>
            <w:hideMark/>
          </w:tcPr>
          <w:p w14:paraId="1F3F9281" w14:textId="77777777" w:rsidR="00FF2C07" w:rsidRDefault="00FF2C07">
            <w:pPr>
              <w:spacing w:line="276" w:lineRule="auto"/>
              <w:jc w:val="right"/>
            </w:pPr>
            <w:r>
              <w:t>$11,540</w:t>
            </w:r>
          </w:p>
        </w:tc>
      </w:tr>
      <w:tr w:rsidR="00FF2C07" w14:paraId="606D08EC" w14:textId="77777777" w:rsidTr="0053049A">
        <w:tc>
          <w:tcPr>
            <w:tcW w:w="58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6EC1E" w14:textId="77777777" w:rsidR="00FF2C07" w:rsidRDefault="00FF2C07">
            <w:pPr>
              <w:spacing w:line="276" w:lineRule="auto"/>
              <w:ind w:left="72"/>
              <w:jc w:val="right"/>
              <w:rPr>
                <w:b/>
                <w:bCs/>
              </w:rPr>
            </w:pPr>
            <w:r>
              <w:rPr>
                <w:b/>
                <w:bCs/>
              </w:rPr>
              <w:t>Total Annual Estimated Costs</w:t>
            </w:r>
          </w:p>
        </w:tc>
        <w:tc>
          <w:tcPr>
            <w:tcW w:w="2036" w:type="dxa"/>
            <w:tcBorders>
              <w:top w:val="nil"/>
              <w:left w:val="nil"/>
              <w:bottom w:val="single" w:sz="8" w:space="0" w:color="auto"/>
              <w:right w:val="single" w:sz="8" w:space="0" w:color="auto"/>
            </w:tcBorders>
            <w:tcMar>
              <w:top w:w="0" w:type="dxa"/>
              <w:left w:w="108" w:type="dxa"/>
              <w:bottom w:w="0" w:type="dxa"/>
              <w:right w:w="108" w:type="dxa"/>
            </w:tcMar>
            <w:hideMark/>
          </w:tcPr>
          <w:p w14:paraId="35ED01DB" w14:textId="77777777" w:rsidR="00FF2C07" w:rsidRDefault="00FF2C07">
            <w:pPr>
              <w:spacing w:line="276" w:lineRule="auto"/>
              <w:jc w:val="right"/>
              <w:rPr>
                <w:b/>
                <w:bCs/>
              </w:rPr>
            </w:pPr>
            <w:r>
              <w:rPr>
                <w:b/>
                <w:bCs/>
              </w:rPr>
              <w:t>$465,248</w:t>
            </w:r>
          </w:p>
        </w:tc>
      </w:tr>
    </w:tbl>
    <w:p w14:paraId="51FC21D2" w14:textId="77777777" w:rsidR="00FF2C07" w:rsidRDefault="00FF2C07" w:rsidP="00FF2C07">
      <w:pPr>
        <w:rPr>
          <w:rFonts w:ascii="Calibri" w:eastAsiaTheme="minorHAnsi" w:hAnsi="Calibri"/>
          <w:color w:val="1F497D"/>
          <w:sz w:val="22"/>
          <w:szCs w:val="22"/>
        </w:rPr>
      </w:pPr>
    </w:p>
    <w:p w14:paraId="50AA5832" w14:textId="77777777" w:rsidR="00D168B2" w:rsidRPr="00233877" w:rsidRDefault="007F471F" w:rsidP="007F471F">
      <w:pPr>
        <w:pStyle w:val="Heading1"/>
      </w:pPr>
      <w:bookmarkStart w:id="27" w:name="_Toc462298385"/>
      <w:r>
        <w:t>A.15</w:t>
      </w:r>
      <w:r>
        <w:tab/>
      </w:r>
      <w:r w:rsidR="006D76AC" w:rsidRPr="00233877">
        <w:t>Explanation for</w:t>
      </w:r>
      <w:r w:rsidR="00D168B2" w:rsidRPr="00233877">
        <w:t xml:space="preserve"> Program Changes or Adjustments</w:t>
      </w:r>
      <w:bookmarkEnd w:id="27"/>
    </w:p>
    <w:p w14:paraId="32064703" w14:textId="77777777" w:rsidR="00D168B2" w:rsidRPr="00233877" w:rsidRDefault="008317C0" w:rsidP="007F471F">
      <w:r>
        <w:t>This ICR is for a new data collection</w:t>
      </w:r>
      <w:r w:rsidR="00990FF6">
        <w:t xml:space="preserve"> that is a follow-up to a previously approved ICR</w:t>
      </w:r>
      <w:r>
        <w:t xml:space="preserve">.  In 1998-99, CDC conducted the first STD provider survey (OMB # 0920-0431; exp. date 06-30-2000).  </w:t>
      </w:r>
      <w:r w:rsidR="00A81578">
        <w:t xml:space="preserve">There are several </w:t>
      </w:r>
      <w:r w:rsidR="00D168B2" w:rsidRPr="00233877">
        <w:t>difference</w:t>
      </w:r>
      <w:r w:rsidR="00A81578">
        <w:t>s</w:t>
      </w:r>
      <w:r w:rsidR="00D168B2" w:rsidRPr="00233877">
        <w:t xml:space="preserve"> between the study design of the proposed </w:t>
      </w:r>
      <w:r w:rsidR="00990FF6">
        <w:t xml:space="preserve">current </w:t>
      </w:r>
      <w:r w:rsidR="00D168B2" w:rsidRPr="00233877">
        <w:t xml:space="preserve">STD Provider </w:t>
      </w:r>
      <w:r w:rsidR="00A81578">
        <w:t>S</w:t>
      </w:r>
      <w:r w:rsidR="00D168B2" w:rsidRPr="00233877">
        <w:t xml:space="preserve">urvey and </w:t>
      </w:r>
      <w:r w:rsidR="00536139" w:rsidRPr="00233877">
        <w:t xml:space="preserve">the </w:t>
      </w:r>
      <w:r w:rsidR="00536139">
        <w:t>1998</w:t>
      </w:r>
      <w:r w:rsidR="002541F4">
        <w:t>-99</w:t>
      </w:r>
      <w:r w:rsidR="002541F4" w:rsidRPr="00233877">
        <w:t xml:space="preserve"> </w:t>
      </w:r>
      <w:r w:rsidR="00D168B2" w:rsidRPr="00233877">
        <w:t xml:space="preserve">STD Provider </w:t>
      </w:r>
      <w:r w:rsidR="00A81578">
        <w:t>Survey.  First, we plan to complete surveys with 3,</w:t>
      </w:r>
      <w:r w:rsidR="007B4E51">
        <w:t>5</w:t>
      </w:r>
      <w:r w:rsidR="00A81578">
        <w:t>00 physicians for the current survey. This is</w:t>
      </w:r>
      <w:r w:rsidR="00D168B2" w:rsidRPr="00233877">
        <w:t xml:space="preserve"> smaller than the </w:t>
      </w:r>
      <w:r w:rsidR="002541F4" w:rsidRPr="00233877">
        <w:t>199</w:t>
      </w:r>
      <w:r w:rsidR="002541F4">
        <w:t>8-99</w:t>
      </w:r>
      <w:r w:rsidR="002541F4" w:rsidRPr="00233877">
        <w:t xml:space="preserve"> </w:t>
      </w:r>
      <w:r w:rsidR="00D168B2" w:rsidRPr="00233877">
        <w:t>survey</w:t>
      </w:r>
      <w:r w:rsidR="00A81578">
        <w:t xml:space="preserve">, during which </w:t>
      </w:r>
      <w:r w:rsidR="00F235F0">
        <w:t>4,226</w:t>
      </w:r>
      <w:r w:rsidR="00A81578">
        <w:t xml:space="preserve"> physicians were surveyed</w:t>
      </w:r>
      <w:r w:rsidR="00D168B2" w:rsidRPr="00233877">
        <w:t xml:space="preserve">.  </w:t>
      </w:r>
      <w:r w:rsidR="00A81578">
        <w:t>Second, w</w:t>
      </w:r>
      <w:r w:rsidR="00D168B2" w:rsidRPr="00233877">
        <w:t xml:space="preserve">hile the </w:t>
      </w:r>
      <w:r w:rsidR="002541F4" w:rsidRPr="00233877">
        <w:t>199</w:t>
      </w:r>
      <w:r w:rsidR="002541F4">
        <w:t>8-99</w:t>
      </w:r>
      <w:r w:rsidR="002541F4" w:rsidRPr="00233877">
        <w:t xml:space="preserve"> </w:t>
      </w:r>
      <w:r w:rsidR="00D168B2" w:rsidRPr="00233877">
        <w:t xml:space="preserve">STD Provider survey was limited to </w:t>
      </w:r>
      <w:r w:rsidR="00E36F4E" w:rsidRPr="00233877">
        <w:t>a single mode of administration (mail) the proposed survey will have an option to complete by web. Several studies have shown that mail surveys seem to be physicians’ preferred survey mode</w:t>
      </w:r>
      <w:r w:rsidR="00E36F4E" w:rsidRPr="00233877">
        <w:rPr>
          <w:vertAlign w:val="superscript"/>
        </w:rPr>
        <w:fldChar w:fldCharType="begin"/>
      </w:r>
      <w:r w:rsidR="00E36F4E" w:rsidRPr="00233877">
        <w:rPr>
          <w:vertAlign w:val="superscript"/>
        </w:rPr>
        <w:instrText xml:space="preserve"> NOTEREF _Ref456872973 \h  \* MERGEFORMAT </w:instrText>
      </w:r>
      <w:r w:rsidR="00E36F4E" w:rsidRPr="00233877">
        <w:rPr>
          <w:vertAlign w:val="superscript"/>
        </w:rPr>
      </w:r>
      <w:r w:rsidR="00E36F4E" w:rsidRPr="00233877">
        <w:rPr>
          <w:vertAlign w:val="superscript"/>
        </w:rPr>
        <w:fldChar w:fldCharType="separate"/>
      </w:r>
      <w:r w:rsidR="008951C0">
        <w:rPr>
          <w:vertAlign w:val="superscript"/>
        </w:rPr>
        <w:t>9</w:t>
      </w:r>
      <w:r w:rsidR="00E36F4E" w:rsidRPr="00233877">
        <w:rPr>
          <w:vertAlign w:val="superscript"/>
        </w:rPr>
        <w:fldChar w:fldCharType="end"/>
      </w:r>
      <w:r w:rsidR="00E36F4E" w:rsidRPr="00233877">
        <w:rPr>
          <w:vertAlign w:val="superscript"/>
        </w:rPr>
        <w:t>,</w:t>
      </w:r>
      <w:r w:rsidR="00E36F4E" w:rsidRPr="00233877">
        <w:rPr>
          <w:vertAlign w:val="superscript"/>
        </w:rPr>
        <w:fldChar w:fldCharType="begin"/>
      </w:r>
      <w:r w:rsidR="00E36F4E" w:rsidRPr="00233877">
        <w:rPr>
          <w:vertAlign w:val="superscript"/>
        </w:rPr>
        <w:instrText xml:space="preserve"> NOTEREF _Ref456964789 \h  \* MERGEFORMAT </w:instrText>
      </w:r>
      <w:r w:rsidR="00E36F4E" w:rsidRPr="00233877">
        <w:rPr>
          <w:vertAlign w:val="superscript"/>
        </w:rPr>
      </w:r>
      <w:r w:rsidR="00E36F4E" w:rsidRPr="00233877">
        <w:rPr>
          <w:vertAlign w:val="superscript"/>
        </w:rPr>
        <w:fldChar w:fldCharType="separate"/>
      </w:r>
      <w:r w:rsidR="008951C0">
        <w:rPr>
          <w:vertAlign w:val="superscript"/>
        </w:rPr>
        <w:t>11</w:t>
      </w:r>
      <w:r w:rsidR="00E36F4E" w:rsidRPr="00233877">
        <w:rPr>
          <w:vertAlign w:val="superscript"/>
        </w:rPr>
        <w:fldChar w:fldCharType="end"/>
      </w:r>
      <w:r w:rsidR="00E36F4E" w:rsidRPr="00233877">
        <w:rPr>
          <w:vertAlign w:val="superscript"/>
        </w:rPr>
        <w:t>,</w:t>
      </w:r>
      <w:r w:rsidR="00E36F4E" w:rsidRPr="00233877">
        <w:rPr>
          <w:vertAlign w:val="superscript"/>
        </w:rPr>
        <w:fldChar w:fldCharType="begin"/>
      </w:r>
      <w:r w:rsidR="00E36F4E" w:rsidRPr="00233877">
        <w:rPr>
          <w:vertAlign w:val="superscript"/>
        </w:rPr>
        <w:instrText xml:space="preserve"> NOTEREF _Ref456964791 \h  \* MERGEFORMAT </w:instrText>
      </w:r>
      <w:r w:rsidR="00E36F4E" w:rsidRPr="00233877">
        <w:rPr>
          <w:vertAlign w:val="superscript"/>
        </w:rPr>
      </w:r>
      <w:r w:rsidR="00E36F4E" w:rsidRPr="00233877">
        <w:rPr>
          <w:vertAlign w:val="superscript"/>
        </w:rPr>
        <w:fldChar w:fldCharType="separate"/>
      </w:r>
      <w:r w:rsidR="008951C0">
        <w:rPr>
          <w:vertAlign w:val="superscript"/>
        </w:rPr>
        <w:t>12</w:t>
      </w:r>
      <w:r w:rsidR="00E36F4E" w:rsidRPr="00233877">
        <w:rPr>
          <w:vertAlign w:val="superscript"/>
        </w:rPr>
        <w:fldChar w:fldCharType="end"/>
      </w:r>
      <w:r w:rsidR="00E36F4E" w:rsidRPr="00233877">
        <w:t xml:space="preserve">  and that a multi-mode design encompassing an initial mailing of a self-administered questionnaire followed by a web survey to non-respondents improves overall response rates.</w:t>
      </w:r>
      <w:r w:rsidR="00E36F4E" w:rsidRPr="00233877">
        <w:rPr>
          <w:vertAlign w:val="superscript"/>
        </w:rPr>
        <w:fldChar w:fldCharType="begin"/>
      </w:r>
      <w:r w:rsidR="00E36F4E" w:rsidRPr="00233877">
        <w:rPr>
          <w:vertAlign w:val="superscript"/>
        </w:rPr>
        <w:instrText xml:space="preserve"> NOTEREF _Ref456879121 \h  \* MERGEFORMAT </w:instrText>
      </w:r>
      <w:r w:rsidR="00E36F4E" w:rsidRPr="00233877">
        <w:rPr>
          <w:vertAlign w:val="superscript"/>
        </w:rPr>
      </w:r>
      <w:r w:rsidR="00E36F4E" w:rsidRPr="00233877">
        <w:rPr>
          <w:vertAlign w:val="superscript"/>
        </w:rPr>
        <w:fldChar w:fldCharType="separate"/>
      </w:r>
      <w:r w:rsidR="008951C0">
        <w:rPr>
          <w:vertAlign w:val="superscript"/>
        </w:rPr>
        <w:t>8</w:t>
      </w:r>
      <w:r w:rsidR="00E36F4E" w:rsidRPr="00233877">
        <w:rPr>
          <w:vertAlign w:val="superscript"/>
        </w:rPr>
        <w:fldChar w:fldCharType="end"/>
      </w:r>
      <w:r w:rsidR="00E36F4E" w:rsidRPr="00233877">
        <w:rPr>
          <w:vertAlign w:val="superscript"/>
        </w:rPr>
        <w:t>,</w:t>
      </w:r>
      <w:r w:rsidR="00E36F4E" w:rsidRPr="00233877">
        <w:rPr>
          <w:vertAlign w:val="superscript"/>
        </w:rPr>
        <w:fldChar w:fldCharType="begin"/>
      </w:r>
      <w:r w:rsidR="00E36F4E" w:rsidRPr="00233877">
        <w:rPr>
          <w:vertAlign w:val="superscript"/>
        </w:rPr>
        <w:instrText xml:space="preserve"> NOTEREF _Ref456879127 \h  \* MERGEFORMAT </w:instrText>
      </w:r>
      <w:r w:rsidR="00E36F4E" w:rsidRPr="00233877">
        <w:rPr>
          <w:vertAlign w:val="superscript"/>
        </w:rPr>
      </w:r>
      <w:r w:rsidR="00E36F4E" w:rsidRPr="00233877">
        <w:rPr>
          <w:vertAlign w:val="superscript"/>
        </w:rPr>
        <w:fldChar w:fldCharType="separate"/>
      </w:r>
      <w:r w:rsidR="008951C0">
        <w:rPr>
          <w:vertAlign w:val="superscript"/>
        </w:rPr>
        <w:t>10</w:t>
      </w:r>
      <w:r w:rsidR="00E36F4E" w:rsidRPr="00233877">
        <w:rPr>
          <w:vertAlign w:val="superscript"/>
        </w:rPr>
        <w:fldChar w:fldCharType="end"/>
      </w:r>
      <w:r w:rsidR="00E36F4E" w:rsidRPr="00233877">
        <w:t xml:space="preserve"> For these reasons, we propose using a multimode design starting with a mailed questionnaire. Providers who do not return a completed survey will be sent up to two additional survey packets. For all non-respondents, we will send two follow-up mail reminders containing a URL and a Quick Response Code (QR Code) for those who wish to complete the </w:t>
      </w:r>
      <w:r w:rsidR="00F60409">
        <w:t xml:space="preserve">web </w:t>
      </w:r>
      <w:r w:rsidR="00E36F4E" w:rsidRPr="00233877">
        <w:t>survey. These invitations and reminders should bypass gatekeepers and increase our chances for a direct contact.</w:t>
      </w:r>
    </w:p>
    <w:p w14:paraId="35DF178E" w14:textId="77777777" w:rsidR="00D168B2" w:rsidRPr="00233877" w:rsidRDefault="00A81578" w:rsidP="007F471F">
      <w:r>
        <w:t>A third difference is that</w:t>
      </w:r>
      <w:r w:rsidR="00E36F4E" w:rsidRPr="00233877">
        <w:t xml:space="preserve"> the </w:t>
      </w:r>
      <w:r w:rsidR="002541F4" w:rsidRPr="00233877">
        <w:t>199</w:t>
      </w:r>
      <w:r w:rsidR="002541F4">
        <w:t>8-99</w:t>
      </w:r>
      <w:r w:rsidR="002541F4" w:rsidRPr="00233877">
        <w:t xml:space="preserve"> </w:t>
      </w:r>
      <w:r w:rsidR="00E36F4E" w:rsidRPr="00233877">
        <w:t xml:space="preserve">STD Provider </w:t>
      </w:r>
      <w:r>
        <w:t>S</w:t>
      </w:r>
      <w:r w:rsidR="00E36F4E" w:rsidRPr="00233877">
        <w:t>urvey included a $15 cash pre-</w:t>
      </w:r>
      <w:r w:rsidR="009D06FE">
        <w:t>token of appreciation</w:t>
      </w:r>
      <w:r w:rsidR="00F235F0">
        <w:t xml:space="preserve">.  </w:t>
      </w:r>
      <w:r w:rsidR="007B4E51">
        <w:t xml:space="preserve">All responding physicians will receive </w:t>
      </w:r>
      <w:r w:rsidR="00E36F4E" w:rsidRPr="00233877">
        <w:t xml:space="preserve">a $40 </w:t>
      </w:r>
      <w:r w:rsidR="009D06FE">
        <w:t>token of appreciation</w:t>
      </w:r>
      <w:r w:rsidR="00E36F4E" w:rsidRPr="00233877">
        <w:t xml:space="preserve"> disbursed upon completion of the survey. </w:t>
      </w:r>
      <w:r>
        <w:t xml:space="preserve"> Lastly, there are many differences </w:t>
      </w:r>
      <w:r w:rsidR="002541F4">
        <w:t xml:space="preserve">in survey items </w:t>
      </w:r>
      <w:r>
        <w:t xml:space="preserve">between the </w:t>
      </w:r>
      <w:r w:rsidR="002541F4">
        <w:t>1998-</w:t>
      </w:r>
      <w:r>
        <w:t xml:space="preserve">1999 survey and the proposed survey; however, key items have been retained to allow for trend analysis.  </w:t>
      </w:r>
    </w:p>
    <w:p w14:paraId="4A9777C7" w14:textId="77777777" w:rsidR="006D76AC" w:rsidRDefault="007F471F" w:rsidP="007F471F">
      <w:pPr>
        <w:pStyle w:val="Heading1"/>
      </w:pPr>
      <w:bookmarkStart w:id="28" w:name="_Toc462298386"/>
      <w:r w:rsidRPr="007F471F">
        <w:t>A.16</w:t>
      </w:r>
      <w:r w:rsidRPr="007F471F">
        <w:tab/>
      </w:r>
      <w:r w:rsidR="006D76AC" w:rsidRPr="007F471F">
        <w:t>Plans for Tabulation and Publication and Project Time Schedule</w:t>
      </w:r>
      <w:bookmarkEnd w:id="28"/>
      <w:r w:rsidR="006D76AC" w:rsidRPr="007F471F">
        <w:t xml:space="preserve"> </w:t>
      </w:r>
    </w:p>
    <w:p w14:paraId="2FDAFB4A" w14:textId="77777777" w:rsidR="00E074A0" w:rsidRDefault="00E166B2" w:rsidP="00E074A0">
      <w:r>
        <w:t>I</w:t>
      </w:r>
      <w:r w:rsidR="00E074A0" w:rsidRPr="007837D8">
        <w:t xml:space="preserve">tem non-response </w:t>
      </w:r>
      <w:r w:rsidR="00E074A0">
        <w:t xml:space="preserve">will be analyzed </w:t>
      </w:r>
      <w:r w:rsidR="00E074A0" w:rsidRPr="007837D8">
        <w:t>to identify any potentially problematic questions or</w:t>
      </w:r>
      <w:r w:rsidR="00E074A0">
        <w:t xml:space="preserve"> </w:t>
      </w:r>
      <w:r w:rsidR="00E074A0" w:rsidRPr="007837D8">
        <w:t xml:space="preserve">survey sections that may be increasing respondent break-off. </w:t>
      </w:r>
      <w:r w:rsidR="00E074A0">
        <w:t xml:space="preserve">Both mail and </w:t>
      </w:r>
      <w:r w:rsidR="00536139">
        <w:t>w</w:t>
      </w:r>
      <w:r w:rsidR="00E074A0">
        <w:t>eb d</w:t>
      </w:r>
      <w:r w:rsidR="00E074A0" w:rsidRPr="007837D8">
        <w:t>atasets will be</w:t>
      </w:r>
      <w:r w:rsidR="00E074A0">
        <w:t xml:space="preserve"> </w:t>
      </w:r>
      <w:r w:rsidR="00E074A0" w:rsidRPr="007837D8">
        <w:t xml:space="preserve">carefully reviewed for apparently </w:t>
      </w:r>
      <w:r w:rsidR="00D549DF" w:rsidRPr="007837D8">
        <w:t>unusual</w:t>
      </w:r>
      <w:r w:rsidR="00E074A0" w:rsidRPr="007837D8">
        <w:t xml:space="preserve"> or inconsistent responses that might</w:t>
      </w:r>
      <w:r w:rsidR="00E074A0">
        <w:t xml:space="preserve"> </w:t>
      </w:r>
      <w:r w:rsidR="00E074A0" w:rsidRPr="007837D8">
        <w:t>also signal problems of comprehension, recall, or reporting in either the</w:t>
      </w:r>
      <w:r w:rsidR="00E074A0">
        <w:t xml:space="preserve"> </w:t>
      </w:r>
      <w:r w:rsidR="00E074A0" w:rsidRPr="007837D8">
        <w:t>questions or the response categories.</w:t>
      </w:r>
      <w:r w:rsidR="00E074A0">
        <w:t xml:space="preserve">  Survey response rates, survey cooperation rates, survey completion rates, survey ineligibility rates, and survey completion times will be calculated.  Additionally, responses to the </w:t>
      </w:r>
      <w:r w:rsidR="00536139">
        <w:t>w</w:t>
      </w:r>
      <w:r w:rsidR="00E074A0">
        <w:t>eb and mail modalities will be compared for systematic differences in response rate, responses, missing data and respondent breakoff.</w:t>
      </w:r>
    </w:p>
    <w:p w14:paraId="7EE7123B" w14:textId="77777777" w:rsidR="006B0EEA" w:rsidRPr="00C54E82" w:rsidRDefault="00E074A0" w:rsidP="00E166B2">
      <w:r>
        <w:t>As part of analysis,</w:t>
      </w:r>
      <w:r w:rsidRPr="00E32E30">
        <w:t xml:space="preserve"> weighting adjustments </w:t>
      </w:r>
      <w:r>
        <w:t xml:space="preserve">will be developed </w:t>
      </w:r>
      <w:r w:rsidRPr="00E32E30">
        <w:t xml:space="preserve">to increase the sample representativeness relative to the population. </w:t>
      </w:r>
      <w:r>
        <w:t>R</w:t>
      </w:r>
      <w:r w:rsidRPr="00E32E30">
        <w:t xml:space="preserve">epresentativeness </w:t>
      </w:r>
      <w:r>
        <w:t xml:space="preserve">will be evaluated </w:t>
      </w:r>
      <w:r w:rsidRPr="00E32E30">
        <w:t xml:space="preserve">by comparing the sample to benchmarks such as the American </w:t>
      </w:r>
      <w:r>
        <w:t>Medical Association Master File</w:t>
      </w:r>
      <w:r w:rsidRPr="00E32E30">
        <w:t>.</w:t>
      </w:r>
      <w:r>
        <w:t xml:space="preserve">  W</w:t>
      </w:r>
      <w:r w:rsidRPr="007837D8">
        <w:t xml:space="preserve">eights </w:t>
      </w:r>
      <w:r>
        <w:t xml:space="preserve">will be appended </w:t>
      </w:r>
      <w:r w:rsidRPr="007837D8">
        <w:t>to each survey record (“case” weights) in the final data file</w:t>
      </w:r>
      <w:r>
        <w:t xml:space="preserve"> from which national incidence estimates will be generated</w:t>
      </w:r>
      <w:r w:rsidRPr="007837D8">
        <w:t>.</w:t>
      </w:r>
    </w:p>
    <w:p w14:paraId="01B36529" w14:textId="77777777" w:rsidR="006B0EEA" w:rsidRDefault="006B0EEA" w:rsidP="00E074A0">
      <w:r w:rsidRPr="0021528B">
        <w:t xml:space="preserve">Initial publications will focus on providing </w:t>
      </w:r>
      <w:r w:rsidR="000123CA">
        <w:t>updated information on providers’ STD screening practices, clinical actions and partner notification</w:t>
      </w:r>
      <w:r w:rsidR="000123CA" w:rsidRPr="0021528B">
        <w:t xml:space="preserve">. </w:t>
      </w:r>
      <w:r w:rsidR="000123CA">
        <w:t>Publications will also focus on differences in EPT practice by state policies and will examine changes potentially related to the ACA.</w:t>
      </w:r>
      <w:r w:rsidR="000123CA" w:rsidRPr="0021528B">
        <w:t xml:space="preserve"> </w:t>
      </w:r>
      <w:r>
        <w:t>All publications</w:t>
      </w:r>
      <w:r w:rsidRPr="0021528B">
        <w:t xml:space="preserve"> will be submitted to peer-reviewed journals or published as government reports.  The publications will include detailed description</w:t>
      </w:r>
      <w:r>
        <w:t>s</w:t>
      </w:r>
      <w:r w:rsidRPr="0021528B">
        <w:t xml:space="preserve"> of the applicable aspects of the methodology.  </w:t>
      </w:r>
      <w:r w:rsidR="009027B8">
        <w:t xml:space="preserve">Major </w:t>
      </w:r>
      <w:r>
        <w:t>publications will be available via links on the Division of STD Prevention website</w:t>
      </w:r>
      <w:r w:rsidR="009027B8">
        <w:t xml:space="preserve">.  All publications will be submitted to CDC’s clearance process for scientific documents to </w:t>
      </w:r>
      <w:r w:rsidR="007B4E51">
        <w:t>e</w:t>
      </w:r>
      <w:r w:rsidR="009027B8">
        <w:t xml:space="preserve">nsure that any results that are released will maintain the privacy of respondents (i.e., no data that could be used to identify a given respondent will be publicly released).  </w:t>
      </w:r>
    </w:p>
    <w:p w14:paraId="5A3C95F5" w14:textId="77777777" w:rsidR="006B0EEA" w:rsidRPr="009C39F4" w:rsidRDefault="001B7573" w:rsidP="006B0EEA">
      <w:r>
        <w:t>For the first data collection, t</w:t>
      </w:r>
      <w:r w:rsidR="006B0EEA" w:rsidRPr="009C39F4">
        <w:t xml:space="preserve">he timeline </w:t>
      </w:r>
      <w:r>
        <w:t xml:space="preserve">to collect data </w:t>
      </w:r>
      <w:r w:rsidR="006B0EEA" w:rsidRPr="009C39F4">
        <w:t xml:space="preserve">is </w:t>
      </w:r>
      <w:r w:rsidR="007B4E51">
        <w:t>August</w:t>
      </w:r>
      <w:r w:rsidR="007B4E51" w:rsidRPr="009C39F4">
        <w:t xml:space="preserve"> </w:t>
      </w:r>
      <w:r w:rsidR="006B0EEA" w:rsidRPr="009C39F4">
        <w:t xml:space="preserve">through </w:t>
      </w:r>
      <w:r w:rsidR="007B4E51">
        <w:t>October</w:t>
      </w:r>
      <w:r w:rsidR="00BB47BB">
        <w:t xml:space="preserve"> </w:t>
      </w:r>
      <w:r>
        <w:t>2017</w:t>
      </w:r>
      <w:r w:rsidR="00711BBC">
        <w:t xml:space="preserve"> </w:t>
      </w:r>
      <w:r w:rsidR="00DF1291">
        <w:t>(pending OMB approval)</w:t>
      </w:r>
      <w:r w:rsidR="006B0EEA" w:rsidRPr="009C39F4">
        <w:t xml:space="preserve">.  </w:t>
      </w:r>
    </w:p>
    <w:p w14:paraId="6151BD75" w14:textId="77777777" w:rsidR="006B0EEA" w:rsidRDefault="006B0EEA" w:rsidP="006B0EEA">
      <w:pPr>
        <w:pStyle w:val="Caption"/>
        <w:keepNext/>
      </w:pPr>
      <w:r>
        <w:t xml:space="preserve">Exhibit </w:t>
      </w:r>
      <w:r w:rsidR="00A46AB2">
        <w:fldChar w:fldCharType="begin"/>
      </w:r>
      <w:r w:rsidR="00A46AB2">
        <w:instrText xml:space="preserve"> SEQ Exhibit \* ARABIC </w:instrText>
      </w:r>
      <w:r w:rsidR="00A46AB2">
        <w:fldChar w:fldCharType="separate"/>
      </w:r>
      <w:r w:rsidR="008951C0">
        <w:rPr>
          <w:noProof/>
        </w:rPr>
        <w:t>2</w:t>
      </w:r>
      <w:r w:rsidR="00A46AB2">
        <w:rPr>
          <w:noProof/>
        </w:rPr>
        <w:fldChar w:fldCharType="end"/>
      </w:r>
      <w:r>
        <w:t xml:space="preserve">. </w:t>
      </w:r>
      <w:r>
        <w:rPr>
          <w:rFonts w:ascii="Times New Roman TUR" w:hAnsi="Times New Roman TUR" w:cs="Times New Roman TUR"/>
        </w:rPr>
        <w:t>Project Time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572"/>
      </w:tblGrid>
      <w:tr w:rsidR="006B0EEA" w:rsidRPr="004D2188" w14:paraId="026400AF" w14:textId="77777777" w:rsidTr="00E32202">
        <w:trPr>
          <w:trHeight w:val="170"/>
        </w:trPr>
        <w:tc>
          <w:tcPr>
            <w:tcW w:w="4698" w:type="dxa"/>
          </w:tcPr>
          <w:p w14:paraId="17DE201A" w14:textId="77777777" w:rsidR="006B0EEA" w:rsidRPr="00A31231" w:rsidRDefault="006B0EEA" w:rsidP="006B0EEA">
            <w:pPr>
              <w:spacing w:after="0"/>
              <w:ind w:left="180"/>
              <w:rPr>
                <w:b/>
              </w:rPr>
            </w:pPr>
            <w:r w:rsidRPr="00A31231">
              <w:rPr>
                <w:b/>
              </w:rPr>
              <w:t>Activity</w:t>
            </w:r>
          </w:p>
        </w:tc>
        <w:tc>
          <w:tcPr>
            <w:tcW w:w="4572" w:type="dxa"/>
          </w:tcPr>
          <w:p w14:paraId="3F823CD1" w14:textId="77777777" w:rsidR="006B0EEA" w:rsidRPr="00A31231" w:rsidRDefault="006B0EEA" w:rsidP="006B0EEA">
            <w:pPr>
              <w:spacing w:after="0"/>
              <w:ind w:left="90"/>
              <w:rPr>
                <w:b/>
              </w:rPr>
            </w:pPr>
            <w:r w:rsidRPr="00A31231">
              <w:rPr>
                <w:b/>
              </w:rPr>
              <w:t xml:space="preserve">Time Period </w:t>
            </w:r>
          </w:p>
        </w:tc>
      </w:tr>
      <w:tr w:rsidR="006B0EEA" w:rsidRPr="004D2188" w14:paraId="1F580713" w14:textId="77777777" w:rsidTr="006B0EEA">
        <w:trPr>
          <w:trHeight w:val="648"/>
        </w:trPr>
        <w:tc>
          <w:tcPr>
            <w:tcW w:w="4698" w:type="dxa"/>
          </w:tcPr>
          <w:p w14:paraId="517AFC7C" w14:textId="77777777" w:rsidR="006B0EEA" w:rsidRPr="008F2AC3" w:rsidRDefault="006B0EEA" w:rsidP="006B0EEA">
            <w:pPr>
              <w:pStyle w:val="NoSpacing"/>
            </w:pPr>
            <w:r w:rsidRPr="008F2AC3">
              <w:t>Implement Survey</w:t>
            </w:r>
          </w:p>
        </w:tc>
        <w:tc>
          <w:tcPr>
            <w:tcW w:w="4572" w:type="dxa"/>
          </w:tcPr>
          <w:p w14:paraId="763502C1" w14:textId="77777777" w:rsidR="006B0EEA" w:rsidRPr="008F2AC3" w:rsidRDefault="009F377E" w:rsidP="006B0EEA">
            <w:pPr>
              <w:pStyle w:val="NoSpacing"/>
            </w:pPr>
            <w:r>
              <w:t xml:space="preserve">Within </w:t>
            </w:r>
            <w:r w:rsidR="006B0EEA">
              <w:t xml:space="preserve">1 month </w:t>
            </w:r>
            <w:r>
              <w:t xml:space="preserve">of </w:t>
            </w:r>
            <w:r w:rsidR="006B0EEA">
              <w:t>OMB approval</w:t>
            </w:r>
          </w:p>
          <w:p w14:paraId="6AB7918F" w14:textId="77777777" w:rsidR="006B0EEA" w:rsidRPr="008F2AC3" w:rsidRDefault="006B0EEA" w:rsidP="006B0EEA">
            <w:pPr>
              <w:pStyle w:val="NoSpacing"/>
            </w:pPr>
          </w:p>
        </w:tc>
      </w:tr>
      <w:tr w:rsidR="006B0EEA" w:rsidRPr="004D2188" w14:paraId="5A2DB3A5" w14:textId="77777777" w:rsidTr="006B0EEA">
        <w:trPr>
          <w:trHeight w:val="648"/>
        </w:trPr>
        <w:tc>
          <w:tcPr>
            <w:tcW w:w="4698" w:type="dxa"/>
          </w:tcPr>
          <w:p w14:paraId="0F141B81" w14:textId="77777777" w:rsidR="006B0EEA" w:rsidRPr="0021528B" w:rsidRDefault="006B0EEA" w:rsidP="006B0EEA">
            <w:pPr>
              <w:pStyle w:val="NoSpacing"/>
            </w:pPr>
            <w:r w:rsidRPr="0021528B">
              <w:t>Develop Secure Data Repository</w:t>
            </w:r>
          </w:p>
          <w:p w14:paraId="116FCECD" w14:textId="77777777" w:rsidR="006B0EEA" w:rsidRPr="0021528B" w:rsidRDefault="006B0EEA" w:rsidP="006B0EEA">
            <w:pPr>
              <w:pStyle w:val="NoSpacing"/>
            </w:pPr>
            <w:r w:rsidRPr="0021528B">
              <w:t xml:space="preserve">Develop Data Sharing Plan </w:t>
            </w:r>
          </w:p>
        </w:tc>
        <w:tc>
          <w:tcPr>
            <w:tcW w:w="4572" w:type="dxa"/>
          </w:tcPr>
          <w:p w14:paraId="095D4506" w14:textId="77777777" w:rsidR="006B0EEA" w:rsidRPr="0021528B" w:rsidRDefault="009F377E" w:rsidP="009F377E">
            <w:pPr>
              <w:pStyle w:val="NoSpacing"/>
            </w:pPr>
            <w:r>
              <w:t>Within 1 month of</w:t>
            </w:r>
            <w:r w:rsidR="006B0EEA">
              <w:t xml:space="preserve"> OMB approval</w:t>
            </w:r>
          </w:p>
        </w:tc>
      </w:tr>
      <w:tr w:rsidR="006B0EEA" w:rsidRPr="004D2188" w14:paraId="7915AF4E" w14:textId="77777777" w:rsidTr="006B0EEA">
        <w:trPr>
          <w:trHeight w:val="648"/>
        </w:trPr>
        <w:tc>
          <w:tcPr>
            <w:tcW w:w="4698" w:type="dxa"/>
          </w:tcPr>
          <w:p w14:paraId="2651B130" w14:textId="77777777" w:rsidR="006B0EEA" w:rsidRPr="0021528B" w:rsidRDefault="006B0EEA" w:rsidP="006B0EEA">
            <w:pPr>
              <w:pStyle w:val="NoSpacing"/>
            </w:pPr>
            <w:r w:rsidRPr="0021528B">
              <w:t>Develop Data Dictionary</w:t>
            </w:r>
          </w:p>
          <w:p w14:paraId="270735A9" w14:textId="77777777" w:rsidR="006B0EEA" w:rsidRPr="0021528B" w:rsidRDefault="006B0EEA" w:rsidP="006B0EEA">
            <w:pPr>
              <w:pStyle w:val="NoSpacing"/>
            </w:pPr>
            <w:r w:rsidRPr="0021528B">
              <w:t>Provide Quality Checks of all Data Deliverables</w:t>
            </w:r>
          </w:p>
        </w:tc>
        <w:tc>
          <w:tcPr>
            <w:tcW w:w="4572" w:type="dxa"/>
          </w:tcPr>
          <w:p w14:paraId="5AA26936" w14:textId="77777777" w:rsidR="006B0EEA" w:rsidRDefault="009F377E" w:rsidP="006B0EEA">
            <w:pPr>
              <w:pStyle w:val="NoSpacing"/>
            </w:pPr>
            <w:r>
              <w:t xml:space="preserve">1-2 </w:t>
            </w:r>
            <w:r w:rsidR="006B0EEA">
              <w:t>months after OMB approval</w:t>
            </w:r>
          </w:p>
          <w:p w14:paraId="23AB2E23" w14:textId="77777777" w:rsidR="006B0EEA" w:rsidRPr="0021528B" w:rsidRDefault="009F377E" w:rsidP="006B0EEA">
            <w:pPr>
              <w:pStyle w:val="NoSpacing"/>
            </w:pPr>
            <w:r>
              <w:t>2-3</w:t>
            </w:r>
            <w:r w:rsidR="006B0EEA">
              <w:t xml:space="preserve"> months after OMB approval</w:t>
            </w:r>
          </w:p>
        </w:tc>
      </w:tr>
      <w:tr w:rsidR="006B0EEA" w:rsidRPr="004D2188" w14:paraId="44B76FB1" w14:textId="77777777" w:rsidTr="006B0EEA">
        <w:trPr>
          <w:trHeight w:val="648"/>
        </w:trPr>
        <w:tc>
          <w:tcPr>
            <w:tcW w:w="4698" w:type="dxa"/>
          </w:tcPr>
          <w:p w14:paraId="4FF34530" w14:textId="77777777" w:rsidR="006B0EEA" w:rsidRPr="0021528B" w:rsidRDefault="006B0EEA" w:rsidP="006B0EEA">
            <w:pPr>
              <w:pStyle w:val="NoSpacing"/>
              <w:rPr>
                <w:rFonts w:ascii="Times New Roman TUR" w:hAnsi="Times New Roman TUR" w:cs="Times New Roman TUR"/>
              </w:rPr>
            </w:pPr>
            <w:r w:rsidRPr="0021528B">
              <w:rPr>
                <w:rFonts w:ascii="Times New Roman TUR" w:hAnsi="Times New Roman TUR" w:cs="Times New Roman TUR"/>
              </w:rPr>
              <w:t xml:space="preserve">Develop Data Analysis Plan and Analysis </w:t>
            </w:r>
          </w:p>
        </w:tc>
        <w:tc>
          <w:tcPr>
            <w:tcW w:w="4572" w:type="dxa"/>
          </w:tcPr>
          <w:p w14:paraId="42B21409" w14:textId="77777777" w:rsidR="006B0EEA" w:rsidRPr="0021528B" w:rsidRDefault="009F377E" w:rsidP="006B0EEA">
            <w:pPr>
              <w:pStyle w:val="NoSpacing"/>
              <w:rPr>
                <w:rFonts w:ascii="Times New Roman TUR" w:hAnsi="Times New Roman TUR" w:cs="Times New Roman TUR"/>
              </w:rPr>
            </w:pPr>
            <w:r>
              <w:rPr>
                <w:rFonts w:ascii="Times New Roman TUR" w:hAnsi="Times New Roman TUR" w:cs="Times New Roman TUR"/>
              </w:rPr>
              <w:t>1-2</w:t>
            </w:r>
            <w:r w:rsidR="006B0EEA">
              <w:rPr>
                <w:rFonts w:ascii="Times New Roman TUR" w:hAnsi="Times New Roman TUR" w:cs="Times New Roman TUR"/>
              </w:rPr>
              <w:t xml:space="preserve"> months after OMB approval</w:t>
            </w:r>
          </w:p>
        </w:tc>
      </w:tr>
      <w:tr w:rsidR="006B0EEA" w:rsidRPr="004D2188" w14:paraId="0C558708" w14:textId="77777777" w:rsidTr="006B0EEA">
        <w:trPr>
          <w:trHeight w:val="648"/>
        </w:trPr>
        <w:tc>
          <w:tcPr>
            <w:tcW w:w="4698" w:type="dxa"/>
            <w:tcBorders>
              <w:bottom w:val="single" w:sz="4" w:space="0" w:color="auto"/>
            </w:tcBorders>
          </w:tcPr>
          <w:p w14:paraId="4C44ABA6" w14:textId="77777777" w:rsidR="006B0EEA" w:rsidRPr="000A1B69" w:rsidRDefault="006B0EEA" w:rsidP="006B0EEA">
            <w:pPr>
              <w:pStyle w:val="NoSpacing"/>
              <w:rPr>
                <w:rFonts w:ascii="Times New Roman TUR" w:hAnsi="Times New Roman TUR" w:cs="Times New Roman TUR"/>
              </w:rPr>
            </w:pPr>
            <w:r>
              <w:rPr>
                <w:rFonts w:ascii="Times New Roman TUR" w:hAnsi="Times New Roman TUR" w:cs="Times New Roman TUR"/>
              </w:rPr>
              <w:t>Survey Implementation Status Reporting</w:t>
            </w:r>
          </w:p>
        </w:tc>
        <w:tc>
          <w:tcPr>
            <w:tcW w:w="4572" w:type="dxa"/>
            <w:tcBorders>
              <w:bottom w:val="single" w:sz="4" w:space="0" w:color="auto"/>
            </w:tcBorders>
          </w:tcPr>
          <w:p w14:paraId="0179CAB0" w14:textId="77777777" w:rsidR="006B0EEA" w:rsidRPr="008F2AC3" w:rsidRDefault="009F377E" w:rsidP="006B0EEA">
            <w:pPr>
              <w:pStyle w:val="NoSpacing"/>
            </w:pPr>
            <w:r>
              <w:t>1</w:t>
            </w:r>
            <w:r w:rsidR="006B0EEA">
              <w:t xml:space="preserve"> –</w:t>
            </w:r>
            <w:r>
              <w:t>3</w:t>
            </w:r>
            <w:r w:rsidR="006B0EEA">
              <w:t xml:space="preserve"> months after OMB approval</w:t>
            </w:r>
            <w:r>
              <w:t xml:space="preserve"> (throughout 60 day data collection period)</w:t>
            </w:r>
          </w:p>
          <w:p w14:paraId="38616B13" w14:textId="77777777" w:rsidR="006B0EEA" w:rsidRDefault="006B0EEA" w:rsidP="006B0EEA">
            <w:pPr>
              <w:pStyle w:val="NoSpacing"/>
              <w:rPr>
                <w:rFonts w:ascii="Times New Roman TUR" w:hAnsi="Times New Roman TUR" w:cs="Times New Roman TUR"/>
              </w:rPr>
            </w:pPr>
          </w:p>
        </w:tc>
      </w:tr>
      <w:tr w:rsidR="006B0EEA" w:rsidRPr="004D2188" w14:paraId="71C0C1BC" w14:textId="77777777" w:rsidTr="006B0EEA">
        <w:trPr>
          <w:trHeight w:val="648"/>
        </w:trPr>
        <w:tc>
          <w:tcPr>
            <w:tcW w:w="4698" w:type="dxa"/>
          </w:tcPr>
          <w:p w14:paraId="4829F5A7" w14:textId="77777777" w:rsidR="006B0EEA" w:rsidRDefault="006B0EEA" w:rsidP="006B0EEA">
            <w:pPr>
              <w:pStyle w:val="NoSpacing"/>
            </w:pPr>
            <w:r>
              <w:t>Data Submission</w:t>
            </w:r>
          </w:p>
          <w:p w14:paraId="0CC1E6E8" w14:textId="77777777" w:rsidR="006B0EEA" w:rsidRPr="000A1B69" w:rsidRDefault="006B0EEA" w:rsidP="006B0EEA">
            <w:pPr>
              <w:pStyle w:val="NoSpacing"/>
            </w:pPr>
            <w:r>
              <w:t>Final Report on Pilot Data from I</w:t>
            </w:r>
            <w:r w:rsidRPr="00DD4C42">
              <w:t>C</w:t>
            </w:r>
            <w:r>
              <w:t>F to CDC</w:t>
            </w:r>
          </w:p>
        </w:tc>
        <w:tc>
          <w:tcPr>
            <w:tcW w:w="4572" w:type="dxa"/>
          </w:tcPr>
          <w:p w14:paraId="05C40097" w14:textId="77777777" w:rsidR="006B0EEA" w:rsidRDefault="009F377E" w:rsidP="006B0EEA">
            <w:pPr>
              <w:pStyle w:val="NoSpacing"/>
            </w:pPr>
            <w:r>
              <w:t>3-4</w:t>
            </w:r>
            <w:r w:rsidR="006B0EEA">
              <w:t xml:space="preserve"> months after OMB approval</w:t>
            </w:r>
          </w:p>
          <w:p w14:paraId="4B575E12" w14:textId="77777777" w:rsidR="006B0EEA" w:rsidRPr="000A1B69" w:rsidRDefault="009F377E" w:rsidP="006B0EEA">
            <w:pPr>
              <w:pStyle w:val="NoSpacing"/>
            </w:pPr>
            <w:r>
              <w:t>4</w:t>
            </w:r>
            <w:r w:rsidR="006B0EEA">
              <w:t xml:space="preserve"> months after OMB approval</w:t>
            </w:r>
          </w:p>
        </w:tc>
      </w:tr>
      <w:tr w:rsidR="006B0EEA" w:rsidRPr="004D2188" w14:paraId="505E98EF" w14:textId="77777777" w:rsidTr="006B0EEA">
        <w:trPr>
          <w:trHeight w:val="648"/>
        </w:trPr>
        <w:tc>
          <w:tcPr>
            <w:tcW w:w="4698" w:type="dxa"/>
          </w:tcPr>
          <w:p w14:paraId="0AD54A67" w14:textId="77777777" w:rsidR="006B0EEA" w:rsidRDefault="006B0EEA" w:rsidP="006B0EEA">
            <w:pPr>
              <w:pStyle w:val="NoSpacing"/>
            </w:pPr>
            <w:r>
              <w:t>Anticipated publications</w:t>
            </w:r>
          </w:p>
        </w:tc>
        <w:tc>
          <w:tcPr>
            <w:tcW w:w="4572" w:type="dxa"/>
          </w:tcPr>
          <w:p w14:paraId="339403B2" w14:textId="77777777" w:rsidR="006B0EEA" w:rsidRDefault="00B2257D" w:rsidP="006B0EEA">
            <w:pPr>
              <w:pStyle w:val="NoSpacing"/>
            </w:pPr>
            <w:r>
              <w:t>9-12</w:t>
            </w:r>
            <w:r w:rsidR="006B0EEA">
              <w:t xml:space="preserve"> months after OMB approval</w:t>
            </w:r>
          </w:p>
        </w:tc>
      </w:tr>
    </w:tbl>
    <w:p w14:paraId="581DD76C" w14:textId="77777777" w:rsidR="006D76AC" w:rsidRPr="00233877" w:rsidRDefault="007F471F" w:rsidP="007F471F">
      <w:pPr>
        <w:pStyle w:val="Heading1"/>
      </w:pPr>
      <w:bookmarkStart w:id="29" w:name="_Toc462298387"/>
      <w:r>
        <w:t>A.17</w:t>
      </w:r>
      <w:r>
        <w:tab/>
      </w:r>
      <w:r w:rsidR="006D76AC" w:rsidRPr="00233877">
        <w:t>Reason(s) Display of OMB Expiration Date is Inappropriate</w:t>
      </w:r>
      <w:bookmarkEnd w:id="29"/>
    </w:p>
    <w:p w14:paraId="0BDE38D5" w14:textId="77777777" w:rsidR="007948D6" w:rsidRPr="00233877" w:rsidRDefault="007948D6" w:rsidP="007F471F">
      <w:r w:rsidRPr="00233877">
        <w:t>CDC will display the expiration date for OMB approval.</w:t>
      </w:r>
    </w:p>
    <w:p w14:paraId="6736FAC0" w14:textId="77777777" w:rsidR="007948D6" w:rsidRPr="00233877" w:rsidRDefault="007F471F" w:rsidP="007F471F">
      <w:pPr>
        <w:pStyle w:val="Heading1"/>
      </w:pPr>
      <w:bookmarkStart w:id="30" w:name="_Toc462298388"/>
      <w:r>
        <w:t>A.18</w:t>
      </w:r>
      <w:r>
        <w:tab/>
      </w:r>
      <w:r w:rsidR="006D76AC" w:rsidRPr="00233877">
        <w:t>Exceptions to Certification for Paperwork Reduction Act Submissions</w:t>
      </w:r>
      <w:bookmarkEnd w:id="30"/>
      <w:r w:rsidR="006D76AC" w:rsidRPr="00233877">
        <w:t xml:space="preserve"> </w:t>
      </w:r>
    </w:p>
    <w:p w14:paraId="433E7A81" w14:textId="77777777" w:rsidR="001B0F23" w:rsidRDefault="007948D6" w:rsidP="007948D6">
      <w:pPr>
        <w:widowControl/>
        <w:autoSpaceDE/>
        <w:autoSpaceDN/>
        <w:adjustRightInd/>
        <w:ind w:right="-4"/>
        <w:rPr>
          <w:noProof/>
        </w:rPr>
      </w:pPr>
      <w:r w:rsidRPr="00233877">
        <w:t>No exceptions to the certification are made.</w:t>
      </w:r>
      <w:r w:rsidR="006D76AC" w:rsidRPr="00233877">
        <w:fldChar w:fldCharType="begin"/>
      </w:r>
      <w:r w:rsidR="006D76AC" w:rsidRPr="00233877">
        <w:instrText xml:space="preserve"> TOC \o "1-2" \h \z \u </w:instrText>
      </w:r>
      <w:r w:rsidR="006D76AC" w:rsidRPr="00233877">
        <w:fldChar w:fldCharType="separate"/>
      </w:r>
    </w:p>
    <w:p w14:paraId="4EEE9023" w14:textId="77777777" w:rsidR="006D76AC" w:rsidRPr="00233877" w:rsidRDefault="006D76AC" w:rsidP="00FA7B77">
      <w:pPr>
        <w:spacing w:before="240"/>
        <w:ind w:left="540" w:right="-4" w:firstLine="360"/>
      </w:pPr>
      <w:r w:rsidRPr="00233877">
        <w:fldChar w:fldCharType="end"/>
      </w:r>
    </w:p>
    <w:p w14:paraId="311C706C" w14:textId="77777777" w:rsidR="006D76AC" w:rsidRPr="00233877" w:rsidRDefault="006D76AC" w:rsidP="00262E84">
      <w:pPr>
        <w:spacing w:before="240"/>
        <w:ind w:right="-4" w:firstLine="360"/>
      </w:pPr>
    </w:p>
    <w:p w14:paraId="2B11B3AE" w14:textId="77777777" w:rsidR="00262E84" w:rsidRPr="00233877" w:rsidRDefault="00262E84">
      <w:pPr>
        <w:spacing w:before="240"/>
        <w:ind w:right="-4" w:firstLine="360"/>
      </w:pPr>
    </w:p>
    <w:sectPr w:rsidR="00262E84" w:rsidRPr="00233877" w:rsidSect="00973ADE">
      <w:endnotePr>
        <w:numFmt w:val="decimal"/>
      </w:endnotePr>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Sandul, Amy (CDC/OID/NCHHSTP)" w:date="2017-11-09T14:16:00Z" w:initials="SA(">
    <w:p w14:paraId="3F28E08A" w14:textId="6E01B62B" w:rsidR="00BF0E11" w:rsidRPr="00D44155" w:rsidRDefault="00BF0E11" w:rsidP="0023217A">
      <w:pPr>
        <w:pStyle w:val="CommentText"/>
        <w:rPr>
          <w:rFonts w:asciiTheme="majorHAnsi" w:hAnsiTheme="majorHAnsi" w:cstheme="majorHAnsi"/>
          <w:color w:val="000000" w:themeColor="text1"/>
        </w:rPr>
      </w:pPr>
      <w:r>
        <w:rPr>
          <w:rStyle w:val="CommentReference"/>
        </w:rPr>
        <w:annotationRef/>
      </w:r>
      <w:r w:rsidRPr="00D44155">
        <w:rPr>
          <w:rFonts w:asciiTheme="majorHAnsi" w:hAnsiTheme="majorHAnsi" w:cstheme="majorHAnsi"/>
          <w:color w:val="000000" w:themeColor="text1"/>
        </w:rPr>
        <w:t>The funding mechanism for this data collection is a contract, the contractor is ICF.  Under a contract, CDC prescribes the data collection methods and owns the data.  When a contract mechanism is used the contractor</w:t>
      </w:r>
      <w:r>
        <w:rPr>
          <w:rFonts w:asciiTheme="majorHAnsi" w:hAnsiTheme="majorHAnsi" w:cstheme="majorHAnsi"/>
          <w:color w:val="000000" w:themeColor="text1"/>
        </w:rPr>
        <w:t>(s)</w:t>
      </w:r>
      <w:r w:rsidRPr="00D44155">
        <w:rPr>
          <w:rFonts w:asciiTheme="majorHAnsi" w:hAnsiTheme="majorHAnsi" w:cstheme="majorHAnsi"/>
          <w:color w:val="000000" w:themeColor="text1"/>
        </w:rPr>
        <w:t xml:space="preserve"> are acting as agents of CDC so when the names and addresses of physicians are obtained by the contractors and</w:t>
      </w:r>
      <w:r>
        <w:rPr>
          <w:rFonts w:asciiTheme="majorHAnsi" w:hAnsiTheme="majorHAnsi" w:cstheme="majorHAnsi"/>
          <w:color w:val="000000" w:themeColor="text1"/>
        </w:rPr>
        <w:t xml:space="preserve"> used to contact and then track potential responses for the duration of the survey period, </w:t>
      </w:r>
      <w:r w:rsidRPr="00D44155">
        <w:rPr>
          <w:rFonts w:asciiTheme="majorHAnsi" w:hAnsiTheme="majorHAnsi" w:cstheme="majorHAnsi"/>
          <w:color w:val="000000" w:themeColor="text1"/>
        </w:rPr>
        <w:t xml:space="preserve">it as though CDC were collecting the data directly.  If names and contact information are being collected for any purpose, the Privacy Act applies to this data collection.    </w:t>
      </w:r>
    </w:p>
    <w:p w14:paraId="1E3ADFE2" w14:textId="77777777" w:rsidR="00BF0E11" w:rsidRPr="00D44155" w:rsidRDefault="00BF0E11" w:rsidP="0023217A">
      <w:pPr>
        <w:pStyle w:val="CommentText"/>
        <w:rPr>
          <w:rFonts w:asciiTheme="majorHAnsi" w:hAnsiTheme="majorHAnsi" w:cstheme="majorHAnsi"/>
          <w:color w:val="000000" w:themeColor="text1"/>
        </w:rPr>
      </w:pPr>
    </w:p>
    <w:p w14:paraId="53AB9B18" w14:textId="77777777" w:rsidR="00BF0E11" w:rsidRPr="00D44155" w:rsidRDefault="00BF0E11" w:rsidP="0023217A">
      <w:pPr>
        <w:pStyle w:val="CommentText"/>
        <w:rPr>
          <w:rFonts w:asciiTheme="majorHAnsi" w:hAnsiTheme="majorHAnsi" w:cstheme="majorHAnsi"/>
          <w:color w:val="000000" w:themeColor="text1"/>
        </w:rPr>
      </w:pPr>
      <w:r w:rsidRPr="00D44155">
        <w:rPr>
          <w:rFonts w:asciiTheme="majorHAnsi" w:hAnsiTheme="majorHAnsi" w:cstheme="majorHAnsi"/>
          <w:color w:val="000000" w:themeColor="text1"/>
        </w:rPr>
        <w:t xml:space="preserve">This section has been revised for accuracy and a System of records Notification Statement (SORN) has been added.  </w:t>
      </w:r>
    </w:p>
    <w:p w14:paraId="7969D82F" w14:textId="77777777" w:rsidR="00BF0E11" w:rsidRPr="00D44155" w:rsidRDefault="00BF0E11" w:rsidP="0023217A">
      <w:pPr>
        <w:pStyle w:val="CommentText"/>
        <w:rPr>
          <w:rFonts w:asciiTheme="majorHAnsi" w:hAnsiTheme="majorHAnsi" w:cstheme="majorHAnsi"/>
          <w:color w:val="000000" w:themeColor="text1"/>
        </w:rPr>
      </w:pPr>
    </w:p>
    <w:p w14:paraId="6C977590" w14:textId="2566F045" w:rsidR="00BF0E11" w:rsidRPr="00D44155" w:rsidRDefault="00BF0E11" w:rsidP="0023217A">
      <w:pPr>
        <w:pStyle w:val="CommentText"/>
        <w:rPr>
          <w:rFonts w:asciiTheme="majorHAnsi" w:hAnsiTheme="majorHAnsi" w:cstheme="majorHAnsi"/>
          <w:color w:val="000000" w:themeColor="text1"/>
        </w:rPr>
      </w:pPr>
      <w:r w:rsidRPr="00D44155">
        <w:rPr>
          <w:rFonts w:asciiTheme="majorHAnsi" w:hAnsiTheme="majorHAnsi" w:cstheme="majorHAnsi"/>
          <w:color w:val="000000" w:themeColor="text1"/>
          <w:lang w:val="en"/>
        </w:rPr>
        <w:t xml:space="preserve">Data collections covered by the Privacy Act require project participants be provided with Privacy Act notification </w:t>
      </w:r>
      <w:r>
        <w:rPr>
          <w:rFonts w:asciiTheme="majorHAnsi" w:hAnsiTheme="majorHAnsi" w:cstheme="majorHAnsi"/>
          <w:color w:val="000000" w:themeColor="text1"/>
          <w:lang w:val="en"/>
        </w:rPr>
        <w:t>elements e</w:t>
      </w:r>
      <w:r w:rsidRPr="00D44155">
        <w:rPr>
          <w:rFonts w:asciiTheme="majorHAnsi" w:hAnsiTheme="majorHAnsi" w:cstheme="majorHAnsi"/>
          <w:color w:val="000000" w:themeColor="text1"/>
          <w:lang w:val="en"/>
        </w:rPr>
        <w:t>ither on the data collection instrument or within the consent form (</w:t>
      </w:r>
      <w:r>
        <w:rPr>
          <w:rFonts w:asciiTheme="majorHAnsi" w:hAnsiTheme="majorHAnsi" w:cstheme="majorHAnsi"/>
          <w:color w:val="000000" w:themeColor="text1"/>
          <w:lang w:val="en"/>
        </w:rPr>
        <w:t xml:space="preserve">the elements include: </w:t>
      </w:r>
      <w:r w:rsidRPr="00D44155">
        <w:rPr>
          <w:rFonts w:asciiTheme="majorHAnsi" w:hAnsiTheme="majorHAnsi" w:cstheme="majorHAnsi"/>
          <w:color w:val="000000" w:themeColor="text1"/>
          <w:lang w:val="en"/>
        </w:rPr>
        <w:t xml:space="preserve">data collection authority, purpose of project, anticipated disclosures, whether participation is voluntary, effects of nondisclosure, availability of accounting of disclosures).  </w:t>
      </w:r>
      <w:r w:rsidRPr="002339D4">
        <w:rPr>
          <w:rFonts w:asciiTheme="majorHAnsi" w:hAnsiTheme="majorHAnsi" w:cstheme="majorHAnsi"/>
          <w:color w:val="000000" w:themeColor="text1"/>
          <w:u w:val="single"/>
          <w:lang w:val="en"/>
        </w:rPr>
        <w:t>These all appear to be covered in the consent document and invitation to participate</w:t>
      </w:r>
      <w:r>
        <w:rPr>
          <w:rFonts w:asciiTheme="majorHAnsi" w:hAnsiTheme="majorHAnsi" w:cstheme="majorHAnsi"/>
          <w:color w:val="000000" w:themeColor="text1"/>
          <w:u w:val="single"/>
          <w:lang w:val="en"/>
        </w:rPr>
        <w:t xml:space="preserve"> sent to each provider</w:t>
      </w:r>
      <w:r w:rsidRPr="002339D4">
        <w:rPr>
          <w:rFonts w:asciiTheme="majorHAnsi" w:hAnsiTheme="majorHAnsi" w:cstheme="majorHAnsi"/>
          <w:color w:val="000000" w:themeColor="text1"/>
          <w:u w:val="single"/>
          <w:lang w:val="en"/>
        </w:rPr>
        <w:t>.</w:t>
      </w:r>
      <w:r>
        <w:rPr>
          <w:rFonts w:asciiTheme="majorHAnsi" w:hAnsiTheme="majorHAnsi" w:cstheme="majorHAnsi"/>
          <w:color w:val="000000" w:themeColor="text1"/>
          <w:lang w:val="en"/>
        </w:rPr>
        <w:t xml:space="preserve"> </w:t>
      </w:r>
      <w:r w:rsidRPr="00D44155">
        <w:rPr>
          <w:rFonts w:asciiTheme="majorHAnsi" w:hAnsiTheme="majorHAnsi" w:cstheme="majorHAnsi"/>
          <w:color w:val="000000" w:themeColor="text1"/>
          <w:lang w:val="en"/>
        </w:rPr>
        <w:t xml:space="preserve">  </w:t>
      </w:r>
    </w:p>
    <w:p w14:paraId="25873C0F" w14:textId="5017E13E" w:rsidR="00BF0E11" w:rsidRDefault="00BF0E1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873C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2962D" w14:textId="77777777" w:rsidR="00CC3BB4" w:rsidRDefault="00CC3BB4" w:rsidP="00196945">
      <w:r>
        <w:separator/>
      </w:r>
    </w:p>
  </w:endnote>
  <w:endnote w:type="continuationSeparator" w:id="0">
    <w:p w14:paraId="0F70FDE5" w14:textId="77777777" w:rsidR="00CC3BB4" w:rsidRDefault="00CC3BB4" w:rsidP="00196945">
      <w:r>
        <w:continuationSeparator/>
      </w:r>
    </w:p>
  </w:endnote>
  <w:endnote w:id="1">
    <w:p w14:paraId="75C7D655" w14:textId="77777777" w:rsidR="00BF0E11" w:rsidRPr="001B0F23" w:rsidRDefault="00BF0E11" w:rsidP="001B0F23">
      <w:pPr>
        <w:pStyle w:val="NoSpacing"/>
        <w:rPr>
          <w:sz w:val="20"/>
          <w:szCs w:val="20"/>
        </w:rPr>
      </w:pPr>
      <w:r w:rsidRPr="001B0F23">
        <w:rPr>
          <w:rStyle w:val="EndnoteReference"/>
          <w:sz w:val="20"/>
          <w:szCs w:val="20"/>
        </w:rPr>
        <w:endnoteRef/>
      </w:r>
      <w:r w:rsidRPr="001B0F23">
        <w:rPr>
          <w:sz w:val="20"/>
          <w:szCs w:val="20"/>
        </w:rPr>
        <w:t xml:space="preserve"> Centers for Disease Control and Prevention. Sexually Transmitted Disease Surveillance 2013. Atlanta: U.S. Department of Health and Human Services; 2014.   http://www.cdc.gov/std/stats13/.</w:t>
      </w:r>
    </w:p>
  </w:endnote>
  <w:endnote w:id="2">
    <w:p w14:paraId="0E766162" w14:textId="77777777" w:rsidR="00BF0E11" w:rsidRPr="001B0F23" w:rsidRDefault="00BF0E11" w:rsidP="001B0F23">
      <w:pPr>
        <w:pStyle w:val="NoSpacing"/>
        <w:rPr>
          <w:sz w:val="20"/>
          <w:szCs w:val="20"/>
        </w:rPr>
      </w:pPr>
      <w:r w:rsidRPr="001B0F23">
        <w:rPr>
          <w:rStyle w:val="EndnoteReference"/>
          <w:sz w:val="20"/>
          <w:szCs w:val="20"/>
        </w:rPr>
        <w:endnoteRef/>
      </w:r>
      <w:r w:rsidRPr="001B0F23">
        <w:rPr>
          <w:sz w:val="20"/>
          <w:szCs w:val="20"/>
        </w:rPr>
        <w:t xml:space="preserve"> Satterwhite CL, Torrone E, Meites E, et al. Sexually transmitted infections among US women and men: prevalence and incidence estimates, 2008. Sex Transm Dis. 2013;40(3):187-193.</w:t>
      </w:r>
    </w:p>
  </w:endnote>
  <w:endnote w:id="3">
    <w:p w14:paraId="6E82B2A8" w14:textId="77777777" w:rsidR="00BF0E11" w:rsidRPr="001B0F23" w:rsidRDefault="00BF0E11" w:rsidP="001B0F23">
      <w:pPr>
        <w:pStyle w:val="NoSpacing"/>
        <w:rPr>
          <w:sz w:val="20"/>
          <w:szCs w:val="20"/>
        </w:rPr>
      </w:pPr>
      <w:r w:rsidRPr="001B0F23">
        <w:rPr>
          <w:rStyle w:val="EndnoteReference"/>
          <w:sz w:val="20"/>
          <w:szCs w:val="20"/>
        </w:rPr>
        <w:endnoteRef/>
      </w:r>
      <w:r w:rsidRPr="001B0F23">
        <w:rPr>
          <w:sz w:val="20"/>
          <w:szCs w:val="20"/>
        </w:rPr>
        <w:t xml:space="preserve"> Owusu-Edusei K, Jr., Chesson HW, Gift TL, et al. The estimated direct medical cost of selected sexually transmitted infections in the United States, 2008. Sex Transm Dis. 2013;40(3):197-201.</w:t>
      </w:r>
    </w:p>
  </w:endnote>
  <w:endnote w:id="4">
    <w:p w14:paraId="270CD0DE" w14:textId="77777777" w:rsidR="00BF0E11" w:rsidRPr="001B0F23" w:rsidRDefault="00BF0E11" w:rsidP="001B0F23">
      <w:pPr>
        <w:pStyle w:val="NoSpacing"/>
        <w:rPr>
          <w:sz w:val="20"/>
          <w:szCs w:val="20"/>
        </w:rPr>
      </w:pPr>
      <w:r w:rsidRPr="001B0F23">
        <w:rPr>
          <w:rStyle w:val="EndnoteReference"/>
          <w:sz w:val="20"/>
          <w:szCs w:val="20"/>
        </w:rPr>
        <w:endnoteRef/>
      </w:r>
      <w:r w:rsidRPr="001B0F23">
        <w:rPr>
          <w:sz w:val="20"/>
          <w:szCs w:val="20"/>
        </w:rPr>
        <w:t xml:space="preserve"> </w:t>
      </w:r>
      <w:r>
        <w:rPr>
          <w:sz w:val="20"/>
          <w:szCs w:val="20"/>
        </w:rPr>
        <w:t xml:space="preserve">Division of STD Prevention website </w:t>
      </w:r>
      <w:r w:rsidRPr="001B0F23">
        <w:rPr>
          <w:sz w:val="20"/>
          <w:szCs w:val="20"/>
        </w:rPr>
        <w:t>http://www.cdc.gov/std/stats08/trends.htm#f3.</w:t>
      </w:r>
    </w:p>
  </w:endnote>
  <w:endnote w:id="5">
    <w:p w14:paraId="31B5959D" w14:textId="77777777" w:rsidR="00BF0E11" w:rsidRPr="001B0F23" w:rsidRDefault="00BF0E11" w:rsidP="001B0F23">
      <w:pPr>
        <w:pStyle w:val="NoSpacing"/>
        <w:rPr>
          <w:sz w:val="20"/>
          <w:szCs w:val="20"/>
        </w:rPr>
      </w:pPr>
      <w:r w:rsidRPr="001B0F23">
        <w:rPr>
          <w:rStyle w:val="EndnoteReference"/>
          <w:sz w:val="20"/>
          <w:szCs w:val="20"/>
        </w:rPr>
        <w:endnoteRef/>
      </w:r>
      <w:r w:rsidRPr="001B0F23">
        <w:rPr>
          <w:sz w:val="20"/>
          <w:szCs w:val="20"/>
        </w:rPr>
        <w:t xml:space="preserve"> Division of STD Prevention website http://www.cdc.gov/std/dstdp/default.htm, retrieved October 20 2015</w:t>
      </w:r>
    </w:p>
  </w:endnote>
  <w:endnote w:id="6">
    <w:p w14:paraId="1E396E05" w14:textId="77777777" w:rsidR="00BF0E11" w:rsidRPr="001B0F23" w:rsidRDefault="00BF0E11" w:rsidP="001B0F23">
      <w:pPr>
        <w:pStyle w:val="NoSpacing"/>
        <w:rPr>
          <w:sz w:val="20"/>
          <w:szCs w:val="20"/>
        </w:rPr>
      </w:pPr>
      <w:r w:rsidRPr="001B0F23">
        <w:rPr>
          <w:rStyle w:val="EndnoteReference"/>
          <w:sz w:val="20"/>
          <w:szCs w:val="20"/>
        </w:rPr>
        <w:endnoteRef/>
      </w:r>
      <w:r w:rsidRPr="001B0F23">
        <w:rPr>
          <w:sz w:val="20"/>
          <w:szCs w:val="20"/>
        </w:rPr>
        <w:t xml:space="preserve"> Workowski KA, Bolan GA. Sexually transmitted diseases treatment guidelines, 2015. MMWR Recomm Rep. 2015;64(RR-03):1-137.</w:t>
      </w:r>
    </w:p>
  </w:endnote>
  <w:endnote w:id="7">
    <w:p w14:paraId="1C3E8252" w14:textId="77777777" w:rsidR="00BF0E11" w:rsidRDefault="00BF0E11" w:rsidP="00EF68A0">
      <w:pPr>
        <w:pStyle w:val="EndnoteText"/>
        <w:spacing w:after="0"/>
      </w:pPr>
      <w:r>
        <w:rPr>
          <w:rStyle w:val="EndnoteReference"/>
        </w:rPr>
        <w:endnoteRef/>
      </w:r>
      <w:r>
        <w:t xml:space="preserve"> </w:t>
      </w:r>
      <w:r w:rsidRPr="00515BE6">
        <w:t>St. Lawrence JS, Montano DE, Kasprzyk D, Phillips WR, Armstrong K, Leichliter JS. STD screening, testing, case reporting, clinical and partner notification practices: A national survey of US physicians. American Journal of Public Health 2002;92:1784-1788.</w:t>
      </w:r>
    </w:p>
  </w:endnote>
  <w:endnote w:id="8">
    <w:p w14:paraId="251A48BA" w14:textId="77777777" w:rsidR="00BF0E11" w:rsidRPr="001B0F23" w:rsidRDefault="00BF0E11" w:rsidP="001B0F23">
      <w:pPr>
        <w:pStyle w:val="NoSpacing"/>
        <w:rPr>
          <w:sz w:val="20"/>
          <w:szCs w:val="20"/>
        </w:rPr>
      </w:pPr>
      <w:r w:rsidRPr="001B0F23">
        <w:rPr>
          <w:rStyle w:val="EndnoteReference"/>
          <w:sz w:val="20"/>
          <w:szCs w:val="20"/>
        </w:rPr>
        <w:endnoteRef/>
      </w:r>
      <w:r w:rsidRPr="001B0F23">
        <w:rPr>
          <w:sz w:val="20"/>
          <w:szCs w:val="20"/>
        </w:rPr>
        <w:t xml:space="preserve"> VanGeest JB, Johnson TP, Welch VL. Methodologies for improving response rates in surveys of physicians: a systematic review. Eval Health Prof. 2007;30(4):303-321.</w:t>
      </w:r>
    </w:p>
  </w:endnote>
  <w:endnote w:id="9">
    <w:p w14:paraId="7C64BF3D" w14:textId="77777777" w:rsidR="00BF0E11" w:rsidRPr="001B0F23" w:rsidRDefault="00BF0E11" w:rsidP="001B0F23">
      <w:pPr>
        <w:pStyle w:val="NoSpacing"/>
        <w:rPr>
          <w:sz w:val="20"/>
          <w:szCs w:val="20"/>
        </w:rPr>
      </w:pPr>
      <w:r w:rsidRPr="001B0F23">
        <w:rPr>
          <w:rStyle w:val="EndnoteReference"/>
          <w:sz w:val="20"/>
          <w:szCs w:val="20"/>
        </w:rPr>
        <w:endnoteRef/>
      </w:r>
      <w:r w:rsidRPr="001B0F23">
        <w:rPr>
          <w:sz w:val="20"/>
          <w:szCs w:val="20"/>
        </w:rPr>
        <w:t xml:space="preserve"> Pit SW, Vo T, Pyakurel S. The effectiveness of recruitment strategies on general practitioner's survey response rates – a systematic review. BMC Med Res Methodol. 2014;14:76.</w:t>
      </w:r>
    </w:p>
  </w:endnote>
  <w:endnote w:id="10">
    <w:p w14:paraId="400985CA" w14:textId="77777777" w:rsidR="00BF0E11" w:rsidRPr="001B0F23" w:rsidRDefault="00BF0E11" w:rsidP="001B0F23">
      <w:pPr>
        <w:pStyle w:val="NoSpacing"/>
        <w:rPr>
          <w:sz w:val="20"/>
          <w:szCs w:val="20"/>
        </w:rPr>
      </w:pPr>
      <w:r w:rsidRPr="001B0F23">
        <w:rPr>
          <w:rStyle w:val="EndnoteReference"/>
          <w:sz w:val="20"/>
          <w:szCs w:val="20"/>
        </w:rPr>
        <w:endnoteRef/>
      </w:r>
      <w:r w:rsidRPr="001B0F23">
        <w:rPr>
          <w:sz w:val="20"/>
          <w:szCs w:val="20"/>
        </w:rPr>
        <w:t xml:space="preserve"> Burns KE, Duffett M, Kho ME, et al. A guide for the design and conduct of self-administered surveys of clinicians. CMAJ. 2008;179(3):245-252.</w:t>
      </w:r>
    </w:p>
  </w:endnote>
  <w:endnote w:id="11">
    <w:p w14:paraId="485E6F53" w14:textId="77777777" w:rsidR="00BF0E11" w:rsidRPr="001B0F23" w:rsidRDefault="00BF0E11" w:rsidP="001B0F23">
      <w:pPr>
        <w:pStyle w:val="NoSpacing"/>
        <w:rPr>
          <w:sz w:val="20"/>
          <w:szCs w:val="20"/>
        </w:rPr>
      </w:pPr>
      <w:r w:rsidRPr="001B0F23">
        <w:rPr>
          <w:rStyle w:val="EndnoteReference"/>
          <w:sz w:val="20"/>
          <w:szCs w:val="20"/>
        </w:rPr>
        <w:endnoteRef/>
      </w:r>
      <w:r w:rsidRPr="001B0F23">
        <w:rPr>
          <w:sz w:val="20"/>
          <w:szCs w:val="20"/>
        </w:rPr>
        <w:t xml:space="preserve"> Beebe TJ, Locke GR, 3rd, Barnes SA, Davern ME, Anderson KJ. Mixing web and mail methods in a survey of physicians. Health Serv Res. 2007;42(3 Pt 1):1219-1234.</w:t>
      </w:r>
    </w:p>
  </w:endnote>
  <w:endnote w:id="12">
    <w:p w14:paraId="69E18DEE" w14:textId="77777777" w:rsidR="00BF0E11" w:rsidRPr="001B0F23" w:rsidRDefault="00BF0E11" w:rsidP="001B0F23">
      <w:pPr>
        <w:pStyle w:val="NoSpacing"/>
        <w:rPr>
          <w:sz w:val="20"/>
          <w:szCs w:val="20"/>
        </w:rPr>
      </w:pPr>
      <w:r w:rsidRPr="001B0F23">
        <w:rPr>
          <w:rStyle w:val="EndnoteReference"/>
          <w:sz w:val="20"/>
          <w:szCs w:val="20"/>
        </w:rPr>
        <w:endnoteRef/>
      </w:r>
      <w:r w:rsidRPr="001B0F23">
        <w:rPr>
          <w:sz w:val="20"/>
          <w:szCs w:val="20"/>
        </w:rPr>
        <w:t xml:space="preserve"> Raziano DB, Jayadevappa R, Valenzula D, Weiner M, Lavizzo-Mourey R. E-mail versus conventional postal mail survey of geriatric chiefs. Gerontologist. 2001;41(6):799-804.</w:t>
      </w:r>
    </w:p>
  </w:endnote>
  <w:endnote w:id="13">
    <w:p w14:paraId="0D0EC7F1" w14:textId="07B0AE9E" w:rsidR="00BF0E11" w:rsidRDefault="00BF0E11" w:rsidP="001B0F23">
      <w:pPr>
        <w:pStyle w:val="NoSpacing"/>
        <w:rPr>
          <w:sz w:val="20"/>
          <w:szCs w:val="20"/>
        </w:rPr>
      </w:pPr>
      <w:r w:rsidRPr="001B0F23">
        <w:rPr>
          <w:rStyle w:val="EndnoteReference"/>
          <w:sz w:val="20"/>
          <w:szCs w:val="20"/>
        </w:rPr>
        <w:endnoteRef/>
      </w:r>
      <w:r w:rsidRPr="001B0F23">
        <w:rPr>
          <w:sz w:val="20"/>
          <w:szCs w:val="20"/>
        </w:rPr>
        <w:t xml:space="preserve"> Martins Y, Lederman RI, Lowenstein CL, et al. Increasing response rates from physicians in oncology research: a structured literature review and data from a recent physician survey. Br J Cancer. 2012;106(6):1021-1026.</w:t>
      </w:r>
    </w:p>
    <w:p w14:paraId="20278FD5" w14:textId="2B769B27" w:rsidR="00BF0E11" w:rsidRDefault="00BF0E11" w:rsidP="001B0F23">
      <w:pPr>
        <w:pStyle w:val="NoSpacing"/>
        <w:rPr>
          <w:sz w:val="20"/>
          <w:szCs w:val="20"/>
        </w:rPr>
      </w:pPr>
      <w:r w:rsidRPr="00DC7B83">
        <w:rPr>
          <w:sz w:val="20"/>
          <w:szCs w:val="20"/>
          <w:vertAlign w:val="superscript"/>
        </w:rPr>
        <w:t xml:space="preserve">14 </w:t>
      </w:r>
      <w:r w:rsidRPr="00DC7B83">
        <w:rPr>
          <w:sz w:val="20"/>
          <w:szCs w:val="20"/>
        </w:rPr>
        <w:t>Delnevo CD, Abatemarco DJ, Steinberg MB. Physician response rates to a mail survey by specialty and timing of incentive. American journal of preventive medicine. 2004;26(3):234-6.</w:t>
      </w:r>
    </w:p>
    <w:p w14:paraId="002AEDAE" w14:textId="1E5CA995" w:rsidR="00BF0E11" w:rsidRDefault="00BF0E11" w:rsidP="001B0F23">
      <w:pPr>
        <w:pStyle w:val="NoSpacing"/>
        <w:rPr>
          <w:sz w:val="20"/>
          <w:szCs w:val="20"/>
        </w:rPr>
      </w:pPr>
      <w:r w:rsidRPr="00DC7B83">
        <w:rPr>
          <w:sz w:val="20"/>
          <w:szCs w:val="20"/>
          <w:vertAlign w:val="superscript"/>
        </w:rPr>
        <w:t xml:space="preserve">15 </w:t>
      </w:r>
      <w:r w:rsidRPr="00DC7B83">
        <w:rPr>
          <w:sz w:val="20"/>
          <w:szCs w:val="20"/>
        </w:rPr>
        <w:t>Recklitis CJ, Campbell EG, Kutner JS, Bober SL. Money talks: Non-monetary incentive and Internet administration fail to increase response rates to a physician survey. Journal of clinical epidemiology. 2009;62(2):224-6.</w:t>
      </w:r>
    </w:p>
    <w:p w14:paraId="6637B05A" w14:textId="68813F78" w:rsidR="00BF0E11" w:rsidRPr="00DC7B83" w:rsidRDefault="00BF0E11" w:rsidP="001B0F23">
      <w:pPr>
        <w:pStyle w:val="NoSpacing"/>
        <w:rPr>
          <w:sz w:val="20"/>
          <w:szCs w:val="20"/>
        </w:rPr>
      </w:pPr>
      <w:r w:rsidRPr="00DC7B83">
        <w:rPr>
          <w:sz w:val="20"/>
          <w:szCs w:val="20"/>
          <w:vertAlign w:val="superscript"/>
        </w:rPr>
        <w:t>16</w:t>
      </w:r>
      <w:r>
        <w:rPr>
          <w:sz w:val="20"/>
          <w:szCs w:val="20"/>
        </w:rPr>
        <w:t xml:space="preserve"> </w:t>
      </w:r>
      <w:r w:rsidRPr="00DC7B83">
        <w:rPr>
          <w:sz w:val="20"/>
          <w:szCs w:val="20"/>
        </w:rPr>
        <w:t>Keating NL, Zaslavsky AM, Goldstein J, West DW, Ayanian JZ. Randomized trial of $20 versus $50 incentives to increase physician survey response rates. Medical Care. 2008;46(8):878-81.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imes New Roman Bold">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New Roman TUR">
    <w:altName w:val="Times New Roman"/>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6EFA9" w14:textId="77777777" w:rsidR="00CC3BB4" w:rsidRDefault="00CC3BB4" w:rsidP="00196945">
      <w:r>
        <w:separator/>
      </w:r>
    </w:p>
  </w:footnote>
  <w:footnote w:type="continuationSeparator" w:id="0">
    <w:p w14:paraId="69D850E8" w14:textId="77777777" w:rsidR="00CC3BB4" w:rsidRDefault="00CC3BB4" w:rsidP="001969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0458C"/>
    <w:multiLevelType w:val="hybridMultilevel"/>
    <w:tmpl w:val="5258770A"/>
    <w:lvl w:ilvl="0" w:tplc="03EE1BFE">
      <w:start w:val="1"/>
      <w:numFmt w:val="decimal"/>
      <w:lvlText w:val="%1."/>
      <w:lvlJc w:val="left"/>
      <w:pPr>
        <w:ind w:left="1155" w:hanging="435"/>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26B5180B"/>
    <w:multiLevelType w:val="hybridMultilevel"/>
    <w:tmpl w:val="182CB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8C71A6"/>
    <w:multiLevelType w:val="hybridMultilevel"/>
    <w:tmpl w:val="C97C4022"/>
    <w:lvl w:ilvl="0" w:tplc="FD8CA7D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521205"/>
    <w:multiLevelType w:val="hybridMultilevel"/>
    <w:tmpl w:val="852689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4D148B"/>
    <w:multiLevelType w:val="hybridMultilevel"/>
    <w:tmpl w:val="87E4C0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F67BCF"/>
    <w:multiLevelType w:val="hybridMultilevel"/>
    <w:tmpl w:val="1A8CB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C1121B"/>
    <w:multiLevelType w:val="hybridMultilevel"/>
    <w:tmpl w:val="2F36B0A8"/>
    <w:lvl w:ilvl="0" w:tplc="A580933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234392"/>
    <w:multiLevelType w:val="hybridMultilevel"/>
    <w:tmpl w:val="FB044B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310D60"/>
    <w:multiLevelType w:val="hybridMultilevel"/>
    <w:tmpl w:val="7EFE46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1250D1"/>
    <w:multiLevelType w:val="hybridMultilevel"/>
    <w:tmpl w:val="1876B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9"/>
  </w:num>
  <w:num w:numId="5">
    <w:abstractNumId w:val="3"/>
  </w:num>
  <w:num w:numId="6">
    <w:abstractNumId w:val="5"/>
  </w:num>
  <w:num w:numId="7">
    <w:abstractNumId w:val="2"/>
  </w:num>
  <w:num w:numId="8">
    <w:abstractNumId w:val="1"/>
  </w:num>
  <w:num w:numId="9">
    <w:abstractNumId w:val="10"/>
  </w:num>
  <w:num w:numId="10">
    <w:abstractNumId w:val="8"/>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dul, Amy (CDC/OID/NCHHSTP)">
    <w15:presenceInfo w15:providerId="AD" w15:userId="S-1-5-21-1207783550-2075000910-922709458-1788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6AC"/>
    <w:rsid w:val="000003FD"/>
    <w:rsid w:val="000123CA"/>
    <w:rsid w:val="00044BA2"/>
    <w:rsid w:val="00051654"/>
    <w:rsid w:val="00054A64"/>
    <w:rsid w:val="00083469"/>
    <w:rsid w:val="00090B78"/>
    <w:rsid w:val="00091D93"/>
    <w:rsid w:val="000960BD"/>
    <w:rsid w:val="000A1DF8"/>
    <w:rsid w:val="000A414B"/>
    <w:rsid w:val="000A56E2"/>
    <w:rsid w:val="000A5C6A"/>
    <w:rsid w:val="000C2C2E"/>
    <w:rsid w:val="000C69E8"/>
    <w:rsid w:val="000D7DF9"/>
    <w:rsid w:val="000E5797"/>
    <w:rsid w:val="000E66A9"/>
    <w:rsid w:val="0010056A"/>
    <w:rsid w:val="00104F76"/>
    <w:rsid w:val="001104FB"/>
    <w:rsid w:val="00115714"/>
    <w:rsid w:val="001169EE"/>
    <w:rsid w:val="00134602"/>
    <w:rsid w:val="0013479A"/>
    <w:rsid w:val="00151BBF"/>
    <w:rsid w:val="00155D71"/>
    <w:rsid w:val="001609BD"/>
    <w:rsid w:val="001648EB"/>
    <w:rsid w:val="00172FED"/>
    <w:rsid w:val="00176823"/>
    <w:rsid w:val="00190874"/>
    <w:rsid w:val="00196945"/>
    <w:rsid w:val="001B0F23"/>
    <w:rsid w:val="001B2300"/>
    <w:rsid w:val="001B7534"/>
    <w:rsid w:val="001B7573"/>
    <w:rsid w:val="001C2288"/>
    <w:rsid w:val="001C429F"/>
    <w:rsid w:val="001C66F1"/>
    <w:rsid w:val="001C7E17"/>
    <w:rsid w:val="001E488D"/>
    <w:rsid w:val="001F601A"/>
    <w:rsid w:val="00201310"/>
    <w:rsid w:val="00206DEB"/>
    <w:rsid w:val="002230AB"/>
    <w:rsid w:val="0022586F"/>
    <w:rsid w:val="00227A64"/>
    <w:rsid w:val="0023217A"/>
    <w:rsid w:val="00233877"/>
    <w:rsid w:val="00237B39"/>
    <w:rsid w:val="00243E47"/>
    <w:rsid w:val="00244217"/>
    <w:rsid w:val="00253071"/>
    <w:rsid w:val="002541F4"/>
    <w:rsid w:val="0025425E"/>
    <w:rsid w:val="00260EDA"/>
    <w:rsid w:val="00262E84"/>
    <w:rsid w:val="0027071B"/>
    <w:rsid w:val="002808D8"/>
    <w:rsid w:val="00294956"/>
    <w:rsid w:val="002A70DA"/>
    <w:rsid w:val="002B5BC5"/>
    <w:rsid w:val="002B61C8"/>
    <w:rsid w:val="002C1143"/>
    <w:rsid w:val="002D42E8"/>
    <w:rsid w:val="002E0B77"/>
    <w:rsid w:val="002E27DB"/>
    <w:rsid w:val="002E6EA9"/>
    <w:rsid w:val="002F210C"/>
    <w:rsid w:val="002F647E"/>
    <w:rsid w:val="0030071E"/>
    <w:rsid w:val="003013A5"/>
    <w:rsid w:val="00312AEC"/>
    <w:rsid w:val="003154F5"/>
    <w:rsid w:val="00327F9B"/>
    <w:rsid w:val="0033236B"/>
    <w:rsid w:val="003366CE"/>
    <w:rsid w:val="003429C9"/>
    <w:rsid w:val="00342D48"/>
    <w:rsid w:val="00345DEB"/>
    <w:rsid w:val="00351B04"/>
    <w:rsid w:val="00355DBE"/>
    <w:rsid w:val="003608D6"/>
    <w:rsid w:val="003614E3"/>
    <w:rsid w:val="00361EEC"/>
    <w:rsid w:val="00362694"/>
    <w:rsid w:val="00375E00"/>
    <w:rsid w:val="003B2893"/>
    <w:rsid w:val="003C7A00"/>
    <w:rsid w:val="00403680"/>
    <w:rsid w:val="00403750"/>
    <w:rsid w:val="004103CD"/>
    <w:rsid w:val="00435F10"/>
    <w:rsid w:val="004500B9"/>
    <w:rsid w:val="00457975"/>
    <w:rsid w:val="00464DF7"/>
    <w:rsid w:val="0049641A"/>
    <w:rsid w:val="004A09EB"/>
    <w:rsid w:val="004B5E2E"/>
    <w:rsid w:val="004B6396"/>
    <w:rsid w:val="004B7D23"/>
    <w:rsid w:val="004D36A0"/>
    <w:rsid w:val="004D4DDE"/>
    <w:rsid w:val="004D6646"/>
    <w:rsid w:val="004F3B69"/>
    <w:rsid w:val="00515BE6"/>
    <w:rsid w:val="0052671D"/>
    <w:rsid w:val="0053049A"/>
    <w:rsid w:val="00536139"/>
    <w:rsid w:val="0054533E"/>
    <w:rsid w:val="005473AF"/>
    <w:rsid w:val="00552B48"/>
    <w:rsid w:val="005642CF"/>
    <w:rsid w:val="00565386"/>
    <w:rsid w:val="00570361"/>
    <w:rsid w:val="005812D9"/>
    <w:rsid w:val="005A57B0"/>
    <w:rsid w:val="005F2687"/>
    <w:rsid w:val="00610781"/>
    <w:rsid w:val="0061083D"/>
    <w:rsid w:val="00611F76"/>
    <w:rsid w:val="00614405"/>
    <w:rsid w:val="00621FFD"/>
    <w:rsid w:val="0062574B"/>
    <w:rsid w:val="00630827"/>
    <w:rsid w:val="00653DDF"/>
    <w:rsid w:val="00654AF0"/>
    <w:rsid w:val="00656AF0"/>
    <w:rsid w:val="006701CF"/>
    <w:rsid w:val="006A34B3"/>
    <w:rsid w:val="006B0EEA"/>
    <w:rsid w:val="006B1ED6"/>
    <w:rsid w:val="006B74BC"/>
    <w:rsid w:val="006C2C4D"/>
    <w:rsid w:val="006C4247"/>
    <w:rsid w:val="006D106D"/>
    <w:rsid w:val="006D56CD"/>
    <w:rsid w:val="006D76AC"/>
    <w:rsid w:val="006E1519"/>
    <w:rsid w:val="006F0DCD"/>
    <w:rsid w:val="006F0DFC"/>
    <w:rsid w:val="00702FE8"/>
    <w:rsid w:val="00711BBC"/>
    <w:rsid w:val="00721178"/>
    <w:rsid w:val="00726C4A"/>
    <w:rsid w:val="00740524"/>
    <w:rsid w:val="00746002"/>
    <w:rsid w:val="007607CB"/>
    <w:rsid w:val="00777FCA"/>
    <w:rsid w:val="007948D6"/>
    <w:rsid w:val="007A3A40"/>
    <w:rsid w:val="007A5B91"/>
    <w:rsid w:val="007B2668"/>
    <w:rsid w:val="007B4E51"/>
    <w:rsid w:val="007B5C01"/>
    <w:rsid w:val="007C2E41"/>
    <w:rsid w:val="007D55EE"/>
    <w:rsid w:val="007F471F"/>
    <w:rsid w:val="007F6334"/>
    <w:rsid w:val="00805994"/>
    <w:rsid w:val="00814729"/>
    <w:rsid w:val="008151F4"/>
    <w:rsid w:val="00826D7F"/>
    <w:rsid w:val="00830613"/>
    <w:rsid w:val="008317C0"/>
    <w:rsid w:val="0083335D"/>
    <w:rsid w:val="00837F55"/>
    <w:rsid w:val="00850605"/>
    <w:rsid w:val="00855CC1"/>
    <w:rsid w:val="00857436"/>
    <w:rsid w:val="00881D1D"/>
    <w:rsid w:val="00890DBE"/>
    <w:rsid w:val="008918F3"/>
    <w:rsid w:val="00892AFA"/>
    <w:rsid w:val="008951C0"/>
    <w:rsid w:val="008A4F9E"/>
    <w:rsid w:val="008B6E89"/>
    <w:rsid w:val="008C1C14"/>
    <w:rsid w:val="008F13BD"/>
    <w:rsid w:val="008F1D3B"/>
    <w:rsid w:val="008F20CD"/>
    <w:rsid w:val="008F5553"/>
    <w:rsid w:val="008F7A82"/>
    <w:rsid w:val="009027B8"/>
    <w:rsid w:val="0090446A"/>
    <w:rsid w:val="00906834"/>
    <w:rsid w:val="00914192"/>
    <w:rsid w:val="00920CF4"/>
    <w:rsid w:val="00921DC3"/>
    <w:rsid w:val="009359B4"/>
    <w:rsid w:val="009374C7"/>
    <w:rsid w:val="00945473"/>
    <w:rsid w:val="009533A5"/>
    <w:rsid w:val="00957F33"/>
    <w:rsid w:val="009649D5"/>
    <w:rsid w:val="00970834"/>
    <w:rsid w:val="00973ADE"/>
    <w:rsid w:val="00977420"/>
    <w:rsid w:val="00985376"/>
    <w:rsid w:val="00990FF6"/>
    <w:rsid w:val="00997154"/>
    <w:rsid w:val="009B2D9E"/>
    <w:rsid w:val="009B33BC"/>
    <w:rsid w:val="009B3767"/>
    <w:rsid w:val="009C216C"/>
    <w:rsid w:val="009C5F9E"/>
    <w:rsid w:val="009D06FE"/>
    <w:rsid w:val="009D1570"/>
    <w:rsid w:val="009F377E"/>
    <w:rsid w:val="009F7FFC"/>
    <w:rsid w:val="00A0563D"/>
    <w:rsid w:val="00A0750E"/>
    <w:rsid w:val="00A173B1"/>
    <w:rsid w:val="00A17E6C"/>
    <w:rsid w:val="00A24B73"/>
    <w:rsid w:val="00A329B3"/>
    <w:rsid w:val="00A413AA"/>
    <w:rsid w:val="00A46AB2"/>
    <w:rsid w:val="00A51F7D"/>
    <w:rsid w:val="00A556F2"/>
    <w:rsid w:val="00A5699C"/>
    <w:rsid w:val="00A66ED6"/>
    <w:rsid w:val="00A67C6E"/>
    <w:rsid w:val="00A711B9"/>
    <w:rsid w:val="00A81578"/>
    <w:rsid w:val="00A86FC8"/>
    <w:rsid w:val="00AB2ED7"/>
    <w:rsid w:val="00AD2481"/>
    <w:rsid w:val="00AD2DA5"/>
    <w:rsid w:val="00AD30A3"/>
    <w:rsid w:val="00AD4E76"/>
    <w:rsid w:val="00AF3D6D"/>
    <w:rsid w:val="00B0473D"/>
    <w:rsid w:val="00B1312B"/>
    <w:rsid w:val="00B1345B"/>
    <w:rsid w:val="00B14072"/>
    <w:rsid w:val="00B142CF"/>
    <w:rsid w:val="00B2257D"/>
    <w:rsid w:val="00B3017A"/>
    <w:rsid w:val="00B32BAE"/>
    <w:rsid w:val="00B43C3A"/>
    <w:rsid w:val="00B44220"/>
    <w:rsid w:val="00B44C1D"/>
    <w:rsid w:val="00B523FF"/>
    <w:rsid w:val="00B55F2E"/>
    <w:rsid w:val="00B8091B"/>
    <w:rsid w:val="00B80A03"/>
    <w:rsid w:val="00B82878"/>
    <w:rsid w:val="00B82B86"/>
    <w:rsid w:val="00B90B98"/>
    <w:rsid w:val="00B935F5"/>
    <w:rsid w:val="00BB47BB"/>
    <w:rsid w:val="00BB5148"/>
    <w:rsid w:val="00BB6A9A"/>
    <w:rsid w:val="00BC025E"/>
    <w:rsid w:val="00BC09A6"/>
    <w:rsid w:val="00BD7A8E"/>
    <w:rsid w:val="00BE1DBF"/>
    <w:rsid w:val="00BE46CC"/>
    <w:rsid w:val="00BF0E11"/>
    <w:rsid w:val="00C3053D"/>
    <w:rsid w:val="00C32F49"/>
    <w:rsid w:val="00C40CE1"/>
    <w:rsid w:val="00C53287"/>
    <w:rsid w:val="00C6358C"/>
    <w:rsid w:val="00C92200"/>
    <w:rsid w:val="00C93CEB"/>
    <w:rsid w:val="00CA6933"/>
    <w:rsid w:val="00CB025F"/>
    <w:rsid w:val="00CC0532"/>
    <w:rsid w:val="00CC25F4"/>
    <w:rsid w:val="00CC3BB4"/>
    <w:rsid w:val="00CC3F48"/>
    <w:rsid w:val="00CD6C6E"/>
    <w:rsid w:val="00CF18EA"/>
    <w:rsid w:val="00D03938"/>
    <w:rsid w:val="00D05DEE"/>
    <w:rsid w:val="00D06403"/>
    <w:rsid w:val="00D154CF"/>
    <w:rsid w:val="00D160C7"/>
    <w:rsid w:val="00D168B2"/>
    <w:rsid w:val="00D34F3A"/>
    <w:rsid w:val="00D36EEB"/>
    <w:rsid w:val="00D41978"/>
    <w:rsid w:val="00D549DF"/>
    <w:rsid w:val="00D60E61"/>
    <w:rsid w:val="00D800D7"/>
    <w:rsid w:val="00D8129B"/>
    <w:rsid w:val="00D81E6A"/>
    <w:rsid w:val="00D876A1"/>
    <w:rsid w:val="00DC7B83"/>
    <w:rsid w:val="00DF1291"/>
    <w:rsid w:val="00DF2CD9"/>
    <w:rsid w:val="00E01AA3"/>
    <w:rsid w:val="00E074A0"/>
    <w:rsid w:val="00E166B2"/>
    <w:rsid w:val="00E21D18"/>
    <w:rsid w:val="00E32202"/>
    <w:rsid w:val="00E348C3"/>
    <w:rsid w:val="00E36F4E"/>
    <w:rsid w:val="00E4366D"/>
    <w:rsid w:val="00E51C85"/>
    <w:rsid w:val="00E60099"/>
    <w:rsid w:val="00E80975"/>
    <w:rsid w:val="00E8679A"/>
    <w:rsid w:val="00E93057"/>
    <w:rsid w:val="00E94CBD"/>
    <w:rsid w:val="00E97DE0"/>
    <w:rsid w:val="00EC04AE"/>
    <w:rsid w:val="00EC2266"/>
    <w:rsid w:val="00EC66F6"/>
    <w:rsid w:val="00ED28B9"/>
    <w:rsid w:val="00ED6A65"/>
    <w:rsid w:val="00EF22EA"/>
    <w:rsid w:val="00EF4C4A"/>
    <w:rsid w:val="00EF68A0"/>
    <w:rsid w:val="00F014FB"/>
    <w:rsid w:val="00F10F48"/>
    <w:rsid w:val="00F11E72"/>
    <w:rsid w:val="00F235F0"/>
    <w:rsid w:val="00F24190"/>
    <w:rsid w:val="00F27317"/>
    <w:rsid w:val="00F60108"/>
    <w:rsid w:val="00F60409"/>
    <w:rsid w:val="00F75010"/>
    <w:rsid w:val="00F968F5"/>
    <w:rsid w:val="00F96E00"/>
    <w:rsid w:val="00F97BF0"/>
    <w:rsid w:val="00FA7B77"/>
    <w:rsid w:val="00FB23EB"/>
    <w:rsid w:val="00FB3336"/>
    <w:rsid w:val="00FD6C99"/>
    <w:rsid w:val="00FE0BD7"/>
    <w:rsid w:val="00FF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6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F23"/>
    <w:pPr>
      <w:widowControl w:val="0"/>
      <w:autoSpaceDE w:val="0"/>
      <w:autoSpaceDN w:val="0"/>
      <w:adjustRightInd w:val="0"/>
      <w:spacing w:after="24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B0F23"/>
    <w:pPr>
      <w:keepNext/>
      <w:keepLines/>
      <w:spacing w:before="240" w:after="0"/>
      <w:outlineLvl w:val="0"/>
    </w:pPr>
    <w:rPr>
      <w:rFonts w:eastAsiaTheme="majorEastAsia" w:cstheme="majorBidi"/>
      <w:b/>
      <w:bCs/>
      <w:color w:val="1F4E79" w:themeColor="accent1" w:themeShade="80"/>
      <w:szCs w:val="28"/>
    </w:rPr>
  </w:style>
  <w:style w:type="paragraph" w:styleId="Heading2">
    <w:name w:val="heading 2"/>
    <w:basedOn w:val="Normal"/>
    <w:next w:val="Normal"/>
    <w:link w:val="Heading2Char"/>
    <w:uiPriority w:val="9"/>
    <w:unhideWhenUsed/>
    <w:qFormat/>
    <w:rsid w:val="009D1570"/>
    <w:pPr>
      <w:keepNext/>
      <w:keepLines/>
      <w:spacing w:before="200" w:after="0"/>
      <w:outlineLvl w:val="1"/>
    </w:pPr>
    <w:rPr>
      <w:rFonts w:eastAsiaTheme="majorEastAsia" w:cstheme="majorBidi"/>
      <w:b/>
      <w:bCs/>
      <w:i/>
      <w:color w:val="000000" w:themeColor="text1"/>
      <w:szCs w:val="26"/>
    </w:rPr>
  </w:style>
  <w:style w:type="paragraph" w:styleId="Heading7">
    <w:name w:val="heading 7"/>
    <w:basedOn w:val="Normal"/>
    <w:next w:val="Normal"/>
    <w:link w:val="Heading7Char"/>
    <w:qFormat/>
    <w:rsid w:val="00233877"/>
    <w:pPr>
      <w:keepNext/>
      <w:widowControl/>
      <w:autoSpaceDE/>
      <w:autoSpaceDN/>
      <w:adjustRightInd/>
      <w:spacing w:line="232" w:lineRule="auto"/>
      <w:ind w:left="1080" w:hanging="108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6AC"/>
    <w:pPr>
      <w:ind w:left="720"/>
      <w:contextualSpacing/>
    </w:pPr>
  </w:style>
  <w:style w:type="paragraph" w:styleId="FootnoteText">
    <w:name w:val="footnote text"/>
    <w:basedOn w:val="Normal"/>
    <w:link w:val="FootnoteTextChar"/>
    <w:uiPriority w:val="99"/>
    <w:semiHidden/>
    <w:unhideWhenUsed/>
    <w:rsid w:val="00196945"/>
    <w:rPr>
      <w:sz w:val="20"/>
      <w:szCs w:val="20"/>
    </w:rPr>
  </w:style>
  <w:style w:type="character" w:customStyle="1" w:styleId="FootnoteTextChar">
    <w:name w:val="Footnote Text Char"/>
    <w:basedOn w:val="DefaultParagraphFont"/>
    <w:link w:val="FootnoteText"/>
    <w:uiPriority w:val="99"/>
    <w:semiHidden/>
    <w:rsid w:val="001969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96945"/>
    <w:rPr>
      <w:vertAlign w:val="superscript"/>
    </w:rPr>
  </w:style>
  <w:style w:type="paragraph" w:styleId="EndnoteText">
    <w:name w:val="endnote text"/>
    <w:basedOn w:val="Normal"/>
    <w:link w:val="EndnoteTextChar"/>
    <w:uiPriority w:val="99"/>
    <w:semiHidden/>
    <w:unhideWhenUsed/>
    <w:rsid w:val="0054533E"/>
    <w:rPr>
      <w:sz w:val="20"/>
      <w:szCs w:val="20"/>
    </w:rPr>
  </w:style>
  <w:style w:type="character" w:customStyle="1" w:styleId="EndnoteTextChar">
    <w:name w:val="Endnote Text Char"/>
    <w:basedOn w:val="DefaultParagraphFont"/>
    <w:link w:val="EndnoteText"/>
    <w:uiPriority w:val="99"/>
    <w:semiHidden/>
    <w:rsid w:val="0054533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4533E"/>
    <w:rPr>
      <w:vertAlign w:val="superscript"/>
    </w:rPr>
  </w:style>
  <w:style w:type="character" w:styleId="CommentReference">
    <w:name w:val="annotation reference"/>
    <w:basedOn w:val="DefaultParagraphFont"/>
    <w:uiPriority w:val="99"/>
    <w:semiHidden/>
    <w:unhideWhenUsed/>
    <w:rsid w:val="00E36F4E"/>
    <w:rPr>
      <w:sz w:val="16"/>
      <w:szCs w:val="16"/>
    </w:rPr>
  </w:style>
  <w:style w:type="paragraph" w:styleId="CommentText">
    <w:name w:val="annotation text"/>
    <w:basedOn w:val="Normal"/>
    <w:link w:val="CommentTextChar"/>
    <w:semiHidden/>
    <w:unhideWhenUsed/>
    <w:rsid w:val="00E36F4E"/>
    <w:rPr>
      <w:sz w:val="20"/>
      <w:szCs w:val="20"/>
    </w:rPr>
  </w:style>
  <w:style w:type="character" w:customStyle="1" w:styleId="CommentTextChar">
    <w:name w:val="Comment Text Char"/>
    <w:basedOn w:val="DefaultParagraphFont"/>
    <w:link w:val="CommentText"/>
    <w:semiHidden/>
    <w:rsid w:val="00E36F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6F4E"/>
    <w:rPr>
      <w:b/>
      <w:bCs/>
    </w:rPr>
  </w:style>
  <w:style w:type="character" w:customStyle="1" w:styleId="CommentSubjectChar">
    <w:name w:val="Comment Subject Char"/>
    <w:basedOn w:val="CommentTextChar"/>
    <w:link w:val="CommentSubject"/>
    <w:uiPriority w:val="99"/>
    <w:semiHidden/>
    <w:rsid w:val="00E36F4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36F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F4E"/>
    <w:rPr>
      <w:rFonts w:ascii="Segoe UI" w:eastAsia="Times New Roman" w:hAnsi="Segoe UI" w:cs="Segoe UI"/>
      <w:sz w:val="18"/>
      <w:szCs w:val="18"/>
    </w:rPr>
  </w:style>
  <w:style w:type="character" w:customStyle="1" w:styleId="Heading7Char">
    <w:name w:val="Heading 7 Char"/>
    <w:basedOn w:val="DefaultParagraphFont"/>
    <w:link w:val="Heading7"/>
    <w:rsid w:val="00233877"/>
    <w:rPr>
      <w:rFonts w:ascii="Times New Roman" w:eastAsia="Times New Roman" w:hAnsi="Times New Roman" w:cs="Times New Roman"/>
      <w:b/>
      <w:sz w:val="24"/>
      <w:szCs w:val="24"/>
    </w:rPr>
  </w:style>
  <w:style w:type="character" w:styleId="Hyperlink">
    <w:name w:val="Hyperlink"/>
    <w:uiPriority w:val="99"/>
    <w:rsid w:val="00233877"/>
    <w:rPr>
      <w:color w:val="0000FF"/>
      <w:u w:val="single"/>
    </w:rPr>
  </w:style>
  <w:style w:type="character" w:customStyle="1" w:styleId="Heading11">
    <w:name w:val="Heading 11"/>
    <w:rsid w:val="00233877"/>
    <w:rPr>
      <w:b/>
    </w:rPr>
  </w:style>
  <w:style w:type="table" w:styleId="TableGrid">
    <w:name w:val="Table Grid"/>
    <w:basedOn w:val="TableNormal"/>
    <w:uiPriority w:val="59"/>
    <w:rsid w:val="00233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B0F23"/>
    <w:rPr>
      <w:rFonts w:ascii="Times New Roman" w:eastAsiaTheme="majorEastAsia" w:hAnsi="Times New Roman" w:cstheme="majorBidi"/>
      <w:b/>
      <w:bCs/>
      <w:color w:val="1F4E79" w:themeColor="accent1" w:themeShade="80"/>
      <w:sz w:val="24"/>
      <w:szCs w:val="28"/>
    </w:rPr>
  </w:style>
  <w:style w:type="paragraph" w:styleId="TOCHeading">
    <w:name w:val="TOC Heading"/>
    <w:basedOn w:val="Heading1"/>
    <w:next w:val="Normal"/>
    <w:uiPriority w:val="39"/>
    <w:unhideWhenUsed/>
    <w:qFormat/>
    <w:rsid w:val="00A17E6C"/>
    <w:pPr>
      <w:widowControl/>
      <w:autoSpaceDE/>
      <w:autoSpaceDN/>
      <w:adjustRightInd/>
      <w:spacing w:line="276" w:lineRule="auto"/>
      <w:outlineLvl w:val="9"/>
    </w:pPr>
    <w:rPr>
      <w:lang w:eastAsia="ja-JP"/>
    </w:rPr>
  </w:style>
  <w:style w:type="paragraph" w:styleId="Caption">
    <w:name w:val="caption"/>
    <w:basedOn w:val="Normal"/>
    <w:next w:val="Normal"/>
    <w:uiPriority w:val="35"/>
    <w:unhideWhenUsed/>
    <w:qFormat/>
    <w:rsid w:val="001B0F23"/>
    <w:pPr>
      <w:spacing w:after="40"/>
    </w:pPr>
    <w:rPr>
      <w:b/>
      <w:bCs/>
      <w:color w:val="000000" w:themeColor="text1"/>
      <w:szCs w:val="18"/>
    </w:rPr>
  </w:style>
  <w:style w:type="paragraph" w:styleId="NoSpacing">
    <w:name w:val="No Spacing"/>
    <w:uiPriority w:val="1"/>
    <w:qFormat/>
    <w:rsid w:val="001B0F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qFormat/>
    <w:rsid w:val="001B0F23"/>
    <w:pPr>
      <w:spacing w:after="100"/>
    </w:pPr>
  </w:style>
  <w:style w:type="paragraph" w:styleId="TOC2">
    <w:name w:val="toc 2"/>
    <w:basedOn w:val="Normal"/>
    <w:next w:val="Normal"/>
    <w:autoRedefine/>
    <w:uiPriority w:val="39"/>
    <w:unhideWhenUsed/>
    <w:qFormat/>
    <w:rsid w:val="001B0F23"/>
    <w:pPr>
      <w:widowControl/>
      <w:autoSpaceDE/>
      <w:autoSpaceDN/>
      <w:adjustRightInd/>
      <w:spacing w:after="100" w:line="276" w:lineRule="auto"/>
      <w:ind w:left="220"/>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semiHidden/>
    <w:unhideWhenUsed/>
    <w:qFormat/>
    <w:rsid w:val="001B0F23"/>
    <w:pPr>
      <w:widowControl/>
      <w:autoSpaceDE/>
      <w:autoSpaceDN/>
      <w:adjustRightInd/>
      <w:spacing w:after="100" w:line="276" w:lineRule="auto"/>
      <w:ind w:left="440"/>
    </w:pPr>
    <w:rPr>
      <w:rFonts w:asciiTheme="minorHAnsi" w:eastAsiaTheme="minorEastAsia" w:hAnsiTheme="minorHAnsi" w:cstheme="minorBidi"/>
      <w:sz w:val="22"/>
      <w:szCs w:val="22"/>
      <w:lang w:eastAsia="ja-JP"/>
    </w:rPr>
  </w:style>
  <w:style w:type="character" w:customStyle="1" w:styleId="Heading2Char">
    <w:name w:val="Heading 2 Char"/>
    <w:basedOn w:val="DefaultParagraphFont"/>
    <w:link w:val="Heading2"/>
    <w:rsid w:val="009D1570"/>
    <w:rPr>
      <w:rFonts w:ascii="Times New Roman" w:eastAsiaTheme="majorEastAsia" w:hAnsi="Times New Roman" w:cstheme="majorBidi"/>
      <w:b/>
      <w:bCs/>
      <w:i/>
      <w:color w:val="000000" w:themeColor="text1"/>
      <w:sz w:val="24"/>
      <w:szCs w:val="26"/>
    </w:rPr>
  </w:style>
  <w:style w:type="character" w:customStyle="1" w:styleId="Footer1">
    <w:name w:val="Footer1"/>
    <w:basedOn w:val="DefaultParagraphFont"/>
    <w:rsid w:val="009D1570"/>
  </w:style>
  <w:style w:type="paragraph" w:customStyle="1" w:styleId="Bulleted">
    <w:name w:val="Bulleted"/>
    <w:basedOn w:val="Normal"/>
    <w:autoRedefine/>
    <w:rsid w:val="009D1570"/>
    <w:pPr>
      <w:widowControl/>
      <w:numPr>
        <w:numId w:val="8"/>
      </w:numPr>
      <w:tabs>
        <w:tab w:val="clear" w:pos="504"/>
        <w:tab w:val="num" w:pos="600"/>
      </w:tabs>
      <w:autoSpaceDE/>
      <w:autoSpaceDN/>
      <w:adjustRightInd/>
      <w:spacing w:after="0"/>
      <w:ind w:left="600" w:hanging="360"/>
    </w:pPr>
  </w:style>
  <w:style w:type="character" w:styleId="FollowedHyperlink">
    <w:name w:val="FollowedHyperlink"/>
    <w:basedOn w:val="DefaultParagraphFont"/>
    <w:uiPriority w:val="99"/>
    <w:semiHidden/>
    <w:unhideWhenUsed/>
    <w:rsid w:val="001C2288"/>
    <w:rPr>
      <w:color w:val="954F72" w:themeColor="followedHyperlink"/>
      <w:u w:val="single"/>
    </w:rPr>
  </w:style>
  <w:style w:type="paragraph" w:styleId="BodyText">
    <w:name w:val="Body Text"/>
    <w:basedOn w:val="Normal"/>
    <w:link w:val="BodyTextChar"/>
    <w:rsid w:val="00FE0BD7"/>
    <w:pPr>
      <w:widowControl/>
      <w:autoSpaceDE/>
      <w:autoSpaceDN/>
      <w:adjustRightInd/>
      <w:ind w:firstLine="720"/>
    </w:pPr>
  </w:style>
  <w:style w:type="character" w:customStyle="1" w:styleId="BodyTextChar">
    <w:name w:val="Body Text Char"/>
    <w:basedOn w:val="DefaultParagraphFont"/>
    <w:link w:val="BodyText"/>
    <w:rsid w:val="00FE0BD7"/>
    <w:rPr>
      <w:rFonts w:ascii="Times New Roman" w:eastAsia="Times New Roman" w:hAnsi="Times New Roman" w:cs="Times New Roman"/>
      <w:sz w:val="24"/>
      <w:szCs w:val="24"/>
    </w:rPr>
  </w:style>
  <w:style w:type="paragraph" w:customStyle="1" w:styleId="OMBText">
    <w:name w:val="OMB Text"/>
    <w:basedOn w:val="Normal"/>
    <w:qFormat/>
    <w:rsid w:val="00610781"/>
    <w:pPr>
      <w:widowControl/>
    </w:pPr>
    <w:rPr>
      <w:rFonts w:eastAsiaTheme="minorHAnsi" w:cstheme="minorBidi"/>
      <w:szCs w:val="22"/>
    </w:rPr>
  </w:style>
  <w:style w:type="paragraph" w:customStyle="1" w:styleId="OMBBullet">
    <w:name w:val="OMB Bullet"/>
    <w:basedOn w:val="OMBText"/>
    <w:qFormat/>
    <w:rsid w:val="00A413AA"/>
    <w:pPr>
      <w:spacing w:after="0"/>
      <w:ind w:left="720" w:hanging="360"/>
    </w:pPr>
  </w:style>
  <w:style w:type="paragraph" w:styleId="Revision">
    <w:name w:val="Revision"/>
    <w:hidden/>
    <w:uiPriority w:val="99"/>
    <w:semiHidden/>
    <w:rsid w:val="00E80975"/>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F23"/>
    <w:pPr>
      <w:widowControl w:val="0"/>
      <w:autoSpaceDE w:val="0"/>
      <w:autoSpaceDN w:val="0"/>
      <w:adjustRightInd w:val="0"/>
      <w:spacing w:after="24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B0F23"/>
    <w:pPr>
      <w:keepNext/>
      <w:keepLines/>
      <w:spacing w:before="240" w:after="0"/>
      <w:outlineLvl w:val="0"/>
    </w:pPr>
    <w:rPr>
      <w:rFonts w:eastAsiaTheme="majorEastAsia" w:cstheme="majorBidi"/>
      <w:b/>
      <w:bCs/>
      <w:color w:val="1F4E79" w:themeColor="accent1" w:themeShade="80"/>
      <w:szCs w:val="28"/>
    </w:rPr>
  </w:style>
  <w:style w:type="paragraph" w:styleId="Heading2">
    <w:name w:val="heading 2"/>
    <w:basedOn w:val="Normal"/>
    <w:next w:val="Normal"/>
    <w:link w:val="Heading2Char"/>
    <w:uiPriority w:val="9"/>
    <w:unhideWhenUsed/>
    <w:qFormat/>
    <w:rsid w:val="009D1570"/>
    <w:pPr>
      <w:keepNext/>
      <w:keepLines/>
      <w:spacing w:before="200" w:after="0"/>
      <w:outlineLvl w:val="1"/>
    </w:pPr>
    <w:rPr>
      <w:rFonts w:eastAsiaTheme="majorEastAsia" w:cstheme="majorBidi"/>
      <w:b/>
      <w:bCs/>
      <w:i/>
      <w:color w:val="000000" w:themeColor="text1"/>
      <w:szCs w:val="26"/>
    </w:rPr>
  </w:style>
  <w:style w:type="paragraph" w:styleId="Heading7">
    <w:name w:val="heading 7"/>
    <w:basedOn w:val="Normal"/>
    <w:next w:val="Normal"/>
    <w:link w:val="Heading7Char"/>
    <w:qFormat/>
    <w:rsid w:val="00233877"/>
    <w:pPr>
      <w:keepNext/>
      <w:widowControl/>
      <w:autoSpaceDE/>
      <w:autoSpaceDN/>
      <w:adjustRightInd/>
      <w:spacing w:line="232" w:lineRule="auto"/>
      <w:ind w:left="1080" w:hanging="108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6AC"/>
    <w:pPr>
      <w:ind w:left="720"/>
      <w:contextualSpacing/>
    </w:pPr>
  </w:style>
  <w:style w:type="paragraph" w:styleId="FootnoteText">
    <w:name w:val="footnote text"/>
    <w:basedOn w:val="Normal"/>
    <w:link w:val="FootnoteTextChar"/>
    <w:uiPriority w:val="99"/>
    <w:semiHidden/>
    <w:unhideWhenUsed/>
    <w:rsid w:val="00196945"/>
    <w:rPr>
      <w:sz w:val="20"/>
      <w:szCs w:val="20"/>
    </w:rPr>
  </w:style>
  <w:style w:type="character" w:customStyle="1" w:styleId="FootnoteTextChar">
    <w:name w:val="Footnote Text Char"/>
    <w:basedOn w:val="DefaultParagraphFont"/>
    <w:link w:val="FootnoteText"/>
    <w:uiPriority w:val="99"/>
    <w:semiHidden/>
    <w:rsid w:val="001969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96945"/>
    <w:rPr>
      <w:vertAlign w:val="superscript"/>
    </w:rPr>
  </w:style>
  <w:style w:type="paragraph" w:styleId="EndnoteText">
    <w:name w:val="endnote text"/>
    <w:basedOn w:val="Normal"/>
    <w:link w:val="EndnoteTextChar"/>
    <w:uiPriority w:val="99"/>
    <w:semiHidden/>
    <w:unhideWhenUsed/>
    <w:rsid w:val="0054533E"/>
    <w:rPr>
      <w:sz w:val="20"/>
      <w:szCs w:val="20"/>
    </w:rPr>
  </w:style>
  <w:style w:type="character" w:customStyle="1" w:styleId="EndnoteTextChar">
    <w:name w:val="Endnote Text Char"/>
    <w:basedOn w:val="DefaultParagraphFont"/>
    <w:link w:val="EndnoteText"/>
    <w:uiPriority w:val="99"/>
    <w:semiHidden/>
    <w:rsid w:val="0054533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4533E"/>
    <w:rPr>
      <w:vertAlign w:val="superscript"/>
    </w:rPr>
  </w:style>
  <w:style w:type="character" w:styleId="CommentReference">
    <w:name w:val="annotation reference"/>
    <w:basedOn w:val="DefaultParagraphFont"/>
    <w:uiPriority w:val="99"/>
    <w:semiHidden/>
    <w:unhideWhenUsed/>
    <w:rsid w:val="00E36F4E"/>
    <w:rPr>
      <w:sz w:val="16"/>
      <w:szCs w:val="16"/>
    </w:rPr>
  </w:style>
  <w:style w:type="paragraph" w:styleId="CommentText">
    <w:name w:val="annotation text"/>
    <w:basedOn w:val="Normal"/>
    <w:link w:val="CommentTextChar"/>
    <w:semiHidden/>
    <w:unhideWhenUsed/>
    <w:rsid w:val="00E36F4E"/>
    <w:rPr>
      <w:sz w:val="20"/>
      <w:szCs w:val="20"/>
    </w:rPr>
  </w:style>
  <w:style w:type="character" w:customStyle="1" w:styleId="CommentTextChar">
    <w:name w:val="Comment Text Char"/>
    <w:basedOn w:val="DefaultParagraphFont"/>
    <w:link w:val="CommentText"/>
    <w:semiHidden/>
    <w:rsid w:val="00E36F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6F4E"/>
    <w:rPr>
      <w:b/>
      <w:bCs/>
    </w:rPr>
  </w:style>
  <w:style w:type="character" w:customStyle="1" w:styleId="CommentSubjectChar">
    <w:name w:val="Comment Subject Char"/>
    <w:basedOn w:val="CommentTextChar"/>
    <w:link w:val="CommentSubject"/>
    <w:uiPriority w:val="99"/>
    <w:semiHidden/>
    <w:rsid w:val="00E36F4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36F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F4E"/>
    <w:rPr>
      <w:rFonts w:ascii="Segoe UI" w:eastAsia="Times New Roman" w:hAnsi="Segoe UI" w:cs="Segoe UI"/>
      <w:sz w:val="18"/>
      <w:szCs w:val="18"/>
    </w:rPr>
  </w:style>
  <w:style w:type="character" w:customStyle="1" w:styleId="Heading7Char">
    <w:name w:val="Heading 7 Char"/>
    <w:basedOn w:val="DefaultParagraphFont"/>
    <w:link w:val="Heading7"/>
    <w:rsid w:val="00233877"/>
    <w:rPr>
      <w:rFonts w:ascii="Times New Roman" w:eastAsia="Times New Roman" w:hAnsi="Times New Roman" w:cs="Times New Roman"/>
      <w:b/>
      <w:sz w:val="24"/>
      <w:szCs w:val="24"/>
    </w:rPr>
  </w:style>
  <w:style w:type="character" w:styleId="Hyperlink">
    <w:name w:val="Hyperlink"/>
    <w:uiPriority w:val="99"/>
    <w:rsid w:val="00233877"/>
    <w:rPr>
      <w:color w:val="0000FF"/>
      <w:u w:val="single"/>
    </w:rPr>
  </w:style>
  <w:style w:type="character" w:customStyle="1" w:styleId="Heading11">
    <w:name w:val="Heading 11"/>
    <w:rsid w:val="00233877"/>
    <w:rPr>
      <w:b/>
    </w:rPr>
  </w:style>
  <w:style w:type="table" w:styleId="TableGrid">
    <w:name w:val="Table Grid"/>
    <w:basedOn w:val="TableNormal"/>
    <w:uiPriority w:val="59"/>
    <w:rsid w:val="00233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B0F23"/>
    <w:rPr>
      <w:rFonts w:ascii="Times New Roman" w:eastAsiaTheme="majorEastAsia" w:hAnsi="Times New Roman" w:cstheme="majorBidi"/>
      <w:b/>
      <w:bCs/>
      <w:color w:val="1F4E79" w:themeColor="accent1" w:themeShade="80"/>
      <w:sz w:val="24"/>
      <w:szCs w:val="28"/>
    </w:rPr>
  </w:style>
  <w:style w:type="paragraph" w:styleId="TOCHeading">
    <w:name w:val="TOC Heading"/>
    <w:basedOn w:val="Heading1"/>
    <w:next w:val="Normal"/>
    <w:uiPriority w:val="39"/>
    <w:unhideWhenUsed/>
    <w:qFormat/>
    <w:rsid w:val="00A17E6C"/>
    <w:pPr>
      <w:widowControl/>
      <w:autoSpaceDE/>
      <w:autoSpaceDN/>
      <w:adjustRightInd/>
      <w:spacing w:line="276" w:lineRule="auto"/>
      <w:outlineLvl w:val="9"/>
    </w:pPr>
    <w:rPr>
      <w:lang w:eastAsia="ja-JP"/>
    </w:rPr>
  </w:style>
  <w:style w:type="paragraph" w:styleId="Caption">
    <w:name w:val="caption"/>
    <w:basedOn w:val="Normal"/>
    <w:next w:val="Normal"/>
    <w:uiPriority w:val="35"/>
    <w:unhideWhenUsed/>
    <w:qFormat/>
    <w:rsid w:val="001B0F23"/>
    <w:pPr>
      <w:spacing w:after="40"/>
    </w:pPr>
    <w:rPr>
      <w:b/>
      <w:bCs/>
      <w:color w:val="000000" w:themeColor="text1"/>
      <w:szCs w:val="18"/>
    </w:rPr>
  </w:style>
  <w:style w:type="paragraph" w:styleId="NoSpacing">
    <w:name w:val="No Spacing"/>
    <w:uiPriority w:val="1"/>
    <w:qFormat/>
    <w:rsid w:val="001B0F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qFormat/>
    <w:rsid w:val="001B0F23"/>
    <w:pPr>
      <w:spacing w:after="100"/>
    </w:pPr>
  </w:style>
  <w:style w:type="paragraph" w:styleId="TOC2">
    <w:name w:val="toc 2"/>
    <w:basedOn w:val="Normal"/>
    <w:next w:val="Normal"/>
    <w:autoRedefine/>
    <w:uiPriority w:val="39"/>
    <w:unhideWhenUsed/>
    <w:qFormat/>
    <w:rsid w:val="001B0F23"/>
    <w:pPr>
      <w:widowControl/>
      <w:autoSpaceDE/>
      <w:autoSpaceDN/>
      <w:adjustRightInd/>
      <w:spacing w:after="100" w:line="276" w:lineRule="auto"/>
      <w:ind w:left="220"/>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semiHidden/>
    <w:unhideWhenUsed/>
    <w:qFormat/>
    <w:rsid w:val="001B0F23"/>
    <w:pPr>
      <w:widowControl/>
      <w:autoSpaceDE/>
      <w:autoSpaceDN/>
      <w:adjustRightInd/>
      <w:spacing w:after="100" w:line="276" w:lineRule="auto"/>
      <w:ind w:left="440"/>
    </w:pPr>
    <w:rPr>
      <w:rFonts w:asciiTheme="minorHAnsi" w:eastAsiaTheme="minorEastAsia" w:hAnsiTheme="minorHAnsi" w:cstheme="minorBidi"/>
      <w:sz w:val="22"/>
      <w:szCs w:val="22"/>
      <w:lang w:eastAsia="ja-JP"/>
    </w:rPr>
  </w:style>
  <w:style w:type="character" w:customStyle="1" w:styleId="Heading2Char">
    <w:name w:val="Heading 2 Char"/>
    <w:basedOn w:val="DefaultParagraphFont"/>
    <w:link w:val="Heading2"/>
    <w:rsid w:val="009D1570"/>
    <w:rPr>
      <w:rFonts w:ascii="Times New Roman" w:eastAsiaTheme="majorEastAsia" w:hAnsi="Times New Roman" w:cstheme="majorBidi"/>
      <w:b/>
      <w:bCs/>
      <w:i/>
      <w:color w:val="000000" w:themeColor="text1"/>
      <w:sz w:val="24"/>
      <w:szCs w:val="26"/>
    </w:rPr>
  </w:style>
  <w:style w:type="character" w:customStyle="1" w:styleId="Footer1">
    <w:name w:val="Footer1"/>
    <w:basedOn w:val="DefaultParagraphFont"/>
    <w:rsid w:val="009D1570"/>
  </w:style>
  <w:style w:type="paragraph" w:customStyle="1" w:styleId="Bulleted">
    <w:name w:val="Bulleted"/>
    <w:basedOn w:val="Normal"/>
    <w:autoRedefine/>
    <w:rsid w:val="009D1570"/>
    <w:pPr>
      <w:widowControl/>
      <w:numPr>
        <w:numId w:val="8"/>
      </w:numPr>
      <w:tabs>
        <w:tab w:val="clear" w:pos="504"/>
        <w:tab w:val="num" w:pos="600"/>
      </w:tabs>
      <w:autoSpaceDE/>
      <w:autoSpaceDN/>
      <w:adjustRightInd/>
      <w:spacing w:after="0"/>
      <w:ind w:left="600" w:hanging="360"/>
    </w:pPr>
  </w:style>
  <w:style w:type="character" w:styleId="FollowedHyperlink">
    <w:name w:val="FollowedHyperlink"/>
    <w:basedOn w:val="DefaultParagraphFont"/>
    <w:uiPriority w:val="99"/>
    <w:semiHidden/>
    <w:unhideWhenUsed/>
    <w:rsid w:val="001C2288"/>
    <w:rPr>
      <w:color w:val="954F72" w:themeColor="followedHyperlink"/>
      <w:u w:val="single"/>
    </w:rPr>
  </w:style>
  <w:style w:type="paragraph" w:styleId="BodyText">
    <w:name w:val="Body Text"/>
    <w:basedOn w:val="Normal"/>
    <w:link w:val="BodyTextChar"/>
    <w:rsid w:val="00FE0BD7"/>
    <w:pPr>
      <w:widowControl/>
      <w:autoSpaceDE/>
      <w:autoSpaceDN/>
      <w:adjustRightInd/>
      <w:ind w:firstLine="720"/>
    </w:pPr>
  </w:style>
  <w:style w:type="character" w:customStyle="1" w:styleId="BodyTextChar">
    <w:name w:val="Body Text Char"/>
    <w:basedOn w:val="DefaultParagraphFont"/>
    <w:link w:val="BodyText"/>
    <w:rsid w:val="00FE0BD7"/>
    <w:rPr>
      <w:rFonts w:ascii="Times New Roman" w:eastAsia="Times New Roman" w:hAnsi="Times New Roman" w:cs="Times New Roman"/>
      <w:sz w:val="24"/>
      <w:szCs w:val="24"/>
    </w:rPr>
  </w:style>
  <w:style w:type="paragraph" w:customStyle="1" w:styleId="OMBText">
    <w:name w:val="OMB Text"/>
    <w:basedOn w:val="Normal"/>
    <w:qFormat/>
    <w:rsid w:val="00610781"/>
    <w:pPr>
      <w:widowControl/>
    </w:pPr>
    <w:rPr>
      <w:rFonts w:eastAsiaTheme="minorHAnsi" w:cstheme="minorBidi"/>
      <w:szCs w:val="22"/>
    </w:rPr>
  </w:style>
  <w:style w:type="paragraph" w:customStyle="1" w:styleId="OMBBullet">
    <w:name w:val="OMB Bullet"/>
    <w:basedOn w:val="OMBText"/>
    <w:qFormat/>
    <w:rsid w:val="00A413AA"/>
    <w:pPr>
      <w:spacing w:after="0"/>
      <w:ind w:left="720" w:hanging="360"/>
    </w:pPr>
  </w:style>
  <w:style w:type="paragraph" w:styleId="Revision">
    <w:name w:val="Revision"/>
    <w:hidden/>
    <w:uiPriority w:val="99"/>
    <w:semiHidden/>
    <w:rsid w:val="00E8097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788848">
      <w:bodyDiv w:val="1"/>
      <w:marLeft w:val="0"/>
      <w:marRight w:val="0"/>
      <w:marTop w:val="0"/>
      <w:marBottom w:val="0"/>
      <w:divBdr>
        <w:top w:val="none" w:sz="0" w:space="0" w:color="auto"/>
        <w:left w:val="none" w:sz="0" w:space="0" w:color="auto"/>
        <w:bottom w:val="none" w:sz="0" w:space="0" w:color="auto"/>
        <w:right w:val="none" w:sz="0" w:space="0" w:color="auto"/>
      </w:divBdr>
    </w:div>
    <w:div w:id="1907261310">
      <w:bodyDiv w:val="1"/>
      <w:marLeft w:val="0"/>
      <w:marRight w:val="0"/>
      <w:marTop w:val="0"/>
      <w:marBottom w:val="0"/>
      <w:divBdr>
        <w:top w:val="none" w:sz="0" w:space="0" w:color="auto"/>
        <w:left w:val="none" w:sz="0" w:space="0" w:color="auto"/>
        <w:bottom w:val="none" w:sz="0" w:space="0" w:color="auto"/>
        <w:right w:val="none" w:sz="0" w:space="0" w:color="auto"/>
      </w:divBdr>
    </w:div>
    <w:div w:id="1922061693">
      <w:bodyDiv w:val="1"/>
      <w:marLeft w:val="0"/>
      <w:marRight w:val="0"/>
      <w:marTop w:val="0"/>
      <w:marBottom w:val="0"/>
      <w:divBdr>
        <w:top w:val="none" w:sz="0" w:space="0" w:color="auto"/>
        <w:left w:val="none" w:sz="0" w:space="0" w:color="auto"/>
        <w:bottom w:val="none" w:sz="0" w:space="0" w:color="auto"/>
        <w:right w:val="none" w:sz="0" w:space="0" w:color="auto"/>
      </w:divBdr>
    </w:div>
    <w:div w:id="202600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mailto:jleichliter@cdc.gov"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206CF-C9B2-4171-AFD6-2630ADD9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5900</Words>
  <Characters>33632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39454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Matthew</dc:creator>
  <cp:keywords/>
  <dc:description/>
  <cp:lastModifiedBy>SYSTEM</cp:lastModifiedBy>
  <cp:revision>2</cp:revision>
  <cp:lastPrinted>2016-07-28T11:01:00Z</cp:lastPrinted>
  <dcterms:created xsi:type="dcterms:W3CDTF">2017-11-09T19:16:00Z</dcterms:created>
  <dcterms:modified xsi:type="dcterms:W3CDTF">2017-11-09T19:16:00Z</dcterms:modified>
</cp:coreProperties>
</file>