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3339" w14:textId="77777777" w:rsidR="00501E58" w:rsidRDefault="00501E58" w:rsidP="0095264F">
      <w:pPr>
        <w:pStyle w:val="Heading9"/>
        <w:numPr>
          <w:ilvl w:val="0"/>
          <w:numId w:val="0"/>
        </w:numPr>
        <w:ind w:left="1584"/>
      </w:pPr>
      <w:bookmarkStart w:id="0" w:name="_GoBack"/>
      <w:bookmarkEnd w:id="0"/>
    </w:p>
    <w:p w14:paraId="31C9E135" w14:textId="77777777" w:rsidR="00501E58" w:rsidRDefault="00501E58" w:rsidP="00501E58">
      <w:pPr>
        <w:spacing w:after="0" w:line="240" w:lineRule="auto"/>
        <w:jc w:val="center"/>
      </w:pPr>
    </w:p>
    <w:p w14:paraId="28D17D61" w14:textId="77777777" w:rsidR="00501E58" w:rsidRDefault="00501E58" w:rsidP="00501E58">
      <w:pPr>
        <w:spacing w:after="0" w:line="240" w:lineRule="auto"/>
        <w:jc w:val="center"/>
      </w:pPr>
    </w:p>
    <w:p w14:paraId="07C3C4E3" w14:textId="77777777" w:rsidR="00501E58" w:rsidRDefault="00501E58" w:rsidP="00501E58">
      <w:pPr>
        <w:spacing w:after="0" w:line="240" w:lineRule="auto"/>
        <w:jc w:val="center"/>
      </w:pPr>
    </w:p>
    <w:p w14:paraId="7C64F959" w14:textId="77777777" w:rsidR="00501E58" w:rsidRDefault="00501E58" w:rsidP="00501E58">
      <w:pPr>
        <w:spacing w:after="0" w:line="240" w:lineRule="auto"/>
        <w:jc w:val="center"/>
      </w:pPr>
    </w:p>
    <w:p w14:paraId="48BED713" w14:textId="77777777" w:rsidR="00501E58" w:rsidRDefault="00501E58" w:rsidP="00501E58">
      <w:pPr>
        <w:spacing w:after="0" w:line="240" w:lineRule="auto"/>
        <w:jc w:val="center"/>
      </w:pPr>
    </w:p>
    <w:p w14:paraId="398BB9DC" w14:textId="77777777" w:rsidR="00627CA2" w:rsidRPr="002F33B3" w:rsidRDefault="00627CA2" w:rsidP="00627CA2">
      <w:pPr>
        <w:spacing w:after="0" w:line="360" w:lineRule="auto"/>
        <w:jc w:val="center"/>
        <w:rPr>
          <w:rFonts w:ascii="Times New Roman" w:hAnsi="Times New Roman" w:cs="Times New Roman"/>
          <w:b/>
          <w:sz w:val="24"/>
          <w:szCs w:val="24"/>
        </w:rPr>
      </w:pPr>
      <w:bookmarkStart w:id="1" w:name="_Toc406683208"/>
      <w:r>
        <w:rPr>
          <w:rFonts w:ascii="Times New Roman" w:hAnsi="Times New Roman" w:cs="Times New Roman"/>
          <w:b/>
          <w:sz w:val="24"/>
          <w:szCs w:val="24"/>
        </w:rPr>
        <w:t>Women’s Preventive Health Services Survey (WPHSS)</w:t>
      </w:r>
    </w:p>
    <w:p w14:paraId="40660A95" w14:textId="77777777" w:rsidR="00627CA2" w:rsidRDefault="00627CA2" w:rsidP="00627CA2">
      <w:pPr>
        <w:spacing w:after="0" w:line="360" w:lineRule="auto"/>
        <w:jc w:val="center"/>
        <w:rPr>
          <w:rFonts w:ascii="Times New Roman" w:hAnsi="Times New Roman" w:cs="Times New Roman"/>
          <w:sz w:val="24"/>
          <w:szCs w:val="24"/>
        </w:rPr>
      </w:pPr>
    </w:p>
    <w:p w14:paraId="25B0D1EB" w14:textId="77777777" w:rsidR="00627CA2" w:rsidRDefault="00627CA2" w:rsidP="00627CA2">
      <w:pPr>
        <w:spacing w:after="0" w:line="360" w:lineRule="auto"/>
        <w:jc w:val="center"/>
        <w:rPr>
          <w:rFonts w:ascii="Times New Roman" w:hAnsi="Times New Roman" w:cs="Times New Roman"/>
          <w:sz w:val="24"/>
          <w:szCs w:val="24"/>
        </w:rPr>
      </w:pPr>
    </w:p>
    <w:p w14:paraId="0B71EB68" w14:textId="77777777" w:rsidR="00627CA2" w:rsidRPr="00BB2FA9" w:rsidRDefault="00627CA2" w:rsidP="00627CA2">
      <w:pPr>
        <w:spacing w:after="0" w:line="360" w:lineRule="auto"/>
        <w:jc w:val="center"/>
        <w:rPr>
          <w:rFonts w:ascii="Times New Roman" w:hAnsi="Times New Roman" w:cs="Times New Roman"/>
          <w:sz w:val="24"/>
          <w:szCs w:val="24"/>
        </w:rPr>
      </w:pPr>
    </w:p>
    <w:p w14:paraId="2C60AFC0" w14:textId="7F73C9F6" w:rsidR="00627CA2" w:rsidRPr="002F33B3" w:rsidRDefault="00627CA2" w:rsidP="00627CA2">
      <w:pPr>
        <w:spacing w:after="0" w:line="360" w:lineRule="auto"/>
        <w:jc w:val="center"/>
        <w:rPr>
          <w:rFonts w:ascii="Times New Roman" w:hAnsi="Times New Roman" w:cs="Times New Roman"/>
          <w:b/>
          <w:sz w:val="24"/>
          <w:szCs w:val="24"/>
        </w:rPr>
      </w:pPr>
      <w:r w:rsidRPr="002F33B3">
        <w:rPr>
          <w:rFonts w:ascii="Times New Roman" w:hAnsi="Times New Roman" w:cs="Times New Roman"/>
          <w:b/>
          <w:sz w:val="24"/>
          <w:szCs w:val="24"/>
        </w:rPr>
        <w:t xml:space="preserve">Supporting Statement </w:t>
      </w:r>
      <w:r>
        <w:rPr>
          <w:rFonts w:ascii="Times New Roman" w:hAnsi="Times New Roman" w:cs="Times New Roman"/>
          <w:b/>
          <w:sz w:val="24"/>
          <w:szCs w:val="24"/>
        </w:rPr>
        <w:t>– Section</w:t>
      </w:r>
      <w:r w:rsidR="00357F62">
        <w:rPr>
          <w:rFonts w:ascii="Times New Roman" w:hAnsi="Times New Roman" w:cs="Times New Roman"/>
          <w:b/>
          <w:sz w:val="24"/>
          <w:szCs w:val="24"/>
        </w:rPr>
        <w:t xml:space="preserve"> B</w:t>
      </w:r>
    </w:p>
    <w:p w14:paraId="144330B8" w14:textId="77777777" w:rsidR="00627CA2" w:rsidRPr="002F33B3" w:rsidRDefault="00627CA2" w:rsidP="00627CA2">
      <w:pPr>
        <w:spacing w:after="0" w:line="360" w:lineRule="auto"/>
        <w:jc w:val="center"/>
        <w:rPr>
          <w:rFonts w:ascii="Times New Roman" w:hAnsi="Times New Roman" w:cs="Times New Roman"/>
          <w:b/>
          <w:sz w:val="24"/>
          <w:szCs w:val="24"/>
        </w:rPr>
      </w:pPr>
    </w:p>
    <w:p w14:paraId="70B0BFC2" w14:textId="77777777" w:rsidR="00627CA2" w:rsidRPr="002F33B3" w:rsidRDefault="00627CA2" w:rsidP="00627CA2">
      <w:pPr>
        <w:spacing w:after="0" w:line="360" w:lineRule="auto"/>
        <w:jc w:val="center"/>
        <w:rPr>
          <w:rFonts w:ascii="Times New Roman" w:hAnsi="Times New Roman" w:cs="Times New Roman"/>
          <w:b/>
          <w:sz w:val="24"/>
          <w:szCs w:val="24"/>
        </w:rPr>
      </w:pPr>
    </w:p>
    <w:p w14:paraId="47B9692A" w14:textId="77777777" w:rsidR="00627CA2" w:rsidRPr="002F33B3" w:rsidRDefault="00627CA2" w:rsidP="00627CA2">
      <w:pPr>
        <w:spacing w:after="0" w:line="360" w:lineRule="auto"/>
        <w:jc w:val="center"/>
        <w:rPr>
          <w:rFonts w:ascii="Times New Roman" w:hAnsi="Times New Roman" w:cs="Times New Roman"/>
          <w:b/>
          <w:sz w:val="24"/>
          <w:szCs w:val="24"/>
        </w:rPr>
      </w:pPr>
    </w:p>
    <w:p w14:paraId="2F045B7B" w14:textId="63C89838" w:rsidR="00627CA2" w:rsidRPr="002F33B3" w:rsidRDefault="00627CA2" w:rsidP="00627CA2">
      <w:pPr>
        <w:spacing w:after="0" w:line="360" w:lineRule="auto"/>
        <w:jc w:val="center"/>
        <w:rPr>
          <w:rFonts w:ascii="Times New Roman" w:hAnsi="Times New Roman" w:cs="Times New Roman"/>
          <w:b/>
          <w:sz w:val="24"/>
          <w:szCs w:val="24"/>
        </w:rPr>
      </w:pPr>
      <w:r w:rsidRPr="002F33B3">
        <w:rPr>
          <w:rFonts w:ascii="Times New Roman" w:hAnsi="Times New Roman" w:cs="Times New Roman"/>
          <w:b/>
          <w:sz w:val="24"/>
          <w:szCs w:val="24"/>
        </w:rPr>
        <w:t xml:space="preserve">Submitted: </w:t>
      </w:r>
      <w:r w:rsidR="0069799B">
        <w:rPr>
          <w:rFonts w:ascii="Times New Roman" w:hAnsi="Times New Roman" w:cs="Times New Roman"/>
          <w:b/>
          <w:sz w:val="24"/>
          <w:szCs w:val="24"/>
        </w:rPr>
        <w:t>February 6, 2017</w:t>
      </w:r>
    </w:p>
    <w:p w14:paraId="553654C0" w14:textId="77777777" w:rsidR="00627CA2" w:rsidRPr="002F33B3" w:rsidRDefault="00627CA2" w:rsidP="00627CA2">
      <w:pPr>
        <w:spacing w:after="0" w:line="360" w:lineRule="auto"/>
        <w:jc w:val="center"/>
        <w:rPr>
          <w:rFonts w:ascii="Times New Roman" w:hAnsi="Times New Roman" w:cs="Times New Roman"/>
          <w:b/>
          <w:sz w:val="24"/>
          <w:szCs w:val="24"/>
        </w:rPr>
      </w:pPr>
    </w:p>
    <w:p w14:paraId="205E2624" w14:textId="77777777" w:rsidR="00627CA2" w:rsidRPr="00BB2FA9" w:rsidRDefault="00627CA2" w:rsidP="00627CA2">
      <w:pPr>
        <w:spacing w:after="0" w:line="360" w:lineRule="auto"/>
        <w:jc w:val="center"/>
        <w:rPr>
          <w:rFonts w:ascii="Times New Roman" w:hAnsi="Times New Roman" w:cs="Times New Roman"/>
          <w:sz w:val="24"/>
          <w:szCs w:val="24"/>
        </w:rPr>
      </w:pPr>
    </w:p>
    <w:p w14:paraId="56E9E521" w14:textId="77777777" w:rsidR="00627CA2" w:rsidRPr="00BB2FA9" w:rsidRDefault="00627CA2" w:rsidP="00627CA2">
      <w:pPr>
        <w:spacing w:after="0" w:line="360" w:lineRule="auto"/>
        <w:jc w:val="center"/>
        <w:rPr>
          <w:rFonts w:ascii="Times New Roman" w:hAnsi="Times New Roman" w:cs="Times New Roman"/>
          <w:sz w:val="24"/>
          <w:szCs w:val="24"/>
        </w:rPr>
      </w:pPr>
    </w:p>
    <w:p w14:paraId="660809B7" w14:textId="77777777" w:rsidR="00627CA2" w:rsidRPr="00BB2FA9" w:rsidRDefault="00627CA2" w:rsidP="00627CA2">
      <w:pPr>
        <w:spacing w:after="0" w:line="360" w:lineRule="auto"/>
        <w:jc w:val="center"/>
        <w:rPr>
          <w:rFonts w:ascii="Times New Roman" w:hAnsi="Times New Roman" w:cs="Times New Roman"/>
          <w:sz w:val="24"/>
          <w:szCs w:val="24"/>
        </w:rPr>
      </w:pPr>
    </w:p>
    <w:p w14:paraId="5D698C71" w14:textId="77777777" w:rsidR="00627CA2" w:rsidRPr="00BB2FA9" w:rsidRDefault="00627CA2" w:rsidP="00627CA2">
      <w:pPr>
        <w:spacing w:after="0" w:line="360" w:lineRule="auto"/>
        <w:jc w:val="center"/>
        <w:rPr>
          <w:rFonts w:ascii="Times New Roman" w:hAnsi="Times New Roman" w:cs="Times New Roman"/>
          <w:sz w:val="24"/>
          <w:szCs w:val="24"/>
        </w:rPr>
      </w:pPr>
    </w:p>
    <w:p w14:paraId="353DB886" w14:textId="77777777" w:rsidR="00627CA2" w:rsidRPr="00BB2FA9" w:rsidRDefault="00627CA2" w:rsidP="00627CA2">
      <w:pPr>
        <w:spacing w:after="0" w:line="360" w:lineRule="auto"/>
        <w:jc w:val="center"/>
        <w:rPr>
          <w:rFonts w:ascii="Times New Roman" w:hAnsi="Times New Roman" w:cs="Times New Roman"/>
          <w:sz w:val="24"/>
          <w:szCs w:val="24"/>
        </w:rPr>
      </w:pPr>
    </w:p>
    <w:p w14:paraId="1BDCAE9E" w14:textId="77777777" w:rsidR="00627CA2" w:rsidRPr="00BB2FA9" w:rsidRDefault="00627CA2" w:rsidP="00627CA2">
      <w:pPr>
        <w:spacing w:after="0" w:line="360" w:lineRule="auto"/>
        <w:jc w:val="center"/>
        <w:rPr>
          <w:rFonts w:ascii="Times New Roman" w:hAnsi="Times New Roman" w:cs="Times New Roman"/>
          <w:sz w:val="24"/>
          <w:szCs w:val="24"/>
        </w:rPr>
      </w:pPr>
    </w:p>
    <w:p w14:paraId="7C23B73D" w14:textId="77777777" w:rsidR="00627CA2" w:rsidRPr="00BB2FA9" w:rsidRDefault="00627CA2" w:rsidP="00627CA2">
      <w:pPr>
        <w:spacing w:after="0" w:line="360" w:lineRule="auto"/>
        <w:jc w:val="center"/>
        <w:rPr>
          <w:rFonts w:ascii="Times New Roman" w:hAnsi="Times New Roman" w:cs="Times New Roman"/>
          <w:sz w:val="24"/>
          <w:szCs w:val="24"/>
        </w:rPr>
      </w:pPr>
    </w:p>
    <w:p w14:paraId="0139A92F" w14:textId="77777777" w:rsidR="00627CA2" w:rsidRPr="002F33B3" w:rsidRDefault="00627CA2" w:rsidP="00627CA2">
      <w:pPr>
        <w:spacing w:after="0" w:line="240" w:lineRule="auto"/>
        <w:rPr>
          <w:rFonts w:ascii="Times New Roman" w:hAnsi="Times New Roman" w:cs="Times New Roman"/>
          <w:b/>
          <w:sz w:val="24"/>
          <w:szCs w:val="24"/>
          <w:u w:val="single"/>
        </w:rPr>
      </w:pPr>
      <w:r w:rsidRPr="002F33B3">
        <w:rPr>
          <w:rFonts w:ascii="Times New Roman" w:hAnsi="Times New Roman" w:cs="Times New Roman"/>
          <w:b/>
          <w:sz w:val="24"/>
          <w:szCs w:val="24"/>
          <w:u w:val="single"/>
        </w:rPr>
        <w:t>Program Official/Project Officer</w:t>
      </w:r>
    </w:p>
    <w:p w14:paraId="1C1C13AB" w14:textId="77777777" w:rsidR="00627CA2" w:rsidRDefault="00627CA2" w:rsidP="00627CA2">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Pr="00BB2FA9">
        <w:rPr>
          <w:rFonts w:ascii="Times New Roman" w:hAnsi="Times New Roman" w:cs="Times New Roman"/>
          <w:sz w:val="24"/>
          <w:szCs w:val="24"/>
        </w:rPr>
        <w:t>acqueline Miller, MD</w:t>
      </w:r>
    </w:p>
    <w:p w14:paraId="7C2B454F" w14:textId="77777777" w:rsidR="00627CA2" w:rsidRPr="00BB2FA9" w:rsidRDefault="00627CA2" w:rsidP="00627CA2">
      <w:pPr>
        <w:spacing w:after="0" w:line="240" w:lineRule="auto"/>
        <w:rPr>
          <w:rFonts w:ascii="Times New Roman" w:hAnsi="Times New Roman" w:cs="Times New Roman"/>
          <w:sz w:val="24"/>
          <w:szCs w:val="24"/>
        </w:rPr>
      </w:pPr>
      <w:r>
        <w:rPr>
          <w:rFonts w:ascii="Times New Roman" w:hAnsi="Times New Roman" w:cs="Times New Roman"/>
          <w:sz w:val="24"/>
          <w:szCs w:val="24"/>
        </w:rPr>
        <w:t>Medical Officer</w:t>
      </w:r>
    </w:p>
    <w:p w14:paraId="230EEA44" w14:textId="77777777" w:rsidR="00627CA2" w:rsidRPr="002F33B3" w:rsidRDefault="00627CA2" w:rsidP="00627CA2">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Division of Cancer Prevention and Control</w:t>
      </w:r>
    </w:p>
    <w:p w14:paraId="0E3DE6A2" w14:textId="77777777" w:rsidR="00627CA2" w:rsidRPr="002F33B3" w:rsidRDefault="00627CA2" w:rsidP="00627CA2">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National Center for Chronic Disease Prevention and Health Promotion</w:t>
      </w:r>
    </w:p>
    <w:p w14:paraId="77C5839B" w14:textId="77777777" w:rsidR="00627CA2" w:rsidRPr="002F33B3" w:rsidRDefault="00627CA2" w:rsidP="00627CA2">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Centers for Disease Control and Prevention</w:t>
      </w:r>
    </w:p>
    <w:p w14:paraId="6F56B855" w14:textId="77777777" w:rsidR="00627CA2" w:rsidRPr="002F33B3" w:rsidRDefault="00627CA2" w:rsidP="00627CA2">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4770 Buford Highway, Mailstop F-76</w:t>
      </w:r>
    </w:p>
    <w:p w14:paraId="6CEA8BCA" w14:textId="77777777" w:rsidR="00627CA2" w:rsidRDefault="00627CA2" w:rsidP="00627CA2">
      <w:pPr>
        <w:spacing w:after="0" w:line="240" w:lineRule="auto"/>
        <w:rPr>
          <w:rFonts w:ascii="Times New Roman" w:hAnsi="Times New Roman" w:cs="Times New Roman"/>
          <w:sz w:val="24"/>
          <w:szCs w:val="24"/>
        </w:rPr>
      </w:pPr>
      <w:r w:rsidRPr="002F33B3">
        <w:rPr>
          <w:rFonts w:ascii="Times New Roman" w:hAnsi="Times New Roman" w:cs="Times New Roman"/>
          <w:sz w:val="24"/>
          <w:szCs w:val="24"/>
        </w:rPr>
        <w:t>Atlanta, GA</w:t>
      </w:r>
      <w:r>
        <w:rPr>
          <w:rFonts w:ascii="Times New Roman" w:hAnsi="Times New Roman" w:cs="Times New Roman"/>
          <w:sz w:val="24"/>
          <w:szCs w:val="24"/>
        </w:rPr>
        <w:t xml:space="preserve"> </w:t>
      </w:r>
      <w:r w:rsidRPr="002F33B3">
        <w:rPr>
          <w:rFonts w:ascii="Times New Roman" w:hAnsi="Times New Roman" w:cs="Times New Roman"/>
          <w:sz w:val="24"/>
          <w:szCs w:val="24"/>
        </w:rPr>
        <w:t xml:space="preserve"> 30341</w:t>
      </w:r>
    </w:p>
    <w:p w14:paraId="7D01A869" w14:textId="77777777" w:rsidR="00627CA2" w:rsidRDefault="00627CA2" w:rsidP="00627CA2">
      <w:pPr>
        <w:spacing w:after="0" w:line="240" w:lineRule="auto"/>
        <w:rPr>
          <w:rFonts w:ascii="Times New Roman" w:hAnsi="Times New Roman" w:cs="Times New Roman"/>
          <w:sz w:val="24"/>
          <w:szCs w:val="24"/>
        </w:rPr>
      </w:pPr>
      <w:r w:rsidRPr="00BB2FA9">
        <w:rPr>
          <w:rFonts w:ascii="Times New Roman" w:hAnsi="Times New Roman" w:cs="Times New Roman"/>
          <w:sz w:val="24"/>
          <w:szCs w:val="24"/>
        </w:rPr>
        <w:t>Phone: 770-488-5061</w:t>
      </w:r>
    </w:p>
    <w:p w14:paraId="43A6B0DE" w14:textId="77777777" w:rsidR="00627CA2" w:rsidRPr="00BB2FA9" w:rsidRDefault="00627CA2" w:rsidP="00627CA2">
      <w:pPr>
        <w:spacing w:after="0" w:line="240" w:lineRule="auto"/>
        <w:rPr>
          <w:rFonts w:ascii="Times New Roman" w:hAnsi="Times New Roman" w:cs="Times New Roman"/>
          <w:sz w:val="24"/>
          <w:szCs w:val="24"/>
        </w:rPr>
      </w:pPr>
      <w:r>
        <w:rPr>
          <w:rFonts w:ascii="Times New Roman" w:hAnsi="Times New Roman" w:cs="Times New Roman"/>
          <w:sz w:val="24"/>
          <w:szCs w:val="24"/>
        </w:rPr>
        <w:t>Fax: 770-488-3230</w:t>
      </w:r>
    </w:p>
    <w:p w14:paraId="6CDBFDB3" w14:textId="77777777" w:rsidR="00627CA2" w:rsidRPr="00BB2FA9" w:rsidRDefault="00627CA2" w:rsidP="00627CA2">
      <w:pPr>
        <w:spacing w:after="0" w:line="240" w:lineRule="auto"/>
        <w:rPr>
          <w:rFonts w:ascii="Times New Roman" w:hAnsi="Times New Roman" w:cs="Times New Roman"/>
          <w:color w:val="767171"/>
          <w:sz w:val="24"/>
          <w:szCs w:val="24"/>
        </w:rPr>
      </w:pPr>
      <w:r>
        <w:rPr>
          <w:rFonts w:ascii="Times New Roman" w:hAnsi="Times New Roman" w:cs="Times New Roman"/>
          <w:sz w:val="24"/>
          <w:szCs w:val="24"/>
        </w:rPr>
        <w:t>E-mail: JM</w:t>
      </w:r>
      <w:r w:rsidRPr="00BB2FA9">
        <w:rPr>
          <w:rFonts w:ascii="Times New Roman" w:hAnsi="Times New Roman" w:cs="Times New Roman"/>
          <w:sz w:val="24"/>
          <w:szCs w:val="24"/>
        </w:rPr>
        <w:t>iller5@cdc.gov</w:t>
      </w:r>
      <w:r w:rsidRPr="00BB2FA9">
        <w:rPr>
          <w:rFonts w:ascii="Times New Roman" w:hAnsi="Times New Roman" w:cs="Times New Roman"/>
          <w:color w:val="767171"/>
          <w:sz w:val="24"/>
          <w:szCs w:val="24"/>
        </w:rPr>
        <w:t xml:space="preserve"> </w:t>
      </w:r>
    </w:p>
    <w:p w14:paraId="07F48EAA" w14:textId="04464F97" w:rsidR="00627CA2" w:rsidRDefault="00627CA2">
      <w:r>
        <w:br w:type="page"/>
      </w:r>
    </w:p>
    <w:sdt>
      <w:sdtPr>
        <w:rPr>
          <w:rFonts w:asciiTheme="minorHAnsi" w:eastAsiaTheme="minorHAnsi" w:hAnsiTheme="minorHAnsi" w:cstheme="minorBidi"/>
          <w:color w:val="auto"/>
          <w:sz w:val="22"/>
          <w:szCs w:val="22"/>
        </w:rPr>
        <w:id w:val="301580771"/>
        <w:docPartObj>
          <w:docPartGallery w:val="Table of Contents"/>
          <w:docPartUnique/>
        </w:docPartObj>
      </w:sdtPr>
      <w:sdtEndPr>
        <w:rPr>
          <w:b/>
          <w:bCs/>
          <w:noProof/>
        </w:rPr>
      </w:sdtEndPr>
      <w:sdtContent>
        <w:p w14:paraId="67C3544C" w14:textId="4E8615BC" w:rsidR="00DC2816" w:rsidRDefault="00DC2816" w:rsidP="00DC2816">
          <w:pPr>
            <w:pStyle w:val="TOCHeading"/>
            <w:jc w:val="center"/>
            <w:rPr>
              <w:rFonts w:ascii="Times New Roman" w:hAnsi="Times New Roman" w:cs="Times New Roman"/>
              <w:b/>
              <w:color w:val="auto"/>
              <w:sz w:val="24"/>
              <w:szCs w:val="24"/>
            </w:rPr>
          </w:pPr>
          <w:r w:rsidRPr="00DC2816">
            <w:rPr>
              <w:rFonts w:ascii="Times New Roman" w:hAnsi="Times New Roman" w:cs="Times New Roman"/>
              <w:b/>
              <w:color w:val="auto"/>
              <w:sz w:val="24"/>
              <w:szCs w:val="24"/>
            </w:rPr>
            <w:t>Table of Contents</w:t>
          </w:r>
        </w:p>
        <w:p w14:paraId="03755B30" w14:textId="77777777" w:rsidR="00DC2816" w:rsidRPr="00DC2816" w:rsidRDefault="00DC2816" w:rsidP="00DC2816"/>
        <w:p w14:paraId="62B3F104" w14:textId="77777777" w:rsidR="00DC2816" w:rsidRPr="00DC2816" w:rsidRDefault="00DC2816">
          <w:pPr>
            <w:pStyle w:val="TOC1"/>
            <w:tabs>
              <w:tab w:val="right" w:leader="dot" w:pos="9350"/>
            </w:tabs>
            <w:rPr>
              <w:rFonts w:ascii="Times New Roman" w:eastAsiaTheme="minorEastAsia" w:hAnsi="Times New Roman" w:cs="Times New Roman"/>
              <w:noProof/>
              <w:sz w:val="24"/>
              <w:szCs w:val="24"/>
            </w:rPr>
          </w:pPr>
          <w:r w:rsidRPr="00DC2816">
            <w:rPr>
              <w:rFonts w:ascii="Times New Roman" w:hAnsi="Times New Roman" w:cs="Times New Roman"/>
              <w:sz w:val="24"/>
              <w:szCs w:val="24"/>
            </w:rPr>
            <w:fldChar w:fldCharType="begin"/>
          </w:r>
          <w:r w:rsidRPr="00DC2816">
            <w:rPr>
              <w:rFonts w:ascii="Times New Roman" w:hAnsi="Times New Roman" w:cs="Times New Roman"/>
              <w:sz w:val="24"/>
              <w:szCs w:val="24"/>
            </w:rPr>
            <w:instrText xml:space="preserve"> TOC \o "1-3" \h \z \u </w:instrText>
          </w:r>
          <w:r w:rsidRPr="00DC2816">
            <w:rPr>
              <w:rFonts w:ascii="Times New Roman" w:hAnsi="Times New Roman" w:cs="Times New Roman"/>
              <w:sz w:val="24"/>
              <w:szCs w:val="24"/>
            </w:rPr>
            <w:fldChar w:fldCharType="separate"/>
          </w:r>
          <w:hyperlink w:anchor="_Toc453670003" w:history="1">
            <w:r w:rsidRPr="00DC2816">
              <w:rPr>
                <w:rStyle w:val="Hyperlink"/>
                <w:rFonts w:ascii="Times New Roman" w:hAnsi="Times New Roman" w:cs="Times New Roman"/>
                <w:noProof/>
                <w:sz w:val="24"/>
                <w:szCs w:val="24"/>
              </w:rPr>
              <w:t>List of Attachments</w:t>
            </w:r>
            <w:r w:rsidRPr="00DC2816">
              <w:rPr>
                <w:rFonts w:ascii="Times New Roman" w:hAnsi="Times New Roman" w:cs="Times New Roman"/>
                <w:noProof/>
                <w:webHidden/>
                <w:sz w:val="24"/>
                <w:szCs w:val="24"/>
              </w:rPr>
              <w:tab/>
            </w:r>
            <w:r w:rsidRPr="00DC2816">
              <w:rPr>
                <w:rFonts w:ascii="Times New Roman" w:hAnsi="Times New Roman" w:cs="Times New Roman"/>
                <w:noProof/>
                <w:webHidden/>
                <w:sz w:val="24"/>
                <w:szCs w:val="24"/>
              </w:rPr>
              <w:fldChar w:fldCharType="begin"/>
            </w:r>
            <w:r w:rsidRPr="00DC2816">
              <w:rPr>
                <w:rFonts w:ascii="Times New Roman" w:hAnsi="Times New Roman" w:cs="Times New Roman"/>
                <w:noProof/>
                <w:webHidden/>
                <w:sz w:val="24"/>
                <w:szCs w:val="24"/>
              </w:rPr>
              <w:instrText xml:space="preserve"> PAGEREF _Toc453670003 \h </w:instrText>
            </w:r>
            <w:r w:rsidRPr="00DC2816">
              <w:rPr>
                <w:rFonts w:ascii="Times New Roman" w:hAnsi="Times New Roman" w:cs="Times New Roman"/>
                <w:noProof/>
                <w:webHidden/>
                <w:sz w:val="24"/>
                <w:szCs w:val="24"/>
              </w:rPr>
            </w:r>
            <w:r w:rsidRPr="00DC2816">
              <w:rPr>
                <w:rFonts w:ascii="Times New Roman" w:hAnsi="Times New Roman" w:cs="Times New Roman"/>
                <w:noProof/>
                <w:webHidden/>
                <w:sz w:val="24"/>
                <w:szCs w:val="24"/>
              </w:rPr>
              <w:fldChar w:fldCharType="separate"/>
            </w:r>
            <w:r w:rsidR="00F0233A">
              <w:rPr>
                <w:rFonts w:ascii="Times New Roman" w:hAnsi="Times New Roman" w:cs="Times New Roman"/>
                <w:noProof/>
                <w:webHidden/>
                <w:sz w:val="24"/>
                <w:szCs w:val="24"/>
              </w:rPr>
              <w:t>3</w:t>
            </w:r>
            <w:r w:rsidRPr="00DC2816">
              <w:rPr>
                <w:rFonts w:ascii="Times New Roman" w:hAnsi="Times New Roman" w:cs="Times New Roman"/>
                <w:noProof/>
                <w:webHidden/>
                <w:sz w:val="24"/>
                <w:szCs w:val="24"/>
              </w:rPr>
              <w:fldChar w:fldCharType="end"/>
            </w:r>
          </w:hyperlink>
        </w:p>
        <w:p w14:paraId="2C321340" w14:textId="77777777" w:rsidR="00DC2816" w:rsidRPr="00DC2816" w:rsidRDefault="00BB695C">
          <w:pPr>
            <w:pStyle w:val="TOC1"/>
            <w:tabs>
              <w:tab w:val="right" w:leader="dot" w:pos="9350"/>
            </w:tabs>
            <w:rPr>
              <w:rFonts w:ascii="Times New Roman" w:eastAsiaTheme="minorEastAsia" w:hAnsi="Times New Roman" w:cs="Times New Roman"/>
              <w:noProof/>
              <w:sz w:val="24"/>
              <w:szCs w:val="24"/>
            </w:rPr>
          </w:pPr>
          <w:hyperlink w:anchor="_Toc453670004" w:history="1">
            <w:r w:rsidR="00DC2816" w:rsidRPr="00DC2816">
              <w:rPr>
                <w:rStyle w:val="Hyperlink"/>
                <w:rFonts w:ascii="Times New Roman" w:hAnsi="Times New Roman" w:cs="Times New Roman"/>
                <w:noProof/>
                <w:sz w:val="24"/>
                <w:szCs w:val="24"/>
              </w:rPr>
              <w:t>Section B – Collections of Information Employing Statistical Methods</w:t>
            </w:r>
            <w:r w:rsidR="00DC2816" w:rsidRPr="00DC2816">
              <w:rPr>
                <w:rFonts w:ascii="Times New Roman" w:hAnsi="Times New Roman" w:cs="Times New Roman"/>
                <w:noProof/>
                <w:webHidden/>
                <w:sz w:val="24"/>
                <w:szCs w:val="24"/>
              </w:rPr>
              <w:tab/>
            </w:r>
            <w:r w:rsidR="00DC2816" w:rsidRPr="00DC2816">
              <w:rPr>
                <w:rFonts w:ascii="Times New Roman" w:hAnsi="Times New Roman" w:cs="Times New Roman"/>
                <w:noProof/>
                <w:webHidden/>
                <w:sz w:val="24"/>
                <w:szCs w:val="24"/>
              </w:rPr>
              <w:fldChar w:fldCharType="begin"/>
            </w:r>
            <w:r w:rsidR="00DC2816" w:rsidRPr="00DC2816">
              <w:rPr>
                <w:rFonts w:ascii="Times New Roman" w:hAnsi="Times New Roman" w:cs="Times New Roman"/>
                <w:noProof/>
                <w:webHidden/>
                <w:sz w:val="24"/>
                <w:szCs w:val="24"/>
              </w:rPr>
              <w:instrText xml:space="preserve"> PAGEREF _Toc453670004 \h </w:instrText>
            </w:r>
            <w:r w:rsidR="00DC2816" w:rsidRPr="00DC2816">
              <w:rPr>
                <w:rFonts w:ascii="Times New Roman" w:hAnsi="Times New Roman" w:cs="Times New Roman"/>
                <w:noProof/>
                <w:webHidden/>
                <w:sz w:val="24"/>
                <w:szCs w:val="24"/>
              </w:rPr>
            </w:r>
            <w:r w:rsidR="00DC2816" w:rsidRPr="00DC2816">
              <w:rPr>
                <w:rFonts w:ascii="Times New Roman" w:hAnsi="Times New Roman" w:cs="Times New Roman"/>
                <w:noProof/>
                <w:webHidden/>
                <w:sz w:val="24"/>
                <w:szCs w:val="24"/>
              </w:rPr>
              <w:fldChar w:fldCharType="separate"/>
            </w:r>
            <w:r w:rsidR="00F0233A">
              <w:rPr>
                <w:rFonts w:ascii="Times New Roman" w:hAnsi="Times New Roman" w:cs="Times New Roman"/>
                <w:noProof/>
                <w:webHidden/>
                <w:sz w:val="24"/>
                <w:szCs w:val="24"/>
              </w:rPr>
              <w:t>4</w:t>
            </w:r>
            <w:r w:rsidR="00DC2816" w:rsidRPr="00DC2816">
              <w:rPr>
                <w:rFonts w:ascii="Times New Roman" w:hAnsi="Times New Roman" w:cs="Times New Roman"/>
                <w:noProof/>
                <w:webHidden/>
                <w:sz w:val="24"/>
                <w:szCs w:val="24"/>
              </w:rPr>
              <w:fldChar w:fldCharType="end"/>
            </w:r>
          </w:hyperlink>
        </w:p>
        <w:p w14:paraId="181959AA" w14:textId="2011022D" w:rsidR="00DC2816" w:rsidRPr="00DC2816" w:rsidRDefault="00BB695C">
          <w:pPr>
            <w:pStyle w:val="TOC2"/>
            <w:rPr>
              <w:rFonts w:ascii="Times New Roman" w:eastAsiaTheme="minorEastAsia" w:hAnsi="Times New Roman" w:cs="Times New Roman"/>
              <w:noProof/>
              <w:sz w:val="24"/>
              <w:szCs w:val="24"/>
            </w:rPr>
          </w:pPr>
          <w:hyperlink w:anchor="_Toc453670005" w:history="1">
            <w:r w:rsidR="00DC2816" w:rsidRPr="00DC2816">
              <w:rPr>
                <w:rStyle w:val="Hyperlink"/>
                <w:rFonts w:ascii="Times New Roman" w:hAnsi="Times New Roman" w:cs="Times New Roman"/>
                <w:noProof/>
                <w:sz w:val="24"/>
                <w:szCs w:val="24"/>
              </w:rPr>
              <w:t>1.</w:t>
            </w:r>
            <w:r w:rsidR="00DC2816" w:rsidRPr="00DC2816">
              <w:rPr>
                <w:rFonts w:ascii="Times New Roman" w:eastAsiaTheme="minorEastAsia" w:hAnsi="Times New Roman" w:cs="Times New Roman"/>
                <w:noProof/>
                <w:sz w:val="24"/>
                <w:szCs w:val="24"/>
              </w:rPr>
              <w:t xml:space="preserve"> </w:t>
            </w:r>
            <w:r w:rsidR="00DC2816" w:rsidRPr="00DC2816">
              <w:rPr>
                <w:rStyle w:val="Hyperlink"/>
                <w:rFonts w:ascii="Times New Roman" w:hAnsi="Times New Roman" w:cs="Times New Roman"/>
                <w:noProof/>
                <w:sz w:val="24"/>
                <w:szCs w:val="24"/>
              </w:rPr>
              <w:t>Respondent Universe and Sampling Methods</w:t>
            </w:r>
            <w:r w:rsidR="00DC2816" w:rsidRPr="00DC2816">
              <w:rPr>
                <w:rFonts w:ascii="Times New Roman" w:hAnsi="Times New Roman" w:cs="Times New Roman"/>
                <w:noProof/>
                <w:webHidden/>
                <w:sz w:val="24"/>
                <w:szCs w:val="24"/>
              </w:rPr>
              <w:tab/>
            </w:r>
            <w:r w:rsidR="00DC2816" w:rsidRPr="00DC2816">
              <w:rPr>
                <w:rFonts w:ascii="Times New Roman" w:hAnsi="Times New Roman" w:cs="Times New Roman"/>
                <w:noProof/>
                <w:webHidden/>
                <w:sz w:val="24"/>
                <w:szCs w:val="24"/>
              </w:rPr>
              <w:fldChar w:fldCharType="begin"/>
            </w:r>
            <w:r w:rsidR="00DC2816" w:rsidRPr="00DC2816">
              <w:rPr>
                <w:rFonts w:ascii="Times New Roman" w:hAnsi="Times New Roman" w:cs="Times New Roman"/>
                <w:noProof/>
                <w:webHidden/>
                <w:sz w:val="24"/>
                <w:szCs w:val="24"/>
              </w:rPr>
              <w:instrText xml:space="preserve"> PAGEREF _Toc453670005 \h </w:instrText>
            </w:r>
            <w:r w:rsidR="00DC2816" w:rsidRPr="00DC2816">
              <w:rPr>
                <w:rFonts w:ascii="Times New Roman" w:hAnsi="Times New Roman" w:cs="Times New Roman"/>
                <w:noProof/>
                <w:webHidden/>
                <w:sz w:val="24"/>
                <w:szCs w:val="24"/>
              </w:rPr>
            </w:r>
            <w:r w:rsidR="00DC2816" w:rsidRPr="00DC2816">
              <w:rPr>
                <w:rFonts w:ascii="Times New Roman" w:hAnsi="Times New Roman" w:cs="Times New Roman"/>
                <w:noProof/>
                <w:webHidden/>
                <w:sz w:val="24"/>
                <w:szCs w:val="24"/>
              </w:rPr>
              <w:fldChar w:fldCharType="separate"/>
            </w:r>
            <w:r w:rsidR="00F0233A">
              <w:rPr>
                <w:rFonts w:ascii="Times New Roman" w:hAnsi="Times New Roman" w:cs="Times New Roman"/>
                <w:noProof/>
                <w:webHidden/>
                <w:sz w:val="24"/>
                <w:szCs w:val="24"/>
              </w:rPr>
              <w:t>4</w:t>
            </w:r>
            <w:r w:rsidR="00DC2816" w:rsidRPr="00DC2816">
              <w:rPr>
                <w:rFonts w:ascii="Times New Roman" w:hAnsi="Times New Roman" w:cs="Times New Roman"/>
                <w:noProof/>
                <w:webHidden/>
                <w:sz w:val="24"/>
                <w:szCs w:val="24"/>
              </w:rPr>
              <w:fldChar w:fldCharType="end"/>
            </w:r>
          </w:hyperlink>
        </w:p>
        <w:p w14:paraId="1F919950" w14:textId="478D48F8" w:rsidR="00DC2816" w:rsidRPr="00DC2816" w:rsidRDefault="00BB695C">
          <w:pPr>
            <w:pStyle w:val="TOC2"/>
            <w:rPr>
              <w:rFonts w:ascii="Times New Roman" w:eastAsiaTheme="minorEastAsia" w:hAnsi="Times New Roman" w:cs="Times New Roman"/>
              <w:noProof/>
              <w:sz w:val="24"/>
              <w:szCs w:val="24"/>
            </w:rPr>
          </w:pPr>
          <w:hyperlink w:anchor="_Toc453670006" w:history="1">
            <w:r w:rsidR="00DC2816" w:rsidRPr="00DC2816">
              <w:rPr>
                <w:rStyle w:val="Hyperlink"/>
                <w:rFonts w:ascii="Times New Roman" w:hAnsi="Times New Roman" w:cs="Times New Roman"/>
                <w:noProof/>
                <w:sz w:val="24"/>
                <w:szCs w:val="24"/>
              </w:rPr>
              <w:t>2.</w:t>
            </w:r>
            <w:r w:rsidR="00DC2816" w:rsidRPr="00DC2816">
              <w:rPr>
                <w:rFonts w:ascii="Times New Roman" w:eastAsiaTheme="minorEastAsia" w:hAnsi="Times New Roman" w:cs="Times New Roman"/>
                <w:noProof/>
                <w:sz w:val="24"/>
                <w:szCs w:val="24"/>
              </w:rPr>
              <w:t xml:space="preserve"> </w:t>
            </w:r>
            <w:r w:rsidR="00DC2816" w:rsidRPr="00DC2816">
              <w:rPr>
                <w:rStyle w:val="Hyperlink"/>
                <w:rFonts w:ascii="Times New Roman" w:hAnsi="Times New Roman" w:cs="Times New Roman"/>
                <w:noProof/>
                <w:sz w:val="24"/>
                <w:szCs w:val="24"/>
              </w:rPr>
              <w:t>Procedures for the Collection of Information</w:t>
            </w:r>
            <w:r w:rsidR="00DC2816" w:rsidRPr="00DC2816">
              <w:rPr>
                <w:rFonts w:ascii="Times New Roman" w:hAnsi="Times New Roman" w:cs="Times New Roman"/>
                <w:noProof/>
                <w:webHidden/>
                <w:sz w:val="24"/>
                <w:szCs w:val="24"/>
              </w:rPr>
              <w:tab/>
            </w:r>
            <w:r w:rsidR="00DC2816" w:rsidRPr="00DC2816">
              <w:rPr>
                <w:rFonts w:ascii="Times New Roman" w:hAnsi="Times New Roman" w:cs="Times New Roman"/>
                <w:noProof/>
                <w:webHidden/>
                <w:sz w:val="24"/>
                <w:szCs w:val="24"/>
              </w:rPr>
              <w:fldChar w:fldCharType="begin"/>
            </w:r>
            <w:r w:rsidR="00DC2816" w:rsidRPr="00DC2816">
              <w:rPr>
                <w:rFonts w:ascii="Times New Roman" w:hAnsi="Times New Roman" w:cs="Times New Roman"/>
                <w:noProof/>
                <w:webHidden/>
                <w:sz w:val="24"/>
                <w:szCs w:val="24"/>
              </w:rPr>
              <w:instrText xml:space="preserve"> PAGEREF _Toc453670006 \h </w:instrText>
            </w:r>
            <w:r w:rsidR="00DC2816" w:rsidRPr="00DC2816">
              <w:rPr>
                <w:rFonts w:ascii="Times New Roman" w:hAnsi="Times New Roman" w:cs="Times New Roman"/>
                <w:noProof/>
                <w:webHidden/>
                <w:sz w:val="24"/>
                <w:szCs w:val="24"/>
              </w:rPr>
            </w:r>
            <w:r w:rsidR="00DC2816" w:rsidRPr="00DC2816">
              <w:rPr>
                <w:rFonts w:ascii="Times New Roman" w:hAnsi="Times New Roman" w:cs="Times New Roman"/>
                <w:noProof/>
                <w:webHidden/>
                <w:sz w:val="24"/>
                <w:szCs w:val="24"/>
              </w:rPr>
              <w:fldChar w:fldCharType="separate"/>
            </w:r>
            <w:r w:rsidR="00F0233A">
              <w:rPr>
                <w:rFonts w:ascii="Times New Roman" w:hAnsi="Times New Roman" w:cs="Times New Roman"/>
                <w:noProof/>
                <w:webHidden/>
                <w:sz w:val="24"/>
                <w:szCs w:val="24"/>
              </w:rPr>
              <w:t>7</w:t>
            </w:r>
            <w:r w:rsidR="00DC2816" w:rsidRPr="00DC2816">
              <w:rPr>
                <w:rFonts w:ascii="Times New Roman" w:hAnsi="Times New Roman" w:cs="Times New Roman"/>
                <w:noProof/>
                <w:webHidden/>
                <w:sz w:val="24"/>
                <w:szCs w:val="24"/>
              </w:rPr>
              <w:fldChar w:fldCharType="end"/>
            </w:r>
          </w:hyperlink>
        </w:p>
        <w:p w14:paraId="2FB361A3" w14:textId="12353D05" w:rsidR="00DC2816" w:rsidRPr="00DC2816" w:rsidRDefault="00BB695C">
          <w:pPr>
            <w:pStyle w:val="TOC2"/>
            <w:rPr>
              <w:rFonts w:ascii="Times New Roman" w:eastAsiaTheme="minorEastAsia" w:hAnsi="Times New Roman" w:cs="Times New Roman"/>
              <w:noProof/>
              <w:sz w:val="24"/>
              <w:szCs w:val="24"/>
            </w:rPr>
          </w:pPr>
          <w:hyperlink w:anchor="_Toc453670007" w:history="1">
            <w:r w:rsidR="00DC2816" w:rsidRPr="00DC2816">
              <w:rPr>
                <w:rStyle w:val="Hyperlink"/>
                <w:rFonts w:ascii="Times New Roman" w:hAnsi="Times New Roman" w:cs="Times New Roman"/>
                <w:noProof/>
                <w:sz w:val="24"/>
                <w:szCs w:val="24"/>
              </w:rPr>
              <w:t>3.</w:t>
            </w:r>
            <w:r w:rsidR="00DC2816" w:rsidRPr="00DC2816">
              <w:rPr>
                <w:rFonts w:ascii="Times New Roman" w:eastAsiaTheme="minorEastAsia" w:hAnsi="Times New Roman" w:cs="Times New Roman"/>
                <w:noProof/>
                <w:sz w:val="24"/>
                <w:szCs w:val="24"/>
              </w:rPr>
              <w:t xml:space="preserve"> </w:t>
            </w:r>
            <w:r w:rsidR="00DC2816" w:rsidRPr="00DC2816">
              <w:rPr>
                <w:rStyle w:val="Hyperlink"/>
                <w:rFonts w:ascii="Times New Roman" w:hAnsi="Times New Roman" w:cs="Times New Roman"/>
                <w:noProof/>
                <w:sz w:val="24"/>
                <w:szCs w:val="24"/>
              </w:rPr>
              <w:t>Methods to Maximize Response Rates and Deal with No Response</w:t>
            </w:r>
            <w:r w:rsidR="00DC2816" w:rsidRPr="00DC2816">
              <w:rPr>
                <w:rFonts w:ascii="Times New Roman" w:hAnsi="Times New Roman" w:cs="Times New Roman"/>
                <w:noProof/>
                <w:webHidden/>
                <w:sz w:val="24"/>
                <w:szCs w:val="24"/>
              </w:rPr>
              <w:tab/>
            </w:r>
            <w:r w:rsidR="00DC2816" w:rsidRPr="00DC2816">
              <w:rPr>
                <w:rFonts w:ascii="Times New Roman" w:hAnsi="Times New Roman" w:cs="Times New Roman"/>
                <w:noProof/>
                <w:webHidden/>
                <w:sz w:val="24"/>
                <w:szCs w:val="24"/>
              </w:rPr>
              <w:fldChar w:fldCharType="begin"/>
            </w:r>
            <w:r w:rsidR="00DC2816" w:rsidRPr="00DC2816">
              <w:rPr>
                <w:rFonts w:ascii="Times New Roman" w:hAnsi="Times New Roman" w:cs="Times New Roman"/>
                <w:noProof/>
                <w:webHidden/>
                <w:sz w:val="24"/>
                <w:szCs w:val="24"/>
              </w:rPr>
              <w:instrText xml:space="preserve"> PAGEREF _Toc453670007 \h </w:instrText>
            </w:r>
            <w:r w:rsidR="00DC2816" w:rsidRPr="00DC2816">
              <w:rPr>
                <w:rFonts w:ascii="Times New Roman" w:hAnsi="Times New Roman" w:cs="Times New Roman"/>
                <w:noProof/>
                <w:webHidden/>
                <w:sz w:val="24"/>
                <w:szCs w:val="24"/>
              </w:rPr>
            </w:r>
            <w:r w:rsidR="00DC2816" w:rsidRPr="00DC2816">
              <w:rPr>
                <w:rFonts w:ascii="Times New Roman" w:hAnsi="Times New Roman" w:cs="Times New Roman"/>
                <w:noProof/>
                <w:webHidden/>
                <w:sz w:val="24"/>
                <w:szCs w:val="24"/>
              </w:rPr>
              <w:fldChar w:fldCharType="separate"/>
            </w:r>
            <w:r w:rsidR="00F0233A">
              <w:rPr>
                <w:rFonts w:ascii="Times New Roman" w:hAnsi="Times New Roman" w:cs="Times New Roman"/>
                <w:noProof/>
                <w:webHidden/>
                <w:sz w:val="24"/>
                <w:szCs w:val="24"/>
              </w:rPr>
              <w:t>12</w:t>
            </w:r>
            <w:r w:rsidR="00DC2816" w:rsidRPr="00DC2816">
              <w:rPr>
                <w:rFonts w:ascii="Times New Roman" w:hAnsi="Times New Roman" w:cs="Times New Roman"/>
                <w:noProof/>
                <w:webHidden/>
                <w:sz w:val="24"/>
                <w:szCs w:val="24"/>
              </w:rPr>
              <w:fldChar w:fldCharType="end"/>
            </w:r>
          </w:hyperlink>
        </w:p>
        <w:p w14:paraId="0FB58050" w14:textId="1F72A403" w:rsidR="00DC2816" w:rsidRPr="00DC2816" w:rsidRDefault="00BB695C">
          <w:pPr>
            <w:pStyle w:val="TOC2"/>
            <w:rPr>
              <w:rFonts w:ascii="Times New Roman" w:eastAsiaTheme="minorEastAsia" w:hAnsi="Times New Roman" w:cs="Times New Roman"/>
              <w:noProof/>
              <w:sz w:val="24"/>
              <w:szCs w:val="24"/>
            </w:rPr>
          </w:pPr>
          <w:hyperlink w:anchor="_Toc453670008" w:history="1">
            <w:r w:rsidR="00DC2816" w:rsidRPr="00DC2816">
              <w:rPr>
                <w:rStyle w:val="Hyperlink"/>
                <w:rFonts w:ascii="Times New Roman" w:hAnsi="Times New Roman" w:cs="Times New Roman"/>
                <w:noProof/>
                <w:sz w:val="24"/>
                <w:szCs w:val="24"/>
              </w:rPr>
              <w:t>4.</w:t>
            </w:r>
            <w:r w:rsidR="00DC2816" w:rsidRPr="00DC2816">
              <w:rPr>
                <w:rFonts w:ascii="Times New Roman" w:eastAsiaTheme="minorEastAsia" w:hAnsi="Times New Roman" w:cs="Times New Roman"/>
                <w:noProof/>
                <w:sz w:val="24"/>
                <w:szCs w:val="24"/>
              </w:rPr>
              <w:t xml:space="preserve"> </w:t>
            </w:r>
            <w:r w:rsidR="00DC2816" w:rsidRPr="00DC2816">
              <w:rPr>
                <w:rStyle w:val="Hyperlink"/>
                <w:rFonts w:ascii="Times New Roman" w:hAnsi="Times New Roman" w:cs="Times New Roman"/>
                <w:noProof/>
                <w:sz w:val="24"/>
                <w:szCs w:val="24"/>
              </w:rPr>
              <w:t>Test of Procedures or Methods to be Undertaken</w:t>
            </w:r>
            <w:r w:rsidR="00DC2816" w:rsidRPr="00DC2816">
              <w:rPr>
                <w:rFonts w:ascii="Times New Roman" w:hAnsi="Times New Roman" w:cs="Times New Roman"/>
                <w:noProof/>
                <w:webHidden/>
                <w:sz w:val="24"/>
                <w:szCs w:val="24"/>
              </w:rPr>
              <w:tab/>
            </w:r>
            <w:r w:rsidR="00DC2816" w:rsidRPr="00DC2816">
              <w:rPr>
                <w:rFonts w:ascii="Times New Roman" w:hAnsi="Times New Roman" w:cs="Times New Roman"/>
                <w:noProof/>
                <w:webHidden/>
                <w:sz w:val="24"/>
                <w:szCs w:val="24"/>
              </w:rPr>
              <w:fldChar w:fldCharType="begin"/>
            </w:r>
            <w:r w:rsidR="00DC2816" w:rsidRPr="00DC2816">
              <w:rPr>
                <w:rFonts w:ascii="Times New Roman" w:hAnsi="Times New Roman" w:cs="Times New Roman"/>
                <w:noProof/>
                <w:webHidden/>
                <w:sz w:val="24"/>
                <w:szCs w:val="24"/>
              </w:rPr>
              <w:instrText xml:space="preserve"> PAGEREF _Toc453670008 \h </w:instrText>
            </w:r>
            <w:r w:rsidR="00DC2816" w:rsidRPr="00DC2816">
              <w:rPr>
                <w:rFonts w:ascii="Times New Roman" w:hAnsi="Times New Roman" w:cs="Times New Roman"/>
                <w:noProof/>
                <w:webHidden/>
                <w:sz w:val="24"/>
                <w:szCs w:val="24"/>
              </w:rPr>
            </w:r>
            <w:r w:rsidR="00DC2816" w:rsidRPr="00DC2816">
              <w:rPr>
                <w:rFonts w:ascii="Times New Roman" w:hAnsi="Times New Roman" w:cs="Times New Roman"/>
                <w:noProof/>
                <w:webHidden/>
                <w:sz w:val="24"/>
                <w:szCs w:val="24"/>
              </w:rPr>
              <w:fldChar w:fldCharType="separate"/>
            </w:r>
            <w:r w:rsidR="00F0233A">
              <w:rPr>
                <w:rFonts w:ascii="Times New Roman" w:hAnsi="Times New Roman" w:cs="Times New Roman"/>
                <w:noProof/>
                <w:webHidden/>
                <w:sz w:val="24"/>
                <w:szCs w:val="24"/>
              </w:rPr>
              <w:t>16</w:t>
            </w:r>
            <w:r w:rsidR="00DC2816" w:rsidRPr="00DC2816">
              <w:rPr>
                <w:rFonts w:ascii="Times New Roman" w:hAnsi="Times New Roman" w:cs="Times New Roman"/>
                <w:noProof/>
                <w:webHidden/>
                <w:sz w:val="24"/>
                <w:szCs w:val="24"/>
              </w:rPr>
              <w:fldChar w:fldCharType="end"/>
            </w:r>
          </w:hyperlink>
        </w:p>
        <w:p w14:paraId="41082539" w14:textId="0C0ACD9A" w:rsidR="00DC2816" w:rsidRPr="00DC2816" w:rsidRDefault="00BB695C">
          <w:pPr>
            <w:pStyle w:val="TOC2"/>
            <w:rPr>
              <w:rFonts w:ascii="Times New Roman" w:eastAsiaTheme="minorEastAsia" w:hAnsi="Times New Roman" w:cs="Times New Roman"/>
              <w:noProof/>
              <w:sz w:val="24"/>
              <w:szCs w:val="24"/>
            </w:rPr>
          </w:pPr>
          <w:hyperlink w:anchor="_Toc453670009" w:history="1">
            <w:r w:rsidR="00DC2816" w:rsidRPr="00DC2816">
              <w:rPr>
                <w:rStyle w:val="Hyperlink"/>
                <w:rFonts w:ascii="Times New Roman" w:hAnsi="Times New Roman" w:cs="Times New Roman"/>
                <w:noProof/>
                <w:sz w:val="24"/>
                <w:szCs w:val="24"/>
              </w:rPr>
              <w:t>5.</w:t>
            </w:r>
            <w:r w:rsidR="00DC2816" w:rsidRPr="00DC2816">
              <w:rPr>
                <w:rFonts w:ascii="Times New Roman" w:eastAsiaTheme="minorEastAsia" w:hAnsi="Times New Roman" w:cs="Times New Roman"/>
                <w:noProof/>
                <w:sz w:val="24"/>
                <w:szCs w:val="24"/>
              </w:rPr>
              <w:t xml:space="preserve"> </w:t>
            </w:r>
            <w:r w:rsidR="00DC2816" w:rsidRPr="00DC2816">
              <w:rPr>
                <w:rStyle w:val="Hyperlink"/>
                <w:rFonts w:ascii="Times New Roman" w:hAnsi="Times New Roman" w:cs="Times New Roman"/>
                <w:noProof/>
                <w:sz w:val="24"/>
                <w:szCs w:val="24"/>
              </w:rPr>
              <w:t>Individuals Consulted on Statistical Aspects and Individuals Collecting and/or Analyzing Data</w:t>
            </w:r>
            <w:r w:rsidR="00DC2816" w:rsidRPr="00DC2816">
              <w:rPr>
                <w:rFonts w:ascii="Times New Roman" w:hAnsi="Times New Roman" w:cs="Times New Roman"/>
                <w:noProof/>
                <w:webHidden/>
                <w:sz w:val="24"/>
                <w:szCs w:val="24"/>
              </w:rPr>
              <w:tab/>
            </w:r>
            <w:r w:rsidR="00DC2816" w:rsidRPr="00DC2816">
              <w:rPr>
                <w:rFonts w:ascii="Times New Roman" w:hAnsi="Times New Roman" w:cs="Times New Roman"/>
                <w:noProof/>
                <w:webHidden/>
                <w:sz w:val="24"/>
                <w:szCs w:val="24"/>
              </w:rPr>
              <w:fldChar w:fldCharType="begin"/>
            </w:r>
            <w:r w:rsidR="00DC2816" w:rsidRPr="00DC2816">
              <w:rPr>
                <w:rFonts w:ascii="Times New Roman" w:hAnsi="Times New Roman" w:cs="Times New Roman"/>
                <w:noProof/>
                <w:webHidden/>
                <w:sz w:val="24"/>
                <w:szCs w:val="24"/>
              </w:rPr>
              <w:instrText xml:space="preserve"> PAGEREF _Toc453670009 \h </w:instrText>
            </w:r>
            <w:r w:rsidR="00DC2816" w:rsidRPr="00DC2816">
              <w:rPr>
                <w:rFonts w:ascii="Times New Roman" w:hAnsi="Times New Roman" w:cs="Times New Roman"/>
                <w:noProof/>
                <w:webHidden/>
                <w:sz w:val="24"/>
                <w:szCs w:val="24"/>
              </w:rPr>
            </w:r>
            <w:r w:rsidR="00DC2816" w:rsidRPr="00DC2816">
              <w:rPr>
                <w:rFonts w:ascii="Times New Roman" w:hAnsi="Times New Roman" w:cs="Times New Roman"/>
                <w:noProof/>
                <w:webHidden/>
                <w:sz w:val="24"/>
                <w:szCs w:val="24"/>
              </w:rPr>
              <w:fldChar w:fldCharType="separate"/>
            </w:r>
            <w:r w:rsidR="00F0233A">
              <w:rPr>
                <w:rFonts w:ascii="Times New Roman" w:hAnsi="Times New Roman" w:cs="Times New Roman"/>
                <w:noProof/>
                <w:webHidden/>
                <w:sz w:val="24"/>
                <w:szCs w:val="24"/>
              </w:rPr>
              <w:t>18</w:t>
            </w:r>
            <w:r w:rsidR="00DC2816" w:rsidRPr="00DC2816">
              <w:rPr>
                <w:rFonts w:ascii="Times New Roman" w:hAnsi="Times New Roman" w:cs="Times New Roman"/>
                <w:noProof/>
                <w:webHidden/>
                <w:sz w:val="24"/>
                <w:szCs w:val="24"/>
              </w:rPr>
              <w:fldChar w:fldCharType="end"/>
            </w:r>
          </w:hyperlink>
        </w:p>
        <w:p w14:paraId="4B85D3CE" w14:textId="7088E355" w:rsidR="00DC2816" w:rsidRDefault="00DC2816">
          <w:r w:rsidRPr="00DC2816">
            <w:rPr>
              <w:rFonts w:ascii="Times New Roman" w:hAnsi="Times New Roman" w:cs="Times New Roman"/>
              <w:b/>
              <w:bCs/>
              <w:noProof/>
              <w:sz w:val="24"/>
              <w:szCs w:val="24"/>
            </w:rPr>
            <w:fldChar w:fldCharType="end"/>
          </w:r>
        </w:p>
      </w:sdtContent>
    </w:sdt>
    <w:p w14:paraId="411ED053" w14:textId="77777777" w:rsidR="00E15962" w:rsidRPr="00501E58" w:rsidRDefault="00E15962" w:rsidP="00501E58">
      <w:pPr>
        <w:spacing w:after="0" w:line="240" w:lineRule="auto"/>
        <w:rPr>
          <w:rFonts w:cs="Times New Roman"/>
          <w:b/>
          <w:smallCaps/>
        </w:rPr>
      </w:pPr>
      <w:r w:rsidRPr="00501E58">
        <w:br w:type="page"/>
      </w:r>
    </w:p>
    <w:p w14:paraId="00078185" w14:textId="391C5942" w:rsidR="00E659E6" w:rsidRDefault="00E659E6" w:rsidP="00DC2816">
      <w:pPr>
        <w:pStyle w:val="Heading1"/>
        <w:numPr>
          <w:ilvl w:val="0"/>
          <w:numId w:val="0"/>
        </w:numPr>
        <w:spacing w:line="480" w:lineRule="auto"/>
        <w:ind w:left="360" w:hanging="360"/>
        <w:jc w:val="center"/>
        <w:rPr>
          <w:rFonts w:ascii="Times New Roman" w:hAnsi="Times New Roman"/>
          <w:sz w:val="24"/>
        </w:rPr>
      </w:pPr>
      <w:bookmarkStart w:id="2" w:name="_Toc453670003"/>
      <w:bookmarkEnd w:id="1"/>
      <w:r>
        <w:rPr>
          <w:rFonts w:ascii="Times New Roman" w:hAnsi="Times New Roman"/>
          <w:sz w:val="24"/>
        </w:rPr>
        <w:lastRenderedPageBreak/>
        <w:t>List of Attachments</w:t>
      </w:r>
      <w:bookmarkEnd w:id="2"/>
    </w:p>
    <w:p w14:paraId="38037DD6" w14:textId="77777777" w:rsidR="003F656D" w:rsidRDefault="003F656D" w:rsidP="003F656D">
      <w:pPr>
        <w:spacing w:line="360" w:lineRule="auto"/>
        <w:rPr>
          <w:rFonts w:ascii="Times New Roman" w:hAnsi="Times New Roman" w:cs="Times New Roman"/>
          <w:sz w:val="24"/>
          <w:szCs w:val="24"/>
        </w:rPr>
      </w:pPr>
    </w:p>
    <w:p w14:paraId="78FF3D80" w14:textId="77777777" w:rsidR="003F656D" w:rsidRDefault="003F656D" w:rsidP="003F656D">
      <w:pPr>
        <w:spacing w:line="360" w:lineRule="auto"/>
        <w:rPr>
          <w:rFonts w:ascii="Times New Roman" w:hAnsi="Times New Roman" w:cs="Times New Roman"/>
          <w:sz w:val="24"/>
          <w:szCs w:val="24"/>
        </w:rPr>
      </w:pPr>
      <w:r w:rsidRPr="0006268B">
        <w:rPr>
          <w:rFonts w:ascii="Times New Roman" w:hAnsi="Times New Roman" w:cs="Times New Roman"/>
          <w:sz w:val="24"/>
          <w:szCs w:val="24"/>
        </w:rPr>
        <w:t>Attachment 1. Breast and Cervical Cancer Mortality Prevention Act</w:t>
      </w:r>
      <w:r>
        <w:rPr>
          <w:rFonts w:ascii="Times New Roman" w:hAnsi="Times New Roman" w:cs="Times New Roman"/>
          <w:sz w:val="24"/>
          <w:szCs w:val="24"/>
        </w:rPr>
        <w:t xml:space="preserve"> of 1990</w:t>
      </w:r>
    </w:p>
    <w:p w14:paraId="72E751A1" w14:textId="77777777" w:rsidR="003F656D"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Attachment 2. 60-Day FRN</w:t>
      </w:r>
    </w:p>
    <w:p w14:paraId="2F3390B0" w14:textId="77777777" w:rsidR="003F656D"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Attachment 3. Survey instrument with consent (English)</w:t>
      </w:r>
    </w:p>
    <w:p w14:paraId="68428BDF" w14:textId="5876D5D8" w:rsidR="003F656D"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4. </w:t>
      </w:r>
      <w:r w:rsidR="00300425">
        <w:rPr>
          <w:rFonts w:ascii="Times New Roman" w:hAnsi="Times New Roman" w:cs="Times New Roman"/>
          <w:sz w:val="24"/>
          <w:szCs w:val="24"/>
        </w:rPr>
        <w:t xml:space="preserve">Initial </w:t>
      </w:r>
      <w:r>
        <w:rPr>
          <w:rFonts w:ascii="Times New Roman" w:hAnsi="Times New Roman" w:cs="Times New Roman"/>
          <w:sz w:val="24"/>
          <w:szCs w:val="24"/>
        </w:rPr>
        <w:t>Invitation letter (Bilingual)</w:t>
      </w:r>
    </w:p>
    <w:p w14:paraId="5BFCE558" w14:textId="77777777" w:rsidR="003F656D"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Attachment 5. Web instructions (Bilingual)</w:t>
      </w:r>
    </w:p>
    <w:p w14:paraId="0FF73A10" w14:textId="62E18C28" w:rsidR="003F656D"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93085D">
        <w:rPr>
          <w:rFonts w:ascii="Times New Roman" w:hAnsi="Times New Roman" w:cs="Times New Roman"/>
          <w:sz w:val="24"/>
          <w:szCs w:val="24"/>
        </w:rPr>
        <w:t>6</w:t>
      </w:r>
      <w:r>
        <w:rPr>
          <w:rFonts w:ascii="Times New Roman" w:hAnsi="Times New Roman" w:cs="Times New Roman"/>
          <w:sz w:val="24"/>
          <w:szCs w:val="24"/>
        </w:rPr>
        <w:t>. Survey screen shots (English)</w:t>
      </w:r>
    </w:p>
    <w:p w14:paraId="1A7B2A2B" w14:textId="01CACCF3" w:rsidR="003F656D"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8E5794">
        <w:rPr>
          <w:rFonts w:ascii="Times New Roman" w:hAnsi="Times New Roman" w:cs="Times New Roman"/>
          <w:sz w:val="24"/>
          <w:szCs w:val="24"/>
        </w:rPr>
        <w:t>7</w:t>
      </w:r>
      <w:r>
        <w:rPr>
          <w:rFonts w:ascii="Times New Roman" w:hAnsi="Times New Roman" w:cs="Times New Roman"/>
          <w:sz w:val="24"/>
          <w:szCs w:val="24"/>
        </w:rPr>
        <w:t>. Survey screen shots (Spanish)</w:t>
      </w:r>
    </w:p>
    <w:p w14:paraId="020D6980" w14:textId="24E021F3" w:rsidR="003F656D"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8E5794">
        <w:rPr>
          <w:rFonts w:ascii="Times New Roman" w:hAnsi="Times New Roman" w:cs="Times New Roman"/>
          <w:sz w:val="24"/>
          <w:szCs w:val="24"/>
        </w:rPr>
        <w:t>8</w:t>
      </w:r>
      <w:r>
        <w:rPr>
          <w:rFonts w:ascii="Times New Roman" w:hAnsi="Times New Roman" w:cs="Times New Roman"/>
          <w:sz w:val="24"/>
          <w:szCs w:val="24"/>
        </w:rPr>
        <w:t>. Phone script for non-responders</w:t>
      </w:r>
    </w:p>
    <w:p w14:paraId="5794F79D" w14:textId="55D93F6B" w:rsidR="003F656D"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8E5794">
        <w:rPr>
          <w:rFonts w:ascii="Times New Roman" w:hAnsi="Times New Roman" w:cs="Times New Roman"/>
          <w:sz w:val="24"/>
          <w:szCs w:val="24"/>
        </w:rPr>
        <w:t>9</w:t>
      </w:r>
      <w:r>
        <w:rPr>
          <w:rFonts w:ascii="Times New Roman" w:hAnsi="Times New Roman" w:cs="Times New Roman"/>
          <w:sz w:val="24"/>
          <w:szCs w:val="24"/>
        </w:rPr>
        <w:t>. Reminder postcard (Bilingual)</w:t>
      </w:r>
    </w:p>
    <w:p w14:paraId="1DE906CE" w14:textId="354578A8" w:rsidR="003B0CE0"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8E5794">
        <w:rPr>
          <w:rFonts w:ascii="Times New Roman" w:hAnsi="Times New Roman" w:cs="Times New Roman"/>
          <w:sz w:val="24"/>
          <w:szCs w:val="24"/>
        </w:rPr>
        <w:t>10</w:t>
      </w:r>
      <w:r>
        <w:rPr>
          <w:rFonts w:ascii="Times New Roman" w:hAnsi="Times New Roman" w:cs="Times New Roman"/>
          <w:sz w:val="24"/>
          <w:szCs w:val="24"/>
        </w:rPr>
        <w:t>. Final invitation letter (Bilingual)</w:t>
      </w:r>
    </w:p>
    <w:p w14:paraId="6820E494" w14:textId="0D54D18C" w:rsidR="003F656D"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Attachment 1</w:t>
      </w:r>
      <w:r w:rsidR="008E5794">
        <w:rPr>
          <w:rFonts w:ascii="Times New Roman" w:hAnsi="Times New Roman" w:cs="Times New Roman"/>
          <w:sz w:val="24"/>
          <w:szCs w:val="24"/>
        </w:rPr>
        <w:t>1</w:t>
      </w:r>
      <w:r>
        <w:rPr>
          <w:rFonts w:ascii="Times New Roman" w:hAnsi="Times New Roman" w:cs="Times New Roman"/>
          <w:sz w:val="24"/>
          <w:szCs w:val="24"/>
        </w:rPr>
        <w:t>. Letter for states to share contact information</w:t>
      </w:r>
    </w:p>
    <w:p w14:paraId="55F1C51B" w14:textId="4C2F193C" w:rsidR="007C11CB" w:rsidRDefault="003F656D" w:rsidP="003F656D">
      <w:pPr>
        <w:spacing w:line="360" w:lineRule="auto"/>
        <w:rPr>
          <w:rFonts w:ascii="Times New Roman" w:hAnsi="Times New Roman" w:cs="Times New Roman"/>
          <w:sz w:val="24"/>
          <w:szCs w:val="24"/>
        </w:rPr>
      </w:pPr>
      <w:r>
        <w:rPr>
          <w:rFonts w:ascii="Times New Roman" w:hAnsi="Times New Roman" w:cs="Times New Roman"/>
          <w:sz w:val="24"/>
          <w:szCs w:val="24"/>
        </w:rPr>
        <w:t>Attachment 1</w:t>
      </w:r>
      <w:r w:rsidR="008E5794">
        <w:rPr>
          <w:rFonts w:ascii="Times New Roman" w:hAnsi="Times New Roman" w:cs="Times New Roman"/>
          <w:sz w:val="24"/>
          <w:szCs w:val="24"/>
        </w:rPr>
        <w:t>2</w:t>
      </w:r>
      <w:r>
        <w:rPr>
          <w:rFonts w:ascii="Times New Roman" w:hAnsi="Times New Roman" w:cs="Times New Roman"/>
          <w:sz w:val="24"/>
          <w:szCs w:val="24"/>
        </w:rPr>
        <w:t>. Phone script for states to share contact information</w:t>
      </w:r>
    </w:p>
    <w:p w14:paraId="52B21C97" w14:textId="7078F7D6" w:rsidR="003F656D" w:rsidRDefault="008E5794" w:rsidP="003F656D">
      <w:pPr>
        <w:spacing w:line="360" w:lineRule="auto"/>
        <w:rPr>
          <w:rFonts w:ascii="Times New Roman" w:hAnsi="Times New Roman" w:cs="Times New Roman"/>
          <w:sz w:val="24"/>
          <w:szCs w:val="24"/>
        </w:rPr>
      </w:pPr>
      <w:r>
        <w:rPr>
          <w:rFonts w:ascii="Times New Roman" w:hAnsi="Times New Roman" w:cs="Times New Roman"/>
          <w:sz w:val="24"/>
          <w:szCs w:val="24"/>
        </w:rPr>
        <w:t>Attachment 13</w:t>
      </w:r>
      <w:r w:rsidR="003F656D">
        <w:rPr>
          <w:rFonts w:ascii="Times New Roman" w:hAnsi="Times New Roman" w:cs="Times New Roman"/>
          <w:sz w:val="24"/>
          <w:szCs w:val="24"/>
        </w:rPr>
        <w:t>. Mid-year thank you letter (Bilingual)</w:t>
      </w:r>
    </w:p>
    <w:p w14:paraId="61B90513" w14:textId="1C93A65E" w:rsidR="002961BD" w:rsidRDefault="003F656D" w:rsidP="002961BD">
      <w:pPr>
        <w:spacing w:line="360" w:lineRule="auto"/>
        <w:rPr>
          <w:rFonts w:ascii="Times New Roman" w:hAnsi="Times New Roman" w:cs="Times New Roman"/>
          <w:sz w:val="24"/>
          <w:szCs w:val="24"/>
        </w:rPr>
      </w:pPr>
      <w:r>
        <w:rPr>
          <w:rFonts w:ascii="Times New Roman" w:hAnsi="Times New Roman" w:cs="Times New Roman"/>
          <w:sz w:val="24"/>
          <w:szCs w:val="24"/>
        </w:rPr>
        <w:t>At</w:t>
      </w:r>
      <w:r w:rsidR="008E5794">
        <w:rPr>
          <w:rFonts w:ascii="Times New Roman" w:hAnsi="Times New Roman" w:cs="Times New Roman"/>
          <w:sz w:val="24"/>
          <w:szCs w:val="24"/>
        </w:rPr>
        <w:t>tachment 14</w:t>
      </w:r>
      <w:r>
        <w:rPr>
          <w:rFonts w:ascii="Times New Roman" w:hAnsi="Times New Roman" w:cs="Times New Roman"/>
          <w:sz w:val="24"/>
          <w:szCs w:val="24"/>
        </w:rPr>
        <w:t xml:space="preserve">. </w:t>
      </w:r>
      <w:r w:rsidR="002961BD">
        <w:rPr>
          <w:rFonts w:ascii="Times New Roman" w:hAnsi="Times New Roman" w:cs="Times New Roman"/>
          <w:sz w:val="24"/>
          <w:szCs w:val="24"/>
        </w:rPr>
        <w:t>Year 2 Invitation letter (Bilingual)</w:t>
      </w:r>
    </w:p>
    <w:p w14:paraId="1204A1CA" w14:textId="77777777" w:rsidR="002961BD" w:rsidRDefault="002961BD" w:rsidP="002961BD">
      <w:pPr>
        <w:spacing w:line="360" w:lineRule="auto"/>
        <w:rPr>
          <w:rFonts w:ascii="Times New Roman" w:hAnsi="Times New Roman" w:cs="Times New Roman"/>
          <w:sz w:val="24"/>
          <w:szCs w:val="24"/>
        </w:rPr>
      </w:pPr>
      <w:r>
        <w:rPr>
          <w:rFonts w:ascii="Times New Roman" w:hAnsi="Times New Roman" w:cs="Times New Roman"/>
          <w:sz w:val="24"/>
          <w:szCs w:val="24"/>
        </w:rPr>
        <w:t>Attachment 15. Year 3 Invitation letter (Bilingual)</w:t>
      </w:r>
    </w:p>
    <w:p w14:paraId="56BF8DD6" w14:textId="77777777" w:rsidR="002961BD" w:rsidRDefault="002961BD" w:rsidP="002961BD">
      <w:pPr>
        <w:spacing w:line="360" w:lineRule="auto"/>
        <w:rPr>
          <w:rFonts w:ascii="Times New Roman" w:hAnsi="Times New Roman" w:cs="Times New Roman"/>
          <w:sz w:val="24"/>
          <w:szCs w:val="24"/>
        </w:rPr>
      </w:pPr>
      <w:r>
        <w:rPr>
          <w:rFonts w:ascii="Times New Roman" w:hAnsi="Times New Roman" w:cs="Times New Roman"/>
          <w:sz w:val="24"/>
          <w:szCs w:val="24"/>
        </w:rPr>
        <w:t xml:space="preserve">Attachment 16. </w:t>
      </w:r>
      <w:r w:rsidRPr="004A596B">
        <w:rPr>
          <w:rFonts w:ascii="Times New Roman" w:hAnsi="Times New Roman" w:cs="Times New Roman"/>
          <w:sz w:val="24"/>
          <w:szCs w:val="24"/>
        </w:rPr>
        <w:t>NORC IRB approval</w:t>
      </w:r>
    </w:p>
    <w:p w14:paraId="74056794" w14:textId="4CBE00E6" w:rsidR="00E659E6" w:rsidRDefault="002961BD">
      <w:pPr>
        <w:rPr>
          <w:rFonts w:ascii="Times New Roman" w:hAnsi="Times New Roman" w:cs="Times New Roman"/>
          <w:b/>
          <w:smallCaps/>
          <w:sz w:val="24"/>
          <w:szCs w:val="24"/>
        </w:rPr>
      </w:pPr>
      <w:r>
        <w:rPr>
          <w:rFonts w:ascii="Times New Roman" w:hAnsi="Times New Roman" w:cs="Times New Roman"/>
          <w:sz w:val="24"/>
          <w:szCs w:val="24"/>
        </w:rPr>
        <w:t>Attachment 17. Sampling instructions</w:t>
      </w:r>
      <w:r w:rsidR="00E659E6">
        <w:rPr>
          <w:rFonts w:ascii="Times New Roman" w:hAnsi="Times New Roman"/>
          <w:sz w:val="24"/>
        </w:rPr>
        <w:br w:type="page"/>
      </w:r>
    </w:p>
    <w:p w14:paraId="562AE169" w14:textId="24EF0BDC" w:rsidR="00BB3ADA" w:rsidRPr="00685097" w:rsidRDefault="00627CA2" w:rsidP="00685097">
      <w:pPr>
        <w:pStyle w:val="Heading1"/>
        <w:numPr>
          <w:ilvl w:val="0"/>
          <w:numId w:val="0"/>
        </w:numPr>
        <w:spacing w:line="480" w:lineRule="auto"/>
        <w:ind w:left="360" w:hanging="360"/>
        <w:rPr>
          <w:rFonts w:ascii="Times New Roman" w:hAnsi="Times New Roman"/>
          <w:sz w:val="24"/>
        </w:rPr>
      </w:pPr>
      <w:bookmarkStart w:id="3" w:name="_Toc453670004"/>
      <w:r w:rsidRPr="00685097">
        <w:rPr>
          <w:rFonts w:ascii="Times New Roman" w:hAnsi="Times New Roman"/>
          <w:sz w:val="24"/>
        </w:rPr>
        <w:t xml:space="preserve">Section B – </w:t>
      </w:r>
      <w:r w:rsidR="00AB3426" w:rsidRPr="00685097">
        <w:rPr>
          <w:rFonts w:ascii="Times New Roman" w:hAnsi="Times New Roman"/>
          <w:sz w:val="24"/>
        </w:rPr>
        <w:t>Collections of Information Employing Statistical Methods</w:t>
      </w:r>
      <w:bookmarkEnd w:id="3"/>
      <w:r w:rsidR="00BB3ADA" w:rsidRPr="00685097">
        <w:rPr>
          <w:rFonts w:ascii="Times New Roman" w:hAnsi="Times New Roman"/>
          <w:sz w:val="24"/>
        </w:rPr>
        <w:t xml:space="preserve"> </w:t>
      </w:r>
    </w:p>
    <w:p w14:paraId="46164A24" w14:textId="1BD126C4" w:rsidR="00BB3ADA" w:rsidRPr="00685097" w:rsidRDefault="0001230C" w:rsidP="00685097">
      <w:pPr>
        <w:pStyle w:val="Heading2"/>
        <w:spacing w:line="480" w:lineRule="auto"/>
        <w:rPr>
          <w:rFonts w:ascii="Times New Roman" w:hAnsi="Times New Roman"/>
          <w:szCs w:val="24"/>
        </w:rPr>
      </w:pPr>
      <w:bookmarkStart w:id="4" w:name="_Toc453670005"/>
      <w:r w:rsidRPr="00685097">
        <w:rPr>
          <w:rFonts w:ascii="Times New Roman" w:hAnsi="Times New Roman"/>
          <w:szCs w:val="24"/>
        </w:rPr>
        <w:t>Respondent Universe and Sampling Methods</w:t>
      </w:r>
      <w:bookmarkEnd w:id="4"/>
    </w:p>
    <w:p w14:paraId="009F5FE9" w14:textId="30355897" w:rsidR="00464D4F" w:rsidRDefault="009A133A"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The respondent universe for </w:t>
      </w:r>
      <w:r w:rsidR="00805F2F">
        <w:rPr>
          <w:rFonts w:ascii="Times New Roman" w:hAnsi="Times New Roman" w:cs="Times New Roman"/>
          <w:sz w:val="24"/>
          <w:szCs w:val="24"/>
        </w:rPr>
        <w:t>WPHSS</w:t>
      </w:r>
      <w:r w:rsidRPr="00627CA2">
        <w:rPr>
          <w:rFonts w:ascii="Times New Roman" w:hAnsi="Times New Roman" w:cs="Times New Roman"/>
          <w:sz w:val="24"/>
          <w:szCs w:val="24"/>
        </w:rPr>
        <w:t xml:space="preserve"> is uninsured or underinsured women who </w:t>
      </w:r>
      <w:r w:rsidR="00464D4F">
        <w:rPr>
          <w:rFonts w:ascii="Times New Roman" w:hAnsi="Times New Roman" w:cs="Times New Roman"/>
          <w:sz w:val="24"/>
          <w:szCs w:val="24"/>
        </w:rPr>
        <w:t xml:space="preserve">had </w:t>
      </w:r>
      <w:r w:rsidRPr="00627CA2">
        <w:rPr>
          <w:rFonts w:ascii="Times New Roman" w:hAnsi="Times New Roman" w:cs="Times New Roman"/>
          <w:sz w:val="24"/>
          <w:szCs w:val="24"/>
        </w:rPr>
        <w:t xml:space="preserve">previously </w:t>
      </w:r>
      <w:r w:rsidR="00F85379">
        <w:rPr>
          <w:rFonts w:ascii="Times New Roman" w:hAnsi="Times New Roman" w:cs="Times New Roman"/>
          <w:sz w:val="24"/>
          <w:szCs w:val="24"/>
        </w:rPr>
        <w:t xml:space="preserve">been screened through the National Breast and Cervical Cancer Early Detection Program (NBCCEDP), but now have health insurance coverage. </w:t>
      </w:r>
      <w:r w:rsidR="00300425">
        <w:rPr>
          <w:rFonts w:ascii="Times New Roman" w:hAnsi="Times New Roman" w:cs="Times New Roman"/>
          <w:sz w:val="24"/>
          <w:szCs w:val="24"/>
        </w:rPr>
        <w:t>The NBCCEDP serves women who are at or below 250% of the federal poverty level. Women age 40-64 are eligible for breast cancer screening. The program may also serve women that are under the age of 40 and have breast symptoms. Women age 21-64 are eligible for cervical cancer screening. During the past five years, the NBCCEDP has served more than 1.6 million women across the U.S</w:t>
      </w:r>
      <w:r w:rsidR="0010579F">
        <w:rPr>
          <w:rFonts w:ascii="Times New Roman" w:hAnsi="Times New Roman" w:cs="Times New Roman"/>
          <w:sz w:val="24"/>
          <w:szCs w:val="24"/>
        </w:rPr>
        <w:t xml:space="preserve">., with approximately 900,000 receiving Pap testing and 1 million receiving mammograms. </w:t>
      </w:r>
      <w:r w:rsidR="003B171E">
        <w:rPr>
          <w:rFonts w:ascii="Times New Roman" w:hAnsi="Times New Roman" w:cs="Times New Roman"/>
          <w:sz w:val="24"/>
          <w:szCs w:val="24"/>
        </w:rPr>
        <w:t xml:space="preserve">The demographic distribution of women served is approximately 40% white women, 15% black women, 30% Hispanic women, 4% American Indian/Alaska Native women, 7% Asian/Pacific Island women, and </w:t>
      </w:r>
      <w:r w:rsidR="00464D4F">
        <w:rPr>
          <w:rFonts w:ascii="Times New Roman" w:hAnsi="Times New Roman" w:cs="Times New Roman"/>
          <w:sz w:val="24"/>
          <w:szCs w:val="24"/>
        </w:rPr>
        <w:t>3</w:t>
      </w:r>
      <w:r w:rsidR="003B171E">
        <w:rPr>
          <w:rFonts w:ascii="Times New Roman" w:hAnsi="Times New Roman" w:cs="Times New Roman"/>
          <w:sz w:val="24"/>
          <w:szCs w:val="24"/>
        </w:rPr>
        <w:t xml:space="preserve">% other. </w:t>
      </w:r>
    </w:p>
    <w:p w14:paraId="244CA6A1" w14:textId="229671FB" w:rsidR="002D22DA" w:rsidRPr="00627CA2" w:rsidRDefault="002D22DA"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To be eligible for the study, women must meet the following </w:t>
      </w:r>
      <w:r w:rsidR="00300425">
        <w:rPr>
          <w:rFonts w:ascii="Times New Roman" w:hAnsi="Times New Roman" w:cs="Times New Roman"/>
          <w:sz w:val="24"/>
          <w:szCs w:val="24"/>
        </w:rPr>
        <w:t xml:space="preserve">eligibility </w:t>
      </w:r>
      <w:r w:rsidRPr="00627CA2">
        <w:rPr>
          <w:rFonts w:ascii="Times New Roman" w:hAnsi="Times New Roman" w:cs="Times New Roman"/>
          <w:sz w:val="24"/>
          <w:szCs w:val="24"/>
        </w:rPr>
        <w:t>criteria:</w:t>
      </w:r>
    </w:p>
    <w:p w14:paraId="2BA13346" w14:textId="5908BC32" w:rsidR="002D22DA" w:rsidRPr="00627CA2" w:rsidRDefault="002D22DA" w:rsidP="00685097">
      <w:pPr>
        <w:pStyle w:val="ListParagraph"/>
        <w:numPr>
          <w:ilvl w:val="0"/>
          <w:numId w:val="32"/>
        </w:num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Previously received screenings through NBCCEDP</w:t>
      </w:r>
    </w:p>
    <w:p w14:paraId="3304CB63" w14:textId="7DABCE09" w:rsidR="002D22DA" w:rsidRPr="00627CA2" w:rsidRDefault="002D22DA" w:rsidP="00685097">
      <w:pPr>
        <w:pStyle w:val="ListParagraph"/>
        <w:numPr>
          <w:ilvl w:val="0"/>
          <w:numId w:val="32"/>
        </w:num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English or Spanish </w:t>
      </w:r>
      <w:r w:rsidR="00464D4F" w:rsidRPr="00627CA2">
        <w:rPr>
          <w:rFonts w:ascii="Times New Roman" w:hAnsi="Times New Roman" w:cs="Times New Roman"/>
          <w:sz w:val="24"/>
          <w:szCs w:val="24"/>
        </w:rPr>
        <w:t>speak</w:t>
      </w:r>
      <w:r w:rsidR="00464D4F">
        <w:rPr>
          <w:rFonts w:ascii="Times New Roman" w:hAnsi="Times New Roman" w:cs="Times New Roman"/>
          <w:sz w:val="24"/>
          <w:szCs w:val="24"/>
        </w:rPr>
        <w:t>ing</w:t>
      </w:r>
    </w:p>
    <w:p w14:paraId="7F73CA6A" w14:textId="0060A156" w:rsidR="002D22DA" w:rsidRPr="00627CA2" w:rsidRDefault="002D22DA" w:rsidP="00685097">
      <w:pPr>
        <w:pStyle w:val="ListParagraph"/>
        <w:numPr>
          <w:ilvl w:val="0"/>
          <w:numId w:val="32"/>
        </w:num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Age 30-62</w:t>
      </w:r>
    </w:p>
    <w:p w14:paraId="3B933051" w14:textId="2AB34568" w:rsidR="002D22DA" w:rsidRPr="00627CA2" w:rsidRDefault="00805F2F"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Additionally, women must meet one of the following screening </w:t>
      </w:r>
      <w:r w:rsidR="002D22DA" w:rsidRPr="00627CA2">
        <w:rPr>
          <w:rFonts w:ascii="Times New Roman" w:hAnsi="Times New Roman" w:cs="Times New Roman"/>
          <w:sz w:val="24"/>
          <w:szCs w:val="24"/>
        </w:rPr>
        <w:t>criteria:</w:t>
      </w:r>
    </w:p>
    <w:p w14:paraId="53DDB511" w14:textId="37BC9A3C" w:rsidR="002D22DA" w:rsidRPr="00627CA2" w:rsidRDefault="002D22DA" w:rsidP="00685097">
      <w:pPr>
        <w:pStyle w:val="ListParagraph"/>
        <w:numPr>
          <w:ilvl w:val="0"/>
          <w:numId w:val="32"/>
        </w:num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Received a Pap</w:t>
      </w:r>
      <w:r w:rsidR="0095264F">
        <w:rPr>
          <w:rFonts w:ascii="Times New Roman" w:hAnsi="Times New Roman" w:cs="Times New Roman"/>
          <w:sz w:val="24"/>
          <w:szCs w:val="24"/>
        </w:rPr>
        <w:t xml:space="preserve"> </w:t>
      </w:r>
      <w:r w:rsidR="00BE336F">
        <w:rPr>
          <w:rFonts w:ascii="Times New Roman" w:hAnsi="Times New Roman" w:cs="Times New Roman"/>
          <w:sz w:val="24"/>
          <w:szCs w:val="24"/>
        </w:rPr>
        <w:t xml:space="preserve">test </w:t>
      </w:r>
      <w:r w:rsidR="0095264F">
        <w:rPr>
          <w:rFonts w:ascii="Times New Roman" w:hAnsi="Times New Roman" w:cs="Times New Roman"/>
          <w:sz w:val="24"/>
          <w:szCs w:val="24"/>
        </w:rPr>
        <w:t>through a NBCCEDP grantee</w:t>
      </w:r>
      <w:r w:rsidRPr="00627CA2">
        <w:rPr>
          <w:rFonts w:ascii="Times New Roman" w:hAnsi="Times New Roman" w:cs="Times New Roman"/>
          <w:sz w:val="24"/>
          <w:szCs w:val="24"/>
        </w:rPr>
        <w:t xml:space="preserve"> not less than 1 year but not more than 4 years from the time of study implementation OR</w:t>
      </w:r>
    </w:p>
    <w:p w14:paraId="4A63E2CC" w14:textId="738EA1B7" w:rsidR="002D22DA" w:rsidRPr="00627CA2" w:rsidRDefault="002D22DA" w:rsidP="00685097">
      <w:pPr>
        <w:pStyle w:val="ListParagraph"/>
        <w:numPr>
          <w:ilvl w:val="0"/>
          <w:numId w:val="32"/>
        </w:num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Received a Pap/HPV co-test </w:t>
      </w:r>
      <w:r w:rsidR="0095264F">
        <w:rPr>
          <w:rFonts w:ascii="Times New Roman" w:hAnsi="Times New Roman" w:cs="Times New Roman"/>
          <w:sz w:val="24"/>
          <w:szCs w:val="24"/>
        </w:rPr>
        <w:t>through a NBCCEDP grantee</w:t>
      </w:r>
      <w:r w:rsidR="0095264F" w:rsidRPr="00627CA2">
        <w:rPr>
          <w:rFonts w:ascii="Times New Roman" w:hAnsi="Times New Roman" w:cs="Times New Roman"/>
          <w:sz w:val="24"/>
          <w:szCs w:val="24"/>
        </w:rPr>
        <w:t xml:space="preserve"> </w:t>
      </w:r>
      <w:r w:rsidRPr="00627CA2">
        <w:rPr>
          <w:rFonts w:ascii="Times New Roman" w:hAnsi="Times New Roman" w:cs="Times New Roman"/>
          <w:sz w:val="24"/>
          <w:szCs w:val="24"/>
        </w:rPr>
        <w:t>not less than 3 years but not more than 5 years from the time of study implementation OR</w:t>
      </w:r>
    </w:p>
    <w:p w14:paraId="33166ACF" w14:textId="6F24546E" w:rsidR="002D22DA" w:rsidRPr="00627CA2" w:rsidRDefault="002D22DA" w:rsidP="00685097">
      <w:pPr>
        <w:pStyle w:val="ListParagraph"/>
        <w:numPr>
          <w:ilvl w:val="0"/>
          <w:numId w:val="32"/>
        </w:num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Received a mammogram </w:t>
      </w:r>
      <w:r w:rsidR="0095264F">
        <w:rPr>
          <w:rFonts w:ascii="Times New Roman" w:hAnsi="Times New Roman" w:cs="Times New Roman"/>
          <w:sz w:val="24"/>
          <w:szCs w:val="24"/>
        </w:rPr>
        <w:t>through a NBCCEDP grantee</w:t>
      </w:r>
      <w:r w:rsidR="0095264F" w:rsidRPr="00627CA2">
        <w:rPr>
          <w:rFonts w:ascii="Times New Roman" w:hAnsi="Times New Roman" w:cs="Times New Roman"/>
          <w:sz w:val="24"/>
          <w:szCs w:val="24"/>
        </w:rPr>
        <w:t xml:space="preserve"> </w:t>
      </w:r>
      <w:r w:rsidRPr="00627CA2">
        <w:rPr>
          <w:rFonts w:ascii="Times New Roman" w:hAnsi="Times New Roman" w:cs="Times New Roman"/>
          <w:sz w:val="24"/>
          <w:szCs w:val="24"/>
        </w:rPr>
        <w:t>not less than 1 year but not more than 3 years from the time of study implementation.</w:t>
      </w:r>
    </w:p>
    <w:p w14:paraId="7079D76B" w14:textId="77777777" w:rsidR="002D22DA" w:rsidRDefault="002D22DA" w:rsidP="00685097">
      <w:pPr>
        <w:spacing w:after="0" w:line="480" w:lineRule="auto"/>
        <w:rPr>
          <w:rFonts w:ascii="Times New Roman" w:hAnsi="Times New Roman" w:cs="Times New Roman"/>
          <w:sz w:val="24"/>
          <w:szCs w:val="24"/>
        </w:rPr>
      </w:pPr>
    </w:p>
    <w:p w14:paraId="784F389D" w14:textId="31590726" w:rsidR="00685097" w:rsidRDefault="007E06E7"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order to identify eligible women, </w:t>
      </w:r>
      <w:r w:rsidRPr="007E06E7">
        <w:rPr>
          <w:rFonts w:ascii="Times New Roman" w:hAnsi="Times New Roman" w:cs="Times New Roman"/>
          <w:sz w:val="24"/>
          <w:szCs w:val="24"/>
        </w:rPr>
        <w:t>NORC at the University of Chicago</w:t>
      </w:r>
      <w:r>
        <w:rPr>
          <w:rFonts w:ascii="Times New Roman" w:hAnsi="Times New Roman" w:cs="Times New Roman"/>
          <w:sz w:val="24"/>
          <w:szCs w:val="24"/>
        </w:rPr>
        <w:t xml:space="preserve"> will work w</w:t>
      </w:r>
      <w:r w:rsidR="003D701C">
        <w:rPr>
          <w:rFonts w:ascii="Times New Roman" w:hAnsi="Times New Roman" w:cs="Times New Roman"/>
          <w:sz w:val="24"/>
          <w:szCs w:val="24"/>
        </w:rPr>
        <w:t xml:space="preserve">ith CDC </w:t>
      </w:r>
      <w:r w:rsidR="00A33EFC">
        <w:rPr>
          <w:rFonts w:ascii="Times New Roman" w:hAnsi="Times New Roman" w:cs="Times New Roman"/>
          <w:sz w:val="24"/>
          <w:szCs w:val="24"/>
        </w:rPr>
        <w:t xml:space="preserve">and the six states that have agreed to participate in this study: Maryland, Mississippi, North Carolina, Nebraska, West Virginia, and Washington. </w:t>
      </w:r>
      <w:r w:rsidR="00A77AAE">
        <w:rPr>
          <w:rFonts w:ascii="Times New Roman" w:hAnsi="Times New Roman" w:cs="Times New Roman"/>
          <w:sz w:val="24"/>
          <w:szCs w:val="24"/>
        </w:rPr>
        <w:t>The</w:t>
      </w:r>
      <w:r w:rsidR="00E7183E">
        <w:rPr>
          <w:rFonts w:ascii="Times New Roman" w:hAnsi="Times New Roman" w:cs="Times New Roman"/>
          <w:sz w:val="24"/>
          <w:szCs w:val="24"/>
        </w:rPr>
        <w:t>se</w:t>
      </w:r>
      <w:r w:rsidR="00A77AAE">
        <w:rPr>
          <w:rFonts w:ascii="Times New Roman" w:hAnsi="Times New Roman" w:cs="Times New Roman"/>
          <w:sz w:val="24"/>
          <w:szCs w:val="24"/>
        </w:rPr>
        <w:t xml:space="preserve"> states </w:t>
      </w:r>
      <w:r w:rsidR="00A33EFC">
        <w:rPr>
          <w:rFonts w:ascii="Times New Roman" w:hAnsi="Times New Roman" w:cs="Times New Roman"/>
          <w:sz w:val="24"/>
          <w:szCs w:val="24"/>
        </w:rPr>
        <w:t>were</w:t>
      </w:r>
      <w:r w:rsidR="00E7183E">
        <w:rPr>
          <w:rFonts w:ascii="Times New Roman" w:hAnsi="Times New Roman" w:cs="Times New Roman"/>
          <w:sz w:val="24"/>
          <w:szCs w:val="24"/>
        </w:rPr>
        <w:t xml:space="preserve"> </w:t>
      </w:r>
      <w:r w:rsidR="00A77AAE">
        <w:rPr>
          <w:rFonts w:ascii="Times New Roman" w:hAnsi="Times New Roman" w:cs="Times New Roman"/>
          <w:sz w:val="24"/>
          <w:szCs w:val="24"/>
        </w:rPr>
        <w:t xml:space="preserve">selected based on their size and diversity of the populations that they serve </w:t>
      </w:r>
      <w:r w:rsidR="00A33EFC">
        <w:rPr>
          <w:rFonts w:ascii="Times New Roman" w:hAnsi="Times New Roman" w:cs="Times New Roman"/>
          <w:sz w:val="24"/>
          <w:szCs w:val="24"/>
        </w:rPr>
        <w:t>and their ability to share key contact information with NORC for the study.</w:t>
      </w:r>
      <w:r w:rsidR="00A77AAE">
        <w:rPr>
          <w:rFonts w:ascii="Times New Roman" w:hAnsi="Times New Roman" w:cs="Times New Roman"/>
          <w:sz w:val="24"/>
          <w:szCs w:val="24"/>
        </w:rPr>
        <w:t xml:space="preserve"> </w:t>
      </w:r>
      <w:r w:rsidR="007844D2">
        <w:rPr>
          <w:rFonts w:ascii="Times New Roman" w:hAnsi="Times New Roman" w:cs="Times New Roman"/>
          <w:sz w:val="24"/>
          <w:szCs w:val="24"/>
        </w:rPr>
        <w:t xml:space="preserve">Seven other states (California, Texas, Wisconsin, Florida, New Mexico, New York, and South Dakota) were contacted about participating, but they declined for various reasons such as state inability to share contact information, lack of available staffing in state program, already participating in another study, and concerns about survey being administered during governor election time. </w:t>
      </w:r>
      <w:r w:rsidR="006E3D5B">
        <w:rPr>
          <w:rFonts w:ascii="Times New Roman" w:hAnsi="Times New Roman" w:cs="Times New Roman"/>
          <w:sz w:val="24"/>
          <w:szCs w:val="24"/>
        </w:rPr>
        <w:t xml:space="preserve">NORC </w:t>
      </w:r>
      <w:r w:rsidR="00E7183E">
        <w:rPr>
          <w:rFonts w:ascii="Times New Roman" w:hAnsi="Times New Roman" w:cs="Times New Roman"/>
          <w:sz w:val="24"/>
          <w:szCs w:val="24"/>
        </w:rPr>
        <w:t>has reached</w:t>
      </w:r>
      <w:r w:rsidR="006E3D5B">
        <w:rPr>
          <w:rFonts w:ascii="Times New Roman" w:hAnsi="Times New Roman" w:cs="Times New Roman"/>
          <w:sz w:val="24"/>
          <w:szCs w:val="24"/>
        </w:rPr>
        <w:t xml:space="preserve"> out to the </w:t>
      </w:r>
      <w:r w:rsidR="007844D2">
        <w:rPr>
          <w:rFonts w:ascii="Times New Roman" w:hAnsi="Times New Roman" w:cs="Times New Roman"/>
          <w:sz w:val="24"/>
          <w:szCs w:val="24"/>
        </w:rPr>
        <w:t xml:space="preserve">participating </w:t>
      </w:r>
      <w:r w:rsidR="006E3D5B">
        <w:rPr>
          <w:rFonts w:ascii="Times New Roman" w:hAnsi="Times New Roman" w:cs="Times New Roman"/>
          <w:sz w:val="24"/>
          <w:szCs w:val="24"/>
        </w:rPr>
        <w:t xml:space="preserve">states to provide an overview of the study, discuss logistics, and </w:t>
      </w:r>
      <w:r w:rsidR="007844D2">
        <w:rPr>
          <w:rFonts w:ascii="Times New Roman" w:hAnsi="Times New Roman" w:cs="Times New Roman"/>
          <w:sz w:val="24"/>
          <w:szCs w:val="24"/>
        </w:rPr>
        <w:t>determine any potential challenges such as staffing availability once study begins</w:t>
      </w:r>
      <w:r w:rsidR="00E659E6" w:rsidRPr="00E659E6">
        <w:rPr>
          <w:rFonts w:ascii="Times New Roman" w:hAnsi="Times New Roman" w:cs="Times New Roman"/>
          <w:sz w:val="24"/>
          <w:szCs w:val="24"/>
        </w:rPr>
        <w:t xml:space="preserve">. These programs will identify potentially eligible women </w:t>
      </w:r>
      <w:r w:rsidR="007844D2">
        <w:rPr>
          <w:rFonts w:ascii="Times New Roman" w:hAnsi="Times New Roman" w:cs="Times New Roman"/>
          <w:sz w:val="24"/>
          <w:szCs w:val="24"/>
        </w:rPr>
        <w:t xml:space="preserve">from their database </w:t>
      </w:r>
      <w:r w:rsidR="00E659E6" w:rsidRPr="00E659E6">
        <w:rPr>
          <w:rFonts w:ascii="Times New Roman" w:hAnsi="Times New Roman" w:cs="Times New Roman"/>
          <w:sz w:val="24"/>
          <w:szCs w:val="24"/>
        </w:rPr>
        <w:t>and consent the women to have their contact information shared</w:t>
      </w:r>
      <w:r w:rsidR="007844D2">
        <w:rPr>
          <w:rFonts w:ascii="Times New Roman" w:hAnsi="Times New Roman" w:cs="Times New Roman"/>
          <w:sz w:val="24"/>
          <w:szCs w:val="24"/>
        </w:rPr>
        <w:t xml:space="preserve"> with NORC</w:t>
      </w:r>
      <w:r w:rsidR="00E659E6" w:rsidRPr="00E659E6">
        <w:rPr>
          <w:rFonts w:ascii="Times New Roman" w:hAnsi="Times New Roman" w:cs="Times New Roman"/>
          <w:sz w:val="24"/>
          <w:szCs w:val="24"/>
        </w:rPr>
        <w:t>.</w:t>
      </w:r>
    </w:p>
    <w:p w14:paraId="67FA32B3" w14:textId="77777777" w:rsidR="00C07AA3" w:rsidRDefault="00C07AA3" w:rsidP="00685097">
      <w:pPr>
        <w:autoSpaceDE w:val="0"/>
        <w:autoSpaceDN w:val="0"/>
        <w:adjustRightInd w:val="0"/>
        <w:spacing w:after="0" w:line="480" w:lineRule="auto"/>
        <w:rPr>
          <w:rFonts w:ascii="Times New Roman" w:hAnsi="Times New Roman" w:cs="Times New Roman"/>
          <w:sz w:val="24"/>
          <w:szCs w:val="24"/>
        </w:rPr>
      </w:pPr>
    </w:p>
    <w:p w14:paraId="1575EB4D" w14:textId="66CDBA71" w:rsidR="007844D2" w:rsidRPr="001D085F" w:rsidRDefault="007844D2" w:rsidP="00F738DC">
      <w:pPr>
        <w:spacing w:after="0" w:line="480" w:lineRule="auto"/>
        <w:rPr>
          <w:rFonts w:ascii="Times New Roman" w:hAnsi="Times New Roman" w:cs="Times New Roman"/>
          <w:bCs/>
          <w:sz w:val="24"/>
          <w:szCs w:val="24"/>
        </w:rPr>
      </w:pPr>
      <w:r>
        <w:rPr>
          <w:rFonts w:ascii="Times New Roman" w:hAnsi="Times New Roman" w:cs="Times New Roman"/>
          <w:bCs/>
          <w:sz w:val="24"/>
          <w:szCs w:val="24"/>
        </w:rPr>
        <w:t>S</w:t>
      </w:r>
      <w:r w:rsidRPr="001D085F">
        <w:rPr>
          <w:rFonts w:ascii="Times New Roman" w:hAnsi="Times New Roman" w:cs="Times New Roman"/>
          <w:bCs/>
          <w:sz w:val="24"/>
          <w:szCs w:val="24"/>
        </w:rPr>
        <w:t xml:space="preserve">tates will select at random women who meet the minimum eligibility </w:t>
      </w:r>
      <w:r>
        <w:rPr>
          <w:rFonts w:ascii="Times New Roman" w:hAnsi="Times New Roman" w:cs="Times New Roman"/>
          <w:bCs/>
          <w:sz w:val="24"/>
          <w:szCs w:val="24"/>
        </w:rPr>
        <w:t xml:space="preserve">and screening </w:t>
      </w:r>
      <w:r w:rsidRPr="001D085F">
        <w:rPr>
          <w:rFonts w:ascii="Times New Roman" w:hAnsi="Times New Roman" w:cs="Times New Roman"/>
          <w:bCs/>
          <w:sz w:val="24"/>
          <w:szCs w:val="24"/>
        </w:rPr>
        <w:t xml:space="preserve">criteria </w:t>
      </w:r>
      <w:r>
        <w:rPr>
          <w:rFonts w:ascii="Times New Roman" w:hAnsi="Times New Roman" w:cs="Times New Roman"/>
          <w:bCs/>
          <w:sz w:val="24"/>
          <w:szCs w:val="24"/>
        </w:rPr>
        <w:t>from their program database.</w:t>
      </w:r>
      <w:r w:rsidRPr="001D085F">
        <w:rPr>
          <w:rFonts w:ascii="Times New Roman" w:hAnsi="Times New Roman" w:cs="Times New Roman"/>
          <w:bCs/>
          <w:sz w:val="24"/>
          <w:szCs w:val="24"/>
        </w:rPr>
        <w:t xml:space="preserve"> The states will then reach out to these women individually</w:t>
      </w:r>
      <w:r>
        <w:rPr>
          <w:rFonts w:ascii="Times New Roman" w:hAnsi="Times New Roman" w:cs="Times New Roman"/>
          <w:bCs/>
          <w:sz w:val="24"/>
          <w:szCs w:val="24"/>
        </w:rPr>
        <w:t xml:space="preserve"> by</w:t>
      </w:r>
      <w:r w:rsidRPr="001D085F">
        <w:rPr>
          <w:rFonts w:ascii="Times New Roman" w:hAnsi="Times New Roman" w:cs="Times New Roman"/>
          <w:bCs/>
          <w:sz w:val="24"/>
          <w:szCs w:val="24"/>
        </w:rPr>
        <w:t xml:space="preserve"> via telephone or a </w:t>
      </w:r>
      <w:r>
        <w:rPr>
          <w:rFonts w:ascii="Times New Roman" w:hAnsi="Times New Roman" w:cs="Times New Roman"/>
          <w:bCs/>
          <w:sz w:val="24"/>
          <w:szCs w:val="24"/>
        </w:rPr>
        <w:t>mailed</w:t>
      </w:r>
      <w:r w:rsidRPr="001D085F">
        <w:rPr>
          <w:rFonts w:ascii="Times New Roman" w:hAnsi="Times New Roman" w:cs="Times New Roman"/>
          <w:bCs/>
          <w:sz w:val="24"/>
          <w:szCs w:val="24"/>
        </w:rPr>
        <w:t xml:space="preserve"> letter</w:t>
      </w:r>
      <w:r>
        <w:rPr>
          <w:rFonts w:ascii="Times New Roman" w:hAnsi="Times New Roman" w:cs="Times New Roman"/>
          <w:bCs/>
          <w:sz w:val="24"/>
          <w:szCs w:val="24"/>
        </w:rPr>
        <w:t xml:space="preserve"> </w:t>
      </w:r>
      <w:r w:rsidRPr="001D085F">
        <w:rPr>
          <w:rFonts w:ascii="Times New Roman" w:hAnsi="Times New Roman" w:cs="Times New Roman"/>
          <w:bCs/>
          <w:sz w:val="24"/>
          <w:szCs w:val="24"/>
        </w:rPr>
        <w:t xml:space="preserve">to obtain their consent to share their information with NORC. </w:t>
      </w:r>
      <w:r w:rsidR="00F738DC">
        <w:rPr>
          <w:rFonts w:ascii="Times New Roman" w:hAnsi="Times New Roman" w:cs="Times New Roman"/>
          <w:bCs/>
          <w:sz w:val="24"/>
          <w:szCs w:val="24"/>
        </w:rPr>
        <w:t xml:space="preserve">Some states have requested telephone contact and others have requested mail contact based on prior experience with their patient population. </w:t>
      </w:r>
      <w:r>
        <w:rPr>
          <w:rFonts w:ascii="Times New Roman" w:hAnsi="Times New Roman" w:cs="Times New Roman"/>
          <w:bCs/>
          <w:sz w:val="24"/>
          <w:szCs w:val="24"/>
        </w:rPr>
        <w:t xml:space="preserve">The state will </w:t>
      </w:r>
      <w:r w:rsidR="00F738DC">
        <w:rPr>
          <w:rFonts w:ascii="Times New Roman" w:hAnsi="Times New Roman" w:cs="Times New Roman"/>
          <w:bCs/>
          <w:sz w:val="24"/>
          <w:szCs w:val="24"/>
        </w:rPr>
        <w:t>provide</w:t>
      </w:r>
      <w:r>
        <w:rPr>
          <w:rFonts w:ascii="Times New Roman" w:hAnsi="Times New Roman" w:cs="Times New Roman"/>
          <w:bCs/>
          <w:sz w:val="24"/>
          <w:szCs w:val="24"/>
        </w:rPr>
        <w:t xml:space="preserve"> NORC a list of women who have agreed to share their contact information and be contacted by NORC for the study.</w:t>
      </w:r>
      <w:r w:rsidR="00F738DC">
        <w:rPr>
          <w:rFonts w:ascii="Times New Roman" w:hAnsi="Times New Roman" w:cs="Times New Roman"/>
          <w:bCs/>
          <w:sz w:val="24"/>
          <w:szCs w:val="24"/>
        </w:rPr>
        <w:t xml:space="preserve"> </w:t>
      </w:r>
    </w:p>
    <w:p w14:paraId="0DCA1C2D" w14:textId="77777777" w:rsidR="007844D2" w:rsidRDefault="007844D2" w:rsidP="00685097">
      <w:pPr>
        <w:spacing w:after="0" w:line="480" w:lineRule="auto"/>
        <w:rPr>
          <w:rFonts w:ascii="Times New Roman" w:hAnsi="Times New Roman" w:cs="Times New Roman"/>
          <w:sz w:val="24"/>
          <w:szCs w:val="24"/>
        </w:rPr>
      </w:pPr>
    </w:p>
    <w:p w14:paraId="76EFE39D" w14:textId="61B192A8" w:rsidR="000B4248" w:rsidRDefault="00F738DC" w:rsidP="00685097">
      <w:pPr>
        <w:spacing w:after="0" w:line="480" w:lineRule="auto"/>
        <w:rPr>
          <w:rFonts w:ascii="Times New Roman" w:hAnsi="Times New Roman" w:cs="Times New Roman"/>
          <w:sz w:val="24"/>
          <w:szCs w:val="24"/>
        </w:rPr>
      </w:pPr>
      <w:r w:rsidRPr="001D085F">
        <w:rPr>
          <w:rFonts w:ascii="Times New Roman" w:hAnsi="Times New Roman" w:cs="Times New Roman"/>
          <w:bCs/>
          <w:sz w:val="24"/>
          <w:szCs w:val="24"/>
        </w:rPr>
        <w:t xml:space="preserve">NORC will </w:t>
      </w:r>
      <w:r>
        <w:rPr>
          <w:rFonts w:ascii="Times New Roman" w:hAnsi="Times New Roman" w:cs="Times New Roman"/>
          <w:bCs/>
          <w:sz w:val="24"/>
          <w:szCs w:val="24"/>
        </w:rPr>
        <w:t xml:space="preserve">employ a multi-mode approach to data collection, </w:t>
      </w:r>
      <w:r w:rsidRPr="001D085F">
        <w:rPr>
          <w:rFonts w:ascii="Times New Roman" w:hAnsi="Times New Roman" w:cs="Times New Roman"/>
          <w:bCs/>
          <w:sz w:val="24"/>
          <w:szCs w:val="24"/>
        </w:rPr>
        <w:t>using computer-assisted web interviewing (CAWI) and computer assisted telephone inte</w:t>
      </w:r>
      <w:r>
        <w:rPr>
          <w:rFonts w:ascii="Times New Roman" w:hAnsi="Times New Roman" w:cs="Times New Roman"/>
          <w:bCs/>
          <w:sz w:val="24"/>
          <w:szCs w:val="24"/>
        </w:rPr>
        <w:t>rviewing (CATI). First, t</w:t>
      </w:r>
      <w:r w:rsidR="00E77E8E" w:rsidRPr="00E77E8E">
        <w:rPr>
          <w:rFonts w:ascii="Times New Roman" w:hAnsi="Times New Roman" w:cs="Times New Roman"/>
          <w:sz w:val="24"/>
          <w:szCs w:val="24"/>
        </w:rPr>
        <w:t xml:space="preserve">he women </w:t>
      </w:r>
      <w:r w:rsidR="00E77E8E">
        <w:rPr>
          <w:rFonts w:ascii="Times New Roman" w:hAnsi="Times New Roman" w:cs="Times New Roman"/>
          <w:sz w:val="24"/>
          <w:szCs w:val="24"/>
        </w:rPr>
        <w:t xml:space="preserve">will be </w:t>
      </w:r>
      <w:r>
        <w:rPr>
          <w:rFonts w:ascii="Times New Roman" w:hAnsi="Times New Roman" w:cs="Times New Roman"/>
          <w:sz w:val="24"/>
          <w:szCs w:val="24"/>
        </w:rPr>
        <w:t>contacted</w:t>
      </w:r>
      <w:r w:rsidR="007844D2">
        <w:rPr>
          <w:rFonts w:ascii="Times New Roman" w:hAnsi="Times New Roman" w:cs="Times New Roman"/>
          <w:sz w:val="24"/>
          <w:szCs w:val="24"/>
        </w:rPr>
        <w:t xml:space="preserve"> </w:t>
      </w:r>
      <w:r w:rsidR="00E77E8E">
        <w:rPr>
          <w:rFonts w:ascii="Times New Roman" w:hAnsi="Times New Roman" w:cs="Times New Roman"/>
          <w:sz w:val="24"/>
          <w:szCs w:val="24"/>
        </w:rPr>
        <w:t>to complete an on-line</w:t>
      </w:r>
      <w:r w:rsidR="00E77E8E" w:rsidRPr="00E77E8E">
        <w:rPr>
          <w:rFonts w:ascii="Times New Roman" w:hAnsi="Times New Roman" w:cs="Times New Roman"/>
          <w:sz w:val="24"/>
          <w:szCs w:val="24"/>
        </w:rPr>
        <w:t xml:space="preserve"> survey </w:t>
      </w:r>
      <w:r w:rsidR="00E77E8E">
        <w:rPr>
          <w:rFonts w:ascii="Times New Roman" w:hAnsi="Times New Roman" w:cs="Times New Roman"/>
          <w:sz w:val="24"/>
          <w:szCs w:val="24"/>
        </w:rPr>
        <w:t>about their preventive health services received</w:t>
      </w:r>
      <w:r w:rsidR="00E77E8E" w:rsidRPr="00E77E8E">
        <w:rPr>
          <w:rFonts w:ascii="Times New Roman" w:hAnsi="Times New Roman" w:cs="Times New Roman"/>
          <w:sz w:val="24"/>
          <w:szCs w:val="24"/>
        </w:rPr>
        <w:t xml:space="preserve"> (</w:t>
      </w:r>
      <w:r w:rsidR="00E77E8E" w:rsidRPr="00E77E8E">
        <w:rPr>
          <w:rFonts w:ascii="Times New Roman" w:hAnsi="Times New Roman" w:cs="Times New Roman"/>
          <w:b/>
          <w:sz w:val="24"/>
          <w:szCs w:val="24"/>
        </w:rPr>
        <w:t>Attachment 3</w:t>
      </w:r>
      <w:r w:rsidR="00E77E8E" w:rsidRPr="00E77E8E">
        <w:rPr>
          <w:rFonts w:ascii="Times New Roman" w:hAnsi="Times New Roman" w:cs="Times New Roman"/>
          <w:sz w:val="24"/>
          <w:szCs w:val="24"/>
        </w:rPr>
        <w:t xml:space="preserve">). </w:t>
      </w:r>
      <w:r>
        <w:rPr>
          <w:rFonts w:ascii="Times New Roman" w:hAnsi="Times New Roman" w:cs="Times New Roman"/>
          <w:sz w:val="24"/>
          <w:szCs w:val="24"/>
        </w:rPr>
        <w:t>W</w:t>
      </w:r>
      <w:r w:rsidR="00E659E6">
        <w:rPr>
          <w:rFonts w:ascii="Times New Roman" w:hAnsi="Times New Roman" w:cs="Times New Roman"/>
          <w:sz w:val="24"/>
          <w:szCs w:val="24"/>
        </w:rPr>
        <w:t>omen will receive an invitation letter to participate in the study through an on-line survey (</w:t>
      </w:r>
      <w:r w:rsidR="00E659E6" w:rsidRPr="00E22DB4">
        <w:rPr>
          <w:rFonts w:ascii="Times New Roman" w:hAnsi="Times New Roman" w:cs="Times New Roman"/>
          <w:b/>
          <w:sz w:val="24"/>
          <w:szCs w:val="24"/>
        </w:rPr>
        <w:t xml:space="preserve">Attachment </w:t>
      </w:r>
      <w:r w:rsidR="00E77E8E">
        <w:rPr>
          <w:rFonts w:ascii="Times New Roman" w:hAnsi="Times New Roman" w:cs="Times New Roman"/>
          <w:b/>
          <w:sz w:val="24"/>
          <w:szCs w:val="24"/>
        </w:rPr>
        <w:t>4</w:t>
      </w:r>
      <w:r w:rsidR="00E659E6">
        <w:rPr>
          <w:rFonts w:ascii="Times New Roman" w:hAnsi="Times New Roman" w:cs="Times New Roman"/>
          <w:sz w:val="24"/>
          <w:szCs w:val="24"/>
        </w:rPr>
        <w:t>)</w:t>
      </w:r>
      <w:r w:rsidR="00E77E8E">
        <w:rPr>
          <w:rFonts w:ascii="Times New Roman" w:hAnsi="Times New Roman" w:cs="Times New Roman"/>
          <w:sz w:val="24"/>
          <w:szCs w:val="24"/>
        </w:rPr>
        <w:t xml:space="preserve"> with web instructions (</w:t>
      </w:r>
      <w:r w:rsidR="00E77E8E" w:rsidRPr="00E77E8E">
        <w:rPr>
          <w:rFonts w:ascii="Times New Roman" w:hAnsi="Times New Roman" w:cs="Times New Roman"/>
          <w:b/>
          <w:sz w:val="24"/>
          <w:szCs w:val="24"/>
        </w:rPr>
        <w:t>Attachment 5</w:t>
      </w:r>
      <w:r w:rsidR="00E77E8E">
        <w:rPr>
          <w:rFonts w:ascii="Times New Roman" w:hAnsi="Times New Roman" w:cs="Times New Roman"/>
          <w:sz w:val="24"/>
          <w:szCs w:val="24"/>
        </w:rPr>
        <w:t>)</w:t>
      </w:r>
      <w:r w:rsidR="00E659E6">
        <w:rPr>
          <w:rFonts w:ascii="Times New Roman" w:hAnsi="Times New Roman" w:cs="Times New Roman"/>
          <w:sz w:val="24"/>
          <w:szCs w:val="24"/>
        </w:rPr>
        <w:t xml:space="preserve">. </w:t>
      </w:r>
      <w:r w:rsidR="00297F9C">
        <w:rPr>
          <w:rFonts w:ascii="Times New Roman" w:hAnsi="Times New Roman" w:cs="Times New Roman"/>
          <w:sz w:val="24"/>
          <w:szCs w:val="24"/>
        </w:rPr>
        <w:t>At</w:t>
      </w:r>
      <w:r w:rsidR="000B4248" w:rsidRPr="000B4248">
        <w:rPr>
          <w:rFonts w:ascii="Times New Roman" w:hAnsi="Times New Roman" w:cs="Times New Roman"/>
          <w:sz w:val="24"/>
          <w:szCs w:val="24"/>
        </w:rPr>
        <w:t xml:space="preserve"> the first </w:t>
      </w:r>
      <w:r w:rsidR="00685097">
        <w:rPr>
          <w:rFonts w:ascii="Times New Roman" w:hAnsi="Times New Roman" w:cs="Times New Roman"/>
          <w:sz w:val="24"/>
          <w:szCs w:val="24"/>
        </w:rPr>
        <w:t>step</w:t>
      </w:r>
      <w:r w:rsidR="000B4248" w:rsidRPr="000B4248">
        <w:rPr>
          <w:rFonts w:ascii="Times New Roman" w:hAnsi="Times New Roman" w:cs="Times New Roman"/>
          <w:sz w:val="24"/>
          <w:szCs w:val="24"/>
        </w:rPr>
        <w:t xml:space="preserve"> of the </w:t>
      </w:r>
      <w:r w:rsidR="00E22DB4">
        <w:rPr>
          <w:rFonts w:ascii="Times New Roman" w:hAnsi="Times New Roman" w:cs="Times New Roman"/>
          <w:sz w:val="24"/>
          <w:szCs w:val="24"/>
        </w:rPr>
        <w:t>on-line survey</w:t>
      </w:r>
      <w:r w:rsidR="000B4248" w:rsidRPr="000B4248">
        <w:rPr>
          <w:rFonts w:ascii="Times New Roman" w:hAnsi="Times New Roman" w:cs="Times New Roman"/>
          <w:sz w:val="24"/>
          <w:szCs w:val="24"/>
        </w:rPr>
        <w:t>, women will be screened to determine whether they have enrolled in an insurance program</w:t>
      </w:r>
      <w:r w:rsidR="00E22DB4">
        <w:rPr>
          <w:rFonts w:ascii="Times New Roman" w:hAnsi="Times New Roman" w:cs="Times New Roman"/>
          <w:sz w:val="24"/>
          <w:szCs w:val="24"/>
        </w:rPr>
        <w:t xml:space="preserve"> (</w:t>
      </w:r>
      <w:r w:rsidR="00E77E8E">
        <w:rPr>
          <w:rFonts w:ascii="Times New Roman" w:hAnsi="Times New Roman" w:cs="Times New Roman"/>
          <w:b/>
          <w:sz w:val="24"/>
          <w:szCs w:val="24"/>
        </w:rPr>
        <w:t xml:space="preserve">Attachment </w:t>
      </w:r>
      <w:r w:rsidR="0093085D">
        <w:rPr>
          <w:rFonts w:ascii="Times New Roman" w:hAnsi="Times New Roman" w:cs="Times New Roman"/>
          <w:b/>
          <w:sz w:val="24"/>
          <w:szCs w:val="24"/>
        </w:rPr>
        <w:t>3</w:t>
      </w:r>
      <w:r w:rsidR="00E22DB4">
        <w:rPr>
          <w:rFonts w:ascii="Times New Roman" w:hAnsi="Times New Roman" w:cs="Times New Roman"/>
          <w:sz w:val="24"/>
          <w:szCs w:val="24"/>
        </w:rPr>
        <w:t>)</w:t>
      </w:r>
      <w:r w:rsidR="000B4248" w:rsidRPr="000B4248">
        <w:rPr>
          <w:rFonts w:ascii="Times New Roman" w:hAnsi="Times New Roman" w:cs="Times New Roman"/>
          <w:sz w:val="24"/>
          <w:szCs w:val="24"/>
        </w:rPr>
        <w:t>. Only those who</w:t>
      </w:r>
      <w:r w:rsidR="00685097">
        <w:rPr>
          <w:rFonts w:ascii="Times New Roman" w:hAnsi="Times New Roman" w:cs="Times New Roman"/>
          <w:sz w:val="24"/>
          <w:szCs w:val="24"/>
        </w:rPr>
        <w:t xml:space="preserve"> current</w:t>
      </w:r>
      <w:r w:rsidR="00D60EF4">
        <w:rPr>
          <w:rFonts w:ascii="Times New Roman" w:hAnsi="Times New Roman" w:cs="Times New Roman"/>
          <w:sz w:val="24"/>
          <w:szCs w:val="24"/>
        </w:rPr>
        <w:t>l</w:t>
      </w:r>
      <w:r w:rsidR="00685097">
        <w:rPr>
          <w:rFonts w:ascii="Times New Roman" w:hAnsi="Times New Roman" w:cs="Times New Roman"/>
          <w:sz w:val="24"/>
          <w:szCs w:val="24"/>
        </w:rPr>
        <w:t>y</w:t>
      </w:r>
      <w:r w:rsidR="000B4248" w:rsidRPr="000B4248">
        <w:rPr>
          <w:rFonts w:ascii="Times New Roman" w:hAnsi="Times New Roman" w:cs="Times New Roman"/>
          <w:sz w:val="24"/>
          <w:szCs w:val="24"/>
        </w:rPr>
        <w:t xml:space="preserve"> have </w:t>
      </w:r>
      <w:r w:rsidR="00685097">
        <w:rPr>
          <w:rFonts w:ascii="Times New Roman" w:hAnsi="Times New Roman" w:cs="Times New Roman"/>
          <w:sz w:val="24"/>
          <w:szCs w:val="24"/>
        </w:rPr>
        <w:t>insurance</w:t>
      </w:r>
      <w:r w:rsidR="000B4248" w:rsidRPr="000B4248">
        <w:rPr>
          <w:rFonts w:ascii="Times New Roman" w:hAnsi="Times New Roman" w:cs="Times New Roman"/>
          <w:sz w:val="24"/>
          <w:szCs w:val="24"/>
        </w:rPr>
        <w:t xml:space="preserve"> will be eligible to </w:t>
      </w:r>
      <w:r w:rsidR="00297F9C">
        <w:rPr>
          <w:rFonts w:ascii="Times New Roman" w:hAnsi="Times New Roman" w:cs="Times New Roman"/>
          <w:sz w:val="24"/>
          <w:szCs w:val="24"/>
        </w:rPr>
        <w:t>continue with the main survey instrument</w:t>
      </w:r>
      <w:r w:rsidR="00E22DB4">
        <w:rPr>
          <w:rFonts w:ascii="Times New Roman" w:hAnsi="Times New Roman" w:cs="Times New Roman"/>
          <w:sz w:val="24"/>
          <w:szCs w:val="24"/>
        </w:rPr>
        <w:t xml:space="preserve"> </w:t>
      </w:r>
      <w:r w:rsidR="00E77E8E">
        <w:rPr>
          <w:rFonts w:ascii="Times New Roman" w:hAnsi="Times New Roman" w:cs="Times New Roman"/>
          <w:sz w:val="24"/>
          <w:szCs w:val="24"/>
        </w:rPr>
        <w:t xml:space="preserve">in English or Spanish </w:t>
      </w:r>
      <w:r w:rsidR="00E22DB4">
        <w:rPr>
          <w:rFonts w:ascii="Times New Roman" w:hAnsi="Times New Roman" w:cs="Times New Roman"/>
          <w:sz w:val="24"/>
          <w:szCs w:val="24"/>
        </w:rPr>
        <w:t>(</w:t>
      </w:r>
      <w:r w:rsidR="00E77E8E">
        <w:rPr>
          <w:rFonts w:ascii="Times New Roman" w:hAnsi="Times New Roman" w:cs="Times New Roman"/>
          <w:b/>
          <w:sz w:val="24"/>
          <w:szCs w:val="24"/>
        </w:rPr>
        <w:t>Attachment</w:t>
      </w:r>
      <w:r w:rsidR="0093085D">
        <w:rPr>
          <w:rFonts w:ascii="Times New Roman" w:hAnsi="Times New Roman" w:cs="Times New Roman"/>
          <w:b/>
          <w:sz w:val="24"/>
          <w:szCs w:val="24"/>
        </w:rPr>
        <w:t>s</w:t>
      </w:r>
      <w:r w:rsidR="00E77E8E">
        <w:rPr>
          <w:rFonts w:ascii="Times New Roman" w:hAnsi="Times New Roman" w:cs="Times New Roman"/>
          <w:b/>
          <w:sz w:val="24"/>
          <w:szCs w:val="24"/>
        </w:rPr>
        <w:t xml:space="preserve"> </w:t>
      </w:r>
      <w:r w:rsidR="0093085D">
        <w:rPr>
          <w:rFonts w:ascii="Times New Roman" w:hAnsi="Times New Roman" w:cs="Times New Roman"/>
          <w:b/>
          <w:sz w:val="24"/>
          <w:szCs w:val="24"/>
        </w:rPr>
        <w:t xml:space="preserve">6 and </w:t>
      </w:r>
      <w:r w:rsidR="00E77E8E">
        <w:rPr>
          <w:rFonts w:ascii="Times New Roman" w:hAnsi="Times New Roman" w:cs="Times New Roman"/>
          <w:b/>
          <w:sz w:val="24"/>
          <w:szCs w:val="24"/>
        </w:rPr>
        <w:t>7</w:t>
      </w:r>
      <w:r w:rsidR="00E22DB4">
        <w:rPr>
          <w:rFonts w:ascii="Times New Roman" w:hAnsi="Times New Roman" w:cs="Times New Roman"/>
          <w:sz w:val="24"/>
          <w:szCs w:val="24"/>
        </w:rPr>
        <w:t>)</w:t>
      </w:r>
      <w:r w:rsidR="00297F9C">
        <w:rPr>
          <w:rFonts w:ascii="Times New Roman" w:hAnsi="Times New Roman" w:cs="Times New Roman"/>
          <w:sz w:val="24"/>
          <w:szCs w:val="24"/>
        </w:rPr>
        <w:t xml:space="preserve">. </w:t>
      </w:r>
    </w:p>
    <w:p w14:paraId="77875C2E" w14:textId="77777777" w:rsidR="00044B3B" w:rsidRDefault="00044B3B" w:rsidP="00685097">
      <w:pPr>
        <w:spacing w:after="0" w:line="480" w:lineRule="auto"/>
        <w:rPr>
          <w:rFonts w:ascii="Times New Roman" w:hAnsi="Times New Roman" w:cs="Times New Roman"/>
          <w:sz w:val="24"/>
          <w:szCs w:val="24"/>
        </w:rPr>
      </w:pPr>
    </w:p>
    <w:p w14:paraId="4ED3926F" w14:textId="4090CBCD" w:rsidR="00044B3B" w:rsidRPr="000B4248" w:rsidRDefault="00044B3B"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A</w:t>
      </w:r>
      <w:r w:rsidRPr="00BB2FA9">
        <w:rPr>
          <w:rFonts w:ascii="Times New Roman" w:hAnsi="Times New Roman" w:cs="Times New Roman"/>
          <w:sz w:val="24"/>
          <w:szCs w:val="24"/>
        </w:rPr>
        <w:t>pproximately two weeks after the invitation letter was mailed</w:t>
      </w:r>
      <w:r>
        <w:rPr>
          <w:rFonts w:ascii="Times New Roman" w:hAnsi="Times New Roman" w:cs="Times New Roman"/>
          <w:sz w:val="24"/>
          <w:szCs w:val="24"/>
        </w:rPr>
        <w:t>, women</w:t>
      </w:r>
      <w:r w:rsidRPr="00BB2FA9">
        <w:rPr>
          <w:rFonts w:ascii="Times New Roman" w:hAnsi="Times New Roman" w:cs="Times New Roman"/>
          <w:sz w:val="24"/>
          <w:szCs w:val="24"/>
        </w:rPr>
        <w:t xml:space="preserve"> that have not completed the</w:t>
      </w:r>
      <w:r>
        <w:rPr>
          <w:rFonts w:ascii="Times New Roman" w:hAnsi="Times New Roman" w:cs="Times New Roman"/>
          <w:sz w:val="24"/>
          <w:szCs w:val="24"/>
        </w:rPr>
        <w:t xml:space="preserve"> web-based</w:t>
      </w:r>
      <w:r w:rsidRPr="00BB2FA9">
        <w:rPr>
          <w:rFonts w:ascii="Times New Roman" w:hAnsi="Times New Roman" w:cs="Times New Roman"/>
          <w:sz w:val="24"/>
          <w:szCs w:val="24"/>
        </w:rPr>
        <w:t xml:space="preserve"> survey or </w:t>
      </w:r>
      <w:r>
        <w:rPr>
          <w:rFonts w:ascii="Times New Roman" w:hAnsi="Times New Roman" w:cs="Times New Roman"/>
          <w:sz w:val="24"/>
          <w:szCs w:val="24"/>
        </w:rPr>
        <w:t>refused</w:t>
      </w:r>
      <w:r w:rsidRPr="00BB2FA9">
        <w:rPr>
          <w:rFonts w:ascii="Times New Roman" w:hAnsi="Times New Roman" w:cs="Times New Roman"/>
          <w:sz w:val="24"/>
          <w:szCs w:val="24"/>
        </w:rPr>
        <w:t xml:space="preserve"> participation</w:t>
      </w:r>
      <w:r>
        <w:rPr>
          <w:rFonts w:ascii="Times New Roman" w:hAnsi="Times New Roman" w:cs="Times New Roman"/>
          <w:sz w:val="24"/>
          <w:szCs w:val="24"/>
        </w:rPr>
        <w:t xml:space="preserve"> will be called as a reminder and offer to complete the survey using the CATI instrument (</w:t>
      </w:r>
      <w:r w:rsidRPr="0081423B">
        <w:rPr>
          <w:rFonts w:ascii="Times New Roman" w:hAnsi="Times New Roman" w:cs="Times New Roman"/>
          <w:b/>
          <w:sz w:val="24"/>
          <w:szCs w:val="24"/>
        </w:rPr>
        <w:t xml:space="preserve">Attachment </w:t>
      </w:r>
      <w:r>
        <w:rPr>
          <w:rFonts w:ascii="Times New Roman" w:hAnsi="Times New Roman" w:cs="Times New Roman"/>
          <w:b/>
          <w:sz w:val="24"/>
          <w:szCs w:val="24"/>
        </w:rPr>
        <w:t>8</w:t>
      </w:r>
      <w:r>
        <w:rPr>
          <w:rFonts w:ascii="Times New Roman" w:hAnsi="Times New Roman" w:cs="Times New Roman"/>
          <w:sz w:val="24"/>
          <w:szCs w:val="24"/>
        </w:rPr>
        <w:t>)</w:t>
      </w:r>
      <w:r w:rsidRPr="00BB2FA9">
        <w:rPr>
          <w:rFonts w:ascii="Times New Roman" w:hAnsi="Times New Roman" w:cs="Times New Roman"/>
          <w:sz w:val="24"/>
          <w:szCs w:val="24"/>
        </w:rPr>
        <w:t>.</w:t>
      </w:r>
      <w:r>
        <w:rPr>
          <w:rFonts w:ascii="Times New Roman" w:hAnsi="Times New Roman" w:cs="Times New Roman"/>
          <w:sz w:val="24"/>
          <w:szCs w:val="24"/>
        </w:rPr>
        <w:t xml:space="preserve"> Women</w:t>
      </w:r>
      <w:r w:rsidRPr="00275EF2">
        <w:rPr>
          <w:rFonts w:ascii="Times New Roman" w:hAnsi="Times New Roman" w:cs="Times New Roman"/>
          <w:sz w:val="24"/>
          <w:szCs w:val="24"/>
        </w:rPr>
        <w:t xml:space="preserve"> who have not completed the survey </w:t>
      </w:r>
      <w:r>
        <w:rPr>
          <w:rFonts w:ascii="Times New Roman" w:hAnsi="Times New Roman" w:cs="Times New Roman"/>
          <w:sz w:val="24"/>
          <w:szCs w:val="24"/>
        </w:rPr>
        <w:t>over the next eight weeks</w:t>
      </w:r>
      <w:r w:rsidRPr="00275EF2">
        <w:rPr>
          <w:rFonts w:ascii="Times New Roman" w:hAnsi="Times New Roman" w:cs="Times New Roman"/>
          <w:sz w:val="24"/>
          <w:szCs w:val="24"/>
        </w:rPr>
        <w:t xml:space="preserve"> </w:t>
      </w:r>
      <w:r>
        <w:rPr>
          <w:rFonts w:ascii="Times New Roman" w:hAnsi="Times New Roman" w:cs="Times New Roman"/>
          <w:sz w:val="24"/>
          <w:szCs w:val="24"/>
        </w:rPr>
        <w:t>will be sent</w:t>
      </w:r>
      <w:r w:rsidRPr="00275EF2">
        <w:rPr>
          <w:rFonts w:ascii="Times New Roman" w:hAnsi="Times New Roman" w:cs="Times New Roman"/>
          <w:sz w:val="24"/>
          <w:szCs w:val="24"/>
        </w:rPr>
        <w:t xml:space="preserve"> a reminder postcard </w:t>
      </w:r>
      <w:r>
        <w:rPr>
          <w:rFonts w:ascii="Times New Roman" w:hAnsi="Times New Roman" w:cs="Times New Roman"/>
          <w:sz w:val="24"/>
          <w:szCs w:val="24"/>
        </w:rPr>
        <w:t>(</w:t>
      </w:r>
      <w:r>
        <w:rPr>
          <w:rFonts w:ascii="Times New Roman" w:hAnsi="Times New Roman" w:cs="Times New Roman"/>
          <w:b/>
          <w:sz w:val="24"/>
          <w:szCs w:val="24"/>
        </w:rPr>
        <w:t>Attachment 9</w:t>
      </w:r>
      <w:r>
        <w:rPr>
          <w:rFonts w:ascii="Times New Roman" w:hAnsi="Times New Roman" w:cs="Times New Roman"/>
          <w:sz w:val="24"/>
          <w:szCs w:val="24"/>
        </w:rPr>
        <w:t>)</w:t>
      </w:r>
      <w:r w:rsidRPr="00275EF2">
        <w:rPr>
          <w:rFonts w:ascii="Times New Roman" w:hAnsi="Times New Roman" w:cs="Times New Roman"/>
          <w:sz w:val="24"/>
          <w:szCs w:val="24"/>
        </w:rPr>
        <w:t>.</w:t>
      </w:r>
      <w:r>
        <w:rPr>
          <w:rFonts w:ascii="Times New Roman" w:hAnsi="Times New Roman" w:cs="Times New Roman"/>
          <w:sz w:val="24"/>
          <w:szCs w:val="24"/>
        </w:rPr>
        <w:t xml:space="preserve"> </w:t>
      </w:r>
      <w:r w:rsidRPr="00275EF2">
        <w:rPr>
          <w:rFonts w:ascii="Times New Roman" w:hAnsi="Times New Roman" w:cs="Times New Roman"/>
          <w:sz w:val="24"/>
          <w:szCs w:val="24"/>
        </w:rPr>
        <w:t>This will be followed two weeks later with a final invitation letter that will contain the original materials</w:t>
      </w:r>
      <w:r>
        <w:rPr>
          <w:rFonts w:ascii="Times New Roman" w:hAnsi="Times New Roman" w:cs="Times New Roman"/>
          <w:sz w:val="24"/>
          <w:szCs w:val="24"/>
        </w:rPr>
        <w:t xml:space="preserve"> (</w:t>
      </w:r>
      <w:r>
        <w:rPr>
          <w:rFonts w:ascii="Times New Roman" w:hAnsi="Times New Roman" w:cs="Times New Roman"/>
          <w:b/>
          <w:sz w:val="24"/>
          <w:szCs w:val="24"/>
        </w:rPr>
        <w:t>Attachment 10</w:t>
      </w:r>
      <w:r>
        <w:rPr>
          <w:rFonts w:ascii="Times New Roman" w:hAnsi="Times New Roman" w:cs="Times New Roman"/>
          <w:sz w:val="24"/>
          <w:szCs w:val="24"/>
        </w:rPr>
        <w:t>)</w:t>
      </w:r>
      <w:r w:rsidRPr="00275EF2">
        <w:rPr>
          <w:rFonts w:ascii="Times New Roman" w:hAnsi="Times New Roman" w:cs="Times New Roman"/>
          <w:sz w:val="24"/>
          <w:szCs w:val="24"/>
        </w:rPr>
        <w:t>.</w:t>
      </w:r>
    </w:p>
    <w:p w14:paraId="40F8EF4E" w14:textId="77777777" w:rsidR="00297F9C" w:rsidRDefault="00297F9C" w:rsidP="00685097">
      <w:pPr>
        <w:pStyle w:val="NORCProposalBodyDoubleSpacing-Garamond"/>
        <w:spacing w:after="0"/>
        <w:rPr>
          <w:rFonts w:ascii="Times New Roman" w:hAnsi="Times New Roman" w:cs="Times New Roman"/>
          <w:sz w:val="24"/>
          <w:szCs w:val="24"/>
        </w:rPr>
      </w:pPr>
    </w:p>
    <w:p w14:paraId="5F662770" w14:textId="2B6D8CE7" w:rsidR="007F0B2B" w:rsidRDefault="007F0B2B" w:rsidP="007F0B2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goal of the sample design was to achieve 1,500 completed surveys would allow of an expected margin of error of +/- 2 percentage points for an estimate of 15 percentage points in Year 3. </w:t>
      </w:r>
      <w:r w:rsidR="00383AE2">
        <w:rPr>
          <w:rFonts w:ascii="Times New Roman" w:hAnsi="Times New Roman" w:cs="Times New Roman"/>
          <w:sz w:val="24"/>
          <w:szCs w:val="24"/>
        </w:rPr>
        <w:t xml:space="preserve">That will be 250 completed interviews per state. This goal is expected to support </w:t>
      </w:r>
      <w:r w:rsidR="00383AE2" w:rsidRPr="00383AE2">
        <w:rPr>
          <w:rFonts w:ascii="Times New Roman" w:hAnsi="Times New Roman" w:cs="Times New Roman"/>
          <w:sz w:val="24"/>
          <w:szCs w:val="24"/>
        </w:rPr>
        <w:t xml:space="preserve">analysis by socio-demographic groups such as state, age, race, Hispanic ethnicity, income, and preventative screening type (cervical/breast). </w:t>
      </w:r>
      <w:r>
        <w:rPr>
          <w:rFonts w:ascii="Times New Roman" w:hAnsi="Times New Roman" w:cs="Times New Roman"/>
          <w:sz w:val="24"/>
          <w:szCs w:val="24"/>
        </w:rPr>
        <w:t>The targeted s</w:t>
      </w:r>
      <w:r w:rsidR="00383AE2">
        <w:rPr>
          <w:rFonts w:ascii="Times New Roman" w:hAnsi="Times New Roman" w:cs="Times New Roman"/>
          <w:sz w:val="24"/>
          <w:szCs w:val="24"/>
        </w:rPr>
        <w:t xml:space="preserve">ample numbers at each stage are </w:t>
      </w:r>
      <w:r>
        <w:rPr>
          <w:rFonts w:ascii="Times New Roman" w:hAnsi="Times New Roman" w:cs="Times New Roman"/>
          <w:sz w:val="24"/>
          <w:szCs w:val="24"/>
        </w:rPr>
        <w:t xml:space="preserve">based on the Year 3 goals. To achieve the Year 3 targeted completes, NORC has estimated the response rates at the different times of contact (rate of agreement to participate in the survey, screener completion rate, eligibility rate, interview completion rate for Year 1, and year-to-year attrition rate for years 2 and 3 of the survey) based on the literature and past history with survey administration. Table 1 below shows the assumed rates and associated sample sizes for the data collection across all states combined, as well as by each state individually. We assume a year-to-year attrition rate of 67.5%, both from Year 1 to Year 2, and Year 2 to Year 3. To achieve the target of 1,500 women with completed surveys in Year 3, we will need 2,222 women to complete the survey in Year 2, and 3,292 women to complete the survey in Year 1. </w:t>
      </w:r>
    </w:p>
    <w:p w14:paraId="6D03D5C4" w14:textId="77777777" w:rsidR="007F0B2B" w:rsidRDefault="007F0B2B" w:rsidP="007F0B2B">
      <w:pPr>
        <w:spacing w:after="0" w:line="480" w:lineRule="auto"/>
        <w:rPr>
          <w:rFonts w:ascii="Times New Roman" w:hAnsi="Times New Roman" w:cs="Times New Roman"/>
          <w:sz w:val="24"/>
          <w:szCs w:val="24"/>
        </w:rPr>
      </w:pPr>
    </w:p>
    <w:p w14:paraId="472CB77D" w14:textId="3430FAAD" w:rsidR="007F0B2B" w:rsidRDefault="007F0B2B" w:rsidP="007F0B2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achieve the target for Year 1, we have to determine the initial number of women to sample that accounts for contacting the women, completing a screener questions to determine eligibility, the actual eligibility rate, and the interview completion rate. Based on NORC’s </w:t>
      </w:r>
      <w:r w:rsidR="00383AE2">
        <w:rPr>
          <w:rFonts w:ascii="Times New Roman" w:hAnsi="Times New Roman" w:cs="Times New Roman"/>
          <w:sz w:val="24"/>
          <w:szCs w:val="24"/>
        </w:rPr>
        <w:t>past experience</w:t>
      </w:r>
      <w:r>
        <w:rPr>
          <w:rFonts w:ascii="Times New Roman" w:hAnsi="Times New Roman" w:cs="Times New Roman"/>
          <w:sz w:val="24"/>
          <w:szCs w:val="24"/>
        </w:rPr>
        <w:t xml:space="preserve"> with surveys using targeted lists of eligible people, we assume the initial contact rate to be 80% (see Table 1). Of those women we are able to reach, we assume 85% will complete the screener questions to determine if they are eligible for the survey. Of those that complete the screener, we have estimated 40% will meet our eligibility criteria. Of those that are eligible, we assume 85% will complete the full survey. Therefore, to achieve our target for Year 1, we would need a sample of 14,240 women; of whom we will be able to contact 80% (11,392 women); of whom 85% (9,683) will complete the screener; of whom 40% (3,873) will be eligible for the survey; of whom 85% (3,292) will complete the Year 1 interview. We will sample these 14,240 women across the six states equally, and expect there will be approximately the same response rates by state. </w:t>
      </w:r>
    </w:p>
    <w:p w14:paraId="76AD0AC3" w14:textId="02151336" w:rsidR="00383AE2" w:rsidRDefault="007F0B2B" w:rsidP="00383AE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83AE2">
        <w:rPr>
          <w:rFonts w:ascii="Times New Roman" w:hAnsi="Times New Roman" w:cs="Times New Roman"/>
          <w:b/>
          <w:sz w:val="24"/>
          <w:szCs w:val="24"/>
        </w:rPr>
        <w:t>Table 1</w:t>
      </w:r>
      <w:r w:rsidR="00383AE2" w:rsidRPr="00A700B8">
        <w:rPr>
          <w:rFonts w:ascii="Times New Roman" w:hAnsi="Times New Roman" w:cs="Times New Roman"/>
          <w:b/>
          <w:sz w:val="24"/>
          <w:szCs w:val="24"/>
        </w:rPr>
        <w:t>.</w:t>
      </w:r>
      <w:r w:rsidR="00383AE2">
        <w:rPr>
          <w:rFonts w:ascii="Times New Roman" w:hAnsi="Times New Roman" w:cs="Times New Roman"/>
          <w:sz w:val="24"/>
          <w:szCs w:val="24"/>
        </w:rPr>
        <w:t xml:space="preserve"> Response Rates and Associated Sample Sizes.</w:t>
      </w:r>
    </w:p>
    <w:tbl>
      <w:tblPr>
        <w:tblW w:w="7825" w:type="dxa"/>
        <w:tblLook w:val="04A0" w:firstRow="1" w:lastRow="0" w:firstColumn="1" w:lastColumn="0" w:noHBand="0" w:noVBand="1"/>
      </w:tblPr>
      <w:tblGrid>
        <w:gridCol w:w="3581"/>
        <w:gridCol w:w="960"/>
        <w:gridCol w:w="1899"/>
        <w:gridCol w:w="1385"/>
      </w:tblGrid>
      <w:tr w:rsidR="00383AE2" w:rsidRPr="000C0CD3" w14:paraId="5068BB57" w14:textId="2B95C2DD" w:rsidTr="00D902DF">
        <w:trPr>
          <w:trHeight w:val="300"/>
        </w:trPr>
        <w:tc>
          <w:tcPr>
            <w:tcW w:w="3581" w:type="dxa"/>
            <w:tcBorders>
              <w:top w:val="single" w:sz="4" w:space="0" w:color="auto"/>
              <w:left w:val="single" w:sz="4" w:space="0" w:color="auto"/>
              <w:bottom w:val="single" w:sz="4" w:space="0" w:color="auto"/>
              <w:right w:val="single" w:sz="4" w:space="0" w:color="auto"/>
            </w:tcBorders>
            <w:shd w:val="clear" w:color="auto" w:fill="A3C3B7"/>
            <w:noWrap/>
            <w:vAlign w:val="bottom"/>
            <w:hideMark/>
          </w:tcPr>
          <w:p w14:paraId="6782DA11" w14:textId="7D8EA67A" w:rsidR="00383AE2" w:rsidRPr="00BE336F" w:rsidRDefault="00383AE2" w:rsidP="00383AE2">
            <w:pPr>
              <w:spacing w:after="0" w:line="480" w:lineRule="auto"/>
              <w:rPr>
                <w:rFonts w:ascii="Arial" w:eastAsia="Times New Roman" w:hAnsi="Arial" w:cs="Arial"/>
                <w:b/>
                <w:color w:val="000000"/>
                <w:sz w:val="18"/>
                <w:szCs w:val="18"/>
              </w:rPr>
            </w:pPr>
          </w:p>
        </w:tc>
        <w:tc>
          <w:tcPr>
            <w:tcW w:w="960" w:type="dxa"/>
            <w:tcBorders>
              <w:top w:val="single" w:sz="4" w:space="0" w:color="auto"/>
              <w:left w:val="nil"/>
              <w:bottom w:val="single" w:sz="4" w:space="0" w:color="auto"/>
              <w:right w:val="single" w:sz="4" w:space="0" w:color="auto"/>
            </w:tcBorders>
            <w:shd w:val="clear" w:color="auto" w:fill="A3C3B7"/>
            <w:vAlign w:val="center"/>
            <w:hideMark/>
          </w:tcPr>
          <w:p w14:paraId="21F4B3E4" w14:textId="77777777" w:rsidR="00383AE2" w:rsidRPr="00BE336F" w:rsidRDefault="00383AE2" w:rsidP="00D902DF">
            <w:pPr>
              <w:spacing w:after="0" w:line="480" w:lineRule="auto"/>
              <w:jc w:val="center"/>
              <w:rPr>
                <w:rFonts w:ascii="Arial" w:eastAsia="Times New Roman" w:hAnsi="Arial" w:cs="Arial"/>
                <w:b/>
                <w:color w:val="000000"/>
                <w:sz w:val="18"/>
                <w:szCs w:val="18"/>
              </w:rPr>
            </w:pPr>
            <w:r w:rsidRPr="00BE336F">
              <w:rPr>
                <w:rFonts w:ascii="Arial" w:eastAsia="Times New Roman" w:hAnsi="Arial" w:cs="Arial"/>
                <w:b/>
                <w:color w:val="000000"/>
                <w:sz w:val="18"/>
                <w:szCs w:val="18"/>
              </w:rPr>
              <w:t>Rate</w:t>
            </w:r>
          </w:p>
        </w:tc>
        <w:tc>
          <w:tcPr>
            <w:tcW w:w="1899" w:type="dxa"/>
            <w:tcBorders>
              <w:top w:val="single" w:sz="4" w:space="0" w:color="auto"/>
              <w:left w:val="nil"/>
              <w:bottom w:val="single" w:sz="4" w:space="0" w:color="auto"/>
              <w:right w:val="single" w:sz="4" w:space="0" w:color="auto"/>
            </w:tcBorders>
            <w:shd w:val="clear" w:color="auto" w:fill="A3C3B7"/>
            <w:noWrap/>
            <w:vAlign w:val="center"/>
            <w:hideMark/>
          </w:tcPr>
          <w:p w14:paraId="43A5F304" w14:textId="17695D39" w:rsidR="00383AE2" w:rsidRPr="00BE336F" w:rsidRDefault="00383AE2" w:rsidP="00D902DF">
            <w:pPr>
              <w:spacing w:after="0" w:line="480" w:lineRule="auto"/>
              <w:jc w:val="center"/>
              <w:rPr>
                <w:rFonts w:ascii="Arial" w:eastAsia="Times New Roman" w:hAnsi="Arial" w:cs="Arial"/>
                <w:b/>
                <w:color w:val="000000"/>
                <w:sz w:val="18"/>
                <w:szCs w:val="18"/>
              </w:rPr>
            </w:pPr>
            <w:r w:rsidRPr="00BE336F">
              <w:rPr>
                <w:rFonts w:ascii="Arial" w:eastAsia="Times New Roman" w:hAnsi="Arial" w:cs="Arial"/>
                <w:b/>
                <w:color w:val="000000"/>
                <w:sz w:val="18"/>
                <w:szCs w:val="18"/>
              </w:rPr>
              <w:t>Sample Size</w:t>
            </w:r>
            <w:r>
              <w:rPr>
                <w:rFonts w:ascii="Arial" w:eastAsia="Times New Roman" w:hAnsi="Arial" w:cs="Arial"/>
                <w:b/>
                <w:color w:val="000000"/>
                <w:sz w:val="18"/>
                <w:szCs w:val="18"/>
              </w:rPr>
              <w:t xml:space="preserve"> Across All States</w:t>
            </w:r>
          </w:p>
        </w:tc>
        <w:tc>
          <w:tcPr>
            <w:tcW w:w="1385" w:type="dxa"/>
            <w:tcBorders>
              <w:top w:val="single" w:sz="4" w:space="0" w:color="auto"/>
              <w:left w:val="nil"/>
              <w:bottom w:val="single" w:sz="4" w:space="0" w:color="auto"/>
              <w:right w:val="single" w:sz="4" w:space="0" w:color="auto"/>
            </w:tcBorders>
            <w:shd w:val="clear" w:color="auto" w:fill="A3C3B7"/>
            <w:vAlign w:val="center"/>
          </w:tcPr>
          <w:p w14:paraId="2B616281" w14:textId="7002F9A0" w:rsidR="00383AE2" w:rsidRPr="00BE336F" w:rsidRDefault="00383AE2" w:rsidP="00D902DF">
            <w:pPr>
              <w:spacing w:after="0" w:line="480" w:lineRule="auto"/>
              <w:jc w:val="center"/>
              <w:rPr>
                <w:rFonts w:ascii="Arial" w:eastAsia="Times New Roman" w:hAnsi="Arial" w:cs="Arial"/>
                <w:b/>
                <w:color w:val="000000"/>
                <w:sz w:val="18"/>
                <w:szCs w:val="18"/>
              </w:rPr>
            </w:pPr>
            <w:r>
              <w:rPr>
                <w:rFonts w:ascii="Arial" w:eastAsia="Times New Roman" w:hAnsi="Arial" w:cs="Arial"/>
                <w:b/>
                <w:color w:val="000000"/>
                <w:sz w:val="18"/>
                <w:szCs w:val="18"/>
              </w:rPr>
              <w:t>Sample Size by State</w:t>
            </w:r>
          </w:p>
        </w:tc>
      </w:tr>
      <w:tr w:rsidR="00383AE2" w:rsidRPr="000C0CD3" w14:paraId="3C745A18" w14:textId="70F623FC" w:rsidTr="00D902DF">
        <w:trPr>
          <w:trHeight w:val="300"/>
        </w:trPr>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5CE7DF1B" w14:textId="77777777" w:rsidR="00383AE2" w:rsidRPr="00BE336F" w:rsidRDefault="00383AE2" w:rsidP="00383AE2">
            <w:pPr>
              <w:spacing w:after="0" w:line="480" w:lineRule="auto"/>
              <w:rPr>
                <w:rFonts w:ascii="Arial" w:eastAsia="Times New Roman" w:hAnsi="Arial" w:cs="Arial"/>
                <w:b/>
                <w:color w:val="000000"/>
                <w:sz w:val="18"/>
                <w:szCs w:val="18"/>
              </w:rPr>
            </w:pPr>
            <w:r w:rsidRPr="00BE336F">
              <w:rPr>
                <w:rFonts w:ascii="Arial" w:eastAsia="Times New Roman" w:hAnsi="Arial" w:cs="Arial"/>
                <w:b/>
                <w:color w:val="000000"/>
                <w:sz w:val="18"/>
                <w:szCs w:val="18"/>
              </w:rPr>
              <w:t>Initial Sample from States</w:t>
            </w:r>
          </w:p>
        </w:tc>
        <w:tc>
          <w:tcPr>
            <w:tcW w:w="960" w:type="dxa"/>
            <w:tcBorders>
              <w:top w:val="nil"/>
              <w:left w:val="nil"/>
              <w:bottom w:val="single" w:sz="4" w:space="0" w:color="auto"/>
              <w:right w:val="single" w:sz="4" w:space="0" w:color="auto"/>
            </w:tcBorders>
            <w:shd w:val="clear" w:color="auto" w:fill="auto"/>
            <w:noWrap/>
            <w:vAlign w:val="center"/>
            <w:hideMark/>
          </w:tcPr>
          <w:p w14:paraId="4666FB3B" w14:textId="080C2447" w:rsidR="00383AE2" w:rsidRPr="00BE336F" w:rsidRDefault="00383AE2" w:rsidP="00D902DF">
            <w:pPr>
              <w:spacing w:after="0" w:line="480" w:lineRule="auto"/>
              <w:jc w:val="center"/>
              <w:rPr>
                <w:rFonts w:ascii="Arial" w:eastAsia="Times New Roman" w:hAnsi="Arial" w:cs="Arial"/>
                <w:color w:val="000000"/>
                <w:sz w:val="18"/>
                <w:szCs w:val="18"/>
              </w:rPr>
            </w:pPr>
          </w:p>
        </w:tc>
        <w:tc>
          <w:tcPr>
            <w:tcW w:w="1899" w:type="dxa"/>
            <w:tcBorders>
              <w:top w:val="nil"/>
              <w:left w:val="nil"/>
              <w:bottom w:val="single" w:sz="4" w:space="0" w:color="auto"/>
              <w:right w:val="single" w:sz="4" w:space="0" w:color="auto"/>
            </w:tcBorders>
            <w:shd w:val="clear" w:color="auto" w:fill="auto"/>
            <w:noWrap/>
            <w:vAlign w:val="center"/>
            <w:hideMark/>
          </w:tcPr>
          <w:p w14:paraId="77C0D9E7"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14,240</w:t>
            </w:r>
          </w:p>
        </w:tc>
        <w:tc>
          <w:tcPr>
            <w:tcW w:w="1385" w:type="dxa"/>
            <w:tcBorders>
              <w:top w:val="nil"/>
              <w:left w:val="nil"/>
              <w:bottom w:val="single" w:sz="4" w:space="0" w:color="auto"/>
              <w:right w:val="single" w:sz="4" w:space="0" w:color="auto"/>
            </w:tcBorders>
            <w:vAlign w:val="center"/>
          </w:tcPr>
          <w:p w14:paraId="2DCF6253" w14:textId="459EAD5D" w:rsidR="00383AE2" w:rsidRPr="00BE336F" w:rsidRDefault="00383AE2" w:rsidP="00D902DF">
            <w:pPr>
              <w:spacing w:after="0" w:line="480" w:lineRule="auto"/>
              <w:jc w:val="center"/>
              <w:rPr>
                <w:rFonts w:ascii="Arial" w:eastAsia="Times New Roman" w:hAnsi="Arial" w:cs="Arial"/>
                <w:color w:val="000000"/>
                <w:sz w:val="18"/>
                <w:szCs w:val="18"/>
              </w:rPr>
            </w:pPr>
            <w:r w:rsidRPr="005D2CBD">
              <w:t>2,373</w:t>
            </w:r>
          </w:p>
        </w:tc>
      </w:tr>
      <w:tr w:rsidR="00383AE2" w:rsidRPr="000C0CD3" w14:paraId="0E8B16F8" w14:textId="3A78E924" w:rsidTr="00D902DF">
        <w:trPr>
          <w:trHeight w:val="300"/>
        </w:trPr>
        <w:tc>
          <w:tcPr>
            <w:tcW w:w="3581" w:type="dxa"/>
            <w:tcBorders>
              <w:top w:val="nil"/>
              <w:left w:val="single" w:sz="4" w:space="0" w:color="auto"/>
              <w:bottom w:val="single" w:sz="4" w:space="0" w:color="auto"/>
              <w:right w:val="single" w:sz="4" w:space="0" w:color="auto"/>
            </w:tcBorders>
            <w:shd w:val="clear" w:color="auto" w:fill="E9E6E3"/>
            <w:noWrap/>
            <w:vAlign w:val="bottom"/>
            <w:hideMark/>
          </w:tcPr>
          <w:p w14:paraId="56B12934" w14:textId="77777777" w:rsidR="00383AE2" w:rsidRPr="00BE336F" w:rsidRDefault="00383AE2" w:rsidP="00383AE2">
            <w:pPr>
              <w:spacing w:after="0" w:line="480" w:lineRule="auto"/>
              <w:rPr>
                <w:rFonts w:ascii="Arial" w:eastAsia="Times New Roman" w:hAnsi="Arial" w:cs="Arial"/>
                <w:b/>
                <w:color w:val="000000"/>
                <w:sz w:val="18"/>
                <w:szCs w:val="18"/>
              </w:rPr>
            </w:pPr>
            <w:r w:rsidRPr="00BE336F">
              <w:rPr>
                <w:rFonts w:ascii="Arial" w:eastAsia="Times New Roman" w:hAnsi="Arial" w:cs="Arial"/>
                <w:b/>
                <w:color w:val="000000"/>
                <w:sz w:val="18"/>
                <w:szCs w:val="18"/>
              </w:rPr>
              <w:t>Contact Rate</w:t>
            </w:r>
          </w:p>
        </w:tc>
        <w:tc>
          <w:tcPr>
            <w:tcW w:w="960" w:type="dxa"/>
            <w:tcBorders>
              <w:top w:val="nil"/>
              <w:left w:val="nil"/>
              <w:bottom w:val="single" w:sz="4" w:space="0" w:color="auto"/>
              <w:right w:val="single" w:sz="4" w:space="0" w:color="auto"/>
            </w:tcBorders>
            <w:shd w:val="clear" w:color="auto" w:fill="E9E6E3"/>
            <w:noWrap/>
            <w:vAlign w:val="center"/>
            <w:hideMark/>
          </w:tcPr>
          <w:p w14:paraId="65868B9A" w14:textId="77777777" w:rsidR="00383AE2" w:rsidRPr="00BE336F" w:rsidRDefault="00383AE2" w:rsidP="00D902DF">
            <w:pPr>
              <w:spacing w:after="0" w:line="480" w:lineRule="auto"/>
              <w:jc w:val="center"/>
              <w:rPr>
                <w:rFonts w:ascii="Arial" w:eastAsia="Times New Roman" w:hAnsi="Arial" w:cs="Arial"/>
                <w:color w:val="000000"/>
                <w:sz w:val="18"/>
                <w:szCs w:val="18"/>
              </w:rPr>
            </w:pPr>
            <w:r>
              <w:rPr>
                <w:rFonts w:ascii="Arial" w:eastAsia="Times New Roman" w:hAnsi="Arial" w:cs="Arial"/>
                <w:color w:val="000000"/>
                <w:sz w:val="18"/>
                <w:szCs w:val="18"/>
              </w:rPr>
              <w:t>80%</w:t>
            </w:r>
          </w:p>
        </w:tc>
        <w:tc>
          <w:tcPr>
            <w:tcW w:w="1899" w:type="dxa"/>
            <w:tcBorders>
              <w:top w:val="nil"/>
              <w:left w:val="nil"/>
              <w:bottom w:val="single" w:sz="4" w:space="0" w:color="auto"/>
              <w:right w:val="single" w:sz="4" w:space="0" w:color="auto"/>
            </w:tcBorders>
            <w:shd w:val="clear" w:color="auto" w:fill="E9E6E3"/>
            <w:noWrap/>
            <w:vAlign w:val="center"/>
            <w:hideMark/>
          </w:tcPr>
          <w:p w14:paraId="75A6795F"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11,392</w:t>
            </w:r>
          </w:p>
        </w:tc>
        <w:tc>
          <w:tcPr>
            <w:tcW w:w="1385" w:type="dxa"/>
            <w:tcBorders>
              <w:top w:val="nil"/>
              <w:left w:val="nil"/>
              <w:bottom w:val="single" w:sz="4" w:space="0" w:color="auto"/>
              <w:right w:val="single" w:sz="4" w:space="0" w:color="auto"/>
            </w:tcBorders>
            <w:shd w:val="clear" w:color="auto" w:fill="E9E6E3"/>
            <w:vAlign w:val="center"/>
          </w:tcPr>
          <w:p w14:paraId="4B94D35C" w14:textId="736DA11F" w:rsidR="00383AE2" w:rsidRPr="00BE336F" w:rsidRDefault="00383AE2" w:rsidP="00D902DF">
            <w:pPr>
              <w:spacing w:after="0" w:line="480" w:lineRule="auto"/>
              <w:jc w:val="center"/>
              <w:rPr>
                <w:rFonts w:ascii="Arial" w:eastAsia="Times New Roman" w:hAnsi="Arial" w:cs="Arial"/>
                <w:color w:val="000000"/>
                <w:sz w:val="18"/>
                <w:szCs w:val="18"/>
              </w:rPr>
            </w:pPr>
            <w:r w:rsidRPr="005D2CBD">
              <w:t>1,989</w:t>
            </w:r>
          </w:p>
        </w:tc>
      </w:tr>
      <w:tr w:rsidR="00383AE2" w:rsidRPr="000C0CD3" w14:paraId="03A4CFC7" w14:textId="27F50A61" w:rsidTr="00D902DF">
        <w:trPr>
          <w:trHeight w:val="300"/>
        </w:trPr>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08FCD97A" w14:textId="64958870" w:rsidR="00383AE2" w:rsidRPr="00BE336F" w:rsidRDefault="00383AE2" w:rsidP="00383AE2">
            <w:pPr>
              <w:spacing w:after="0" w:line="480" w:lineRule="auto"/>
              <w:rPr>
                <w:rFonts w:ascii="Arial" w:eastAsia="Times New Roman" w:hAnsi="Arial" w:cs="Arial"/>
                <w:b/>
                <w:color w:val="000000"/>
                <w:sz w:val="18"/>
                <w:szCs w:val="18"/>
              </w:rPr>
            </w:pPr>
            <w:r w:rsidRPr="00BE336F">
              <w:rPr>
                <w:rFonts w:ascii="Arial" w:eastAsia="Times New Roman" w:hAnsi="Arial" w:cs="Arial"/>
                <w:b/>
                <w:color w:val="000000"/>
                <w:sz w:val="18"/>
                <w:szCs w:val="18"/>
              </w:rPr>
              <w:t>Screen</w:t>
            </w:r>
            <w:r>
              <w:rPr>
                <w:rFonts w:ascii="Arial" w:eastAsia="Times New Roman" w:hAnsi="Arial" w:cs="Arial"/>
                <w:b/>
                <w:color w:val="000000"/>
                <w:sz w:val="18"/>
                <w:szCs w:val="18"/>
              </w:rPr>
              <w:t>er Completion</w:t>
            </w:r>
            <w:r w:rsidRPr="00BE336F">
              <w:rPr>
                <w:rFonts w:ascii="Arial" w:eastAsia="Times New Roman" w:hAnsi="Arial" w:cs="Arial"/>
                <w:b/>
                <w:color w:val="000000"/>
                <w:sz w:val="18"/>
                <w:szCs w:val="18"/>
              </w:rPr>
              <w:t xml:space="preserve"> Rate</w:t>
            </w:r>
          </w:p>
        </w:tc>
        <w:tc>
          <w:tcPr>
            <w:tcW w:w="960" w:type="dxa"/>
            <w:tcBorders>
              <w:top w:val="nil"/>
              <w:left w:val="nil"/>
              <w:bottom w:val="single" w:sz="4" w:space="0" w:color="auto"/>
              <w:right w:val="single" w:sz="4" w:space="0" w:color="auto"/>
            </w:tcBorders>
            <w:shd w:val="clear" w:color="auto" w:fill="auto"/>
            <w:noWrap/>
            <w:vAlign w:val="center"/>
            <w:hideMark/>
          </w:tcPr>
          <w:p w14:paraId="672FC554"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85</w:t>
            </w:r>
            <w:r>
              <w:rPr>
                <w:rFonts w:ascii="Arial" w:eastAsia="Times New Roman" w:hAnsi="Arial" w:cs="Arial"/>
                <w:color w:val="000000"/>
                <w:sz w:val="18"/>
                <w:szCs w:val="18"/>
              </w:rPr>
              <w:t>%</w:t>
            </w:r>
          </w:p>
        </w:tc>
        <w:tc>
          <w:tcPr>
            <w:tcW w:w="1899" w:type="dxa"/>
            <w:tcBorders>
              <w:top w:val="nil"/>
              <w:left w:val="nil"/>
              <w:bottom w:val="single" w:sz="4" w:space="0" w:color="auto"/>
              <w:right w:val="single" w:sz="4" w:space="0" w:color="auto"/>
            </w:tcBorders>
            <w:shd w:val="clear" w:color="auto" w:fill="auto"/>
            <w:noWrap/>
            <w:vAlign w:val="center"/>
            <w:hideMark/>
          </w:tcPr>
          <w:p w14:paraId="2EB22792"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9,683</w:t>
            </w:r>
          </w:p>
        </w:tc>
        <w:tc>
          <w:tcPr>
            <w:tcW w:w="1385" w:type="dxa"/>
            <w:tcBorders>
              <w:top w:val="nil"/>
              <w:left w:val="nil"/>
              <w:bottom w:val="single" w:sz="4" w:space="0" w:color="auto"/>
              <w:right w:val="single" w:sz="4" w:space="0" w:color="auto"/>
            </w:tcBorders>
            <w:vAlign w:val="center"/>
          </w:tcPr>
          <w:p w14:paraId="7E9C0200" w14:textId="4FCB2862" w:rsidR="00383AE2" w:rsidRPr="00BE336F" w:rsidRDefault="00383AE2" w:rsidP="00D902DF">
            <w:pPr>
              <w:spacing w:after="0" w:line="480" w:lineRule="auto"/>
              <w:jc w:val="center"/>
              <w:rPr>
                <w:rFonts w:ascii="Arial" w:eastAsia="Times New Roman" w:hAnsi="Arial" w:cs="Arial"/>
                <w:color w:val="000000"/>
                <w:sz w:val="18"/>
                <w:szCs w:val="18"/>
              </w:rPr>
            </w:pPr>
            <w:r w:rsidRPr="005D2CBD">
              <w:t>1,614</w:t>
            </w:r>
          </w:p>
        </w:tc>
      </w:tr>
      <w:tr w:rsidR="00383AE2" w:rsidRPr="000C0CD3" w14:paraId="13B9548A" w14:textId="4B76FC8C" w:rsidTr="00D902DF">
        <w:trPr>
          <w:trHeight w:val="300"/>
        </w:trPr>
        <w:tc>
          <w:tcPr>
            <w:tcW w:w="3581" w:type="dxa"/>
            <w:tcBorders>
              <w:top w:val="nil"/>
              <w:left w:val="single" w:sz="4" w:space="0" w:color="auto"/>
              <w:bottom w:val="single" w:sz="4" w:space="0" w:color="auto"/>
              <w:right w:val="single" w:sz="4" w:space="0" w:color="auto"/>
            </w:tcBorders>
            <w:shd w:val="clear" w:color="auto" w:fill="E9E6E3"/>
            <w:noWrap/>
            <w:vAlign w:val="bottom"/>
            <w:hideMark/>
          </w:tcPr>
          <w:p w14:paraId="64C3C08F" w14:textId="77777777" w:rsidR="00383AE2" w:rsidRPr="00BE336F" w:rsidRDefault="00383AE2" w:rsidP="00383AE2">
            <w:pPr>
              <w:spacing w:after="0" w:line="480" w:lineRule="auto"/>
              <w:rPr>
                <w:rFonts w:ascii="Arial" w:eastAsia="Times New Roman" w:hAnsi="Arial" w:cs="Arial"/>
                <w:b/>
                <w:color w:val="000000"/>
                <w:sz w:val="18"/>
                <w:szCs w:val="18"/>
              </w:rPr>
            </w:pPr>
            <w:r w:rsidRPr="00BE336F">
              <w:rPr>
                <w:rFonts w:ascii="Arial" w:eastAsia="Times New Roman" w:hAnsi="Arial" w:cs="Arial"/>
                <w:b/>
                <w:color w:val="000000"/>
                <w:sz w:val="18"/>
                <w:szCs w:val="18"/>
              </w:rPr>
              <w:t>Eligibility Rate</w:t>
            </w:r>
          </w:p>
        </w:tc>
        <w:tc>
          <w:tcPr>
            <w:tcW w:w="960" w:type="dxa"/>
            <w:tcBorders>
              <w:top w:val="nil"/>
              <w:left w:val="nil"/>
              <w:bottom w:val="single" w:sz="4" w:space="0" w:color="auto"/>
              <w:right w:val="single" w:sz="4" w:space="0" w:color="auto"/>
            </w:tcBorders>
            <w:shd w:val="clear" w:color="auto" w:fill="E9E6E3"/>
            <w:noWrap/>
            <w:vAlign w:val="center"/>
            <w:hideMark/>
          </w:tcPr>
          <w:p w14:paraId="44BF21CA"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4</w:t>
            </w:r>
            <w:r>
              <w:rPr>
                <w:rFonts w:ascii="Arial" w:eastAsia="Times New Roman" w:hAnsi="Arial" w:cs="Arial"/>
                <w:color w:val="000000"/>
                <w:sz w:val="18"/>
                <w:szCs w:val="18"/>
              </w:rPr>
              <w:t>0%</w:t>
            </w:r>
          </w:p>
        </w:tc>
        <w:tc>
          <w:tcPr>
            <w:tcW w:w="1899" w:type="dxa"/>
            <w:tcBorders>
              <w:top w:val="nil"/>
              <w:left w:val="nil"/>
              <w:bottom w:val="single" w:sz="4" w:space="0" w:color="auto"/>
              <w:right w:val="single" w:sz="4" w:space="0" w:color="auto"/>
            </w:tcBorders>
            <w:shd w:val="clear" w:color="auto" w:fill="E9E6E3"/>
            <w:noWrap/>
            <w:vAlign w:val="center"/>
            <w:hideMark/>
          </w:tcPr>
          <w:p w14:paraId="7380152D"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3,873</w:t>
            </w:r>
          </w:p>
        </w:tc>
        <w:tc>
          <w:tcPr>
            <w:tcW w:w="1385" w:type="dxa"/>
            <w:tcBorders>
              <w:top w:val="nil"/>
              <w:left w:val="nil"/>
              <w:bottom w:val="single" w:sz="4" w:space="0" w:color="auto"/>
              <w:right w:val="single" w:sz="4" w:space="0" w:color="auto"/>
            </w:tcBorders>
            <w:shd w:val="clear" w:color="auto" w:fill="E9E6E3"/>
            <w:vAlign w:val="center"/>
          </w:tcPr>
          <w:p w14:paraId="2EC36BCA" w14:textId="3FD916D6" w:rsidR="00383AE2" w:rsidRPr="00BE336F" w:rsidRDefault="00383AE2" w:rsidP="00D902DF">
            <w:pPr>
              <w:spacing w:after="0" w:line="480" w:lineRule="auto"/>
              <w:jc w:val="center"/>
              <w:rPr>
                <w:rFonts w:ascii="Arial" w:eastAsia="Times New Roman" w:hAnsi="Arial" w:cs="Arial"/>
                <w:color w:val="000000"/>
                <w:sz w:val="18"/>
                <w:szCs w:val="18"/>
              </w:rPr>
            </w:pPr>
            <w:r w:rsidRPr="005D2CBD">
              <w:t>646</w:t>
            </w:r>
          </w:p>
        </w:tc>
      </w:tr>
      <w:tr w:rsidR="00383AE2" w:rsidRPr="000C0CD3" w14:paraId="71E16091" w14:textId="6331551B" w:rsidTr="00D902DF">
        <w:trPr>
          <w:trHeight w:val="300"/>
        </w:trPr>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47ECE8E8" w14:textId="77777777" w:rsidR="00383AE2" w:rsidRPr="00BE336F" w:rsidRDefault="00383AE2" w:rsidP="00383AE2">
            <w:pPr>
              <w:spacing w:after="0" w:line="480" w:lineRule="auto"/>
              <w:rPr>
                <w:rFonts w:ascii="Arial" w:eastAsia="Times New Roman" w:hAnsi="Arial" w:cs="Arial"/>
                <w:b/>
                <w:color w:val="000000"/>
                <w:sz w:val="18"/>
                <w:szCs w:val="18"/>
              </w:rPr>
            </w:pPr>
            <w:r w:rsidRPr="00BE336F">
              <w:rPr>
                <w:rFonts w:ascii="Arial" w:eastAsia="Times New Roman" w:hAnsi="Arial" w:cs="Arial"/>
                <w:b/>
                <w:color w:val="000000"/>
                <w:sz w:val="18"/>
                <w:szCs w:val="18"/>
              </w:rPr>
              <w:t>Year 1 Interview Completion Rate</w:t>
            </w:r>
          </w:p>
        </w:tc>
        <w:tc>
          <w:tcPr>
            <w:tcW w:w="960" w:type="dxa"/>
            <w:tcBorders>
              <w:top w:val="nil"/>
              <w:left w:val="nil"/>
              <w:bottom w:val="single" w:sz="4" w:space="0" w:color="auto"/>
              <w:right w:val="single" w:sz="4" w:space="0" w:color="auto"/>
            </w:tcBorders>
            <w:shd w:val="clear" w:color="auto" w:fill="auto"/>
            <w:noWrap/>
            <w:vAlign w:val="center"/>
            <w:hideMark/>
          </w:tcPr>
          <w:p w14:paraId="66AFDDA7"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85</w:t>
            </w:r>
            <w:r>
              <w:rPr>
                <w:rFonts w:ascii="Arial" w:eastAsia="Times New Roman" w:hAnsi="Arial" w:cs="Arial"/>
                <w:color w:val="000000"/>
                <w:sz w:val="18"/>
                <w:szCs w:val="18"/>
              </w:rPr>
              <w:t>%</w:t>
            </w:r>
          </w:p>
        </w:tc>
        <w:tc>
          <w:tcPr>
            <w:tcW w:w="1899" w:type="dxa"/>
            <w:tcBorders>
              <w:top w:val="nil"/>
              <w:left w:val="nil"/>
              <w:bottom w:val="single" w:sz="4" w:space="0" w:color="auto"/>
              <w:right w:val="single" w:sz="4" w:space="0" w:color="auto"/>
            </w:tcBorders>
            <w:shd w:val="clear" w:color="auto" w:fill="auto"/>
            <w:noWrap/>
            <w:vAlign w:val="center"/>
            <w:hideMark/>
          </w:tcPr>
          <w:p w14:paraId="03D7338D"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3,292</w:t>
            </w:r>
          </w:p>
        </w:tc>
        <w:tc>
          <w:tcPr>
            <w:tcW w:w="1385" w:type="dxa"/>
            <w:tcBorders>
              <w:top w:val="nil"/>
              <w:left w:val="nil"/>
              <w:bottom w:val="single" w:sz="4" w:space="0" w:color="auto"/>
              <w:right w:val="single" w:sz="4" w:space="0" w:color="auto"/>
            </w:tcBorders>
            <w:vAlign w:val="center"/>
          </w:tcPr>
          <w:p w14:paraId="769AC871" w14:textId="064DE46A" w:rsidR="00383AE2" w:rsidRPr="00BE336F" w:rsidRDefault="00383AE2" w:rsidP="00D902DF">
            <w:pPr>
              <w:spacing w:after="0" w:line="480" w:lineRule="auto"/>
              <w:jc w:val="center"/>
              <w:rPr>
                <w:rFonts w:ascii="Arial" w:eastAsia="Times New Roman" w:hAnsi="Arial" w:cs="Arial"/>
                <w:color w:val="000000"/>
                <w:sz w:val="18"/>
                <w:szCs w:val="18"/>
              </w:rPr>
            </w:pPr>
            <w:r w:rsidRPr="005D2CBD">
              <w:t>549</w:t>
            </w:r>
          </w:p>
        </w:tc>
      </w:tr>
      <w:tr w:rsidR="00383AE2" w:rsidRPr="000C0CD3" w14:paraId="7A352994" w14:textId="64641173" w:rsidTr="00D902DF">
        <w:trPr>
          <w:trHeight w:val="300"/>
        </w:trPr>
        <w:tc>
          <w:tcPr>
            <w:tcW w:w="3581" w:type="dxa"/>
            <w:tcBorders>
              <w:top w:val="nil"/>
              <w:left w:val="single" w:sz="4" w:space="0" w:color="auto"/>
              <w:bottom w:val="single" w:sz="4" w:space="0" w:color="auto"/>
              <w:right w:val="single" w:sz="4" w:space="0" w:color="auto"/>
            </w:tcBorders>
            <w:shd w:val="clear" w:color="auto" w:fill="E9E6E3"/>
            <w:noWrap/>
            <w:vAlign w:val="bottom"/>
            <w:hideMark/>
          </w:tcPr>
          <w:p w14:paraId="6E428B4A" w14:textId="77777777" w:rsidR="00383AE2" w:rsidRPr="00BE336F" w:rsidRDefault="00383AE2" w:rsidP="00383AE2">
            <w:pPr>
              <w:spacing w:after="0" w:line="480" w:lineRule="auto"/>
              <w:rPr>
                <w:rFonts w:ascii="Arial" w:eastAsia="Times New Roman" w:hAnsi="Arial" w:cs="Arial"/>
                <w:b/>
                <w:color w:val="000000"/>
                <w:sz w:val="18"/>
                <w:szCs w:val="18"/>
              </w:rPr>
            </w:pPr>
            <w:r w:rsidRPr="00BE336F">
              <w:rPr>
                <w:rFonts w:ascii="Arial" w:eastAsia="Times New Roman" w:hAnsi="Arial" w:cs="Arial"/>
                <w:b/>
                <w:color w:val="000000"/>
                <w:sz w:val="18"/>
                <w:szCs w:val="18"/>
              </w:rPr>
              <w:t>Year 2 Interview Completion Rate</w:t>
            </w:r>
          </w:p>
        </w:tc>
        <w:tc>
          <w:tcPr>
            <w:tcW w:w="960" w:type="dxa"/>
            <w:tcBorders>
              <w:top w:val="nil"/>
              <w:left w:val="nil"/>
              <w:bottom w:val="single" w:sz="4" w:space="0" w:color="auto"/>
              <w:right w:val="single" w:sz="4" w:space="0" w:color="auto"/>
            </w:tcBorders>
            <w:shd w:val="clear" w:color="auto" w:fill="E9E6E3"/>
            <w:noWrap/>
            <w:vAlign w:val="center"/>
            <w:hideMark/>
          </w:tcPr>
          <w:p w14:paraId="09E69663"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67</w:t>
            </w:r>
            <w:r>
              <w:rPr>
                <w:rFonts w:ascii="Arial" w:eastAsia="Times New Roman" w:hAnsi="Arial" w:cs="Arial"/>
                <w:color w:val="000000"/>
                <w:sz w:val="18"/>
                <w:szCs w:val="18"/>
              </w:rPr>
              <w:t>.</w:t>
            </w:r>
            <w:r w:rsidRPr="00BE336F">
              <w:rPr>
                <w:rFonts w:ascii="Arial" w:eastAsia="Times New Roman" w:hAnsi="Arial" w:cs="Arial"/>
                <w:color w:val="000000"/>
                <w:sz w:val="18"/>
                <w:szCs w:val="18"/>
              </w:rPr>
              <w:t>5</w:t>
            </w:r>
            <w:r>
              <w:rPr>
                <w:rFonts w:ascii="Arial" w:eastAsia="Times New Roman" w:hAnsi="Arial" w:cs="Arial"/>
                <w:color w:val="000000"/>
                <w:sz w:val="18"/>
                <w:szCs w:val="18"/>
              </w:rPr>
              <w:t>%</w:t>
            </w:r>
          </w:p>
        </w:tc>
        <w:tc>
          <w:tcPr>
            <w:tcW w:w="1899" w:type="dxa"/>
            <w:tcBorders>
              <w:top w:val="nil"/>
              <w:left w:val="nil"/>
              <w:bottom w:val="single" w:sz="4" w:space="0" w:color="auto"/>
              <w:right w:val="single" w:sz="4" w:space="0" w:color="auto"/>
            </w:tcBorders>
            <w:shd w:val="clear" w:color="auto" w:fill="E9E6E3"/>
            <w:noWrap/>
            <w:vAlign w:val="center"/>
            <w:hideMark/>
          </w:tcPr>
          <w:p w14:paraId="6E241B38"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2,222</w:t>
            </w:r>
          </w:p>
        </w:tc>
        <w:tc>
          <w:tcPr>
            <w:tcW w:w="1385" w:type="dxa"/>
            <w:tcBorders>
              <w:top w:val="nil"/>
              <w:left w:val="nil"/>
              <w:bottom w:val="single" w:sz="4" w:space="0" w:color="auto"/>
              <w:right w:val="single" w:sz="4" w:space="0" w:color="auto"/>
            </w:tcBorders>
            <w:shd w:val="clear" w:color="auto" w:fill="E9E6E3"/>
            <w:vAlign w:val="center"/>
          </w:tcPr>
          <w:p w14:paraId="6DFE4ADB" w14:textId="754073B9" w:rsidR="00383AE2" w:rsidRPr="00BE336F" w:rsidRDefault="00383AE2" w:rsidP="00D902DF">
            <w:pPr>
              <w:spacing w:after="0" w:line="480" w:lineRule="auto"/>
              <w:jc w:val="center"/>
              <w:rPr>
                <w:rFonts w:ascii="Arial" w:eastAsia="Times New Roman" w:hAnsi="Arial" w:cs="Arial"/>
                <w:color w:val="000000"/>
                <w:sz w:val="18"/>
                <w:szCs w:val="18"/>
              </w:rPr>
            </w:pPr>
            <w:r w:rsidRPr="005D2CBD">
              <w:t>370</w:t>
            </w:r>
          </w:p>
        </w:tc>
      </w:tr>
      <w:tr w:rsidR="00383AE2" w:rsidRPr="000C0CD3" w14:paraId="284FDE5E" w14:textId="5B346EFD" w:rsidTr="00D902DF">
        <w:trPr>
          <w:trHeight w:val="300"/>
        </w:trPr>
        <w:tc>
          <w:tcPr>
            <w:tcW w:w="3581" w:type="dxa"/>
            <w:tcBorders>
              <w:top w:val="nil"/>
              <w:left w:val="single" w:sz="4" w:space="0" w:color="auto"/>
              <w:bottom w:val="single" w:sz="4" w:space="0" w:color="auto"/>
              <w:right w:val="single" w:sz="4" w:space="0" w:color="auto"/>
            </w:tcBorders>
            <w:shd w:val="clear" w:color="auto" w:fill="auto"/>
            <w:noWrap/>
            <w:vAlign w:val="bottom"/>
            <w:hideMark/>
          </w:tcPr>
          <w:p w14:paraId="648904E1" w14:textId="77777777" w:rsidR="00383AE2" w:rsidRPr="00BE336F" w:rsidRDefault="00383AE2" w:rsidP="00383AE2">
            <w:pPr>
              <w:spacing w:after="0" w:line="480" w:lineRule="auto"/>
              <w:rPr>
                <w:rFonts w:ascii="Arial" w:eastAsia="Times New Roman" w:hAnsi="Arial" w:cs="Arial"/>
                <w:b/>
                <w:color w:val="000000"/>
                <w:sz w:val="18"/>
                <w:szCs w:val="18"/>
              </w:rPr>
            </w:pPr>
            <w:r w:rsidRPr="00BE336F">
              <w:rPr>
                <w:rFonts w:ascii="Arial" w:eastAsia="Times New Roman" w:hAnsi="Arial" w:cs="Arial"/>
                <w:b/>
                <w:color w:val="000000"/>
                <w:sz w:val="18"/>
                <w:szCs w:val="18"/>
              </w:rPr>
              <w:t>Year 3 Interview Completion Rate</w:t>
            </w:r>
          </w:p>
        </w:tc>
        <w:tc>
          <w:tcPr>
            <w:tcW w:w="960" w:type="dxa"/>
            <w:tcBorders>
              <w:top w:val="nil"/>
              <w:left w:val="nil"/>
              <w:bottom w:val="single" w:sz="4" w:space="0" w:color="auto"/>
              <w:right w:val="single" w:sz="4" w:space="0" w:color="auto"/>
            </w:tcBorders>
            <w:shd w:val="clear" w:color="auto" w:fill="auto"/>
            <w:noWrap/>
            <w:vAlign w:val="center"/>
            <w:hideMark/>
          </w:tcPr>
          <w:p w14:paraId="778D1E27"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67</w:t>
            </w:r>
            <w:r>
              <w:rPr>
                <w:rFonts w:ascii="Arial" w:eastAsia="Times New Roman" w:hAnsi="Arial" w:cs="Arial"/>
                <w:color w:val="000000"/>
                <w:sz w:val="18"/>
                <w:szCs w:val="18"/>
              </w:rPr>
              <w:t>.</w:t>
            </w:r>
            <w:r w:rsidRPr="00BE336F">
              <w:rPr>
                <w:rFonts w:ascii="Arial" w:eastAsia="Times New Roman" w:hAnsi="Arial" w:cs="Arial"/>
                <w:color w:val="000000"/>
                <w:sz w:val="18"/>
                <w:szCs w:val="18"/>
              </w:rPr>
              <w:t>5</w:t>
            </w:r>
            <w:r>
              <w:rPr>
                <w:rFonts w:ascii="Arial" w:eastAsia="Times New Roman" w:hAnsi="Arial" w:cs="Arial"/>
                <w:color w:val="000000"/>
                <w:sz w:val="18"/>
                <w:szCs w:val="18"/>
              </w:rPr>
              <w:t>%</w:t>
            </w:r>
          </w:p>
        </w:tc>
        <w:tc>
          <w:tcPr>
            <w:tcW w:w="1899" w:type="dxa"/>
            <w:tcBorders>
              <w:top w:val="nil"/>
              <w:left w:val="nil"/>
              <w:bottom w:val="single" w:sz="4" w:space="0" w:color="auto"/>
              <w:right w:val="single" w:sz="4" w:space="0" w:color="auto"/>
            </w:tcBorders>
            <w:shd w:val="clear" w:color="auto" w:fill="auto"/>
            <w:noWrap/>
            <w:vAlign w:val="center"/>
            <w:hideMark/>
          </w:tcPr>
          <w:p w14:paraId="7BCAA604" w14:textId="77777777" w:rsidR="00383AE2" w:rsidRPr="00BE336F" w:rsidRDefault="00383AE2" w:rsidP="00D902DF">
            <w:pPr>
              <w:spacing w:after="0" w:line="480" w:lineRule="auto"/>
              <w:jc w:val="center"/>
              <w:rPr>
                <w:rFonts w:ascii="Arial" w:eastAsia="Times New Roman" w:hAnsi="Arial" w:cs="Arial"/>
                <w:color w:val="000000"/>
                <w:sz w:val="18"/>
                <w:szCs w:val="18"/>
              </w:rPr>
            </w:pPr>
            <w:r w:rsidRPr="00BE336F">
              <w:rPr>
                <w:rFonts w:ascii="Arial" w:eastAsia="Times New Roman" w:hAnsi="Arial" w:cs="Arial"/>
                <w:color w:val="000000"/>
                <w:sz w:val="18"/>
                <w:szCs w:val="18"/>
              </w:rPr>
              <w:t>1,500</w:t>
            </w:r>
          </w:p>
        </w:tc>
        <w:tc>
          <w:tcPr>
            <w:tcW w:w="1385" w:type="dxa"/>
            <w:tcBorders>
              <w:top w:val="nil"/>
              <w:left w:val="nil"/>
              <w:bottom w:val="single" w:sz="4" w:space="0" w:color="auto"/>
              <w:right w:val="single" w:sz="4" w:space="0" w:color="auto"/>
            </w:tcBorders>
            <w:vAlign w:val="center"/>
          </w:tcPr>
          <w:p w14:paraId="0592CE49" w14:textId="44A46968" w:rsidR="00383AE2" w:rsidRPr="00BE336F" w:rsidRDefault="00383AE2" w:rsidP="00D902DF">
            <w:pPr>
              <w:spacing w:after="0" w:line="480" w:lineRule="auto"/>
              <w:jc w:val="center"/>
              <w:rPr>
                <w:rFonts w:ascii="Arial" w:eastAsia="Times New Roman" w:hAnsi="Arial" w:cs="Arial"/>
                <w:color w:val="000000"/>
                <w:sz w:val="18"/>
                <w:szCs w:val="18"/>
              </w:rPr>
            </w:pPr>
            <w:r w:rsidRPr="005D2CBD">
              <w:t>250</w:t>
            </w:r>
          </w:p>
        </w:tc>
      </w:tr>
    </w:tbl>
    <w:p w14:paraId="0F02E720" w14:textId="565751A5" w:rsidR="007F0B2B" w:rsidRDefault="007F0B2B" w:rsidP="007F0B2B">
      <w:pPr>
        <w:pStyle w:val="NORCProposalBodyDoubleSpacing-Garamond"/>
        <w:spacing w:after="0"/>
        <w:rPr>
          <w:rFonts w:ascii="Times New Roman" w:hAnsi="Times New Roman" w:cs="Times New Roman"/>
          <w:sz w:val="24"/>
          <w:szCs w:val="24"/>
        </w:rPr>
      </w:pPr>
    </w:p>
    <w:p w14:paraId="40EEC511" w14:textId="77777777" w:rsidR="007F0B2B" w:rsidRDefault="007F0B2B" w:rsidP="00685097">
      <w:pPr>
        <w:pStyle w:val="NORCProposalBodyDoubleSpacing-Garamond"/>
        <w:spacing w:after="0"/>
        <w:rPr>
          <w:rFonts w:ascii="Times New Roman" w:hAnsi="Times New Roman" w:cs="Times New Roman"/>
          <w:sz w:val="24"/>
          <w:szCs w:val="24"/>
        </w:rPr>
      </w:pPr>
    </w:p>
    <w:p w14:paraId="36D22537" w14:textId="77777777" w:rsidR="00297F9C" w:rsidRPr="000B4248" w:rsidRDefault="00297F9C" w:rsidP="00685097">
      <w:pPr>
        <w:pStyle w:val="NORCProposalBodyDoubleSpacing-Garamond"/>
        <w:spacing w:after="0"/>
        <w:rPr>
          <w:rFonts w:ascii="Times New Roman" w:hAnsi="Times New Roman" w:cs="Times New Roman"/>
          <w:sz w:val="24"/>
          <w:szCs w:val="24"/>
        </w:rPr>
      </w:pPr>
    </w:p>
    <w:p w14:paraId="70D4076E" w14:textId="57148255" w:rsidR="000B4248" w:rsidRPr="000B4248" w:rsidRDefault="00297F9C" w:rsidP="00685097">
      <w:pPr>
        <w:pStyle w:val="NORCProposalBodyDoubleSpacing-Garamond"/>
        <w:spacing w:after="0"/>
        <w:rPr>
          <w:rFonts w:ascii="Times New Roman" w:hAnsi="Times New Roman" w:cs="Times New Roman"/>
          <w:sz w:val="24"/>
          <w:szCs w:val="24"/>
        </w:rPr>
      </w:pPr>
      <w:r>
        <w:rPr>
          <w:rFonts w:ascii="Times New Roman" w:hAnsi="Times New Roman" w:cs="Times New Roman"/>
          <w:sz w:val="24"/>
          <w:szCs w:val="24"/>
        </w:rPr>
        <w:t>Table</w:t>
      </w:r>
      <w:r w:rsidR="000B4248" w:rsidRPr="000B4248">
        <w:rPr>
          <w:rFonts w:ascii="Times New Roman" w:hAnsi="Times New Roman" w:cs="Times New Roman"/>
          <w:sz w:val="24"/>
          <w:szCs w:val="24"/>
        </w:rPr>
        <w:t xml:space="preserve"> </w:t>
      </w:r>
      <w:r w:rsidR="00383AE2">
        <w:rPr>
          <w:rFonts w:ascii="Times New Roman" w:hAnsi="Times New Roman" w:cs="Times New Roman"/>
          <w:sz w:val="24"/>
          <w:szCs w:val="24"/>
        </w:rPr>
        <w:t>2</w:t>
      </w:r>
      <w:r w:rsidR="00383AE2" w:rsidRPr="000B4248">
        <w:rPr>
          <w:rFonts w:ascii="Times New Roman" w:hAnsi="Times New Roman" w:cs="Times New Roman"/>
          <w:sz w:val="24"/>
          <w:szCs w:val="24"/>
        </w:rPr>
        <w:t xml:space="preserve"> </w:t>
      </w:r>
      <w:r w:rsidR="000B4248" w:rsidRPr="000B4248">
        <w:rPr>
          <w:rFonts w:ascii="Times New Roman" w:hAnsi="Times New Roman" w:cs="Times New Roman"/>
          <w:sz w:val="24"/>
          <w:szCs w:val="24"/>
        </w:rPr>
        <w:t>shows the expected survey completes in total for the baseline survey at the time of recruitment and for the two follow-up year</w:t>
      </w:r>
      <w:r w:rsidR="00E72837">
        <w:rPr>
          <w:rFonts w:ascii="Times New Roman" w:hAnsi="Times New Roman" w:cs="Times New Roman"/>
          <w:sz w:val="24"/>
          <w:szCs w:val="24"/>
        </w:rPr>
        <w:t>s for the recruited panel</w:t>
      </w:r>
      <w:r w:rsidR="00383AE2">
        <w:rPr>
          <w:rFonts w:ascii="Times New Roman" w:hAnsi="Times New Roman" w:cs="Times New Roman"/>
          <w:sz w:val="24"/>
          <w:szCs w:val="24"/>
        </w:rPr>
        <w:t>, as well as the associated margin of error</w:t>
      </w:r>
      <w:r w:rsidR="00383AE2" w:rsidRPr="000B4248">
        <w:rPr>
          <w:rFonts w:ascii="Times New Roman" w:hAnsi="Times New Roman" w:cs="Times New Roman"/>
          <w:sz w:val="24"/>
          <w:szCs w:val="24"/>
        </w:rPr>
        <w:t>. </w:t>
      </w:r>
      <w:r w:rsidR="00383AE2">
        <w:rPr>
          <w:rFonts w:ascii="Times New Roman" w:hAnsi="Times New Roman" w:cs="Times New Roman"/>
          <w:sz w:val="24"/>
          <w:szCs w:val="24"/>
        </w:rPr>
        <w:t xml:space="preserve">It also indicates the number of women that will complete the screener for the survey in the first row. Since there are </w:t>
      </w:r>
      <w:r w:rsidR="00881FCB">
        <w:rPr>
          <w:rFonts w:ascii="Times New Roman" w:hAnsi="Times New Roman" w:cs="Times New Roman"/>
          <w:sz w:val="24"/>
          <w:szCs w:val="24"/>
        </w:rPr>
        <w:t>a set of</w:t>
      </w:r>
      <w:r w:rsidR="00383AE2">
        <w:rPr>
          <w:rFonts w:ascii="Times New Roman" w:hAnsi="Times New Roman" w:cs="Times New Roman"/>
          <w:sz w:val="24"/>
          <w:szCs w:val="24"/>
        </w:rPr>
        <w:t xml:space="preserve"> questions that will be asked for the screening question, we have also included what the margin of error would be for women who are screened in Year 1.</w:t>
      </w:r>
      <w:r w:rsidR="000B4248" w:rsidRPr="000B4248">
        <w:rPr>
          <w:rFonts w:ascii="Times New Roman" w:hAnsi="Times New Roman" w:cs="Times New Roman"/>
          <w:sz w:val="24"/>
          <w:szCs w:val="24"/>
        </w:rPr>
        <w:t> </w:t>
      </w:r>
    </w:p>
    <w:p w14:paraId="1D4BF34F" w14:textId="77777777" w:rsidR="000B4248" w:rsidRDefault="000B4248" w:rsidP="00685097">
      <w:pPr>
        <w:autoSpaceDE w:val="0"/>
        <w:autoSpaceDN w:val="0"/>
        <w:adjustRightInd w:val="0"/>
        <w:spacing w:after="0" w:line="480" w:lineRule="auto"/>
        <w:rPr>
          <w:rFonts w:ascii="Times New Roman" w:hAnsi="Times New Roman" w:cs="Times New Roman"/>
          <w:sz w:val="24"/>
          <w:szCs w:val="24"/>
        </w:rPr>
      </w:pPr>
    </w:p>
    <w:p w14:paraId="57123A8F" w14:textId="77777777" w:rsidR="00881FCB" w:rsidRDefault="00881FCB" w:rsidP="00685097">
      <w:pPr>
        <w:autoSpaceDE w:val="0"/>
        <w:autoSpaceDN w:val="0"/>
        <w:adjustRightInd w:val="0"/>
        <w:spacing w:after="0" w:line="480" w:lineRule="auto"/>
        <w:rPr>
          <w:rFonts w:ascii="Times New Roman" w:hAnsi="Times New Roman" w:cs="Times New Roman"/>
          <w:b/>
          <w:sz w:val="24"/>
          <w:szCs w:val="24"/>
        </w:rPr>
      </w:pPr>
    </w:p>
    <w:p w14:paraId="7DBE4876" w14:textId="77777777" w:rsidR="00881FCB" w:rsidRDefault="00881FCB" w:rsidP="00685097">
      <w:pPr>
        <w:autoSpaceDE w:val="0"/>
        <w:autoSpaceDN w:val="0"/>
        <w:adjustRightInd w:val="0"/>
        <w:spacing w:after="0" w:line="480" w:lineRule="auto"/>
        <w:rPr>
          <w:rFonts w:ascii="Times New Roman" w:hAnsi="Times New Roman" w:cs="Times New Roman"/>
          <w:b/>
          <w:sz w:val="24"/>
          <w:szCs w:val="24"/>
        </w:rPr>
      </w:pPr>
    </w:p>
    <w:p w14:paraId="448BE8CB" w14:textId="48D8E8EB" w:rsidR="00A700B8" w:rsidRDefault="00A700B8" w:rsidP="00685097">
      <w:pPr>
        <w:autoSpaceDE w:val="0"/>
        <w:autoSpaceDN w:val="0"/>
        <w:adjustRightInd w:val="0"/>
        <w:spacing w:after="0" w:line="480" w:lineRule="auto"/>
        <w:rPr>
          <w:rFonts w:ascii="Times New Roman" w:hAnsi="Times New Roman" w:cs="Times New Roman"/>
          <w:sz w:val="24"/>
          <w:szCs w:val="24"/>
        </w:rPr>
      </w:pPr>
      <w:r w:rsidRPr="00A700B8">
        <w:rPr>
          <w:rFonts w:ascii="Times New Roman" w:hAnsi="Times New Roman" w:cs="Times New Roman"/>
          <w:b/>
          <w:sz w:val="24"/>
          <w:szCs w:val="24"/>
        </w:rPr>
        <w:t xml:space="preserve">Table </w:t>
      </w:r>
      <w:r w:rsidR="00881FCB">
        <w:rPr>
          <w:rFonts w:ascii="Times New Roman" w:hAnsi="Times New Roman" w:cs="Times New Roman"/>
          <w:b/>
          <w:sz w:val="24"/>
          <w:szCs w:val="24"/>
        </w:rPr>
        <w:t>2</w:t>
      </w:r>
      <w:r w:rsidRPr="00A700B8">
        <w:rPr>
          <w:rFonts w:ascii="Times New Roman" w:hAnsi="Times New Roman" w:cs="Times New Roman"/>
          <w:b/>
          <w:sz w:val="24"/>
          <w:szCs w:val="24"/>
        </w:rPr>
        <w:t>.</w:t>
      </w:r>
      <w:r>
        <w:rPr>
          <w:rFonts w:ascii="Times New Roman" w:hAnsi="Times New Roman" w:cs="Times New Roman"/>
          <w:sz w:val="24"/>
          <w:szCs w:val="24"/>
        </w:rPr>
        <w:t xml:space="preserve"> Survey C</w:t>
      </w:r>
      <w:r w:rsidR="005E3DE7">
        <w:rPr>
          <w:rFonts w:ascii="Times New Roman" w:hAnsi="Times New Roman" w:cs="Times New Roman"/>
          <w:sz w:val="24"/>
          <w:szCs w:val="24"/>
        </w:rPr>
        <w:t>ompletes by</w:t>
      </w:r>
      <w:r>
        <w:rPr>
          <w:rFonts w:ascii="Times New Roman" w:hAnsi="Times New Roman" w:cs="Times New Roman"/>
          <w:sz w:val="24"/>
          <w:szCs w:val="24"/>
        </w:rPr>
        <w:t xml:space="preserve">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5"/>
        <w:gridCol w:w="1170"/>
        <w:gridCol w:w="1170"/>
        <w:gridCol w:w="720"/>
        <w:gridCol w:w="1170"/>
        <w:gridCol w:w="720"/>
        <w:gridCol w:w="1153"/>
        <w:gridCol w:w="745"/>
        <w:gridCol w:w="1157"/>
      </w:tblGrid>
      <w:tr w:rsidR="00A700B8" w:rsidRPr="0077769C" w14:paraId="41D1B81E" w14:textId="77777777" w:rsidTr="008E1041">
        <w:trPr>
          <w:tblHeader/>
        </w:trPr>
        <w:tc>
          <w:tcPr>
            <w:tcW w:w="1345" w:type="dxa"/>
            <w:shd w:val="clear" w:color="auto" w:fill="A3C3B7"/>
            <w:tcMar>
              <w:top w:w="0" w:type="dxa"/>
              <w:left w:w="58" w:type="dxa"/>
              <w:bottom w:w="0" w:type="dxa"/>
              <w:right w:w="58" w:type="dxa"/>
            </w:tcMar>
            <w:vAlign w:val="bottom"/>
          </w:tcPr>
          <w:p w14:paraId="28FABA79" w14:textId="77777777" w:rsidR="00A700B8" w:rsidRPr="00812DB0" w:rsidRDefault="00A700B8" w:rsidP="00685097">
            <w:pPr>
              <w:keepNext/>
              <w:keepLines/>
              <w:spacing w:before="40" w:after="40" w:line="480" w:lineRule="auto"/>
              <w:jc w:val="center"/>
              <w:rPr>
                <w:rFonts w:ascii="Arial" w:hAnsi="Arial"/>
                <w:b/>
                <w:color w:val="1F497D"/>
                <w:sz w:val="18"/>
              </w:rPr>
            </w:pPr>
          </w:p>
        </w:tc>
        <w:tc>
          <w:tcPr>
            <w:tcW w:w="1170" w:type="dxa"/>
            <w:shd w:val="clear" w:color="auto" w:fill="A3C3B7"/>
            <w:tcMar>
              <w:top w:w="0" w:type="dxa"/>
              <w:left w:w="58" w:type="dxa"/>
              <w:bottom w:w="0" w:type="dxa"/>
              <w:right w:w="58" w:type="dxa"/>
            </w:tcMar>
            <w:vAlign w:val="bottom"/>
            <w:hideMark/>
          </w:tcPr>
          <w:p w14:paraId="35D085EE" w14:textId="77777777" w:rsidR="00A700B8" w:rsidRPr="00812DB0" w:rsidRDefault="00A700B8" w:rsidP="00685097">
            <w:pPr>
              <w:keepNext/>
              <w:keepLines/>
              <w:spacing w:before="40" w:after="40" w:line="480" w:lineRule="auto"/>
              <w:jc w:val="center"/>
              <w:rPr>
                <w:rFonts w:ascii="Arial" w:hAnsi="Arial"/>
                <w:b/>
                <w:sz w:val="18"/>
              </w:rPr>
            </w:pPr>
            <w:r w:rsidRPr="00812DB0">
              <w:rPr>
                <w:rFonts w:ascii="Arial" w:hAnsi="Arial"/>
                <w:b/>
                <w:sz w:val="18"/>
              </w:rPr>
              <w:t>Year 1 Baseline/</w:t>
            </w:r>
            <w:r w:rsidRPr="0077769C">
              <w:rPr>
                <w:rFonts w:ascii="Arial" w:hAnsi="Arial" w:cs="Arial"/>
                <w:b/>
                <w:sz w:val="18"/>
                <w:szCs w:val="18"/>
              </w:rPr>
              <w:t xml:space="preserve"> </w:t>
            </w:r>
            <w:r w:rsidRPr="00812DB0">
              <w:rPr>
                <w:rFonts w:ascii="Arial" w:hAnsi="Arial"/>
                <w:b/>
                <w:sz w:val="18"/>
              </w:rPr>
              <w:t>Panel Recruitment</w:t>
            </w:r>
          </w:p>
        </w:tc>
        <w:tc>
          <w:tcPr>
            <w:tcW w:w="1170" w:type="dxa"/>
            <w:shd w:val="clear" w:color="auto" w:fill="A3C3B7"/>
            <w:tcMar>
              <w:top w:w="0" w:type="dxa"/>
              <w:left w:w="58" w:type="dxa"/>
              <w:bottom w:w="0" w:type="dxa"/>
              <w:right w:w="58" w:type="dxa"/>
            </w:tcMar>
            <w:vAlign w:val="bottom"/>
          </w:tcPr>
          <w:p w14:paraId="1BAECA5D" w14:textId="77777777" w:rsidR="00A700B8" w:rsidRPr="00812DB0" w:rsidRDefault="00A700B8" w:rsidP="00685097">
            <w:pPr>
              <w:keepNext/>
              <w:keepLines/>
              <w:spacing w:before="40" w:after="40" w:line="480" w:lineRule="auto"/>
              <w:jc w:val="center"/>
              <w:rPr>
                <w:rFonts w:ascii="Arial" w:hAnsi="Arial"/>
                <w:b/>
                <w:sz w:val="18"/>
              </w:rPr>
            </w:pPr>
            <w:r w:rsidRPr="00812DB0">
              <w:rPr>
                <w:rFonts w:ascii="Arial" w:hAnsi="Arial"/>
                <w:b/>
                <w:sz w:val="18"/>
              </w:rPr>
              <w:t>MOE* (Percentage Points)</w:t>
            </w:r>
          </w:p>
        </w:tc>
        <w:tc>
          <w:tcPr>
            <w:tcW w:w="720" w:type="dxa"/>
            <w:shd w:val="clear" w:color="auto" w:fill="A3C3B7"/>
            <w:tcMar>
              <w:top w:w="0" w:type="dxa"/>
              <w:left w:w="58" w:type="dxa"/>
              <w:bottom w:w="0" w:type="dxa"/>
              <w:right w:w="58" w:type="dxa"/>
            </w:tcMar>
            <w:vAlign w:val="bottom"/>
            <w:hideMark/>
          </w:tcPr>
          <w:p w14:paraId="1B960F87" w14:textId="77777777" w:rsidR="00A700B8" w:rsidRPr="00812DB0" w:rsidRDefault="00A700B8" w:rsidP="00685097">
            <w:pPr>
              <w:keepNext/>
              <w:keepLines/>
              <w:spacing w:before="40" w:after="40" w:line="480" w:lineRule="auto"/>
              <w:jc w:val="center"/>
              <w:rPr>
                <w:rFonts w:ascii="Arial" w:hAnsi="Arial"/>
                <w:b/>
                <w:sz w:val="18"/>
              </w:rPr>
            </w:pPr>
            <w:r w:rsidRPr="00812DB0">
              <w:rPr>
                <w:rFonts w:ascii="Arial" w:hAnsi="Arial"/>
                <w:b/>
                <w:sz w:val="18"/>
              </w:rPr>
              <w:t>Year 2 Survey</w:t>
            </w:r>
          </w:p>
        </w:tc>
        <w:tc>
          <w:tcPr>
            <w:tcW w:w="1170" w:type="dxa"/>
            <w:shd w:val="clear" w:color="auto" w:fill="A3C3B7"/>
            <w:tcMar>
              <w:top w:w="0" w:type="dxa"/>
              <w:left w:w="58" w:type="dxa"/>
              <w:bottom w:w="0" w:type="dxa"/>
              <w:right w:w="58" w:type="dxa"/>
            </w:tcMar>
            <w:vAlign w:val="bottom"/>
          </w:tcPr>
          <w:p w14:paraId="66DE7B4B" w14:textId="77777777" w:rsidR="00A700B8" w:rsidRPr="00812DB0" w:rsidRDefault="00A700B8" w:rsidP="00685097">
            <w:pPr>
              <w:keepNext/>
              <w:keepLines/>
              <w:spacing w:before="40" w:after="40" w:line="480" w:lineRule="auto"/>
              <w:jc w:val="center"/>
              <w:rPr>
                <w:rFonts w:ascii="Arial" w:hAnsi="Arial"/>
                <w:b/>
                <w:sz w:val="18"/>
              </w:rPr>
            </w:pPr>
            <w:r w:rsidRPr="00812DB0">
              <w:rPr>
                <w:rFonts w:ascii="Arial" w:hAnsi="Arial"/>
                <w:b/>
                <w:sz w:val="18"/>
              </w:rPr>
              <w:t>MOE (Percentage Points)</w:t>
            </w:r>
          </w:p>
        </w:tc>
        <w:tc>
          <w:tcPr>
            <w:tcW w:w="720" w:type="dxa"/>
            <w:shd w:val="clear" w:color="auto" w:fill="A3C3B7"/>
            <w:tcMar>
              <w:top w:w="0" w:type="dxa"/>
              <w:left w:w="58" w:type="dxa"/>
              <w:bottom w:w="0" w:type="dxa"/>
              <w:right w:w="58" w:type="dxa"/>
            </w:tcMar>
            <w:vAlign w:val="bottom"/>
            <w:hideMark/>
          </w:tcPr>
          <w:p w14:paraId="002CD081" w14:textId="77777777" w:rsidR="00A700B8" w:rsidRPr="00812DB0" w:rsidRDefault="00A700B8" w:rsidP="00685097">
            <w:pPr>
              <w:keepNext/>
              <w:keepLines/>
              <w:spacing w:before="40" w:after="40" w:line="480" w:lineRule="auto"/>
              <w:jc w:val="center"/>
              <w:rPr>
                <w:rFonts w:ascii="Arial" w:hAnsi="Arial"/>
                <w:b/>
                <w:sz w:val="18"/>
              </w:rPr>
            </w:pPr>
            <w:r w:rsidRPr="00812DB0">
              <w:rPr>
                <w:rFonts w:ascii="Arial" w:hAnsi="Arial"/>
                <w:b/>
                <w:sz w:val="18"/>
              </w:rPr>
              <w:t>Year 3 Survey</w:t>
            </w:r>
          </w:p>
        </w:tc>
        <w:tc>
          <w:tcPr>
            <w:tcW w:w="1153" w:type="dxa"/>
            <w:shd w:val="clear" w:color="auto" w:fill="A3C3B7"/>
            <w:tcMar>
              <w:top w:w="0" w:type="dxa"/>
              <w:left w:w="58" w:type="dxa"/>
              <w:bottom w:w="0" w:type="dxa"/>
              <w:right w:w="58" w:type="dxa"/>
            </w:tcMar>
            <w:vAlign w:val="bottom"/>
          </w:tcPr>
          <w:p w14:paraId="524799B0" w14:textId="77777777" w:rsidR="00A700B8" w:rsidRPr="00812DB0" w:rsidRDefault="00A700B8" w:rsidP="00685097">
            <w:pPr>
              <w:keepNext/>
              <w:keepLines/>
              <w:spacing w:before="40" w:after="40" w:line="480" w:lineRule="auto"/>
              <w:jc w:val="center"/>
              <w:rPr>
                <w:rFonts w:ascii="Arial" w:hAnsi="Arial"/>
                <w:b/>
                <w:sz w:val="18"/>
              </w:rPr>
            </w:pPr>
            <w:r w:rsidRPr="00812DB0">
              <w:rPr>
                <w:rFonts w:ascii="Arial" w:hAnsi="Arial"/>
                <w:b/>
                <w:sz w:val="18"/>
              </w:rPr>
              <w:t>MOE (Percentage Points)</w:t>
            </w:r>
          </w:p>
        </w:tc>
        <w:tc>
          <w:tcPr>
            <w:tcW w:w="745" w:type="dxa"/>
            <w:shd w:val="clear" w:color="auto" w:fill="A3C3B7"/>
            <w:tcMar>
              <w:top w:w="0" w:type="dxa"/>
              <w:left w:w="58" w:type="dxa"/>
              <w:bottom w:w="0" w:type="dxa"/>
              <w:right w:w="58" w:type="dxa"/>
            </w:tcMar>
            <w:vAlign w:val="bottom"/>
            <w:hideMark/>
          </w:tcPr>
          <w:p w14:paraId="1FDFD0F4" w14:textId="77777777" w:rsidR="00A700B8" w:rsidRPr="00812DB0" w:rsidRDefault="00A700B8" w:rsidP="00685097">
            <w:pPr>
              <w:keepNext/>
              <w:keepLines/>
              <w:spacing w:before="40" w:after="40" w:line="480" w:lineRule="auto"/>
              <w:jc w:val="center"/>
              <w:rPr>
                <w:rFonts w:ascii="Arial" w:hAnsi="Arial"/>
                <w:b/>
                <w:sz w:val="18"/>
              </w:rPr>
            </w:pPr>
            <w:r w:rsidRPr="00812DB0">
              <w:rPr>
                <w:rFonts w:ascii="Arial" w:hAnsi="Arial"/>
                <w:b/>
                <w:sz w:val="18"/>
              </w:rPr>
              <w:t>Total Across Years</w:t>
            </w:r>
          </w:p>
        </w:tc>
        <w:tc>
          <w:tcPr>
            <w:tcW w:w="1157" w:type="dxa"/>
            <w:shd w:val="clear" w:color="auto" w:fill="A3C3B7"/>
            <w:tcMar>
              <w:top w:w="0" w:type="dxa"/>
              <w:left w:w="58" w:type="dxa"/>
              <w:bottom w:w="0" w:type="dxa"/>
              <w:right w:w="58" w:type="dxa"/>
            </w:tcMar>
            <w:vAlign w:val="bottom"/>
          </w:tcPr>
          <w:p w14:paraId="685FE499" w14:textId="77777777" w:rsidR="00A700B8" w:rsidRPr="00812DB0" w:rsidRDefault="00A700B8" w:rsidP="00685097">
            <w:pPr>
              <w:keepNext/>
              <w:keepLines/>
              <w:spacing w:before="40" w:after="40" w:line="480" w:lineRule="auto"/>
              <w:jc w:val="center"/>
              <w:rPr>
                <w:rFonts w:ascii="Arial" w:hAnsi="Arial"/>
                <w:b/>
                <w:sz w:val="18"/>
              </w:rPr>
            </w:pPr>
            <w:r w:rsidRPr="00812DB0">
              <w:rPr>
                <w:rFonts w:ascii="Arial" w:hAnsi="Arial"/>
                <w:b/>
                <w:sz w:val="18"/>
              </w:rPr>
              <w:t>MOE (Percentage Points</w:t>
            </w:r>
          </w:p>
        </w:tc>
      </w:tr>
      <w:tr w:rsidR="00A700B8" w:rsidRPr="0077769C" w14:paraId="22E0D2D4" w14:textId="77777777" w:rsidTr="005E3DE7">
        <w:tc>
          <w:tcPr>
            <w:tcW w:w="1345" w:type="dxa"/>
            <w:shd w:val="clear" w:color="auto" w:fill="auto"/>
            <w:tcMar>
              <w:top w:w="0" w:type="dxa"/>
              <w:left w:w="58" w:type="dxa"/>
              <w:bottom w:w="0" w:type="dxa"/>
              <w:right w:w="58" w:type="dxa"/>
            </w:tcMar>
            <w:vAlign w:val="center"/>
            <w:hideMark/>
          </w:tcPr>
          <w:p w14:paraId="765676C8" w14:textId="77777777" w:rsidR="00A700B8" w:rsidRPr="00812DB0" w:rsidRDefault="00A700B8" w:rsidP="00685097">
            <w:pPr>
              <w:keepNext/>
              <w:keepLines/>
              <w:spacing w:before="40" w:after="40" w:line="480" w:lineRule="auto"/>
              <w:rPr>
                <w:rFonts w:ascii="Arial" w:hAnsi="Arial"/>
                <w:b/>
                <w:sz w:val="18"/>
              </w:rPr>
            </w:pPr>
            <w:r w:rsidRPr="00812DB0">
              <w:rPr>
                <w:rFonts w:ascii="Arial" w:hAnsi="Arial"/>
                <w:b/>
                <w:sz w:val="18"/>
              </w:rPr>
              <w:t>Total Screener Completes Across States</w:t>
            </w:r>
          </w:p>
        </w:tc>
        <w:tc>
          <w:tcPr>
            <w:tcW w:w="1170" w:type="dxa"/>
            <w:shd w:val="clear" w:color="auto" w:fill="auto"/>
            <w:tcMar>
              <w:top w:w="0" w:type="dxa"/>
              <w:left w:w="58" w:type="dxa"/>
              <w:bottom w:w="0" w:type="dxa"/>
              <w:right w:w="58" w:type="dxa"/>
            </w:tcMar>
            <w:vAlign w:val="center"/>
            <w:hideMark/>
          </w:tcPr>
          <w:p w14:paraId="6E17BF41" w14:textId="2466B6B7" w:rsidR="00A700B8" w:rsidRPr="00812DB0" w:rsidRDefault="006C4EE6" w:rsidP="00685097">
            <w:pPr>
              <w:keepNext/>
              <w:keepLines/>
              <w:spacing w:before="40" w:after="40" w:line="480" w:lineRule="auto"/>
              <w:jc w:val="center"/>
              <w:rPr>
                <w:rFonts w:ascii="Arial" w:hAnsi="Arial"/>
                <w:sz w:val="18"/>
              </w:rPr>
            </w:pPr>
            <w:r>
              <w:rPr>
                <w:rFonts w:ascii="Arial" w:hAnsi="Arial"/>
                <w:sz w:val="18"/>
              </w:rPr>
              <w:t>9,683</w:t>
            </w:r>
          </w:p>
        </w:tc>
        <w:tc>
          <w:tcPr>
            <w:tcW w:w="1170" w:type="dxa"/>
            <w:shd w:val="clear" w:color="auto" w:fill="auto"/>
            <w:tcMar>
              <w:top w:w="0" w:type="dxa"/>
              <w:left w:w="58" w:type="dxa"/>
              <w:bottom w:w="0" w:type="dxa"/>
              <w:right w:w="58" w:type="dxa"/>
            </w:tcMar>
            <w:vAlign w:val="center"/>
            <w:hideMark/>
          </w:tcPr>
          <w:p w14:paraId="20111055" w14:textId="77777777" w:rsidR="00A700B8" w:rsidRPr="00812DB0" w:rsidRDefault="00A700B8" w:rsidP="00685097">
            <w:pPr>
              <w:keepNext/>
              <w:keepLines/>
              <w:spacing w:before="40" w:after="40" w:line="480" w:lineRule="auto"/>
              <w:jc w:val="center"/>
              <w:rPr>
                <w:rFonts w:ascii="Arial" w:hAnsi="Arial"/>
                <w:b/>
                <w:color w:val="70A489"/>
                <w:sz w:val="18"/>
              </w:rPr>
            </w:pPr>
            <w:r w:rsidRPr="00812DB0">
              <w:rPr>
                <w:rFonts w:ascii="Arial" w:hAnsi="Arial"/>
                <w:b/>
                <w:color w:val="70A489"/>
                <w:sz w:val="18"/>
              </w:rPr>
              <w:t xml:space="preserve">+/- </w:t>
            </w:r>
            <w:r>
              <w:rPr>
                <w:rFonts w:ascii="Arial" w:hAnsi="Arial"/>
                <w:b/>
                <w:color w:val="70A489"/>
                <w:sz w:val="18"/>
              </w:rPr>
              <w:t>0.7</w:t>
            </w:r>
          </w:p>
        </w:tc>
        <w:tc>
          <w:tcPr>
            <w:tcW w:w="720" w:type="dxa"/>
            <w:shd w:val="clear" w:color="auto" w:fill="auto"/>
            <w:tcMar>
              <w:top w:w="0" w:type="dxa"/>
              <w:left w:w="58" w:type="dxa"/>
              <w:bottom w:w="0" w:type="dxa"/>
              <w:right w:w="58" w:type="dxa"/>
            </w:tcMar>
            <w:vAlign w:val="center"/>
            <w:hideMark/>
          </w:tcPr>
          <w:p w14:paraId="49AC6020" w14:textId="77777777" w:rsidR="00A700B8" w:rsidRPr="00812DB0" w:rsidRDefault="00A700B8" w:rsidP="00685097">
            <w:pPr>
              <w:keepNext/>
              <w:keepLines/>
              <w:spacing w:before="40" w:after="40" w:line="480" w:lineRule="auto"/>
              <w:jc w:val="center"/>
              <w:rPr>
                <w:rFonts w:ascii="Arial" w:hAnsi="Arial"/>
                <w:sz w:val="18"/>
              </w:rPr>
            </w:pPr>
            <w:r w:rsidRPr="00812DB0">
              <w:rPr>
                <w:rFonts w:ascii="Arial" w:hAnsi="Arial"/>
                <w:sz w:val="18"/>
              </w:rPr>
              <w:t>NA</w:t>
            </w:r>
          </w:p>
        </w:tc>
        <w:tc>
          <w:tcPr>
            <w:tcW w:w="1170" w:type="dxa"/>
            <w:shd w:val="clear" w:color="auto" w:fill="auto"/>
            <w:tcMar>
              <w:top w:w="0" w:type="dxa"/>
              <w:left w:w="58" w:type="dxa"/>
              <w:bottom w:w="0" w:type="dxa"/>
              <w:right w:w="58" w:type="dxa"/>
            </w:tcMar>
            <w:vAlign w:val="center"/>
            <w:hideMark/>
          </w:tcPr>
          <w:p w14:paraId="74F07DE5" w14:textId="77777777" w:rsidR="00A700B8" w:rsidRPr="00812DB0" w:rsidRDefault="00A700B8" w:rsidP="00685097">
            <w:pPr>
              <w:keepNext/>
              <w:keepLines/>
              <w:spacing w:before="40" w:after="40" w:line="480" w:lineRule="auto"/>
              <w:jc w:val="center"/>
              <w:rPr>
                <w:rFonts w:ascii="Arial" w:hAnsi="Arial"/>
                <w:sz w:val="18"/>
              </w:rPr>
            </w:pPr>
            <w:r w:rsidRPr="00812DB0">
              <w:rPr>
                <w:rFonts w:ascii="Arial" w:hAnsi="Arial"/>
                <w:sz w:val="18"/>
              </w:rPr>
              <w:t>NA</w:t>
            </w:r>
          </w:p>
        </w:tc>
        <w:tc>
          <w:tcPr>
            <w:tcW w:w="720" w:type="dxa"/>
            <w:shd w:val="clear" w:color="auto" w:fill="auto"/>
            <w:tcMar>
              <w:top w:w="0" w:type="dxa"/>
              <w:left w:w="58" w:type="dxa"/>
              <w:bottom w:w="0" w:type="dxa"/>
              <w:right w:w="58" w:type="dxa"/>
            </w:tcMar>
            <w:vAlign w:val="center"/>
            <w:hideMark/>
          </w:tcPr>
          <w:p w14:paraId="491AA4F7" w14:textId="77777777" w:rsidR="00A700B8" w:rsidRPr="00812DB0" w:rsidRDefault="00A700B8" w:rsidP="00685097">
            <w:pPr>
              <w:keepNext/>
              <w:keepLines/>
              <w:spacing w:before="40" w:after="40" w:line="480" w:lineRule="auto"/>
              <w:jc w:val="center"/>
              <w:rPr>
                <w:rFonts w:ascii="Arial" w:hAnsi="Arial"/>
                <w:sz w:val="18"/>
              </w:rPr>
            </w:pPr>
            <w:r w:rsidRPr="00812DB0">
              <w:rPr>
                <w:rFonts w:ascii="Arial" w:hAnsi="Arial"/>
                <w:sz w:val="18"/>
              </w:rPr>
              <w:t>NA</w:t>
            </w:r>
          </w:p>
        </w:tc>
        <w:tc>
          <w:tcPr>
            <w:tcW w:w="1153" w:type="dxa"/>
            <w:shd w:val="clear" w:color="auto" w:fill="auto"/>
            <w:tcMar>
              <w:top w:w="0" w:type="dxa"/>
              <w:left w:w="58" w:type="dxa"/>
              <w:bottom w:w="0" w:type="dxa"/>
              <w:right w:w="58" w:type="dxa"/>
            </w:tcMar>
            <w:vAlign w:val="center"/>
            <w:hideMark/>
          </w:tcPr>
          <w:p w14:paraId="1E376B6E" w14:textId="77777777" w:rsidR="00A700B8" w:rsidRPr="00812DB0" w:rsidRDefault="00A700B8" w:rsidP="00685097">
            <w:pPr>
              <w:keepNext/>
              <w:keepLines/>
              <w:spacing w:before="40" w:after="40" w:line="480" w:lineRule="auto"/>
              <w:jc w:val="center"/>
              <w:rPr>
                <w:rFonts w:ascii="Arial" w:hAnsi="Arial"/>
                <w:sz w:val="18"/>
              </w:rPr>
            </w:pPr>
            <w:r w:rsidRPr="00812DB0">
              <w:rPr>
                <w:rFonts w:ascii="Arial" w:hAnsi="Arial"/>
                <w:sz w:val="18"/>
              </w:rPr>
              <w:t>NA</w:t>
            </w:r>
          </w:p>
        </w:tc>
        <w:tc>
          <w:tcPr>
            <w:tcW w:w="745" w:type="dxa"/>
            <w:shd w:val="clear" w:color="auto" w:fill="auto"/>
            <w:tcMar>
              <w:top w:w="0" w:type="dxa"/>
              <w:left w:w="58" w:type="dxa"/>
              <w:bottom w:w="0" w:type="dxa"/>
              <w:right w:w="58" w:type="dxa"/>
            </w:tcMar>
            <w:vAlign w:val="center"/>
            <w:hideMark/>
          </w:tcPr>
          <w:p w14:paraId="4F210A51" w14:textId="239D8C6F" w:rsidR="00A700B8" w:rsidRPr="00812DB0" w:rsidRDefault="006C4EE6" w:rsidP="00685097">
            <w:pPr>
              <w:keepNext/>
              <w:keepLines/>
              <w:spacing w:before="40" w:after="40" w:line="480" w:lineRule="auto"/>
              <w:jc w:val="center"/>
              <w:rPr>
                <w:rFonts w:ascii="Arial" w:hAnsi="Arial"/>
                <w:sz w:val="18"/>
              </w:rPr>
            </w:pPr>
            <w:r>
              <w:rPr>
                <w:rFonts w:ascii="Arial" w:hAnsi="Arial"/>
                <w:sz w:val="18"/>
              </w:rPr>
              <w:t>9,683</w:t>
            </w:r>
          </w:p>
        </w:tc>
        <w:tc>
          <w:tcPr>
            <w:tcW w:w="1157" w:type="dxa"/>
            <w:shd w:val="clear" w:color="auto" w:fill="auto"/>
            <w:tcMar>
              <w:top w:w="0" w:type="dxa"/>
              <w:left w:w="58" w:type="dxa"/>
              <w:bottom w:w="0" w:type="dxa"/>
              <w:right w:w="58" w:type="dxa"/>
            </w:tcMar>
            <w:vAlign w:val="center"/>
            <w:hideMark/>
          </w:tcPr>
          <w:p w14:paraId="41959779" w14:textId="77777777" w:rsidR="00A700B8" w:rsidRPr="00812DB0" w:rsidRDefault="00A700B8" w:rsidP="00685097">
            <w:pPr>
              <w:keepNext/>
              <w:keepLines/>
              <w:spacing w:before="40" w:after="40" w:line="480" w:lineRule="auto"/>
              <w:jc w:val="center"/>
              <w:rPr>
                <w:rFonts w:ascii="Arial" w:hAnsi="Arial"/>
                <w:b/>
                <w:color w:val="E46C0A"/>
                <w:sz w:val="18"/>
              </w:rPr>
            </w:pPr>
            <w:r w:rsidRPr="00812DB0">
              <w:rPr>
                <w:rFonts w:ascii="Arial" w:hAnsi="Arial"/>
                <w:b/>
                <w:color w:val="70A489"/>
                <w:sz w:val="18"/>
              </w:rPr>
              <w:t xml:space="preserve">+/- </w:t>
            </w:r>
            <w:r>
              <w:rPr>
                <w:rFonts w:ascii="Arial" w:hAnsi="Arial"/>
                <w:b/>
                <w:color w:val="70A489"/>
                <w:sz w:val="18"/>
              </w:rPr>
              <w:t>0.7</w:t>
            </w:r>
          </w:p>
        </w:tc>
      </w:tr>
      <w:tr w:rsidR="00A700B8" w:rsidRPr="0077769C" w14:paraId="74C5FB16" w14:textId="77777777" w:rsidTr="005E3DE7">
        <w:trPr>
          <w:trHeight w:val="863"/>
        </w:trPr>
        <w:tc>
          <w:tcPr>
            <w:tcW w:w="1345" w:type="dxa"/>
            <w:shd w:val="clear" w:color="auto" w:fill="E9E6E3"/>
            <w:tcMar>
              <w:top w:w="0" w:type="dxa"/>
              <w:left w:w="58" w:type="dxa"/>
              <w:bottom w:w="0" w:type="dxa"/>
              <w:right w:w="58" w:type="dxa"/>
            </w:tcMar>
            <w:vAlign w:val="center"/>
            <w:hideMark/>
          </w:tcPr>
          <w:p w14:paraId="17C37D3A" w14:textId="79D046FA" w:rsidR="00A700B8" w:rsidRPr="00812DB0" w:rsidRDefault="00A700B8" w:rsidP="00AD5C6C">
            <w:pPr>
              <w:spacing w:before="40" w:after="40" w:line="480" w:lineRule="auto"/>
              <w:rPr>
                <w:rFonts w:ascii="Arial" w:hAnsi="Arial"/>
                <w:b/>
                <w:sz w:val="18"/>
              </w:rPr>
            </w:pPr>
            <w:r w:rsidRPr="00812DB0">
              <w:rPr>
                <w:rFonts w:ascii="Arial" w:hAnsi="Arial"/>
                <w:b/>
                <w:sz w:val="18"/>
              </w:rPr>
              <w:t>Total Completes Across States</w:t>
            </w:r>
          </w:p>
        </w:tc>
        <w:tc>
          <w:tcPr>
            <w:tcW w:w="1170" w:type="dxa"/>
            <w:shd w:val="clear" w:color="auto" w:fill="E9E6E3"/>
            <w:tcMar>
              <w:top w:w="0" w:type="dxa"/>
              <w:left w:w="58" w:type="dxa"/>
              <w:bottom w:w="0" w:type="dxa"/>
              <w:right w:w="58" w:type="dxa"/>
            </w:tcMar>
            <w:vAlign w:val="center"/>
            <w:hideMark/>
          </w:tcPr>
          <w:p w14:paraId="41A7CCF2" w14:textId="38A01DEB" w:rsidR="00A700B8" w:rsidRPr="00812DB0" w:rsidRDefault="00A700B8" w:rsidP="00685097">
            <w:pPr>
              <w:spacing w:before="40" w:after="40" w:line="480" w:lineRule="auto"/>
              <w:jc w:val="center"/>
              <w:rPr>
                <w:rFonts w:ascii="Arial" w:hAnsi="Arial"/>
                <w:sz w:val="18"/>
              </w:rPr>
            </w:pPr>
            <w:r>
              <w:rPr>
                <w:rFonts w:ascii="Arial" w:hAnsi="Arial"/>
                <w:sz w:val="18"/>
              </w:rPr>
              <w:t>3,2</w:t>
            </w:r>
            <w:r w:rsidR="000855D1">
              <w:rPr>
                <w:rFonts w:ascii="Arial" w:hAnsi="Arial"/>
                <w:sz w:val="18"/>
              </w:rPr>
              <w:t>92</w:t>
            </w:r>
          </w:p>
        </w:tc>
        <w:tc>
          <w:tcPr>
            <w:tcW w:w="1170" w:type="dxa"/>
            <w:shd w:val="clear" w:color="auto" w:fill="E9E6E3"/>
            <w:tcMar>
              <w:top w:w="0" w:type="dxa"/>
              <w:left w:w="58" w:type="dxa"/>
              <w:bottom w:w="0" w:type="dxa"/>
              <w:right w:w="58" w:type="dxa"/>
            </w:tcMar>
            <w:vAlign w:val="center"/>
            <w:hideMark/>
          </w:tcPr>
          <w:p w14:paraId="5D6E4690" w14:textId="71A8818E" w:rsidR="00A700B8" w:rsidRPr="00812DB0" w:rsidRDefault="00A700B8" w:rsidP="00685097">
            <w:pPr>
              <w:spacing w:before="40" w:after="40" w:line="480" w:lineRule="auto"/>
              <w:jc w:val="center"/>
              <w:rPr>
                <w:rFonts w:ascii="Arial" w:hAnsi="Arial"/>
                <w:b/>
                <w:color w:val="70A489"/>
                <w:sz w:val="18"/>
              </w:rPr>
            </w:pPr>
            <w:r w:rsidRPr="00812DB0">
              <w:rPr>
                <w:rFonts w:ascii="Arial" w:hAnsi="Arial"/>
                <w:b/>
                <w:color w:val="70A489"/>
                <w:sz w:val="18"/>
              </w:rPr>
              <w:t xml:space="preserve">+/- </w:t>
            </w:r>
            <w:r>
              <w:rPr>
                <w:rFonts w:ascii="Arial" w:hAnsi="Arial"/>
                <w:b/>
                <w:color w:val="70A489"/>
                <w:sz w:val="18"/>
              </w:rPr>
              <w:t>1.</w:t>
            </w:r>
            <w:r w:rsidR="000A6EDD">
              <w:rPr>
                <w:rFonts w:ascii="Arial" w:hAnsi="Arial"/>
                <w:b/>
                <w:color w:val="70A489"/>
                <w:sz w:val="18"/>
              </w:rPr>
              <w:t>3</w:t>
            </w:r>
          </w:p>
        </w:tc>
        <w:tc>
          <w:tcPr>
            <w:tcW w:w="720" w:type="dxa"/>
            <w:shd w:val="clear" w:color="auto" w:fill="E9E6E3"/>
            <w:tcMar>
              <w:top w:w="0" w:type="dxa"/>
              <w:left w:w="58" w:type="dxa"/>
              <w:bottom w:w="0" w:type="dxa"/>
              <w:right w:w="58" w:type="dxa"/>
            </w:tcMar>
            <w:vAlign w:val="center"/>
            <w:hideMark/>
          </w:tcPr>
          <w:p w14:paraId="6A95FCAB" w14:textId="687F25D6" w:rsidR="00A700B8" w:rsidRPr="00812DB0" w:rsidRDefault="00A700B8" w:rsidP="00685097">
            <w:pPr>
              <w:spacing w:before="40" w:after="40" w:line="480" w:lineRule="auto"/>
              <w:jc w:val="center"/>
              <w:rPr>
                <w:rFonts w:ascii="Arial" w:hAnsi="Arial"/>
                <w:color w:val="1F497D"/>
                <w:sz w:val="18"/>
              </w:rPr>
            </w:pPr>
            <w:r w:rsidRPr="00812DB0">
              <w:rPr>
                <w:rFonts w:ascii="Arial" w:hAnsi="Arial"/>
                <w:sz w:val="18"/>
              </w:rPr>
              <w:t>2,22</w:t>
            </w:r>
            <w:r w:rsidR="000855D1">
              <w:rPr>
                <w:rFonts w:ascii="Arial" w:hAnsi="Arial"/>
                <w:sz w:val="18"/>
              </w:rPr>
              <w:t>2</w:t>
            </w:r>
          </w:p>
        </w:tc>
        <w:tc>
          <w:tcPr>
            <w:tcW w:w="1170" w:type="dxa"/>
            <w:shd w:val="clear" w:color="auto" w:fill="E9E6E3"/>
            <w:tcMar>
              <w:top w:w="0" w:type="dxa"/>
              <w:left w:w="58" w:type="dxa"/>
              <w:bottom w:w="0" w:type="dxa"/>
              <w:right w:w="58" w:type="dxa"/>
            </w:tcMar>
            <w:vAlign w:val="center"/>
            <w:hideMark/>
          </w:tcPr>
          <w:p w14:paraId="170B1DB7" w14:textId="77777777" w:rsidR="00A700B8" w:rsidRPr="00812DB0" w:rsidRDefault="00A700B8" w:rsidP="00685097">
            <w:pPr>
              <w:spacing w:before="40" w:after="40" w:line="480" w:lineRule="auto"/>
              <w:jc w:val="center"/>
              <w:rPr>
                <w:rFonts w:ascii="Arial" w:hAnsi="Arial"/>
                <w:b/>
                <w:color w:val="70A489"/>
                <w:sz w:val="18"/>
              </w:rPr>
            </w:pPr>
            <w:r w:rsidRPr="00812DB0">
              <w:rPr>
                <w:rFonts w:ascii="Arial" w:hAnsi="Arial"/>
                <w:b/>
                <w:color w:val="70A489"/>
                <w:sz w:val="18"/>
              </w:rPr>
              <w:t xml:space="preserve">+/- </w:t>
            </w:r>
            <w:r>
              <w:rPr>
                <w:rFonts w:ascii="Arial" w:hAnsi="Arial"/>
                <w:b/>
                <w:color w:val="70A489"/>
                <w:sz w:val="18"/>
              </w:rPr>
              <w:t>1.6</w:t>
            </w:r>
          </w:p>
        </w:tc>
        <w:tc>
          <w:tcPr>
            <w:tcW w:w="720" w:type="dxa"/>
            <w:shd w:val="clear" w:color="auto" w:fill="E9E6E3"/>
            <w:tcMar>
              <w:top w:w="0" w:type="dxa"/>
              <w:left w:w="58" w:type="dxa"/>
              <w:bottom w:w="0" w:type="dxa"/>
              <w:right w:w="58" w:type="dxa"/>
            </w:tcMar>
            <w:vAlign w:val="center"/>
            <w:hideMark/>
          </w:tcPr>
          <w:p w14:paraId="207FB70C" w14:textId="77777777" w:rsidR="00A700B8" w:rsidRPr="00812DB0" w:rsidRDefault="00A700B8" w:rsidP="00685097">
            <w:pPr>
              <w:spacing w:before="40" w:after="40" w:line="480" w:lineRule="auto"/>
              <w:jc w:val="center"/>
              <w:rPr>
                <w:rFonts w:ascii="Arial" w:hAnsi="Arial"/>
                <w:color w:val="1F497D"/>
                <w:sz w:val="18"/>
              </w:rPr>
            </w:pPr>
            <w:r w:rsidRPr="00812DB0">
              <w:rPr>
                <w:rFonts w:ascii="Arial" w:hAnsi="Arial"/>
                <w:sz w:val="18"/>
              </w:rPr>
              <w:t>1,500</w:t>
            </w:r>
          </w:p>
        </w:tc>
        <w:tc>
          <w:tcPr>
            <w:tcW w:w="1153" w:type="dxa"/>
            <w:shd w:val="clear" w:color="auto" w:fill="E9E6E3"/>
            <w:tcMar>
              <w:top w:w="0" w:type="dxa"/>
              <w:left w:w="58" w:type="dxa"/>
              <w:bottom w:w="0" w:type="dxa"/>
              <w:right w:w="58" w:type="dxa"/>
            </w:tcMar>
            <w:vAlign w:val="center"/>
            <w:hideMark/>
          </w:tcPr>
          <w:p w14:paraId="5E9DF85C" w14:textId="77777777" w:rsidR="00A700B8" w:rsidRPr="00812DB0" w:rsidRDefault="00A700B8" w:rsidP="00685097">
            <w:pPr>
              <w:spacing w:before="40" w:after="40" w:line="480" w:lineRule="auto"/>
              <w:jc w:val="center"/>
              <w:rPr>
                <w:rFonts w:ascii="Arial" w:hAnsi="Arial"/>
                <w:b/>
                <w:color w:val="70A489"/>
                <w:sz w:val="18"/>
              </w:rPr>
            </w:pPr>
            <w:r w:rsidRPr="00812DB0">
              <w:rPr>
                <w:rFonts w:ascii="Arial" w:hAnsi="Arial"/>
                <w:b/>
                <w:color w:val="70A489"/>
                <w:sz w:val="18"/>
              </w:rPr>
              <w:t xml:space="preserve">+/- </w:t>
            </w:r>
            <w:r>
              <w:rPr>
                <w:rFonts w:ascii="Arial" w:hAnsi="Arial"/>
                <w:b/>
                <w:color w:val="70A489"/>
                <w:sz w:val="18"/>
              </w:rPr>
              <w:t>2.0</w:t>
            </w:r>
          </w:p>
        </w:tc>
        <w:tc>
          <w:tcPr>
            <w:tcW w:w="745" w:type="dxa"/>
            <w:shd w:val="clear" w:color="auto" w:fill="E9E6E3"/>
            <w:tcMar>
              <w:top w:w="0" w:type="dxa"/>
              <w:left w:w="58" w:type="dxa"/>
              <w:bottom w:w="0" w:type="dxa"/>
              <w:right w:w="58" w:type="dxa"/>
            </w:tcMar>
            <w:vAlign w:val="center"/>
            <w:hideMark/>
          </w:tcPr>
          <w:p w14:paraId="6D4DD9AE" w14:textId="0A010C0C" w:rsidR="00A700B8" w:rsidRPr="00812DB0" w:rsidRDefault="00F0233A" w:rsidP="00685097">
            <w:pPr>
              <w:spacing w:before="40" w:after="40" w:line="480" w:lineRule="auto"/>
              <w:jc w:val="center"/>
              <w:rPr>
                <w:rFonts w:ascii="Arial" w:hAnsi="Arial"/>
                <w:sz w:val="18"/>
              </w:rPr>
            </w:pPr>
            <w:r>
              <w:rPr>
                <w:rFonts w:ascii="Arial" w:hAnsi="Arial"/>
                <w:sz w:val="18"/>
              </w:rPr>
              <w:t>7,014</w:t>
            </w:r>
          </w:p>
        </w:tc>
        <w:tc>
          <w:tcPr>
            <w:tcW w:w="1157" w:type="dxa"/>
            <w:shd w:val="clear" w:color="auto" w:fill="E9E6E3"/>
            <w:tcMar>
              <w:top w:w="0" w:type="dxa"/>
              <w:left w:w="58" w:type="dxa"/>
              <w:bottom w:w="0" w:type="dxa"/>
              <w:right w:w="58" w:type="dxa"/>
            </w:tcMar>
            <w:vAlign w:val="center"/>
            <w:hideMark/>
          </w:tcPr>
          <w:p w14:paraId="5EA4D681" w14:textId="77777777" w:rsidR="00A700B8" w:rsidRPr="00812DB0" w:rsidRDefault="00A700B8" w:rsidP="00685097">
            <w:pPr>
              <w:spacing w:before="40" w:after="40" w:line="480" w:lineRule="auto"/>
              <w:jc w:val="center"/>
              <w:rPr>
                <w:rFonts w:ascii="Arial" w:hAnsi="Arial"/>
                <w:sz w:val="18"/>
                <w:highlight w:val="yellow"/>
              </w:rPr>
            </w:pPr>
            <w:r w:rsidRPr="00812DB0">
              <w:rPr>
                <w:rFonts w:ascii="Arial" w:hAnsi="Arial"/>
                <w:sz w:val="18"/>
              </w:rPr>
              <w:t>NA</w:t>
            </w:r>
          </w:p>
        </w:tc>
      </w:tr>
    </w:tbl>
    <w:p w14:paraId="09AE2D0A" w14:textId="10279B9A" w:rsidR="00A700B8" w:rsidRPr="005E3DE7" w:rsidRDefault="005E3DE7" w:rsidP="00685097">
      <w:pPr>
        <w:autoSpaceDE w:val="0"/>
        <w:autoSpaceDN w:val="0"/>
        <w:adjustRightInd w:val="0"/>
        <w:spacing w:after="0" w:line="480" w:lineRule="auto"/>
        <w:rPr>
          <w:rFonts w:ascii="Times New Roman" w:hAnsi="Times New Roman" w:cs="Times New Roman"/>
          <w:sz w:val="18"/>
          <w:szCs w:val="18"/>
        </w:rPr>
      </w:pPr>
      <w:r>
        <w:rPr>
          <w:rFonts w:ascii="Times New Roman" w:hAnsi="Times New Roman" w:cs="Times New Roman"/>
          <w:sz w:val="18"/>
          <w:szCs w:val="18"/>
        </w:rPr>
        <w:t>*The measure of error (MOE) is calculated for an estimate of p=15% at the 0.05 significance level. A design effect of 1.2 is assumed due to differential sampling and weighting.</w:t>
      </w:r>
    </w:p>
    <w:p w14:paraId="309D98C6" w14:textId="77777777" w:rsidR="00A700B8" w:rsidRDefault="00A700B8" w:rsidP="00685097">
      <w:pPr>
        <w:autoSpaceDE w:val="0"/>
        <w:autoSpaceDN w:val="0"/>
        <w:adjustRightInd w:val="0"/>
        <w:spacing w:after="0" w:line="480" w:lineRule="auto"/>
        <w:rPr>
          <w:rFonts w:ascii="Times New Roman" w:hAnsi="Times New Roman" w:cs="Times New Roman"/>
          <w:sz w:val="24"/>
          <w:szCs w:val="24"/>
        </w:rPr>
      </w:pPr>
    </w:p>
    <w:p w14:paraId="3BC2D10A" w14:textId="446C6ABE" w:rsidR="00297F9C" w:rsidRPr="00627CA2" w:rsidRDefault="00297F9C" w:rsidP="0068509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Again, </w:t>
      </w:r>
      <w:r w:rsidR="00881FCB">
        <w:rPr>
          <w:rFonts w:ascii="Times New Roman" w:hAnsi="Times New Roman" w:cs="Times New Roman"/>
          <w:sz w:val="24"/>
          <w:szCs w:val="24"/>
        </w:rPr>
        <w:t xml:space="preserve">based on our Year 3 goal of 1,500 complete surveys, </w:t>
      </w:r>
      <w:r>
        <w:rPr>
          <w:rFonts w:ascii="Times New Roman" w:hAnsi="Times New Roman" w:cs="Times New Roman"/>
          <w:sz w:val="24"/>
          <w:szCs w:val="24"/>
        </w:rPr>
        <w:t>t</w:t>
      </w:r>
      <w:r w:rsidRPr="00627CA2">
        <w:rPr>
          <w:rFonts w:ascii="Times New Roman" w:hAnsi="Times New Roman" w:cs="Times New Roman"/>
          <w:sz w:val="24"/>
          <w:szCs w:val="24"/>
        </w:rPr>
        <w:t xml:space="preserve">he target number of completes across </w:t>
      </w:r>
      <w:r w:rsidR="00881FCB">
        <w:rPr>
          <w:rFonts w:ascii="Times New Roman" w:hAnsi="Times New Roman" w:cs="Times New Roman"/>
          <w:sz w:val="24"/>
          <w:szCs w:val="24"/>
        </w:rPr>
        <w:t>all participating</w:t>
      </w:r>
      <w:r w:rsidRPr="00627CA2">
        <w:rPr>
          <w:rFonts w:ascii="Times New Roman" w:hAnsi="Times New Roman" w:cs="Times New Roman"/>
          <w:sz w:val="24"/>
          <w:szCs w:val="24"/>
        </w:rPr>
        <w:t xml:space="preserve"> states is approximately 3,2</w:t>
      </w:r>
      <w:r w:rsidR="000855D1">
        <w:rPr>
          <w:rFonts w:ascii="Times New Roman" w:hAnsi="Times New Roman" w:cs="Times New Roman"/>
          <w:sz w:val="24"/>
          <w:szCs w:val="24"/>
        </w:rPr>
        <w:t>92</w:t>
      </w:r>
      <w:r w:rsidRPr="00627CA2">
        <w:rPr>
          <w:rFonts w:ascii="Times New Roman" w:hAnsi="Times New Roman" w:cs="Times New Roman"/>
          <w:sz w:val="24"/>
          <w:szCs w:val="24"/>
        </w:rPr>
        <w:t xml:space="preserve"> for </w:t>
      </w:r>
      <w:r>
        <w:rPr>
          <w:rFonts w:ascii="Times New Roman" w:hAnsi="Times New Roman" w:cs="Times New Roman"/>
          <w:sz w:val="24"/>
          <w:szCs w:val="24"/>
        </w:rPr>
        <w:t>the first year</w:t>
      </w:r>
      <w:r w:rsidRPr="00627CA2">
        <w:rPr>
          <w:rFonts w:ascii="Times New Roman" w:hAnsi="Times New Roman" w:cs="Times New Roman"/>
          <w:sz w:val="24"/>
          <w:szCs w:val="24"/>
        </w:rPr>
        <w:t>. Given this sample size, an estimate of p=15% (e.g., percent of women who have no co-pay for cancer screening) for 3,2</w:t>
      </w:r>
      <w:r w:rsidR="000855D1">
        <w:rPr>
          <w:rFonts w:ascii="Times New Roman" w:hAnsi="Times New Roman" w:cs="Times New Roman"/>
          <w:sz w:val="24"/>
          <w:szCs w:val="24"/>
        </w:rPr>
        <w:t>92</w:t>
      </w:r>
      <w:r w:rsidRPr="00627CA2">
        <w:rPr>
          <w:rFonts w:ascii="Times New Roman" w:hAnsi="Times New Roman" w:cs="Times New Roman"/>
          <w:sz w:val="24"/>
          <w:szCs w:val="24"/>
        </w:rPr>
        <w:t xml:space="preserve"> interview completes will have a Measure of Error (MOE) of </w:t>
      </w:r>
      <w:r w:rsidR="000855D1">
        <w:rPr>
          <w:rFonts w:ascii="Times New Roman" w:hAnsi="Times New Roman" w:cs="Times New Roman"/>
          <w:sz w:val="24"/>
          <w:szCs w:val="24"/>
        </w:rPr>
        <w:t xml:space="preserve">plus or minus </w:t>
      </w:r>
      <w:r w:rsidRPr="00627CA2">
        <w:rPr>
          <w:rFonts w:ascii="Times New Roman" w:hAnsi="Times New Roman" w:cs="Times New Roman"/>
          <w:sz w:val="24"/>
          <w:szCs w:val="24"/>
        </w:rPr>
        <w:t>1.</w:t>
      </w:r>
      <w:r w:rsidR="000A6EDD">
        <w:rPr>
          <w:rFonts w:ascii="Times New Roman" w:hAnsi="Times New Roman" w:cs="Times New Roman"/>
          <w:sz w:val="24"/>
          <w:szCs w:val="24"/>
        </w:rPr>
        <w:t>3</w:t>
      </w:r>
      <w:r w:rsidRPr="00627CA2">
        <w:rPr>
          <w:rFonts w:ascii="Times New Roman" w:hAnsi="Times New Roman" w:cs="Times New Roman"/>
          <w:sz w:val="24"/>
          <w:szCs w:val="24"/>
        </w:rPr>
        <w:t xml:space="preserve"> percentage points. </w:t>
      </w:r>
    </w:p>
    <w:p w14:paraId="2AD4FBBE" w14:textId="77777777" w:rsidR="00297F9C" w:rsidRDefault="00297F9C" w:rsidP="00685097">
      <w:pPr>
        <w:autoSpaceDE w:val="0"/>
        <w:autoSpaceDN w:val="0"/>
        <w:adjustRightInd w:val="0"/>
        <w:spacing w:after="0" w:line="480" w:lineRule="auto"/>
        <w:rPr>
          <w:rFonts w:ascii="Times New Roman" w:hAnsi="Times New Roman" w:cs="Times New Roman"/>
          <w:sz w:val="24"/>
          <w:szCs w:val="24"/>
          <w:highlight w:val="green"/>
        </w:rPr>
      </w:pPr>
    </w:p>
    <w:p w14:paraId="32A09371" w14:textId="77777777" w:rsidR="000C0CD3" w:rsidRDefault="000C0CD3" w:rsidP="00685097">
      <w:pPr>
        <w:spacing w:after="0" w:line="480" w:lineRule="auto"/>
        <w:rPr>
          <w:rFonts w:ascii="Times New Roman" w:hAnsi="Times New Roman" w:cs="Times New Roman"/>
          <w:sz w:val="24"/>
          <w:szCs w:val="24"/>
        </w:rPr>
      </w:pPr>
    </w:p>
    <w:p w14:paraId="22457760" w14:textId="40BDB100" w:rsidR="00297F9C" w:rsidRDefault="00E72837"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participating </w:t>
      </w:r>
      <w:r w:rsidR="00E92F8B">
        <w:rPr>
          <w:rFonts w:ascii="Times New Roman" w:hAnsi="Times New Roman" w:cs="Times New Roman"/>
          <w:sz w:val="24"/>
          <w:szCs w:val="24"/>
        </w:rPr>
        <w:t>states will need to make initial contact with</w:t>
      </w:r>
      <w:r w:rsidR="00432625">
        <w:rPr>
          <w:rFonts w:ascii="Times New Roman" w:hAnsi="Times New Roman" w:cs="Times New Roman"/>
          <w:sz w:val="24"/>
          <w:szCs w:val="24"/>
        </w:rPr>
        <w:t xml:space="preserve"> women meeting the </w:t>
      </w:r>
      <w:r>
        <w:rPr>
          <w:rFonts w:ascii="Times New Roman" w:hAnsi="Times New Roman" w:cs="Times New Roman"/>
          <w:sz w:val="24"/>
          <w:szCs w:val="24"/>
        </w:rPr>
        <w:t xml:space="preserve">study </w:t>
      </w:r>
      <w:r w:rsidR="00432625">
        <w:rPr>
          <w:rFonts w:ascii="Times New Roman" w:hAnsi="Times New Roman" w:cs="Times New Roman"/>
          <w:sz w:val="24"/>
          <w:szCs w:val="24"/>
        </w:rPr>
        <w:t xml:space="preserve">criteria </w:t>
      </w:r>
      <w:r w:rsidR="00097EE7">
        <w:rPr>
          <w:rFonts w:ascii="Times New Roman" w:hAnsi="Times New Roman" w:cs="Times New Roman"/>
          <w:sz w:val="24"/>
          <w:szCs w:val="24"/>
        </w:rPr>
        <w:t xml:space="preserve">and gain </w:t>
      </w:r>
      <w:r w:rsidR="00881FCB">
        <w:rPr>
          <w:rFonts w:ascii="Times New Roman" w:hAnsi="Times New Roman" w:cs="Times New Roman"/>
          <w:sz w:val="24"/>
          <w:szCs w:val="24"/>
        </w:rPr>
        <w:t xml:space="preserve">consent for sharing their contact information </w:t>
      </w:r>
      <w:r w:rsidR="00C12CC1">
        <w:rPr>
          <w:rFonts w:ascii="Times New Roman" w:hAnsi="Times New Roman" w:cs="Times New Roman"/>
          <w:sz w:val="24"/>
          <w:szCs w:val="24"/>
        </w:rPr>
        <w:t xml:space="preserve">with NORC </w:t>
      </w:r>
      <w:r w:rsidR="00881FCB">
        <w:rPr>
          <w:rFonts w:ascii="Times New Roman" w:hAnsi="Times New Roman" w:cs="Times New Roman"/>
          <w:sz w:val="24"/>
          <w:szCs w:val="24"/>
        </w:rPr>
        <w:t xml:space="preserve">for possible </w:t>
      </w:r>
      <w:r w:rsidR="00097EE7">
        <w:rPr>
          <w:rFonts w:ascii="Times New Roman" w:hAnsi="Times New Roman" w:cs="Times New Roman"/>
          <w:sz w:val="24"/>
          <w:szCs w:val="24"/>
        </w:rPr>
        <w:t>par</w:t>
      </w:r>
      <w:r w:rsidR="00F957E9">
        <w:rPr>
          <w:rFonts w:ascii="Times New Roman" w:hAnsi="Times New Roman" w:cs="Times New Roman"/>
          <w:sz w:val="24"/>
          <w:szCs w:val="24"/>
        </w:rPr>
        <w:t>ticipation in the study</w:t>
      </w:r>
      <w:r w:rsidR="00432625">
        <w:rPr>
          <w:rFonts w:ascii="Times New Roman" w:hAnsi="Times New Roman" w:cs="Times New Roman"/>
          <w:sz w:val="24"/>
          <w:szCs w:val="24"/>
        </w:rPr>
        <w:t xml:space="preserve">. </w:t>
      </w:r>
      <w:r w:rsidR="00C12CC1">
        <w:rPr>
          <w:rFonts w:ascii="Times New Roman" w:hAnsi="Times New Roman" w:cs="Times New Roman"/>
          <w:sz w:val="24"/>
          <w:szCs w:val="24"/>
        </w:rPr>
        <w:t>T</w:t>
      </w:r>
      <w:r w:rsidR="00432625">
        <w:rPr>
          <w:rFonts w:ascii="Times New Roman" w:hAnsi="Times New Roman" w:cs="Times New Roman"/>
          <w:sz w:val="24"/>
          <w:szCs w:val="24"/>
        </w:rPr>
        <w:t xml:space="preserve">his initial outreach </w:t>
      </w:r>
      <w:r w:rsidR="00C12CC1">
        <w:rPr>
          <w:rFonts w:ascii="Times New Roman" w:hAnsi="Times New Roman" w:cs="Times New Roman"/>
          <w:sz w:val="24"/>
          <w:szCs w:val="24"/>
        </w:rPr>
        <w:t xml:space="preserve">will </w:t>
      </w:r>
      <w:r w:rsidR="00432625">
        <w:rPr>
          <w:rFonts w:ascii="Times New Roman" w:hAnsi="Times New Roman" w:cs="Times New Roman"/>
          <w:sz w:val="24"/>
          <w:szCs w:val="24"/>
        </w:rPr>
        <w:t>be conducted</w:t>
      </w:r>
      <w:r w:rsidR="00C12CC1">
        <w:rPr>
          <w:rFonts w:ascii="Times New Roman" w:hAnsi="Times New Roman" w:cs="Times New Roman"/>
          <w:sz w:val="24"/>
          <w:szCs w:val="24"/>
        </w:rPr>
        <w:t xml:space="preserve"> by either phone or mail</w:t>
      </w:r>
      <w:r w:rsidR="007C11CB">
        <w:rPr>
          <w:rFonts w:ascii="Times New Roman" w:hAnsi="Times New Roman" w:cs="Times New Roman"/>
          <w:sz w:val="24"/>
          <w:szCs w:val="24"/>
        </w:rPr>
        <w:t xml:space="preserve"> (</w:t>
      </w:r>
      <w:r w:rsidR="007C11CB" w:rsidRPr="00D902DF">
        <w:rPr>
          <w:rFonts w:ascii="Times New Roman" w:hAnsi="Times New Roman" w:cs="Times New Roman"/>
          <w:b/>
          <w:sz w:val="24"/>
          <w:szCs w:val="24"/>
        </w:rPr>
        <w:t>Attachment 11 and 12</w:t>
      </w:r>
      <w:r w:rsidR="007C11CB">
        <w:rPr>
          <w:rFonts w:ascii="Times New Roman" w:hAnsi="Times New Roman" w:cs="Times New Roman"/>
          <w:sz w:val="24"/>
          <w:szCs w:val="24"/>
        </w:rPr>
        <w:t>)</w:t>
      </w:r>
      <w:r w:rsidR="00432625">
        <w:rPr>
          <w:rFonts w:ascii="Times New Roman" w:hAnsi="Times New Roman" w:cs="Times New Roman"/>
          <w:sz w:val="24"/>
          <w:szCs w:val="24"/>
        </w:rPr>
        <w:t xml:space="preserve">. </w:t>
      </w:r>
      <w:r w:rsidR="00C12CC1">
        <w:rPr>
          <w:rFonts w:ascii="Times New Roman" w:hAnsi="Times New Roman" w:cs="Times New Roman"/>
          <w:sz w:val="24"/>
          <w:szCs w:val="24"/>
        </w:rPr>
        <w:t xml:space="preserve"> </w:t>
      </w:r>
    </w:p>
    <w:p w14:paraId="219E566A" w14:textId="77777777" w:rsidR="00AA17E6" w:rsidRPr="00627CA2" w:rsidRDefault="00AA17E6" w:rsidP="00685097">
      <w:pPr>
        <w:spacing w:after="0" w:line="480" w:lineRule="auto"/>
        <w:rPr>
          <w:rFonts w:ascii="Times New Roman" w:hAnsi="Times New Roman" w:cs="Times New Roman"/>
          <w:sz w:val="24"/>
          <w:szCs w:val="24"/>
        </w:rPr>
      </w:pPr>
    </w:p>
    <w:p w14:paraId="6D6F0753" w14:textId="5216751E" w:rsidR="009D070B" w:rsidRPr="00627CA2" w:rsidRDefault="0001230C" w:rsidP="00685097">
      <w:pPr>
        <w:pStyle w:val="Heading2"/>
        <w:spacing w:line="480" w:lineRule="auto"/>
        <w:rPr>
          <w:rFonts w:ascii="Times New Roman" w:hAnsi="Times New Roman"/>
          <w:szCs w:val="24"/>
        </w:rPr>
      </w:pPr>
      <w:bookmarkStart w:id="5" w:name="_Toc453670006"/>
      <w:r w:rsidRPr="00627CA2">
        <w:rPr>
          <w:rFonts w:ascii="Times New Roman" w:hAnsi="Times New Roman"/>
          <w:szCs w:val="24"/>
        </w:rPr>
        <w:t>Procedures for the Collection of Information</w:t>
      </w:r>
      <w:bookmarkEnd w:id="5"/>
    </w:p>
    <w:p w14:paraId="765795DE" w14:textId="74E30717" w:rsidR="008E1041" w:rsidRDefault="00C12CC1" w:rsidP="00685097">
      <w:pPr>
        <w:pStyle w:val="BodyText"/>
        <w:spacing w:after="0" w:line="480" w:lineRule="auto"/>
        <w:rPr>
          <w:sz w:val="24"/>
          <w:szCs w:val="24"/>
        </w:rPr>
      </w:pPr>
      <w:r>
        <w:rPr>
          <w:sz w:val="24"/>
          <w:szCs w:val="24"/>
        </w:rPr>
        <w:t>NORC has developed the methodology for the sample frame that can be implemented by each state</w:t>
      </w:r>
      <w:r w:rsidR="003B0CE0">
        <w:rPr>
          <w:sz w:val="24"/>
          <w:szCs w:val="24"/>
        </w:rPr>
        <w:t xml:space="preserve"> (</w:t>
      </w:r>
      <w:r w:rsidR="003B0CE0" w:rsidRPr="00D902DF">
        <w:rPr>
          <w:b/>
          <w:sz w:val="24"/>
          <w:szCs w:val="24"/>
        </w:rPr>
        <w:t xml:space="preserve">Attachment </w:t>
      </w:r>
      <w:r w:rsidR="002961BD">
        <w:rPr>
          <w:b/>
          <w:sz w:val="24"/>
          <w:szCs w:val="24"/>
        </w:rPr>
        <w:t>17</w:t>
      </w:r>
      <w:r w:rsidR="003B0CE0">
        <w:rPr>
          <w:sz w:val="24"/>
          <w:szCs w:val="24"/>
        </w:rPr>
        <w:t>)</w:t>
      </w:r>
      <w:r>
        <w:rPr>
          <w:sz w:val="24"/>
          <w:szCs w:val="24"/>
        </w:rPr>
        <w:t xml:space="preserve">. </w:t>
      </w:r>
      <w:r w:rsidR="00161CB0">
        <w:rPr>
          <w:sz w:val="24"/>
          <w:szCs w:val="24"/>
        </w:rPr>
        <w:t xml:space="preserve">NORC will work with the states to create an accurate sampling frame. From this sampling frame, a stratified simple random sample will be selected. </w:t>
      </w:r>
      <w:r w:rsidR="00324A00">
        <w:rPr>
          <w:sz w:val="24"/>
          <w:szCs w:val="24"/>
        </w:rPr>
        <w:t>Depending on the state demographic distribution of the</w:t>
      </w:r>
      <w:r w:rsidR="003B0CE0">
        <w:rPr>
          <w:sz w:val="24"/>
          <w:szCs w:val="24"/>
        </w:rPr>
        <w:t xml:space="preserve"> program</w:t>
      </w:r>
      <w:r w:rsidR="00324A00">
        <w:rPr>
          <w:sz w:val="24"/>
          <w:szCs w:val="24"/>
        </w:rPr>
        <w:t xml:space="preserve"> population, a stratified sample design may or may not be needed. </w:t>
      </w:r>
      <w:r w:rsidR="002961BD">
        <w:rPr>
          <w:sz w:val="24"/>
          <w:szCs w:val="24"/>
        </w:rPr>
        <w:t>Some states may have higher proportions of minority populations of interest (e.g., Hispanic population), and may require high sampling rates for those populations which would result in a stratified sampling design.</w:t>
      </w:r>
    </w:p>
    <w:p w14:paraId="15388C35" w14:textId="77777777" w:rsidR="008E1041" w:rsidRDefault="008E1041" w:rsidP="00685097">
      <w:pPr>
        <w:pStyle w:val="BodyText"/>
        <w:spacing w:after="0" w:line="480" w:lineRule="auto"/>
        <w:rPr>
          <w:sz w:val="24"/>
          <w:szCs w:val="24"/>
        </w:rPr>
      </w:pPr>
    </w:p>
    <w:p w14:paraId="0E4D5E68" w14:textId="4493F790" w:rsidR="00161CB0" w:rsidRDefault="003B0CE0" w:rsidP="00685097">
      <w:pPr>
        <w:pStyle w:val="BodyText"/>
        <w:spacing w:after="0" w:line="480" w:lineRule="auto"/>
        <w:rPr>
          <w:sz w:val="24"/>
          <w:szCs w:val="24"/>
        </w:rPr>
      </w:pPr>
      <w:r>
        <w:rPr>
          <w:sz w:val="24"/>
          <w:szCs w:val="24"/>
        </w:rPr>
        <w:t>T</w:t>
      </w:r>
      <w:r w:rsidR="00324A00">
        <w:rPr>
          <w:sz w:val="24"/>
          <w:szCs w:val="24"/>
        </w:rPr>
        <w:t xml:space="preserve">wo domains of interest are race/ethnicity and rural areas. </w:t>
      </w:r>
      <w:r w:rsidR="00672A3A">
        <w:rPr>
          <w:sz w:val="24"/>
          <w:szCs w:val="24"/>
        </w:rPr>
        <w:t>Many</w:t>
      </w:r>
      <w:r w:rsidR="00324A00">
        <w:rPr>
          <w:sz w:val="24"/>
          <w:szCs w:val="24"/>
        </w:rPr>
        <w:t xml:space="preserve"> states have a strong mix of multiple race/ethnicities, and a simple random sample should obtain a sufficient mix across the domain of interest. In states where the percent of women served in rural areas is greater than 5.0% or 500 women, </w:t>
      </w:r>
      <w:r w:rsidR="00672A3A">
        <w:rPr>
          <w:sz w:val="24"/>
          <w:szCs w:val="24"/>
        </w:rPr>
        <w:t>a stratified sample will be implemented with two stra</w:t>
      </w:r>
      <w:r w:rsidR="0007249D">
        <w:rPr>
          <w:sz w:val="24"/>
          <w:szCs w:val="24"/>
        </w:rPr>
        <w:t>ta: women served in rural areas and</w:t>
      </w:r>
      <w:r w:rsidR="00672A3A">
        <w:rPr>
          <w:sz w:val="24"/>
          <w:szCs w:val="24"/>
        </w:rPr>
        <w:t xml:space="preserve"> women served in other areas. </w:t>
      </w:r>
    </w:p>
    <w:p w14:paraId="18CA5AC7" w14:textId="77777777" w:rsidR="00324A00" w:rsidRDefault="00324A00" w:rsidP="00685097">
      <w:pPr>
        <w:pStyle w:val="BodyText"/>
        <w:spacing w:after="0" w:line="480" w:lineRule="auto"/>
        <w:rPr>
          <w:sz w:val="24"/>
          <w:szCs w:val="24"/>
        </w:rPr>
      </w:pPr>
    </w:p>
    <w:p w14:paraId="4DC0EECD" w14:textId="7D641929" w:rsidR="00324A00" w:rsidRDefault="00672A3A" w:rsidP="00685097">
      <w:pPr>
        <w:pStyle w:val="BodyText"/>
        <w:spacing w:after="0" w:line="480" w:lineRule="auto"/>
        <w:rPr>
          <w:sz w:val="24"/>
          <w:szCs w:val="24"/>
        </w:rPr>
      </w:pPr>
      <w:r>
        <w:rPr>
          <w:sz w:val="24"/>
          <w:szCs w:val="24"/>
        </w:rPr>
        <w:t>As shown in table</w:t>
      </w:r>
      <w:r w:rsidR="003B0CE0">
        <w:rPr>
          <w:sz w:val="24"/>
          <w:szCs w:val="24"/>
        </w:rPr>
        <w:t>s</w:t>
      </w:r>
      <w:r>
        <w:rPr>
          <w:sz w:val="24"/>
          <w:szCs w:val="24"/>
        </w:rPr>
        <w:t xml:space="preserve"> 1 and 2, NORC expects nonresponse at different stages of the data collection p</w:t>
      </w:r>
      <w:r w:rsidR="008E1041">
        <w:rPr>
          <w:sz w:val="24"/>
          <w:szCs w:val="24"/>
        </w:rPr>
        <w:t xml:space="preserve">rocess. Weighting will be implemented to account for the nonresponse encountered. Analyses will be conducted to determine the best procedures to employ for weighting. </w:t>
      </w:r>
    </w:p>
    <w:p w14:paraId="34146A15" w14:textId="77777777" w:rsidR="00CD0A8A" w:rsidRDefault="00CD0A8A" w:rsidP="00685097">
      <w:pPr>
        <w:pStyle w:val="BodyText"/>
        <w:spacing w:after="0" w:line="480" w:lineRule="auto"/>
        <w:rPr>
          <w:sz w:val="24"/>
          <w:szCs w:val="24"/>
        </w:rPr>
      </w:pPr>
    </w:p>
    <w:p w14:paraId="50EF7628" w14:textId="6F7A447D" w:rsidR="005714D8" w:rsidRDefault="0078029D" w:rsidP="00685097">
      <w:pPr>
        <w:pStyle w:val="BodyText"/>
        <w:spacing w:after="0" w:line="480" w:lineRule="auto"/>
        <w:rPr>
          <w:sz w:val="24"/>
          <w:szCs w:val="24"/>
        </w:rPr>
      </w:pPr>
      <w:r>
        <w:rPr>
          <w:sz w:val="24"/>
          <w:szCs w:val="24"/>
        </w:rPr>
        <w:t xml:space="preserve">NORC will perform all data collection activities for this project. Employing a </w:t>
      </w:r>
      <w:r w:rsidR="005714D8" w:rsidRPr="00627CA2">
        <w:rPr>
          <w:sz w:val="24"/>
          <w:szCs w:val="24"/>
        </w:rPr>
        <w:t xml:space="preserve">multi-mode </w:t>
      </w:r>
      <w:r>
        <w:rPr>
          <w:sz w:val="24"/>
          <w:szCs w:val="24"/>
        </w:rPr>
        <w:t>approach to data collection, d</w:t>
      </w:r>
      <w:r w:rsidR="005714D8" w:rsidRPr="00627CA2">
        <w:rPr>
          <w:sz w:val="24"/>
          <w:szCs w:val="24"/>
        </w:rPr>
        <w:t>ata will be collected using</w:t>
      </w:r>
      <w:r w:rsidR="005714D8" w:rsidRPr="00627CA2">
        <w:rPr>
          <w:i/>
          <w:sz w:val="24"/>
          <w:szCs w:val="24"/>
        </w:rPr>
        <w:t xml:space="preserve"> </w:t>
      </w:r>
      <w:r w:rsidR="005714D8" w:rsidRPr="00627CA2">
        <w:rPr>
          <w:sz w:val="24"/>
          <w:szCs w:val="24"/>
        </w:rPr>
        <w:t>computer assisted web interviewing (CAWI) and computer assisted telephone interviewing (CATI), with the primary emphasis being on questionnaire completion via a secure web-based survey instrument. The integrated web/CATI system will allow a respondent to begin in one mode, but complete in another without sacrificing data quality.</w:t>
      </w:r>
    </w:p>
    <w:p w14:paraId="0537108A" w14:textId="77777777" w:rsidR="00AF7423" w:rsidRDefault="00AF7423" w:rsidP="00685097">
      <w:pPr>
        <w:pStyle w:val="BodyText"/>
        <w:spacing w:after="0" w:line="480" w:lineRule="auto"/>
        <w:rPr>
          <w:sz w:val="24"/>
          <w:szCs w:val="24"/>
        </w:rPr>
      </w:pPr>
    </w:p>
    <w:p w14:paraId="0D94B793" w14:textId="71DEF018" w:rsidR="005714D8" w:rsidRPr="00627CA2" w:rsidRDefault="00F26092" w:rsidP="00685097">
      <w:pPr>
        <w:pStyle w:val="Heading4"/>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Year 1 </w:t>
      </w:r>
      <w:r w:rsidR="005714D8" w:rsidRPr="00627CA2">
        <w:rPr>
          <w:rFonts w:ascii="Times New Roman" w:hAnsi="Times New Roman" w:cs="Times New Roman"/>
          <w:color w:val="auto"/>
          <w:sz w:val="24"/>
          <w:szCs w:val="24"/>
        </w:rPr>
        <w:t>Data Collection</w:t>
      </w:r>
      <w:r w:rsidR="009F2CAF">
        <w:rPr>
          <w:rFonts w:ascii="Times New Roman" w:hAnsi="Times New Roman" w:cs="Times New Roman"/>
          <w:color w:val="auto"/>
          <w:sz w:val="24"/>
          <w:szCs w:val="24"/>
        </w:rPr>
        <w:t xml:space="preserve"> Approach</w:t>
      </w:r>
    </w:p>
    <w:p w14:paraId="6D157CED" w14:textId="7B8D330A" w:rsidR="005516B1" w:rsidRPr="00CD0A8A" w:rsidRDefault="00E77E8E" w:rsidP="00685097">
      <w:pPr>
        <w:spacing w:line="480" w:lineRule="auto"/>
        <w:rPr>
          <w:rFonts w:ascii="Times New Roman" w:hAnsi="Times New Roman" w:cs="Times New Roman"/>
          <w:sz w:val="24"/>
          <w:szCs w:val="24"/>
        </w:rPr>
      </w:pPr>
      <w:r w:rsidRPr="00E77E8E">
        <w:rPr>
          <w:rFonts w:ascii="Times New Roman" w:hAnsi="Times New Roman" w:cs="Times New Roman"/>
          <w:sz w:val="24"/>
          <w:szCs w:val="24"/>
        </w:rPr>
        <w:t>Working with both CDC and NORC, the states will contact women who are eligible for this survey, based on the criteria noted above, and ask them for agreement for their contact information to be shared for the study (</w:t>
      </w:r>
      <w:r w:rsidR="00044B3B">
        <w:rPr>
          <w:rFonts w:ascii="Times New Roman" w:hAnsi="Times New Roman" w:cs="Times New Roman"/>
          <w:b/>
          <w:sz w:val="24"/>
          <w:szCs w:val="24"/>
        </w:rPr>
        <w:t>Attachment</w:t>
      </w:r>
      <w:r w:rsidR="0093085D">
        <w:rPr>
          <w:rFonts w:ascii="Times New Roman" w:hAnsi="Times New Roman" w:cs="Times New Roman"/>
          <w:b/>
          <w:sz w:val="24"/>
          <w:szCs w:val="24"/>
        </w:rPr>
        <w:t>s</w:t>
      </w:r>
      <w:r w:rsidR="00044B3B">
        <w:rPr>
          <w:rFonts w:ascii="Times New Roman" w:hAnsi="Times New Roman" w:cs="Times New Roman"/>
          <w:b/>
          <w:sz w:val="24"/>
          <w:szCs w:val="24"/>
        </w:rPr>
        <w:t xml:space="preserve"> 11 and 12</w:t>
      </w:r>
      <w:r w:rsidRPr="00E77E8E">
        <w:rPr>
          <w:rFonts w:ascii="Times New Roman" w:hAnsi="Times New Roman" w:cs="Times New Roman"/>
          <w:sz w:val="24"/>
          <w:szCs w:val="24"/>
        </w:rPr>
        <w:t xml:space="preserve">). Agreement from each woman is required prior to NORC being able to contact them for the survey implementation. After the state outreach, a list of women will be developed that contains the women’s names, contact information, and screening information. </w:t>
      </w:r>
      <w:r w:rsidR="00E60034" w:rsidRPr="008735A2">
        <w:rPr>
          <w:rFonts w:ascii="Times New Roman" w:hAnsi="Times New Roman" w:cs="Times New Roman"/>
          <w:sz w:val="24"/>
          <w:szCs w:val="24"/>
        </w:rPr>
        <w:t xml:space="preserve">In Year 1 of data collection, NORC will </w:t>
      </w:r>
      <w:r w:rsidR="008735A2" w:rsidRPr="008735A2">
        <w:rPr>
          <w:rFonts w:ascii="Times New Roman" w:hAnsi="Times New Roman" w:cs="Times New Roman"/>
          <w:sz w:val="24"/>
          <w:szCs w:val="24"/>
        </w:rPr>
        <w:t>begin by mailing a</w:t>
      </w:r>
      <w:r w:rsidR="00E22DB4">
        <w:rPr>
          <w:rFonts w:ascii="Times New Roman" w:hAnsi="Times New Roman" w:cs="Times New Roman"/>
          <w:sz w:val="24"/>
          <w:szCs w:val="24"/>
        </w:rPr>
        <w:t xml:space="preserve">n </w:t>
      </w:r>
      <w:r w:rsidR="005714D8" w:rsidRPr="008735A2">
        <w:rPr>
          <w:rFonts w:ascii="Times New Roman" w:hAnsi="Times New Roman" w:cs="Times New Roman"/>
          <w:sz w:val="24"/>
          <w:szCs w:val="24"/>
        </w:rPr>
        <w:t xml:space="preserve">invitation letter to each </w:t>
      </w:r>
      <w:r w:rsidR="00BB6416" w:rsidRPr="008735A2">
        <w:rPr>
          <w:rFonts w:ascii="Times New Roman" w:hAnsi="Times New Roman" w:cs="Times New Roman"/>
          <w:sz w:val="24"/>
          <w:szCs w:val="24"/>
        </w:rPr>
        <w:t xml:space="preserve">woman on the final list </w:t>
      </w:r>
      <w:r w:rsidR="005714D8" w:rsidRPr="008735A2">
        <w:rPr>
          <w:rFonts w:ascii="Times New Roman" w:hAnsi="Times New Roman" w:cs="Times New Roman"/>
          <w:sz w:val="24"/>
          <w:szCs w:val="24"/>
        </w:rPr>
        <w:t>requesting her participation</w:t>
      </w:r>
      <w:r w:rsidR="003554EE" w:rsidRPr="008735A2">
        <w:rPr>
          <w:rFonts w:ascii="Times New Roman" w:hAnsi="Times New Roman" w:cs="Times New Roman"/>
          <w:sz w:val="24"/>
          <w:szCs w:val="24"/>
        </w:rPr>
        <w:t xml:space="preserve"> (</w:t>
      </w:r>
      <w:r w:rsidR="00044B3B">
        <w:rPr>
          <w:rFonts w:ascii="Times New Roman" w:hAnsi="Times New Roman" w:cs="Times New Roman"/>
          <w:b/>
          <w:sz w:val="24"/>
          <w:szCs w:val="24"/>
        </w:rPr>
        <w:t>Attachment 4</w:t>
      </w:r>
      <w:r w:rsidR="003554EE" w:rsidRPr="008735A2">
        <w:rPr>
          <w:rFonts w:ascii="Times New Roman" w:hAnsi="Times New Roman" w:cs="Times New Roman"/>
          <w:sz w:val="24"/>
          <w:szCs w:val="24"/>
        </w:rPr>
        <w:t>)</w:t>
      </w:r>
      <w:r w:rsidR="005714D8" w:rsidRPr="008735A2">
        <w:rPr>
          <w:rFonts w:ascii="Times New Roman" w:hAnsi="Times New Roman" w:cs="Times New Roman"/>
          <w:sz w:val="24"/>
          <w:szCs w:val="24"/>
        </w:rPr>
        <w:t>. The invitation letter will contain the web link for the survey</w:t>
      </w:r>
      <w:r w:rsidR="00BB6416" w:rsidRPr="008735A2">
        <w:rPr>
          <w:rFonts w:ascii="Times New Roman" w:hAnsi="Times New Roman" w:cs="Times New Roman"/>
          <w:sz w:val="24"/>
          <w:szCs w:val="24"/>
        </w:rPr>
        <w:t xml:space="preserve">, </w:t>
      </w:r>
      <w:r w:rsidR="005714D8" w:rsidRPr="008735A2">
        <w:rPr>
          <w:rFonts w:ascii="Times New Roman" w:hAnsi="Times New Roman" w:cs="Times New Roman"/>
          <w:sz w:val="24"/>
          <w:szCs w:val="24"/>
        </w:rPr>
        <w:t>the respondent’s unique Personal Identification Number (PIN)</w:t>
      </w:r>
      <w:r w:rsidR="00BB6416" w:rsidRPr="008735A2">
        <w:rPr>
          <w:rFonts w:ascii="Times New Roman" w:hAnsi="Times New Roman" w:cs="Times New Roman"/>
          <w:sz w:val="24"/>
          <w:szCs w:val="24"/>
        </w:rPr>
        <w:t xml:space="preserve">, and </w:t>
      </w:r>
      <w:r w:rsidR="00E22DB4">
        <w:rPr>
          <w:rFonts w:ascii="Times New Roman" w:hAnsi="Times New Roman" w:cs="Times New Roman"/>
          <w:sz w:val="24"/>
          <w:szCs w:val="24"/>
        </w:rPr>
        <w:t xml:space="preserve">instructions </w:t>
      </w:r>
      <w:r w:rsidR="005714D8" w:rsidRPr="008735A2">
        <w:rPr>
          <w:rFonts w:ascii="Times New Roman" w:hAnsi="Times New Roman" w:cs="Times New Roman"/>
          <w:sz w:val="24"/>
          <w:szCs w:val="24"/>
        </w:rPr>
        <w:t>that describe</w:t>
      </w:r>
      <w:r w:rsidR="00CD0A8A">
        <w:rPr>
          <w:rFonts w:ascii="Times New Roman" w:hAnsi="Times New Roman" w:cs="Times New Roman"/>
          <w:sz w:val="24"/>
          <w:szCs w:val="24"/>
        </w:rPr>
        <w:t xml:space="preserve">s how to access the web survey. </w:t>
      </w:r>
      <w:r w:rsidR="00797D2A" w:rsidRPr="008735A2">
        <w:rPr>
          <w:rFonts w:ascii="Times New Roman" w:hAnsi="Times New Roman" w:cs="Times New Roman"/>
          <w:sz w:val="24"/>
          <w:szCs w:val="24"/>
        </w:rPr>
        <w:t xml:space="preserve">Respondents will respond to a short </w:t>
      </w:r>
      <w:r w:rsidR="002961BD" w:rsidRPr="008735A2">
        <w:rPr>
          <w:rFonts w:ascii="Times New Roman" w:hAnsi="Times New Roman" w:cs="Times New Roman"/>
          <w:sz w:val="24"/>
          <w:szCs w:val="24"/>
        </w:rPr>
        <w:t>se</w:t>
      </w:r>
      <w:r w:rsidR="002961BD">
        <w:rPr>
          <w:rFonts w:ascii="Times New Roman" w:hAnsi="Times New Roman" w:cs="Times New Roman"/>
          <w:sz w:val="24"/>
          <w:szCs w:val="24"/>
        </w:rPr>
        <w:t>t</w:t>
      </w:r>
      <w:r w:rsidR="002961BD" w:rsidRPr="008735A2">
        <w:rPr>
          <w:rFonts w:ascii="Times New Roman" w:hAnsi="Times New Roman" w:cs="Times New Roman"/>
          <w:sz w:val="24"/>
          <w:szCs w:val="24"/>
        </w:rPr>
        <w:t xml:space="preserve"> </w:t>
      </w:r>
      <w:r w:rsidR="00797D2A" w:rsidRPr="008735A2">
        <w:rPr>
          <w:rFonts w:ascii="Times New Roman" w:hAnsi="Times New Roman" w:cs="Times New Roman"/>
          <w:sz w:val="24"/>
          <w:szCs w:val="24"/>
        </w:rPr>
        <w:t>of screener questions first to confirm eligibility</w:t>
      </w:r>
      <w:r w:rsidR="00E22DB4">
        <w:rPr>
          <w:rFonts w:ascii="Times New Roman" w:hAnsi="Times New Roman" w:cs="Times New Roman"/>
          <w:sz w:val="24"/>
          <w:szCs w:val="24"/>
        </w:rPr>
        <w:t xml:space="preserve"> (</w:t>
      </w:r>
      <w:r w:rsidR="0093085D">
        <w:rPr>
          <w:rFonts w:ascii="Times New Roman" w:hAnsi="Times New Roman" w:cs="Times New Roman"/>
          <w:b/>
          <w:sz w:val="24"/>
          <w:szCs w:val="24"/>
        </w:rPr>
        <w:t>Attachment 3</w:t>
      </w:r>
      <w:r w:rsidR="00E22DB4">
        <w:rPr>
          <w:rFonts w:ascii="Times New Roman" w:hAnsi="Times New Roman" w:cs="Times New Roman"/>
          <w:sz w:val="24"/>
          <w:szCs w:val="24"/>
        </w:rPr>
        <w:t>)</w:t>
      </w:r>
      <w:r w:rsidR="00797D2A" w:rsidRPr="008735A2">
        <w:rPr>
          <w:rFonts w:ascii="Times New Roman" w:hAnsi="Times New Roman" w:cs="Times New Roman"/>
          <w:sz w:val="24"/>
          <w:szCs w:val="24"/>
        </w:rPr>
        <w:t>. Those who are eligible will proceed to the main survey instrument</w:t>
      </w:r>
      <w:r w:rsidR="00E22DB4">
        <w:rPr>
          <w:rFonts w:ascii="Times New Roman" w:hAnsi="Times New Roman" w:cs="Times New Roman"/>
          <w:sz w:val="24"/>
          <w:szCs w:val="24"/>
        </w:rPr>
        <w:t xml:space="preserve"> (</w:t>
      </w:r>
      <w:r w:rsidR="0093085D">
        <w:rPr>
          <w:rFonts w:ascii="Times New Roman" w:hAnsi="Times New Roman" w:cs="Times New Roman"/>
          <w:b/>
          <w:sz w:val="24"/>
          <w:szCs w:val="24"/>
        </w:rPr>
        <w:t>Attachment 6 and 7</w:t>
      </w:r>
      <w:r w:rsidR="00E22DB4">
        <w:rPr>
          <w:rFonts w:ascii="Times New Roman" w:hAnsi="Times New Roman" w:cs="Times New Roman"/>
          <w:sz w:val="24"/>
          <w:szCs w:val="24"/>
        </w:rPr>
        <w:t>)</w:t>
      </w:r>
      <w:r w:rsidR="00797D2A" w:rsidRPr="008735A2">
        <w:rPr>
          <w:rFonts w:ascii="Times New Roman" w:hAnsi="Times New Roman" w:cs="Times New Roman"/>
          <w:sz w:val="24"/>
          <w:szCs w:val="24"/>
        </w:rPr>
        <w:t xml:space="preserve">. </w:t>
      </w:r>
    </w:p>
    <w:p w14:paraId="31AFDA47" w14:textId="77777777" w:rsidR="005516B1" w:rsidRPr="005516B1" w:rsidRDefault="005516B1" w:rsidP="00685097">
      <w:pPr>
        <w:pStyle w:val="NORCBullet1TimesNewRomanSquare"/>
        <w:spacing w:line="480" w:lineRule="auto"/>
        <w:ind w:left="720"/>
        <w:rPr>
          <w:b/>
          <w:sz w:val="24"/>
          <w:szCs w:val="24"/>
        </w:rPr>
      </w:pPr>
    </w:p>
    <w:p w14:paraId="56A3438D" w14:textId="064EF605" w:rsidR="005714D8" w:rsidRDefault="00797D2A" w:rsidP="00685097">
      <w:pPr>
        <w:pStyle w:val="NORCBullet1TimesNewRomanSquare"/>
        <w:spacing w:line="480" w:lineRule="auto"/>
        <w:rPr>
          <w:sz w:val="24"/>
          <w:szCs w:val="24"/>
        </w:rPr>
      </w:pPr>
      <w:r>
        <w:rPr>
          <w:sz w:val="24"/>
          <w:szCs w:val="24"/>
        </w:rPr>
        <w:t>Also included with t</w:t>
      </w:r>
      <w:r w:rsidR="001F0361">
        <w:rPr>
          <w:sz w:val="24"/>
          <w:szCs w:val="24"/>
        </w:rPr>
        <w:t xml:space="preserve">he invitation letter </w:t>
      </w:r>
      <w:r>
        <w:rPr>
          <w:sz w:val="24"/>
          <w:szCs w:val="24"/>
        </w:rPr>
        <w:t>is</w:t>
      </w:r>
      <w:r w:rsidR="005714D8" w:rsidRPr="00627CA2">
        <w:rPr>
          <w:sz w:val="24"/>
          <w:szCs w:val="24"/>
        </w:rPr>
        <w:t xml:space="preserve"> a promise of a $10 post-</w:t>
      </w:r>
      <w:r w:rsidR="0007249D">
        <w:rPr>
          <w:sz w:val="24"/>
          <w:szCs w:val="24"/>
        </w:rPr>
        <w:t>survey award</w:t>
      </w:r>
      <w:r w:rsidR="005714D8" w:rsidRPr="00627CA2">
        <w:rPr>
          <w:sz w:val="24"/>
          <w:szCs w:val="24"/>
        </w:rPr>
        <w:t xml:space="preserve"> in the form of a prepaid gift card upon completion of the </w:t>
      </w:r>
      <w:r w:rsidR="00785B42" w:rsidRPr="00627CA2">
        <w:rPr>
          <w:sz w:val="24"/>
          <w:szCs w:val="24"/>
        </w:rPr>
        <w:t>survey</w:t>
      </w:r>
      <w:r w:rsidR="009F2CAF">
        <w:rPr>
          <w:sz w:val="24"/>
          <w:szCs w:val="24"/>
        </w:rPr>
        <w:t xml:space="preserve"> for eligible respondents</w:t>
      </w:r>
      <w:r w:rsidR="00785B42" w:rsidRPr="00627CA2">
        <w:rPr>
          <w:sz w:val="24"/>
          <w:szCs w:val="24"/>
        </w:rPr>
        <w:t xml:space="preserve">. </w:t>
      </w:r>
      <w:r w:rsidR="005714D8" w:rsidRPr="00627CA2">
        <w:rPr>
          <w:sz w:val="24"/>
          <w:szCs w:val="24"/>
        </w:rPr>
        <w:t>While this initial letter will invite respondents to complete over the web, respondents will also have the option of calling the study’s toll-free line at any time to complete the survey over the phone.</w:t>
      </w:r>
    </w:p>
    <w:p w14:paraId="3987B3C6" w14:textId="77777777" w:rsidR="008735A2" w:rsidRDefault="008735A2" w:rsidP="00685097">
      <w:pPr>
        <w:spacing w:after="0" w:line="480" w:lineRule="auto"/>
        <w:rPr>
          <w:rFonts w:ascii="Times New Roman" w:hAnsi="Times New Roman" w:cs="Times New Roman"/>
          <w:b/>
          <w:sz w:val="24"/>
          <w:szCs w:val="24"/>
        </w:rPr>
      </w:pPr>
    </w:p>
    <w:p w14:paraId="0407C7C6" w14:textId="0D4B5BB3" w:rsidR="008735A2" w:rsidRPr="00627CA2" w:rsidRDefault="008735A2" w:rsidP="00685097">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Informed Consent. </w:t>
      </w:r>
      <w:r w:rsidRPr="00627CA2">
        <w:rPr>
          <w:rFonts w:ascii="Times New Roman" w:hAnsi="Times New Roman" w:cs="Times New Roman"/>
          <w:sz w:val="24"/>
          <w:szCs w:val="24"/>
        </w:rPr>
        <w:t>Prior to participating in the study, all respondents must provide their consent to participate</w:t>
      </w:r>
      <w:r>
        <w:rPr>
          <w:rFonts w:ascii="Times New Roman" w:hAnsi="Times New Roman" w:cs="Times New Roman"/>
          <w:sz w:val="24"/>
          <w:szCs w:val="24"/>
        </w:rPr>
        <w:t xml:space="preserve"> (</w:t>
      </w:r>
      <w:r w:rsidR="0007249D">
        <w:rPr>
          <w:rFonts w:ascii="Times New Roman" w:hAnsi="Times New Roman" w:cs="Times New Roman"/>
          <w:b/>
          <w:sz w:val="24"/>
          <w:szCs w:val="24"/>
        </w:rPr>
        <w:t xml:space="preserve">Attachment </w:t>
      </w:r>
      <w:r w:rsidR="0093085D">
        <w:rPr>
          <w:rFonts w:ascii="Times New Roman" w:hAnsi="Times New Roman" w:cs="Times New Roman"/>
          <w:b/>
          <w:sz w:val="24"/>
          <w:szCs w:val="24"/>
        </w:rPr>
        <w:t>6</w:t>
      </w:r>
      <w:r w:rsidR="00044B3B">
        <w:rPr>
          <w:rFonts w:ascii="Times New Roman" w:hAnsi="Times New Roman" w:cs="Times New Roman"/>
          <w:b/>
          <w:sz w:val="24"/>
          <w:szCs w:val="24"/>
        </w:rPr>
        <w:t xml:space="preserve"> and 7</w:t>
      </w:r>
      <w:r>
        <w:rPr>
          <w:rFonts w:ascii="Times New Roman" w:hAnsi="Times New Roman" w:cs="Times New Roman"/>
          <w:sz w:val="24"/>
          <w:szCs w:val="24"/>
        </w:rPr>
        <w:t>)</w:t>
      </w:r>
      <w:r w:rsidRPr="00627CA2">
        <w:rPr>
          <w:rFonts w:ascii="Times New Roman" w:hAnsi="Times New Roman" w:cs="Times New Roman"/>
          <w:sz w:val="24"/>
          <w:szCs w:val="24"/>
        </w:rPr>
        <w:t xml:space="preserve">. </w:t>
      </w:r>
      <w:r>
        <w:rPr>
          <w:rFonts w:ascii="Times New Roman" w:hAnsi="Times New Roman" w:cs="Times New Roman"/>
          <w:sz w:val="24"/>
          <w:szCs w:val="24"/>
        </w:rPr>
        <w:t xml:space="preserve">The consent will be programmed in both modes of the survey and </w:t>
      </w:r>
      <w:r w:rsidRPr="00627CA2">
        <w:rPr>
          <w:rFonts w:ascii="Times New Roman" w:hAnsi="Times New Roman" w:cs="Times New Roman"/>
          <w:sz w:val="24"/>
          <w:szCs w:val="24"/>
        </w:rPr>
        <w:t xml:space="preserve">is critical to ensure the protection of respondents’ rights as research participants, provide answers to any questions they may have about the study and their participation in it, and inform the respondent of the voluntary nature of participation. </w:t>
      </w:r>
      <w:r w:rsidR="0007249D" w:rsidRPr="00627CA2">
        <w:rPr>
          <w:rFonts w:ascii="Times New Roman" w:hAnsi="Times New Roman" w:cs="Times New Roman"/>
          <w:sz w:val="24"/>
          <w:szCs w:val="24"/>
        </w:rPr>
        <w:t xml:space="preserve">Once consent is obtained, the </w:t>
      </w:r>
      <w:r w:rsidR="00D60EF4">
        <w:rPr>
          <w:rFonts w:ascii="Times New Roman" w:hAnsi="Times New Roman" w:cs="Times New Roman"/>
          <w:sz w:val="24"/>
          <w:szCs w:val="24"/>
        </w:rPr>
        <w:t>survey</w:t>
      </w:r>
      <w:r w:rsidR="00D60EF4" w:rsidRPr="00627CA2">
        <w:rPr>
          <w:rFonts w:ascii="Times New Roman" w:hAnsi="Times New Roman" w:cs="Times New Roman"/>
          <w:sz w:val="24"/>
          <w:szCs w:val="24"/>
        </w:rPr>
        <w:t xml:space="preserve"> </w:t>
      </w:r>
      <w:r w:rsidR="0007249D" w:rsidRPr="00627CA2">
        <w:rPr>
          <w:rFonts w:ascii="Times New Roman" w:hAnsi="Times New Roman" w:cs="Times New Roman"/>
          <w:sz w:val="24"/>
          <w:szCs w:val="24"/>
        </w:rPr>
        <w:t xml:space="preserve">will proceed. </w:t>
      </w:r>
      <w:r w:rsidRPr="00627CA2">
        <w:rPr>
          <w:rFonts w:ascii="Times New Roman" w:hAnsi="Times New Roman" w:cs="Times New Roman"/>
          <w:sz w:val="24"/>
          <w:szCs w:val="24"/>
        </w:rPr>
        <w:t xml:space="preserve">Throughout </w:t>
      </w:r>
      <w:r w:rsidR="0007249D">
        <w:rPr>
          <w:rFonts w:ascii="Times New Roman" w:hAnsi="Times New Roman" w:cs="Times New Roman"/>
          <w:sz w:val="24"/>
          <w:szCs w:val="24"/>
        </w:rPr>
        <w:t xml:space="preserve">any </w:t>
      </w:r>
      <w:r w:rsidRPr="00627CA2">
        <w:rPr>
          <w:rFonts w:ascii="Times New Roman" w:hAnsi="Times New Roman" w:cs="Times New Roman"/>
          <w:sz w:val="24"/>
          <w:szCs w:val="24"/>
        </w:rPr>
        <w:t xml:space="preserve">interactions with respondents, NORC will communicate the purpose of the study and thoroughly explain the expectations for participation. </w:t>
      </w:r>
    </w:p>
    <w:p w14:paraId="250D3D25" w14:textId="77777777" w:rsidR="00797D2A" w:rsidRDefault="00797D2A" w:rsidP="00685097">
      <w:pPr>
        <w:pStyle w:val="NORCBullet1TimesNewRomanSquare"/>
        <w:spacing w:line="480" w:lineRule="auto"/>
        <w:rPr>
          <w:b/>
          <w:sz w:val="24"/>
          <w:szCs w:val="24"/>
        </w:rPr>
      </w:pPr>
    </w:p>
    <w:p w14:paraId="5DEDE373" w14:textId="4FB610A5" w:rsidR="00797D2A" w:rsidRDefault="005714D8" w:rsidP="00685097">
      <w:pPr>
        <w:pStyle w:val="NORCBullet1TimesNewRomanSquare"/>
        <w:spacing w:line="480" w:lineRule="auto"/>
        <w:rPr>
          <w:sz w:val="24"/>
          <w:szCs w:val="24"/>
        </w:rPr>
      </w:pPr>
      <w:r w:rsidRPr="00627CA2">
        <w:rPr>
          <w:b/>
          <w:sz w:val="24"/>
          <w:szCs w:val="24"/>
        </w:rPr>
        <w:t xml:space="preserve">Telephone </w:t>
      </w:r>
      <w:r w:rsidR="00797D2A">
        <w:rPr>
          <w:b/>
          <w:sz w:val="24"/>
          <w:szCs w:val="24"/>
        </w:rPr>
        <w:t>data collection</w:t>
      </w:r>
      <w:r w:rsidRPr="00627CA2">
        <w:rPr>
          <w:b/>
          <w:sz w:val="24"/>
          <w:szCs w:val="24"/>
        </w:rPr>
        <w:t xml:space="preserve">. </w:t>
      </w:r>
      <w:r w:rsidRPr="00627CA2">
        <w:rPr>
          <w:sz w:val="24"/>
          <w:szCs w:val="24"/>
        </w:rPr>
        <w:t>NORC data collection specialists will begin contacting non-respondents via telephone approximately two weeks after the web invitation mailing. This contact will serve to establish personal contact, verify receipt of the invitation letter, answer questions, and offer respondents the option to complete the survey over the phone</w:t>
      </w:r>
      <w:r w:rsidR="001F0361">
        <w:rPr>
          <w:sz w:val="24"/>
          <w:szCs w:val="24"/>
        </w:rPr>
        <w:t xml:space="preserve"> (</w:t>
      </w:r>
      <w:r w:rsidR="0093085D">
        <w:rPr>
          <w:b/>
          <w:sz w:val="24"/>
          <w:szCs w:val="24"/>
        </w:rPr>
        <w:t>Attachment 8</w:t>
      </w:r>
      <w:r w:rsidR="001F0361">
        <w:rPr>
          <w:sz w:val="24"/>
          <w:szCs w:val="24"/>
        </w:rPr>
        <w:t>)</w:t>
      </w:r>
      <w:r w:rsidRPr="00627CA2">
        <w:rPr>
          <w:sz w:val="24"/>
          <w:szCs w:val="24"/>
        </w:rPr>
        <w:t>. NORC anticipates telephone data collection to span eight weeks.</w:t>
      </w:r>
    </w:p>
    <w:p w14:paraId="62913845" w14:textId="77777777" w:rsidR="00797D2A" w:rsidRDefault="00797D2A" w:rsidP="00685097">
      <w:pPr>
        <w:pStyle w:val="NORCBullet1TimesNewRomanSquare"/>
        <w:spacing w:line="480" w:lineRule="auto"/>
        <w:ind w:left="720"/>
        <w:rPr>
          <w:sz w:val="24"/>
          <w:szCs w:val="24"/>
        </w:rPr>
      </w:pPr>
    </w:p>
    <w:p w14:paraId="6343A502" w14:textId="14AF347F" w:rsidR="00797D2A" w:rsidRDefault="00797D2A" w:rsidP="00685097">
      <w:pPr>
        <w:pStyle w:val="NORCBullet1TimesNewRomanSquare"/>
        <w:spacing w:line="480" w:lineRule="auto"/>
        <w:rPr>
          <w:sz w:val="24"/>
          <w:szCs w:val="24"/>
        </w:rPr>
      </w:pPr>
      <w:r>
        <w:rPr>
          <w:sz w:val="24"/>
          <w:szCs w:val="24"/>
        </w:rPr>
        <w:t xml:space="preserve">Prior to the start of telephone dialing, telephone interviewers will undergo </w:t>
      </w:r>
      <w:r w:rsidR="00D60EF4">
        <w:rPr>
          <w:sz w:val="24"/>
          <w:szCs w:val="24"/>
        </w:rPr>
        <w:t>project-</w:t>
      </w:r>
      <w:r>
        <w:rPr>
          <w:sz w:val="24"/>
          <w:szCs w:val="24"/>
        </w:rPr>
        <w:t>specific training. The training will inform the telephone interviewers about the scope of the project, any challenges they may encounter, and strategies to overcome these challenges. The training will also emphasize gaining cooperation techniques, including refusal conversion.</w:t>
      </w:r>
    </w:p>
    <w:p w14:paraId="11309A81" w14:textId="77777777" w:rsidR="00797D2A" w:rsidRDefault="00797D2A" w:rsidP="00685097">
      <w:pPr>
        <w:pStyle w:val="NORCBullet1TimesNewRomanSquare"/>
        <w:spacing w:line="480" w:lineRule="auto"/>
        <w:ind w:left="720"/>
        <w:rPr>
          <w:sz w:val="24"/>
          <w:szCs w:val="24"/>
        </w:rPr>
      </w:pPr>
    </w:p>
    <w:p w14:paraId="7C0A2152" w14:textId="01EE58A3" w:rsidR="00797D2A" w:rsidRDefault="00797D2A" w:rsidP="00685097">
      <w:pPr>
        <w:pStyle w:val="NORCBullet1TimesNewRomanSquare"/>
        <w:spacing w:line="480" w:lineRule="auto"/>
        <w:rPr>
          <w:sz w:val="24"/>
          <w:szCs w:val="24"/>
        </w:rPr>
      </w:pPr>
      <w:r>
        <w:rPr>
          <w:sz w:val="24"/>
          <w:szCs w:val="24"/>
        </w:rPr>
        <w:t>The case management system used for this project will deliver cases automatically to the telephone interviewers based on a pre-determined set of calling rules. Multiple call attempts will be made t</w:t>
      </w:r>
      <w:r w:rsidR="00F26092">
        <w:rPr>
          <w:sz w:val="24"/>
          <w:szCs w:val="24"/>
        </w:rPr>
        <w:t>o women over the course of data collection, with attempts made at various times of the day. The interviewers can also set an appointment with a respondent to begin the survey at a time that is convenient for her.</w:t>
      </w:r>
    </w:p>
    <w:p w14:paraId="2BAD3922" w14:textId="77777777" w:rsidR="00797D2A" w:rsidRPr="00797D2A" w:rsidRDefault="00797D2A" w:rsidP="00685097">
      <w:pPr>
        <w:pStyle w:val="NORCBullet1TimesNewRomanSquare"/>
        <w:spacing w:line="480" w:lineRule="auto"/>
        <w:ind w:left="720"/>
        <w:rPr>
          <w:sz w:val="24"/>
          <w:szCs w:val="24"/>
        </w:rPr>
      </w:pPr>
    </w:p>
    <w:p w14:paraId="598AE129" w14:textId="1EB8E45F" w:rsidR="005714D8" w:rsidRPr="00627CA2" w:rsidRDefault="00560047" w:rsidP="00685097">
      <w:pPr>
        <w:pStyle w:val="NORCBullet1TimesNewRomanSquare"/>
        <w:spacing w:line="480" w:lineRule="auto"/>
        <w:rPr>
          <w:sz w:val="24"/>
          <w:szCs w:val="24"/>
        </w:rPr>
      </w:pPr>
      <w:r w:rsidRPr="00627CA2">
        <w:rPr>
          <w:b/>
          <w:sz w:val="24"/>
          <w:szCs w:val="24"/>
        </w:rPr>
        <w:t>Final invitation m</w:t>
      </w:r>
      <w:r w:rsidR="005714D8" w:rsidRPr="00627CA2">
        <w:rPr>
          <w:b/>
          <w:sz w:val="24"/>
          <w:szCs w:val="24"/>
        </w:rPr>
        <w:t>ailings.</w:t>
      </w:r>
      <w:r w:rsidR="005714D8" w:rsidRPr="00627CA2">
        <w:rPr>
          <w:sz w:val="24"/>
          <w:szCs w:val="24"/>
        </w:rPr>
        <w:t xml:space="preserve"> For any sampled respondents who have not completed the survey after the eight-week telephone period, a reminder postcard will be sent</w:t>
      </w:r>
      <w:r w:rsidR="003554EE" w:rsidRPr="00627CA2">
        <w:rPr>
          <w:sz w:val="24"/>
          <w:szCs w:val="24"/>
        </w:rPr>
        <w:t xml:space="preserve"> </w:t>
      </w:r>
      <w:r w:rsidR="003554EE" w:rsidRPr="001F0361">
        <w:rPr>
          <w:sz w:val="24"/>
          <w:szCs w:val="24"/>
        </w:rPr>
        <w:t>(</w:t>
      </w:r>
      <w:r w:rsidR="00B47BF4">
        <w:rPr>
          <w:b/>
          <w:sz w:val="24"/>
          <w:szCs w:val="24"/>
        </w:rPr>
        <w:t xml:space="preserve">Attachment </w:t>
      </w:r>
      <w:r w:rsidR="00044B3B">
        <w:rPr>
          <w:b/>
          <w:sz w:val="24"/>
          <w:szCs w:val="24"/>
        </w:rPr>
        <w:t>9</w:t>
      </w:r>
      <w:r w:rsidR="003554EE" w:rsidRPr="001F0361">
        <w:rPr>
          <w:sz w:val="24"/>
          <w:szCs w:val="24"/>
        </w:rPr>
        <w:t>)</w:t>
      </w:r>
      <w:r w:rsidR="005714D8" w:rsidRPr="001F0361">
        <w:rPr>
          <w:sz w:val="24"/>
          <w:szCs w:val="24"/>
        </w:rPr>
        <w:t>.</w:t>
      </w:r>
      <w:r w:rsidR="005714D8" w:rsidRPr="00627CA2">
        <w:rPr>
          <w:sz w:val="24"/>
          <w:szCs w:val="24"/>
        </w:rPr>
        <w:t xml:space="preserve"> This will be followed two weeks later with a final invitation letter that will contain the original mail materials</w:t>
      </w:r>
      <w:r w:rsidR="00B47BF4">
        <w:rPr>
          <w:sz w:val="24"/>
          <w:szCs w:val="24"/>
        </w:rPr>
        <w:t xml:space="preserve"> </w:t>
      </w:r>
      <w:r w:rsidR="005714D8" w:rsidRPr="00627CA2">
        <w:rPr>
          <w:sz w:val="24"/>
          <w:szCs w:val="24"/>
        </w:rPr>
        <w:t>and a note that data collection will be ending soon</w:t>
      </w:r>
      <w:r w:rsidR="003554EE" w:rsidRPr="00627CA2">
        <w:rPr>
          <w:sz w:val="24"/>
          <w:szCs w:val="24"/>
        </w:rPr>
        <w:t xml:space="preserve"> </w:t>
      </w:r>
      <w:r w:rsidR="003554EE" w:rsidRPr="001F0361">
        <w:rPr>
          <w:sz w:val="24"/>
          <w:szCs w:val="24"/>
        </w:rPr>
        <w:t>(</w:t>
      </w:r>
      <w:r w:rsidR="003554EE" w:rsidRPr="00B47BF4">
        <w:rPr>
          <w:b/>
          <w:sz w:val="24"/>
          <w:szCs w:val="24"/>
        </w:rPr>
        <w:t xml:space="preserve">Attachment </w:t>
      </w:r>
      <w:r w:rsidR="00044B3B">
        <w:rPr>
          <w:b/>
          <w:sz w:val="24"/>
          <w:szCs w:val="24"/>
        </w:rPr>
        <w:t>10</w:t>
      </w:r>
      <w:r w:rsidR="003554EE" w:rsidRPr="001F0361">
        <w:rPr>
          <w:sz w:val="24"/>
          <w:szCs w:val="24"/>
        </w:rPr>
        <w:t>)</w:t>
      </w:r>
      <w:r w:rsidR="005714D8" w:rsidRPr="001F0361">
        <w:rPr>
          <w:sz w:val="24"/>
          <w:szCs w:val="24"/>
        </w:rPr>
        <w:t>.</w:t>
      </w:r>
      <w:r w:rsidR="005714D8" w:rsidRPr="00627CA2">
        <w:rPr>
          <w:sz w:val="24"/>
          <w:szCs w:val="24"/>
        </w:rPr>
        <w:t xml:space="preserve"> Respondents will be allowed two final weeks to complete the survey via web before the round is considered closed.</w:t>
      </w:r>
    </w:p>
    <w:p w14:paraId="7C5A22EA" w14:textId="77777777" w:rsidR="004A3CD0" w:rsidRDefault="004A3CD0" w:rsidP="00685097">
      <w:pPr>
        <w:pStyle w:val="BodyText"/>
        <w:spacing w:after="0" w:line="480" w:lineRule="auto"/>
        <w:rPr>
          <w:sz w:val="24"/>
          <w:szCs w:val="24"/>
        </w:rPr>
      </w:pPr>
    </w:p>
    <w:p w14:paraId="27706EE6" w14:textId="724EAF52" w:rsidR="004A3CD0" w:rsidRDefault="004A3CD0" w:rsidP="00685097">
      <w:pPr>
        <w:pStyle w:val="BodyText"/>
        <w:spacing w:after="0" w:line="480" w:lineRule="auto"/>
        <w:rPr>
          <w:sz w:val="24"/>
          <w:szCs w:val="24"/>
        </w:rPr>
      </w:pPr>
      <w:r w:rsidRPr="00627CA2">
        <w:rPr>
          <w:sz w:val="24"/>
          <w:szCs w:val="24"/>
        </w:rPr>
        <w:t>Included within all mailings</w:t>
      </w:r>
      <w:r w:rsidR="008735A2">
        <w:rPr>
          <w:sz w:val="24"/>
          <w:szCs w:val="24"/>
        </w:rPr>
        <w:t xml:space="preserve"> (invitation letter and final mailings)</w:t>
      </w:r>
      <w:r w:rsidRPr="00627CA2">
        <w:rPr>
          <w:sz w:val="24"/>
          <w:szCs w:val="24"/>
        </w:rPr>
        <w:t xml:space="preserve"> will be a toll-free number and e-mail address so that respondents may contact the project with questions or for assistance. </w:t>
      </w:r>
    </w:p>
    <w:p w14:paraId="3FA09D8B" w14:textId="77777777" w:rsidR="00CD0A8A" w:rsidRPr="00627CA2" w:rsidRDefault="00CD0A8A" w:rsidP="00685097">
      <w:pPr>
        <w:pStyle w:val="BodyText"/>
        <w:spacing w:after="0" w:line="480" w:lineRule="auto"/>
        <w:rPr>
          <w:sz w:val="24"/>
          <w:szCs w:val="24"/>
        </w:rPr>
      </w:pPr>
    </w:p>
    <w:p w14:paraId="4958395D" w14:textId="10ADC780" w:rsidR="00F26092" w:rsidRPr="00627CA2" w:rsidRDefault="00F26092" w:rsidP="00685097">
      <w:pPr>
        <w:pStyle w:val="Heading4"/>
        <w:spacing w:before="0" w:line="480" w:lineRule="auto"/>
        <w:rPr>
          <w:rFonts w:ascii="Times New Roman" w:hAnsi="Times New Roman" w:cs="Times New Roman"/>
          <w:color w:val="auto"/>
          <w:sz w:val="24"/>
          <w:szCs w:val="24"/>
        </w:rPr>
      </w:pPr>
      <w:r w:rsidRPr="00627CA2">
        <w:rPr>
          <w:rFonts w:ascii="Times New Roman" w:hAnsi="Times New Roman" w:cs="Times New Roman"/>
          <w:color w:val="auto"/>
          <w:sz w:val="24"/>
          <w:szCs w:val="24"/>
        </w:rPr>
        <w:t>Year 2 Data Collection</w:t>
      </w:r>
      <w:r>
        <w:rPr>
          <w:rFonts w:ascii="Times New Roman" w:hAnsi="Times New Roman" w:cs="Times New Roman"/>
          <w:color w:val="auto"/>
          <w:sz w:val="24"/>
          <w:szCs w:val="24"/>
        </w:rPr>
        <w:t xml:space="preserve"> Approach</w:t>
      </w:r>
    </w:p>
    <w:p w14:paraId="589D6F43" w14:textId="62734136" w:rsidR="00F26092" w:rsidRPr="00627CA2" w:rsidRDefault="00F26092"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Year 2 will follow similar procedures as Year 1. Prior to the start of Year 2, NORC and CDC will meet to review the Year 1 protocol and questionnaire </w:t>
      </w:r>
      <w:r>
        <w:rPr>
          <w:rFonts w:ascii="Times New Roman" w:hAnsi="Times New Roman" w:cs="Times New Roman"/>
          <w:sz w:val="24"/>
          <w:szCs w:val="24"/>
        </w:rPr>
        <w:t xml:space="preserve">to </w:t>
      </w:r>
      <w:r w:rsidRPr="00627CA2">
        <w:rPr>
          <w:rFonts w:ascii="Times New Roman" w:hAnsi="Times New Roman" w:cs="Times New Roman"/>
          <w:sz w:val="24"/>
          <w:szCs w:val="24"/>
        </w:rPr>
        <w:t>decide if any modifications</w:t>
      </w:r>
      <w:r w:rsidR="00261E55">
        <w:rPr>
          <w:rFonts w:ascii="Times New Roman" w:hAnsi="Times New Roman" w:cs="Times New Roman"/>
          <w:sz w:val="24"/>
          <w:szCs w:val="24"/>
        </w:rPr>
        <w:t xml:space="preserve"> related to collection methodology</w:t>
      </w:r>
      <w:r w:rsidRPr="00627CA2">
        <w:rPr>
          <w:rFonts w:ascii="Times New Roman" w:hAnsi="Times New Roman" w:cs="Times New Roman"/>
          <w:sz w:val="24"/>
          <w:szCs w:val="24"/>
        </w:rPr>
        <w:t xml:space="preserve"> are necessary. </w:t>
      </w:r>
      <w:r w:rsidR="00261E55">
        <w:rPr>
          <w:rFonts w:ascii="Times New Roman" w:hAnsi="Times New Roman" w:cs="Times New Roman"/>
          <w:sz w:val="24"/>
          <w:szCs w:val="24"/>
        </w:rPr>
        <w:t xml:space="preserve">For example, CDC and NORC will review response rates by mode to determine if it would be beneficial to start subsequent years of data collection with </w:t>
      </w:r>
      <w:r w:rsidR="006B7412">
        <w:rPr>
          <w:rFonts w:ascii="Times New Roman" w:hAnsi="Times New Roman" w:cs="Times New Roman"/>
          <w:sz w:val="24"/>
          <w:szCs w:val="24"/>
        </w:rPr>
        <w:t>CATI</w:t>
      </w:r>
      <w:r w:rsidR="00261E55">
        <w:rPr>
          <w:rFonts w:ascii="Times New Roman" w:hAnsi="Times New Roman" w:cs="Times New Roman"/>
          <w:sz w:val="24"/>
          <w:szCs w:val="24"/>
        </w:rPr>
        <w:t xml:space="preserve"> as opposed to </w:t>
      </w:r>
      <w:r w:rsidR="006B7412">
        <w:rPr>
          <w:rFonts w:ascii="Times New Roman" w:hAnsi="Times New Roman" w:cs="Times New Roman"/>
          <w:sz w:val="24"/>
          <w:szCs w:val="24"/>
        </w:rPr>
        <w:t>CAWI</w:t>
      </w:r>
      <w:r w:rsidR="00261E55">
        <w:rPr>
          <w:rFonts w:ascii="Times New Roman" w:hAnsi="Times New Roman" w:cs="Times New Roman"/>
          <w:sz w:val="24"/>
          <w:szCs w:val="24"/>
        </w:rPr>
        <w:t xml:space="preserve">. </w:t>
      </w:r>
      <w:r w:rsidR="00A77AAE">
        <w:rPr>
          <w:rFonts w:ascii="Times New Roman" w:hAnsi="Times New Roman" w:cs="Times New Roman"/>
          <w:sz w:val="24"/>
          <w:szCs w:val="24"/>
        </w:rPr>
        <w:t xml:space="preserve">CDC will seek OMB approval through a change request for any modifications. </w:t>
      </w:r>
      <w:r w:rsidRPr="00627CA2">
        <w:rPr>
          <w:rFonts w:ascii="Times New Roman" w:hAnsi="Times New Roman" w:cs="Times New Roman"/>
          <w:sz w:val="24"/>
          <w:szCs w:val="24"/>
        </w:rPr>
        <w:t xml:space="preserve">NORC will mail an </w:t>
      </w:r>
      <w:r w:rsidR="00F738DC">
        <w:rPr>
          <w:rFonts w:ascii="Times New Roman" w:hAnsi="Times New Roman" w:cs="Times New Roman"/>
          <w:sz w:val="24"/>
          <w:szCs w:val="24"/>
        </w:rPr>
        <w:t>interval</w:t>
      </w:r>
      <w:r w:rsidR="00F738DC" w:rsidRPr="00627CA2">
        <w:rPr>
          <w:rFonts w:ascii="Times New Roman" w:hAnsi="Times New Roman" w:cs="Times New Roman"/>
          <w:sz w:val="24"/>
          <w:szCs w:val="24"/>
        </w:rPr>
        <w:t xml:space="preserve"> </w:t>
      </w:r>
      <w:r w:rsidRPr="00627CA2">
        <w:rPr>
          <w:rFonts w:ascii="Times New Roman" w:hAnsi="Times New Roman" w:cs="Times New Roman"/>
          <w:sz w:val="24"/>
          <w:szCs w:val="24"/>
        </w:rPr>
        <w:t>letter to participating women. This letter will be slightly different from the Year 1 letter, as it will thank the respondent for her previous participation</w:t>
      </w:r>
      <w:r w:rsidR="00F738DC">
        <w:rPr>
          <w:rFonts w:ascii="Times New Roman" w:hAnsi="Times New Roman" w:cs="Times New Roman"/>
          <w:sz w:val="24"/>
          <w:szCs w:val="24"/>
        </w:rPr>
        <w:t xml:space="preserve"> (</w:t>
      </w:r>
      <w:r w:rsidR="00F738DC" w:rsidRPr="00D902DF">
        <w:rPr>
          <w:rFonts w:ascii="Times New Roman" w:hAnsi="Times New Roman" w:cs="Times New Roman"/>
          <w:b/>
          <w:sz w:val="24"/>
          <w:szCs w:val="24"/>
        </w:rPr>
        <w:t>Attachment 1</w:t>
      </w:r>
      <w:r w:rsidR="002961BD">
        <w:rPr>
          <w:rFonts w:ascii="Times New Roman" w:hAnsi="Times New Roman" w:cs="Times New Roman"/>
          <w:b/>
          <w:sz w:val="24"/>
          <w:szCs w:val="24"/>
        </w:rPr>
        <w:t>3</w:t>
      </w:r>
      <w:r w:rsidR="00F738DC">
        <w:rPr>
          <w:rFonts w:ascii="Times New Roman" w:hAnsi="Times New Roman" w:cs="Times New Roman"/>
          <w:sz w:val="24"/>
          <w:szCs w:val="24"/>
        </w:rPr>
        <w:t>)</w:t>
      </w:r>
      <w:r w:rsidRPr="00627CA2">
        <w:rPr>
          <w:rFonts w:ascii="Times New Roman" w:hAnsi="Times New Roman" w:cs="Times New Roman"/>
          <w:sz w:val="24"/>
          <w:szCs w:val="24"/>
        </w:rPr>
        <w:t xml:space="preserve">. In Year 2, NORC will </w:t>
      </w:r>
      <w:r w:rsidR="00F738DC">
        <w:rPr>
          <w:rFonts w:ascii="Times New Roman" w:hAnsi="Times New Roman" w:cs="Times New Roman"/>
          <w:sz w:val="24"/>
          <w:szCs w:val="24"/>
        </w:rPr>
        <w:t xml:space="preserve">send an invitation letter for the follow-up survey and </w:t>
      </w:r>
      <w:r w:rsidRPr="00627CA2">
        <w:rPr>
          <w:rFonts w:ascii="Times New Roman" w:hAnsi="Times New Roman" w:cs="Times New Roman"/>
          <w:sz w:val="24"/>
          <w:szCs w:val="24"/>
        </w:rPr>
        <w:t>include a promise of an additional $1</w:t>
      </w:r>
      <w:r>
        <w:rPr>
          <w:rFonts w:ascii="Times New Roman" w:hAnsi="Times New Roman" w:cs="Times New Roman"/>
          <w:sz w:val="24"/>
          <w:szCs w:val="24"/>
        </w:rPr>
        <w:t>5</w:t>
      </w:r>
      <w:r w:rsidRPr="00627CA2">
        <w:rPr>
          <w:rFonts w:ascii="Times New Roman" w:hAnsi="Times New Roman" w:cs="Times New Roman"/>
          <w:sz w:val="24"/>
          <w:szCs w:val="24"/>
        </w:rPr>
        <w:t xml:space="preserve"> post-</w:t>
      </w:r>
      <w:r w:rsidR="00B47BF4">
        <w:rPr>
          <w:rFonts w:ascii="Times New Roman" w:hAnsi="Times New Roman" w:cs="Times New Roman"/>
          <w:sz w:val="24"/>
          <w:szCs w:val="24"/>
        </w:rPr>
        <w:t>survey award</w:t>
      </w:r>
      <w:r w:rsidRPr="00627CA2">
        <w:rPr>
          <w:rFonts w:ascii="Times New Roman" w:hAnsi="Times New Roman" w:cs="Times New Roman"/>
          <w:sz w:val="24"/>
          <w:szCs w:val="24"/>
        </w:rPr>
        <w:t xml:space="preserve"> upon completion of the survey</w:t>
      </w:r>
      <w:r w:rsidR="00F738DC">
        <w:rPr>
          <w:rFonts w:ascii="Times New Roman" w:hAnsi="Times New Roman" w:cs="Times New Roman"/>
          <w:sz w:val="24"/>
          <w:szCs w:val="24"/>
        </w:rPr>
        <w:t xml:space="preserve"> (</w:t>
      </w:r>
      <w:r w:rsidR="00F738DC" w:rsidRPr="00D902DF">
        <w:rPr>
          <w:rFonts w:ascii="Times New Roman" w:hAnsi="Times New Roman" w:cs="Times New Roman"/>
          <w:b/>
          <w:sz w:val="24"/>
          <w:szCs w:val="24"/>
        </w:rPr>
        <w:t xml:space="preserve">Attachment </w:t>
      </w:r>
      <w:r w:rsidR="003B0CE0">
        <w:rPr>
          <w:rFonts w:ascii="Times New Roman" w:hAnsi="Times New Roman" w:cs="Times New Roman"/>
          <w:b/>
          <w:sz w:val="24"/>
          <w:szCs w:val="24"/>
        </w:rPr>
        <w:t>1</w:t>
      </w:r>
      <w:r w:rsidR="002961BD">
        <w:rPr>
          <w:rFonts w:ascii="Times New Roman" w:hAnsi="Times New Roman" w:cs="Times New Roman"/>
          <w:b/>
          <w:sz w:val="24"/>
          <w:szCs w:val="24"/>
        </w:rPr>
        <w:t>4</w:t>
      </w:r>
      <w:r w:rsidR="00F738DC">
        <w:rPr>
          <w:rFonts w:ascii="Times New Roman" w:hAnsi="Times New Roman" w:cs="Times New Roman"/>
          <w:sz w:val="24"/>
          <w:szCs w:val="24"/>
        </w:rPr>
        <w:t>)</w:t>
      </w:r>
      <w:r w:rsidRPr="00627CA2">
        <w:rPr>
          <w:rFonts w:ascii="Times New Roman" w:hAnsi="Times New Roman" w:cs="Times New Roman"/>
          <w:sz w:val="24"/>
          <w:szCs w:val="24"/>
        </w:rPr>
        <w:t xml:space="preserve">. </w:t>
      </w:r>
    </w:p>
    <w:p w14:paraId="69E6812F" w14:textId="77777777" w:rsidR="00CD0A8A" w:rsidRPr="00627CA2" w:rsidRDefault="00CD0A8A" w:rsidP="00685097">
      <w:pPr>
        <w:spacing w:after="0" w:line="480" w:lineRule="auto"/>
        <w:rPr>
          <w:rFonts w:ascii="Times New Roman" w:hAnsi="Times New Roman" w:cs="Times New Roman"/>
          <w:sz w:val="24"/>
          <w:szCs w:val="24"/>
        </w:rPr>
      </w:pPr>
    </w:p>
    <w:p w14:paraId="2C0E98C1" w14:textId="75CB39DC" w:rsidR="00F26092" w:rsidRPr="00130909" w:rsidRDefault="00F26092" w:rsidP="00685097">
      <w:pPr>
        <w:spacing w:after="0" w:line="480" w:lineRule="auto"/>
        <w:rPr>
          <w:rFonts w:ascii="Times New Roman" w:hAnsi="Times New Roman" w:cs="Times New Roman"/>
          <w:i/>
          <w:sz w:val="24"/>
          <w:szCs w:val="24"/>
        </w:rPr>
      </w:pPr>
      <w:r w:rsidRPr="00130909">
        <w:rPr>
          <w:rFonts w:ascii="Times New Roman" w:hAnsi="Times New Roman" w:cs="Times New Roman"/>
          <w:i/>
          <w:sz w:val="24"/>
          <w:szCs w:val="24"/>
        </w:rPr>
        <w:t>Year 3 Data Collection</w:t>
      </w:r>
      <w:r>
        <w:rPr>
          <w:rFonts w:ascii="Times New Roman" w:hAnsi="Times New Roman" w:cs="Times New Roman"/>
          <w:i/>
          <w:sz w:val="24"/>
          <w:szCs w:val="24"/>
        </w:rPr>
        <w:t xml:space="preserve"> Approach</w:t>
      </w:r>
    </w:p>
    <w:p w14:paraId="4706FB2E" w14:textId="7A999BF1" w:rsidR="00F26092" w:rsidRPr="00627CA2" w:rsidRDefault="00F26092"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In the final year of data collection, NORC will follow the same</w:t>
      </w:r>
      <w:r w:rsidR="00603A4E">
        <w:rPr>
          <w:rFonts w:ascii="Times New Roman" w:hAnsi="Times New Roman" w:cs="Times New Roman"/>
          <w:sz w:val="24"/>
          <w:szCs w:val="24"/>
        </w:rPr>
        <w:t xml:space="preserve"> procedures as in Years 1 and 2</w:t>
      </w:r>
      <w:r w:rsidRPr="00627CA2">
        <w:rPr>
          <w:rFonts w:ascii="Times New Roman" w:hAnsi="Times New Roman" w:cs="Times New Roman"/>
          <w:sz w:val="24"/>
          <w:szCs w:val="24"/>
        </w:rPr>
        <w:t xml:space="preserve">. </w:t>
      </w:r>
      <w:r w:rsidR="00603A4E">
        <w:rPr>
          <w:rFonts w:ascii="Times New Roman" w:hAnsi="Times New Roman" w:cs="Times New Roman"/>
          <w:sz w:val="24"/>
          <w:szCs w:val="24"/>
        </w:rPr>
        <w:t>M</w:t>
      </w:r>
      <w:r w:rsidRPr="00627CA2">
        <w:rPr>
          <w:rFonts w:ascii="Times New Roman" w:hAnsi="Times New Roman" w:cs="Times New Roman"/>
          <w:sz w:val="24"/>
          <w:szCs w:val="24"/>
        </w:rPr>
        <w:t>aterials will reference that this is the final round of the study and encourage respondents to complete the survey to ensure that the results are as meaningful as possible by retaining as many original participants as possible.</w:t>
      </w:r>
      <w:r>
        <w:rPr>
          <w:rFonts w:ascii="Times New Roman" w:hAnsi="Times New Roman" w:cs="Times New Roman"/>
          <w:sz w:val="24"/>
          <w:szCs w:val="24"/>
        </w:rPr>
        <w:t xml:space="preserve"> In Year 3, </w:t>
      </w:r>
      <w:r w:rsidR="00F738DC">
        <w:rPr>
          <w:rFonts w:ascii="Times New Roman" w:hAnsi="Times New Roman" w:cs="Times New Roman"/>
          <w:sz w:val="24"/>
          <w:szCs w:val="24"/>
        </w:rPr>
        <w:t xml:space="preserve">the invitational letter </w:t>
      </w:r>
      <w:r>
        <w:rPr>
          <w:rFonts w:ascii="Times New Roman" w:hAnsi="Times New Roman" w:cs="Times New Roman"/>
          <w:sz w:val="24"/>
          <w:szCs w:val="24"/>
        </w:rPr>
        <w:t>will include a promise of an additional $20</w:t>
      </w:r>
      <w:r w:rsidRPr="00627CA2">
        <w:rPr>
          <w:rFonts w:ascii="Times New Roman" w:hAnsi="Times New Roman" w:cs="Times New Roman"/>
          <w:sz w:val="24"/>
          <w:szCs w:val="24"/>
        </w:rPr>
        <w:t xml:space="preserve"> upon completion of the survey</w:t>
      </w:r>
      <w:r w:rsidR="00F738DC">
        <w:rPr>
          <w:rFonts w:ascii="Times New Roman" w:hAnsi="Times New Roman" w:cs="Times New Roman"/>
          <w:sz w:val="24"/>
          <w:szCs w:val="24"/>
        </w:rPr>
        <w:t xml:space="preserve"> (</w:t>
      </w:r>
      <w:r w:rsidR="00F738DC" w:rsidRPr="00D902DF">
        <w:rPr>
          <w:rFonts w:ascii="Times New Roman" w:hAnsi="Times New Roman" w:cs="Times New Roman"/>
          <w:b/>
          <w:sz w:val="24"/>
          <w:szCs w:val="24"/>
        </w:rPr>
        <w:t xml:space="preserve">Attachment </w:t>
      </w:r>
      <w:r w:rsidR="003B0CE0">
        <w:rPr>
          <w:rFonts w:ascii="Times New Roman" w:hAnsi="Times New Roman" w:cs="Times New Roman"/>
          <w:b/>
          <w:sz w:val="24"/>
          <w:szCs w:val="24"/>
        </w:rPr>
        <w:t>1</w:t>
      </w:r>
      <w:r w:rsidR="002961BD">
        <w:rPr>
          <w:rFonts w:ascii="Times New Roman" w:hAnsi="Times New Roman" w:cs="Times New Roman"/>
          <w:b/>
          <w:sz w:val="24"/>
          <w:szCs w:val="24"/>
        </w:rPr>
        <w:t>5</w:t>
      </w:r>
      <w:r w:rsidR="00F738DC">
        <w:rPr>
          <w:rFonts w:ascii="Times New Roman" w:hAnsi="Times New Roman" w:cs="Times New Roman"/>
          <w:sz w:val="24"/>
          <w:szCs w:val="24"/>
        </w:rPr>
        <w:t>)</w:t>
      </w:r>
      <w:r w:rsidRPr="00627CA2">
        <w:rPr>
          <w:rFonts w:ascii="Times New Roman" w:hAnsi="Times New Roman" w:cs="Times New Roman"/>
          <w:sz w:val="24"/>
          <w:szCs w:val="24"/>
        </w:rPr>
        <w:t xml:space="preserve">. </w:t>
      </w:r>
    </w:p>
    <w:p w14:paraId="5A649481" w14:textId="77777777" w:rsidR="00F26092" w:rsidRDefault="00F26092" w:rsidP="00685097">
      <w:pPr>
        <w:pStyle w:val="BodyText"/>
        <w:spacing w:after="0" w:line="480" w:lineRule="auto"/>
        <w:rPr>
          <w:sz w:val="24"/>
          <w:szCs w:val="24"/>
        </w:rPr>
      </w:pPr>
    </w:p>
    <w:p w14:paraId="45961990" w14:textId="45C80420" w:rsidR="00017C88" w:rsidRPr="00627CA2" w:rsidRDefault="004E2914"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Table </w:t>
      </w:r>
      <w:r w:rsidR="00CD0A8A">
        <w:rPr>
          <w:rFonts w:ascii="Times New Roman" w:hAnsi="Times New Roman" w:cs="Times New Roman"/>
          <w:sz w:val="24"/>
          <w:szCs w:val="24"/>
        </w:rPr>
        <w:t>3</w:t>
      </w:r>
      <w:r w:rsidRPr="00627CA2">
        <w:rPr>
          <w:rFonts w:ascii="Times New Roman" w:hAnsi="Times New Roman" w:cs="Times New Roman"/>
          <w:sz w:val="24"/>
          <w:szCs w:val="24"/>
        </w:rPr>
        <w:t xml:space="preserve"> below outlines the data collection schedule for the project.</w:t>
      </w:r>
    </w:p>
    <w:p w14:paraId="58CEF86E" w14:textId="77777777" w:rsidR="00261E55" w:rsidRDefault="00261E55" w:rsidP="00685097">
      <w:pPr>
        <w:spacing w:after="0" w:line="480" w:lineRule="auto"/>
        <w:rPr>
          <w:rFonts w:ascii="Times New Roman" w:hAnsi="Times New Roman" w:cs="Times New Roman"/>
          <w:b/>
          <w:sz w:val="24"/>
          <w:szCs w:val="24"/>
        </w:rPr>
      </w:pPr>
    </w:p>
    <w:p w14:paraId="5E6B7397" w14:textId="79E17192" w:rsidR="004E2914" w:rsidRPr="00627CA2" w:rsidRDefault="004E2914" w:rsidP="00685097">
      <w:pPr>
        <w:spacing w:after="0" w:line="480" w:lineRule="auto"/>
        <w:rPr>
          <w:rFonts w:ascii="Times New Roman" w:hAnsi="Times New Roman" w:cs="Times New Roman"/>
          <w:sz w:val="24"/>
          <w:szCs w:val="24"/>
        </w:rPr>
      </w:pPr>
      <w:r w:rsidRPr="00627CA2">
        <w:rPr>
          <w:rFonts w:ascii="Times New Roman" w:hAnsi="Times New Roman" w:cs="Times New Roman"/>
          <w:b/>
          <w:sz w:val="24"/>
          <w:szCs w:val="24"/>
        </w:rPr>
        <w:t xml:space="preserve">Table </w:t>
      </w:r>
      <w:r w:rsidR="00CD0A8A">
        <w:rPr>
          <w:rFonts w:ascii="Times New Roman" w:hAnsi="Times New Roman" w:cs="Times New Roman"/>
          <w:b/>
          <w:sz w:val="24"/>
          <w:szCs w:val="24"/>
        </w:rPr>
        <w:t>3</w:t>
      </w:r>
      <w:r w:rsidRPr="00627CA2">
        <w:rPr>
          <w:rFonts w:ascii="Times New Roman" w:hAnsi="Times New Roman" w:cs="Times New Roman"/>
          <w:b/>
          <w:sz w:val="24"/>
          <w:szCs w:val="24"/>
        </w:rPr>
        <w:t>. Data Collection Schedule</w:t>
      </w:r>
    </w:p>
    <w:tbl>
      <w:tblPr>
        <w:tblStyle w:val="TableGrid"/>
        <w:tblW w:w="9805" w:type="dxa"/>
        <w:jc w:val="center"/>
        <w:tblLayout w:type="fixed"/>
        <w:tblLook w:val="04A0" w:firstRow="1" w:lastRow="0" w:firstColumn="1" w:lastColumn="0" w:noHBand="0" w:noVBand="1"/>
      </w:tblPr>
      <w:tblGrid>
        <w:gridCol w:w="2245"/>
        <w:gridCol w:w="421"/>
        <w:gridCol w:w="321"/>
        <w:gridCol w:w="321"/>
        <w:gridCol w:w="321"/>
        <w:gridCol w:w="321"/>
        <w:gridCol w:w="321"/>
        <w:gridCol w:w="321"/>
        <w:gridCol w:w="321"/>
        <w:gridCol w:w="307"/>
        <w:gridCol w:w="431"/>
        <w:gridCol w:w="429"/>
        <w:gridCol w:w="429"/>
        <w:gridCol w:w="429"/>
        <w:gridCol w:w="429"/>
        <w:gridCol w:w="429"/>
        <w:gridCol w:w="429"/>
        <w:gridCol w:w="720"/>
        <w:gridCol w:w="419"/>
        <w:gridCol w:w="441"/>
      </w:tblGrid>
      <w:tr w:rsidR="002B60D3" w:rsidRPr="00E46BF5" w14:paraId="5C281B7E" w14:textId="485FCCF9" w:rsidTr="002B60D3">
        <w:trPr>
          <w:jc w:val="center"/>
        </w:trPr>
        <w:tc>
          <w:tcPr>
            <w:tcW w:w="2245" w:type="dxa"/>
            <w:vMerge w:val="restart"/>
            <w:shd w:val="clear" w:color="auto" w:fill="D9D9D9" w:themeFill="background1" w:themeFillShade="D9"/>
            <w:vAlign w:val="center"/>
          </w:tcPr>
          <w:p w14:paraId="245964AE" w14:textId="2A4051B1" w:rsidR="002B60D3" w:rsidRPr="00E46BF5" w:rsidRDefault="002B60D3" w:rsidP="00685097">
            <w:pPr>
              <w:keepNext/>
              <w:spacing w:line="480" w:lineRule="auto"/>
              <w:jc w:val="center"/>
              <w:rPr>
                <w:rFonts w:ascii="Arial" w:hAnsi="Arial" w:cs="Arial"/>
                <w:sz w:val="18"/>
                <w:szCs w:val="18"/>
              </w:rPr>
            </w:pPr>
            <w:r w:rsidRPr="00E46BF5">
              <w:rPr>
                <w:rFonts w:ascii="Arial" w:hAnsi="Arial" w:cs="Arial"/>
                <w:sz w:val="18"/>
                <w:szCs w:val="18"/>
              </w:rPr>
              <w:t>Data Collection Activity</w:t>
            </w:r>
          </w:p>
        </w:tc>
        <w:tc>
          <w:tcPr>
            <w:tcW w:w="7560" w:type="dxa"/>
            <w:gridSpan w:val="19"/>
            <w:shd w:val="clear" w:color="auto" w:fill="D9D9D9" w:themeFill="background1" w:themeFillShade="D9"/>
            <w:vAlign w:val="center"/>
          </w:tcPr>
          <w:p w14:paraId="1E47410E" w14:textId="4D97B243" w:rsidR="002B60D3" w:rsidRPr="00E46BF5" w:rsidRDefault="002B60D3" w:rsidP="00685097">
            <w:pPr>
              <w:keepNext/>
              <w:spacing w:line="480" w:lineRule="auto"/>
              <w:jc w:val="center"/>
              <w:rPr>
                <w:rFonts w:ascii="Arial" w:hAnsi="Arial" w:cs="Arial"/>
                <w:sz w:val="18"/>
                <w:szCs w:val="18"/>
              </w:rPr>
            </w:pPr>
            <w:r w:rsidRPr="00E46BF5">
              <w:rPr>
                <w:rFonts w:ascii="Arial" w:hAnsi="Arial" w:cs="Arial"/>
                <w:sz w:val="18"/>
                <w:szCs w:val="18"/>
              </w:rPr>
              <w:t>Week</w:t>
            </w:r>
            <w:r>
              <w:rPr>
                <w:rFonts w:ascii="Arial" w:hAnsi="Arial" w:cs="Arial"/>
                <w:sz w:val="18"/>
                <w:szCs w:val="18"/>
              </w:rPr>
              <w:t>s</w:t>
            </w:r>
          </w:p>
        </w:tc>
      </w:tr>
      <w:tr w:rsidR="002B60D3" w:rsidRPr="00E46BF5" w14:paraId="604EFF2A" w14:textId="2E976C56" w:rsidTr="002B60D3">
        <w:trPr>
          <w:jc w:val="center"/>
        </w:trPr>
        <w:tc>
          <w:tcPr>
            <w:tcW w:w="2245" w:type="dxa"/>
            <w:vMerge/>
            <w:shd w:val="clear" w:color="auto" w:fill="D9D9D9" w:themeFill="background1" w:themeFillShade="D9"/>
            <w:vAlign w:val="center"/>
          </w:tcPr>
          <w:p w14:paraId="1392DD65" w14:textId="77777777" w:rsidR="002B60D3" w:rsidRPr="00E46BF5" w:rsidRDefault="002B60D3" w:rsidP="00685097">
            <w:pPr>
              <w:keepNext/>
              <w:spacing w:line="480" w:lineRule="auto"/>
              <w:jc w:val="center"/>
              <w:rPr>
                <w:rFonts w:ascii="Arial" w:hAnsi="Arial" w:cs="Arial"/>
                <w:sz w:val="18"/>
                <w:szCs w:val="18"/>
              </w:rPr>
            </w:pPr>
          </w:p>
        </w:tc>
        <w:tc>
          <w:tcPr>
            <w:tcW w:w="421" w:type="dxa"/>
            <w:shd w:val="clear" w:color="auto" w:fill="D9D9D9" w:themeFill="background1" w:themeFillShade="D9"/>
            <w:vAlign w:val="center"/>
          </w:tcPr>
          <w:p w14:paraId="04442FF4" w14:textId="61958953"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1</w:t>
            </w:r>
          </w:p>
        </w:tc>
        <w:tc>
          <w:tcPr>
            <w:tcW w:w="321" w:type="dxa"/>
            <w:shd w:val="clear" w:color="auto" w:fill="D9D9D9" w:themeFill="background1" w:themeFillShade="D9"/>
            <w:vAlign w:val="center"/>
          </w:tcPr>
          <w:p w14:paraId="46F06953" w14:textId="40C21031"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2</w:t>
            </w:r>
          </w:p>
        </w:tc>
        <w:tc>
          <w:tcPr>
            <w:tcW w:w="321" w:type="dxa"/>
            <w:shd w:val="clear" w:color="auto" w:fill="D9D9D9" w:themeFill="background1" w:themeFillShade="D9"/>
            <w:vAlign w:val="center"/>
          </w:tcPr>
          <w:p w14:paraId="10056C26" w14:textId="6FF3F5E0"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3</w:t>
            </w:r>
          </w:p>
        </w:tc>
        <w:tc>
          <w:tcPr>
            <w:tcW w:w="321" w:type="dxa"/>
            <w:shd w:val="clear" w:color="auto" w:fill="D9D9D9" w:themeFill="background1" w:themeFillShade="D9"/>
            <w:vAlign w:val="center"/>
          </w:tcPr>
          <w:p w14:paraId="3B129CDC" w14:textId="7D2C768D"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4</w:t>
            </w:r>
          </w:p>
        </w:tc>
        <w:tc>
          <w:tcPr>
            <w:tcW w:w="321" w:type="dxa"/>
            <w:shd w:val="clear" w:color="auto" w:fill="D9D9D9" w:themeFill="background1" w:themeFillShade="D9"/>
            <w:vAlign w:val="center"/>
          </w:tcPr>
          <w:p w14:paraId="54188075" w14:textId="2DCCF9E2"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5</w:t>
            </w:r>
          </w:p>
        </w:tc>
        <w:tc>
          <w:tcPr>
            <w:tcW w:w="321" w:type="dxa"/>
            <w:shd w:val="clear" w:color="auto" w:fill="D9D9D9" w:themeFill="background1" w:themeFillShade="D9"/>
            <w:vAlign w:val="center"/>
          </w:tcPr>
          <w:p w14:paraId="4B04EEDB" w14:textId="2B9B13EB"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6</w:t>
            </w:r>
          </w:p>
        </w:tc>
        <w:tc>
          <w:tcPr>
            <w:tcW w:w="321" w:type="dxa"/>
            <w:shd w:val="clear" w:color="auto" w:fill="D9D9D9" w:themeFill="background1" w:themeFillShade="D9"/>
            <w:vAlign w:val="center"/>
          </w:tcPr>
          <w:p w14:paraId="174C260C" w14:textId="7757D66A"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7</w:t>
            </w:r>
          </w:p>
        </w:tc>
        <w:tc>
          <w:tcPr>
            <w:tcW w:w="321" w:type="dxa"/>
            <w:shd w:val="clear" w:color="auto" w:fill="D9D9D9" w:themeFill="background1" w:themeFillShade="D9"/>
            <w:vAlign w:val="center"/>
          </w:tcPr>
          <w:p w14:paraId="5F5C4FB5" w14:textId="7FC99B9D"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8</w:t>
            </w:r>
          </w:p>
        </w:tc>
        <w:tc>
          <w:tcPr>
            <w:tcW w:w="307" w:type="dxa"/>
            <w:shd w:val="clear" w:color="auto" w:fill="D9D9D9" w:themeFill="background1" w:themeFillShade="D9"/>
            <w:vAlign w:val="center"/>
          </w:tcPr>
          <w:p w14:paraId="736AB92E" w14:textId="7463C0A8"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9</w:t>
            </w:r>
          </w:p>
        </w:tc>
        <w:tc>
          <w:tcPr>
            <w:tcW w:w="431" w:type="dxa"/>
            <w:shd w:val="clear" w:color="auto" w:fill="D9D9D9" w:themeFill="background1" w:themeFillShade="D9"/>
            <w:vAlign w:val="center"/>
          </w:tcPr>
          <w:p w14:paraId="0CDAD396" w14:textId="3A9681FF"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10</w:t>
            </w:r>
          </w:p>
        </w:tc>
        <w:tc>
          <w:tcPr>
            <w:tcW w:w="429" w:type="dxa"/>
            <w:shd w:val="clear" w:color="auto" w:fill="D9D9D9" w:themeFill="background1" w:themeFillShade="D9"/>
            <w:vAlign w:val="center"/>
          </w:tcPr>
          <w:p w14:paraId="3A749118" w14:textId="3B05D6FF"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11</w:t>
            </w:r>
          </w:p>
        </w:tc>
        <w:tc>
          <w:tcPr>
            <w:tcW w:w="429" w:type="dxa"/>
            <w:shd w:val="clear" w:color="auto" w:fill="D9D9D9" w:themeFill="background1" w:themeFillShade="D9"/>
            <w:vAlign w:val="center"/>
          </w:tcPr>
          <w:p w14:paraId="71734C53" w14:textId="5D4CD5AA"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12</w:t>
            </w:r>
          </w:p>
        </w:tc>
        <w:tc>
          <w:tcPr>
            <w:tcW w:w="429" w:type="dxa"/>
            <w:shd w:val="clear" w:color="auto" w:fill="D9D9D9" w:themeFill="background1" w:themeFillShade="D9"/>
            <w:vAlign w:val="center"/>
          </w:tcPr>
          <w:p w14:paraId="2EC40E5F" w14:textId="49206834"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13</w:t>
            </w:r>
          </w:p>
        </w:tc>
        <w:tc>
          <w:tcPr>
            <w:tcW w:w="429" w:type="dxa"/>
            <w:shd w:val="clear" w:color="auto" w:fill="D9D9D9" w:themeFill="background1" w:themeFillShade="D9"/>
            <w:vAlign w:val="center"/>
          </w:tcPr>
          <w:p w14:paraId="1553A154" w14:textId="5ED7220C"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14</w:t>
            </w:r>
          </w:p>
        </w:tc>
        <w:tc>
          <w:tcPr>
            <w:tcW w:w="429" w:type="dxa"/>
            <w:shd w:val="clear" w:color="auto" w:fill="D9D9D9" w:themeFill="background1" w:themeFillShade="D9"/>
            <w:vAlign w:val="center"/>
          </w:tcPr>
          <w:p w14:paraId="1C62FCCF" w14:textId="7E420D3C"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15</w:t>
            </w:r>
          </w:p>
        </w:tc>
        <w:tc>
          <w:tcPr>
            <w:tcW w:w="429" w:type="dxa"/>
            <w:shd w:val="clear" w:color="auto" w:fill="D9D9D9" w:themeFill="background1" w:themeFillShade="D9"/>
            <w:vAlign w:val="center"/>
          </w:tcPr>
          <w:p w14:paraId="0A0F4E57" w14:textId="1996ACB8"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16</w:t>
            </w:r>
          </w:p>
        </w:tc>
        <w:tc>
          <w:tcPr>
            <w:tcW w:w="720" w:type="dxa"/>
            <w:shd w:val="clear" w:color="auto" w:fill="D9D9D9" w:themeFill="background1" w:themeFillShade="D9"/>
            <w:vAlign w:val="center"/>
          </w:tcPr>
          <w:p w14:paraId="22D1E36C" w14:textId="33C0F461"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17-22</w:t>
            </w:r>
          </w:p>
        </w:tc>
        <w:tc>
          <w:tcPr>
            <w:tcW w:w="419" w:type="dxa"/>
            <w:shd w:val="clear" w:color="auto" w:fill="D9D9D9" w:themeFill="background1" w:themeFillShade="D9"/>
            <w:vAlign w:val="center"/>
          </w:tcPr>
          <w:p w14:paraId="3028BC33" w14:textId="68C155F3"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23</w:t>
            </w:r>
          </w:p>
        </w:tc>
        <w:tc>
          <w:tcPr>
            <w:tcW w:w="441" w:type="dxa"/>
            <w:shd w:val="clear" w:color="auto" w:fill="D9D9D9" w:themeFill="background1" w:themeFillShade="D9"/>
            <w:vAlign w:val="center"/>
          </w:tcPr>
          <w:p w14:paraId="0223E634" w14:textId="6F7D2CB3" w:rsidR="002B60D3" w:rsidRPr="002B60D3" w:rsidRDefault="002B60D3" w:rsidP="002B60D3">
            <w:pPr>
              <w:keepNext/>
              <w:spacing w:line="480" w:lineRule="auto"/>
              <w:jc w:val="center"/>
              <w:rPr>
                <w:rFonts w:ascii="Arial" w:hAnsi="Arial" w:cs="Arial"/>
                <w:sz w:val="16"/>
                <w:szCs w:val="16"/>
              </w:rPr>
            </w:pPr>
            <w:r w:rsidRPr="002B60D3">
              <w:rPr>
                <w:rFonts w:ascii="Arial" w:hAnsi="Arial" w:cs="Arial"/>
                <w:sz w:val="16"/>
                <w:szCs w:val="16"/>
              </w:rPr>
              <w:t>24</w:t>
            </w:r>
          </w:p>
        </w:tc>
      </w:tr>
      <w:tr w:rsidR="002B60D3" w:rsidRPr="00E46BF5" w14:paraId="37A40428" w14:textId="36430CE4" w:rsidTr="002B60D3">
        <w:trPr>
          <w:jc w:val="center"/>
        </w:trPr>
        <w:tc>
          <w:tcPr>
            <w:tcW w:w="2245" w:type="dxa"/>
            <w:vAlign w:val="center"/>
          </w:tcPr>
          <w:p w14:paraId="0D534D34" w14:textId="661B04B3" w:rsidR="002B60D3" w:rsidRPr="00E46BF5" w:rsidRDefault="002B60D3" w:rsidP="00B47BF4">
            <w:pPr>
              <w:keepNext/>
              <w:spacing w:line="480" w:lineRule="auto"/>
              <w:rPr>
                <w:rFonts w:ascii="Arial" w:hAnsi="Arial" w:cs="Arial"/>
                <w:sz w:val="18"/>
                <w:szCs w:val="18"/>
              </w:rPr>
            </w:pPr>
            <w:r w:rsidRPr="00E46BF5">
              <w:rPr>
                <w:rFonts w:ascii="Arial" w:hAnsi="Arial" w:cs="Arial"/>
                <w:sz w:val="18"/>
                <w:szCs w:val="18"/>
              </w:rPr>
              <w:t>Invitation letter mailed</w:t>
            </w:r>
          </w:p>
        </w:tc>
        <w:tc>
          <w:tcPr>
            <w:tcW w:w="421" w:type="dxa"/>
            <w:shd w:val="clear" w:color="auto" w:fill="7F7F7F" w:themeFill="text1" w:themeFillTint="80"/>
            <w:vAlign w:val="center"/>
          </w:tcPr>
          <w:p w14:paraId="4FC58275"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808080" w:themeFill="background1" w:themeFillShade="80"/>
            <w:vAlign w:val="center"/>
          </w:tcPr>
          <w:p w14:paraId="672A8FAE"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808080" w:themeFill="background1" w:themeFillShade="80"/>
            <w:vAlign w:val="center"/>
          </w:tcPr>
          <w:p w14:paraId="66D6E37F"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808080" w:themeFill="background1" w:themeFillShade="80"/>
            <w:vAlign w:val="center"/>
          </w:tcPr>
          <w:p w14:paraId="5CE25E72"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734E170C"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15D72D2F"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7AED276E"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770EB279" w14:textId="77777777" w:rsidR="002B60D3" w:rsidRPr="00E46BF5" w:rsidRDefault="002B60D3" w:rsidP="00B47BF4">
            <w:pPr>
              <w:keepNext/>
              <w:spacing w:line="480" w:lineRule="auto"/>
              <w:jc w:val="center"/>
              <w:rPr>
                <w:rFonts w:ascii="Arial" w:hAnsi="Arial" w:cs="Arial"/>
                <w:sz w:val="18"/>
                <w:szCs w:val="18"/>
              </w:rPr>
            </w:pPr>
          </w:p>
        </w:tc>
        <w:tc>
          <w:tcPr>
            <w:tcW w:w="307" w:type="dxa"/>
            <w:vAlign w:val="center"/>
          </w:tcPr>
          <w:p w14:paraId="09E1D48E" w14:textId="77777777" w:rsidR="002B60D3" w:rsidRPr="00E46BF5" w:rsidRDefault="002B60D3" w:rsidP="00B47BF4">
            <w:pPr>
              <w:keepNext/>
              <w:spacing w:line="480" w:lineRule="auto"/>
              <w:jc w:val="center"/>
              <w:rPr>
                <w:rFonts w:ascii="Arial" w:hAnsi="Arial" w:cs="Arial"/>
                <w:sz w:val="18"/>
                <w:szCs w:val="18"/>
              </w:rPr>
            </w:pPr>
          </w:p>
        </w:tc>
        <w:tc>
          <w:tcPr>
            <w:tcW w:w="431" w:type="dxa"/>
          </w:tcPr>
          <w:p w14:paraId="41ED8363"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04C8808E"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1D99FA71"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5F8620DE"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538D441A"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5A6423C6"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2C6203A9" w14:textId="77777777" w:rsidR="002B60D3" w:rsidRPr="00E46BF5" w:rsidRDefault="002B60D3" w:rsidP="00B47BF4">
            <w:pPr>
              <w:keepNext/>
              <w:spacing w:line="480" w:lineRule="auto"/>
              <w:jc w:val="center"/>
              <w:rPr>
                <w:rFonts w:ascii="Arial" w:hAnsi="Arial" w:cs="Arial"/>
                <w:sz w:val="18"/>
                <w:szCs w:val="18"/>
              </w:rPr>
            </w:pPr>
          </w:p>
        </w:tc>
        <w:tc>
          <w:tcPr>
            <w:tcW w:w="720" w:type="dxa"/>
          </w:tcPr>
          <w:p w14:paraId="690FB035" w14:textId="77777777" w:rsidR="002B60D3" w:rsidRPr="00E46BF5" w:rsidRDefault="002B60D3" w:rsidP="00B47BF4">
            <w:pPr>
              <w:keepNext/>
              <w:spacing w:line="480" w:lineRule="auto"/>
              <w:jc w:val="center"/>
              <w:rPr>
                <w:rFonts w:ascii="Arial" w:hAnsi="Arial" w:cs="Arial"/>
                <w:sz w:val="18"/>
                <w:szCs w:val="18"/>
              </w:rPr>
            </w:pPr>
          </w:p>
        </w:tc>
        <w:tc>
          <w:tcPr>
            <w:tcW w:w="419" w:type="dxa"/>
          </w:tcPr>
          <w:p w14:paraId="2108A0D8" w14:textId="77777777" w:rsidR="002B60D3" w:rsidRPr="00E46BF5" w:rsidRDefault="002B60D3" w:rsidP="00B47BF4">
            <w:pPr>
              <w:keepNext/>
              <w:spacing w:line="480" w:lineRule="auto"/>
              <w:jc w:val="center"/>
              <w:rPr>
                <w:rFonts w:ascii="Arial" w:hAnsi="Arial" w:cs="Arial"/>
                <w:sz w:val="18"/>
                <w:szCs w:val="18"/>
              </w:rPr>
            </w:pPr>
          </w:p>
        </w:tc>
        <w:tc>
          <w:tcPr>
            <w:tcW w:w="441" w:type="dxa"/>
          </w:tcPr>
          <w:p w14:paraId="455262EB" w14:textId="25C8BD08" w:rsidR="002B60D3" w:rsidRPr="00E46BF5" w:rsidRDefault="002B60D3" w:rsidP="00B47BF4">
            <w:pPr>
              <w:keepNext/>
              <w:spacing w:line="480" w:lineRule="auto"/>
              <w:jc w:val="center"/>
              <w:rPr>
                <w:rFonts w:ascii="Arial" w:hAnsi="Arial" w:cs="Arial"/>
                <w:sz w:val="18"/>
                <w:szCs w:val="18"/>
              </w:rPr>
            </w:pPr>
          </w:p>
        </w:tc>
      </w:tr>
      <w:tr w:rsidR="002B60D3" w:rsidRPr="00E46BF5" w14:paraId="4B26FA2F" w14:textId="04A9A4EC" w:rsidTr="002B60D3">
        <w:trPr>
          <w:jc w:val="center"/>
        </w:trPr>
        <w:tc>
          <w:tcPr>
            <w:tcW w:w="2245" w:type="dxa"/>
            <w:vAlign w:val="center"/>
          </w:tcPr>
          <w:p w14:paraId="7D708767" w14:textId="124B1AF2" w:rsidR="002B60D3" w:rsidRPr="00E46BF5" w:rsidRDefault="002B60D3" w:rsidP="00420BE9">
            <w:pPr>
              <w:keepNext/>
              <w:spacing w:line="480" w:lineRule="auto"/>
              <w:rPr>
                <w:rFonts w:ascii="Arial" w:hAnsi="Arial" w:cs="Arial"/>
                <w:sz w:val="18"/>
                <w:szCs w:val="18"/>
              </w:rPr>
            </w:pPr>
            <w:r w:rsidRPr="00E46BF5">
              <w:rPr>
                <w:rFonts w:ascii="Arial" w:hAnsi="Arial" w:cs="Arial"/>
                <w:sz w:val="18"/>
                <w:szCs w:val="18"/>
              </w:rPr>
              <w:t xml:space="preserve">Telephone </w:t>
            </w:r>
            <w:r>
              <w:rPr>
                <w:rFonts w:ascii="Arial" w:hAnsi="Arial" w:cs="Arial"/>
                <w:sz w:val="18"/>
                <w:szCs w:val="18"/>
              </w:rPr>
              <w:t>reminder</w:t>
            </w:r>
          </w:p>
        </w:tc>
        <w:tc>
          <w:tcPr>
            <w:tcW w:w="421" w:type="dxa"/>
            <w:vAlign w:val="center"/>
          </w:tcPr>
          <w:p w14:paraId="61078303"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7839E905"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60AD6A56"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77D55974"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4ED5ACC7"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76522F06"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49E2E620"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20A337AA" w14:textId="77777777" w:rsidR="002B60D3" w:rsidRPr="00E46BF5" w:rsidRDefault="002B60D3" w:rsidP="00B47BF4">
            <w:pPr>
              <w:keepNext/>
              <w:spacing w:line="480" w:lineRule="auto"/>
              <w:jc w:val="center"/>
              <w:rPr>
                <w:rFonts w:ascii="Arial" w:hAnsi="Arial" w:cs="Arial"/>
                <w:sz w:val="18"/>
                <w:szCs w:val="18"/>
              </w:rPr>
            </w:pPr>
          </w:p>
        </w:tc>
        <w:tc>
          <w:tcPr>
            <w:tcW w:w="307" w:type="dxa"/>
            <w:shd w:val="clear" w:color="auto" w:fill="7F7F7F" w:themeFill="text1" w:themeFillTint="80"/>
            <w:vAlign w:val="center"/>
          </w:tcPr>
          <w:p w14:paraId="309B26A9" w14:textId="77777777" w:rsidR="002B60D3" w:rsidRPr="00E46BF5" w:rsidRDefault="002B60D3" w:rsidP="00B47BF4">
            <w:pPr>
              <w:keepNext/>
              <w:spacing w:line="480" w:lineRule="auto"/>
              <w:jc w:val="center"/>
              <w:rPr>
                <w:rFonts w:ascii="Arial" w:hAnsi="Arial" w:cs="Arial"/>
                <w:sz w:val="18"/>
                <w:szCs w:val="18"/>
              </w:rPr>
            </w:pPr>
          </w:p>
        </w:tc>
        <w:tc>
          <w:tcPr>
            <w:tcW w:w="431" w:type="dxa"/>
            <w:shd w:val="clear" w:color="auto" w:fill="auto"/>
          </w:tcPr>
          <w:p w14:paraId="6A615EC4"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4B2294A3"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50C93E47"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3D2BE614"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10EFC34D"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51157218"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13FE8CC8" w14:textId="77777777" w:rsidR="002B60D3" w:rsidRPr="00E46BF5" w:rsidRDefault="002B60D3" w:rsidP="00B47BF4">
            <w:pPr>
              <w:keepNext/>
              <w:spacing w:line="480" w:lineRule="auto"/>
              <w:jc w:val="center"/>
              <w:rPr>
                <w:rFonts w:ascii="Arial" w:hAnsi="Arial" w:cs="Arial"/>
                <w:sz w:val="18"/>
                <w:szCs w:val="18"/>
              </w:rPr>
            </w:pPr>
          </w:p>
        </w:tc>
        <w:tc>
          <w:tcPr>
            <w:tcW w:w="720" w:type="dxa"/>
          </w:tcPr>
          <w:p w14:paraId="6B6E68F7" w14:textId="77777777" w:rsidR="002B60D3" w:rsidRPr="00E46BF5" w:rsidRDefault="002B60D3" w:rsidP="00B47BF4">
            <w:pPr>
              <w:keepNext/>
              <w:spacing w:line="480" w:lineRule="auto"/>
              <w:jc w:val="center"/>
              <w:rPr>
                <w:rFonts w:ascii="Arial" w:hAnsi="Arial" w:cs="Arial"/>
                <w:sz w:val="18"/>
                <w:szCs w:val="18"/>
              </w:rPr>
            </w:pPr>
          </w:p>
        </w:tc>
        <w:tc>
          <w:tcPr>
            <w:tcW w:w="419" w:type="dxa"/>
          </w:tcPr>
          <w:p w14:paraId="599CDB58" w14:textId="77777777" w:rsidR="002B60D3" w:rsidRPr="00E46BF5" w:rsidRDefault="002B60D3" w:rsidP="00B47BF4">
            <w:pPr>
              <w:keepNext/>
              <w:spacing w:line="480" w:lineRule="auto"/>
              <w:jc w:val="center"/>
              <w:rPr>
                <w:rFonts w:ascii="Arial" w:hAnsi="Arial" w:cs="Arial"/>
                <w:sz w:val="18"/>
                <w:szCs w:val="18"/>
              </w:rPr>
            </w:pPr>
          </w:p>
        </w:tc>
        <w:tc>
          <w:tcPr>
            <w:tcW w:w="441" w:type="dxa"/>
          </w:tcPr>
          <w:p w14:paraId="7B289326" w14:textId="630F3623" w:rsidR="002B60D3" w:rsidRPr="00E46BF5" w:rsidRDefault="002B60D3" w:rsidP="00B47BF4">
            <w:pPr>
              <w:keepNext/>
              <w:spacing w:line="480" w:lineRule="auto"/>
              <w:jc w:val="center"/>
              <w:rPr>
                <w:rFonts w:ascii="Arial" w:hAnsi="Arial" w:cs="Arial"/>
                <w:sz w:val="18"/>
                <w:szCs w:val="18"/>
              </w:rPr>
            </w:pPr>
          </w:p>
        </w:tc>
      </w:tr>
      <w:tr w:rsidR="002B60D3" w:rsidRPr="00E46BF5" w14:paraId="715BCC95" w14:textId="5EA21974" w:rsidTr="002B60D3">
        <w:trPr>
          <w:jc w:val="center"/>
        </w:trPr>
        <w:tc>
          <w:tcPr>
            <w:tcW w:w="2245" w:type="dxa"/>
            <w:vAlign w:val="center"/>
          </w:tcPr>
          <w:p w14:paraId="347A62E8" w14:textId="69C4544E" w:rsidR="002B60D3" w:rsidRPr="00E46BF5" w:rsidRDefault="002B60D3" w:rsidP="00B47BF4">
            <w:pPr>
              <w:keepNext/>
              <w:spacing w:line="480" w:lineRule="auto"/>
              <w:rPr>
                <w:rFonts w:ascii="Arial" w:hAnsi="Arial" w:cs="Arial"/>
                <w:sz w:val="18"/>
                <w:szCs w:val="18"/>
              </w:rPr>
            </w:pPr>
            <w:r w:rsidRPr="00E46BF5">
              <w:rPr>
                <w:rFonts w:ascii="Arial" w:hAnsi="Arial" w:cs="Arial"/>
                <w:sz w:val="18"/>
                <w:szCs w:val="18"/>
              </w:rPr>
              <w:t>Reminder postcard</w:t>
            </w:r>
          </w:p>
        </w:tc>
        <w:tc>
          <w:tcPr>
            <w:tcW w:w="421" w:type="dxa"/>
            <w:vAlign w:val="center"/>
          </w:tcPr>
          <w:p w14:paraId="56314070"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3A81E094"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23916A14"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1C9F52B7"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2734FAF7"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368CB052"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4E55046B"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2E97536A" w14:textId="77777777" w:rsidR="002B60D3" w:rsidRPr="00E46BF5" w:rsidRDefault="002B60D3" w:rsidP="00B47BF4">
            <w:pPr>
              <w:keepNext/>
              <w:spacing w:line="480" w:lineRule="auto"/>
              <w:jc w:val="center"/>
              <w:rPr>
                <w:rFonts w:ascii="Arial" w:hAnsi="Arial" w:cs="Arial"/>
                <w:sz w:val="18"/>
                <w:szCs w:val="18"/>
              </w:rPr>
            </w:pPr>
          </w:p>
        </w:tc>
        <w:tc>
          <w:tcPr>
            <w:tcW w:w="307" w:type="dxa"/>
            <w:vAlign w:val="center"/>
          </w:tcPr>
          <w:p w14:paraId="7E67DB7A" w14:textId="77777777" w:rsidR="002B60D3" w:rsidRPr="00E46BF5" w:rsidRDefault="002B60D3" w:rsidP="00B47BF4">
            <w:pPr>
              <w:keepNext/>
              <w:spacing w:line="480" w:lineRule="auto"/>
              <w:jc w:val="center"/>
              <w:rPr>
                <w:rFonts w:ascii="Arial" w:hAnsi="Arial" w:cs="Arial"/>
                <w:sz w:val="18"/>
                <w:szCs w:val="18"/>
              </w:rPr>
            </w:pPr>
          </w:p>
        </w:tc>
        <w:tc>
          <w:tcPr>
            <w:tcW w:w="431" w:type="dxa"/>
            <w:shd w:val="clear" w:color="auto" w:fill="7F7F7F" w:themeFill="text1" w:themeFillTint="80"/>
          </w:tcPr>
          <w:p w14:paraId="49DEED38"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727F5EE4"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328D2951"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5209A29A"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5B282F4E"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6EFF607F"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6779E22C" w14:textId="77777777" w:rsidR="002B60D3" w:rsidRPr="00E46BF5" w:rsidRDefault="002B60D3" w:rsidP="00B47BF4">
            <w:pPr>
              <w:keepNext/>
              <w:spacing w:line="480" w:lineRule="auto"/>
              <w:jc w:val="center"/>
              <w:rPr>
                <w:rFonts w:ascii="Arial" w:hAnsi="Arial" w:cs="Arial"/>
                <w:sz w:val="18"/>
                <w:szCs w:val="18"/>
              </w:rPr>
            </w:pPr>
          </w:p>
        </w:tc>
        <w:tc>
          <w:tcPr>
            <w:tcW w:w="720" w:type="dxa"/>
          </w:tcPr>
          <w:p w14:paraId="59826CD2" w14:textId="77777777" w:rsidR="002B60D3" w:rsidRPr="00E46BF5" w:rsidRDefault="002B60D3" w:rsidP="00B47BF4">
            <w:pPr>
              <w:keepNext/>
              <w:spacing w:line="480" w:lineRule="auto"/>
              <w:jc w:val="center"/>
              <w:rPr>
                <w:rFonts w:ascii="Arial" w:hAnsi="Arial" w:cs="Arial"/>
                <w:sz w:val="18"/>
                <w:szCs w:val="18"/>
              </w:rPr>
            </w:pPr>
          </w:p>
        </w:tc>
        <w:tc>
          <w:tcPr>
            <w:tcW w:w="419" w:type="dxa"/>
          </w:tcPr>
          <w:p w14:paraId="5FA5D0AE" w14:textId="77777777" w:rsidR="002B60D3" w:rsidRPr="00E46BF5" w:rsidRDefault="002B60D3" w:rsidP="00B47BF4">
            <w:pPr>
              <w:keepNext/>
              <w:spacing w:line="480" w:lineRule="auto"/>
              <w:jc w:val="center"/>
              <w:rPr>
                <w:rFonts w:ascii="Arial" w:hAnsi="Arial" w:cs="Arial"/>
                <w:sz w:val="18"/>
                <w:szCs w:val="18"/>
              </w:rPr>
            </w:pPr>
          </w:p>
        </w:tc>
        <w:tc>
          <w:tcPr>
            <w:tcW w:w="441" w:type="dxa"/>
          </w:tcPr>
          <w:p w14:paraId="0BB772B3" w14:textId="719797C2" w:rsidR="002B60D3" w:rsidRPr="00E46BF5" w:rsidRDefault="002B60D3" w:rsidP="00B47BF4">
            <w:pPr>
              <w:keepNext/>
              <w:spacing w:line="480" w:lineRule="auto"/>
              <w:jc w:val="center"/>
              <w:rPr>
                <w:rFonts w:ascii="Arial" w:hAnsi="Arial" w:cs="Arial"/>
                <w:sz w:val="18"/>
                <w:szCs w:val="18"/>
              </w:rPr>
            </w:pPr>
          </w:p>
        </w:tc>
      </w:tr>
      <w:tr w:rsidR="002B60D3" w:rsidRPr="00E46BF5" w14:paraId="5D0CF3FF" w14:textId="17B804A9" w:rsidTr="002B60D3">
        <w:trPr>
          <w:jc w:val="center"/>
        </w:trPr>
        <w:tc>
          <w:tcPr>
            <w:tcW w:w="2245" w:type="dxa"/>
            <w:vAlign w:val="center"/>
          </w:tcPr>
          <w:p w14:paraId="0ACB1AFD" w14:textId="54F975D2" w:rsidR="002B60D3" w:rsidRPr="00E46BF5" w:rsidRDefault="002B60D3" w:rsidP="00B47BF4">
            <w:pPr>
              <w:keepNext/>
              <w:spacing w:line="480" w:lineRule="auto"/>
              <w:rPr>
                <w:rFonts w:ascii="Arial" w:hAnsi="Arial" w:cs="Arial"/>
                <w:sz w:val="18"/>
                <w:szCs w:val="18"/>
              </w:rPr>
            </w:pPr>
            <w:r w:rsidRPr="00E46BF5">
              <w:rPr>
                <w:rFonts w:ascii="Arial" w:hAnsi="Arial" w:cs="Arial"/>
                <w:sz w:val="18"/>
                <w:szCs w:val="18"/>
              </w:rPr>
              <w:t>Final invitation letter</w:t>
            </w:r>
          </w:p>
        </w:tc>
        <w:tc>
          <w:tcPr>
            <w:tcW w:w="421" w:type="dxa"/>
            <w:vAlign w:val="center"/>
          </w:tcPr>
          <w:p w14:paraId="2CD707D2"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5053C7B3"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3920F1A6"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3FE33C0E"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0B83BB42"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57B3821B"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1C932951"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54A4C44B" w14:textId="77777777" w:rsidR="002B60D3" w:rsidRPr="00E46BF5" w:rsidRDefault="002B60D3" w:rsidP="00B47BF4">
            <w:pPr>
              <w:keepNext/>
              <w:spacing w:line="480" w:lineRule="auto"/>
              <w:jc w:val="center"/>
              <w:rPr>
                <w:rFonts w:ascii="Arial" w:hAnsi="Arial" w:cs="Arial"/>
                <w:sz w:val="18"/>
                <w:szCs w:val="18"/>
              </w:rPr>
            </w:pPr>
          </w:p>
        </w:tc>
        <w:tc>
          <w:tcPr>
            <w:tcW w:w="307" w:type="dxa"/>
            <w:vAlign w:val="center"/>
          </w:tcPr>
          <w:p w14:paraId="500B501B" w14:textId="77777777" w:rsidR="002B60D3" w:rsidRPr="00E46BF5" w:rsidRDefault="002B60D3" w:rsidP="00B47BF4">
            <w:pPr>
              <w:keepNext/>
              <w:spacing w:line="480" w:lineRule="auto"/>
              <w:jc w:val="center"/>
              <w:rPr>
                <w:rFonts w:ascii="Arial" w:hAnsi="Arial" w:cs="Arial"/>
                <w:sz w:val="18"/>
                <w:szCs w:val="18"/>
              </w:rPr>
            </w:pPr>
          </w:p>
        </w:tc>
        <w:tc>
          <w:tcPr>
            <w:tcW w:w="431" w:type="dxa"/>
          </w:tcPr>
          <w:p w14:paraId="7FF243E6"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0BC5B3FC" w14:textId="77777777" w:rsidR="002B60D3" w:rsidRPr="00E46BF5" w:rsidRDefault="002B60D3" w:rsidP="00B47BF4">
            <w:pPr>
              <w:keepNext/>
              <w:spacing w:line="480" w:lineRule="auto"/>
              <w:jc w:val="center"/>
              <w:rPr>
                <w:rFonts w:ascii="Arial" w:hAnsi="Arial" w:cs="Arial"/>
                <w:sz w:val="18"/>
                <w:szCs w:val="18"/>
              </w:rPr>
            </w:pPr>
          </w:p>
        </w:tc>
        <w:tc>
          <w:tcPr>
            <w:tcW w:w="429" w:type="dxa"/>
          </w:tcPr>
          <w:p w14:paraId="26DBE780"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auto"/>
          </w:tcPr>
          <w:p w14:paraId="34840E2B"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69572F60"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05DF33E9"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2DF35F4A" w14:textId="77777777" w:rsidR="002B60D3" w:rsidRPr="00E46BF5" w:rsidRDefault="002B60D3" w:rsidP="00B47BF4">
            <w:pPr>
              <w:keepNext/>
              <w:spacing w:line="480" w:lineRule="auto"/>
              <w:jc w:val="center"/>
              <w:rPr>
                <w:rFonts w:ascii="Arial" w:hAnsi="Arial" w:cs="Arial"/>
                <w:sz w:val="18"/>
                <w:szCs w:val="18"/>
              </w:rPr>
            </w:pPr>
          </w:p>
        </w:tc>
        <w:tc>
          <w:tcPr>
            <w:tcW w:w="720" w:type="dxa"/>
            <w:shd w:val="clear" w:color="auto" w:fill="7F7F7F" w:themeFill="text1" w:themeFillTint="80"/>
          </w:tcPr>
          <w:p w14:paraId="3354FB58" w14:textId="77777777" w:rsidR="002B60D3" w:rsidRPr="00E46BF5" w:rsidRDefault="002B60D3" w:rsidP="00B47BF4">
            <w:pPr>
              <w:keepNext/>
              <w:spacing w:line="480" w:lineRule="auto"/>
              <w:jc w:val="center"/>
              <w:rPr>
                <w:rFonts w:ascii="Arial" w:hAnsi="Arial" w:cs="Arial"/>
                <w:sz w:val="18"/>
                <w:szCs w:val="18"/>
              </w:rPr>
            </w:pPr>
          </w:p>
        </w:tc>
        <w:tc>
          <w:tcPr>
            <w:tcW w:w="419" w:type="dxa"/>
          </w:tcPr>
          <w:p w14:paraId="75F58CCD" w14:textId="77777777" w:rsidR="002B60D3" w:rsidRPr="00E46BF5" w:rsidRDefault="002B60D3" w:rsidP="00B47BF4">
            <w:pPr>
              <w:keepNext/>
              <w:spacing w:line="480" w:lineRule="auto"/>
              <w:jc w:val="center"/>
              <w:rPr>
                <w:rFonts w:ascii="Arial" w:hAnsi="Arial" w:cs="Arial"/>
                <w:sz w:val="18"/>
                <w:szCs w:val="18"/>
              </w:rPr>
            </w:pPr>
          </w:p>
        </w:tc>
        <w:tc>
          <w:tcPr>
            <w:tcW w:w="441" w:type="dxa"/>
          </w:tcPr>
          <w:p w14:paraId="099793C0" w14:textId="77438FEE" w:rsidR="002B60D3" w:rsidRPr="00E46BF5" w:rsidRDefault="002B60D3" w:rsidP="00B47BF4">
            <w:pPr>
              <w:keepNext/>
              <w:spacing w:line="480" w:lineRule="auto"/>
              <w:jc w:val="center"/>
              <w:rPr>
                <w:rFonts w:ascii="Arial" w:hAnsi="Arial" w:cs="Arial"/>
                <w:sz w:val="18"/>
                <w:szCs w:val="18"/>
              </w:rPr>
            </w:pPr>
          </w:p>
        </w:tc>
      </w:tr>
      <w:tr w:rsidR="002B60D3" w:rsidRPr="00E46BF5" w14:paraId="6126D0DB" w14:textId="170BE3C0" w:rsidTr="002B60D3">
        <w:trPr>
          <w:jc w:val="center"/>
        </w:trPr>
        <w:tc>
          <w:tcPr>
            <w:tcW w:w="2245" w:type="dxa"/>
            <w:vAlign w:val="center"/>
          </w:tcPr>
          <w:p w14:paraId="43AC29C6" w14:textId="3E6EFD13" w:rsidR="002B60D3" w:rsidRPr="00E46BF5" w:rsidRDefault="002B60D3" w:rsidP="00B47BF4">
            <w:pPr>
              <w:keepNext/>
              <w:spacing w:line="480" w:lineRule="auto"/>
              <w:rPr>
                <w:rFonts w:ascii="Arial" w:hAnsi="Arial" w:cs="Arial"/>
                <w:sz w:val="18"/>
                <w:szCs w:val="18"/>
              </w:rPr>
            </w:pPr>
            <w:r>
              <w:rPr>
                <w:rFonts w:ascii="Arial" w:hAnsi="Arial" w:cs="Arial"/>
                <w:sz w:val="18"/>
                <w:szCs w:val="18"/>
              </w:rPr>
              <w:t>D</w:t>
            </w:r>
            <w:r w:rsidRPr="00E46BF5">
              <w:rPr>
                <w:rFonts w:ascii="Arial" w:hAnsi="Arial" w:cs="Arial"/>
                <w:sz w:val="18"/>
                <w:szCs w:val="18"/>
              </w:rPr>
              <w:t>ata collection</w:t>
            </w:r>
          </w:p>
        </w:tc>
        <w:tc>
          <w:tcPr>
            <w:tcW w:w="421" w:type="dxa"/>
            <w:vAlign w:val="center"/>
          </w:tcPr>
          <w:p w14:paraId="3ECB5A96"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1A5EF52D"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47F07A2B" w14:textId="77777777" w:rsidR="002B60D3" w:rsidRPr="00E46BF5" w:rsidRDefault="002B60D3" w:rsidP="00B47BF4">
            <w:pPr>
              <w:keepNext/>
              <w:spacing w:line="480" w:lineRule="auto"/>
              <w:jc w:val="center"/>
              <w:rPr>
                <w:rFonts w:ascii="Arial" w:hAnsi="Arial" w:cs="Arial"/>
                <w:sz w:val="18"/>
                <w:szCs w:val="18"/>
              </w:rPr>
            </w:pPr>
          </w:p>
        </w:tc>
        <w:tc>
          <w:tcPr>
            <w:tcW w:w="321" w:type="dxa"/>
            <w:vAlign w:val="center"/>
          </w:tcPr>
          <w:p w14:paraId="6F8B8DA6"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57C604D3"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62B405AA"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2F4A43FE" w14:textId="77777777" w:rsidR="002B60D3" w:rsidRPr="00E46BF5" w:rsidRDefault="002B60D3" w:rsidP="00B47BF4">
            <w:pPr>
              <w:keepNext/>
              <w:spacing w:line="480" w:lineRule="auto"/>
              <w:jc w:val="center"/>
              <w:rPr>
                <w:rFonts w:ascii="Arial" w:hAnsi="Arial" w:cs="Arial"/>
                <w:sz w:val="18"/>
                <w:szCs w:val="18"/>
              </w:rPr>
            </w:pPr>
          </w:p>
        </w:tc>
        <w:tc>
          <w:tcPr>
            <w:tcW w:w="321" w:type="dxa"/>
            <w:shd w:val="clear" w:color="auto" w:fill="7F7F7F" w:themeFill="text1" w:themeFillTint="80"/>
            <w:vAlign w:val="center"/>
          </w:tcPr>
          <w:p w14:paraId="4F1F3D11" w14:textId="77777777" w:rsidR="002B60D3" w:rsidRPr="00E46BF5" w:rsidRDefault="002B60D3" w:rsidP="00B47BF4">
            <w:pPr>
              <w:keepNext/>
              <w:spacing w:line="480" w:lineRule="auto"/>
              <w:jc w:val="center"/>
              <w:rPr>
                <w:rFonts w:ascii="Arial" w:hAnsi="Arial" w:cs="Arial"/>
                <w:sz w:val="18"/>
                <w:szCs w:val="18"/>
              </w:rPr>
            </w:pPr>
          </w:p>
        </w:tc>
        <w:tc>
          <w:tcPr>
            <w:tcW w:w="307" w:type="dxa"/>
            <w:shd w:val="clear" w:color="auto" w:fill="7F7F7F" w:themeFill="text1" w:themeFillTint="80"/>
            <w:vAlign w:val="center"/>
          </w:tcPr>
          <w:p w14:paraId="7C768E30" w14:textId="77777777" w:rsidR="002B60D3" w:rsidRPr="00E46BF5" w:rsidRDefault="002B60D3" w:rsidP="00B47BF4">
            <w:pPr>
              <w:keepNext/>
              <w:spacing w:line="480" w:lineRule="auto"/>
              <w:jc w:val="center"/>
              <w:rPr>
                <w:rFonts w:ascii="Arial" w:hAnsi="Arial" w:cs="Arial"/>
                <w:sz w:val="18"/>
                <w:szCs w:val="18"/>
              </w:rPr>
            </w:pPr>
          </w:p>
        </w:tc>
        <w:tc>
          <w:tcPr>
            <w:tcW w:w="431" w:type="dxa"/>
            <w:shd w:val="clear" w:color="auto" w:fill="7F7F7F" w:themeFill="text1" w:themeFillTint="80"/>
          </w:tcPr>
          <w:p w14:paraId="6B39BF8C"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21763E4B"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50409465"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5889B5AA"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360B25D5"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64B72582" w14:textId="77777777" w:rsidR="002B60D3" w:rsidRPr="00E46BF5" w:rsidRDefault="002B60D3" w:rsidP="00B47BF4">
            <w:pPr>
              <w:keepNext/>
              <w:spacing w:line="480" w:lineRule="auto"/>
              <w:jc w:val="center"/>
              <w:rPr>
                <w:rFonts w:ascii="Arial" w:hAnsi="Arial" w:cs="Arial"/>
                <w:sz w:val="18"/>
                <w:szCs w:val="18"/>
              </w:rPr>
            </w:pPr>
          </w:p>
        </w:tc>
        <w:tc>
          <w:tcPr>
            <w:tcW w:w="429" w:type="dxa"/>
            <w:shd w:val="clear" w:color="auto" w:fill="7F7F7F" w:themeFill="text1" w:themeFillTint="80"/>
          </w:tcPr>
          <w:p w14:paraId="20CAA7DE" w14:textId="77777777" w:rsidR="002B60D3" w:rsidRPr="00E46BF5" w:rsidRDefault="002B60D3" w:rsidP="00B47BF4">
            <w:pPr>
              <w:keepNext/>
              <w:spacing w:line="480" w:lineRule="auto"/>
              <w:jc w:val="center"/>
              <w:rPr>
                <w:rFonts w:ascii="Arial" w:hAnsi="Arial" w:cs="Arial"/>
                <w:sz w:val="18"/>
                <w:szCs w:val="18"/>
              </w:rPr>
            </w:pPr>
          </w:p>
        </w:tc>
        <w:tc>
          <w:tcPr>
            <w:tcW w:w="720" w:type="dxa"/>
            <w:shd w:val="clear" w:color="auto" w:fill="7F7F7F" w:themeFill="text1" w:themeFillTint="80"/>
          </w:tcPr>
          <w:p w14:paraId="1D78977B" w14:textId="77777777" w:rsidR="002B60D3" w:rsidRPr="00E46BF5" w:rsidRDefault="002B60D3" w:rsidP="00B47BF4">
            <w:pPr>
              <w:keepNext/>
              <w:spacing w:line="480" w:lineRule="auto"/>
              <w:jc w:val="center"/>
              <w:rPr>
                <w:rFonts w:ascii="Arial" w:hAnsi="Arial" w:cs="Arial"/>
                <w:sz w:val="18"/>
                <w:szCs w:val="18"/>
              </w:rPr>
            </w:pPr>
          </w:p>
        </w:tc>
        <w:tc>
          <w:tcPr>
            <w:tcW w:w="419" w:type="dxa"/>
            <w:shd w:val="clear" w:color="auto" w:fill="7F7F7F" w:themeFill="text1" w:themeFillTint="80"/>
          </w:tcPr>
          <w:p w14:paraId="510C87C4" w14:textId="77777777" w:rsidR="002B60D3" w:rsidRPr="00E46BF5" w:rsidRDefault="002B60D3" w:rsidP="00B47BF4">
            <w:pPr>
              <w:keepNext/>
              <w:spacing w:line="480" w:lineRule="auto"/>
              <w:jc w:val="center"/>
              <w:rPr>
                <w:rFonts w:ascii="Arial" w:hAnsi="Arial" w:cs="Arial"/>
                <w:sz w:val="18"/>
                <w:szCs w:val="18"/>
              </w:rPr>
            </w:pPr>
          </w:p>
        </w:tc>
        <w:tc>
          <w:tcPr>
            <w:tcW w:w="441" w:type="dxa"/>
            <w:shd w:val="clear" w:color="auto" w:fill="7F7F7F" w:themeFill="text1" w:themeFillTint="80"/>
          </w:tcPr>
          <w:p w14:paraId="3E2CFCAA" w14:textId="682791AD" w:rsidR="002B60D3" w:rsidRPr="00E46BF5" w:rsidRDefault="002B60D3" w:rsidP="00B47BF4">
            <w:pPr>
              <w:keepNext/>
              <w:spacing w:line="480" w:lineRule="auto"/>
              <w:jc w:val="center"/>
              <w:rPr>
                <w:rFonts w:ascii="Arial" w:hAnsi="Arial" w:cs="Arial"/>
                <w:sz w:val="18"/>
                <w:szCs w:val="18"/>
              </w:rPr>
            </w:pPr>
          </w:p>
        </w:tc>
      </w:tr>
    </w:tbl>
    <w:p w14:paraId="3B12FD6B" w14:textId="77777777" w:rsidR="0001230C" w:rsidRDefault="0001230C" w:rsidP="00685097">
      <w:pPr>
        <w:spacing w:after="0" w:line="480" w:lineRule="auto"/>
        <w:rPr>
          <w:rFonts w:ascii="Times New Roman" w:hAnsi="Times New Roman" w:cs="Times New Roman"/>
          <w:sz w:val="24"/>
          <w:szCs w:val="24"/>
        </w:rPr>
      </w:pPr>
    </w:p>
    <w:p w14:paraId="4FA8E48F" w14:textId="77777777" w:rsidR="008735A2" w:rsidRPr="00627CA2" w:rsidRDefault="008735A2" w:rsidP="00685097">
      <w:pPr>
        <w:spacing w:after="0" w:line="480" w:lineRule="auto"/>
        <w:rPr>
          <w:rFonts w:ascii="Times New Roman" w:hAnsi="Times New Roman" w:cs="Times New Roman"/>
          <w:sz w:val="24"/>
          <w:szCs w:val="24"/>
        </w:rPr>
      </w:pPr>
    </w:p>
    <w:p w14:paraId="6657960B" w14:textId="566E7232" w:rsidR="009D070B" w:rsidRPr="00990C8F" w:rsidRDefault="0001230C" w:rsidP="00685097">
      <w:pPr>
        <w:pStyle w:val="Heading2"/>
        <w:spacing w:line="480" w:lineRule="auto"/>
      </w:pPr>
      <w:bookmarkStart w:id="6" w:name="_Toc453670007"/>
      <w:r w:rsidRPr="00990C8F">
        <w:t>Methods to Maximize Response Rates and Deal with No</w:t>
      </w:r>
      <w:r w:rsidR="00990C8F" w:rsidRPr="00990C8F">
        <w:t xml:space="preserve"> R</w:t>
      </w:r>
      <w:r w:rsidRPr="00990C8F">
        <w:t>esponse</w:t>
      </w:r>
      <w:bookmarkEnd w:id="6"/>
    </w:p>
    <w:p w14:paraId="0AED78A7" w14:textId="4D35308D" w:rsidR="005714D8" w:rsidRDefault="00713560"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NORC will utilize the </w:t>
      </w:r>
      <w:r w:rsidR="005714D8" w:rsidRPr="00627CA2">
        <w:rPr>
          <w:rFonts w:ascii="Times New Roman" w:hAnsi="Times New Roman" w:cs="Times New Roman"/>
          <w:sz w:val="24"/>
          <w:szCs w:val="24"/>
        </w:rPr>
        <w:t>following procedures to maximize cooperation</w:t>
      </w:r>
      <w:r w:rsidR="005918D3">
        <w:rPr>
          <w:rFonts w:ascii="Times New Roman" w:hAnsi="Times New Roman" w:cs="Times New Roman"/>
          <w:sz w:val="24"/>
          <w:szCs w:val="24"/>
        </w:rPr>
        <w:t xml:space="preserve"> and participation in the study.</w:t>
      </w:r>
    </w:p>
    <w:p w14:paraId="2A7C8A62" w14:textId="77777777" w:rsidR="005918D3" w:rsidRPr="00627CA2" w:rsidRDefault="005918D3" w:rsidP="00685097">
      <w:pPr>
        <w:spacing w:after="0" w:line="480" w:lineRule="auto"/>
        <w:rPr>
          <w:rFonts w:ascii="Times New Roman" w:hAnsi="Times New Roman" w:cs="Times New Roman"/>
          <w:sz w:val="24"/>
          <w:szCs w:val="24"/>
        </w:rPr>
      </w:pPr>
    </w:p>
    <w:p w14:paraId="66E2170E" w14:textId="105491FA" w:rsidR="005714D8" w:rsidRPr="005918D3" w:rsidRDefault="005714D8" w:rsidP="00685097">
      <w:pPr>
        <w:spacing w:after="0" w:line="480" w:lineRule="auto"/>
        <w:rPr>
          <w:rFonts w:ascii="Times New Roman" w:hAnsi="Times New Roman" w:cs="Times New Roman"/>
          <w:i/>
          <w:sz w:val="24"/>
          <w:szCs w:val="24"/>
        </w:rPr>
      </w:pPr>
      <w:r w:rsidRPr="005918D3">
        <w:rPr>
          <w:rFonts w:ascii="Times New Roman" w:hAnsi="Times New Roman" w:cs="Times New Roman"/>
          <w:i/>
          <w:sz w:val="24"/>
          <w:szCs w:val="24"/>
        </w:rPr>
        <w:t>Incentives</w:t>
      </w:r>
    </w:p>
    <w:p w14:paraId="6B7E933C" w14:textId="63C342FB" w:rsidR="005918D3" w:rsidRPr="00BB2FA9" w:rsidRDefault="005918D3" w:rsidP="00685097">
      <w:pPr>
        <w:spacing w:after="0" w:line="480" w:lineRule="auto"/>
        <w:rPr>
          <w:rFonts w:ascii="Times New Roman" w:hAnsi="Times New Roman" w:cs="Times New Roman"/>
          <w:sz w:val="24"/>
          <w:szCs w:val="24"/>
        </w:rPr>
      </w:pPr>
      <w:r w:rsidRPr="00BB2FA9">
        <w:rPr>
          <w:rFonts w:ascii="Times New Roman" w:hAnsi="Times New Roman" w:cs="Times New Roman"/>
          <w:sz w:val="24"/>
          <w:szCs w:val="24"/>
        </w:rPr>
        <w:t>In Year 1 of data collection, respondents will receive an invitation letter requesting their participation in the study</w:t>
      </w:r>
      <w:r>
        <w:rPr>
          <w:rFonts w:ascii="Times New Roman" w:hAnsi="Times New Roman" w:cs="Times New Roman"/>
          <w:sz w:val="24"/>
          <w:szCs w:val="24"/>
        </w:rPr>
        <w:t xml:space="preserve"> </w:t>
      </w:r>
      <w:r w:rsidRPr="00B47BF4">
        <w:rPr>
          <w:rFonts w:ascii="Times New Roman" w:hAnsi="Times New Roman" w:cs="Times New Roman"/>
          <w:sz w:val="24"/>
          <w:szCs w:val="24"/>
        </w:rPr>
        <w:t>(</w:t>
      </w:r>
      <w:r w:rsidRPr="00B47BF4">
        <w:rPr>
          <w:rFonts w:ascii="Times New Roman" w:hAnsi="Times New Roman" w:cs="Times New Roman"/>
          <w:b/>
          <w:sz w:val="24"/>
          <w:szCs w:val="24"/>
        </w:rPr>
        <w:t xml:space="preserve">Attachment </w:t>
      </w:r>
      <w:r w:rsidR="00A77AAE">
        <w:rPr>
          <w:rFonts w:ascii="Times New Roman" w:hAnsi="Times New Roman" w:cs="Times New Roman"/>
          <w:b/>
          <w:sz w:val="24"/>
          <w:szCs w:val="24"/>
        </w:rPr>
        <w:t>4</w:t>
      </w:r>
      <w:r>
        <w:rPr>
          <w:rFonts w:ascii="Times New Roman" w:hAnsi="Times New Roman" w:cs="Times New Roman"/>
          <w:sz w:val="24"/>
          <w:szCs w:val="24"/>
        </w:rPr>
        <w:t>)</w:t>
      </w:r>
      <w:r w:rsidRPr="00BB2FA9">
        <w:rPr>
          <w:rFonts w:ascii="Times New Roman" w:hAnsi="Times New Roman" w:cs="Times New Roman"/>
          <w:sz w:val="24"/>
          <w:szCs w:val="24"/>
        </w:rPr>
        <w:t>. The invitation letter will contain a promise of a $10 gift card upon comp</w:t>
      </w:r>
      <w:r>
        <w:rPr>
          <w:rFonts w:ascii="Times New Roman" w:hAnsi="Times New Roman" w:cs="Times New Roman"/>
          <w:sz w:val="24"/>
          <w:szCs w:val="24"/>
        </w:rPr>
        <w:t>letion of the survey. Years 2 and 3 will follow a similar post-</w:t>
      </w:r>
      <w:r w:rsidR="00B47BF4">
        <w:rPr>
          <w:rFonts w:ascii="Times New Roman" w:hAnsi="Times New Roman" w:cs="Times New Roman"/>
          <w:sz w:val="24"/>
          <w:szCs w:val="24"/>
        </w:rPr>
        <w:t xml:space="preserve">award </w:t>
      </w:r>
      <w:r>
        <w:rPr>
          <w:rFonts w:ascii="Times New Roman" w:hAnsi="Times New Roman" w:cs="Times New Roman"/>
          <w:sz w:val="24"/>
          <w:szCs w:val="24"/>
        </w:rPr>
        <w:t>model. In Year 2</w:t>
      </w:r>
      <w:r w:rsidRPr="00BB2FA9">
        <w:rPr>
          <w:rFonts w:ascii="Times New Roman" w:hAnsi="Times New Roman" w:cs="Times New Roman"/>
          <w:sz w:val="24"/>
          <w:szCs w:val="24"/>
        </w:rPr>
        <w:t>, the post-</w:t>
      </w:r>
      <w:r w:rsidR="00B47BF4">
        <w:rPr>
          <w:rFonts w:ascii="Times New Roman" w:hAnsi="Times New Roman" w:cs="Times New Roman"/>
          <w:sz w:val="24"/>
          <w:szCs w:val="24"/>
        </w:rPr>
        <w:t>award</w:t>
      </w:r>
      <w:r w:rsidRPr="00BB2FA9">
        <w:rPr>
          <w:rFonts w:ascii="Times New Roman" w:hAnsi="Times New Roman" w:cs="Times New Roman"/>
          <w:sz w:val="24"/>
          <w:szCs w:val="24"/>
        </w:rPr>
        <w:t xml:space="preserve"> amount</w:t>
      </w:r>
      <w:r>
        <w:rPr>
          <w:rFonts w:ascii="Times New Roman" w:hAnsi="Times New Roman" w:cs="Times New Roman"/>
          <w:sz w:val="24"/>
          <w:szCs w:val="24"/>
        </w:rPr>
        <w:t xml:space="preserve"> </w:t>
      </w:r>
      <w:r w:rsidR="0093085D">
        <w:rPr>
          <w:rFonts w:ascii="Times New Roman" w:hAnsi="Times New Roman" w:cs="Times New Roman"/>
          <w:sz w:val="24"/>
          <w:szCs w:val="24"/>
        </w:rPr>
        <w:t>will increase</w:t>
      </w:r>
      <w:r>
        <w:rPr>
          <w:rFonts w:ascii="Times New Roman" w:hAnsi="Times New Roman" w:cs="Times New Roman"/>
          <w:sz w:val="24"/>
          <w:szCs w:val="24"/>
        </w:rPr>
        <w:t xml:space="preserve"> to $15. Year 3 will utilize a $20 post-</w:t>
      </w:r>
      <w:r w:rsidR="00B47BF4">
        <w:rPr>
          <w:rFonts w:ascii="Times New Roman" w:hAnsi="Times New Roman" w:cs="Times New Roman"/>
          <w:sz w:val="24"/>
          <w:szCs w:val="24"/>
        </w:rPr>
        <w:t>award</w:t>
      </w:r>
      <w:r>
        <w:rPr>
          <w:rFonts w:ascii="Times New Roman" w:hAnsi="Times New Roman" w:cs="Times New Roman"/>
          <w:sz w:val="24"/>
          <w:szCs w:val="24"/>
        </w:rPr>
        <w:t xml:space="preserve">. </w:t>
      </w:r>
    </w:p>
    <w:p w14:paraId="71E3643F" w14:textId="77777777" w:rsidR="005918D3" w:rsidRDefault="005918D3" w:rsidP="00685097">
      <w:pPr>
        <w:spacing w:after="0" w:line="480" w:lineRule="auto"/>
        <w:rPr>
          <w:rFonts w:ascii="Times New Roman" w:hAnsi="Times New Roman" w:cs="Times New Roman"/>
          <w:sz w:val="24"/>
          <w:szCs w:val="24"/>
        </w:rPr>
      </w:pPr>
    </w:p>
    <w:p w14:paraId="5CF98D39" w14:textId="77777777" w:rsidR="00297F9C" w:rsidRDefault="005918D3"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Considerable research has been conducted on the effectiveness of incentives to increase response in research studies. </w:t>
      </w:r>
      <w:r w:rsidR="00297F9C">
        <w:rPr>
          <w:rFonts w:ascii="Times New Roman" w:hAnsi="Times New Roman" w:cs="Times New Roman"/>
          <w:sz w:val="24"/>
          <w:szCs w:val="24"/>
        </w:rPr>
        <w:t xml:space="preserve">A </w:t>
      </w:r>
      <w:r>
        <w:rPr>
          <w:rFonts w:ascii="Times New Roman" w:hAnsi="Times New Roman" w:cs="Times New Roman"/>
          <w:sz w:val="24"/>
          <w:szCs w:val="24"/>
        </w:rPr>
        <w:t>literature review of the varying techniques researchers used to increase response rate</w:t>
      </w:r>
      <w:r w:rsidR="00297F9C">
        <w:rPr>
          <w:rFonts w:ascii="Times New Roman" w:hAnsi="Times New Roman" w:cs="Times New Roman"/>
          <w:sz w:val="24"/>
          <w:szCs w:val="24"/>
        </w:rPr>
        <w:t xml:space="preserve"> </w:t>
      </w:r>
      <w:r>
        <w:rPr>
          <w:rFonts w:ascii="Times New Roman" w:hAnsi="Times New Roman" w:cs="Times New Roman"/>
          <w:sz w:val="24"/>
          <w:szCs w:val="24"/>
        </w:rPr>
        <w:t>found that studies that utilized an incentive – whether prepaid or promised – had increased response compared with studies that did not offer incentives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14:paraId="101B0646" w14:textId="77777777" w:rsidR="00297F9C" w:rsidRDefault="00297F9C" w:rsidP="00685097">
      <w:pPr>
        <w:spacing w:after="0" w:line="480" w:lineRule="auto"/>
        <w:rPr>
          <w:rFonts w:ascii="Times New Roman" w:hAnsi="Times New Roman" w:cs="Times New Roman"/>
          <w:sz w:val="24"/>
          <w:szCs w:val="24"/>
        </w:rPr>
      </w:pPr>
    </w:p>
    <w:p w14:paraId="26FB0084" w14:textId="55948737" w:rsidR="005918D3" w:rsidRDefault="005918D3"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Other studies and meta-analyses of existing research support the use of incentives to elicit response. Church (1993) noted an increased response when incentives were promised to respondents upon completion</w:t>
      </w:r>
      <w:r w:rsidRPr="00BB2FA9">
        <w:rPr>
          <w:rStyle w:val="FootnoteReference"/>
          <w:rFonts w:ascii="Times New Roman" w:hAnsi="Times New Roman" w:cs="Times New Roman"/>
          <w:sz w:val="24"/>
          <w:szCs w:val="24"/>
        </w:rPr>
        <w:footnoteReference w:id="2"/>
      </w:r>
      <w:r w:rsidRPr="00BB2FA9">
        <w:rPr>
          <w:rFonts w:ascii="Times New Roman" w:hAnsi="Times New Roman" w:cs="Times New Roman"/>
          <w:sz w:val="24"/>
          <w:szCs w:val="24"/>
        </w:rPr>
        <w:t>.</w:t>
      </w:r>
      <w:r>
        <w:rPr>
          <w:rFonts w:ascii="Times New Roman" w:hAnsi="Times New Roman" w:cs="Times New Roman"/>
          <w:sz w:val="24"/>
          <w:szCs w:val="24"/>
        </w:rPr>
        <w:t xml:space="preserve"> In a review of 292 studies, Edwards et al. (2002) found that questionnaire response doubled when monetary incentives were offered to respondents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14:paraId="064F7DFB" w14:textId="77777777" w:rsidR="005918D3" w:rsidRDefault="005918D3" w:rsidP="00685097">
      <w:pPr>
        <w:spacing w:after="0" w:line="480" w:lineRule="auto"/>
        <w:rPr>
          <w:rFonts w:ascii="Times New Roman" w:hAnsi="Times New Roman" w:cs="Times New Roman"/>
          <w:sz w:val="24"/>
          <w:szCs w:val="24"/>
        </w:rPr>
      </w:pPr>
    </w:p>
    <w:p w14:paraId="32A0B83D" w14:textId="77777777" w:rsidR="005918D3" w:rsidRDefault="005918D3"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Offering incentives to respondents also aid with respondent retention. NORC at the University of Chicago conducts a large, national longitudinal survey that provides monetary incentives post-interview while also experiencing high retention rates between waves of data collection. Because women in WPHSS will be surveyed once a year over a three-year period, respondent retention is important. Goritz, Wolf, and Goldstein (2008) found that multi-year surveys that offered monetary incentives retained more respondents year to year than studies that did not offer a monetary incentive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Therefore, this study will offer increasing incentive amounts each year of data collection to maintain respondent participation.</w:t>
      </w:r>
    </w:p>
    <w:p w14:paraId="5AC8BC86" w14:textId="77777777" w:rsidR="005918D3" w:rsidRDefault="005918D3" w:rsidP="00685097">
      <w:pPr>
        <w:spacing w:after="0" w:line="480" w:lineRule="auto"/>
        <w:rPr>
          <w:rFonts w:ascii="Times New Roman" w:hAnsi="Times New Roman" w:cs="Times New Roman"/>
          <w:sz w:val="24"/>
          <w:szCs w:val="24"/>
        </w:rPr>
      </w:pPr>
    </w:p>
    <w:p w14:paraId="4CC0375D" w14:textId="20697FCF" w:rsidR="005714D8" w:rsidRPr="005918D3" w:rsidRDefault="005714D8" w:rsidP="00685097">
      <w:pPr>
        <w:spacing w:after="0" w:line="480" w:lineRule="auto"/>
        <w:rPr>
          <w:rFonts w:ascii="Times New Roman" w:hAnsi="Times New Roman" w:cs="Times New Roman"/>
          <w:i/>
          <w:sz w:val="24"/>
          <w:szCs w:val="24"/>
        </w:rPr>
      </w:pPr>
      <w:r w:rsidRPr="005918D3">
        <w:rPr>
          <w:rFonts w:ascii="Times New Roman" w:hAnsi="Times New Roman" w:cs="Times New Roman"/>
          <w:i/>
          <w:sz w:val="24"/>
          <w:szCs w:val="24"/>
        </w:rPr>
        <w:t>Multimode data collection</w:t>
      </w:r>
    </w:p>
    <w:p w14:paraId="2A62E951" w14:textId="1FC0C3AB" w:rsidR="008C50E1" w:rsidRDefault="008C50E1" w:rsidP="00685097">
      <w:pPr>
        <w:spacing w:after="0" w:line="480" w:lineRule="auto"/>
        <w:rPr>
          <w:rFonts w:ascii="Times New Roman" w:hAnsi="Times New Roman" w:cs="Times New Roman"/>
          <w:sz w:val="24"/>
          <w:szCs w:val="24"/>
        </w:rPr>
      </w:pPr>
      <w:r w:rsidRPr="005918D3">
        <w:rPr>
          <w:rFonts w:ascii="Times New Roman" w:hAnsi="Times New Roman" w:cs="Times New Roman"/>
          <w:sz w:val="24"/>
          <w:szCs w:val="24"/>
        </w:rPr>
        <w:t>Providing respondents the option to complete the survey online via the web instrument or over the phone allows the respondent to complete the survey in a mode that is most convenient and comfortable for her. Each mode will be offered in English and Spanish, which also maximizes participation.</w:t>
      </w:r>
    </w:p>
    <w:p w14:paraId="781D904D" w14:textId="77777777" w:rsidR="00B569B4" w:rsidRDefault="00B569B4" w:rsidP="00685097">
      <w:pPr>
        <w:spacing w:after="0" w:line="480" w:lineRule="auto"/>
        <w:rPr>
          <w:rFonts w:ascii="Times New Roman" w:hAnsi="Times New Roman" w:cs="Times New Roman"/>
          <w:sz w:val="24"/>
          <w:szCs w:val="24"/>
        </w:rPr>
      </w:pPr>
    </w:p>
    <w:p w14:paraId="2135C2A6" w14:textId="67099C65" w:rsidR="00B569B4" w:rsidRDefault="00B569B4"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The web and CATI instruments will be programmed with all requisite skip logic, which reduces overall respondent burden.</w:t>
      </w:r>
    </w:p>
    <w:p w14:paraId="5F44AAAC" w14:textId="77777777" w:rsidR="00E53FA5" w:rsidRPr="005918D3" w:rsidRDefault="00E53FA5" w:rsidP="00685097">
      <w:pPr>
        <w:spacing w:after="0" w:line="480" w:lineRule="auto"/>
        <w:rPr>
          <w:rFonts w:ascii="Times New Roman" w:hAnsi="Times New Roman" w:cs="Times New Roman"/>
          <w:sz w:val="24"/>
          <w:szCs w:val="24"/>
        </w:rPr>
      </w:pPr>
    </w:p>
    <w:p w14:paraId="65045D9F" w14:textId="4E8DDE1C" w:rsidR="005714D8" w:rsidRPr="00E53FA5" w:rsidRDefault="00B569B4" w:rsidP="00685097">
      <w:pPr>
        <w:spacing w:after="0" w:line="480" w:lineRule="auto"/>
        <w:rPr>
          <w:rFonts w:ascii="Times New Roman" w:hAnsi="Times New Roman" w:cs="Times New Roman"/>
          <w:i/>
          <w:sz w:val="24"/>
          <w:szCs w:val="24"/>
        </w:rPr>
      </w:pPr>
      <w:r>
        <w:rPr>
          <w:rFonts w:ascii="Times New Roman" w:hAnsi="Times New Roman" w:cs="Times New Roman"/>
          <w:i/>
          <w:sz w:val="24"/>
          <w:szCs w:val="24"/>
        </w:rPr>
        <w:t>Strategic M</w:t>
      </w:r>
      <w:r w:rsidR="005714D8" w:rsidRPr="00E53FA5">
        <w:rPr>
          <w:rFonts w:ascii="Times New Roman" w:hAnsi="Times New Roman" w:cs="Times New Roman"/>
          <w:i/>
          <w:sz w:val="24"/>
          <w:szCs w:val="24"/>
        </w:rPr>
        <w:t>ailings/</w:t>
      </w:r>
      <w:r>
        <w:rPr>
          <w:rFonts w:ascii="Times New Roman" w:hAnsi="Times New Roman" w:cs="Times New Roman"/>
          <w:i/>
          <w:sz w:val="24"/>
          <w:szCs w:val="24"/>
        </w:rPr>
        <w:t>P</w:t>
      </w:r>
      <w:r w:rsidR="005714D8" w:rsidRPr="00E53FA5">
        <w:rPr>
          <w:rFonts w:ascii="Times New Roman" w:hAnsi="Times New Roman" w:cs="Times New Roman"/>
          <w:i/>
          <w:sz w:val="24"/>
          <w:szCs w:val="24"/>
        </w:rPr>
        <w:t>rompts</w:t>
      </w:r>
    </w:p>
    <w:p w14:paraId="5ED66FB1" w14:textId="5CDE361F" w:rsidR="000B4248" w:rsidRDefault="008C50E1" w:rsidP="00685097">
      <w:pPr>
        <w:spacing w:after="0" w:line="480" w:lineRule="auto"/>
        <w:rPr>
          <w:rFonts w:ascii="Times New Roman" w:hAnsi="Times New Roman" w:cs="Times New Roman"/>
          <w:sz w:val="24"/>
          <w:szCs w:val="24"/>
        </w:rPr>
      </w:pPr>
      <w:r w:rsidRPr="00E53FA5">
        <w:rPr>
          <w:rFonts w:ascii="Times New Roman" w:hAnsi="Times New Roman" w:cs="Times New Roman"/>
          <w:sz w:val="24"/>
          <w:szCs w:val="24"/>
        </w:rPr>
        <w:t xml:space="preserve">As mentioned previously, participants will be contacted via mail first, with a follow-up phone call two weeks later. Cases will be delivered to trained telephone interviewers for dialing according to a pre-determined set of calling rules. These calling rules will be structured so the respondents are being called at various times of </w:t>
      </w:r>
      <w:r w:rsidR="00DF51A5">
        <w:rPr>
          <w:rFonts w:ascii="Times New Roman" w:hAnsi="Times New Roman" w:cs="Times New Roman"/>
          <w:sz w:val="24"/>
          <w:szCs w:val="24"/>
        </w:rPr>
        <w:t xml:space="preserve">the </w:t>
      </w:r>
      <w:r w:rsidRPr="00E53FA5">
        <w:rPr>
          <w:rFonts w:ascii="Times New Roman" w:hAnsi="Times New Roman" w:cs="Times New Roman"/>
          <w:sz w:val="24"/>
          <w:szCs w:val="24"/>
        </w:rPr>
        <w:t>day, without being a nuisance.</w:t>
      </w:r>
      <w:r w:rsidR="000B4248">
        <w:rPr>
          <w:rFonts w:ascii="Times New Roman" w:hAnsi="Times New Roman" w:cs="Times New Roman"/>
          <w:sz w:val="24"/>
          <w:szCs w:val="24"/>
        </w:rPr>
        <w:t xml:space="preserve"> CATI supervisors will monitor and review contact attempts to ensure cases are not being over-dialed or under-dialed. </w:t>
      </w:r>
    </w:p>
    <w:p w14:paraId="6E98D69F" w14:textId="77777777" w:rsidR="000B4248" w:rsidRDefault="000B4248" w:rsidP="00685097">
      <w:pPr>
        <w:spacing w:after="0" w:line="480" w:lineRule="auto"/>
        <w:rPr>
          <w:rFonts w:ascii="Times New Roman" w:hAnsi="Times New Roman" w:cs="Times New Roman"/>
          <w:sz w:val="24"/>
          <w:szCs w:val="24"/>
        </w:rPr>
      </w:pPr>
    </w:p>
    <w:p w14:paraId="31D9344B" w14:textId="4E4175E3" w:rsidR="008C50E1" w:rsidRDefault="008C50E1" w:rsidP="00685097">
      <w:pPr>
        <w:spacing w:after="0" w:line="480" w:lineRule="auto"/>
        <w:rPr>
          <w:rFonts w:ascii="Times New Roman" w:hAnsi="Times New Roman" w:cs="Times New Roman"/>
          <w:sz w:val="24"/>
          <w:szCs w:val="24"/>
        </w:rPr>
      </w:pPr>
      <w:r w:rsidRPr="00E53FA5">
        <w:rPr>
          <w:rFonts w:ascii="Times New Roman" w:hAnsi="Times New Roman" w:cs="Times New Roman"/>
          <w:sz w:val="24"/>
          <w:szCs w:val="24"/>
        </w:rPr>
        <w:t xml:space="preserve">A reminder postcard and final invitation letter will be sent to non-respondents during the final weeks of data collection to elicit response. </w:t>
      </w:r>
    </w:p>
    <w:p w14:paraId="77CC6AE4" w14:textId="77777777" w:rsidR="00297F9C" w:rsidRDefault="00297F9C" w:rsidP="00685097">
      <w:pPr>
        <w:spacing w:after="0" w:line="480" w:lineRule="auto"/>
        <w:rPr>
          <w:rFonts w:ascii="Times New Roman" w:hAnsi="Times New Roman" w:cs="Times New Roman"/>
          <w:sz w:val="24"/>
          <w:szCs w:val="24"/>
        </w:rPr>
      </w:pPr>
    </w:p>
    <w:p w14:paraId="2BC77DC6" w14:textId="26241D94" w:rsidR="00560047" w:rsidRPr="00E53FA5" w:rsidRDefault="00560047" w:rsidP="00685097">
      <w:pPr>
        <w:spacing w:after="0" w:line="480" w:lineRule="auto"/>
        <w:rPr>
          <w:rFonts w:ascii="Times New Roman" w:hAnsi="Times New Roman" w:cs="Times New Roman"/>
          <w:i/>
          <w:sz w:val="24"/>
          <w:szCs w:val="24"/>
        </w:rPr>
      </w:pPr>
      <w:r w:rsidRPr="00E53FA5">
        <w:rPr>
          <w:rFonts w:ascii="Times New Roman" w:hAnsi="Times New Roman" w:cs="Times New Roman"/>
          <w:i/>
          <w:sz w:val="24"/>
          <w:szCs w:val="24"/>
        </w:rPr>
        <w:t>Locating and Tracking Respondents</w:t>
      </w:r>
    </w:p>
    <w:p w14:paraId="40BBCD0F" w14:textId="77777777" w:rsidR="008314EE" w:rsidRPr="00E53FA5" w:rsidRDefault="00560047" w:rsidP="00685097">
      <w:pPr>
        <w:spacing w:after="0" w:line="480" w:lineRule="auto"/>
        <w:rPr>
          <w:rFonts w:ascii="Times New Roman" w:hAnsi="Times New Roman" w:cs="Times New Roman"/>
          <w:sz w:val="24"/>
          <w:szCs w:val="24"/>
        </w:rPr>
      </w:pPr>
      <w:r w:rsidRPr="00E53FA5">
        <w:rPr>
          <w:rFonts w:ascii="Times New Roman" w:hAnsi="Times New Roman" w:cs="Times New Roman"/>
          <w:sz w:val="24"/>
          <w:szCs w:val="24"/>
        </w:rPr>
        <w:t xml:space="preserve">Some small percentage of respondents will require locating – based on the return of the advance material or a telephone contact attempt that terminated with a non-working number. </w:t>
      </w:r>
      <w:r w:rsidR="008C50E1" w:rsidRPr="00E53FA5">
        <w:rPr>
          <w:rFonts w:ascii="Times New Roman" w:hAnsi="Times New Roman" w:cs="Times New Roman"/>
          <w:sz w:val="24"/>
          <w:szCs w:val="24"/>
        </w:rPr>
        <w:t>NORC is</w:t>
      </w:r>
      <w:r w:rsidRPr="00E53FA5">
        <w:rPr>
          <w:rFonts w:ascii="Times New Roman" w:hAnsi="Times New Roman" w:cs="Times New Roman"/>
          <w:sz w:val="24"/>
          <w:szCs w:val="24"/>
        </w:rPr>
        <w:t xml:space="preserve"> prepared to implement the locating efforts </w:t>
      </w:r>
      <w:r w:rsidR="008314EE" w:rsidRPr="00E53FA5">
        <w:rPr>
          <w:rFonts w:ascii="Times New Roman" w:hAnsi="Times New Roman" w:cs="Times New Roman"/>
          <w:sz w:val="24"/>
          <w:szCs w:val="24"/>
        </w:rPr>
        <w:t>r</w:t>
      </w:r>
      <w:r w:rsidRPr="00E53FA5">
        <w:rPr>
          <w:rFonts w:ascii="Times New Roman" w:hAnsi="Times New Roman" w:cs="Times New Roman"/>
          <w:sz w:val="24"/>
          <w:szCs w:val="24"/>
        </w:rPr>
        <w:t>outinely use</w:t>
      </w:r>
      <w:r w:rsidR="008314EE" w:rsidRPr="00E53FA5">
        <w:rPr>
          <w:rFonts w:ascii="Times New Roman" w:hAnsi="Times New Roman" w:cs="Times New Roman"/>
          <w:sz w:val="24"/>
          <w:szCs w:val="24"/>
        </w:rPr>
        <w:t>d</w:t>
      </w:r>
      <w:r w:rsidRPr="00E53FA5">
        <w:rPr>
          <w:rFonts w:ascii="Times New Roman" w:hAnsi="Times New Roman" w:cs="Times New Roman"/>
          <w:sz w:val="24"/>
          <w:szCs w:val="24"/>
        </w:rPr>
        <w:t xml:space="preserve"> for other </w:t>
      </w:r>
      <w:r w:rsidR="00742B03" w:rsidRPr="00E53FA5">
        <w:rPr>
          <w:rFonts w:ascii="Times New Roman" w:hAnsi="Times New Roman" w:cs="Times New Roman"/>
          <w:sz w:val="24"/>
          <w:szCs w:val="24"/>
        </w:rPr>
        <w:t>similar</w:t>
      </w:r>
      <w:r w:rsidRPr="00E53FA5">
        <w:rPr>
          <w:rFonts w:ascii="Times New Roman" w:hAnsi="Times New Roman" w:cs="Times New Roman"/>
          <w:sz w:val="24"/>
          <w:szCs w:val="24"/>
        </w:rPr>
        <w:t xml:space="preserve"> projects. NORC uses a wide range of tools such as directory assistance, national change of address databases, national credit bureau databases, and Targus, a computerized locating service that uses a large database of information to provide matches between addresses and telephone numbers. We also use Accurint®, a widely accepted locate-and-research tool available to government, law enforcement, and commercial customers. </w:t>
      </w:r>
    </w:p>
    <w:p w14:paraId="1642B10C" w14:textId="77777777" w:rsidR="00E53FA5" w:rsidRDefault="00E53FA5" w:rsidP="00685097">
      <w:pPr>
        <w:spacing w:after="0" w:line="480" w:lineRule="auto"/>
        <w:rPr>
          <w:rFonts w:ascii="Times New Roman" w:hAnsi="Times New Roman" w:cs="Times New Roman"/>
          <w:sz w:val="24"/>
          <w:szCs w:val="24"/>
        </w:rPr>
      </w:pPr>
    </w:p>
    <w:p w14:paraId="1A1FDFD1" w14:textId="15FD5956" w:rsidR="00560047" w:rsidRPr="00E53FA5" w:rsidRDefault="008314EE" w:rsidP="00685097">
      <w:pPr>
        <w:spacing w:after="0" w:line="480" w:lineRule="auto"/>
        <w:rPr>
          <w:rFonts w:ascii="Times New Roman" w:hAnsi="Times New Roman" w:cs="Times New Roman"/>
          <w:sz w:val="24"/>
          <w:szCs w:val="24"/>
        </w:rPr>
      </w:pPr>
      <w:r w:rsidRPr="00E53FA5">
        <w:rPr>
          <w:rFonts w:ascii="Times New Roman" w:hAnsi="Times New Roman" w:cs="Times New Roman"/>
          <w:sz w:val="24"/>
          <w:szCs w:val="24"/>
        </w:rPr>
        <w:t>During each survey round, NORC</w:t>
      </w:r>
      <w:r w:rsidR="00560047" w:rsidRPr="00E53FA5">
        <w:rPr>
          <w:rFonts w:ascii="Times New Roman" w:hAnsi="Times New Roman" w:cs="Times New Roman"/>
          <w:sz w:val="24"/>
          <w:szCs w:val="24"/>
        </w:rPr>
        <w:t xml:space="preserve"> will ask the respondent to confirm or update her contact information. By collecting this information at the time of the interview, this should mitigate the need for increased locating in future rounds.</w:t>
      </w:r>
    </w:p>
    <w:p w14:paraId="520A7C37" w14:textId="77777777" w:rsidR="00E53FA5" w:rsidRDefault="00E53FA5" w:rsidP="00685097">
      <w:pPr>
        <w:spacing w:after="0" w:line="480" w:lineRule="auto"/>
        <w:rPr>
          <w:rFonts w:ascii="Times New Roman" w:hAnsi="Times New Roman" w:cs="Times New Roman"/>
          <w:sz w:val="24"/>
          <w:szCs w:val="24"/>
        </w:rPr>
      </w:pPr>
    </w:p>
    <w:p w14:paraId="606309F5" w14:textId="6A17B4EC" w:rsidR="00AF7423" w:rsidRDefault="00AF7423" w:rsidP="0068509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Between </w:t>
      </w:r>
      <w:r w:rsidR="00B569B4">
        <w:rPr>
          <w:rFonts w:ascii="Times New Roman" w:hAnsi="Times New Roman" w:cs="Times New Roman"/>
          <w:i/>
          <w:sz w:val="24"/>
          <w:szCs w:val="24"/>
        </w:rPr>
        <w:t>Round R</w:t>
      </w:r>
      <w:r>
        <w:rPr>
          <w:rFonts w:ascii="Times New Roman" w:hAnsi="Times New Roman" w:cs="Times New Roman"/>
          <w:i/>
          <w:sz w:val="24"/>
          <w:szCs w:val="24"/>
        </w:rPr>
        <w:t xml:space="preserve">eminder </w:t>
      </w:r>
      <w:r w:rsidR="00B569B4">
        <w:rPr>
          <w:rFonts w:ascii="Times New Roman" w:hAnsi="Times New Roman" w:cs="Times New Roman"/>
          <w:i/>
          <w:sz w:val="24"/>
          <w:szCs w:val="24"/>
        </w:rPr>
        <w:t>L</w:t>
      </w:r>
      <w:r>
        <w:rPr>
          <w:rFonts w:ascii="Times New Roman" w:hAnsi="Times New Roman" w:cs="Times New Roman"/>
          <w:i/>
          <w:sz w:val="24"/>
          <w:szCs w:val="24"/>
        </w:rPr>
        <w:t>etter</w:t>
      </w:r>
    </w:p>
    <w:p w14:paraId="69E2A91C" w14:textId="1CD5E223" w:rsidR="00AF7423" w:rsidRDefault="00B569B4"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Because respondents from Year 1 will be interviewed two more times over the subsequent two years, it is important to keep respondents engaged between rounds so they are committed to the project and are ready to respond when contacted again. In order to maintain this engagement, NORC will mail a letter to the Year 1 respondents thanking them for their participation</w:t>
      </w:r>
      <w:r w:rsidR="00DF51A5">
        <w:rPr>
          <w:rFonts w:ascii="Times New Roman" w:hAnsi="Times New Roman" w:cs="Times New Roman"/>
          <w:sz w:val="24"/>
          <w:szCs w:val="24"/>
        </w:rPr>
        <w:t xml:space="preserve"> and</w:t>
      </w:r>
      <w:r>
        <w:rPr>
          <w:rFonts w:ascii="Times New Roman" w:hAnsi="Times New Roman" w:cs="Times New Roman"/>
          <w:sz w:val="24"/>
          <w:szCs w:val="24"/>
        </w:rPr>
        <w:t xml:space="preserve"> letting them know the next round will begin soon. </w:t>
      </w:r>
      <w:r w:rsidR="00B47BF4">
        <w:rPr>
          <w:rFonts w:ascii="Times New Roman" w:hAnsi="Times New Roman" w:cs="Times New Roman"/>
          <w:sz w:val="24"/>
          <w:szCs w:val="24"/>
        </w:rPr>
        <w:t>(</w:t>
      </w:r>
      <w:r w:rsidR="00B47BF4" w:rsidRPr="00B47BF4">
        <w:rPr>
          <w:rFonts w:ascii="Times New Roman" w:hAnsi="Times New Roman" w:cs="Times New Roman"/>
          <w:b/>
          <w:sz w:val="24"/>
          <w:szCs w:val="24"/>
        </w:rPr>
        <w:t xml:space="preserve">Attachment </w:t>
      </w:r>
      <w:r w:rsidR="00837FB3">
        <w:rPr>
          <w:rFonts w:ascii="Times New Roman" w:hAnsi="Times New Roman" w:cs="Times New Roman"/>
          <w:b/>
          <w:sz w:val="24"/>
          <w:szCs w:val="24"/>
        </w:rPr>
        <w:t>13</w:t>
      </w:r>
      <w:r w:rsidR="00B47BF4">
        <w:rPr>
          <w:rFonts w:ascii="Times New Roman" w:hAnsi="Times New Roman" w:cs="Times New Roman"/>
          <w:sz w:val="24"/>
          <w:szCs w:val="24"/>
        </w:rPr>
        <w:t>).</w:t>
      </w:r>
      <w:r>
        <w:rPr>
          <w:rFonts w:ascii="Times New Roman" w:hAnsi="Times New Roman" w:cs="Times New Roman"/>
          <w:sz w:val="24"/>
          <w:szCs w:val="24"/>
        </w:rPr>
        <w:t xml:space="preserve"> In addition to reminding respondents of their importance to the study and nurturing a sense of belonging, these mailings will be marked “address service requested” so that the Post Office will forward any mail to new locations for respondents who have moved and will notify NORC of the new address.</w:t>
      </w:r>
    </w:p>
    <w:p w14:paraId="0D5CDCBE" w14:textId="77777777" w:rsidR="00AF7423" w:rsidRDefault="00AF7423" w:rsidP="00685097">
      <w:pPr>
        <w:spacing w:after="0" w:line="480" w:lineRule="auto"/>
        <w:rPr>
          <w:rFonts w:ascii="Times New Roman" w:hAnsi="Times New Roman" w:cs="Times New Roman"/>
          <w:sz w:val="24"/>
          <w:szCs w:val="24"/>
        </w:rPr>
      </w:pPr>
    </w:p>
    <w:p w14:paraId="59EA3E9A" w14:textId="77777777" w:rsidR="0093085D" w:rsidRDefault="0093085D" w:rsidP="00685097">
      <w:pPr>
        <w:spacing w:after="0" w:line="480" w:lineRule="auto"/>
        <w:rPr>
          <w:rFonts w:ascii="Times New Roman" w:hAnsi="Times New Roman" w:cs="Times New Roman"/>
          <w:sz w:val="24"/>
          <w:szCs w:val="24"/>
        </w:rPr>
      </w:pPr>
    </w:p>
    <w:p w14:paraId="0A707B0E" w14:textId="77777777" w:rsidR="0093085D" w:rsidRPr="00AF7423" w:rsidRDefault="0093085D" w:rsidP="00685097">
      <w:pPr>
        <w:spacing w:after="0" w:line="480" w:lineRule="auto"/>
        <w:rPr>
          <w:rFonts w:ascii="Times New Roman" w:hAnsi="Times New Roman" w:cs="Times New Roman"/>
          <w:sz w:val="24"/>
          <w:szCs w:val="24"/>
        </w:rPr>
      </w:pPr>
    </w:p>
    <w:p w14:paraId="79898E6E" w14:textId="60933117" w:rsidR="005714D8" w:rsidRPr="00E53FA5" w:rsidRDefault="005714D8" w:rsidP="00685097">
      <w:pPr>
        <w:spacing w:after="0" w:line="480" w:lineRule="auto"/>
        <w:rPr>
          <w:rFonts w:ascii="Times New Roman" w:hAnsi="Times New Roman" w:cs="Times New Roman"/>
          <w:i/>
          <w:sz w:val="24"/>
          <w:szCs w:val="24"/>
        </w:rPr>
      </w:pPr>
      <w:r w:rsidRPr="00E53FA5">
        <w:rPr>
          <w:rFonts w:ascii="Times New Roman" w:hAnsi="Times New Roman" w:cs="Times New Roman"/>
          <w:i/>
          <w:sz w:val="24"/>
          <w:szCs w:val="24"/>
        </w:rPr>
        <w:t>Technical Ass</w:t>
      </w:r>
      <w:r w:rsidR="008C50E1" w:rsidRPr="00E53FA5">
        <w:rPr>
          <w:rFonts w:ascii="Times New Roman" w:hAnsi="Times New Roman" w:cs="Times New Roman"/>
          <w:i/>
          <w:sz w:val="24"/>
          <w:szCs w:val="24"/>
        </w:rPr>
        <w:t>istance</w:t>
      </w:r>
    </w:p>
    <w:p w14:paraId="42644BF1" w14:textId="61D7443F" w:rsidR="00E53FA5" w:rsidRDefault="008C50E1" w:rsidP="00685097">
      <w:pPr>
        <w:spacing w:after="0" w:line="480" w:lineRule="auto"/>
        <w:rPr>
          <w:rFonts w:ascii="Times New Roman" w:hAnsi="Times New Roman" w:cs="Times New Roman"/>
          <w:sz w:val="24"/>
          <w:szCs w:val="24"/>
        </w:rPr>
      </w:pPr>
      <w:r w:rsidRPr="00E53FA5">
        <w:rPr>
          <w:rFonts w:ascii="Times New Roman" w:hAnsi="Times New Roman" w:cs="Times New Roman"/>
          <w:sz w:val="24"/>
          <w:szCs w:val="24"/>
        </w:rPr>
        <w:t xml:space="preserve">NORC will provide a toll-free number to all sampled individuals </w:t>
      </w:r>
      <w:r w:rsidR="00DF51A5">
        <w:rPr>
          <w:rFonts w:ascii="Times New Roman" w:hAnsi="Times New Roman" w:cs="Times New Roman"/>
          <w:sz w:val="24"/>
          <w:szCs w:val="24"/>
        </w:rPr>
        <w:t xml:space="preserve">that </w:t>
      </w:r>
      <w:r w:rsidRPr="00E53FA5">
        <w:rPr>
          <w:rFonts w:ascii="Times New Roman" w:hAnsi="Times New Roman" w:cs="Times New Roman"/>
          <w:sz w:val="24"/>
          <w:szCs w:val="24"/>
        </w:rPr>
        <w:t>they can use to contact NORC with any questions or concerns about the study.</w:t>
      </w:r>
      <w:r w:rsidR="00E53FA5">
        <w:rPr>
          <w:rFonts w:ascii="Times New Roman" w:hAnsi="Times New Roman" w:cs="Times New Roman"/>
          <w:sz w:val="24"/>
          <w:szCs w:val="24"/>
        </w:rPr>
        <w:t xml:space="preserve"> </w:t>
      </w:r>
      <w:r w:rsidRPr="00627CA2">
        <w:rPr>
          <w:rFonts w:ascii="Times New Roman" w:hAnsi="Times New Roman" w:cs="Times New Roman"/>
          <w:sz w:val="24"/>
          <w:szCs w:val="24"/>
        </w:rPr>
        <w:t>NORC will also provide an e-mail address that respondents can use for this same reason.</w:t>
      </w:r>
      <w:r w:rsidR="00E53FA5">
        <w:rPr>
          <w:rFonts w:ascii="Times New Roman" w:hAnsi="Times New Roman" w:cs="Times New Roman"/>
          <w:sz w:val="24"/>
          <w:szCs w:val="24"/>
        </w:rPr>
        <w:t xml:space="preserve"> </w:t>
      </w:r>
    </w:p>
    <w:p w14:paraId="617F6E11" w14:textId="77777777" w:rsidR="00E53FA5" w:rsidRDefault="00E53FA5" w:rsidP="00685097">
      <w:pPr>
        <w:spacing w:after="0" w:line="480" w:lineRule="auto"/>
        <w:rPr>
          <w:rFonts w:ascii="Times New Roman" w:hAnsi="Times New Roman" w:cs="Times New Roman"/>
          <w:sz w:val="24"/>
          <w:szCs w:val="24"/>
        </w:rPr>
      </w:pPr>
    </w:p>
    <w:p w14:paraId="02307DFA" w14:textId="1CC23532" w:rsidR="008C50E1" w:rsidRPr="00627CA2" w:rsidRDefault="008C50E1"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NORC will work with project staff at CDC to address any concerns that may arise and to resolve any barriers to participation.</w:t>
      </w:r>
    </w:p>
    <w:p w14:paraId="1EB5BDCD" w14:textId="77777777" w:rsidR="0001230C" w:rsidRDefault="0001230C" w:rsidP="00685097">
      <w:pPr>
        <w:spacing w:after="0" w:line="480" w:lineRule="auto"/>
        <w:rPr>
          <w:rFonts w:ascii="Times New Roman" w:hAnsi="Times New Roman" w:cs="Times New Roman"/>
          <w:sz w:val="24"/>
          <w:szCs w:val="24"/>
        </w:rPr>
      </w:pPr>
    </w:p>
    <w:p w14:paraId="512F3B77" w14:textId="3DBC19E5" w:rsidR="008E1041" w:rsidRDefault="00B37DA7" w:rsidP="00685097">
      <w:pPr>
        <w:pStyle w:val="BodyText"/>
        <w:spacing w:after="0" w:line="480" w:lineRule="auto"/>
        <w:rPr>
          <w:sz w:val="24"/>
          <w:szCs w:val="24"/>
        </w:rPr>
      </w:pPr>
      <w:r>
        <w:rPr>
          <w:sz w:val="24"/>
          <w:szCs w:val="24"/>
        </w:rPr>
        <w:t xml:space="preserve">While every effort will be made to obtain a completed interview from the women in our selected sample, our response rate may be less than 80%, especially when we take into account year-to-year attrition. </w:t>
      </w:r>
      <w:r w:rsidR="008E1041">
        <w:rPr>
          <w:sz w:val="24"/>
          <w:szCs w:val="24"/>
        </w:rPr>
        <w:t>If our interview completion rate is less than an 80% at any stage, a nonresponse bias analysis will be conducted. Given the data available</w:t>
      </w:r>
      <w:r>
        <w:rPr>
          <w:sz w:val="24"/>
          <w:szCs w:val="24"/>
        </w:rPr>
        <w:t xml:space="preserve"> from the states</w:t>
      </w:r>
      <w:r w:rsidR="008E1041">
        <w:rPr>
          <w:sz w:val="24"/>
          <w:szCs w:val="24"/>
        </w:rPr>
        <w:t xml:space="preserve">, demographics from the </w:t>
      </w:r>
      <w:r>
        <w:rPr>
          <w:sz w:val="24"/>
          <w:szCs w:val="24"/>
        </w:rPr>
        <w:t>initial sampling frame</w:t>
      </w:r>
      <w:r w:rsidR="008E1041">
        <w:rPr>
          <w:sz w:val="24"/>
          <w:szCs w:val="24"/>
        </w:rPr>
        <w:t xml:space="preserve"> will be compared to those from the completed inte</w:t>
      </w:r>
      <w:r>
        <w:rPr>
          <w:sz w:val="24"/>
          <w:szCs w:val="24"/>
        </w:rPr>
        <w:t>rviews (Year 1, Year 2, Year 3). The demographic comparisons will be done on both</w:t>
      </w:r>
      <w:r w:rsidR="008E1041">
        <w:rPr>
          <w:sz w:val="24"/>
          <w:szCs w:val="24"/>
        </w:rPr>
        <w:t xml:space="preserve"> unweighted and weighted</w:t>
      </w:r>
      <w:r>
        <w:rPr>
          <w:sz w:val="24"/>
          <w:szCs w:val="24"/>
        </w:rPr>
        <w:t xml:space="preserve"> data, as weighting may account for some differences that could be seen with the unweighted data</w:t>
      </w:r>
      <w:r w:rsidR="008E1041">
        <w:rPr>
          <w:sz w:val="24"/>
          <w:szCs w:val="24"/>
        </w:rPr>
        <w:t>. This</w:t>
      </w:r>
      <w:r>
        <w:rPr>
          <w:sz w:val="24"/>
          <w:szCs w:val="24"/>
        </w:rPr>
        <w:t xml:space="preserve"> analysis</w:t>
      </w:r>
      <w:r w:rsidR="008E1041">
        <w:rPr>
          <w:sz w:val="24"/>
          <w:szCs w:val="24"/>
        </w:rPr>
        <w:t xml:space="preserve"> will reveal any potential nonresponse bias that might be introduced to the final results.</w:t>
      </w:r>
    </w:p>
    <w:p w14:paraId="743A4533" w14:textId="4904A940" w:rsidR="00261E55" w:rsidRDefault="00261E55" w:rsidP="00685097">
      <w:pPr>
        <w:pStyle w:val="BodyText"/>
        <w:spacing w:after="0" w:line="480" w:lineRule="auto"/>
        <w:rPr>
          <w:sz w:val="24"/>
          <w:szCs w:val="24"/>
        </w:rPr>
      </w:pPr>
    </w:p>
    <w:p w14:paraId="1B30B79E" w14:textId="77777777" w:rsidR="00261E55" w:rsidRPr="00E53FA5" w:rsidRDefault="00261E55" w:rsidP="00261E55">
      <w:pPr>
        <w:spacing w:after="0" w:line="480" w:lineRule="auto"/>
        <w:rPr>
          <w:rFonts w:ascii="Times New Roman" w:hAnsi="Times New Roman" w:cs="Times New Roman"/>
          <w:i/>
          <w:sz w:val="24"/>
          <w:szCs w:val="24"/>
        </w:rPr>
      </w:pPr>
      <w:r>
        <w:rPr>
          <w:rFonts w:ascii="Times New Roman" w:hAnsi="Times New Roman" w:cs="Times New Roman"/>
          <w:i/>
          <w:sz w:val="24"/>
          <w:szCs w:val="24"/>
        </w:rPr>
        <w:t>Non-Response Bias</w:t>
      </w:r>
    </w:p>
    <w:p w14:paraId="3A10AEBE" w14:textId="237663DB" w:rsidR="00261E55" w:rsidRDefault="00261E55" w:rsidP="00261E55">
      <w:pPr>
        <w:spacing w:after="0" w:line="480" w:lineRule="auto"/>
        <w:rPr>
          <w:rFonts w:ascii="Times New Roman" w:hAnsi="Times New Roman" w:cs="Times New Roman"/>
          <w:sz w:val="24"/>
          <w:szCs w:val="24"/>
        </w:rPr>
      </w:pPr>
      <w:r w:rsidRPr="00E53FA5">
        <w:rPr>
          <w:rFonts w:ascii="Times New Roman" w:hAnsi="Times New Roman" w:cs="Times New Roman"/>
          <w:sz w:val="24"/>
          <w:szCs w:val="24"/>
        </w:rPr>
        <w:t xml:space="preserve">NORC will </w:t>
      </w:r>
      <w:r>
        <w:rPr>
          <w:rFonts w:ascii="Times New Roman" w:hAnsi="Times New Roman" w:cs="Times New Roman"/>
          <w:sz w:val="24"/>
          <w:szCs w:val="24"/>
        </w:rPr>
        <w:t xml:space="preserve">review data collection efforts and determine if there are any differential response rates between demographic groups (e.g., race/ethnicity). If there are noticeable differences in response rates between domains of interest, targeted outreach and survey follow-up may be implemented to increase response rates as needed. Continued follow-up is a standard protocol for our telephone interview process. At the end of each year of the survey, NORC will review the differences in demographics between the respondents and nonrespondents and determine if any adjustments in the data collection protocol should be </w:t>
      </w:r>
      <w:r w:rsidR="00E10E37">
        <w:rPr>
          <w:rFonts w:ascii="Times New Roman" w:hAnsi="Times New Roman" w:cs="Times New Roman"/>
          <w:sz w:val="24"/>
          <w:szCs w:val="24"/>
        </w:rPr>
        <w:t>made</w:t>
      </w:r>
      <w:r>
        <w:rPr>
          <w:rFonts w:ascii="Times New Roman" w:hAnsi="Times New Roman" w:cs="Times New Roman"/>
          <w:sz w:val="24"/>
          <w:szCs w:val="24"/>
        </w:rPr>
        <w:t xml:space="preserve"> (e.g., increase the number of call-backs to women).</w:t>
      </w:r>
    </w:p>
    <w:p w14:paraId="0EDAE25F" w14:textId="77777777" w:rsidR="00990C8F" w:rsidRPr="00627CA2" w:rsidRDefault="00990C8F" w:rsidP="00685097">
      <w:pPr>
        <w:spacing w:after="0" w:line="480" w:lineRule="auto"/>
        <w:rPr>
          <w:rFonts w:ascii="Times New Roman" w:hAnsi="Times New Roman" w:cs="Times New Roman"/>
          <w:sz w:val="24"/>
          <w:szCs w:val="24"/>
        </w:rPr>
      </w:pPr>
    </w:p>
    <w:p w14:paraId="1AE07DD4" w14:textId="781D236D" w:rsidR="009D070B" w:rsidRPr="00627CA2" w:rsidRDefault="0001230C" w:rsidP="00685097">
      <w:pPr>
        <w:pStyle w:val="Heading2"/>
        <w:spacing w:line="480" w:lineRule="auto"/>
        <w:rPr>
          <w:rFonts w:ascii="Times New Roman" w:hAnsi="Times New Roman"/>
          <w:szCs w:val="24"/>
        </w:rPr>
      </w:pPr>
      <w:bookmarkStart w:id="7" w:name="_Toc453670008"/>
      <w:r w:rsidRPr="00627CA2">
        <w:rPr>
          <w:rFonts w:ascii="Times New Roman" w:hAnsi="Times New Roman"/>
          <w:szCs w:val="24"/>
        </w:rPr>
        <w:t>Test of Procedures or Methods to be Undertaken</w:t>
      </w:r>
      <w:bookmarkEnd w:id="7"/>
    </w:p>
    <w:p w14:paraId="6D8C1F38" w14:textId="09BA7261" w:rsidR="004E13D5" w:rsidRPr="00627CA2" w:rsidRDefault="004E13D5"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Cognitive interviewing is a process for pre-testing survey instruments such that problematic questions may be identified and adjusted before fielding the questionnaire to the full sample.  Both the English language and Spanish language versions of the instrument were cognitively tested to assess the clarity of questions and to ensure respondents could provide answers in the way the survey intended. </w:t>
      </w:r>
    </w:p>
    <w:p w14:paraId="50C2A8F6" w14:textId="77777777" w:rsidR="004E13D5" w:rsidRPr="00627CA2" w:rsidRDefault="004E13D5" w:rsidP="00685097">
      <w:pPr>
        <w:spacing w:after="0" w:line="480" w:lineRule="auto"/>
        <w:rPr>
          <w:rFonts w:ascii="Times New Roman" w:hAnsi="Times New Roman" w:cs="Times New Roman"/>
          <w:b/>
          <w:sz w:val="24"/>
          <w:szCs w:val="24"/>
        </w:rPr>
      </w:pPr>
      <w:bookmarkStart w:id="8" w:name="_Toc423600830"/>
    </w:p>
    <w:p w14:paraId="61DC1C2F" w14:textId="7059BFA9" w:rsidR="004E13D5" w:rsidRPr="00627CA2" w:rsidRDefault="004E13D5" w:rsidP="00685097">
      <w:pPr>
        <w:spacing w:after="0" w:line="480" w:lineRule="auto"/>
        <w:rPr>
          <w:rFonts w:ascii="Times New Roman" w:hAnsi="Times New Roman" w:cs="Times New Roman"/>
          <w:b/>
          <w:sz w:val="24"/>
          <w:szCs w:val="24"/>
        </w:rPr>
      </w:pPr>
      <w:r w:rsidRPr="00627CA2">
        <w:rPr>
          <w:rFonts w:ascii="Times New Roman" w:hAnsi="Times New Roman" w:cs="Times New Roman"/>
          <w:b/>
          <w:sz w:val="24"/>
          <w:szCs w:val="24"/>
        </w:rPr>
        <w:t>Cognitive Test of the English Language Instrument</w:t>
      </w:r>
    </w:p>
    <w:bookmarkEnd w:id="8"/>
    <w:p w14:paraId="5619462F" w14:textId="701D684E" w:rsidR="001F240A" w:rsidRPr="00627CA2" w:rsidRDefault="00E53FA5"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CDC contracted with </w:t>
      </w:r>
      <w:r w:rsidR="004E13D5" w:rsidRPr="00627CA2">
        <w:rPr>
          <w:rFonts w:ascii="Times New Roman" w:hAnsi="Times New Roman" w:cs="Times New Roman"/>
          <w:sz w:val="24"/>
          <w:szCs w:val="24"/>
        </w:rPr>
        <w:t>SciMetrika, LLC</w:t>
      </w:r>
      <w:r w:rsidR="000777E5" w:rsidRPr="00627CA2">
        <w:rPr>
          <w:rStyle w:val="FootnoteReference"/>
          <w:rFonts w:ascii="Times New Roman" w:hAnsi="Times New Roman" w:cs="Times New Roman"/>
          <w:sz w:val="24"/>
          <w:szCs w:val="24"/>
        </w:rPr>
        <w:footnoteReference w:id="5"/>
      </w:r>
      <w:r w:rsidR="004E13D5" w:rsidRPr="00627CA2">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4E13D5" w:rsidRPr="00627CA2">
        <w:rPr>
          <w:rFonts w:ascii="Times New Roman" w:hAnsi="Times New Roman" w:cs="Times New Roman"/>
          <w:sz w:val="24"/>
          <w:szCs w:val="24"/>
        </w:rPr>
        <w:t>conducted a pre-test of the English language instrument with nine low-income women from central North Carolina counties</w:t>
      </w:r>
      <w:r w:rsidR="001F240A" w:rsidRPr="00627CA2">
        <w:rPr>
          <w:rFonts w:ascii="Times New Roman" w:hAnsi="Times New Roman" w:cs="Times New Roman"/>
          <w:sz w:val="24"/>
          <w:szCs w:val="24"/>
        </w:rPr>
        <w:t>. Participants in the pre-test received a $50 gift card incentive for their participation in the cognitive interview.</w:t>
      </w:r>
    </w:p>
    <w:p w14:paraId="65204623" w14:textId="77777777" w:rsidR="001F240A" w:rsidRPr="00627CA2" w:rsidRDefault="001F240A" w:rsidP="00685097">
      <w:pPr>
        <w:spacing w:after="0" w:line="480" w:lineRule="auto"/>
        <w:rPr>
          <w:rFonts w:ascii="Times New Roman" w:hAnsi="Times New Roman" w:cs="Times New Roman"/>
          <w:sz w:val="24"/>
          <w:szCs w:val="24"/>
        </w:rPr>
      </w:pPr>
    </w:p>
    <w:p w14:paraId="2AACC4A8" w14:textId="1A620745" w:rsidR="0072557C" w:rsidRPr="00627CA2" w:rsidRDefault="004E13D5" w:rsidP="00685097">
      <w:pPr>
        <w:spacing w:after="0" w:line="480" w:lineRule="auto"/>
        <w:rPr>
          <w:rFonts w:ascii="Times New Roman" w:hAnsi="Times New Roman" w:cs="Times New Roman"/>
          <w:sz w:val="24"/>
          <w:szCs w:val="24"/>
        </w:rPr>
      </w:pPr>
      <w:bookmarkStart w:id="9" w:name="_Toc349551608"/>
      <w:bookmarkStart w:id="10" w:name="_Toc349551679"/>
      <w:bookmarkStart w:id="11" w:name="_Toc349553950"/>
      <w:bookmarkStart w:id="12" w:name="_Toc349554039"/>
      <w:bookmarkStart w:id="13" w:name="_Toc349563428"/>
      <w:bookmarkStart w:id="14" w:name="_Toc349575724"/>
      <w:bookmarkEnd w:id="9"/>
      <w:bookmarkEnd w:id="10"/>
      <w:bookmarkEnd w:id="11"/>
      <w:bookmarkEnd w:id="12"/>
      <w:bookmarkEnd w:id="13"/>
      <w:bookmarkEnd w:id="14"/>
      <w:r w:rsidRPr="00627CA2">
        <w:rPr>
          <w:rFonts w:ascii="Times New Roman" w:hAnsi="Times New Roman" w:cs="Times New Roman"/>
          <w:sz w:val="24"/>
          <w:szCs w:val="24"/>
        </w:rPr>
        <w:t xml:space="preserve">All interviews </w:t>
      </w:r>
      <w:r w:rsidR="001F240A" w:rsidRPr="00627CA2">
        <w:rPr>
          <w:rFonts w:ascii="Times New Roman" w:hAnsi="Times New Roman" w:cs="Times New Roman"/>
          <w:sz w:val="24"/>
          <w:szCs w:val="24"/>
        </w:rPr>
        <w:t>were</w:t>
      </w:r>
      <w:r w:rsidRPr="00627CA2">
        <w:rPr>
          <w:rFonts w:ascii="Times New Roman" w:hAnsi="Times New Roman" w:cs="Times New Roman"/>
          <w:sz w:val="24"/>
          <w:szCs w:val="24"/>
        </w:rPr>
        <w:t xml:space="preserve"> completed in</w:t>
      </w:r>
      <w:r w:rsidR="00DF51A5">
        <w:rPr>
          <w:rFonts w:ascii="Times New Roman" w:hAnsi="Times New Roman" w:cs="Times New Roman"/>
          <w:sz w:val="24"/>
          <w:szCs w:val="24"/>
        </w:rPr>
        <w:t xml:space="preserve"> </w:t>
      </w:r>
      <w:r w:rsidRPr="00627CA2">
        <w:rPr>
          <w:rFonts w:ascii="Times New Roman" w:hAnsi="Times New Roman" w:cs="Times New Roman"/>
          <w:sz w:val="24"/>
          <w:szCs w:val="24"/>
        </w:rPr>
        <w:t>person</w:t>
      </w:r>
      <w:r w:rsidR="001F240A" w:rsidRPr="00627CA2">
        <w:rPr>
          <w:rFonts w:ascii="Times New Roman" w:hAnsi="Times New Roman" w:cs="Times New Roman"/>
          <w:sz w:val="24"/>
          <w:szCs w:val="24"/>
        </w:rPr>
        <w:t xml:space="preserve"> with a trained cognitive interviewer. </w:t>
      </w:r>
      <w:r w:rsidR="0072557C" w:rsidRPr="00627CA2">
        <w:rPr>
          <w:rFonts w:ascii="Times New Roman" w:hAnsi="Times New Roman" w:cs="Times New Roman"/>
          <w:sz w:val="24"/>
          <w:szCs w:val="24"/>
        </w:rPr>
        <w:t>Respondents read and responded to each question, providing a rating of clarity (clear or unclear) and difficulty in answering. If a respondent indicated that a question was not clear or difficult to answer, the interviewer followed up with additional questions to probe what made the question unclear or difficult to answer. Questions that were identified as unclear or difficult to answer were reviewed and revised, as approved by CDC.</w:t>
      </w:r>
    </w:p>
    <w:p w14:paraId="36A90F91" w14:textId="77777777" w:rsidR="004E13D5" w:rsidRPr="00627CA2" w:rsidRDefault="004E13D5" w:rsidP="00685097">
      <w:pPr>
        <w:spacing w:after="0" w:line="480" w:lineRule="auto"/>
        <w:rPr>
          <w:rFonts w:ascii="Times New Roman" w:hAnsi="Times New Roman" w:cs="Times New Roman"/>
          <w:b/>
          <w:sz w:val="24"/>
          <w:szCs w:val="24"/>
        </w:rPr>
      </w:pPr>
      <w:bookmarkStart w:id="15" w:name="_Toc423600832"/>
    </w:p>
    <w:bookmarkEnd w:id="15"/>
    <w:p w14:paraId="7B4673B8" w14:textId="6BB41ECD" w:rsidR="004E13D5" w:rsidRPr="00627CA2" w:rsidRDefault="004E13D5" w:rsidP="00685097">
      <w:pPr>
        <w:spacing w:after="0" w:line="480" w:lineRule="auto"/>
        <w:rPr>
          <w:rFonts w:ascii="Times New Roman" w:hAnsi="Times New Roman" w:cs="Times New Roman"/>
          <w:b/>
          <w:sz w:val="24"/>
          <w:szCs w:val="24"/>
        </w:rPr>
      </w:pPr>
      <w:r w:rsidRPr="00627CA2">
        <w:rPr>
          <w:rFonts w:ascii="Times New Roman" w:hAnsi="Times New Roman" w:cs="Times New Roman"/>
          <w:b/>
          <w:sz w:val="24"/>
          <w:szCs w:val="24"/>
        </w:rPr>
        <w:t>Cognitive Test of the Spanish Language Instrument</w:t>
      </w:r>
    </w:p>
    <w:p w14:paraId="26978760" w14:textId="7AFE5C44" w:rsidR="008C2202" w:rsidRPr="00627CA2" w:rsidRDefault="008C2202"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NORC conducted a pre-test of the Spanish instrument. The primary goal of the pre-test was to ensure that Spanish-speaking respondents understood the Spanish language items in the same manner that </w:t>
      </w:r>
      <w:r w:rsidR="001972A6" w:rsidRPr="00627CA2">
        <w:rPr>
          <w:rFonts w:ascii="Times New Roman" w:hAnsi="Times New Roman" w:cs="Times New Roman"/>
          <w:sz w:val="24"/>
          <w:szCs w:val="24"/>
        </w:rPr>
        <w:t>English-speaking</w:t>
      </w:r>
      <w:r w:rsidR="00057FB4" w:rsidRPr="00627CA2">
        <w:rPr>
          <w:rFonts w:ascii="Times New Roman" w:hAnsi="Times New Roman" w:cs="Times New Roman"/>
          <w:sz w:val="24"/>
          <w:szCs w:val="24"/>
        </w:rPr>
        <w:t xml:space="preserve"> respondents understood the corresponding English language survey items. NORC also assessed equivalency of terms and concepts across English and Spanish.</w:t>
      </w:r>
    </w:p>
    <w:p w14:paraId="5C10CE70" w14:textId="77777777" w:rsidR="00057FB4" w:rsidRPr="00627CA2" w:rsidRDefault="00057FB4" w:rsidP="00685097">
      <w:pPr>
        <w:spacing w:after="0" w:line="480" w:lineRule="auto"/>
        <w:rPr>
          <w:rFonts w:ascii="Times New Roman" w:hAnsi="Times New Roman" w:cs="Times New Roman"/>
          <w:sz w:val="24"/>
          <w:szCs w:val="24"/>
        </w:rPr>
      </w:pPr>
    </w:p>
    <w:p w14:paraId="5EA8892C" w14:textId="0C623C5A" w:rsidR="00057FB4" w:rsidRPr="00627CA2" w:rsidRDefault="00057FB4"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Nine women participated in the pre-test of the Spanish language instrument. The respondents ranged in age from 27 to 56 and represented a variety of Hispanic origins. All interviews were conducted in</w:t>
      </w:r>
      <w:r w:rsidR="00DF51A5">
        <w:rPr>
          <w:rFonts w:ascii="Times New Roman" w:hAnsi="Times New Roman" w:cs="Times New Roman"/>
          <w:sz w:val="24"/>
          <w:szCs w:val="24"/>
        </w:rPr>
        <w:t xml:space="preserve"> </w:t>
      </w:r>
      <w:r w:rsidRPr="00627CA2">
        <w:rPr>
          <w:rFonts w:ascii="Times New Roman" w:hAnsi="Times New Roman" w:cs="Times New Roman"/>
          <w:sz w:val="24"/>
          <w:szCs w:val="24"/>
        </w:rPr>
        <w:t xml:space="preserve">person. Respondents were compensated $40 for participating in the pre-test. </w:t>
      </w:r>
      <w:r w:rsidR="0095264F" w:rsidRPr="00627CA2">
        <w:rPr>
          <w:rFonts w:ascii="Times New Roman" w:hAnsi="Times New Roman" w:cs="Times New Roman"/>
          <w:sz w:val="24"/>
          <w:szCs w:val="24"/>
        </w:rPr>
        <w:t>Trained cognitive interviewers who were also native Spanish speakers conducted the interview</w:t>
      </w:r>
      <w:r w:rsidRPr="00627CA2">
        <w:rPr>
          <w:rFonts w:ascii="Times New Roman" w:hAnsi="Times New Roman" w:cs="Times New Roman"/>
          <w:sz w:val="24"/>
          <w:szCs w:val="24"/>
        </w:rPr>
        <w:t xml:space="preserve">. </w:t>
      </w:r>
    </w:p>
    <w:p w14:paraId="4D386EC5" w14:textId="77777777" w:rsidR="00057FB4" w:rsidRPr="00627CA2" w:rsidRDefault="00057FB4" w:rsidP="00685097">
      <w:pPr>
        <w:spacing w:after="0" w:line="480" w:lineRule="auto"/>
        <w:rPr>
          <w:rFonts w:ascii="Times New Roman" w:hAnsi="Times New Roman" w:cs="Times New Roman"/>
          <w:sz w:val="24"/>
          <w:szCs w:val="24"/>
        </w:rPr>
      </w:pPr>
    </w:p>
    <w:p w14:paraId="41046483" w14:textId="1C1294FF" w:rsidR="00057FB4" w:rsidRPr="00627CA2" w:rsidRDefault="00057FB4"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 xml:space="preserve">The pre-test followed a two-item format to determine which items required further probing for the Spanish-language participants. Each respondent was asked to complete the survey and was probed on whether items were clear or unclear and whether items were easy or difficult to answer. Any items that were rated as unclear or not easy to answer were probed to ascertain what made the item unclear or difficult to answer. The cognitive interviewers probed not only for item content and vocabulary, but also for clarity of translation and issues related to syntax or cultural inequivalencies.  </w:t>
      </w:r>
    </w:p>
    <w:p w14:paraId="0FEAAF51" w14:textId="77777777" w:rsidR="00057FB4" w:rsidRPr="00627CA2" w:rsidRDefault="00057FB4" w:rsidP="00685097">
      <w:pPr>
        <w:spacing w:after="0" w:line="480" w:lineRule="auto"/>
        <w:rPr>
          <w:rFonts w:ascii="Times New Roman" w:hAnsi="Times New Roman" w:cs="Times New Roman"/>
          <w:sz w:val="24"/>
          <w:szCs w:val="24"/>
        </w:rPr>
      </w:pPr>
    </w:p>
    <w:p w14:paraId="39545E23" w14:textId="7BE2C1D8" w:rsidR="00057FB4" w:rsidRPr="00627CA2" w:rsidRDefault="00057FB4" w:rsidP="00685097">
      <w:pPr>
        <w:spacing w:after="0" w:line="480" w:lineRule="auto"/>
        <w:rPr>
          <w:rFonts w:ascii="Times New Roman" w:hAnsi="Times New Roman" w:cs="Times New Roman"/>
          <w:sz w:val="24"/>
          <w:szCs w:val="24"/>
        </w:rPr>
      </w:pPr>
      <w:r w:rsidRPr="00627CA2">
        <w:rPr>
          <w:rFonts w:ascii="Times New Roman" w:hAnsi="Times New Roman" w:cs="Times New Roman"/>
          <w:sz w:val="24"/>
          <w:szCs w:val="24"/>
        </w:rPr>
        <w:t>Based on the results of the pre-test, translations for several items were update</w:t>
      </w:r>
      <w:r w:rsidR="00742B03" w:rsidRPr="00627CA2">
        <w:rPr>
          <w:rFonts w:ascii="Times New Roman" w:hAnsi="Times New Roman" w:cs="Times New Roman"/>
          <w:sz w:val="24"/>
          <w:szCs w:val="24"/>
        </w:rPr>
        <w:t>d</w:t>
      </w:r>
      <w:r w:rsidRPr="00627CA2">
        <w:rPr>
          <w:rFonts w:ascii="Times New Roman" w:hAnsi="Times New Roman" w:cs="Times New Roman"/>
          <w:sz w:val="24"/>
          <w:szCs w:val="24"/>
        </w:rPr>
        <w:t xml:space="preserve"> to a more common, recognizable term or phrase. In addition, the term for “Refused” was redefined as “No Contesto” on the Spanish instrument.</w:t>
      </w:r>
    </w:p>
    <w:p w14:paraId="76DDF70C" w14:textId="77777777" w:rsidR="0001230C" w:rsidRPr="00627CA2" w:rsidRDefault="0001230C" w:rsidP="00685097">
      <w:pPr>
        <w:spacing w:after="0" w:line="480" w:lineRule="auto"/>
        <w:rPr>
          <w:rFonts w:ascii="Times New Roman" w:hAnsi="Times New Roman" w:cs="Times New Roman"/>
          <w:sz w:val="24"/>
          <w:szCs w:val="24"/>
        </w:rPr>
      </w:pPr>
    </w:p>
    <w:p w14:paraId="06C7DDDF" w14:textId="32C7C8DB" w:rsidR="009D070B" w:rsidRPr="00627CA2" w:rsidRDefault="0001230C" w:rsidP="00685097">
      <w:pPr>
        <w:pStyle w:val="Heading2"/>
        <w:spacing w:line="480" w:lineRule="auto"/>
        <w:rPr>
          <w:rFonts w:ascii="Times New Roman" w:hAnsi="Times New Roman"/>
          <w:szCs w:val="24"/>
        </w:rPr>
      </w:pPr>
      <w:bookmarkStart w:id="16" w:name="_Toc453670009"/>
      <w:r w:rsidRPr="00627CA2">
        <w:rPr>
          <w:rFonts w:ascii="Times New Roman" w:hAnsi="Times New Roman"/>
          <w:szCs w:val="24"/>
        </w:rPr>
        <w:t>Individuals Consulted on Statistical Aspects and Individuals Collecting and/or Analyzing Data</w:t>
      </w:r>
      <w:bookmarkEnd w:id="16"/>
    </w:p>
    <w:p w14:paraId="68217DAC" w14:textId="77777777" w:rsidR="005714D8" w:rsidRPr="00627CA2" w:rsidRDefault="005714D8" w:rsidP="00685097">
      <w:pPr>
        <w:tabs>
          <w:tab w:val="left" w:leader="dot" w:pos="7200"/>
        </w:tabs>
        <w:spacing w:after="0" w:line="480" w:lineRule="auto"/>
        <w:rPr>
          <w:rFonts w:ascii="Times New Roman" w:hAnsi="Times New Roman" w:cs="Times New Roman"/>
          <w:sz w:val="24"/>
          <w:szCs w:val="24"/>
        </w:rPr>
      </w:pPr>
      <w:r w:rsidRPr="00627CA2">
        <w:rPr>
          <w:rFonts w:ascii="Times New Roman" w:hAnsi="Times New Roman" w:cs="Times New Roman"/>
          <w:sz w:val="24"/>
          <w:szCs w:val="24"/>
        </w:rPr>
        <w:t>The following individuals inside the agency have been consulted on the design and statistical aspects of this information collection as well as plans for data analysis:</w:t>
      </w:r>
    </w:p>
    <w:p w14:paraId="717652A7" w14:textId="165984BF" w:rsidR="00A16D23" w:rsidRPr="00627CA2" w:rsidRDefault="00A16D23"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Amy DeGroff, PhD, MPH</w:t>
      </w:r>
    </w:p>
    <w:p w14:paraId="634DC57B" w14:textId="58B51BBD" w:rsidR="00A16D23" w:rsidRPr="00627CA2" w:rsidRDefault="00A16D23"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Program Evaluator </w:t>
      </w:r>
    </w:p>
    <w:p w14:paraId="0182AEF0" w14:textId="77777777" w:rsidR="00BA1487" w:rsidRPr="002F33B3" w:rsidRDefault="00BA1487" w:rsidP="00A264E0">
      <w:pPr>
        <w:spacing w:after="0" w:line="240" w:lineRule="auto"/>
        <w:ind w:left="720"/>
        <w:rPr>
          <w:rFonts w:ascii="Times New Roman" w:hAnsi="Times New Roman" w:cs="Times New Roman"/>
          <w:sz w:val="24"/>
          <w:szCs w:val="24"/>
        </w:rPr>
      </w:pPr>
      <w:r w:rsidRPr="002F33B3">
        <w:rPr>
          <w:rFonts w:ascii="Times New Roman" w:hAnsi="Times New Roman" w:cs="Times New Roman"/>
          <w:sz w:val="24"/>
          <w:szCs w:val="24"/>
        </w:rPr>
        <w:t>Division of Cancer Prevention and Control</w:t>
      </w:r>
    </w:p>
    <w:p w14:paraId="0D7DD1D5" w14:textId="77777777" w:rsidR="00BA1487" w:rsidRPr="002F33B3" w:rsidRDefault="00BA1487" w:rsidP="00A264E0">
      <w:pPr>
        <w:spacing w:after="0" w:line="240" w:lineRule="auto"/>
        <w:ind w:left="720"/>
        <w:rPr>
          <w:rFonts w:ascii="Times New Roman" w:hAnsi="Times New Roman" w:cs="Times New Roman"/>
          <w:sz w:val="24"/>
          <w:szCs w:val="24"/>
        </w:rPr>
      </w:pPr>
      <w:r w:rsidRPr="002F33B3">
        <w:rPr>
          <w:rFonts w:ascii="Times New Roman" w:hAnsi="Times New Roman" w:cs="Times New Roman"/>
          <w:sz w:val="24"/>
          <w:szCs w:val="24"/>
        </w:rPr>
        <w:t>National Center for Chronic Disease Prevention and Health Promotion</w:t>
      </w:r>
    </w:p>
    <w:p w14:paraId="2EE7850A" w14:textId="77777777" w:rsidR="00BA1487" w:rsidRPr="002F33B3" w:rsidRDefault="00BA1487" w:rsidP="00A264E0">
      <w:pPr>
        <w:spacing w:after="0" w:line="240" w:lineRule="auto"/>
        <w:ind w:left="720"/>
        <w:rPr>
          <w:rFonts w:ascii="Times New Roman" w:hAnsi="Times New Roman" w:cs="Times New Roman"/>
          <w:sz w:val="24"/>
          <w:szCs w:val="24"/>
        </w:rPr>
      </w:pPr>
      <w:r w:rsidRPr="002F33B3">
        <w:rPr>
          <w:rFonts w:ascii="Times New Roman" w:hAnsi="Times New Roman" w:cs="Times New Roman"/>
          <w:sz w:val="24"/>
          <w:szCs w:val="24"/>
        </w:rPr>
        <w:t>Centers for Disease Control and Prevention</w:t>
      </w:r>
    </w:p>
    <w:p w14:paraId="78B72F73" w14:textId="4F7C1844" w:rsidR="00A16D23" w:rsidRPr="00627CA2" w:rsidRDefault="00A16D23"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770-488-</w:t>
      </w:r>
      <w:r>
        <w:rPr>
          <w:rFonts w:ascii="Times New Roman" w:hAnsi="Times New Roman" w:cs="Times New Roman"/>
          <w:sz w:val="24"/>
          <w:szCs w:val="24"/>
        </w:rPr>
        <w:t>2415</w:t>
      </w:r>
    </w:p>
    <w:p w14:paraId="4AE294E1" w14:textId="41A3542B" w:rsidR="00A16D23" w:rsidRDefault="00BB695C"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9" w:history="1">
        <w:r w:rsidR="00A16D23" w:rsidRPr="000A5BE7">
          <w:rPr>
            <w:rStyle w:val="Hyperlink"/>
            <w:rFonts w:ascii="Times New Roman" w:hAnsi="Times New Roman" w:cs="Times New Roman"/>
            <w:sz w:val="24"/>
            <w:szCs w:val="24"/>
          </w:rPr>
          <w:t>adegroff@cdc.gov</w:t>
        </w:r>
      </w:hyperlink>
    </w:p>
    <w:p w14:paraId="66BBBC19" w14:textId="77777777" w:rsidR="00A16D23" w:rsidRDefault="00A16D23"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rPr>
          <w:rFonts w:ascii="Times New Roman" w:hAnsi="Times New Roman" w:cs="Times New Roman"/>
          <w:sz w:val="24"/>
          <w:szCs w:val="24"/>
        </w:rPr>
      </w:pPr>
    </w:p>
    <w:p w14:paraId="4B2BEB4A" w14:textId="5CCDB505" w:rsidR="00A16D23"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Chunyu Li</w:t>
      </w:r>
      <w:r w:rsidR="00BA1487">
        <w:rPr>
          <w:rFonts w:ascii="Times New Roman" w:hAnsi="Times New Roman" w:cs="Times New Roman"/>
          <w:sz w:val="24"/>
          <w:szCs w:val="24"/>
        </w:rPr>
        <w:t>, PhD</w:t>
      </w:r>
    </w:p>
    <w:p w14:paraId="64983907" w14:textId="3ED0B9BA" w:rsidR="00BA1487" w:rsidRDefault="00BA1487" w:rsidP="00A264E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Health Economist</w:t>
      </w:r>
    </w:p>
    <w:p w14:paraId="02E79981" w14:textId="77777777" w:rsidR="00BA1487" w:rsidRPr="002F33B3" w:rsidRDefault="00BA1487" w:rsidP="00A264E0">
      <w:pPr>
        <w:spacing w:after="0" w:line="240" w:lineRule="auto"/>
        <w:ind w:left="720"/>
        <w:rPr>
          <w:rFonts w:ascii="Times New Roman" w:hAnsi="Times New Roman" w:cs="Times New Roman"/>
          <w:sz w:val="24"/>
          <w:szCs w:val="24"/>
        </w:rPr>
      </w:pPr>
      <w:r w:rsidRPr="002F33B3">
        <w:rPr>
          <w:rFonts w:ascii="Times New Roman" w:hAnsi="Times New Roman" w:cs="Times New Roman"/>
          <w:sz w:val="24"/>
          <w:szCs w:val="24"/>
        </w:rPr>
        <w:t>Division of Cancer Prevention and Control</w:t>
      </w:r>
    </w:p>
    <w:p w14:paraId="09F8A2ED" w14:textId="77777777" w:rsidR="00BA1487" w:rsidRPr="002F33B3" w:rsidRDefault="00BA1487" w:rsidP="00A264E0">
      <w:pPr>
        <w:spacing w:after="0" w:line="240" w:lineRule="auto"/>
        <w:ind w:left="720"/>
        <w:rPr>
          <w:rFonts w:ascii="Times New Roman" w:hAnsi="Times New Roman" w:cs="Times New Roman"/>
          <w:sz w:val="24"/>
          <w:szCs w:val="24"/>
        </w:rPr>
      </w:pPr>
      <w:r w:rsidRPr="002F33B3">
        <w:rPr>
          <w:rFonts w:ascii="Times New Roman" w:hAnsi="Times New Roman" w:cs="Times New Roman"/>
          <w:sz w:val="24"/>
          <w:szCs w:val="24"/>
        </w:rPr>
        <w:t>National Center for Chronic Disease Prevention and Health Promotion</w:t>
      </w:r>
    </w:p>
    <w:p w14:paraId="228F0AA6" w14:textId="77777777" w:rsidR="00BA1487" w:rsidRPr="002F33B3" w:rsidRDefault="00BA1487" w:rsidP="00A264E0">
      <w:pPr>
        <w:spacing w:after="0" w:line="240" w:lineRule="auto"/>
        <w:ind w:left="720"/>
        <w:rPr>
          <w:rFonts w:ascii="Times New Roman" w:hAnsi="Times New Roman" w:cs="Times New Roman"/>
          <w:sz w:val="24"/>
          <w:szCs w:val="24"/>
        </w:rPr>
      </w:pPr>
      <w:r w:rsidRPr="002F33B3">
        <w:rPr>
          <w:rFonts w:ascii="Times New Roman" w:hAnsi="Times New Roman" w:cs="Times New Roman"/>
          <w:sz w:val="24"/>
          <w:szCs w:val="24"/>
        </w:rPr>
        <w:t>Centers for Disease Control and Prevention</w:t>
      </w:r>
    </w:p>
    <w:p w14:paraId="0D301958" w14:textId="4A5F5560" w:rsidR="00BA1487" w:rsidRPr="00BA1487"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770-488-4866</w:t>
      </w:r>
    </w:p>
    <w:p w14:paraId="6EEE5869" w14:textId="739D21D4" w:rsidR="00A16D23" w:rsidRDefault="00BB695C"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0" w:history="1">
        <w:r w:rsidR="00A264E0" w:rsidRPr="000A5BE7">
          <w:rPr>
            <w:rStyle w:val="Hyperlink"/>
            <w:rFonts w:ascii="Times New Roman" w:hAnsi="Times New Roman" w:cs="Times New Roman"/>
            <w:sz w:val="24"/>
            <w:szCs w:val="24"/>
          </w:rPr>
          <w:t>hsf6@cdc.gov</w:t>
        </w:r>
      </w:hyperlink>
    </w:p>
    <w:p w14:paraId="3AA2ED54" w14:textId="77777777" w:rsidR="00BA1487" w:rsidRDefault="00BA1487" w:rsidP="00BA148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14:paraId="19150DB6" w14:textId="77777777" w:rsidR="00BA1487" w:rsidRPr="00BA1487" w:rsidRDefault="00BA1487"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A1487">
        <w:rPr>
          <w:rFonts w:ascii="Times New Roman" w:hAnsi="Times New Roman" w:cs="Times New Roman"/>
          <w:sz w:val="24"/>
          <w:szCs w:val="24"/>
        </w:rPr>
        <w:t>Ketra Rice, PhD, MS</w:t>
      </w:r>
    </w:p>
    <w:p w14:paraId="57BBC506" w14:textId="77777777" w:rsidR="00BA1487" w:rsidRPr="00BA1487" w:rsidRDefault="00BA1487"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A1487">
        <w:rPr>
          <w:rFonts w:ascii="Times New Roman" w:hAnsi="Times New Roman" w:cs="Times New Roman"/>
          <w:sz w:val="24"/>
          <w:szCs w:val="24"/>
        </w:rPr>
        <w:t>Prevention Effectiveness Fellow</w:t>
      </w:r>
    </w:p>
    <w:p w14:paraId="59826313" w14:textId="77777777" w:rsidR="00BA1487" w:rsidRPr="00BA1487" w:rsidRDefault="00BA1487"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A1487">
        <w:rPr>
          <w:rFonts w:ascii="Times New Roman" w:hAnsi="Times New Roman" w:cs="Times New Roman"/>
          <w:sz w:val="24"/>
          <w:szCs w:val="24"/>
        </w:rPr>
        <w:t>Division of Cancer Prevention and Control</w:t>
      </w:r>
    </w:p>
    <w:p w14:paraId="4E2A1543" w14:textId="7260B78C" w:rsidR="00A264E0" w:rsidRDefault="00A264E0" w:rsidP="00A264E0">
      <w:pPr>
        <w:spacing w:after="0" w:line="240" w:lineRule="auto"/>
        <w:ind w:left="720"/>
        <w:rPr>
          <w:rFonts w:ascii="Times New Roman" w:hAnsi="Times New Roman" w:cs="Times New Roman"/>
          <w:sz w:val="24"/>
          <w:szCs w:val="24"/>
        </w:rPr>
      </w:pPr>
      <w:r w:rsidRPr="002F33B3">
        <w:rPr>
          <w:rFonts w:ascii="Times New Roman" w:hAnsi="Times New Roman" w:cs="Times New Roman"/>
          <w:sz w:val="24"/>
          <w:szCs w:val="24"/>
        </w:rPr>
        <w:t>National Center for Chronic Disease Prevention and Health Promotion</w:t>
      </w:r>
    </w:p>
    <w:p w14:paraId="7A1FBF51" w14:textId="77777777" w:rsidR="00BA1487" w:rsidRPr="00BA1487" w:rsidRDefault="00BA1487"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BA1487">
        <w:rPr>
          <w:rFonts w:ascii="Times New Roman" w:hAnsi="Times New Roman" w:cs="Times New Roman"/>
          <w:sz w:val="24"/>
          <w:szCs w:val="24"/>
        </w:rPr>
        <w:t>Centers for Disease Control and Prevention</w:t>
      </w:r>
    </w:p>
    <w:p w14:paraId="02FB39B8" w14:textId="3F7688D4" w:rsidR="00BA1487" w:rsidRPr="00BA1487"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770-488-</w:t>
      </w:r>
      <w:r w:rsidR="00BA1487" w:rsidRPr="00BA1487">
        <w:rPr>
          <w:rFonts w:ascii="Times New Roman" w:hAnsi="Times New Roman" w:cs="Times New Roman"/>
          <w:sz w:val="24"/>
          <w:szCs w:val="24"/>
        </w:rPr>
        <w:t>4241</w:t>
      </w:r>
    </w:p>
    <w:p w14:paraId="0F32697B" w14:textId="3AE76074" w:rsidR="00A16D23" w:rsidRDefault="00BB695C"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1" w:history="1">
        <w:r w:rsidR="00A264E0" w:rsidRPr="000A5BE7">
          <w:rPr>
            <w:rStyle w:val="Hyperlink"/>
            <w:rFonts w:ascii="Times New Roman" w:hAnsi="Times New Roman" w:cs="Times New Roman"/>
            <w:sz w:val="24"/>
            <w:szCs w:val="24"/>
          </w:rPr>
          <w:t>wss1@cdc.gov</w:t>
        </w:r>
      </w:hyperlink>
    </w:p>
    <w:p w14:paraId="2D59B1CF" w14:textId="77777777" w:rsidR="00A264E0"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14:paraId="5B5A8945" w14:textId="77777777" w:rsidR="00A264E0" w:rsidRPr="00A264E0"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A264E0">
        <w:rPr>
          <w:rFonts w:ascii="Times New Roman" w:hAnsi="Times New Roman" w:cs="Times New Roman"/>
          <w:sz w:val="24"/>
          <w:szCs w:val="24"/>
        </w:rPr>
        <w:t>Lindsay Gressard, MEd, MPH</w:t>
      </w:r>
    </w:p>
    <w:p w14:paraId="3B51160D" w14:textId="77777777" w:rsidR="00A264E0" w:rsidRPr="00A264E0"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A264E0">
        <w:rPr>
          <w:rFonts w:ascii="Times New Roman" w:hAnsi="Times New Roman" w:cs="Times New Roman"/>
          <w:sz w:val="24"/>
          <w:szCs w:val="24"/>
        </w:rPr>
        <w:t>Presidential Management Fellow</w:t>
      </w:r>
    </w:p>
    <w:p w14:paraId="30C7BF79" w14:textId="77777777" w:rsidR="00A264E0" w:rsidRPr="00A264E0"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A264E0">
        <w:rPr>
          <w:rFonts w:ascii="Times New Roman" w:hAnsi="Times New Roman" w:cs="Times New Roman"/>
          <w:sz w:val="24"/>
          <w:szCs w:val="24"/>
        </w:rPr>
        <w:t>Division of Cancer Prevention and Control</w:t>
      </w:r>
    </w:p>
    <w:p w14:paraId="7A095B1F" w14:textId="77777777" w:rsidR="00A264E0" w:rsidRPr="00A264E0"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A264E0">
        <w:rPr>
          <w:rFonts w:ascii="Times New Roman" w:hAnsi="Times New Roman" w:cs="Times New Roman"/>
          <w:sz w:val="24"/>
          <w:szCs w:val="24"/>
        </w:rPr>
        <w:t>National Center for Chronic Disease Prevention and Health Promotion</w:t>
      </w:r>
    </w:p>
    <w:p w14:paraId="53F9B01E" w14:textId="77777777" w:rsidR="00A264E0" w:rsidRPr="00A264E0"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A264E0">
        <w:rPr>
          <w:rFonts w:ascii="Times New Roman" w:hAnsi="Times New Roman" w:cs="Times New Roman"/>
          <w:sz w:val="24"/>
          <w:szCs w:val="24"/>
        </w:rPr>
        <w:t>Centers for Disease Control and Prevention</w:t>
      </w:r>
    </w:p>
    <w:p w14:paraId="2CE6527B" w14:textId="25E3C06C" w:rsidR="00A264E0" w:rsidRPr="00A264E0"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770-</w:t>
      </w:r>
      <w:r w:rsidRPr="00A264E0">
        <w:rPr>
          <w:rFonts w:ascii="Times New Roman" w:hAnsi="Times New Roman" w:cs="Times New Roman"/>
          <w:sz w:val="24"/>
          <w:szCs w:val="24"/>
        </w:rPr>
        <w:t>488-3111</w:t>
      </w:r>
    </w:p>
    <w:p w14:paraId="596C05CD" w14:textId="0255C30A" w:rsidR="00A264E0" w:rsidRDefault="00BB695C"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2" w:history="1">
        <w:r w:rsidR="00A264E0" w:rsidRPr="000A5BE7">
          <w:rPr>
            <w:rStyle w:val="Hyperlink"/>
            <w:rFonts w:ascii="Times New Roman" w:hAnsi="Times New Roman" w:cs="Times New Roman"/>
            <w:sz w:val="24"/>
            <w:szCs w:val="24"/>
          </w:rPr>
          <w:t>LGressard@cdc.gov</w:t>
        </w:r>
      </w:hyperlink>
    </w:p>
    <w:p w14:paraId="7B6719F7" w14:textId="77777777" w:rsidR="00A264E0" w:rsidRPr="00627CA2" w:rsidRDefault="00A264E0" w:rsidP="00A264E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4"/>
          <w:szCs w:val="24"/>
        </w:rPr>
      </w:pPr>
    </w:p>
    <w:p w14:paraId="57FC729B" w14:textId="77777777" w:rsidR="005714D8" w:rsidRPr="00627CA2" w:rsidRDefault="005714D8" w:rsidP="00685097">
      <w:pPr>
        <w:tabs>
          <w:tab w:val="left" w:leader="dot" w:pos="7200"/>
        </w:tabs>
        <w:spacing w:after="0" w:line="480" w:lineRule="auto"/>
        <w:rPr>
          <w:rFonts w:ascii="Times New Roman" w:hAnsi="Times New Roman" w:cs="Times New Roman"/>
          <w:sz w:val="24"/>
          <w:szCs w:val="24"/>
        </w:rPr>
      </w:pPr>
      <w:r w:rsidRPr="00627CA2">
        <w:rPr>
          <w:rFonts w:ascii="Times New Roman" w:hAnsi="Times New Roman" w:cs="Times New Roman"/>
          <w:sz w:val="24"/>
          <w:szCs w:val="24"/>
        </w:rPr>
        <w:t>The following individuals outside of the agency have been consulted on the questionnaire development, statistical aspects of the design, and plans for data analysis:</w:t>
      </w:r>
    </w:p>
    <w:p w14:paraId="56909D73" w14:textId="77777777" w:rsidR="005714D8" w:rsidRPr="00627CA2" w:rsidRDefault="005714D8" w:rsidP="0068509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Shawn Hirsch, MPH</w:t>
      </w:r>
    </w:p>
    <w:p w14:paraId="04F51E8C" w14:textId="77777777" w:rsidR="005714D8" w:rsidRPr="00627CA2" w:rsidRDefault="005714D8" w:rsidP="0068509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Statistician/Project Manager</w:t>
      </w:r>
    </w:p>
    <w:p w14:paraId="4AA18533" w14:textId="77777777" w:rsidR="005714D8" w:rsidRPr="00627CA2" w:rsidRDefault="005714D8" w:rsidP="0068509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SciMetrika, LLC</w:t>
      </w:r>
    </w:p>
    <w:p w14:paraId="317FD30A" w14:textId="77777777" w:rsidR="005714D8" w:rsidRPr="00627CA2" w:rsidRDefault="005714D8" w:rsidP="0068509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919-354-5266</w:t>
      </w:r>
    </w:p>
    <w:p w14:paraId="0FCFF47D" w14:textId="4F69CBC0" w:rsidR="005714D8" w:rsidRPr="00627CA2" w:rsidRDefault="00BB695C" w:rsidP="0068509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3" w:history="1">
        <w:r w:rsidR="00A16D23" w:rsidRPr="000A5BE7">
          <w:rPr>
            <w:rStyle w:val="Hyperlink"/>
            <w:rFonts w:ascii="Times New Roman" w:hAnsi="Times New Roman" w:cs="Times New Roman"/>
            <w:sz w:val="24"/>
            <w:szCs w:val="24"/>
          </w:rPr>
          <w:t>Shirsch@scimetrika.com</w:t>
        </w:r>
      </w:hyperlink>
    </w:p>
    <w:p w14:paraId="37E30852" w14:textId="77777777" w:rsidR="005714D8" w:rsidRDefault="005714D8" w:rsidP="0068509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480" w:lineRule="auto"/>
        <w:rPr>
          <w:rFonts w:ascii="Times New Roman" w:hAnsi="Times New Roman" w:cs="Times New Roman"/>
          <w:sz w:val="24"/>
          <w:szCs w:val="24"/>
        </w:rPr>
      </w:pPr>
    </w:p>
    <w:p w14:paraId="2353823C" w14:textId="2CFF3C02" w:rsidR="001972A6" w:rsidRDefault="001972A6" w:rsidP="00685097">
      <w:pPr>
        <w:spacing w:after="0" w:line="480" w:lineRule="auto"/>
        <w:rPr>
          <w:rFonts w:ascii="Times New Roman" w:hAnsi="Times New Roman" w:cs="Times New Roman"/>
          <w:sz w:val="24"/>
          <w:szCs w:val="24"/>
        </w:rPr>
      </w:pPr>
      <w:r>
        <w:rPr>
          <w:rFonts w:ascii="Times New Roman" w:hAnsi="Times New Roman" w:cs="Times New Roman"/>
          <w:sz w:val="24"/>
          <w:szCs w:val="24"/>
        </w:rPr>
        <w:t>Additionally, the table below lists the NBCCEDP grantees who participated in discussions on study logistics around identifying and contacting previous NBCCEDP clients and to review the questionnaire.</w:t>
      </w:r>
    </w:p>
    <w:p w14:paraId="56ADD604" w14:textId="77777777" w:rsidR="001972A6" w:rsidRDefault="001972A6" w:rsidP="001972A6">
      <w:pPr>
        <w:spacing w:after="0" w:line="360" w:lineRule="auto"/>
        <w:rPr>
          <w:rFonts w:ascii="Times New Roman" w:hAnsi="Times New Roman" w:cs="Times New Roman"/>
          <w:sz w:val="24"/>
          <w:szCs w:val="24"/>
        </w:rPr>
      </w:pPr>
    </w:p>
    <w:p w14:paraId="5BD01110" w14:textId="1FDE0A8F" w:rsidR="001972A6" w:rsidRPr="00DA2416" w:rsidRDefault="00CD0A8A" w:rsidP="001972A6">
      <w:pPr>
        <w:spacing w:after="0" w:line="360" w:lineRule="auto"/>
        <w:rPr>
          <w:rFonts w:ascii="Times New Roman" w:hAnsi="Times New Roman" w:cs="Times New Roman"/>
          <w:b/>
          <w:sz w:val="24"/>
          <w:szCs w:val="24"/>
        </w:rPr>
      </w:pPr>
      <w:r>
        <w:rPr>
          <w:rFonts w:ascii="Times New Roman" w:hAnsi="Times New Roman" w:cs="Times New Roman"/>
          <w:b/>
          <w:sz w:val="24"/>
          <w:szCs w:val="24"/>
        </w:rPr>
        <w:t>Table 4</w:t>
      </w:r>
      <w:r w:rsidR="001972A6" w:rsidRPr="00DA2416">
        <w:rPr>
          <w:rFonts w:ascii="Times New Roman" w:hAnsi="Times New Roman" w:cs="Times New Roman"/>
          <w:b/>
          <w:sz w:val="24"/>
          <w:szCs w:val="24"/>
        </w:rPr>
        <w:t>. State NBCCEDP representatives</w:t>
      </w:r>
    </w:p>
    <w:tbl>
      <w:tblPr>
        <w:tblStyle w:val="TableGrid"/>
        <w:tblW w:w="0" w:type="auto"/>
        <w:jc w:val="center"/>
        <w:tblLayout w:type="fixed"/>
        <w:tblLook w:val="04A0" w:firstRow="1" w:lastRow="0" w:firstColumn="1" w:lastColumn="0" w:noHBand="0" w:noVBand="1"/>
      </w:tblPr>
      <w:tblGrid>
        <w:gridCol w:w="2335"/>
        <w:gridCol w:w="2520"/>
        <w:gridCol w:w="3510"/>
      </w:tblGrid>
      <w:tr w:rsidR="001972A6" w:rsidRPr="00D4329A" w14:paraId="090E1D69" w14:textId="77777777" w:rsidTr="008B3C9E">
        <w:trPr>
          <w:trHeight w:val="305"/>
          <w:jc w:val="center"/>
        </w:trPr>
        <w:tc>
          <w:tcPr>
            <w:tcW w:w="2335" w:type="dxa"/>
            <w:shd w:val="clear" w:color="auto" w:fill="BFBFBF" w:themeFill="background1" w:themeFillShade="BF"/>
          </w:tcPr>
          <w:p w14:paraId="582B708C" w14:textId="77777777" w:rsidR="001972A6" w:rsidRPr="001E7954" w:rsidRDefault="001972A6" w:rsidP="008E1041">
            <w:pPr>
              <w:spacing w:line="360" w:lineRule="auto"/>
              <w:jc w:val="center"/>
              <w:rPr>
                <w:rFonts w:ascii="Times New Roman" w:hAnsi="Times New Roman" w:cs="Times New Roman"/>
                <w:b/>
                <w:sz w:val="24"/>
                <w:szCs w:val="24"/>
              </w:rPr>
            </w:pPr>
            <w:r w:rsidRPr="001E7954">
              <w:rPr>
                <w:rFonts w:ascii="Times New Roman" w:hAnsi="Times New Roman" w:cs="Times New Roman"/>
                <w:b/>
                <w:sz w:val="24"/>
                <w:szCs w:val="24"/>
              </w:rPr>
              <w:t>Name</w:t>
            </w:r>
          </w:p>
        </w:tc>
        <w:tc>
          <w:tcPr>
            <w:tcW w:w="2520" w:type="dxa"/>
            <w:shd w:val="clear" w:color="auto" w:fill="BFBFBF" w:themeFill="background1" w:themeFillShade="BF"/>
          </w:tcPr>
          <w:p w14:paraId="15898D9E" w14:textId="77777777" w:rsidR="001972A6" w:rsidRPr="001E7954" w:rsidRDefault="001972A6" w:rsidP="008E1041">
            <w:pPr>
              <w:spacing w:line="360" w:lineRule="auto"/>
              <w:jc w:val="center"/>
              <w:rPr>
                <w:rFonts w:ascii="Times New Roman" w:hAnsi="Times New Roman" w:cs="Times New Roman"/>
                <w:b/>
                <w:color w:val="000000"/>
                <w:sz w:val="24"/>
                <w:szCs w:val="24"/>
              </w:rPr>
            </w:pPr>
            <w:r w:rsidRPr="001E7954">
              <w:rPr>
                <w:rFonts w:ascii="Times New Roman" w:hAnsi="Times New Roman" w:cs="Times New Roman"/>
                <w:b/>
                <w:color w:val="000000"/>
                <w:sz w:val="24"/>
                <w:szCs w:val="24"/>
              </w:rPr>
              <w:t>State</w:t>
            </w:r>
          </w:p>
        </w:tc>
        <w:tc>
          <w:tcPr>
            <w:tcW w:w="3510" w:type="dxa"/>
            <w:shd w:val="clear" w:color="auto" w:fill="BFBFBF" w:themeFill="background1" w:themeFillShade="BF"/>
          </w:tcPr>
          <w:p w14:paraId="590AA94F" w14:textId="77777777" w:rsidR="001972A6" w:rsidRPr="001E7954" w:rsidRDefault="001972A6" w:rsidP="008E1041">
            <w:pPr>
              <w:spacing w:line="360" w:lineRule="auto"/>
              <w:jc w:val="center"/>
              <w:rPr>
                <w:rFonts w:ascii="Times New Roman" w:hAnsi="Times New Roman" w:cs="Times New Roman"/>
                <w:b/>
                <w:sz w:val="24"/>
                <w:szCs w:val="24"/>
              </w:rPr>
            </w:pPr>
            <w:r w:rsidRPr="001E7954">
              <w:rPr>
                <w:rFonts w:ascii="Times New Roman" w:hAnsi="Times New Roman" w:cs="Times New Roman"/>
                <w:b/>
                <w:sz w:val="24"/>
                <w:szCs w:val="24"/>
              </w:rPr>
              <w:t>Email address</w:t>
            </w:r>
          </w:p>
        </w:tc>
      </w:tr>
      <w:tr w:rsidR="001972A6" w:rsidRPr="00D4329A" w14:paraId="4DBC7FD9" w14:textId="77777777" w:rsidTr="008E1041">
        <w:trPr>
          <w:jc w:val="center"/>
        </w:trPr>
        <w:tc>
          <w:tcPr>
            <w:tcW w:w="2335" w:type="dxa"/>
          </w:tcPr>
          <w:p w14:paraId="7D8AF339"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Cheley Grigsby</w:t>
            </w:r>
          </w:p>
        </w:tc>
        <w:tc>
          <w:tcPr>
            <w:tcW w:w="2520" w:type="dxa"/>
          </w:tcPr>
          <w:p w14:paraId="56A1C6BE"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Alaska</w:t>
            </w:r>
          </w:p>
        </w:tc>
        <w:tc>
          <w:tcPr>
            <w:tcW w:w="3510" w:type="dxa"/>
          </w:tcPr>
          <w:p w14:paraId="17525CBD"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cheley.grigsby@alaska.gov</w:t>
            </w:r>
          </w:p>
        </w:tc>
      </w:tr>
      <w:tr w:rsidR="001972A6" w:rsidRPr="00D4329A" w14:paraId="43F386CC" w14:textId="77777777" w:rsidTr="008E1041">
        <w:trPr>
          <w:jc w:val="center"/>
        </w:trPr>
        <w:tc>
          <w:tcPr>
            <w:tcW w:w="2335" w:type="dxa"/>
          </w:tcPr>
          <w:p w14:paraId="538182B8"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Jennifer Roberts</w:t>
            </w:r>
          </w:p>
        </w:tc>
        <w:tc>
          <w:tcPr>
            <w:tcW w:w="2520" w:type="dxa"/>
          </w:tcPr>
          <w:p w14:paraId="2A80B359"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Alaska</w:t>
            </w:r>
          </w:p>
        </w:tc>
        <w:tc>
          <w:tcPr>
            <w:tcW w:w="3510" w:type="dxa"/>
          </w:tcPr>
          <w:p w14:paraId="266D2364"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jennifer.roberts@alaska.gov</w:t>
            </w:r>
          </w:p>
        </w:tc>
      </w:tr>
      <w:tr w:rsidR="001972A6" w:rsidRPr="00D4329A" w14:paraId="276F5971" w14:textId="77777777" w:rsidTr="008E1041">
        <w:trPr>
          <w:jc w:val="center"/>
        </w:trPr>
        <w:tc>
          <w:tcPr>
            <w:tcW w:w="2335" w:type="dxa"/>
          </w:tcPr>
          <w:p w14:paraId="70872748"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Emily Wozniak</w:t>
            </w:r>
          </w:p>
        </w:tc>
        <w:tc>
          <w:tcPr>
            <w:tcW w:w="2520" w:type="dxa"/>
          </w:tcPr>
          <w:p w14:paraId="0BFAF9EF"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Arizona</w:t>
            </w:r>
          </w:p>
        </w:tc>
        <w:tc>
          <w:tcPr>
            <w:tcW w:w="3510" w:type="dxa"/>
          </w:tcPr>
          <w:p w14:paraId="3652F435" w14:textId="77777777" w:rsidR="001972A6" w:rsidRPr="001E7954" w:rsidRDefault="001972A6" w:rsidP="008E1041">
            <w:pPr>
              <w:spacing w:line="360" w:lineRule="auto"/>
              <w:rPr>
                <w:rFonts w:ascii="Times New Roman" w:hAnsi="Times New Roman" w:cs="Times New Roman"/>
                <w:sz w:val="24"/>
                <w:szCs w:val="24"/>
              </w:rPr>
            </w:pPr>
            <w:r w:rsidRPr="00BD0696">
              <w:rPr>
                <w:rFonts w:ascii="Times New Roman" w:hAnsi="Times New Roman" w:cs="Times New Roman"/>
                <w:sz w:val="24"/>
                <w:szCs w:val="24"/>
              </w:rPr>
              <w:t>Emily.Wozniak@azdhs.gov</w:t>
            </w:r>
          </w:p>
        </w:tc>
      </w:tr>
      <w:tr w:rsidR="001972A6" w:rsidRPr="00D4329A" w14:paraId="5B6D87BA" w14:textId="77777777" w:rsidTr="008E1041">
        <w:trPr>
          <w:jc w:val="center"/>
        </w:trPr>
        <w:tc>
          <w:tcPr>
            <w:tcW w:w="2335" w:type="dxa"/>
          </w:tcPr>
          <w:p w14:paraId="75C702C3"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Beverly Sato</w:t>
            </w:r>
          </w:p>
        </w:tc>
        <w:tc>
          <w:tcPr>
            <w:tcW w:w="2520" w:type="dxa"/>
          </w:tcPr>
          <w:p w14:paraId="6EC1F450"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California</w:t>
            </w:r>
          </w:p>
        </w:tc>
        <w:tc>
          <w:tcPr>
            <w:tcW w:w="3510" w:type="dxa"/>
          </w:tcPr>
          <w:p w14:paraId="21C69C79"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beverly.Sato@dhcs.ca.gov</w:t>
            </w:r>
          </w:p>
        </w:tc>
      </w:tr>
      <w:tr w:rsidR="001972A6" w:rsidRPr="00D4329A" w14:paraId="4DF54E50" w14:textId="77777777" w:rsidTr="008E1041">
        <w:trPr>
          <w:jc w:val="center"/>
        </w:trPr>
        <w:tc>
          <w:tcPr>
            <w:tcW w:w="2335" w:type="dxa"/>
          </w:tcPr>
          <w:p w14:paraId="13FCC623"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Monica Brown</w:t>
            </w:r>
          </w:p>
        </w:tc>
        <w:tc>
          <w:tcPr>
            <w:tcW w:w="2520" w:type="dxa"/>
          </w:tcPr>
          <w:p w14:paraId="6349DED7"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California</w:t>
            </w:r>
          </w:p>
        </w:tc>
        <w:tc>
          <w:tcPr>
            <w:tcW w:w="3510" w:type="dxa"/>
          </w:tcPr>
          <w:p w14:paraId="23F6CBCD"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Monica.brown@dhcs.ca.gov</w:t>
            </w:r>
          </w:p>
        </w:tc>
      </w:tr>
      <w:tr w:rsidR="001972A6" w:rsidRPr="00D4329A" w14:paraId="42313A40" w14:textId="77777777" w:rsidTr="008E1041">
        <w:trPr>
          <w:jc w:val="center"/>
        </w:trPr>
        <w:tc>
          <w:tcPr>
            <w:tcW w:w="2335" w:type="dxa"/>
          </w:tcPr>
          <w:p w14:paraId="56CA40E8"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Shannon Lawrence</w:t>
            </w:r>
          </w:p>
        </w:tc>
        <w:tc>
          <w:tcPr>
            <w:tcW w:w="2520" w:type="dxa"/>
          </w:tcPr>
          <w:p w14:paraId="2828E910"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Colorado</w:t>
            </w:r>
          </w:p>
        </w:tc>
        <w:tc>
          <w:tcPr>
            <w:tcW w:w="3510" w:type="dxa"/>
          </w:tcPr>
          <w:p w14:paraId="4481CA0D" w14:textId="77777777" w:rsidR="001972A6" w:rsidRPr="001E7954"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shannon.lawrence@state.co.us</w:t>
            </w:r>
          </w:p>
        </w:tc>
      </w:tr>
      <w:tr w:rsidR="001972A6" w:rsidRPr="00D4329A" w14:paraId="183D5FB2" w14:textId="77777777" w:rsidTr="008E1041">
        <w:trPr>
          <w:jc w:val="center"/>
        </w:trPr>
        <w:tc>
          <w:tcPr>
            <w:tcW w:w="2335" w:type="dxa"/>
          </w:tcPr>
          <w:p w14:paraId="759487CE"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Dawn Henninger</w:t>
            </w:r>
          </w:p>
        </w:tc>
        <w:tc>
          <w:tcPr>
            <w:tcW w:w="2520" w:type="dxa"/>
          </w:tcPr>
          <w:p w14:paraId="5E2AF2E1"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Maryland</w:t>
            </w:r>
          </w:p>
        </w:tc>
        <w:tc>
          <w:tcPr>
            <w:tcW w:w="3510" w:type="dxa"/>
          </w:tcPr>
          <w:p w14:paraId="30B4841F" w14:textId="77777777" w:rsidR="001972A6" w:rsidRPr="001E7954" w:rsidRDefault="001972A6" w:rsidP="008E1041">
            <w:pPr>
              <w:spacing w:line="360" w:lineRule="auto"/>
              <w:rPr>
                <w:rFonts w:ascii="Times New Roman" w:hAnsi="Times New Roman" w:cs="Times New Roman"/>
                <w:sz w:val="24"/>
                <w:szCs w:val="24"/>
              </w:rPr>
            </w:pPr>
            <w:r w:rsidRPr="00396B4C">
              <w:rPr>
                <w:rFonts w:ascii="Times New Roman" w:hAnsi="Times New Roman" w:cs="Times New Roman"/>
                <w:sz w:val="24"/>
                <w:szCs w:val="24"/>
              </w:rPr>
              <w:t>dawn.henninger@maryland.gov</w:t>
            </w:r>
          </w:p>
        </w:tc>
      </w:tr>
      <w:tr w:rsidR="001972A6" w:rsidRPr="00D4329A" w14:paraId="4F54D85B" w14:textId="77777777" w:rsidTr="008E1041">
        <w:trPr>
          <w:jc w:val="center"/>
        </w:trPr>
        <w:tc>
          <w:tcPr>
            <w:tcW w:w="2335" w:type="dxa"/>
            <w:tcBorders>
              <w:bottom w:val="single" w:sz="4" w:space="0" w:color="auto"/>
            </w:tcBorders>
          </w:tcPr>
          <w:p w14:paraId="058CFF9E"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Leah Merchant</w:t>
            </w:r>
          </w:p>
        </w:tc>
        <w:tc>
          <w:tcPr>
            <w:tcW w:w="2520" w:type="dxa"/>
          </w:tcPr>
          <w:p w14:paraId="0D36FC9C"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Montana</w:t>
            </w:r>
          </w:p>
        </w:tc>
        <w:tc>
          <w:tcPr>
            <w:tcW w:w="3510" w:type="dxa"/>
          </w:tcPr>
          <w:p w14:paraId="1185A698" w14:textId="77777777" w:rsidR="001972A6" w:rsidRPr="001E7954" w:rsidRDefault="001972A6" w:rsidP="008E1041">
            <w:pPr>
              <w:spacing w:line="360" w:lineRule="auto"/>
              <w:rPr>
                <w:rFonts w:ascii="Times New Roman" w:hAnsi="Times New Roman" w:cs="Times New Roman"/>
                <w:sz w:val="24"/>
                <w:szCs w:val="24"/>
              </w:rPr>
            </w:pPr>
            <w:r w:rsidRPr="00BD0696">
              <w:rPr>
                <w:rFonts w:ascii="Times New Roman" w:hAnsi="Times New Roman" w:cs="Times New Roman"/>
                <w:sz w:val="24"/>
                <w:szCs w:val="24"/>
              </w:rPr>
              <w:t>lmerchant@mt.gov</w:t>
            </w:r>
          </w:p>
        </w:tc>
      </w:tr>
      <w:tr w:rsidR="001972A6" w:rsidRPr="00D4329A" w14:paraId="09DB9A37" w14:textId="77777777" w:rsidTr="008E1041">
        <w:trPr>
          <w:jc w:val="center"/>
        </w:trPr>
        <w:tc>
          <w:tcPr>
            <w:tcW w:w="2335" w:type="dxa"/>
            <w:tcBorders>
              <w:bottom w:val="single" w:sz="4" w:space="0" w:color="auto"/>
            </w:tcBorders>
          </w:tcPr>
          <w:p w14:paraId="04FCEB50"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Lisa Troyer</w:t>
            </w:r>
          </w:p>
        </w:tc>
        <w:tc>
          <w:tcPr>
            <w:tcW w:w="2520" w:type="dxa"/>
            <w:tcBorders>
              <w:bottom w:val="single" w:sz="4" w:space="0" w:color="auto"/>
            </w:tcBorders>
          </w:tcPr>
          <w:p w14:paraId="75DBFDC7"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Montana</w:t>
            </w:r>
          </w:p>
        </w:tc>
        <w:tc>
          <w:tcPr>
            <w:tcW w:w="3510" w:type="dxa"/>
            <w:tcBorders>
              <w:bottom w:val="single" w:sz="4" w:space="0" w:color="auto"/>
            </w:tcBorders>
          </w:tcPr>
          <w:p w14:paraId="13A3B175" w14:textId="77777777" w:rsidR="001972A6" w:rsidRPr="001E7954"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ltroyer@mt.gov</w:t>
            </w:r>
          </w:p>
        </w:tc>
      </w:tr>
      <w:tr w:rsidR="001972A6" w14:paraId="1A0D9F7D" w14:textId="77777777" w:rsidTr="008E1041">
        <w:trPr>
          <w:jc w:val="center"/>
        </w:trPr>
        <w:tc>
          <w:tcPr>
            <w:tcW w:w="2335" w:type="dxa"/>
          </w:tcPr>
          <w:p w14:paraId="48B7F91C" w14:textId="77777777" w:rsidR="001972A6" w:rsidRPr="001E7954" w:rsidRDefault="001972A6" w:rsidP="008E1041">
            <w:pPr>
              <w:spacing w:line="360" w:lineRule="auto"/>
              <w:rPr>
                <w:rFonts w:ascii="Times New Roman" w:hAnsi="Times New Roman" w:cs="Times New Roman"/>
                <w:color w:val="000000"/>
                <w:sz w:val="24"/>
                <w:szCs w:val="24"/>
              </w:rPr>
            </w:pPr>
            <w:r w:rsidRPr="001E7954">
              <w:rPr>
                <w:rFonts w:ascii="Times New Roman" w:hAnsi="Times New Roman" w:cs="Times New Roman"/>
                <w:sz w:val="24"/>
                <w:szCs w:val="24"/>
              </w:rPr>
              <w:t>Heather LeBlanc</w:t>
            </w:r>
          </w:p>
        </w:tc>
        <w:tc>
          <w:tcPr>
            <w:tcW w:w="2520" w:type="dxa"/>
          </w:tcPr>
          <w:p w14:paraId="54DC8BCD"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New York</w:t>
            </w:r>
          </w:p>
        </w:tc>
        <w:tc>
          <w:tcPr>
            <w:tcW w:w="3510" w:type="dxa"/>
          </w:tcPr>
          <w:p w14:paraId="2BEC0F24" w14:textId="77777777" w:rsidR="001972A6" w:rsidRPr="001E7954"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Heather.leblanc@health.ny.gov</w:t>
            </w:r>
          </w:p>
        </w:tc>
      </w:tr>
      <w:tr w:rsidR="001972A6" w14:paraId="446927C8" w14:textId="77777777" w:rsidTr="008E1041">
        <w:trPr>
          <w:jc w:val="center"/>
        </w:trPr>
        <w:tc>
          <w:tcPr>
            <w:tcW w:w="2335" w:type="dxa"/>
          </w:tcPr>
          <w:p w14:paraId="17AC35DC"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Heather Dacus</w:t>
            </w:r>
          </w:p>
        </w:tc>
        <w:tc>
          <w:tcPr>
            <w:tcW w:w="2520" w:type="dxa"/>
          </w:tcPr>
          <w:p w14:paraId="449AFC48"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New York</w:t>
            </w:r>
          </w:p>
        </w:tc>
        <w:tc>
          <w:tcPr>
            <w:tcW w:w="3510" w:type="dxa"/>
          </w:tcPr>
          <w:p w14:paraId="08CD3B50"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hlm04@health.state.ny.us</w:t>
            </w:r>
          </w:p>
        </w:tc>
      </w:tr>
      <w:tr w:rsidR="001972A6" w14:paraId="45341EF4" w14:textId="77777777" w:rsidTr="008E1041">
        <w:trPr>
          <w:jc w:val="center"/>
        </w:trPr>
        <w:tc>
          <w:tcPr>
            <w:tcW w:w="2335" w:type="dxa"/>
          </w:tcPr>
          <w:p w14:paraId="1127F495"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Maggie Gates</w:t>
            </w:r>
          </w:p>
        </w:tc>
        <w:tc>
          <w:tcPr>
            <w:tcW w:w="2520" w:type="dxa"/>
          </w:tcPr>
          <w:p w14:paraId="44DEB233"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New York</w:t>
            </w:r>
          </w:p>
        </w:tc>
        <w:tc>
          <w:tcPr>
            <w:tcW w:w="3510" w:type="dxa"/>
          </w:tcPr>
          <w:p w14:paraId="2E671F9A"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Maggie.gates@health.ny.gov</w:t>
            </w:r>
          </w:p>
        </w:tc>
      </w:tr>
      <w:tr w:rsidR="001972A6" w14:paraId="4BABA7D9" w14:textId="77777777" w:rsidTr="008E1041">
        <w:trPr>
          <w:jc w:val="center"/>
        </w:trPr>
        <w:tc>
          <w:tcPr>
            <w:tcW w:w="2335" w:type="dxa"/>
          </w:tcPr>
          <w:p w14:paraId="7B943F78"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Paulette DeLeonardo</w:t>
            </w:r>
          </w:p>
        </w:tc>
        <w:tc>
          <w:tcPr>
            <w:tcW w:w="2520" w:type="dxa"/>
          </w:tcPr>
          <w:p w14:paraId="0153CDB7"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North Dakota</w:t>
            </w:r>
          </w:p>
        </w:tc>
        <w:tc>
          <w:tcPr>
            <w:tcW w:w="3510" w:type="dxa"/>
          </w:tcPr>
          <w:p w14:paraId="0707A759"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pdeleonardo@nd.gov</w:t>
            </w:r>
          </w:p>
        </w:tc>
      </w:tr>
      <w:tr w:rsidR="001972A6" w14:paraId="5D55F600" w14:textId="77777777" w:rsidTr="008E1041">
        <w:trPr>
          <w:jc w:val="center"/>
        </w:trPr>
        <w:tc>
          <w:tcPr>
            <w:tcW w:w="2335" w:type="dxa"/>
            <w:tcBorders>
              <w:bottom w:val="single" w:sz="4" w:space="0" w:color="auto"/>
            </w:tcBorders>
          </w:tcPr>
          <w:p w14:paraId="1352FCC0"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 xml:space="preserve">Kristin Kane </w:t>
            </w:r>
          </w:p>
        </w:tc>
        <w:tc>
          <w:tcPr>
            <w:tcW w:w="2520" w:type="dxa"/>
            <w:tcBorders>
              <w:bottom w:val="single" w:sz="4" w:space="0" w:color="auto"/>
            </w:tcBorders>
          </w:tcPr>
          <w:p w14:paraId="71B70380"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Oregon</w:t>
            </w:r>
          </w:p>
        </w:tc>
        <w:tc>
          <w:tcPr>
            <w:tcW w:w="3510" w:type="dxa"/>
            <w:tcBorders>
              <w:bottom w:val="single" w:sz="4" w:space="0" w:color="auto"/>
            </w:tcBorders>
          </w:tcPr>
          <w:p w14:paraId="150E36B8"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kristin.a.kane@state.or.us</w:t>
            </w:r>
          </w:p>
        </w:tc>
      </w:tr>
      <w:tr w:rsidR="001972A6" w14:paraId="61D73EB9" w14:textId="77777777" w:rsidTr="008E1041">
        <w:trPr>
          <w:jc w:val="center"/>
        </w:trPr>
        <w:tc>
          <w:tcPr>
            <w:tcW w:w="2335" w:type="dxa"/>
            <w:tcBorders>
              <w:bottom w:val="single" w:sz="4" w:space="0" w:color="auto"/>
            </w:tcBorders>
          </w:tcPr>
          <w:p w14:paraId="45CB50F1"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 xml:space="preserve">Karen Cudmore </w:t>
            </w:r>
          </w:p>
        </w:tc>
        <w:tc>
          <w:tcPr>
            <w:tcW w:w="2520" w:type="dxa"/>
            <w:tcBorders>
              <w:bottom w:val="single" w:sz="4" w:space="0" w:color="auto"/>
            </w:tcBorders>
          </w:tcPr>
          <w:p w14:paraId="23ECF975"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South Dakota</w:t>
            </w:r>
          </w:p>
        </w:tc>
        <w:tc>
          <w:tcPr>
            <w:tcW w:w="3510" w:type="dxa"/>
            <w:tcBorders>
              <w:bottom w:val="single" w:sz="4" w:space="0" w:color="auto"/>
            </w:tcBorders>
          </w:tcPr>
          <w:p w14:paraId="552AB10E" w14:textId="77777777" w:rsidR="001972A6" w:rsidRPr="001E7954" w:rsidRDefault="001972A6" w:rsidP="008E1041">
            <w:pPr>
              <w:spacing w:line="360" w:lineRule="auto"/>
              <w:rPr>
                <w:rFonts w:ascii="Times New Roman" w:hAnsi="Times New Roman" w:cs="Times New Roman"/>
                <w:sz w:val="24"/>
                <w:szCs w:val="24"/>
              </w:rPr>
            </w:pPr>
            <w:r w:rsidRPr="00BD0696">
              <w:rPr>
                <w:rFonts w:ascii="Times New Roman" w:hAnsi="Times New Roman" w:cs="Times New Roman"/>
                <w:sz w:val="24"/>
                <w:szCs w:val="24"/>
              </w:rPr>
              <w:t>Karen.cudmore@state.sd.us</w:t>
            </w:r>
          </w:p>
        </w:tc>
      </w:tr>
      <w:tr w:rsidR="001972A6" w14:paraId="5DDA6448" w14:textId="77777777" w:rsidTr="008E1041">
        <w:trPr>
          <w:jc w:val="center"/>
        </w:trPr>
        <w:tc>
          <w:tcPr>
            <w:tcW w:w="2335" w:type="dxa"/>
            <w:tcBorders>
              <w:bottom w:val="single" w:sz="4" w:space="0" w:color="auto"/>
            </w:tcBorders>
          </w:tcPr>
          <w:p w14:paraId="198E3AD7"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Travis Duke</w:t>
            </w:r>
          </w:p>
        </w:tc>
        <w:tc>
          <w:tcPr>
            <w:tcW w:w="2520" w:type="dxa"/>
            <w:tcBorders>
              <w:bottom w:val="single" w:sz="4" w:space="0" w:color="auto"/>
            </w:tcBorders>
          </w:tcPr>
          <w:p w14:paraId="007418B6"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Texas</w:t>
            </w:r>
          </w:p>
        </w:tc>
        <w:tc>
          <w:tcPr>
            <w:tcW w:w="3510" w:type="dxa"/>
            <w:tcBorders>
              <w:bottom w:val="single" w:sz="4" w:space="0" w:color="auto"/>
            </w:tcBorders>
          </w:tcPr>
          <w:p w14:paraId="00E49FFD"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Travis.duke@dshs.state.tx.us</w:t>
            </w:r>
          </w:p>
        </w:tc>
      </w:tr>
      <w:tr w:rsidR="001972A6" w14:paraId="2DE4E359" w14:textId="77777777" w:rsidTr="008E1041">
        <w:trPr>
          <w:jc w:val="center"/>
        </w:trPr>
        <w:tc>
          <w:tcPr>
            <w:tcW w:w="2335" w:type="dxa"/>
            <w:tcBorders>
              <w:bottom w:val="single" w:sz="4" w:space="0" w:color="auto"/>
            </w:tcBorders>
          </w:tcPr>
          <w:p w14:paraId="1E460C6A"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Gale Johnson</w:t>
            </w:r>
          </w:p>
        </w:tc>
        <w:tc>
          <w:tcPr>
            <w:tcW w:w="2520" w:type="dxa"/>
            <w:tcBorders>
              <w:bottom w:val="single" w:sz="4" w:space="0" w:color="auto"/>
            </w:tcBorders>
          </w:tcPr>
          <w:p w14:paraId="0056F91B"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color w:val="000000"/>
                <w:sz w:val="24"/>
                <w:szCs w:val="24"/>
              </w:rPr>
              <w:t>Wisconsin</w:t>
            </w:r>
          </w:p>
        </w:tc>
        <w:tc>
          <w:tcPr>
            <w:tcW w:w="3510" w:type="dxa"/>
            <w:tcBorders>
              <w:bottom w:val="single" w:sz="4" w:space="0" w:color="auto"/>
            </w:tcBorders>
          </w:tcPr>
          <w:p w14:paraId="239F35EF"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gale.johnson@dhs.wisconsin.gov</w:t>
            </w:r>
          </w:p>
        </w:tc>
      </w:tr>
      <w:tr w:rsidR="001972A6" w14:paraId="06C8DF77" w14:textId="77777777" w:rsidTr="008E1041">
        <w:trPr>
          <w:jc w:val="center"/>
        </w:trPr>
        <w:tc>
          <w:tcPr>
            <w:tcW w:w="2335" w:type="dxa"/>
          </w:tcPr>
          <w:p w14:paraId="40F2A72C"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Carol A. Blanks</w:t>
            </w:r>
          </w:p>
        </w:tc>
        <w:tc>
          <w:tcPr>
            <w:tcW w:w="2520" w:type="dxa"/>
          </w:tcPr>
          <w:p w14:paraId="380414A8"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Connecticut</w:t>
            </w:r>
          </w:p>
        </w:tc>
        <w:tc>
          <w:tcPr>
            <w:tcW w:w="3510" w:type="dxa"/>
          </w:tcPr>
          <w:p w14:paraId="0F994A6D"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carol.anderson@ct.gov</w:t>
            </w:r>
          </w:p>
        </w:tc>
      </w:tr>
      <w:tr w:rsidR="001972A6" w14:paraId="316E7817" w14:textId="77777777" w:rsidTr="008E1041">
        <w:trPr>
          <w:jc w:val="center"/>
        </w:trPr>
        <w:tc>
          <w:tcPr>
            <w:tcW w:w="2335" w:type="dxa"/>
          </w:tcPr>
          <w:p w14:paraId="63317D9E"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Hope Wood</w:t>
            </w:r>
          </w:p>
        </w:tc>
        <w:tc>
          <w:tcPr>
            <w:tcW w:w="2520" w:type="dxa"/>
          </w:tcPr>
          <w:p w14:paraId="7CAD08BC"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Florida</w:t>
            </w:r>
          </w:p>
        </w:tc>
        <w:tc>
          <w:tcPr>
            <w:tcW w:w="3510" w:type="dxa"/>
          </w:tcPr>
          <w:p w14:paraId="15351B8C" w14:textId="77777777" w:rsidR="001972A6" w:rsidRPr="001E7954"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Hope_Wood@doh.state.fl.us</w:t>
            </w:r>
          </w:p>
        </w:tc>
      </w:tr>
      <w:tr w:rsidR="001972A6" w14:paraId="05BE37F4" w14:textId="77777777" w:rsidTr="008E1041">
        <w:trPr>
          <w:jc w:val="center"/>
        </w:trPr>
        <w:tc>
          <w:tcPr>
            <w:tcW w:w="2335" w:type="dxa"/>
          </w:tcPr>
          <w:p w14:paraId="7601E6F7"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Melody Stafford</w:t>
            </w:r>
          </w:p>
        </w:tc>
        <w:tc>
          <w:tcPr>
            <w:tcW w:w="2520" w:type="dxa"/>
          </w:tcPr>
          <w:p w14:paraId="42067F0D"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Kentucky</w:t>
            </w:r>
          </w:p>
        </w:tc>
        <w:tc>
          <w:tcPr>
            <w:tcW w:w="3510" w:type="dxa"/>
          </w:tcPr>
          <w:p w14:paraId="0E44F02A" w14:textId="77777777" w:rsidR="001972A6" w:rsidRPr="001E7954"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melody.stafford@ky.gov</w:t>
            </w:r>
          </w:p>
        </w:tc>
      </w:tr>
      <w:tr w:rsidR="001972A6" w14:paraId="5A2D9491" w14:textId="77777777" w:rsidTr="008E1041">
        <w:trPr>
          <w:jc w:val="center"/>
        </w:trPr>
        <w:tc>
          <w:tcPr>
            <w:tcW w:w="2335" w:type="dxa"/>
          </w:tcPr>
          <w:p w14:paraId="6D75440F"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E.J. Siegl</w:t>
            </w:r>
          </w:p>
        </w:tc>
        <w:tc>
          <w:tcPr>
            <w:tcW w:w="2520" w:type="dxa"/>
          </w:tcPr>
          <w:p w14:paraId="46C0EB09"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Michigan</w:t>
            </w:r>
          </w:p>
        </w:tc>
        <w:tc>
          <w:tcPr>
            <w:tcW w:w="3510" w:type="dxa"/>
          </w:tcPr>
          <w:p w14:paraId="72058E36" w14:textId="77777777" w:rsidR="001972A6" w:rsidRPr="001E7954"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siegle@michigan.gov</w:t>
            </w:r>
          </w:p>
        </w:tc>
      </w:tr>
      <w:tr w:rsidR="001972A6" w14:paraId="40ABD246" w14:textId="77777777" w:rsidTr="008E1041">
        <w:trPr>
          <w:jc w:val="center"/>
        </w:trPr>
        <w:tc>
          <w:tcPr>
            <w:tcW w:w="2335" w:type="dxa"/>
          </w:tcPr>
          <w:p w14:paraId="21A96EB2"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Melissa D. Leypoldt</w:t>
            </w:r>
          </w:p>
        </w:tc>
        <w:tc>
          <w:tcPr>
            <w:tcW w:w="2520" w:type="dxa"/>
          </w:tcPr>
          <w:p w14:paraId="7C086B57"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Nebraska</w:t>
            </w:r>
          </w:p>
        </w:tc>
        <w:tc>
          <w:tcPr>
            <w:tcW w:w="3510" w:type="dxa"/>
          </w:tcPr>
          <w:p w14:paraId="6A0AF026" w14:textId="77777777" w:rsidR="001972A6" w:rsidRPr="001E7954"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melissa.leypoldt@nebraska.gov</w:t>
            </w:r>
          </w:p>
        </w:tc>
      </w:tr>
      <w:tr w:rsidR="001972A6" w14:paraId="15E5F4D8" w14:textId="77777777" w:rsidTr="008E1041">
        <w:trPr>
          <w:jc w:val="center"/>
        </w:trPr>
        <w:tc>
          <w:tcPr>
            <w:tcW w:w="2335" w:type="dxa"/>
          </w:tcPr>
          <w:p w14:paraId="1AAE938F"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Libby Bruggeman</w:t>
            </w:r>
          </w:p>
        </w:tc>
        <w:tc>
          <w:tcPr>
            <w:tcW w:w="2520" w:type="dxa"/>
          </w:tcPr>
          <w:p w14:paraId="365F9D68"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New Mexico</w:t>
            </w:r>
          </w:p>
        </w:tc>
        <w:tc>
          <w:tcPr>
            <w:tcW w:w="3510" w:type="dxa"/>
          </w:tcPr>
          <w:p w14:paraId="0D266B10"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Libby.bruggeman@state.nm.us</w:t>
            </w:r>
          </w:p>
        </w:tc>
      </w:tr>
      <w:tr w:rsidR="001972A6" w14:paraId="75531623" w14:textId="77777777" w:rsidTr="008E1041">
        <w:trPr>
          <w:jc w:val="center"/>
        </w:trPr>
        <w:tc>
          <w:tcPr>
            <w:tcW w:w="2335" w:type="dxa"/>
          </w:tcPr>
          <w:p w14:paraId="31EEC681"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Debi Nelson</w:t>
            </w:r>
          </w:p>
        </w:tc>
        <w:tc>
          <w:tcPr>
            <w:tcW w:w="2520" w:type="dxa"/>
          </w:tcPr>
          <w:p w14:paraId="30421A02"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North Carolina</w:t>
            </w:r>
          </w:p>
        </w:tc>
        <w:tc>
          <w:tcPr>
            <w:tcW w:w="3510" w:type="dxa"/>
          </w:tcPr>
          <w:p w14:paraId="72EC7BB7" w14:textId="77777777" w:rsidR="001972A6" w:rsidRPr="001E7954"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debi.nelson@dhhs.nc.gov</w:t>
            </w:r>
          </w:p>
        </w:tc>
      </w:tr>
      <w:tr w:rsidR="001972A6" w14:paraId="15C5CA5D" w14:textId="77777777" w:rsidTr="008E1041">
        <w:trPr>
          <w:jc w:val="center"/>
        </w:trPr>
        <w:tc>
          <w:tcPr>
            <w:tcW w:w="2335" w:type="dxa"/>
          </w:tcPr>
          <w:p w14:paraId="0F8523E5"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Brenda Di Paolo</w:t>
            </w:r>
          </w:p>
        </w:tc>
        <w:tc>
          <w:tcPr>
            <w:tcW w:w="2520" w:type="dxa"/>
          </w:tcPr>
          <w:p w14:paraId="01BEC051"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Rhode Island</w:t>
            </w:r>
          </w:p>
        </w:tc>
        <w:tc>
          <w:tcPr>
            <w:tcW w:w="3510" w:type="dxa"/>
          </w:tcPr>
          <w:p w14:paraId="0DE498C7"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brenda.dipaolo@health.ri.gov</w:t>
            </w:r>
          </w:p>
        </w:tc>
      </w:tr>
      <w:tr w:rsidR="001972A6" w14:paraId="575003C5" w14:textId="77777777" w:rsidTr="008E1041">
        <w:trPr>
          <w:jc w:val="center"/>
        </w:trPr>
        <w:tc>
          <w:tcPr>
            <w:tcW w:w="2335" w:type="dxa"/>
          </w:tcPr>
          <w:p w14:paraId="5FF10183" w14:textId="77777777" w:rsidR="001972A6" w:rsidRPr="001E7954" w:rsidRDefault="001972A6" w:rsidP="008E1041">
            <w:pPr>
              <w:spacing w:line="360" w:lineRule="auto"/>
              <w:rPr>
                <w:rFonts w:ascii="Times New Roman" w:hAnsi="Times New Roman" w:cs="Times New Roman"/>
                <w:sz w:val="24"/>
                <w:szCs w:val="24"/>
              </w:rPr>
            </w:pPr>
            <w:r w:rsidRPr="001E7954">
              <w:rPr>
                <w:rFonts w:ascii="Times New Roman" w:hAnsi="Times New Roman" w:cs="Times New Roman"/>
                <w:sz w:val="24"/>
                <w:szCs w:val="24"/>
              </w:rPr>
              <w:t>GeorgeAnn Grubb</w:t>
            </w:r>
          </w:p>
        </w:tc>
        <w:tc>
          <w:tcPr>
            <w:tcW w:w="2520" w:type="dxa"/>
          </w:tcPr>
          <w:p w14:paraId="3BD3F37B" w14:textId="77777777" w:rsidR="001972A6" w:rsidRPr="001E7954" w:rsidRDefault="001972A6" w:rsidP="008E1041">
            <w:pPr>
              <w:spacing w:line="360" w:lineRule="auto"/>
              <w:jc w:val="center"/>
              <w:rPr>
                <w:rFonts w:ascii="Times New Roman" w:hAnsi="Times New Roman" w:cs="Times New Roman"/>
                <w:color w:val="000000"/>
                <w:sz w:val="24"/>
                <w:szCs w:val="24"/>
              </w:rPr>
            </w:pPr>
            <w:r w:rsidRPr="001E7954">
              <w:rPr>
                <w:rFonts w:ascii="Times New Roman" w:hAnsi="Times New Roman" w:cs="Times New Roman"/>
                <w:sz w:val="24"/>
                <w:szCs w:val="24"/>
              </w:rPr>
              <w:t>West Virginia</w:t>
            </w:r>
          </w:p>
        </w:tc>
        <w:tc>
          <w:tcPr>
            <w:tcW w:w="3510" w:type="dxa"/>
          </w:tcPr>
          <w:p w14:paraId="4D3076F2" w14:textId="77777777" w:rsidR="001972A6" w:rsidRPr="001E7954" w:rsidRDefault="001972A6" w:rsidP="008E1041">
            <w:pPr>
              <w:spacing w:line="360" w:lineRule="auto"/>
              <w:rPr>
                <w:rFonts w:ascii="Times New Roman" w:hAnsi="Times New Roman" w:cs="Times New Roman"/>
                <w:sz w:val="24"/>
                <w:szCs w:val="24"/>
              </w:rPr>
            </w:pPr>
            <w:r>
              <w:rPr>
                <w:rFonts w:ascii="Times New Roman" w:hAnsi="Times New Roman" w:cs="Times New Roman"/>
                <w:sz w:val="24"/>
                <w:szCs w:val="24"/>
              </w:rPr>
              <w:t>GeorgeAnn.Grubb@wv.gov</w:t>
            </w:r>
          </w:p>
        </w:tc>
      </w:tr>
      <w:tr w:rsidR="001972A6" w14:paraId="4CC582BF" w14:textId="77777777" w:rsidTr="008E1041">
        <w:trPr>
          <w:jc w:val="center"/>
        </w:trPr>
        <w:tc>
          <w:tcPr>
            <w:tcW w:w="2335" w:type="dxa"/>
          </w:tcPr>
          <w:p w14:paraId="33AD7EF3" w14:textId="77777777" w:rsidR="001972A6" w:rsidRPr="00BD0696" w:rsidRDefault="001972A6" w:rsidP="008E1041">
            <w:pPr>
              <w:spacing w:line="360" w:lineRule="auto"/>
              <w:rPr>
                <w:rFonts w:ascii="Times New Roman" w:hAnsi="Times New Roman" w:cs="Times New Roman"/>
                <w:sz w:val="24"/>
                <w:szCs w:val="24"/>
              </w:rPr>
            </w:pPr>
            <w:r w:rsidRPr="00BD0696">
              <w:rPr>
                <w:rFonts w:ascii="Times New Roman" w:hAnsi="Times New Roman" w:cs="Times New Roman"/>
                <w:sz w:val="24"/>
                <w:szCs w:val="24"/>
              </w:rPr>
              <w:t>Nicole Lukas</w:t>
            </w:r>
          </w:p>
        </w:tc>
        <w:tc>
          <w:tcPr>
            <w:tcW w:w="2520" w:type="dxa"/>
          </w:tcPr>
          <w:p w14:paraId="21EBF6B6" w14:textId="77777777" w:rsidR="001972A6" w:rsidRPr="00BD0696" w:rsidRDefault="001972A6" w:rsidP="008E1041">
            <w:pPr>
              <w:spacing w:line="360" w:lineRule="auto"/>
              <w:jc w:val="center"/>
              <w:rPr>
                <w:rFonts w:ascii="Times New Roman" w:hAnsi="Times New Roman" w:cs="Times New Roman"/>
                <w:color w:val="000000"/>
                <w:sz w:val="24"/>
                <w:szCs w:val="24"/>
              </w:rPr>
            </w:pPr>
            <w:r w:rsidRPr="00BD0696">
              <w:rPr>
                <w:rFonts w:ascii="Times New Roman" w:hAnsi="Times New Roman" w:cs="Times New Roman"/>
                <w:sz w:val="24"/>
                <w:szCs w:val="24"/>
              </w:rPr>
              <w:t>Vermont</w:t>
            </w:r>
          </w:p>
        </w:tc>
        <w:tc>
          <w:tcPr>
            <w:tcW w:w="3510" w:type="dxa"/>
          </w:tcPr>
          <w:p w14:paraId="74647410" w14:textId="77777777" w:rsidR="001972A6" w:rsidRPr="00BD0696"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Nicole.lukas@state.vt.us</w:t>
            </w:r>
          </w:p>
        </w:tc>
      </w:tr>
      <w:tr w:rsidR="001972A6" w14:paraId="6E489D93" w14:textId="77777777" w:rsidTr="008E1041">
        <w:trPr>
          <w:jc w:val="center"/>
        </w:trPr>
        <w:tc>
          <w:tcPr>
            <w:tcW w:w="2335" w:type="dxa"/>
          </w:tcPr>
          <w:p w14:paraId="5035B9D2" w14:textId="77777777" w:rsidR="001972A6" w:rsidRPr="00BD0696" w:rsidRDefault="001972A6" w:rsidP="008E1041">
            <w:pPr>
              <w:spacing w:line="360" w:lineRule="auto"/>
              <w:rPr>
                <w:rFonts w:ascii="Times New Roman" w:hAnsi="Times New Roman" w:cs="Times New Roman"/>
                <w:sz w:val="24"/>
                <w:szCs w:val="24"/>
              </w:rPr>
            </w:pPr>
            <w:r w:rsidRPr="00BD0696">
              <w:rPr>
                <w:rFonts w:ascii="Times New Roman" w:hAnsi="Times New Roman" w:cs="Times New Roman"/>
                <w:sz w:val="24"/>
                <w:szCs w:val="24"/>
              </w:rPr>
              <w:t>Megan Celedonia</w:t>
            </w:r>
          </w:p>
        </w:tc>
        <w:tc>
          <w:tcPr>
            <w:tcW w:w="2520" w:type="dxa"/>
          </w:tcPr>
          <w:p w14:paraId="38267E5D" w14:textId="77777777" w:rsidR="001972A6" w:rsidRPr="00BD0696" w:rsidRDefault="001972A6" w:rsidP="008E1041">
            <w:pPr>
              <w:spacing w:line="360" w:lineRule="auto"/>
              <w:jc w:val="center"/>
              <w:rPr>
                <w:rFonts w:ascii="Times New Roman" w:hAnsi="Times New Roman" w:cs="Times New Roman"/>
                <w:color w:val="000000"/>
                <w:sz w:val="24"/>
                <w:szCs w:val="24"/>
              </w:rPr>
            </w:pPr>
            <w:r w:rsidRPr="00BD0696">
              <w:rPr>
                <w:rFonts w:ascii="Times New Roman" w:hAnsi="Times New Roman" w:cs="Times New Roman"/>
                <w:sz w:val="24"/>
                <w:szCs w:val="24"/>
              </w:rPr>
              <w:t>Washington</w:t>
            </w:r>
          </w:p>
        </w:tc>
        <w:tc>
          <w:tcPr>
            <w:tcW w:w="3510" w:type="dxa"/>
          </w:tcPr>
          <w:p w14:paraId="37CA7DCB" w14:textId="77777777" w:rsidR="001972A6" w:rsidRPr="00BD0696" w:rsidRDefault="001972A6" w:rsidP="008E1041">
            <w:pPr>
              <w:spacing w:line="360" w:lineRule="auto"/>
              <w:rPr>
                <w:rFonts w:ascii="Times New Roman" w:hAnsi="Times New Roman" w:cs="Times New Roman"/>
                <w:sz w:val="24"/>
                <w:szCs w:val="24"/>
              </w:rPr>
            </w:pPr>
            <w:r w:rsidRPr="00CE46DD">
              <w:rPr>
                <w:rFonts w:ascii="Times New Roman" w:hAnsi="Times New Roman" w:cs="Times New Roman"/>
                <w:sz w:val="24"/>
                <w:szCs w:val="24"/>
              </w:rPr>
              <w:t>megan.celedonia@doh.wa.gov</w:t>
            </w:r>
          </w:p>
        </w:tc>
      </w:tr>
    </w:tbl>
    <w:p w14:paraId="7FCFA3E9" w14:textId="77777777" w:rsidR="001972A6" w:rsidRPr="00627CA2" w:rsidRDefault="001972A6"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hAnsi="Times New Roman" w:cs="Times New Roman"/>
          <w:sz w:val="24"/>
          <w:szCs w:val="24"/>
        </w:rPr>
      </w:pPr>
    </w:p>
    <w:p w14:paraId="182D8B26" w14:textId="77777777" w:rsidR="0093085D" w:rsidRDefault="0093085D" w:rsidP="00627CA2">
      <w:pPr>
        <w:tabs>
          <w:tab w:val="left" w:leader="dot" w:pos="7200"/>
        </w:tabs>
        <w:spacing w:after="0" w:line="360" w:lineRule="auto"/>
        <w:rPr>
          <w:rFonts w:ascii="Times New Roman" w:hAnsi="Times New Roman" w:cs="Times New Roman"/>
          <w:sz w:val="24"/>
          <w:szCs w:val="24"/>
        </w:rPr>
      </w:pPr>
    </w:p>
    <w:p w14:paraId="4E899BB1" w14:textId="39AF8E7C" w:rsidR="005714D8" w:rsidRPr="00627CA2" w:rsidRDefault="005714D8" w:rsidP="00627CA2">
      <w:pPr>
        <w:tabs>
          <w:tab w:val="left" w:leader="dot" w:pos="7200"/>
        </w:tabs>
        <w:spacing w:after="0" w:line="360" w:lineRule="auto"/>
        <w:rPr>
          <w:rFonts w:ascii="Times New Roman" w:hAnsi="Times New Roman" w:cs="Times New Roman"/>
          <w:sz w:val="24"/>
          <w:szCs w:val="24"/>
        </w:rPr>
      </w:pPr>
      <w:r w:rsidRPr="00627CA2">
        <w:rPr>
          <w:rFonts w:ascii="Times New Roman" w:hAnsi="Times New Roman" w:cs="Times New Roman"/>
          <w:sz w:val="24"/>
          <w:szCs w:val="24"/>
        </w:rPr>
        <w:t>The following individuals will conduct data collection and analysis</w:t>
      </w:r>
      <w:r w:rsidR="001972A6">
        <w:rPr>
          <w:rFonts w:ascii="Times New Roman" w:hAnsi="Times New Roman" w:cs="Times New Roman"/>
          <w:sz w:val="24"/>
          <w:szCs w:val="24"/>
        </w:rPr>
        <w:t xml:space="preserve"> activities</w:t>
      </w:r>
      <w:r w:rsidRPr="00627CA2">
        <w:rPr>
          <w:rFonts w:ascii="Times New Roman" w:hAnsi="Times New Roman" w:cs="Times New Roman"/>
          <w:sz w:val="24"/>
          <w:szCs w:val="24"/>
        </w:rPr>
        <w:t>:</w:t>
      </w:r>
    </w:p>
    <w:p w14:paraId="1026B6A3" w14:textId="77777777" w:rsidR="005714D8" w:rsidRPr="00627CA2" w:rsidRDefault="005714D8" w:rsidP="00627CA2">
      <w:pPr>
        <w:tabs>
          <w:tab w:val="left" w:leader="dot" w:pos="7200"/>
        </w:tabs>
        <w:spacing w:after="0" w:line="360" w:lineRule="auto"/>
        <w:rPr>
          <w:rFonts w:ascii="Times New Roman" w:hAnsi="Times New Roman" w:cs="Times New Roman"/>
          <w:sz w:val="24"/>
          <w:szCs w:val="24"/>
        </w:rPr>
      </w:pPr>
    </w:p>
    <w:p w14:paraId="68E01960" w14:textId="7952BFE5"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Michael Meit, MA, MPH</w:t>
      </w:r>
    </w:p>
    <w:p w14:paraId="1AE5B4B8" w14:textId="5BDFF1EB"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Project Director</w:t>
      </w:r>
    </w:p>
    <w:p w14:paraId="7698B836" w14:textId="619E2A45"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NORC at the University of Chicago</w:t>
      </w:r>
    </w:p>
    <w:p w14:paraId="0BC875AE" w14:textId="46515AFC"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301-634-9324</w:t>
      </w:r>
    </w:p>
    <w:p w14:paraId="24575B2C" w14:textId="71B3176D" w:rsidR="000777E5" w:rsidRPr="00627CA2" w:rsidRDefault="00BB695C"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4" w:history="1">
        <w:r w:rsidR="000777E5" w:rsidRPr="00627CA2">
          <w:rPr>
            <w:rStyle w:val="Hyperlink"/>
            <w:rFonts w:ascii="Times New Roman" w:hAnsi="Times New Roman" w:cs="Times New Roman"/>
            <w:sz w:val="24"/>
            <w:szCs w:val="24"/>
          </w:rPr>
          <w:t>Meit-michael@norc.org</w:t>
        </w:r>
      </w:hyperlink>
    </w:p>
    <w:p w14:paraId="0C4A86B2" w14:textId="77777777" w:rsidR="000777E5" w:rsidRPr="00627CA2" w:rsidRDefault="000777E5" w:rsidP="00627CA2">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ascii="Times New Roman" w:hAnsi="Times New Roman" w:cs="Times New Roman"/>
          <w:sz w:val="24"/>
          <w:szCs w:val="24"/>
        </w:rPr>
      </w:pPr>
    </w:p>
    <w:p w14:paraId="7E96ABC7" w14:textId="0832003C"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Stephanie Poland, MA</w:t>
      </w:r>
    </w:p>
    <w:p w14:paraId="7548E2CE" w14:textId="04CE0D1B"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Survey Director</w:t>
      </w:r>
    </w:p>
    <w:p w14:paraId="013FB9F8" w14:textId="2401D7D5"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NORC at the University of Chicago</w:t>
      </w:r>
    </w:p>
    <w:p w14:paraId="75C1C984" w14:textId="4D7A146B"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312-759-4261</w:t>
      </w:r>
    </w:p>
    <w:p w14:paraId="265CB435" w14:textId="27570BFA" w:rsidR="000777E5" w:rsidRPr="00627CA2" w:rsidRDefault="00BB695C"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5" w:history="1">
        <w:r w:rsidR="000777E5" w:rsidRPr="00627CA2">
          <w:rPr>
            <w:rStyle w:val="Hyperlink"/>
            <w:rFonts w:ascii="Times New Roman" w:hAnsi="Times New Roman" w:cs="Times New Roman"/>
            <w:sz w:val="24"/>
            <w:szCs w:val="24"/>
          </w:rPr>
          <w:t>Poland-stephanie@norc.org</w:t>
        </w:r>
      </w:hyperlink>
    </w:p>
    <w:p w14:paraId="015BE9EF" w14:textId="77777777" w:rsidR="000777E5" w:rsidRPr="00627CA2" w:rsidRDefault="000777E5" w:rsidP="00627CA2">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ascii="Times New Roman" w:hAnsi="Times New Roman" w:cs="Times New Roman"/>
          <w:sz w:val="24"/>
          <w:szCs w:val="24"/>
        </w:rPr>
      </w:pPr>
    </w:p>
    <w:p w14:paraId="517347A5" w14:textId="11FE8270"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Elizabeth Ormson</w:t>
      </w:r>
    </w:p>
    <w:p w14:paraId="4E90544A" w14:textId="5A27791E"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Statistician</w:t>
      </w:r>
    </w:p>
    <w:p w14:paraId="6BDEB736" w14:textId="737DB426"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NORC at the University of Chicago</w:t>
      </w:r>
    </w:p>
    <w:p w14:paraId="38751A94" w14:textId="574789C6"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301-634-9475</w:t>
      </w:r>
    </w:p>
    <w:p w14:paraId="7F897482" w14:textId="37F076DC" w:rsidR="000777E5" w:rsidRPr="00627CA2" w:rsidRDefault="00BB695C"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6" w:history="1">
        <w:r w:rsidR="000777E5" w:rsidRPr="00627CA2">
          <w:rPr>
            <w:rStyle w:val="Hyperlink"/>
            <w:rFonts w:ascii="Times New Roman" w:hAnsi="Times New Roman" w:cs="Times New Roman"/>
            <w:sz w:val="24"/>
            <w:szCs w:val="24"/>
          </w:rPr>
          <w:t>Ormson-elizabeth@norc.org</w:t>
        </w:r>
      </w:hyperlink>
    </w:p>
    <w:p w14:paraId="32BDF803" w14:textId="77777777" w:rsidR="000777E5" w:rsidRPr="00627CA2" w:rsidRDefault="000777E5" w:rsidP="00627CA2">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ascii="Times New Roman" w:hAnsi="Times New Roman" w:cs="Times New Roman"/>
          <w:sz w:val="24"/>
          <w:szCs w:val="24"/>
        </w:rPr>
      </w:pPr>
    </w:p>
    <w:p w14:paraId="1F0C9FE1" w14:textId="3F1BF0CC"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Megan Heffernan, MPH</w:t>
      </w:r>
    </w:p>
    <w:p w14:paraId="660A95A6" w14:textId="2A967854"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Research Analyst</w:t>
      </w:r>
    </w:p>
    <w:p w14:paraId="2DF1A6BD" w14:textId="45F13C8B" w:rsidR="000777E5" w:rsidRPr="00627CA2" w:rsidRDefault="000777E5"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r w:rsidRPr="00627CA2">
        <w:rPr>
          <w:rFonts w:ascii="Times New Roman" w:hAnsi="Times New Roman" w:cs="Times New Roman"/>
          <w:sz w:val="24"/>
          <w:szCs w:val="24"/>
        </w:rPr>
        <w:t>301-634-9412</w:t>
      </w:r>
    </w:p>
    <w:p w14:paraId="6992F5EC" w14:textId="49B71BD7" w:rsidR="000777E5" w:rsidRPr="00627CA2" w:rsidRDefault="00BB695C" w:rsidP="001972A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hAnsi="Times New Roman" w:cs="Times New Roman"/>
          <w:sz w:val="24"/>
          <w:szCs w:val="24"/>
        </w:rPr>
      </w:pPr>
      <w:hyperlink r:id="rId17" w:history="1">
        <w:r w:rsidR="000777E5" w:rsidRPr="00627CA2">
          <w:rPr>
            <w:rStyle w:val="Hyperlink"/>
            <w:rFonts w:ascii="Times New Roman" w:hAnsi="Times New Roman" w:cs="Times New Roman"/>
            <w:sz w:val="24"/>
            <w:szCs w:val="24"/>
          </w:rPr>
          <w:t>Heffernan-megan@norc.org</w:t>
        </w:r>
      </w:hyperlink>
    </w:p>
    <w:p w14:paraId="5E0F656A" w14:textId="58C71425" w:rsidR="00FC5651" w:rsidRPr="00501E58" w:rsidRDefault="00FC5651" w:rsidP="00501E58">
      <w:pPr>
        <w:pStyle w:val="BodyText"/>
        <w:spacing w:after="0" w:line="240" w:lineRule="auto"/>
        <w:rPr>
          <w:rFonts w:asciiTheme="minorHAnsi" w:hAnsiTheme="minorHAnsi"/>
        </w:rPr>
      </w:pPr>
    </w:p>
    <w:sectPr w:rsidR="00FC5651" w:rsidRPr="00501E5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CA4BC" w14:textId="77777777" w:rsidR="00C12CC1" w:rsidRDefault="00C12CC1" w:rsidP="0053170A">
      <w:pPr>
        <w:spacing w:after="0" w:line="240" w:lineRule="auto"/>
      </w:pPr>
      <w:r>
        <w:separator/>
      </w:r>
    </w:p>
  </w:endnote>
  <w:endnote w:type="continuationSeparator" w:id="0">
    <w:p w14:paraId="4B31DF44" w14:textId="77777777" w:rsidR="00C12CC1" w:rsidRDefault="00C12CC1" w:rsidP="0053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767427"/>
      <w:docPartObj>
        <w:docPartGallery w:val="Page Numbers (Bottom of Page)"/>
        <w:docPartUnique/>
      </w:docPartObj>
    </w:sdtPr>
    <w:sdtEndPr>
      <w:rPr>
        <w:noProof/>
      </w:rPr>
    </w:sdtEndPr>
    <w:sdtContent>
      <w:p w14:paraId="7A213EB8" w14:textId="1A5BE719" w:rsidR="00C12CC1" w:rsidRDefault="00C12CC1">
        <w:pPr>
          <w:pStyle w:val="Footer"/>
          <w:jc w:val="right"/>
        </w:pPr>
        <w:r>
          <w:fldChar w:fldCharType="begin"/>
        </w:r>
        <w:r>
          <w:instrText xml:space="preserve"> PAGE   \* MERGEFORMAT </w:instrText>
        </w:r>
        <w:r>
          <w:fldChar w:fldCharType="separate"/>
        </w:r>
        <w:r w:rsidR="00BB695C">
          <w:rPr>
            <w:noProof/>
          </w:rPr>
          <w:t>1</w:t>
        </w:r>
        <w:r>
          <w:rPr>
            <w:noProof/>
          </w:rPr>
          <w:fldChar w:fldCharType="end"/>
        </w:r>
      </w:p>
    </w:sdtContent>
  </w:sdt>
  <w:p w14:paraId="1923A56C" w14:textId="77777777" w:rsidR="00C12CC1" w:rsidRDefault="00C12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0BCB9" w14:textId="77777777" w:rsidR="00C12CC1" w:rsidRDefault="00C12CC1" w:rsidP="0053170A">
      <w:pPr>
        <w:spacing w:after="0" w:line="240" w:lineRule="auto"/>
      </w:pPr>
      <w:r>
        <w:separator/>
      </w:r>
    </w:p>
  </w:footnote>
  <w:footnote w:type="continuationSeparator" w:id="0">
    <w:p w14:paraId="7D20A668" w14:textId="77777777" w:rsidR="00C12CC1" w:rsidRDefault="00C12CC1" w:rsidP="0053170A">
      <w:pPr>
        <w:spacing w:after="0" w:line="240" w:lineRule="auto"/>
      </w:pPr>
      <w:r>
        <w:continuationSeparator/>
      </w:r>
    </w:p>
  </w:footnote>
  <w:footnote w:id="1">
    <w:p w14:paraId="03EEE4AA" w14:textId="77777777" w:rsidR="00C12CC1" w:rsidRPr="00E0511B" w:rsidRDefault="00C12CC1" w:rsidP="005918D3">
      <w:pPr>
        <w:pStyle w:val="FootnoteText"/>
        <w:rPr>
          <w:rFonts w:ascii="Times New Roman" w:hAnsi="Times New Roman"/>
          <w:sz w:val="18"/>
          <w:szCs w:val="18"/>
        </w:rPr>
      </w:pPr>
      <w:r w:rsidRPr="00E0511B">
        <w:rPr>
          <w:rStyle w:val="FootnoteReference"/>
          <w:rFonts w:ascii="Times New Roman" w:hAnsi="Times New Roman"/>
          <w:sz w:val="18"/>
          <w:szCs w:val="18"/>
        </w:rPr>
        <w:footnoteRef/>
      </w:r>
      <w:r w:rsidRPr="00E0511B">
        <w:rPr>
          <w:rFonts w:ascii="Times New Roman" w:hAnsi="Times New Roman"/>
          <w:sz w:val="18"/>
          <w:szCs w:val="18"/>
        </w:rPr>
        <w:t xml:space="preserve"> Yu, J. &amp; Cooper, H. (1983). A quantitative review of research design effects on response rates to questionnaires. </w:t>
      </w:r>
      <w:r w:rsidRPr="00E0511B">
        <w:rPr>
          <w:rFonts w:ascii="Times New Roman" w:hAnsi="Times New Roman"/>
          <w:i/>
          <w:sz w:val="18"/>
          <w:szCs w:val="18"/>
        </w:rPr>
        <w:t>Journal of Marketing Research, Vol. XX</w:t>
      </w:r>
      <w:r w:rsidRPr="00E0511B">
        <w:rPr>
          <w:rFonts w:ascii="Times New Roman" w:hAnsi="Times New Roman"/>
          <w:sz w:val="18"/>
          <w:szCs w:val="18"/>
        </w:rPr>
        <w:t>, 36-44.</w:t>
      </w:r>
    </w:p>
  </w:footnote>
  <w:footnote w:id="2">
    <w:p w14:paraId="6DC0B9E1" w14:textId="77777777" w:rsidR="00C12CC1" w:rsidRPr="00E0511B" w:rsidRDefault="00C12CC1" w:rsidP="005918D3">
      <w:pPr>
        <w:pStyle w:val="FootnoteText"/>
        <w:rPr>
          <w:rFonts w:ascii="Times New Roman" w:hAnsi="Times New Roman"/>
          <w:sz w:val="18"/>
          <w:szCs w:val="18"/>
        </w:rPr>
      </w:pPr>
      <w:r w:rsidRPr="00E0511B">
        <w:rPr>
          <w:rStyle w:val="FootnoteReference"/>
          <w:rFonts w:ascii="Times New Roman" w:hAnsi="Times New Roman"/>
          <w:sz w:val="18"/>
          <w:szCs w:val="18"/>
        </w:rPr>
        <w:footnoteRef/>
      </w:r>
      <w:r w:rsidRPr="00E0511B">
        <w:rPr>
          <w:rFonts w:ascii="Times New Roman" w:hAnsi="Times New Roman"/>
          <w:sz w:val="18"/>
          <w:szCs w:val="18"/>
        </w:rPr>
        <w:t xml:space="preserve"> Church, A.H. (1993). Estimating the effect of incentives on mail survey response rates: A meta-analysis. </w:t>
      </w:r>
      <w:r w:rsidRPr="00E0511B">
        <w:rPr>
          <w:rFonts w:ascii="Times New Roman" w:hAnsi="Times New Roman"/>
          <w:i/>
          <w:sz w:val="18"/>
          <w:szCs w:val="18"/>
        </w:rPr>
        <w:t>Public Opinion Quarterly, 57(1)</w:t>
      </w:r>
      <w:r w:rsidRPr="00E0511B">
        <w:rPr>
          <w:rFonts w:ascii="Times New Roman" w:hAnsi="Times New Roman"/>
          <w:sz w:val="18"/>
          <w:szCs w:val="18"/>
        </w:rPr>
        <w:t>, 62-79.</w:t>
      </w:r>
    </w:p>
  </w:footnote>
  <w:footnote w:id="3">
    <w:p w14:paraId="15A7D14C" w14:textId="77777777" w:rsidR="00C12CC1" w:rsidRPr="00E0511B" w:rsidRDefault="00C12CC1" w:rsidP="005918D3">
      <w:pPr>
        <w:pStyle w:val="FootnoteText"/>
        <w:rPr>
          <w:rFonts w:ascii="Times New Roman" w:hAnsi="Times New Roman"/>
          <w:sz w:val="18"/>
          <w:szCs w:val="18"/>
        </w:rPr>
      </w:pPr>
      <w:r w:rsidRPr="00E0511B">
        <w:rPr>
          <w:rStyle w:val="FootnoteReference"/>
          <w:rFonts w:ascii="Times New Roman" w:hAnsi="Times New Roman"/>
          <w:sz w:val="18"/>
          <w:szCs w:val="18"/>
        </w:rPr>
        <w:footnoteRef/>
      </w:r>
      <w:r w:rsidRPr="00E0511B">
        <w:rPr>
          <w:rFonts w:ascii="Times New Roman" w:hAnsi="Times New Roman"/>
          <w:sz w:val="18"/>
          <w:szCs w:val="18"/>
        </w:rPr>
        <w:t xml:space="preserve"> Edwards, P., Roberts. I., Clarke, M., DiGuiseppi, C., Pratap, S., Wentz, R., Kwan, I. (2002). Increasing response rates to postal questionnaires: Systematic review, </w:t>
      </w:r>
      <w:r w:rsidRPr="00E0511B">
        <w:rPr>
          <w:rFonts w:ascii="Times New Roman" w:hAnsi="Times New Roman"/>
          <w:i/>
          <w:sz w:val="18"/>
          <w:szCs w:val="18"/>
        </w:rPr>
        <w:t>British Medical Journal, Vol. 324(7347)</w:t>
      </w:r>
      <w:r w:rsidRPr="00E0511B">
        <w:rPr>
          <w:rFonts w:ascii="Times New Roman" w:hAnsi="Times New Roman"/>
          <w:sz w:val="18"/>
          <w:szCs w:val="18"/>
        </w:rPr>
        <w:t>, 1183-1185.</w:t>
      </w:r>
    </w:p>
  </w:footnote>
  <w:footnote w:id="4">
    <w:p w14:paraId="6214FB18" w14:textId="77777777" w:rsidR="00C12CC1" w:rsidRPr="00EF7A89" w:rsidRDefault="00C12CC1" w:rsidP="005918D3">
      <w:pPr>
        <w:pStyle w:val="FootnoteText"/>
        <w:rPr>
          <w:rFonts w:asciiTheme="minorHAnsi" w:hAnsiTheme="minorHAnsi"/>
          <w:sz w:val="18"/>
          <w:szCs w:val="18"/>
        </w:rPr>
      </w:pPr>
      <w:r w:rsidRPr="00E0511B">
        <w:rPr>
          <w:rStyle w:val="FootnoteReference"/>
          <w:rFonts w:ascii="Times New Roman" w:hAnsi="Times New Roman"/>
          <w:sz w:val="18"/>
          <w:szCs w:val="18"/>
        </w:rPr>
        <w:footnoteRef/>
      </w:r>
      <w:r w:rsidRPr="00E0511B">
        <w:rPr>
          <w:rFonts w:ascii="Times New Roman" w:hAnsi="Times New Roman"/>
          <w:sz w:val="18"/>
          <w:szCs w:val="18"/>
        </w:rPr>
        <w:t xml:space="preserve"> Gortiz, A.S., Wolff, H., &amp; Goldstein, D. (2008). Individual payments as a longer-term incentive in online panels. </w:t>
      </w:r>
      <w:r w:rsidRPr="00E0511B">
        <w:rPr>
          <w:rFonts w:ascii="Times New Roman" w:hAnsi="Times New Roman"/>
          <w:i/>
          <w:sz w:val="18"/>
          <w:szCs w:val="18"/>
        </w:rPr>
        <w:t>Behavior Research Methods, 40(4)</w:t>
      </w:r>
      <w:r w:rsidRPr="00E0511B">
        <w:rPr>
          <w:rFonts w:ascii="Times New Roman" w:hAnsi="Times New Roman"/>
          <w:sz w:val="18"/>
          <w:szCs w:val="18"/>
        </w:rPr>
        <w:t>, 1144-1149.</w:t>
      </w:r>
    </w:p>
  </w:footnote>
  <w:footnote w:id="5">
    <w:p w14:paraId="6102C451" w14:textId="79DD2D1C" w:rsidR="00C12CC1" w:rsidRDefault="00C12CC1">
      <w:pPr>
        <w:pStyle w:val="FootnoteText"/>
      </w:pPr>
      <w:r>
        <w:rPr>
          <w:rStyle w:val="FootnoteReference"/>
        </w:rPr>
        <w:footnoteRef/>
      </w:r>
      <w:r>
        <w:t xml:space="preserve"> </w:t>
      </w:r>
      <w:r w:rsidRPr="003F299E">
        <w:rPr>
          <w:rFonts w:asciiTheme="minorHAnsi" w:hAnsiTheme="minorHAnsi"/>
          <w:sz w:val="18"/>
          <w:szCs w:val="18"/>
        </w:rPr>
        <w:t xml:space="preserve">SciMetrika </w:t>
      </w:r>
      <w:r>
        <w:rPr>
          <w:rFonts w:asciiTheme="minorHAnsi" w:hAnsiTheme="minorHAnsi"/>
          <w:sz w:val="18"/>
          <w:szCs w:val="18"/>
        </w:rPr>
        <w:t xml:space="preserve">conducted this work </w:t>
      </w:r>
      <w:r w:rsidRPr="003F299E">
        <w:rPr>
          <w:rFonts w:asciiTheme="minorHAnsi" w:hAnsiTheme="minorHAnsi"/>
          <w:sz w:val="18"/>
          <w:szCs w:val="18"/>
        </w:rPr>
        <w:t>under Contract #200-2008-27889, Task Order 0028.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BE8"/>
    <w:multiLevelType w:val="hybridMultilevel"/>
    <w:tmpl w:val="2D2E8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924B3"/>
    <w:multiLevelType w:val="hybridMultilevel"/>
    <w:tmpl w:val="56FEA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20348"/>
    <w:multiLevelType w:val="hybridMultilevel"/>
    <w:tmpl w:val="6FA0D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D4A26"/>
    <w:multiLevelType w:val="hybridMultilevel"/>
    <w:tmpl w:val="8ED8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64F5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nsid w:val="0B1B3B36"/>
    <w:multiLevelType w:val="hybridMultilevel"/>
    <w:tmpl w:val="A2FC299C"/>
    <w:lvl w:ilvl="0" w:tplc="E12E371E">
      <w:start w:val="1"/>
      <w:numFmt w:val="decimal"/>
      <w:pStyle w:val="NORCTableList1"/>
      <w:lvlText w:val="%1."/>
      <w:lvlJc w:val="left"/>
      <w:pPr>
        <w:tabs>
          <w:tab w:val="num" w:pos="216"/>
        </w:tabs>
        <w:ind w:left="216" w:hanging="216"/>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293F22"/>
    <w:multiLevelType w:val="hybridMultilevel"/>
    <w:tmpl w:val="521E9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85DEE"/>
    <w:multiLevelType w:val="hybridMultilevel"/>
    <w:tmpl w:val="6E3A0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134DF1"/>
    <w:multiLevelType w:val="hybridMultilevel"/>
    <w:tmpl w:val="7E087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E5E84"/>
    <w:multiLevelType w:val="hybridMultilevel"/>
    <w:tmpl w:val="6A18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03902"/>
    <w:multiLevelType w:val="hybridMultilevel"/>
    <w:tmpl w:val="A78E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BD3348"/>
    <w:multiLevelType w:val="hybridMultilevel"/>
    <w:tmpl w:val="BE36BBE2"/>
    <w:lvl w:ilvl="0" w:tplc="59BA990A">
      <w:start w:val="2"/>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3D1F4C"/>
    <w:multiLevelType w:val="hybridMultilevel"/>
    <w:tmpl w:val="E218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109BF"/>
    <w:multiLevelType w:val="hybridMultilevel"/>
    <w:tmpl w:val="BA725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E6375A"/>
    <w:multiLevelType w:val="hybridMultilevel"/>
    <w:tmpl w:val="B532B2D4"/>
    <w:lvl w:ilvl="0" w:tplc="DA044E9E">
      <w:start w:val="1"/>
      <w:numFmt w:val="decimal"/>
      <w:pStyle w:val="Heading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4B317D1"/>
    <w:multiLevelType w:val="hybridMultilevel"/>
    <w:tmpl w:val="4A0C0266"/>
    <w:lvl w:ilvl="0" w:tplc="32508E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BA31ED"/>
    <w:multiLevelType w:val="hybridMultilevel"/>
    <w:tmpl w:val="FE8264B8"/>
    <w:lvl w:ilvl="0" w:tplc="AF0A9ADE">
      <w:start w:val="1"/>
      <w:numFmt w:val="bullet"/>
      <w:lvlText w:val=""/>
      <w:lvlJc w:val="left"/>
      <w:pPr>
        <w:ind w:left="720" w:hanging="360"/>
      </w:pPr>
      <w:rPr>
        <w:rFonts w:ascii="Wingdings" w:hAnsi="Wingdings" w:hint="default"/>
        <w:color w:val="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0E7F82"/>
    <w:multiLevelType w:val="hybridMultilevel"/>
    <w:tmpl w:val="F9DC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565A7A"/>
    <w:multiLevelType w:val="hybridMultilevel"/>
    <w:tmpl w:val="17B4AE5E"/>
    <w:lvl w:ilvl="0" w:tplc="04090001">
      <w:start w:val="1"/>
      <w:numFmt w:val="bullet"/>
      <w:lvlText w:val=""/>
      <w:lvlJc w:val="left"/>
      <w:pPr>
        <w:ind w:left="720" w:hanging="360"/>
      </w:pPr>
      <w:rPr>
        <w:rFonts w:ascii="Symbol" w:hAnsi="Symbol" w:hint="default"/>
        <w:color w:val="F3901D"/>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95EA8"/>
    <w:multiLevelType w:val="hybridMultilevel"/>
    <w:tmpl w:val="5368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EC459F"/>
    <w:multiLevelType w:val="hybridMultilevel"/>
    <w:tmpl w:val="B4EAF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CD1C87"/>
    <w:multiLevelType w:val="hybridMultilevel"/>
    <w:tmpl w:val="3334CE8E"/>
    <w:lvl w:ilvl="0" w:tplc="95C67AD0">
      <w:start w:val="1"/>
      <w:numFmt w:val="bullet"/>
      <w:pStyle w:val="NORCBullet3TimesNewRomanRound"/>
      <w:lvlText w:val="●"/>
      <w:lvlJc w:val="left"/>
      <w:pPr>
        <w:ind w:left="1440" w:hanging="360"/>
      </w:pPr>
      <w:rPr>
        <w:rFonts w:ascii="Times New Roman" w:hAnsi="Times New Roman" w:cs="Times New Roman" w:hint="default"/>
        <w:color w:val="F3901D"/>
        <w:sz w:val="18"/>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0"/>
  </w:num>
  <w:num w:numId="4">
    <w:abstractNumId w:val="1"/>
  </w:num>
  <w:num w:numId="5">
    <w:abstractNumId w:val="11"/>
  </w:num>
  <w:num w:numId="6">
    <w:abstractNumId w:val="14"/>
  </w:num>
  <w:num w:numId="7">
    <w:abstractNumId w:val="2"/>
  </w:num>
  <w:num w:numId="8">
    <w:abstractNumId w:val="14"/>
  </w:num>
  <w:num w:numId="9">
    <w:abstractNumId w:val="14"/>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9"/>
  </w:num>
  <w:num w:numId="26">
    <w:abstractNumId w:val="3"/>
  </w:num>
  <w:num w:numId="27">
    <w:abstractNumId w:val="19"/>
  </w:num>
  <w:num w:numId="28">
    <w:abstractNumId w:val="10"/>
  </w:num>
  <w:num w:numId="29">
    <w:abstractNumId w:val="21"/>
  </w:num>
  <w:num w:numId="30">
    <w:abstractNumId w:val="4"/>
  </w:num>
  <w:num w:numId="31">
    <w:abstractNumId w:val="5"/>
  </w:num>
  <w:num w:numId="32">
    <w:abstractNumId w:val="12"/>
  </w:num>
  <w:num w:numId="33">
    <w:abstractNumId w:val="0"/>
  </w:num>
  <w:num w:numId="34">
    <w:abstractNumId w:val="7"/>
  </w:num>
  <w:num w:numId="35">
    <w:abstractNumId w:val="18"/>
  </w:num>
  <w:num w:numId="36">
    <w:abstractNumId w:val="17"/>
  </w:num>
  <w:num w:numId="37">
    <w:abstractNumId w:val="6"/>
  </w:num>
  <w:num w:numId="38">
    <w:abstractNumId w:val="1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84"/>
    <w:rsid w:val="0001230C"/>
    <w:rsid w:val="00017C88"/>
    <w:rsid w:val="0002119E"/>
    <w:rsid w:val="000449BB"/>
    <w:rsid w:val="00044B3B"/>
    <w:rsid w:val="000533BB"/>
    <w:rsid w:val="00057FB4"/>
    <w:rsid w:val="0007249D"/>
    <w:rsid w:val="000777E5"/>
    <w:rsid w:val="00081735"/>
    <w:rsid w:val="000855D1"/>
    <w:rsid w:val="000867F3"/>
    <w:rsid w:val="00097EE7"/>
    <w:rsid w:val="000A6EDD"/>
    <w:rsid w:val="000B4248"/>
    <w:rsid w:val="000B555E"/>
    <w:rsid w:val="000C0CD3"/>
    <w:rsid w:val="000C3AA4"/>
    <w:rsid w:val="000C67BF"/>
    <w:rsid w:val="0010579F"/>
    <w:rsid w:val="0011295B"/>
    <w:rsid w:val="00113AA7"/>
    <w:rsid w:val="00130909"/>
    <w:rsid w:val="00134427"/>
    <w:rsid w:val="001422C5"/>
    <w:rsid w:val="00146713"/>
    <w:rsid w:val="001527A0"/>
    <w:rsid w:val="00154DD4"/>
    <w:rsid w:val="00161CB0"/>
    <w:rsid w:val="00182A12"/>
    <w:rsid w:val="001972A6"/>
    <w:rsid w:val="001D67C2"/>
    <w:rsid w:val="001F0361"/>
    <w:rsid w:val="001F240A"/>
    <w:rsid w:val="00211393"/>
    <w:rsid w:val="0021162E"/>
    <w:rsid w:val="0024520E"/>
    <w:rsid w:val="00256ED2"/>
    <w:rsid w:val="00261E55"/>
    <w:rsid w:val="00272F0E"/>
    <w:rsid w:val="00295390"/>
    <w:rsid w:val="002961BD"/>
    <w:rsid w:val="00297F9C"/>
    <w:rsid w:val="002B60D3"/>
    <w:rsid w:val="002D22DA"/>
    <w:rsid w:val="00300425"/>
    <w:rsid w:val="00324A00"/>
    <w:rsid w:val="00331843"/>
    <w:rsid w:val="00350671"/>
    <w:rsid w:val="003554EE"/>
    <w:rsid w:val="00357F62"/>
    <w:rsid w:val="003765A1"/>
    <w:rsid w:val="00383AE2"/>
    <w:rsid w:val="00394B8C"/>
    <w:rsid w:val="003A4616"/>
    <w:rsid w:val="003B0CE0"/>
    <w:rsid w:val="003B171E"/>
    <w:rsid w:val="003C211A"/>
    <w:rsid w:val="003C3D91"/>
    <w:rsid w:val="003D701C"/>
    <w:rsid w:val="003E1BB4"/>
    <w:rsid w:val="003F299E"/>
    <w:rsid w:val="003F586B"/>
    <w:rsid w:val="003F60B5"/>
    <w:rsid w:val="003F656D"/>
    <w:rsid w:val="00420BE9"/>
    <w:rsid w:val="00432625"/>
    <w:rsid w:val="00442FA5"/>
    <w:rsid w:val="00456F12"/>
    <w:rsid w:val="00464D4F"/>
    <w:rsid w:val="00475691"/>
    <w:rsid w:val="004944B2"/>
    <w:rsid w:val="004A1D74"/>
    <w:rsid w:val="004A3CD0"/>
    <w:rsid w:val="004B5CEC"/>
    <w:rsid w:val="004C4CB5"/>
    <w:rsid w:val="004C51F4"/>
    <w:rsid w:val="004D6C79"/>
    <w:rsid w:val="004E13D5"/>
    <w:rsid w:val="004E2914"/>
    <w:rsid w:val="004E76B8"/>
    <w:rsid w:val="00501E58"/>
    <w:rsid w:val="0053170A"/>
    <w:rsid w:val="0054565C"/>
    <w:rsid w:val="00550491"/>
    <w:rsid w:val="005516B1"/>
    <w:rsid w:val="00553C68"/>
    <w:rsid w:val="00560047"/>
    <w:rsid w:val="005714D8"/>
    <w:rsid w:val="00577733"/>
    <w:rsid w:val="005918D3"/>
    <w:rsid w:val="005A57C2"/>
    <w:rsid w:val="005B4C07"/>
    <w:rsid w:val="005E3DE7"/>
    <w:rsid w:val="00603A4E"/>
    <w:rsid w:val="00627CA2"/>
    <w:rsid w:val="00637F9F"/>
    <w:rsid w:val="00647B83"/>
    <w:rsid w:val="0065135F"/>
    <w:rsid w:val="00671D76"/>
    <w:rsid w:val="00672A3A"/>
    <w:rsid w:val="00685097"/>
    <w:rsid w:val="0069799B"/>
    <w:rsid w:val="006B7412"/>
    <w:rsid w:val="006C4EE6"/>
    <w:rsid w:val="006D07F6"/>
    <w:rsid w:val="006D3E5C"/>
    <w:rsid w:val="006E3D5B"/>
    <w:rsid w:val="00713560"/>
    <w:rsid w:val="0072557C"/>
    <w:rsid w:val="0073613B"/>
    <w:rsid w:val="00742B03"/>
    <w:rsid w:val="00757284"/>
    <w:rsid w:val="0078029D"/>
    <w:rsid w:val="007844D2"/>
    <w:rsid w:val="00785B42"/>
    <w:rsid w:val="00797D2A"/>
    <w:rsid w:val="007B1CA7"/>
    <w:rsid w:val="007C11CB"/>
    <w:rsid w:val="007E06E7"/>
    <w:rsid w:val="007F0B2B"/>
    <w:rsid w:val="008025A7"/>
    <w:rsid w:val="00805F2F"/>
    <w:rsid w:val="00823C6C"/>
    <w:rsid w:val="008247A5"/>
    <w:rsid w:val="00824C51"/>
    <w:rsid w:val="008314EE"/>
    <w:rsid w:val="00837FB3"/>
    <w:rsid w:val="00850895"/>
    <w:rsid w:val="00853B59"/>
    <w:rsid w:val="008735A2"/>
    <w:rsid w:val="00873695"/>
    <w:rsid w:val="008768A4"/>
    <w:rsid w:val="00881FCB"/>
    <w:rsid w:val="008B290E"/>
    <w:rsid w:val="008B3C9E"/>
    <w:rsid w:val="008B59CB"/>
    <w:rsid w:val="008B7E4A"/>
    <w:rsid w:val="008C2202"/>
    <w:rsid w:val="008C50E1"/>
    <w:rsid w:val="008D0102"/>
    <w:rsid w:val="008D2002"/>
    <w:rsid w:val="008E1041"/>
    <w:rsid w:val="008E5794"/>
    <w:rsid w:val="0093085D"/>
    <w:rsid w:val="00940EF2"/>
    <w:rsid w:val="0095264F"/>
    <w:rsid w:val="009705C2"/>
    <w:rsid w:val="00990C8F"/>
    <w:rsid w:val="009A133A"/>
    <w:rsid w:val="009A6E7E"/>
    <w:rsid w:val="009D0308"/>
    <w:rsid w:val="009D070B"/>
    <w:rsid w:val="009D3A28"/>
    <w:rsid w:val="009F2CAF"/>
    <w:rsid w:val="00A16D23"/>
    <w:rsid w:val="00A2527E"/>
    <w:rsid w:val="00A25D92"/>
    <w:rsid w:val="00A264E0"/>
    <w:rsid w:val="00A33EFC"/>
    <w:rsid w:val="00A540A2"/>
    <w:rsid w:val="00A617F2"/>
    <w:rsid w:val="00A700B8"/>
    <w:rsid w:val="00A77AAE"/>
    <w:rsid w:val="00A8383B"/>
    <w:rsid w:val="00A87171"/>
    <w:rsid w:val="00A87470"/>
    <w:rsid w:val="00A933CB"/>
    <w:rsid w:val="00AA17E6"/>
    <w:rsid w:val="00AA3823"/>
    <w:rsid w:val="00AA4D0D"/>
    <w:rsid w:val="00AB0A92"/>
    <w:rsid w:val="00AB1B01"/>
    <w:rsid w:val="00AB3426"/>
    <w:rsid w:val="00AC169E"/>
    <w:rsid w:val="00AC1F03"/>
    <w:rsid w:val="00AD5C6C"/>
    <w:rsid w:val="00AF7423"/>
    <w:rsid w:val="00B36CE2"/>
    <w:rsid w:val="00B37DA7"/>
    <w:rsid w:val="00B47BF4"/>
    <w:rsid w:val="00B52256"/>
    <w:rsid w:val="00B569B4"/>
    <w:rsid w:val="00B73D2C"/>
    <w:rsid w:val="00BA1487"/>
    <w:rsid w:val="00BA180B"/>
    <w:rsid w:val="00BA1CB6"/>
    <w:rsid w:val="00BB3ADA"/>
    <w:rsid w:val="00BB6416"/>
    <w:rsid w:val="00BB695C"/>
    <w:rsid w:val="00BE336F"/>
    <w:rsid w:val="00C07AA3"/>
    <w:rsid w:val="00C1202E"/>
    <w:rsid w:val="00C12CC1"/>
    <w:rsid w:val="00C24F5E"/>
    <w:rsid w:val="00C3515E"/>
    <w:rsid w:val="00C558B0"/>
    <w:rsid w:val="00C67F9E"/>
    <w:rsid w:val="00C8557C"/>
    <w:rsid w:val="00CA41C5"/>
    <w:rsid w:val="00CA69F0"/>
    <w:rsid w:val="00CD0A8A"/>
    <w:rsid w:val="00D06245"/>
    <w:rsid w:val="00D60CEC"/>
    <w:rsid w:val="00D60EF4"/>
    <w:rsid w:val="00D84116"/>
    <w:rsid w:val="00D87EC2"/>
    <w:rsid w:val="00D902DF"/>
    <w:rsid w:val="00DA1434"/>
    <w:rsid w:val="00DA5830"/>
    <w:rsid w:val="00DB3A23"/>
    <w:rsid w:val="00DC2816"/>
    <w:rsid w:val="00DD545F"/>
    <w:rsid w:val="00DE0A38"/>
    <w:rsid w:val="00DF51A5"/>
    <w:rsid w:val="00E10E37"/>
    <w:rsid w:val="00E15962"/>
    <w:rsid w:val="00E22DB4"/>
    <w:rsid w:val="00E23DE7"/>
    <w:rsid w:val="00E256AB"/>
    <w:rsid w:val="00E46BF5"/>
    <w:rsid w:val="00E53E01"/>
    <w:rsid w:val="00E53FA5"/>
    <w:rsid w:val="00E60034"/>
    <w:rsid w:val="00E657BB"/>
    <w:rsid w:val="00E659E6"/>
    <w:rsid w:val="00E7183E"/>
    <w:rsid w:val="00E72837"/>
    <w:rsid w:val="00E77E8E"/>
    <w:rsid w:val="00E870A4"/>
    <w:rsid w:val="00E92F8B"/>
    <w:rsid w:val="00F0233A"/>
    <w:rsid w:val="00F123B3"/>
    <w:rsid w:val="00F139F5"/>
    <w:rsid w:val="00F15E4C"/>
    <w:rsid w:val="00F26092"/>
    <w:rsid w:val="00F328DE"/>
    <w:rsid w:val="00F57593"/>
    <w:rsid w:val="00F738DC"/>
    <w:rsid w:val="00F85379"/>
    <w:rsid w:val="00F957E9"/>
    <w:rsid w:val="00FC5651"/>
    <w:rsid w:val="00FD09AD"/>
    <w:rsid w:val="00FE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0B"/>
  </w:style>
  <w:style w:type="paragraph" w:styleId="Heading1">
    <w:name w:val="heading 1"/>
    <w:basedOn w:val="ListParagraph"/>
    <w:next w:val="Normal"/>
    <w:link w:val="Heading1Char"/>
    <w:uiPriority w:val="9"/>
    <w:qFormat/>
    <w:rsid w:val="00BB3ADA"/>
    <w:pPr>
      <w:numPr>
        <w:numId w:val="5"/>
      </w:numPr>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BB3ADA"/>
    <w:pPr>
      <w:numPr>
        <w:numId w:val="6"/>
      </w:numPr>
      <w:outlineLvl w:val="1"/>
    </w:pPr>
    <w:rPr>
      <w:rFonts w:ascii="Garamond" w:hAnsi="Garamond" w:cs="Times New Roman"/>
      <w:b/>
      <w:i/>
      <w:sz w:val="24"/>
    </w:rPr>
  </w:style>
  <w:style w:type="paragraph" w:styleId="Heading3">
    <w:name w:val="heading 3"/>
    <w:basedOn w:val="Normal"/>
    <w:next w:val="Normal"/>
    <w:link w:val="Heading3Char"/>
    <w:uiPriority w:val="9"/>
    <w:semiHidden/>
    <w:unhideWhenUsed/>
    <w:qFormat/>
    <w:rsid w:val="00823C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30"/>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
    <w:qFormat/>
    <w:rsid w:val="00823C6C"/>
    <w:pPr>
      <w:numPr>
        <w:ilvl w:val="6"/>
        <w:numId w:val="30"/>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30"/>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30"/>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5"/>
    <w:rsid w:val="00BB3ADA"/>
    <w:rPr>
      <w:rFonts w:ascii="Garamond" w:hAnsi="Garamond" w:cs="Times New Roman"/>
      <w:b/>
      <w:i/>
      <w:sz w:val="24"/>
    </w:rPr>
  </w:style>
  <w:style w:type="character" w:styleId="Emphasis">
    <w:name w:val="Emphasis"/>
    <w:basedOn w:val="DefaultParagraphFont"/>
    <w:qFormat/>
    <w:rsid w:val="00BB3ADA"/>
    <w:rPr>
      <w:rFonts w:cs="Times New Roman"/>
      <w:i/>
      <w:iCs/>
    </w:rPr>
  </w:style>
  <w:style w:type="paragraph" w:styleId="FootnoteText">
    <w:name w:val="footnote text"/>
    <w:basedOn w:val="Normal"/>
    <w:link w:val="FootnoteTextChar"/>
    <w:uiPriority w:val="99"/>
    <w:unhideWhenUsed/>
    <w:rsid w:val="0053170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rsid w:val="0053170A"/>
    <w:rPr>
      <w:rFonts w:ascii="Courier New" w:eastAsia="Times New Roman" w:hAnsi="Courier New" w:cs="Times New Roman"/>
      <w:sz w:val="20"/>
      <w:szCs w:val="20"/>
    </w:rPr>
  </w:style>
  <w:style w:type="character" w:styleId="FootnoteReference">
    <w:name w:val="footnote reference"/>
    <w:basedOn w:val="DefaultParagraphFont"/>
    <w:unhideWhenUsed/>
    <w:rsid w:val="0053170A"/>
    <w:rPr>
      <w:vertAlign w:val="superscript"/>
    </w:rPr>
  </w:style>
  <w:style w:type="table" w:styleId="TableGrid">
    <w:name w:val="Table Grid"/>
    <w:basedOn w:val="TableNormal"/>
    <w:uiPriority w:val="5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E15962"/>
    <w:pPr>
      <w:spacing w:after="100"/>
    </w:pPr>
  </w:style>
  <w:style w:type="paragraph" w:styleId="TOC2">
    <w:name w:val="toc 2"/>
    <w:basedOn w:val="Normal"/>
    <w:next w:val="Normal"/>
    <w:autoRedefine/>
    <w:uiPriority w:val="39"/>
    <w:unhideWhenUsed/>
    <w:rsid w:val="0095264F"/>
    <w:pPr>
      <w:tabs>
        <w:tab w:val="left" w:pos="660"/>
        <w:tab w:val="right" w:leader="dot" w:pos="9350"/>
      </w:tabs>
      <w:spacing w:after="100" w:line="360" w:lineRule="auto"/>
      <w:ind w:left="216"/>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29"/>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after="240" w:line="36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semiHidden/>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30"/>
      </w:numPr>
    </w:pPr>
  </w:style>
  <w:style w:type="paragraph" w:customStyle="1" w:styleId="NORCTableList1">
    <w:name w:val="NORC Table List 1"/>
    <w:rsid w:val="00823C6C"/>
    <w:pPr>
      <w:keepLines/>
      <w:numPr>
        <w:numId w:val="31"/>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pPr>
      <w:tabs>
        <w:tab w:val="right" w:pos="9360"/>
      </w:tabs>
      <w:spacing w:after="240" w:line="480" w:lineRule="auto"/>
    </w:pPr>
    <w:rPr>
      <w:rFonts w:ascii="Garamond" w:eastAsia="Times New Roman"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081735"/>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081735"/>
    <w:rPr>
      <w:rFonts w:ascii="Calibri" w:eastAsia="Times New Roman" w:hAnsi="Calibri" w:cs="Times New Roman"/>
      <w:b/>
      <w:bCs/>
      <w:sz w:val="20"/>
      <w:szCs w:val="20"/>
    </w:rPr>
  </w:style>
  <w:style w:type="paragraph" w:customStyle="1" w:styleId="NORCBullet1TimesNewRomanSquare">
    <w:name w:val="NORC Bullet 1 (Times New Roman Square)"/>
    <w:qFormat/>
    <w:rsid w:val="005714D8"/>
    <w:pPr>
      <w:keepLines/>
      <w:spacing w:after="0" w:line="36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DC2816"/>
    <w:pPr>
      <w:spacing w:after="100"/>
      <w:ind w:left="440"/>
    </w:pPr>
    <w:rPr>
      <w:rFonts w:eastAsiaTheme="minorEastAsia" w:cs="Times New Roman"/>
    </w:rPr>
  </w:style>
  <w:style w:type="paragraph" w:styleId="Revision">
    <w:name w:val="Revision"/>
    <w:hidden/>
    <w:uiPriority w:val="99"/>
    <w:semiHidden/>
    <w:rsid w:val="00383A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0B"/>
  </w:style>
  <w:style w:type="paragraph" w:styleId="Heading1">
    <w:name w:val="heading 1"/>
    <w:basedOn w:val="ListParagraph"/>
    <w:next w:val="Normal"/>
    <w:link w:val="Heading1Char"/>
    <w:uiPriority w:val="9"/>
    <w:qFormat/>
    <w:rsid w:val="00BB3ADA"/>
    <w:pPr>
      <w:numPr>
        <w:numId w:val="5"/>
      </w:numPr>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BB3ADA"/>
    <w:pPr>
      <w:numPr>
        <w:numId w:val="6"/>
      </w:numPr>
      <w:outlineLvl w:val="1"/>
    </w:pPr>
    <w:rPr>
      <w:rFonts w:ascii="Garamond" w:hAnsi="Garamond" w:cs="Times New Roman"/>
      <w:b/>
      <w:i/>
      <w:sz w:val="24"/>
    </w:rPr>
  </w:style>
  <w:style w:type="paragraph" w:styleId="Heading3">
    <w:name w:val="heading 3"/>
    <w:basedOn w:val="Normal"/>
    <w:next w:val="Normal"/>
    <w:link w:val="Heading3Char"/>
    <w:uiPriority w:val="9"/>
    <w:semiHidden/>
    <w:unhideWhenUsed/>
    <w:qFormat/>
    <w:rsid w:val="00823C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30"/>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
    <w:qFormat/>
    <w:rsid w:val="00823C6C"/>
    <w:pPr>
      <w:numPr>
        <w:ilvl w:val="6"/>
        <w:numId w:val="30"/>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30"/>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30"/>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5"/>
    <w:rsid w:val="00BB3ADA"/>
    <w:rPr>
      <w:rFonts w:ascii="Garamond" w:hAnsi="Garamond" w:cs="Times New Roman"/>
      <w:b/>
      <w:i/>
      <w:sz w:val="24"/>
    </w:rPr>
  </w:style>
  <w:style w:type="character" w:styleId="Emphasis">
    <w:name w:val="Emphasis"/>
    <w:basedOn w:val="DefaultParagraphFont"/>
    <w:qFormat/>
    <w:rsid w:val="00BB3ADA"/>
    <w:rPr>
      <w:rFonts w:cs="Times New Roman"/>
      <w:i/>
      <w:iCs/>
    </w:rPr>
  </w:style>
  <w:style w:type="paragraph" w:styleId="FootnoteText">
    <w:name w:val="footnote text"/>
    <w:basedOn w:val="Normal"/>
    <w:link w:val="FootnoteTextChar"/>
    <w:uiPriority w:val="99"/>
    <w:unhideWhenUsed/>
    <w:rsid w:val="0053170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rsid w:val="0053170A"/>
    <w:rPr>
      <w:rFonts w:ascii="Courier New" w:eastAsia="Times New Roman" w:hAnsi="Courier New" w:cs="Times New Roman"/>
      <w:sz w:val="20"/>
      <w:szCs w:val="20"/>
    </w:rPr>
  </w:style>
  <w:style w:type="character" w:styleId="FootnoteReference">
    <w:name w:val="footnote reference"/>
    <w:basedOn w:val="DefaultParagraphFont"/>
    <w:unhideWhenUsed/>
    <w:rsid w:val="0053170A"/>
    <w:rPr>
      <w:vertAlign w:val="superscript"/>
    </w:rPr>
  </w:style>
  <w:style w:type="table" w:styleId="TableGrid">
    <w:name w:val="Table Grid"/>
    <w:basedOn w:val="TableNormal"/>
    <w:uiPriority w:val="5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E15962"/>
    <w:pPr>
      <w:spacing w:after="100"/>
    </w:pPr>
  </w:style>
  <w:style w:type="paragraph" w:styleId="TOC2">
    <w:name w:val="toc 2"/>
    <w:basedOn w:val="Normal"/>
    <w:next w:val="Normal"/>
    <w:autoRedefine/>
    <w:uiPriority w:val="39"/>
    <w:unhideWhenUsed/>
    <w:rsid w:val="0095264F"/>
    <w:pPr>
      <w:tabs>
        <w:tab w:val="left" w:pos="660"/>
        <w:tab w:val="right" w:leader="dot" w:pos="9350"/>
      </w:tabs>
      <w:spacing w:after="100" w:line="360" w:lineRule="auto"/>
      <w:ind w:left="216"/>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29"/>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after="240" w:line="36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semiHidden/>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30"/>
      </w:numPr>
    </w:pPr>
  </w:style>
  <w:style w:type="paragraph" w:customStyle="1" w:styleId="NORCTableList1">
    <w:name w:val="NORC Table List 1"/>
    <w:rsid w:val="00823C6C"/>
    <w:pPr>
      <w:keepLines/>
      <w:numPr>
        <w:numId w:val="31"/>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pPr>
      <w:tabs>
        <w:tab w:val="right" w:pos="9360"/>
      </w:tabs>
      <w:spacing w:after="240" w:line="480" w:lineRule="auto"/>
    </w:pPr>
    <w:rPr>
      <w:rFonts w:ascii="Garamond" w:eastAsia="Times New Roman"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081735"/>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081735"/>
    <w:rPr>
      <w:rFonts w:ascii="Calibri" w:eastAsia="Times New Roman" w:hAnsi="Calibri" w:cs="Times New Roman"/>
      <w:b/>
      <w:bCs/>
      <w:sz w:val="20"/>
      <w:szCs w:val="20"/>
    </w:rPr>
  </w:style>
  <w:style w:type="paragraph" w:customStyle="1" w:styleId="NORCBullet1TimesNewRomanSquare">
    <w:name w:val="NORC Bullet 1 (Times New Roman Square)"/>
    <w:qFormat/>
    <w:rsid w:val="005714D8"/>
    <w:pPr>
      <w:keepLines/>
      <w:spacing w:after="0" w:line="36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DC2816"/>
    <w:pPr>
      <w:spacing w:after="100"/>
      <w:ind w:left="440"/>
    </w:pPr>
    <w:rPr>
      <w:rFonts w:eastAsiaTheme="minorEastAsia" w:cs="Times New Roman"/>
    </w:rPr>
  </w:style>
  <w:style w:type="paragraph" w:styleId="Revision">
    <w:name w:val="Revision"/>
    <w:hidden/>
    <w:uiPriority w:val="99"/>
    <w:semiHidden/>
    <w:rsid w:val="00383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50976">
      <w:bodyDiv w:val="1"/>
      <w:marLeft w:val="0"/>
      <w:marRight w:val="0"/>
      <w:marTop w:val="0"/>
      <w:marBottom w:val="0"/>
      <w:divBdr>
        <w:top w:val="none" w:sz="0" w:space="0" w:color="auto"/>
        <w:left w:val="none" w:sz="0" w:space="0" w:color="auto"/>
        <w:bottom w:val="none" w:sz="0" w:space="0" w:color="auto"/>
        <w:right w:val="none" w:sz="0" w:space="0" w:color="auto"/>
      </w:divBdr>
    </w:div>
    <w:div w:id="253369090">
      <w:bodyDiv w:val="1"/>
      <w:marLeft w:val="0"/>
      <w:marRight w:val="0"/>
      <w:marTop w:val="0"/>
      <w:marBottom w:val="0"/>
      <w:divBdr>
        <w:top w:val="none" w:sz="0" w:space="0" w:color="auto"/>
        <w:left w:val="none" w:sz="0" w:space="0" w:color="auto"/>
        <w:bottom w:val="none" w:sz="0" w:space="0" w:color="auto"/>
        <w:right w:val="none" w:sz="0" w:space="0" w:color="auto"/>
      </w:divBdr>
    </w:div>
    <w:div w:id="373193678">
      <w:bodyDiv w:val="1"/>
      <w:marLeft w:val="0"/>
      <w:marRight w:val="0"/>
      <w:marTop w:val="0"/>
      <w:marBottom w:val="0"/>
      <w:divBdr>
        <w:top w:val="none" w:sz="0" w:space="0" w:color="auto"/>
        <w:left w:val="none" w:sz="0" w:space="0" w:color="auto"/>
        <w:bottom w:val="none" w:sz="0" w:space="0" w:color="auto"/>
        <w:right w:val="none" w:sz="0" w:space="0" w:color="auto"/>
      </w:divBdr>
    </w:div>
    <w:div w:id="85500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irsch@scimetrika.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Gressard@cdc.gov" TargetMode="External"/><Relationship Id="rId17" Type="http://schemas.openxmlformats.org/officeDocument/2006/relationships/hyperlink" Target="mailto:Heffernan-megan@norc.org" TargetMode="External"/><Relationship Id="rId2" Type="http://schemas.openxmlformats.org/officeDocument/2006/relationships/numbering" Target="numbering.xml"/><Relationship Id="rId16" Type="http://schemas.openxmlformats.org/officeDocument/2006/relationships/hyperlink" Target="mailto:Ormson-elizabeth@nor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ss1@cdc.gov" TargetMode="External"/><Relationship Id="rId5" Type="http://schemas.openxmlformats.org/officeDocument/2006/relationships/settings" Target="settings.xml"/><Relationship Id="rId15" Type="http://schemas.openxmlformats.org/officeDocument/2006/relationships/hyperlink" Target="mailto:Poland-stephanie@norc.org" TargetMode="External"/><Relationship Id="rId10" Type="http://schemas.openxmlformats.org/officeDocument/2006/relationships/hyperlink" Target="mailto:hsf6@cdc.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egroff@cdc.gov" TargetMode="External"/><Relationship Id="rId14" Type="http://schemas.openxmlformats.org/officeDocument/2006/relationships/hyperlink" Target="mailto:Meit-michael@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FD2C-38CD-4140-8AE9-809128C7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4848</Words>
  <Characters>27638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Poland</dc:creator>
  <cp:keywords/>
  <dc:description/>
  <cp:lastModifiedBy>SYSTEM</cp:lastModifiedBy>
  <cp:revision>2</cp:revision>
  <cp:lastPrinted>2016-07-28T13:40:00Z</cp:lastPrinted>
  <dcterms:created xsi:type="dcterms:W3CDTF">2017-10-04T15:13:00Z</dcterms:created>
  <dcterms:modified xsi:type="dcterms:W3CDTF">2017-10-04T15:13:00Z</dcterms:modified>
</cp:coreProperties>
</file>