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4D4C7" w14:textId="77777777" w:rsidR="00687B28" w:rsidRDefault="00687B28" w:rsidP="00687B28">
      <w:pPr>
        <w:pStyle w:val="NoSpacing"/>
        <w:rPr>
          <w:rFonts w:asciiTheme="minorHAnsi" w:hAnsiTheme="minorHAnsi"/>
          <w:szCs w:val="24"/>
        </w:rPr>
      </w:pPr>
      <w:bookmarkStart w:id="0" w:name="_Toc168384792"/>
      <w:bookmarkStart w:id="1" w:name="_Toc168384856"/>
      <w:bookmarkStart w:id="2" w:name="_Toc168384964"/>
      <w:bookmarkStart w:id="3" w:name="_Toc168385140"/>
      <w:bookmarkStart w:id="4" w:name="_Toc168385201"/>
      <w:bookmarkStart w:id="5" w:name="_Toc168468406"/>
      <w:bookmarkStart w:id="6" w:name="_Toc287257034"/>
      <w:bookmarkStart w:id="7" w:name="_Toc287257089"/>
      <w:bookmarkStart w:id="8" w:name="_Toc290021778"/>
      <w:bookmarkStart w:id="9" w:name="_GoBack"/>
      <w:bookmarkEnd w:id="9"/>
    </w:p>
    <w:p w14:paraId="44339874" w14:textId="77777777" w:rsidR="00687B28" w:rsidRDefault="00687B28" w:rsidP="00687B28">
      <w:pPr>
        <w:pStyle w:val="NoSpacing"/>
        <w:rPr>
          <w:rFonts w:asciiTheme="minorHAnsi" w:hAnsiTheme="minorHAnsi"/>
          <w:szCs w:val="24"/>
        </w:rPr>
      </w:pPr>
    </w:p>
    <w:p w14:paraId="0A6C82E5" w14:textId="77777777" w:rsidR="00687B28" w:rsidRDefault="00687B28" w:rsidP="00687B28">
      <w:pPr>
        <w:pStyle w:val="NoSpacing"/>
        <w:rPr>
          <w:rFonts w:asciiTheme="minorHAnsi" w:hAnsiTheme="minorHAnsi"/>
          <w:szCs w:val="24"/>
        </w:rPr>
      </w:pPr>
    </w:p>
    <w:p w14:paraId="7FE63C1E" w14:textId="77777777" w:rsidR="00687B28" w:rsidRDefault="00687B28" w:rsidP="00687B28">
      <w:pPr>
        <w:pStyle w:val="NoSpacing"/>
        <w:rPr>
          <w:rFonts w:asciiTheme="minorHAnsi" w:hAnsiTheme="minorHAnsi"/>
          <w:szCs w:val="24"/>
        </w:rPr>
      </w:pPr>
    </w:p>
    <w:p w14:paraId="3E9D3C31" w14:textId="77777777" w:rsidR="00687B28" w:rsidRDefault="00687B28" w:rsidP="00687B28">
      <w:pPr>
        <w:pStyle w:val="NoSpacing"/>
        <w:rPr>
          <w:rFonts w:asciiTheme="minorHAnsi" w:hAnsiTheme="minorHAnsi"/>
          <w:szCs w:val="24"/>
        </w:rPr>
      </w:pPr>
    </w:p>
    <w:p w14:paraId="311AEFDB" w14:textId="77777777" w:rsidR="00687B28" w:rsidRPr="00CF4B78" w:rsidRDefault="00687B28" w:rsidP="00687B28">
      <w:pPr>
        <w:pStyle w:val="NoSpacing"/>
        <w:rPr>
          <w:rFonts w:asciiTheme="minorHAnsi" w:hAnsiTheme="minorHAnsi"/>
          <w:szCs w:val="24"/>
        </w:rPr>
      </w:pPr>
      <w:r w:rsidRPr="00CF4B78">
        <w:rPr>
          <w:rFonts w:asciiTheme="minorHAnsi" w:hAnsiTheme="minorHAnsi"/>
          <w:szCs w:val="24"/>
        </w:rPr>
        <w:t>SUPPORTING STATEMENT PART B FOR</w:t>
      </w:r>
    </w:p>
    <w:p w14:paraId="7170660B" w14:textId="77777777" w:rsidR="00687B28" w:rsidRPr="00CF4B78" w:rsidRDefault="00687B28" w:rsidP="00687B28">
      <w:pPr>
        <w:pStyle w:val="NoSpacing"/>
        <w:rPr>
          <w:rFonts w:asciiTheme="minorHAnsi" w:hAnsiTheme="minorHAnsi"/>
          <w:szCs w:val="24"/>
        </w:rPr>
      </w:pPr>
    </w:p>
    <w:p w14:paraId="0007AAC3" w14:textId="77777777" w:rsidR="004B4D10" w:rsidRDefault="004B4D10" w:rsidP="00FE34EA">
      <w:pPr>
        <w:jc w:val="center"/>
        <w:rPr>
          <w:rFonts w:asciiTheme="minorHAnsi" w:hAnsiTheme="minorHAnsi"/>
          <w:b/>
          <w:sz w:val="28"/>
          <w:szCs w:val="28"/>
        </w:rPr>
      </w:pPr>
      <w:r w:rsidRPr="004B4D10">
        <w:rPr>
          <w:rFonts w:asciiTheme="minorHAnsi" w:hAnsiTheme="minorHAnsi"/>
          <w:b/>
          <w:sz w:val="28"/>
          <w:szCs w:val="28"/>
        </w:rPr>
        <w:t>OMB Control Number 0584-NEW</w:t>
      </w:r>
    </w:p>
    <w:p w14:paraId="412EAA92" w14:textId="77777777" w:rsidR="004B4D10" w:rsidRDefault="004B4D10" w:rsidP="00FE34EA">
      <w:pPr>
        <w:jc w:val="center"/>
        <w:rPr>
          <w:rFonts w:asciiTheme="minorHAnsi" w:hAnsiTheme="minorHAnsi"/>
          <w:b/>
          <w:sz w:val="28"/>
          <w:szCs w:val="28"/>
        </w:rPr>
      </w:pPr>
    </w:p>
    <w:p w14:paraId="36527191" w14:textId="77777777" w:rsidR="004B4D10" w:rsidRDefault="004B4D10" w:rsidP="00FE34EA">
      <w:pPr>
        <w:jc w:val="center"/>
        <w:rPr>
          <w:rFonts w:asciiTheme="minorHAnsi" w:hAnsiTheme="minorHAnsi"/>
          <w:b/>
          <w:sz w:val="28"/>
          <w:szCs w:val="28"/>
        </w:rPr>
      </w:pPr>
    </w:p>
    <w:p w14:paraId="13DB9694" w14:textId="77777777" w:rsidR="004B4D10" w:rsidRDefault="004B4D10" w:rsidP="00FE34EA">
      <w:pPr>
        <w:jc w:val="center"/>
        <w:rPr>
          <w:rFonts w:asciiTheme="minorHAnsi" w:hAnsiTheme="minorHAnsi"/>
          <w:b/>
          <w:sz w:val="28"/>
          <w:szCs w:val="28"/>
        </w:rPr>
      </w:pPr>
    </w:p>
    <w:p w14:paraId="6A2C6981" w14:textId="77777777" w:rsidR="004B4D10" w:rsidRDefault="004B4D10" w:rsidP="00FE34EA">
      <w:pPr>
        <w:jc w:val="center"/>
        <w:rPr>
          <w:rFonts w:asciiTheme="minorHAnsi" w:hAnsiTheme="minorHAnsi"/>
          <w:b/>
          <w:sz w:val="28"/>
          <w:szCs w:val="28"/>
        </w:rPr>
      </w:pPr>
    </w:p>
    <w:p w14:paraId="44D86D7A" w14:textId="77777777" w:rsidR="004B4D10" w:rsidRDefault="004B4D10" w:rsidP="00FE34EA">
      <w:pPr>
        <w:jc w:val="center"/>
        <w:rPr>
          <w:rFonts w:asciiTheme="minorHAnsi" w:hAnsiTheme="minorHAnsi"/>
          <w:b/>
          <w:sz w:val="28"/>
          <w:szCs w:val="28"/>
        </w:rPr>
      </w:pPr>
    </w:p>
    <w:p w14:paraId="3DECC593" w14:textId="77777777" w:rsidR="004B4D10" w:rsidRDefault="004B4D10" w:rsidP="00FE34EA">
      <w:pPr>
        <w:jc w:val="center"/>
        <w:rPr>
          <w:rFonts w:asciiTheme="minorHAnsi" w:hAnsiTheme="minorHAnsi"/>
          <w:b/>
          <w:sz w:val="28"/>
          <w:szCs w:val="28"/>
        </w:rPr>
      </w:pPr>
    </w:p>
    <w:p w14:paraId="3F647397" w14:textId="77777777" w:rsidR="00FE34EA" w:rsidRPr="00CF4B78" w:rsidRDefault="00FE34EA" w:rsidP="00FE34EA">
      <w:pPr>
        <w:jc w:val="center"/>
        <w:rPr>
          <w:rFonts w:asciiTheme="minorHAnsi" w:hAnsiTheme="minorHAnsi"/>
          <w:b/>
          <w:sz w:val="28"/>
          <w:szCs w:val="28"/>
        </w:rPr>
      </w:pPr>
      <w:r w:rsidRPr="00CF4B78">
        <w:rPr>
          <w:rFonts w:asciiTheme="minorHAnsi" w:hAnsiTheme="minorHAnsi"/>
          <w:b/>
          <w:sz w:val="28"/>
          <w:szCs w:val="28"/>
        </w:rPr>
        <w:t>Assessment of the Barriers That Constrain the Adequacy of SNAP Allotments</w:t>
      </w:r>
    </w:p>
    <w:p w14:paraId="0BB343DF" w14:textId="77777777" w:rsidR="00687B28" w:rsidRPr="00CF4B78" w:rsidRDefault="00687B28" w:rsidP="00687B28">
      <w:pPr>
        <w:pStyle w:val="NoSpacing"/>
        <w:rPr>
          <w:rFonts w:asciiTheme="minorHAnsi" w:hAnsiTheme="minorHAnsi"/>
          <w:szCs w:val="24"/>
        </w:rPr>
      </w:pPr>
    </w:p>
    <w:p w14:paraId="773F7795" w14:textId="77777777" w:rsidR="00687B28" w:rsidRPr="00CF4B78" w:rsidRDefault="00687B28" w:rsidP="00687B28">
      <w:pPr>
        <w:pStyle w:val="NoSpacing"/>
        <w:rPr>
          <w:rFonts w:asciiTheme="minorHAnsi" w:hAnsiTheme="minorHAnsi"/>
          <w:szCs w:val="24"/>
        </w:rPr>
      </w:pPr>
    </w:p>
    <w:p w14:paraId="58DB8A76" w14:textId="77777777" w:rsidR="00687B28" w:rsidRDefault="004B4D10" w:rsidP="00687B28">
      <w:pPr>
        <w:pStyle w:val="NoSpacing"/>
        <w:rPr>
          <w:rFonts w:asciiTheme="minorHAnsi" w:hAnsiTheme="minorHAnsi"/>
          <w:szCs w:val="24"/>
        </w:rPr>
      </w:pPr>
      <w:r w:rsidRPr="004B4D10">
        <w:rPr>
          <w:rFonts w:asciiTheme="minorHAnsi" w:hAnsiTheme="minorHAnsi"/>
          <w:szCs w:val="24"/>
        </w:rPr>
        <w:t>Contract Officer Representative:</w:t>
      </w:r>
      <w:r>
        <w:rPr>
          <w:rFonts w:asciiTheme="minorHAnsi" w:hAnsiTheme="minorHAnsi"/>
          <w:szCs w:val="24"/>
        </w:rPr>
        <w:t xml:space="preserve"> </w:t>
      </w:r>
      <w:r w:rsidR="00FE34EA" w:rsidRPr="00CF4B78">
        <w:rPr>
          <w:rFonts w:asciiTheme="minorHAnsi" w:hAnsiTheme="minorHAnsi"/>
          <w:szCs w:val="24"/>
        </w:rPr>
        <w:t>Rosemarie Downer, PhD</w:t>
      </w:r>
    </w:p>
    <w:p w14:paraId="795BAA1B" w14:textId="77777777" w:rsidR="004B4D10" w:rsidRDefault="004B4D10" w:rsidP="00687B28">
      <w:pPr>
        <w:pStyle w:val="NoSpacing"/>
        <w:rPr>
          <w:rFonts w:asciiTheme="minorHAnsi" w:hAnsiTheme="minorHAnsi"/>
          <w:szCs w:val="24"/>
        </w:rPr>
      </w:pPr>
    </w:p>
    <w:p w14:paraId="4C99B476" w14:textId="77777777" w:rsidR="004B4D10" w:rsidRDefault="004B4D10" w:rsidP="00687B28">
      <w:pPr>
        <w:pStyle w:val="NoSpacing"/>
        <w:rPr>
          <w:rFonts w:asciiTheme="minorHAnsi" w:hAnsiTheme="minorHAnsi"/>
          <w:szCs w:val="24"/>
        </w:rPr>
      </w:pPr>
    </w:p>
    <w:p w14:paraId="3FACE703" w14:textId="77777777" w:rsidR="004B4D10" w:rsidRPr="00CF4B78" w:rsidRDefault="004B4D10" w:rsidP="00687B28">
      <w:pPr>
        <w:pStyle w:val="NoSpacing"/>
        <w:rPr>
          <w:rFonts w:asciiTheme="minorHAnsi" w:hAnsiTheme="minorHAnsi"/>
          <w:szCs w:val="24"/>
        </w:rPr>
      </w:pPr>
    </w:p>
    <w:p w14:paraId="67273741" w14:textId="77777777" w:rsidR="00687B28" w:rsidRPr="00CF4B78" w:rsidRDefault="00687B28" w:rsidP="00687B28">
      <w:pPr>
        <w:pStyle w:val="NoSpacing"/>
        <w:rPr>
          <w:rFonts w:asciiTheme="minorHAnsi" w:hAnsiTheme="minorHAnsi"/>
          <w:szCs w:val="24"/>
        </w:rPr>
      </w:pPr>
      <w:r w:rsidRPr="00CF4B78">
        <w:rPr>
          <w:rFonts w:asciiTheme="minorHAnsi" w:hAnsiTheme="minorHAnsi"/>
          <w:szCs w:val="24"/>
        </w:rPr>
        <w:t xml:space="preserve">Office of </w:t>
      </w:r>
      <w:r w:rsidR="00FE34EA" w:rsidRPr="00CF4B78">
        <w:rPr>
          <w:rFonts w:asciiTheme="minorHAnsi" w:hAnsiTheme="minorHAnsi"/>
          <w:szCs w:val="24"/>
        </w:rPr>
        <w:t>Policy Support</w:t>
      </w:r>
    </w:p>
    <w:p w14:paraId="667F984B" w14:textId="77777777" w:rsidR="004B4D10" w:rsidRDefault="004B4D10" w:rsidP="00687B28">
      <w:pPr>
        <w:pStyle w:val="NoSpacing"/>
        <w:rPr>
          <w:rFonts w:asciiTheme="minorHAnsi" w:hAnsiTheme="minorHAnsi"/>
          <w:szCs w:val="24"/>
        </w:rPr>
      </w:pPr>
      <w:r>
        <w:rPr>
          <w:rFonts w:asciiTheme="minorHAnsi" w:hAnsiTheme="minorHAnsi"/>
          <w:szCs w:val="24"/>
        </w:rPr>
        <w:t xml:space="preserve">USDA, </w:t>
      </w:r>
      <w:r w:rsidR="00687B28" w:rsidRPr="00CF4B78">
        <w:rPr>
          <w:rFonts w:asciiTheme="minorHAnsi" w:hAnsiTheme="minorHAnsi"/>
          <w:szCs w:val="24"/>
        </w:rPr>
        <w:t>Food and Nutrition Service</w:t>
      </w:r>
    </w:p>
    <w:p w14:paraId="480273BA" w14:textId="77777777" w:rsidR="00687B28" w:rsidRPr="00CF4B78" w:rsidRDefault="00687B28" w:rsidP="00687B28">
      <w:pPr>
        <w:pStyle w:val="NoSpacing"/>
        <w:rPr>
          <w:rFonts w:asciiTheme="minorHAnsi" w:hAnsiTheme="minorHAnsi"/>
          <w:szCs w:val="24"/>
        </w:rPr>
      </w:pPr>
      <w:r w:rsidRPr="00CF4B78">
        <w:rPr>
          <w:rFonts w:asciiTheme="minorHAnsi" w:hAnsiTheme="minorHAnsi"/>
          <w:szCs w:val="24"/>
        </w:rPr>
        <w:t>3101 Park Center Drive</w:t>
      </w:r>
    </w:p>
    <w:p w14:paraId="211E716D" w14:textId="77777777" w:rsidR="00687B28" w:rsidRPr="00CF4B78" w:rsidRDefault="00687B28" w:rsidP="00687B28">
      <w:pPr>
        <w:pStyle w:val="NoSpacing"/>
        <w:rPr>
          <w:rFonts w:asciiTheme="minorHAnsi" w:hAnsiTheme="minorHAnsi"/>
          <w:szCs w:val="24"/>
        </w:rPr>
      </w:pPr>
      <w:r w:rsidRPr="00CF4B78">
        <w:rPr>
          <w:rFonts w:asciiTheme="minorHAnsi" w:hAnsiTheme="minorHAnsi"/>
          <w:szCs w:val="24"/>
        </w:rPr>
        <w:t>Alexandria, VA 22302</w:t>
      </w:r>
    </w:p>
    <w:p w14:paraId="27F227AF" w14:textId="77777777" w:rsidR="00687B28" w:rsidRDefault="00687B28" w:rsidP="00687B28">
      <w:pPr>
        <w:pStyle w:val="NoSpacing"/>
        <w:rPr>
          <w:rFonts w:asciiTheme="minorHAnsi" w:hAnsiTheme="minorHAnsi"/>
          <w:szCs w:val="24"/>
        </w:rPr>
      </w:pPr>
    </w:p>
    <w:p w14:paraId="0FE92A30" w14:textId="77777777" w:rsidR="004B4D10" w:rsidRPr="00CF4B78" w:rsidRDefault="004B4D10" w:rsidP="00687B28">
      <w:pPr>
        <w:pStyle w:val="NoSpacing"/>
        <w:rPr>
          <w:rFonts w:asciiTheme="minorHAnsi" w:hAnsiTheme="minorHAnsi"/>
          <w:szCs w:val="24"/>
        </w:rPr>
      </w:pPr>
    </w:p>
    <w:p w14:paraId="7F041D18" w14:textId="77777777" w:rsidR="00687B28" w:rsidRPr="00CF4B78" w:rsidRDefault="00687B28" w:rsidP="00687B28">
      <w:pPr>
        <w:pStyle w:val="NoSpacing"/>
        <w:rPr>
          <w:rFonts w:asciiTheme="minorHAnsi" w:hAnsiTheme="minorHAnsi"/>
          <w:szCs w:val="24"/>
        </w:rPr>
      </w:pPr>
    </w:p>
    <w:p w14:paraId="5BDD219F" w14:textId="77777777" w:rsidR="00687B28" w:rsidRPr="00CF4B78" w:rsidRDefault="00687B28" w:rsidP="00687B28">
      <w:pPr>
        <w:pStyle w:val="NoSpacing"/>
        <w:rPr>
          <w:rFonts w:asciiTheme="minorHAnsi" w:hAnsiTheme="minorHAnsi"/>
          <w:szCs w:val="24"/>
        </w:rPr>
      </w:pPr>
    </w:p>
    <w:p w14:paraId="4D5FACFF" w14:textId="77777777" w:rsidR="006669C6" w:rsidRDefault="00B83049" w:rsidP="00687B28">
      <w:pPr>
        <w:spacing w:after="200" w:line="276" w:lineRule="auto"/>
        <w:jc w:val="center"/>
        <w:rPr>
          <w:rFonts w:asciiTheme="minorHAnsi" w:hAnsiTheme="minorHAnsi"/>
          <w:b/>
          <w:szCs w:val="24"/>
        </w:rPr>
        <w:sectPr w:rsidR="006669C6" w:rsidSect="00687B28">
          <w:footerReference w:type="default" r:id="rId9"/>
          <w:footerReference w:type="first" r:id="rId10"/>
          <w:endnotePr>
            <w:numFmt w:val="decimal"/>
          </w:endnotePr>
          <w:type w:val="continuous"/>
          <w:pgSz w:w="12240" w:h="15840" w:code="1"/>
          <w:pgMar w:top="1440" w:right="1440" w:bottom="1440" w:left="1440" w:header="720" w:footer="576" w:gutter="0"/>
          <w:pgNumType w:start="0"/>
          <w:cols w:space="720"/>
          <w:noEndnote/>
          <w:titlePg/>
          <w:docGrid w:linePitch="212"/>
        </w:sectPr>
      </w:pPr>
      <w:r>
        <w:rPr>
          <w:rFonts w:asciiTheme="minorHAnsi" w:hAnsiTheme="minorHAnsi"/>
          <w:b/>
          <w:szCs w:val="24"/>
        </w:rPr>
        <w:t>February 9</w:t>
      </w:r>
      <w:r w:rsidR="00FE34EA" w:rsidRPr="00CF4B78">
        <w:rPr>
          <w:rFonts w:asciiTheme="minorHAnsi" w:hAnsiTheme="minorHAnsi"/>
          <w:b/>
          <w:szCs w:val="24"/>
        </w:rPr>
        <w:t xml:space="preserve">, </w:t>
      </w:r>
      <w:r>
        <w:rPr>
          <w:rFonts w:asciiTheme="minorHAnsi" w:hAnsiTheme="minorHAnsi"/>
          <w:b/>
          <w:szCs w:val="24"/>
        </w:rPr>
        <w:t>2017</w:t>
      </w:r>
    </w:p>
    <w:p w14:paraId="6A7CA37A" w14:textId="77777777" w:rsidR="006669C6" w:rsidRPr="00403594" w:rsidRDefault="006669C6" w:rsidP="006669C6">
      <w:pPr>
        <w:pStyle w:val="TC-TableofContentsHeading"/>
        <w:rPr>
          <w:rFonts w:ascii="Garamond" w:hAnsi="Garamond"/>
        </w:rPr>
      </w:pPr>
      <w:bookmarkStart w:id="10" w:name="_Toc329675294"/>
      <w:bookmarkStart w:id="11" w:name="_Toc329675882"/>
      <w:r w:rsidRPr="00403594">
        <w:rPr>
          <w:rFonts w:ascii="Garamond" w:hAnsi="Garamond"/>
        </w:rPr>
        <w:lastRenderedPageBreak/>
        <w:t>Table of Contents</w:t>
      </w:r>
      <w:bookmarkEnd w:id="10"/>
      <w:bookmarkEnd w:id="11"/>
    </w:p>
    <w:p w14:paraId="4A986E4A" w14:textId="77777777" w:rsidR="006669C6" w:rsidRPr="007D3182" w:rsidRDefault="006669C6" w:rsidP="00095EAC">
      <w:pPr>
        <w:pStyle w:val="T0-ChapPgHd"/>
        <w:tabs>
          <w:tab w:val="clear" w:pos="8640"/>
          <w:tab w:val="left" w:pos="8460"/>
        </w:tabs>
        <w:rPr>
          <w:rFonts w:ascii="Garamond" w:hAnsi="Garamond"/>
          <w:szCs w:val="24"/>
        </w:rPr>
      </w:pPr>
      <w:r w:rsidRPr="007D3182">
        <w:rPr>
          <w:rFonts w:ascii="Garamond" w:hAnsi="Garamond"/>
          <w:szCs w:val="24"/>
        </w:rPr>
        <w:t>Chapter</w:t>
      </w:r>
      <w:r w:rsidRPr="007D3182">
        <w:rPr>
          <w:rFonts w:ascii="Garamond" w:hAnsi="Garamond"/>
          <w:szCs w:val="24"/>
        </w:rPr>
        <w:tab/>
        <w:t>Page</w:t>
      </w:r>
    </w:p>
    <w:p w14:paraId="54CBE718" w14:textId="77777777" w:rsidR="005A017D" w:rsidRPr="00E425A0" w:rsidRDefault="005A017D" w:rsidP="004608A3">
      <w:pPr>
        <w:pStyle w:val="TOC1"/>
        <w:rPr>
          <w:rFonts w:eastAsiaTheme="minorEastAsia"/>
        </w:rPr>
      </w:pPr>
      <w:r w:rsidRPr="00E425A0">
        <w:t>B</w:t>
      </w:r>
      <w:r w:rsidRPr="00E425A0">
        <w:rPr>
          <w:rFonts w:eastAsiaTheme="minorEastAsia"/>
        </w:rPr>
        <w:tab/>
      </w:r>
      <w:r w:rsidRPr="00E425A0">
        <w:t>C</w:t>
      </w:r>
      <w:r w:rsidR="0010228F">
        <w:t>ollections o</w:t>
      </w:r>
      <w:r w:rsidRPr="00E425A0">
        <w:t>f Information Employing Statistical Method</w:t>
      </w:r>
      <w:r>
        <w:t>s</w:t>
      </w:r>
      <w:r w:rsidRPr="00E425A0">
        <w:tab/>
      </w:r>
      <w:r>
        <w:tab/>
      </w:r>
      <w:r w:rsidRPr="00E425A0">
        <w:t>1</w:t>
      </w:r>
    </w:p>
    <w:p w14:paraId="2D6D783C" w14:textId="77777777" w:rsidR="005A017D" w:rsidRDefault="005A017D" w:rsidP="003471BE">
      <w:pPr>
        <w:pStyle w:val="TOC2"/>
      </w:pPr>
      <w:r w:rsidRPr="00E425A0">
        <w:t>B.1.</w:t>
      </w:r>
      <w:r w:rsidRPr="00E425A0">
        <w:rPr>
          <w:rFonts w:eastAsiaTheme="minorEastAsia"/>
        </w:rPr>
        <w:tab/>
      </w:r>
      <w:r w:rsidRPr="00E425A0">
        <w:t>Describe (including a numerical estimate) the Potential Respondent Universe and any Sampling or Other Respondent Selection Method to be Used.</w:t>
      </w:r>
      <w:r w:rsidRPr="00E425A0">
        <w:tab/>
      </w:r>
      <w:r>
        <w:tab/>
      </w:r>
      <w:r w:rsidRPr="00E425A0">
        <w:t>1</w:t>
      </w:r>
    </w:p>
    <w:p w14:paraId="5BAA5A94" w14:textId="77777777" w:rsidR="005A017D" w:rsidRPr="00E425A0" w:rsidRDefault="005A017D" w:rsidP="004437BD">
      <w:pPr>
        <w:pStyle w:val="TOC3"/>
        <w:rPr>
          <w:rFonts w:eastAsiaTheme="minorEastAsia"/>
        </w:rPr>
      </w:pPr>
      <w:r w:rsidRPr="00E425A0">
        <w:t>B.1.1.</w:t>
      </w:r>
      <w:r w:rsidRPr="00E425A0">
        <w:rPr>
          <w:rFonts w:eastAsiaTheme="minorEastAsia"/>
        </w:rPr>
        <w:tab/>
      </w:r>
      <w:r w:rsidRPr="00E425A0">
        <w:t>Respondent Universe</w:t>
      </w:r>
      <w:r w:rsidRPr="00E425A0">
        <w:tab/>
      </w:r>
      <w:r w:rsidR="00FF2795">
        <w:tab/>
      </w:r>
      <w:r w:rsidRPr="00E425A0">
        <w:t>1</w:t>
      </w:r>
    </w:p>
    <w:p w14:paraId="3161D63A" w14:textId="77777777" w:rsidR="005A017D" w:rsidRPr="00E425A0" w:rsidRDefault="005A017D" w:rsidP="004437BD">
      <w:pPr>
        <w:pStyle w:val="TOC3"/>
        <w:rPr>
          <w:rFonts w:eastAsiaTheme="minorEastAsia"/>
        </w:rPr>
      </w:pPr>
      <w:r w:rsidRPr="00E425A0">
        <w:t>B.1.2.</w:t>
      </w:r>
      <w:r w:rsidRPr="00E425A0">
        <w:rPr>
          <w:rFonts w:eastAsiaTheme="minorEastAsia"/>
        </w:rPr>
        <w:tab/>
      </w:r>
      <w:r w:rsidRPr="00E425A0">
        <w:t>Sampling Methods</w:t>
      </w:r>
      <w:r w:rsidRPr="00E425A0">
        <w:tab/>
      </w:r>
      <w:r w:rsidR="004608A3">
        <w:tab/>
      </w:r>
      <w:r w:rsidRPr="00E425A0">
        <w:t>1</w:t>
      </w:r>
    </w:p>
    <w:p w14:paraId="11644F95" w14:textId="77777777" w:rsidR="005A017D" w:rsidRPr="00E425A0" w:rsidRDefault="005A017D" w:rsidP="004437BD">
      <w:pPr>
        <w:pStyle w:val="TOC3"/>
        <w:rPr>
          <w:rFonts w:eastAsiaTheme="minorEastAsia"/>
        </w:rPr>
      </w:pPr>
      <w:r w:rsidRPr="00E425A0">
        <w:t>B.1.3.</w:t>
      </w:r>
      <w:r w:rsidRPr="00E425A0">
        <w:rPr>
          <w:rFonts w:eastAsiaTheme="minorEastAsia"/>
        </w:rPr>
        <w:tab/>
      </w:r>
      <w:r w:rsidRPr="00E425A0">
        <w:t>Response Rates and Sample Size</w:t>
      </w:r>
      <w:r w:rsidRPr="00E425A0">
        <w:tab/>
      </w:r>
      <w:r w:rsidR="004608A3">
        <w:tab/>
      </w:r>
      <w:r w:rsidRPr="00E425A0">
        <w:t>4</w:t>
      </w:r>
    </w:p>
    <w:p w14:paraId="504DB8CE" w14:textId="77777777" w:rsidR="005A017D" w:rsidRDefault="005A017D" w:rsidP="003471BE">
      <w:pPr>
        <w:pStyle w:val="TOC2"/>
      </w:pPr>
      <w:r w:rsidRPr="00E425A0">
        <w:t>B.2.</w:t>
      </w:r>
      <w:r w:rsidRPr="00E425A0">
        <w:rPr>
          <w:rFonts w:eastAsiaTheme="minorEastAsia"/>
        </w:rPr>
        <w:tab/>
      </w:r>
      <w:r w:rsidRPr="00E425A0">
        <w:t>Describe the Procedures for the Collection of Information</w:t>
      </w:r>
      <w:r w:rsidRPr="00E425A0">
        <w:tab/>
      </w:r>
      <w:r w:rsidR="004608A3">
        <w:tab/>
      </w:r>
      <w:r w:rsidRPr="00E425A0">
        <w:t>6</w:t>
      </w:r>
    </w:p>
    <w:p w14:paraId="50B7A115" w14:textId="77777777" w:rsidR="005A017D" w:rsidRPr="00E425A0" w:rsidRDefault="005A017D" w:rsidP="004437BD">
      <w:pPr>
        <w:pStyle w:val="TOC3"/>
        <w:rPr>
          <w:rFonts w:eastAsiaTheme="minorEastAsia"/>
        </w:rPr>
      </w:pPr>
      <w:r w:rsidRPr="00E425A0">
        <w:t>B.2.1.</w:t>
      </w:r>
      <w:r w:rsidRPr="00E425A0">
        <w:rPr>
          <w:rFonts w:eastAsiaTheme="minorEastAsia"/>
        </w:rPr>
        <w:tab/>
      </w:r>
      <w:r w:rsidRPr="00E425A0">
        <w:t>Statistical Methodology for Stratification and Sample Selection</w:t>
      </w:r>
      <w:r w:rsidRPr="00E425A0">
        <w:tab/>
      </w:r>
      <w:r w:rsidR="004608A3">
        <w:tab/>
      </w:r>
      <w:r w:rsidRPr="00E425A0">
        <w:t>6</w:t>
      </w:r>
    </w:p>
    <w:p w14:paraId="2FAB9233" w14:textId="77777777" w:rsidR="005A017D" w:rsidRPr="00E425A0" w:rsidRDefault="005A017D" w:rsidP="004437BD">
      <w:pPr>
        <w:pStyle w:val="TOC3"/>
        <w:rPr>
          <w:rFonts w:eastAsiaTheme="minorEastAsia"/>
        </w:rPr>
      </w:pPr>
      <w:r w:rsidRPr="00E425A0">
        <w:t>B.2.2.</w:t>
      </w:r>
      <w:r w:rsidRPr="00E425A0">
        <w:rPr>
          <w:rFonts w:eastAsiaTheme="minorEastAsia"/>
        </w:rPr>
        <w:tab/>
      </w:r>
      <w:r w:rsidRPr="00E425A0">
        <w:t>Estimation Procedures</w:t>
      </w:r>
      <w:r w:rsidRPr="00E425A0">
        <w:tab/>
      </w:r>
      <w:r w:rsidR="004608A3">
        <w:tab/>
      </w:r>
      <w:r w:rsidRPr="00E425A0">
        <w:t>7</w:t>
      </w:r>
    </w:p>
    <w:p w14:paraId="641473C2" w14:textId="77777777" w:rsidR="005A017D" w:rsidRPr="00E425A0" w:rsidRDefault="005A017D" w:rsidP="004437BD">
      <w:pPr>
        <w:pStyle w:val="TOC3"/>
        <w:rPr>
          <w:rFonts w:eastAsiaTheme="minorEastAsia"/>
        </w:rPr>
      </w:pPr>
      <w:r w:rsidRPr="00E425A0">
        <w:t>B.2.3.</w:t>
      </w:r>
      <w:r w:rsidRPr="00E425A0">
        <w:rPr>
          <w:rFonts w:eastAsiaTheme="minorEastAsia"/>
        </w:rPr>
        <w:tab/>
      </w:r>
      <w:r w:rsidRPr="00E425A0">
        <w:t>Degree of Precision Needed for the Purpose Described in the Justification</w:t>
      </w:r>
      <w:r w:rsidRPr="00E425A0">
        <w:tab/>
      </w:r>
      <w:r w:rsidR="004608A3">
        <w:tab/>
      </w:r>
      <w:r w:rsidRPr="00E425A0">
        <w:t>9</w:t>
      </w:r>
    </w:p>
    <w:p w14:paraId="7FA9D362" w14:textId="77777777" w:rsidR="005A017D" w:rsidRPr="00E425A0" w:rsidRDefault="005A017D" w:rsidP="004437BD">
      <w:pPr>
        <w:pStyle w:val="TOC3"/>
        <w:rPr>
          <w:rFonts w:eastAsiaTheme="minorEastAsia"/>
        </w:rPr>
      </w:pPr>
      <w:r w:rsidRPr="00E425A0">
        <w:t>B.2.4.</w:t>
      </w:r>
      <w:r w:rsidRPr="00E425A0">
        <w:rPr>
          <w:rFonts w:eastAsiaTheme="minorEastAsia"/>
        </w:rPr>
        <w:tab/>
      </w:r>
      <w:r w:rsidRPr="00E425A0">
        <w:t>Unusual Problems Requiring Specialized Sampling Procedures</w:t>
      </w:r>
      <w:r w:rsidRPr="00E425A0">
        <w:tab/>
      </w:r>
      <w:r w:rsidR="004608A3">
        <w:tab/>
      </w:r>
      <w:r w:rsidRPr="00E425A0">
        <w:t>12</w:t>
      </w:r>
    </w:p>
    <w:p w14:paraId="311F44BF" w14:textId="77777777" w:rsidR="005A017D" w:rsidRPr="00E425A0" w:rsidRDefault="005A017D" w:rsidP="004437BD">
      <w:pPr>
        <w:pStyle w:val="TOC3"/>
        <w:rPr>
          <w:rFonts w:eastAsiaTheme="minorEastAsia"/>
        </w:rPr>
      </w:pPr>
      <w:r w:rsidRPr="00E425A0">
        <w:t>B.2.5.</w:t>
      </w:r>
      <w:r w:rsidRPr="00E425A0">
        <w:rPr>
          <w:rFonts w:eastAsiaTheme="minorEastAsia"/>
        </w:rPr>
        <w:tab/>
      </w:r>
      <w:r w:rsidRPr="00E425A0">
        <w:t>Any use of Periodic (less frequent than annual) Data Collection Cycles to Reduce Burden</w:t>
      </w:r>
      <w:r w:rsidRPr="00E425A0">
        <w:tab/>
      </w:r>
      <w:r w:rsidR="004608A3">
        <w:tab/>
      </w:r>
      <w:r w:rsidRPr="00E425A0">
        <w:t>12</w:t>
      </w:r>
    </w:p>
    <w:p w14:paraId="179D2DD4" w14:textId="77777777" w:rsidR="005A017D" w:rsidRPr="00E425A0" w:rsidRDefault="005A017D" w:rsidP="003471BE">
      <w:pPr>
        <w:pStyle w:val="TOC2"/>
        <w:rPr>
          <w:rFonts w:eastAsiaTheme="minorEastAsia"/>
        </w:rPr>
      </w:pPr>
      <w:r w:rsidRPr="00E425A0">
        <w:t>B.3.</w:t>
      </w:r>
      <w:r w:rsidRPr="00E425A0">
        <w:rPr>
          <w:rFonts w:eastAsiaTheme="minorEastAsia"/>
        </w:rPr>
        <w:tab/>
      </w:r>
      <w:r w:rsidRPr="00E425A0">
        <w:t>Describe Methods to Maximize Response Rates and to Deal with Issues of Non-Response.</w:t>
      </w:r>
      <w:r w:rsidRPr="00E425A0">
        <w:tab/>
      </w:r>
      <w:r w:rsidR="004608A3">
        <w:tab/>
      </w:r>
      <w:r w:rsidRPr="00E425A0">
        <w:t>12</w:t>
      </w:r>
    </w:p>
    <w:p w14:paraId="03F3DAB6" w14:textId="77777777" w:rsidR="005A017D" w:rsidRPr="00E425A0" w:rsidRDefault="005A017D" w:rsidP="003471BE">
      <w:pPr>
        <w:pStyle w:val="TOC2"/>
        <w:rPr>
          <w:rFonts w:eastAsiaTheme="minorEastAsia"/>
        </w:rPr>
      </w:pPr>
      <w:r w:rsidRPr="00E425A0">
        <w:t>B.4.</w:t>
      </w:r>
      <w:r w:rsidRPr="00E425A0">
        <w:rPr>
          <w:rFonts w:eastAsiaTheme="minorEastAsia"/>
        </w:rPr>
        <w:tab/>
      </w:r>
      <w:r w:rsidRPr="00E425A0">
        <w:t>Describe any Test of Procedures or Methods to be Undertaken.</w:t>
      </w:r>
      <w:r w:rsidRPr="00E425A0">
        <w:tab/>
      </w:r>
      <w:r w:rsidR="004437BD">
        <w:tab/>
      </w:r>
      <w:r w:rsidRPr="00E425A0">
        <w:t>14</w:t>
      </w:r>
    </w:p>
    <w:p w14:paraId="3D1A308A" w14:textId="77777777" w:rsidR="005A017D" w:rsidRPr="00E425A0" w:rsidRDefault="005A017D" w:rsidP="003471BE">
      <w:pPr>
        <w:pStyle w:val="TOC2"/>
        <w:rPr>
          <w:rFonts w:eastAsiaTheme="minorEastAsia"/>
        </w:rPr>
      </w:pPr>
      <w:r w:rsidRPr="00E425A0">
        <w:t>B.5.</w:t>
      </w:r>
      <w:r w:rsidRPr="00E425A0">
        <w:rPr>
          <w:rFonts w:eastAsiaTheme="minorEastAsia"/>
        </w:rPr>
        <w:tab/>
      </w:r>
      <w:r w:rsidRPr="00E425A0">
        <w:t>Provide the Name and Telephone Number of Individuals Consulted on Statistical Aspects of the Design and the Name of the Agency, Unit, Contractor(s), Grantee(s), or Other Person(s) Who Will Actually Collect and/or Analyze the Information for the Agency.</w:t>
      </w:r>
      <w:r w:rsidRPr="00E425A0">
        <w:tab/>
      </w:r>
      <w:r w:rsidR="004437BD">
        <w:tab/>
      </w:r>
      <w:r w:rsidRPr="00E425A0">
        <w:t>14</w:t>
      </w:r>
    </w:p>
    <w:p w14:paraId="30C4EF5B" w14:textId="77777777" w:rsidR="00687B28" w:rsidRDefault="00687B28" w:rsidP="004608A3">
      <w:pPr>
        <w:pStyle w:val="TOC1"/>
        <w:rPr>
          <w:rFonts w:eastAsiaTheme="minorEastAsia"/>
          <w:noProof/>
        </w:rPr>
      </w:pPr>
    </w:p>
    <w:p w14:paraId="0E1F4C01" w14:textId="77777777" w:rsidR="00095EAC" w:rsidRPr="00534EED" w:rsidRDefault="00095EAC" w:rsidP="00095EAC">
      <w:pPr>
        <w:pStyle w:val="T0-ChapPgHd"/>
        <w:rPr>
          <w:rFonts w:ascii="Garamond" w:eastAsiaTheme="minorEastAsia" w:hAnsi="Garamond"/>
        </w:rPr>
      </w:pPr>
      <w:r w:rsidRPr="00534EED">
        <w:rPr>
          <w:rFonts w:ascii="Garamond" w:eastAsiaTheme="minorEastAsia" w:hAnsi="Garamond"/>
        </w:rPr>
        <w:t>Tables</w:t>
      </w:r>
    </w:p>
    <w:p w14:paraId="61B382F3" w14:textId="77777777" w:rsidR="00095EAC" w:rsidRPr="00E425A0" w:rsidRDefault="00095EAC" w:rsidP="005A017D">
      <w:pPr>
        <w:pStyle w:val="TOC5"/>
        <w:rPr>
          <w:rFonts w:eastAsiaTheme="minorEastAsia"/>
        </w:rPr>
      </w:pPr>
      <w:r w:rsidRPr="00E425A0">
        <w:t>B-1</w:t>
      </w:r>
      <w:r w:rsidRPr="00E425A0">
        <w:rPr>
          <w:rFonts w:eastAsiaTheme="minorEastAsia"/>
        </w:rPr>
        <w:tab/>
      </w:r>
      <w:r w:rsidRPr="00E425A0">
        <w:t>Sample size</w:t>
      </w:r>
      <w:r w:rsidRPr="00E425A0">
        <w:tab/>
      </w:r>
      <w:r w:rsidR="003471BE">
        <w:tab/>
      </w:r>
      <w:r w:rsidRPr="00E425A0">
        <w:t>5</w:t>
      </w:r>
    </w:p>
    <w:p w14:paraId="3EB39425" w14:textId="77777777" w:rsidR="00095EAC" w:rsidRPr="00E425A0" w:rsidRDefault="00095EAC" w:rsidP="005A017D">
      <w:pPr>
        <w:pStyle w:val="TOC5"/>
        <w:rPr>
          <w:rFonts w:eastAsiaTheme="minorEastAsia"/>
        </w:rPr>
      </w:pPr>
      <w:r w:rsidRPr="00E425A0">
        <w:t>B-2</w:t>
      </w:r>
      <w:r w:rsidRPr="00E425A0">
        <w:rPr>
          <w:rFonts w:eastAsiaTheme="minorEastAsia"/>
        </w:rPr>
        <w:tab/>
      </w:r>
      <w:r w:rsidRPr="00E425A0">
        <w:t>Expected 95-percent confidence bounds for selected sample sizes and prevalences</w:t>
      </w:r>
      <w:r w:rsidRPr="00E425A0">
        <w:tab/>
      </w:r>
      <w:r w:rsidR="003471BE">
        <w:tab/>
      </w:r>
      <w:r w:rsidRPr="00E425A0">
        <w:t>10</w:t>
      </w:r>
    </w:p>
    <w:p w14:paraId="0A47308D" w14:textId="77777777" w:rsidR="00095EAC" w:rsidRPr="00E425A0" w:rsidRDefault="00095EAC" w:rsidP="005A017D">
      <w:pPr>
        <w:pStyle w:val="TOC5"/>
        <w:rPr>
          <w:rFonts w:eastAsiaTheme="minorEastAsia"/>
        </w:rPr>
      </w:pPr>
      <w:r w:rsidRPr="00E425A0">
        <w:t>B-3</w:t>
      </w:r>
      <w:r w:rsidRPr="00E425A0">
        <w:rPr>
          <w:rFonts w:eastAsiaTheme="minorEastAsia"/>
        </w:rPr>
        <w:tab/>
      </w:r>
      <w:r w:rsidRPr="00E425A0">
        <w:t>Minimum detectable difference* between subgroups for selected sample sizes and prevalences (P)</w:t>
      </w:r>
      <w:r w:rsidRPr="00E425A0">
        <w:tab/>
      </w:r>
      <w:r w:rsidR="003471BE">
        <w:tab/>
      </w:r>
      <w:r w:rsidRPr="00E425A0">
        <w:t>11</w:t>
      </w:r>
    </w:p>
    <w:p w14:paraId="681E5448" w14:textId="77777777" w:rsidR="00095EAC" w:rsidRPr="00E425A0" w:rsidRDefault="00095EAC" w:rsidP="005A017D">
      <w:pPr>
        <w:pStyle w:val="TOC5"/>
        <w:rPr>
          <w:rFonts w:eastAsiaTheme="minorEastAsia"/>
        </w:rPr>
      </w:pPr>
      <w:r w:rsidRPr="00E425A0">
        <w:t>B-4</w:t>
      </w:r>
      <w:r w:rsidRPr="00E425A0">
        <w:rPr>
          <w:rFonts w:eastAsiaTheme="minorEastAsia"/>
        </w:rPr>
        <w:tab/>
      </w:r>
      <w:r w:rsidRPr="00E425A0">
        <w:t>Power for 5-percent minimum detectable difference for comparison between unequal-sized subgroups, n = 4,800</w:t>
      </w:r>
      <w:r w:rsidRPr="00E425A0">
        <w:tab/>
      </w:r>
      <w:r w:rsidR="003471BE">
        <w:tab/>
      </w:r>
      <w:r w:rsidRPr="00E425A0">
        <w:t>12</w:t>
      </w:r>
    </w:p>
    <w:p w14:paraId="6E943DCC" w14:textId="77777777" w:rsidR="00095EAC" w:rsidRDefault="00095EAC"/>
    <w:p w14:paraId="4813ADAD" w14:textId="77777777" w:rsidR="00095EAC" w:rsidRPr="00534EED" w:rsidRDefault="00095EAC" w:rsidP="00095EAC">
      <w:pPr>
        <w:pStyle w:val="T0-ChapPgHd"/>
        <w:rPr>
          <w:rFonts w:ascii="Garamond" w:eastAsiaTheme="minorEastAsia" w:hAnsi="Garamond"/>
        </w:rPr>
      </w:pPr>
      <w:r w:rsidRPr="00534EED">
        <w:rPr>
          <w:rFonts w:ascii="Garamond" w:eastAsiaTheme="minorEastAsia" w:hAnsi="Garamond"/>
        </w:rPr>
        <w:t>Figure</w:t>
      </w:r>
    </w:p>
    <w:p w14:paraId="35FA9559" w14:textId="77777777" w:rsidR="00095EAC" w:rsidRDefault="00095EAC" w:rsidP="00095EAC">
      <w:pPr>
        <w:pStyle w:val="TOC5"/>
      </w:pPr>
      <w:r w:rsidRPr="00E425A0">
        <w:t>1</w:t>
      </w:r>
      <w:r w:rsidRPr="00E425A0">
        <w:rPr>
          <w:rFonts w:eastAsiaTheme="minorEastAsia"/>
        </w:rPr>
        <w:tab/>
      </w:r>
      <w:r w:rsidRPr="00E425A0">
        <w:t>Overview of sampling approach</w:t>
      </w:r>
      <w:r w:rsidRPr="00E425A0">
        <w:tab/>
      </w:r>
      <w:r w:rsidR="00101A03">
        <w:tab/>
      </w:r>
      <w:r w:rsidRPr="00E425A0">
        <w:t>3</w:t>
      </w:r>
    </w:p>
    <w:p w14:paraId="69404674" w14:textId="77777777" w:rsidR="000673CF" w:rsidRDefault="000673CF">
      <w:pPr>
        <w:spacing w:after="200" w:line="276" w:lineRule="auto"/>
        <w:rPr>
          <w:spacing w:val="-20"/>
        </w:rPr>
        <w:sectPr w:rsidR="000673CF" w:rsidSect="00B317FF">
          <w:footerReference w:type="first" r:id="rId11"/>
          <w:endnotePr>
            <w:numFmt w:val="decimal"/>
          </w:endnotePr>
          <w:pgSz w:w="12240" w:h="15840" w:code="1"/>
          <w:pgMar w:top="1440" w:right="1440" w:bottom="1440" w:left="1440" w:header="720" w:footer="576" w:gutter="0"/>
          <w:pgNumType w:fmt="lowerRoman" w:start="1"/>
          <w:cols w:space="720"/>
          <w:noEndnote/>
          <w:titlePg/>
          <w:docGrid w:linePitch="212"/>
        </w:sectPr>
      </w:pPr>
      <w:bookmarkStart w:id="12" w:name="_Toc329674959"/>
    </w:p>
    <w:p w14:paraId="61DBC926" w14:textId="77777777" w:rsidR="00C80391" w:rsidRPr="009B2321" w:rsidRDefault="00C80391" w:rsidP="00C80391">
      <w:pPr>
        <w:pStyle w:val="Heading1"/>
      </w:pPr>
      <w:r w:rsidRPr="009B2321">
        <w:rPr>
          <w:spacing w:val="-20"/>
        </w:rPr>
        <w:lastRenderedPageBreak/>
        <w:t>PART</w:t>
      </w:r>
      <w:r w:rsidRPr="009B2321">
        <w:t xml:space="preserve"> B.</w:t>
      </w:r>
      <w:r w:rsidRPr="009B2321">
        <w:tab/>
        <w:t>COLLECTIONS OF INFORMATION EMPLOYING STATISTICAL METHODS</w:t>
      </w:r>
      <w:bookmarkEnd w:id="12"/>
    </w:p>
    <w:p w14:paraId="47C09E0E" w14:textId="77777777" w:rsidR="00C80391" w:rsidRDefault="00C80391" w:rsidP="00C80391">
      <w:pPr>
        <w:pStyle w:val="Heading2"/>
      </w:pPr>
      <w:bookmarkStart w:id="13" w:name="_Toc329674960"/>
      <w:r w:rsidRPr="007E5066">
        <w:t>B.1.</w:t>
      </w:r>
      <w:r w:rsidRPr="007E5066">
        <w:tab/>
        <w:t xml:space="preserve">Describe (including a numerical estimate) the Potential Respondent Universe and any Sampling or Other Respondent Selection Method to be </w:t>
      </w:r>
      <w:r>
        <w:t>U</w:t>
      </w:r>
      <w:r w:rsidRPr="007E5066">
        <w:t>sed.</w:t>
      </w:r>
      <w:bookmarkEnd w:id="13"/>
    </w:p>
    <w:p w14:paraId="437C6477" w14:textId="77777777" w:rsidR="00C80391" w:rsidRPr="009B2321" w:rsidRDefault="00C80391" w:rsidP="00C80391">
      <w:pPr>
        <w:pStyle w:val="Heading2"/>
      </w:pPr>
      <w:r>
        <w:tab/>
      </w:r>
      <w:bookmarkStart w:id="14" w:name="_Toc329674961"/>
      <w:r w:rsidRPr="009B2321">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0"/>
      <w:bookmarkEnd w:id="1"/>
      <w:bookmarkEnd w:id="2"/>
      <w:bookmarkEnd w:id="3"/>
      <w:bookmarkEnd w:id="4"/>
      <w:bookmarkEnd w:id="5"/>
      <w:bookmarkEnd w:id="6"/>
      <w:bookmarkEnd w:id="7"/>
      <w:bookmarkEnd w:id="8"/>
      <w:bookmarkEnd w:id="14"/>
    </w:p>
    <w:p w14:paraId="1626F9DB" w14:textId="77777777" w:rsidR="00C80391" w:rsidRPr="009B2321" w:rsidRDefault="00C80391" w:rsidP="00C80391">
      <w:pPr>
        <w:pStyle w:val="Heading3"/>
      </w:pPr>
      <w:bookmarkStart w:id="15" w:name="_Toc290021779"/>
      <w:r w:rsidRPr="009B2321">
        <w:t>B.1.1.</w:t>
      </w:r>
      <w:r w:rsidRPr="009B2321">
        <w:tab/>
        <w:t>Respondent Universe</w:t>
      </w:r>
      <w:bookmarkEnd w:id="15"/>
    </w:p>
    <w:p w14:paraId="30535F75" w14:textId="0FBE85E1" w:rsidR="00C80391" w:rsidRPr="00FB2974" w:rsidRDefault="00B96731" w:rsidP="00C80391">
      <w:pPr>
        <w:pStyle w:val="P1-StandPara"/>
        <w:rPr>
          <w:color w:val="000000" w:themeColor="text1"/>
        </w:rPr>
      </w:pPr>
      <w:bookmarkStart w:id="16" w:name="_Toc290021780"/>
      <w:r w:rsidRPr="00FB2974">
        <w:rPr>
          <w:color w:val="000000" w:themeColor="text1"/>
        </w:rPr>
        <w:t>The universe is defined as individuals and households participating in the SNAP program (that is, receiving SNAP benefits), who have been in the program for at least the previous six months (at time of sampling). We will select a sampling frame from this universe that strati</w:t>
      </w:r>
      <w:r w:rsidR="004421A8">
        <w:rPr>
          <w:color w:val="000000" w:themeColor="text1"/>
        </w:rPr>
        <w:t>fies participants according to S</w:t>
      </w:r>
      <w:r w:rsidRPr="00FB2974">
        <w:rPr>
          <w:color w:val="000000" w:themeColor="text1"/>
        </w:rPr>
        <w:t>tate of participation and household size.</w:t>
      </w:r>
    </w:p>
    <w:p w14:paraId="0981D22A" w14:textId="77777777" w:rsidR="00C80391" w:rsidRPr="002D63B0" w:rsidRDefault="00C80391" w:rsidP="00C80391">
      <w:pPr>
        <w:pStyle w:val="Heading3"/>
      </w:pPr>
      <w:r>
        <w:t>B.1.2.</w:t>
      </w:r>
      <w:r>
        <w:tab/>
        <w:t>Sampling Methods</w:t>
      </w:r>
    </w:p>
    <w:bookmarkEnd w:id="16"/>
    <w:p w14:paraId="546853BF" w14:textId="5B4227BF" w:rsidR="00FE34EA" w:rsidRDefault="008F697F" w:rsidP="00FE34EA">
      <w:pPr>
        <w:pStyle w:val="P1-StandPara"/>
      </w:pPr>
      <w:r>
        <w:tab/>
        <w:t xml:space="preserve">This study will implement </w:t>
      </w:r>
      <w:bookmarkStart w:id="17" w:name="_Toc290021781"/>
      <w:r w:rsidR="00FE34EA" w:rsidRPr="00DA044A">
        <w:t>a two-</w:t>
      </w:r>
      <w:r w:rsidR="007F3B83">
        <w:t>phas</w:t>
      </w:r>
      <w:r w:rsidR="00FE34EA" w:rsidRPr="00DA044A">
        <w:t xml:space="preserve">e stratified sample design to select a nationally representative probability sample of SNAP participants. In the first </w:t>
      </w:r>
      <w:r w:rsidR="007F3B83">
        <w:t>phas</w:t>
      </w:r>
      <w:r w:rsidR="00FE34EA" w:rsidRPr="00DA044A">
        <w:t xml:space="preserve">e, we will select a sample of </w:t>
      </w:r>
      <w:r w:rsidR="00A90D84">
        <w:t>S</w:t>
      </w:r>
      <w:r w:rsidR="00A90D84" w:rsidRPr="00DA044A">
        <w:t xml:space="preserve">tates </w:t>
      </w:r>
      <w:r w:rsidR="00FE34EA" w:rsidRPr="00DA044A">
        <w:t xml:space="preserve">as primary sampling units (PSUs), and in the second </w:t>
      </w:r>
      <w:r w:rsidR="007F3B83">
        <w:t>phase</w:t>
      </w:r>
      <w:r w:rsidR="00FE34EA" w:rsidRPr="00DA044A">
        <w:t xml:space="preserve">, we will select a sample of SNAP participant households from the sample </w:t>
      </w:r>
      <w:r w:rsidR="00A90D84">
        <w:t>S</w:t>
      </w:r>
      <w:r w:rsidR="00A90D84" w:rsidRPr="00DA044A">
        <w:t>tates</w:t>
      </w:r>
      <w:r w:rsidR="00FE34EA" w:rsidRPr="00C32AA2">
        <w:t>.</w:t>
      </w:r>
      <w:r w:rsidR="00FE34EA">
        <w:t xml:space="preserve"> Figure 1 provides an overview of the sampling approach. We recommend</w:t>
      </w:r>
      <w:r w:rsidR="00FE34EA" w:rsidRPr="00C32AA2">
        <w:t xml:space="preserve"> this approach because the sampl</w:t>
      </w:r>
      <w:r w:rsidR="00FE34EA">
        <w:t>ing</w:t>
      </w:r>
      <w:r w:rsidR="00FE34EA" w:rsidRPr="00C32AA2">
        <w:t xml:space="preserve"> frame data must be obtained from each </w:t>
      </w:r>
      <w:r w:rsidR="00A90D84">
        <w:t>S</w:t>
      </w:r>
      <w:r w:rsidR="00A90D84" w:rsidRPr="00C32AA2">
        <w:t xml:space="preserve">tate </w:t>
      </w:r>
      <w:r w:rsidR="00FE34EA" w:rsidRPr="00C32AA2">
        <w:t xml:space="preserve">which is </w:t>
      </w:r>
      <w:r w:rsidR="00FE34EA">
        <w:t xml:space="preserve">a </w:t>
      </w:r>
      <w:r w:rsidR="00FE34EA" w:rsidRPr="00C32AA2">
        <w:t>resource</w:t>
      </w:r>
      <w:r w:rsidR="00FE34EA">
        <w:t>-</w:t>
      </w:r>
      <w:r w:rsidR="00FE34EA" w:rsidRPr="00C32AA2">
        <w:t xml:space="preserve">intensive </w:t>
      </w:r>
      <w:r w:rsidR="00FE34EA">
        <w:t>process</w:t>
      </w:r>
      <w:r w:rsidR="00FE34EA" w:rsidRPr="00C32AA2">
        <w:t>.</w:t>
      </w:r>
      <w:r w:rsidR="00FE34EA">
        <w:t xml:space="preserve"> </w:t>
      </w:r>
      <w:r w:rsidR="00FE34EA" w:rsidRPr="00C32AA2">
        <w:t xml:space="preserve">By limiting the number of </w:t>
      </w:r>
      <w:r w:rsidR="00A90D84">
        <w:t>S</w:t>
      </w:r>
      <w:r w:rsidR="00A90D84" w:rsidRPr="00C32AA2">
        <w:t>tates</w:t>
      </w:r>
      <w:r w:rsidR="00FE34EA" w:rsidRPr="00C32AA2">
        <w:t>, we reduce the effort needed to build the sampl</w:t>
      </w:r>
      <w:r w:rsidR="00FE34EA">
        <w:t xml:space="preserve">ing </w:t>
      </w:r>
      <w:r w:rsidR="00FE34EA" w:rsidRPr="00C32AA2">
        <w:t>frame.</w:t>
      </w:r>
      <w:r w:rsidR="00FE34EA">
        <w:t xml:space="preserve"> </w:t>
      </w:r>
      <w:r w:rsidR="00FE34EA" w:rsidRPr="00C32AA2">
        <w:t>The consequence of clustering is that we will need a larger sample to achieve the same level of precision but we believe this is a cost-efficient trade-off.</w:t>
      </w:r>
      <w:r w:rsidR="004421A8">
        <w:t xml:space="preserve"> Once the S</w:t>
      </w:r>
      <w:r w:rsidR="00FE34EA">
        <w:t xml:space="preserve">tates are selected, we will stratify the </w:t>
      </w:r>
      <w:r w:rsidR="00FE34EA" w:rsidRPr="00DA044A">
        <w:t>SNAP participant</w:t>
      </w:r>
      <w:r w:rsidR="00FE34EA">
        <w:t xml:space="preserve"> frame by household size and sort by presence of children and time on SNAP</w:t>
      </w:r>
      <w:r w:rsidR="00462007">
        <w:t>,</w:t>
      </w:r>
      <w:r w:rsidR="00FE34EA">
        <w:t xml:space="preserve"> which will function as implicit strata. </w:t>
      </w:r>
      <w:r w:rsidR="002B4556">
        <w:t>Out of 7,283 contacted, w</w:t>
      </w:r>
      <w:r w:rsidR="00FE34EA">
        <w:t>e will aim to achieve 4,800 completed surveys.</w:t>
      </w:r>
    </w:p>
    <w:p w14:paraId="4161B2F5" w14:textId="60E8412D" w:rsidR="00FE34EA" w:rsidRPr="007943C2" w:rsidRDefault="00FE34EA" w:rsidP="00FE34EA">
      <w:pPr>
        <w:pStyle w:val="P1-StandPara"/>
      </w:pPr>
      <w:r w:rsidRPr="00DA044A">
        <w:rPr>
          <w:b/>
        </w:rPr>
        <w:t xml:space="preserve">Select a </w:t>
      </w:r>
      <w:r>
        <w:rPr>
          <w:b/>
        </w:rPr>
        <w:t>S</w:t>
      </w:r>
      <w:r w:rsidRPr="00DA044A">
        <w:rPr>
          <w:b/>
        </w:rPr>
        <w:t>tate Sampl</w:t>
      </w:r>
      <w:r>
        <w:rPr>
          <w:b/>
        </w:rPr>
        <w:t xml:space="preserve">e. </w:t>
      </w:r>
      <w:r w:rsidRPr="005E76F7">
        <w:t>F</w:t>
      </w:r>
      <w:r w:rsidRPr="00DA044A">
        <w:t xml:space="preserve">or efficiency we will select </w:t>
      </w:r>
      <w:r>
        <w:t xml:space="preserve">a </w:t>
      </w:r>
      <w:r w:rsidR="004421A8">
        <w:t>sample of S</w:t>
      </w:r>
      <w:r w:rsidRPr="00DA044A">
        <w:t>tates, which will be a stra</w:t>
      </w:r>
      <w:r w:rsidR="004421A8">
        <w:t>tified systematic sample of 26 S</w:t>
      </w:r>
      <w:r w:rsidRPr="00DA044A">
        <w:t>tates selected with probabilities proportional to size (PPS), where the number of SNAP participant households of states will be used as the measure of si</w:t>
      </w:r>
      <w:r w:rsidR="004421A8">
        <w:t>ze (MOS). We will stratify the S</w:t>
      </w:r>
      <w:r w:rsidRPr="00DA044A">
        <w:t>tates by FNS region to improve the representativeness of the state sample, and allocate the number of sample states to FNS regions proportionate to state size measures</w:t>
      </w:r>
      <w:r>
        <w:t>. If a sampled</w:t>
      </w:r>
      <w:r w:rsidR="004421A8">
        <w:t xml:space="preserve"> S</w:t>
      </w:r>
      <w:r w:rsidRPr="007943C2">
        <w:t>tate cannot participate</w:t>
      </w:r>
      <w:r>
        <w:t xml:space="preserve"> in the study</w:t>
      </w:r>
      <w:r w:rsidRPr="007943C2">
        <w:t xml:space="preserve">, we will draw a replacement </w:t>
      </w:r>
      <w:r w:rsidR="004421A8">
        <w:t>S</w:t>
      </w:r>
      <w:r>
        <w:t>tate</w:t>
      </w:r>
      <w:r w:rsidRPr="007943C2">
        <w:t>, t</w:t>
      </w:r>
      <w:r w:rsidR="004421A8">
        <w:t>hus the total number of sample States will remain as 26. The replacement sample S</w:t>
      </w:r>
      <w:r w:rsidRPr="007943C2">
        <w:t>tates will be selected from the state frame by using the Keyfitz procedure</w:t>
      </w:r>
      <w:r w:rsidR="0016758A" w:rsidRPr="00CF5D37">
        <w:rPr>
          <w:rStyle w:val="FootnoteReference"/>
          <w:vertAlign w:val="superscript"/>
        </w:rPr>
        <w:footnoteReference w:id="1"/>
      </w:r>
      <w:r w:rsidRPr="007943C2">
        <w:t>, which is a method commonly used for updating the PSU sample. With this procedure, the</w:t>
      </w:r>
      <w:r w:rsidR="004421A8">
        <w:t xml:space="preserve"> selection probability for the S</w:t>
      </w:r>
      <w:r w:rsidRPr="007943C2">
        <w:t>tates will be assigned in such a way th</w:t>
      </w:r>
      <w:r w:rsidR="004421A8">
        <w:t>at, for the initially selected S</w:t>
      </w:r>
      <w:r w:rsidRPr="007943C2">
        <w:t>tates, the conditional probability of being retained will</w:t>
      </w:r>
      <w:r w:rsidR="004421A8">
        <w:t xml:space="preserve"> equal to unity, while for the S</w:t>
      </w:r>
      <w:r w:rsidRPr="007943C2">
        <w:t xml:space="preserve">tates not in the initial sample, the probability of selection will be conditioned on the probability of not being selected into the initial </w:t>
      </w:r>
      <w:r w:rsidR="004421A8">
        <w:t>S</w:t>
      </w:r>
      <w:r>
        <w:t xml:space="preserve">tate </w:t>
      </w:r>
      <w:r w:rsidR="004421A8">
        <w:t>sample. For data analysis, a S</w:t>
      </w:r>
      <w:r w:rsidRPr="007943C2">
        <w:t xml:space="preserve">tate-level weight </w:t>
      </w:r>
      <w:r w:rsidR="004421A8">
        <w:t>will be assigned to all sample S</w:t>
      </w:r>
      <w:r w:rsidRPr="007943C2">
        <w:t>tates, in</w:t>
      </w:r>
      <w:r w:rsidR="004421A8">
        <w:t>cluding the replacement sample S</w:t>
      </w:r>
      <w:r w:rsidRPr="007943C2">
        <w:t>tates, based on their overall probability of being included in the sample.</w:t>
      </w:r>
      <w:r>
        <w:t xml:space="preserve"> </w:t>
      </w:r>
    </w:p>
    <w:p w14:paraId="5C1B4269" w14:textId="77777777" w:rsidR="00FE34EA" w:rsidRDefault="00FE34EA" w:rsidP="00FE34EA">
      <w:pPr>
        <w:pStyle w:val="P1-StandPara"/>
      </w:pPr>
    </w:p>
    <w:p w14:paraId="1941F007" w14:textId="77777777" w:rsidR="00D92926" w:rsidRDefault="00D92926" w:rsidP="00FE34EA">
      <w:pPr>
        <w:pStyle w:val="P1-StandPara"/>
      </w:pPr>
    </w:p>
    <w:p w14:paraId="11A209CC" w14:textId="77777777" w:rsidR="00D92926" w:rsidRDefault="00D92926" w:rsidP="00FE34EA">
      <w:pPr>
        <w:pStyle w:val="P1-StandPara"/>
      </w:pPr>
    </w:p>
    <w:p w14:paraId="105E9501" w14:textId="77777777" w:rsidR="00D92926" w:rsidRDefault="00D92926" w:rsidP="00FE34EA">
      <w:pPr>
        <w:pStyle w:val="P1-StandPara"/>
      </w:pPr>
    </w:p>
    <w:p w14:paraId="1CCF9515" w14:textId="77777777" w:rsidR="00FE34EA" w:rsidRPr="009C6413" w:rsidRDefault="00FE34EA" w:rsidP="00FE34EA">
      <w:pPr>
        <w:pStyle w:val="TT-TableTitle"/>
      </w:pPr>
      <w:r w:rsidRPr="009C6413">
        <w:t xml:space="preserve">Figure </w:t>
      </w:r>
      <w:r>
        <w:t>1</w:t>
      </w:r>
      <w:r>
        <w:tab/>
      </w:r>
      <w:r w:rsidRPr="009C6413">
        <w:t xml:space="preserve">Overview of sampling approach </w:t>
      </w:r>
    </w:p>
    <w:p w14:paraId="2C5DA7CB" w14:textId="77777777" w:rsidR="00B50414" w:rsidRDefault="00B50414" w:rsidP="00FE34EA">
      <w:pPr>
        <w:pStyle w:val="C2-CtrSglSp"/>
      </w:pPr>
    </w:p>
    <w:p w14:paraId="6296FF6C" w14:textId="3DBA27D4" w:rsidR="00FE34EA" w:rsidRDefault="00DB6137" w:rsidP="00FE34EA">
      <w:pPr>
        <w:pStyle w:val="C2-CtrSglSp"/>
      </w:pPr>
      <w:r>
        <w:rPr>
          <w:noProof/>
        </w:rPr>
        <w:drawing>
          <wp:inline distT="0" distB="0" distL="0" distR="0" wp14:anchorId="45FFB0BC" wp14:editId="35D452B7">
            <wp:extent cx="3450590" cy="3810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0590" cy="3810635"/>
                    </a:xfrm>
                    <a:prstGeom prst="rect">
                      <a:avLst/>
                    </a:prstGeom>
                    <a:noFill/>
                  </pic:spPr>
                </pic:pic>
              </a:graphicData>
            </a:graphic>
          </wp:inline>
        </w:drawing>
      </w:r>
    </w:p>
    <w:p w14:paraId="55D1C64C" w14:textId="77777777" w:rsidR="00FE34EA" w:rsidRPr="00DA044A" w:rsidRDefault="00FE34EA" w:rsidP="00FE34EA">
      <w:pPr>
        <w:pStyle w:val="SL-FlLftSgl"/>
      </w:pPr>
    </w:p>
    <w:p w14:paraId="6BB1394F" w14:textId="450B3AFE" w:rsidR="00FE34EA" w:rsidRDefault="004421A8" w:rsidP="00FE34EA">
      <w:pPr>
        <w:pStyle w:val="P1-StandPara"/>
      </w:pPr>
      <w:r>
        <w:t>Once the S</w:t>
      </w:r>
      <w:r w:rsidR="00FE34EA" w:rsidRPr="00DA044A">
        <w:t xml:space="preserve">tate sample is selected, </w:t>
      </w:r>
      <w:r w:rsidR="00FE34EA" w:rsidRPr="00C32AA2">
        <w:t xml:space="preserve">we will </w:t>
      </w:r>
      <w:r>
        <w:t>speak with each S</w:t>
      </w:r>
      <w:r w:rsidR="00FE34EA">
        <w:t>tate to review the administrative case record data being requested and the timeframe for the study. We will prepare data use agreements as required.</w:t>
      </w:r>
      <w:r w:rsidR="00FE34EA" w:rsidRPr="00C32AA2">
        <w:t xml:space="preserve"> We will limit our data request to variables that are typically maintained in the</w:t>
      </w:r>
      <w:r>
        <w:t xml:space="preserve"> S</w:t>
      </w:r>
      <w:r w:rsidR="00FE34EA">
        <w:t>tates’</w:t>
      </w:r>
      <w:r w:rsidR="00FE34EA" w:rsidRPr="00C32AA2">
        <w:t xml:space="preserve"> SNAP enrollment files.</w:t>
      </w:r>
      <w:r w:rsidR="00FE34EA">
        <w:t xml:space="preserve"> </w:t>
      </w:r>
      <w:r w:rsidR="00FE34EA" w:rsidRPr="00C32AA2">
        <w:t xml:space="preserve">This makes it </w:t>
      </w:r>
      <w:r>
        <w:t>relatively straightforward for S</w:t>
      </w:r>
      <w:r w:rsidR="00FE34EA" w:rsidRPr="00C32AA2">
        <w:t>tate</w:t>
      </w:r>
      <w:r>
        <w:t>s to respond and will increase S</w:t>
      </w:r>
      <w:r w:rsidR="00FE34EA" w:rsidRPr="00C32AA2">
        <w:t>tate</w:t>
      </w:r>
      <w:r w:rsidR="00FE34EA">
        <w:t>’</w:t>
      </w:r>
      <w:r w:rsidR="00FE34EA" w:rsidRPr="00C32AA2">
        <w:t>s participation.</w:t>
      </w:r>
      <w:r w:rsidR="00FE34EA">
        <w:t xml:space="preserve"> The data elements collected will include household size, </w:t>
      </w:r>
      <w:r w:rsidR="00FE34EA" w:rsidRPr="00DA044A">
        <w:t>household composition (children/no children, and the number), date benefit st</w:t>
      </w:r>
      <w:r w:rsidR="00FE34EA">
        <w:t xml:space="preserve">arted, amount of monthly benefit and contact information. While we initially intended to request the marital status of the head of household in our proposal, </w:t>
      </w:r>
      <w:r>
        <w:t>we quickly found out that many S</w:t>
      </w:r>
      <w:r w:rsidR="00FE34EA">
        <w:t xml:space="preserve">tates do not collect this information.  Therefore, marital status will not be among the variables requested. </w:t>
      </w:r>
    </w:p>
    <w:p w14:paraId="1786FC31" w14:textId="77777777" w:rsidR="00D92926" w:rsidRDefault="00D92926" w:rsidP="00FE34EA">
      <w:pPr>
        <w:pStyle w:val="L1-FlLSp12"/>
        <w:spacing w:line="480" w:lineRule="auto"/>
        <w:rPr>
          <w:b/>
        </w:rPr>
      </w:pPr>
    </w:p>
    <w:p w14:paraId="30859973" w14:textId="77777777" w:rsidR="00D92926" w:rsidRDefault="00D92926" w:rsidP="00FE34EA">
      <w:pPr>
        <w:pStyle w:val="L1-FlLSp12"/>
        <w:spacing w:line="480" w:lineRule="auto"/>
        <w:rPr>
          <w:b/>
        </w:rPr>
      </w:pPr>
    </w:p>
    <w:p w14:paraId="08F07487" w14:textId="77777777" w:rsidR="00C80391" w:rsidRPr="00FE34EA" w:rsidRDefault="00C80391" w:rsidP="00FE34EA">
      <w:pPr>
        <w:pStyle w:val="L1-FlLSp12"/>
        <w:spacing w:line="480" w:lineRule="auto"/>
        <w:rPr>
          <w:b/>
        </w:rPr>
      </w:pPr>
      <w:r w:rsidRPr="00FE34EA">
        <w:rPr>
          <w:b/>
        </w:rPr>
        <w:tab/>
      </w:r>
      <w:r w:rsidR="00FE34EA" w:rsidRPr="00FE34EA">
        <w:rPr>
          <w:b/>
        </w:rPr>
        <w:t>In-depth Interviews</w:t>
      </w:r>
      <w:r w:rsidRPr="00FE34EA">
        <w:rPr>
          <w:b/>
        </w:rPr>
        <w:t xml:space="preserve"> with SNAP Recipients</w:t>
      </w:r>
    </w:p>
    <w:p w14:paraId="0BB31705" w14:textId="439E772B" w:rsidR="004B3FFB" w:rsidRDefault="00347EC8" w:rsidP="00A54CF1">
      <w:pPr>
        <w:spacing w:line="480" w:lineRule="auto"/>
      </w:pPr>
      <w:r>
        <w:tab/>
      </w:r>
      <w:r w:rsidR="00223227">
        <w:t>W</w:t>
      </w:r>
      <w:r w:rsidR="00223227" w:rsidRPr="00905BE3">
        <w:t xml:space="preserve">e will conduct </w:t>
      </w:r>
      <w:r w:rsidR="007D62F9">
        <w:t>12</w:t>
      </w:r>
      <w:r w:rsidR="00A54CF1">
        <w:t>0</w:t>
      </w:r>
      <w:r w:rsidR="007D62F9" w:rsidRPr="00905BE3">
        <w:t xml:space="preserve"> </w:t>
      </w:r>
      <w:r w:rsidR="00223227" w:rsidRPr="00905BE3">
        <w:t xml:space="preserve">in-person </w:t>
      </w:r>
      <w:r w:rsidR="00A54CF1">
        <w:t>in-depth interviews</w:t>
      </w:r>
      <w:r w:rsidR="00223227" w:rsidRPr="00905BE3">
        <w:t xml:space="preserve"> with </w:t>
      </w:r>
      <w:r w:rsidR="00223227">
        <w:t xml:space="preserve">English- and Spanish-speaking SNAP recipients </w:t>
      </w:r>
      <w:r w:rsidR="00200E81">
        <w:t>to develop a further</w:t>
      </w:r>
      <w:r w:rsidR="00A54CF1">
        <w:t xml:space="preserve"> understanding of the barriers that constrain the adequacy of SNAP allotments in accessing </w:t>
      </w:r>
      <w:r w:rsidR="0016758A">
        <w:t xml:space="preserve">a </w:t>
      </w:r>
      <w:r w:rsidR="00A54CF1">
        <w:t>health</w:t>
      </w:r>
      <w:r w:rsidR="0016758A">
        <w:t>y</w:t>
      </w:r>
      <w:r w:rsidR="00A54CF1">
        <w:t xml:space="preserve"> diet. Working with the </w:t>
      </w:r>
      <w:r w:rsidR="00650326">
        <w:t>Food and Nutrition Service</w:t>
      </w:r>
      <w:r w:rsidR="00A54CF1">
        <w:t xml:space="preserve">, </w:t>
      </w:r>
      <w:r w:rsidR="00200E81">
        <w:t xml:space="preserve">Westat will identify a purposive sample of </w:t>
      </w:r>
      <w:r w:rsidR="00CF5D37">
        <w:t xml:space="preserve">8 </w:t>
      </w:r>
      <w:r w:rsidR="00A54CF1">
        <w:t>to 12 locations</w:t>
      </w:r>
      <w:r w:rsidR="00200E81">
        <w:t xml:space="preserve"> </w:t>
      </w:r>
      <w:r w:rsidR="00A54CF1">
        <w:t xml:space="preserve">to recruit participants for the in-depth interviews. </w:t>
      </w:r>
      <w:r w:rsidR="00650326" w:rsidRPr="00650326">
        <w:t>Locations with clusters of survey respondents will be prioritized. Two locations with a large base of Spanish-speaking respondents will also be chosen. A balance of rural and urban locations will also be sought, as well as geographic diversity (locations from multiple geographic regions will be selected). Finally, locations with varying levels of household food security will be selected.</w:t>
      </w:r>
      <w:r w:rsidR="00650326">
        <w:t xml:space="preserve"> </w:t>
      </w:r>
      <w:r w:rsidR="00A54CF1">
        <w:t xml:space="preserve">Potential in-depth interviewees </w:t>
      </w:r>
      <w:r w:rsidR="00A54CF1" w:rsidRPr="00985958">
        <w:t>will be contacted by phone and offered $</w:t>
      </w:r>
      <w:r w:rsidR="00B83049">
        <w:t>75</w:t>
      </w:r>
      <w:r w:rsidR="00A54CF1" w:rsidRPr="00985958">
        <w:t xml:space="preserve"> to participate in an interview at their home which will focus on understanding how they meet the needs of their household for nutritious food as SNAP participants.</w:t>
      </w:r>
      <w:r w:rsidR="00A54CF1">
        <w:t xml:space="preserve"> </w:t>
      </w:r>
      <w:r w:rsidR="00A54CF1" w:rsidRPr="00985958">
        <w:t xml:space="preserve">Respondents will be informed that the interview will last for </w:t>
      </w:r>
      <w:r w:rsidR="00FC639E">
        <w:t xml:space="preserve">approximately </w:t>
      </w:r>
      <w:r w:rsidR="00A54CF1" w:rsidRPr="00985958">
        <w:t>90 minutes.</w:t>
      </w:r>
      <w:r w:rsidR="00A54CF1">
        <w:t xml:space="preserve"> </w:t>
      </w:r>
      <w:r w:rsidR="0016758A">
        <w:t>Agreement to be interviewed</w:t>
      </w:r>
      <w:r w:rsidR="00A54CF1" w:rsidRPr="00985958">
        <w:t xml:space="preserve"> will be obtained on the phone to be followed up with written consent in person</w:t>
      </w:r>
      <w:r w:rsidR="00A54CF1">
        <w:t>.</w:t>
      </w:r>
      <w:r w:rsidR="00E44E43">
        <w:t xml:space="preserve"> We will initially recruit interviewees from among those who have completed surveys.  Additional interviewees from the geographic locations selected for the in-depth interviews will be recruited via advertisements in online sources</w:t>
      </w:r>
      <w:r w:rsidR="00FC639E">
        <w:t xml:space="preserve"> such as Craig’s list</w:t>
      </w:r>
      <w:r w:rsidR="00E44E43">
        <w:t xml:space="preserve">.  </w:t>
      </w:r>
      <w:r w:rsidR="009F766B">
        <w:t>Potential interviewees who</w:t>
      </w:r>
      <w:r w:rsidR="00E44E43">
        <w:t xml:space="preserve"> respond to advertisements (</w:t>
      </w:r>
      <w:r w:rsidR="00462007">
        <w:t>and</w:t>
      </w:r>
      <w:r w:rsidR="00E44E43">
        <w:t xml:space="preserve"> who have not completed a survey) will be screened briefly by phone to determine their eligibility to participate in the study, including their geographic location (zip code).  The level of food security of potential interviewees will be screened using an appropriate screener. </w:t>
      </w:r>
      <w:r w:rsidR="00200E81">
        <w:t xml:space="preserve">For each scheduled </w:t>
      </w:r>
      <w:r w:rsidR="00E44E43">
        <w:t>location</w:t>
      </w:r>
      <w:r w:rsidR="00200E81">
        <w:t>, we will recruit up to 1</w:t>
      </w:r>
      <w:r w:rsidR="00E44E43">
        <w:t>5</w:t>
      </w:r>
      <w:r w:rsidR="00200E81">
        <w:t xml:space="preserve"> participants who meet the criteria.</w:t>
      </w:r>
      <w:r w:rsidR="00C80391">
        <w:t xml:space="preserve"> </w:t>
      </w:r>
      <w:r w:rsidR="00B15952" w:rsidRPr="002A77F5">
        <w:rPr>
          <w:b/>
        </w:rPr>
        <w:t>Appendi</w:t>
      </w:r>
      <w:r w:rsidR="0016758A" w:rsidRPr="002A77F5">
        <w:rPr>
          <w:b/>
        </w:rPr>
        <w:t>ce</w:t>
      </w:r>
      <w:r w:rsidR="000B3A9D" w:rsidRPr="002A77F5">
        <w:rPr>
          <w:b/>
        </w:rPr>
        <w:t>s</w:t>
      </w:r>
      <w:r w:rsidR="00B15952" w:rsidRPr="002A77F5">
        <w:rPr>
          <w:b/>
        </w:rPr>
        <w:t xml:space="preserve"> </w:t>
      </w:r>
      <w:r w:rsidR="0016758A" w:rsidRPr="002A77F5">
        <w:rPr>
          <w:b/>
        </w:rPr>
        <w:t xml:space="preserve">J1, J2, </w:t>
      </w:r>
      <w:r w:rsidR="00FD5905" w:rsidRPr="002A77F5">
        <w:rPr>
          <w:b/>
        </w:rPr>
        <w:t xml:space="preserve">K1, K2, </w:t>
      </w:r>
      <w:r w:rsidR="000B3A9D" w:rsidRPr="002A77F5">
        <w:rPr>
          <w:b/>
        </w:rPr>
        <w:t xml:space="preserve">P1, P2 </w:t>
      </w:r>
      <w:r w:rsidR="00C80391" w:rsidRPr="006B0539">
        <w:t>present the procedures for recruiting</w:t>
      </w:r>
      <w:r w:rsidR="00FD5905">
        <w:t xml:space="preserve"> and screening</w:t>
      </w:r>
      <w:r w:rsidR="00C80391" w:rsidRPr="006B0539">
        <w:t xml:space="preserve"> participants and</w:t>
      </w:r>
      <w:r w:rsidR="00C80391">
        <w:t xml:space="preserve"> conducting</w:t>
      </w:r>
      <w:r w:rsidR="00C80391" w:rsidRPr="00905BE3">
        <w:t xml:space="preserve"> </w:t>
      </w:r>
      <w:r w:rsidR="00C80391">
        <w:t xml:space="preserve">the </w:t>
      </w:r>
      <w:r w:rsidR="00E44E43">
        <w:t>in-depth interviews</w:t>
      </w:r>
      <w:r w:rsidR="00C80391" w:rsidRPr="00905BE3">
        <w:t>.</w:t>
      </w:r>
    </w:p>
    <w:p w14:paraId="7086C23A" w14:textId="77777777" w:rsidR="00C80391" w:rsidRDefault="00C80391" w:rsidP="00C80391">
      <w:pPr>
        <w:pStyle w:val="P1-StandPara"/>
      </w:pPr>
    </w:p>
    <w:p w14:paraId="7CD619BC" w14:textId="77777777" w:rsidR="00C80391" w:rsidRPr="0067297F" w:rsidRDefault="00C80391" w:rsidP="00C80391">
      <w:pPr>
        <w:pStyle w:val="Heading3"/>
      </w:pPr>
      <w:r>
        <w:t>B.1.3.</w:t>
      </w:r>
      <w:r>
        <w:tab/>
      </w:r>
      <w:r w:rsidRPr="0067297F">
        <w:t xml:space="preserve">Response Rates and </w:t>
      </w:r>
      <w:bookmarkEnd w:id="17"/>
      <w:r w:rsidR="00C52541">
        <w:t>Sample Size</w:t>
      </w:r>
    </w:p>
    <w:p w14:paraId="3CA64C70" w14:textId="77777777" w:rsidR="000215B6" w:rsidRDefault="000215B6" w:rsidP="000215B6">
      <w:pPr>
        <w:pStyle w:val="P1-StandPara"/>
      </w:pPr>
      <w:bookmarkStart w:id="18" w:name="_Toc313346559"/>
      <w:r w:rsidRPr="00C32AA2">
        <w:t>We will target 4,800 completed questionnaires and assume a response rate of 80 percent.</w:t>
      </w:r>
      <w:r>
        <w:t xml:space="preserve"> </w:t>
      </w:r>
      <w:r w:rsidRPr="00C32AA2">
        <w:t>We also expect an eligibility rate of 91 percent as no sampling frame is ever completely up to date.</w:t>
      </w:r>
      <w:r>
        <w:t xml:space="preserve"> </w:t>
      </w:r>
      <w:r w:rsidRPr="00C32AA2">
        <w:t>Based on experience in the recent Farmers Market</w:t>
      </w:r>
      <w:r>
        <w:t xml:space="preserve"> Client Survey</w:t>
      </w:r>
      <w:r w:rsidR="009C78F6">
        <w:t xml:space="preserve"> (OMB Approval #</w:t>
      </w:r>
      <w:r w:rsidR="0059710F">
        <w:t xml:space="preserve"> 0584-0564)</w:t>
      </w:r>
      <w:r w:rsidRPr="00C32AA2">
        <w:t>, we expect 9 percent of the initial sample will come back as ineligible.</w:t>
      </w:r>
      <w:r>
        <w:t xml:space="preserve"> </w:t>
      </w:r>
      <w:r w:rsidRPr="004818B6">
        <w:t>Therefore, we plan</w:t>
      </w:r>
      <w:r w:rsidRPr="0006324A">
        <w:t xml:space="preserve"> to sample 6,</w:t>
      </w:r>
      <w:r>
        <w:t>593</w:t>
      </w:r>
      <w:r w:rsidRPr="0006324A">
        <w:t xml:space="preserve"> </w:t>
      </w:r>
      <w:r>
        <w:t>(</w:t>
      </w:r>
      <w:r w:rsidRPr="0006324A">
        <w:t>= 4,800/.80</w:t>
      </w:r>
      <w:r>
        <w:t xml:space="preserve"> *.91</w:t>
      </w:r>
      <w:r w:rsidRPr="0006324A">
        <w:t xml:space="preserve">) SNAP participant </w:t>
      </w:r>
      <w:r w:rsidRPr="003A0B75">
        <w:t>households</w:t>
      </w:r>
      <w:r>
        <w:t xml:space="preserve">. </w:t>
      </w:r>
    </w:p>
    <w:p w14:paraId="52CF4A5D" w14:textId="77777777" w:rsidR="003F4207" w:rsidRDefault="003F4207" w:rsidP="003F4207">
      <w:pPr>
        <w:pStyle w:val="TT-TableTitle"/>
      </w:pPr>
    </w:p>
    <w:bookmarkEnd w:id="18"/>
    <w:p w14:paraId="7564BE47" w14:textId="77777777" w:rsidR="003F4207" w:rsidRDefault="007D2005" w:rsidP="003F4207">
      <w:pPr>
        <w:pStyle w:val="TT-TableTitle"/>
      </w:pPr>
      <w:r w:rsidRPr="009C6413">
        <w:t xml:space="preserve">Table </w:t>
      </w:r>
      <w:r>
        <w:t>B-1.</w:t>
      </w:r>
      <w:r>
        <w:tab/>
        <w:t>Sample size</w:t>
      </w:r>
      <w:r>
        <w:br/>
      </w:r>
    </w:p>
    <w:tbl>
      <w:tblPr>
        <w:tblStyle w:val="LightGrid-Accent1"/>
        <w:tblW w:w="4746" w:type="pct"/>
        <w:tblInd w:w="198" w:type="dxa"/>
        <w:tblLook w:val="0600" w:firstRow="0" w:lastRow="0" w:firstColumn="0" w:lastColumn="0" w:noHBand="1" w:noVBand="1"/>
      </w:tblPr>
      <w:tblGrid>
        <w:gridCol w:w="3600"/>
        <w:gridCol w:w="5490"/>
      </w:tblGrid>
      <w:tr w:rsidR="00997FDA" w:rsidRPr="00C22B49" w14:paraId="64E05000" w14:textId="77777777" w:rsidTr="009D3B10">
        <w:trPr>
          <w:trHeight w:val="288"/>
        </w:trPr>
        <w:tc>
          <w:tcPr>
            <w:tcW w:w="1980" w:type="pct"/>
          </w:tcPr>
          <w:p w14:paraId="1B13B109" w14:textId="77777777" w:rsidR="00997FDA" w:rsidRPr="00C22B49" w:rsidRDefault="00997FDA" w:rsidP="003F4207"/>
        </w:tc>
        <w:tc>
          <w:tcPr>
            <w:tcW w:w="3020" w:type="pct"/>
          </w:tcPr>
          <w:p w14:paraId="5D7B7910" w14:textId="27F21BFE" w:rsidR="00997FDA" w:rsidRDefault="00997FDA" w:rsidP="00997FDA">
            <w:pPr>
              <w:spacing w:before="120" w:after="120"/>
              <w:ind w:right="2232"/>
              <w:rPr>
                <w:rFonts w:cs="Calibri"/>
                <w:color w:val="000000"/>
              </w:rPr>
            </w:pPr>
            <w:r w:rsidRPr="00C22B49">
              <w:rPr>
                <w:b/>
                <w:bCs/>
              </w:rPr>
              <w:t>TOTAL</w:t>
            </w:r>
          </w:p>
        </w:tc>
      </w:tr>
      <w:tr w:rsidR="000215B6" w:rsidRPr="00C22B49" w14:paraId="30878879" w14:textId="77777777" w:rsidTr="009D3B10">
        <w:trPr>
          <w:trHeight w:val="288"/>
        </w:trPr>
        <w:tc>
          <w:tcPr>
            <w:tcW w:w="1980" w:type="pct"/>
            <w:hideMark/>
          </w:tcPr>
          <w:p w14:paraId="3514802F" w14:textId="77777777" w:rsidR="000215B6" w:rsidRPr="00C22B49" w:rsidRDefault="000215B6" w:rsidP="003F4207">
            <w:r w:rsidRPr="00C22B49">
              <w:t xml:space="preserve">Sample draw </w:t>
            </w:r>
          </w:p>
        </w:tc>
        <w:tc>
          <w:tcPr>
            <w:tcW w:w="3020" w:type="pct"/>
            <w:hideMark/>
          </w:tcPr>
          <w:p w14:paraId="6E864810" w14:textId="77777777" w:rsidR="000215B6" w:rsidRDefault="000215B6" w:rsidP="00997FDA">
            <w:pPr>
              <w:ind w:right="2233"/>
              <w:rPr>
                <w:rFonts w:cs="Calibri"/>
                <w:color w:val="000000"/>
              </w:rPr>
            </w:pPr>
            <w:r>
              <w:rPr>
                <w:rFonts w:cs="Calibri"/>
                <w:color w:val="000000"/>
              </w:rPr>
              <w:t>6,593</w:t>
            </w:r>
          </w:p>
        </w:tc>
      </w:tr>
      <w:tr w:rsidR="000215B6" w:rsidRPr="00C22B49" w14:paraId="67495C90" w14:textId="77777777" w:rsidTr="009D3B10">
        <w:trPr>
          <w:trHeight w:val="288"/>
        </w:trPr>
        <w:tc>
          <w:tcPr>
            <w:tcW w:w="1980" w:type="pct"/>
            <w:hideMark/>
          </w:tcPr>
          <w:p w14:paraId="5A8B4AC5" w14:textId="77777777" w:rsidR="000215B6" w:rsidRPr="00C22B49" w:rsidRDefault="000215B6" w:rsidP="000215B6">
            <w:r w:rsidRPr="00C22B49">
              <w:t>Attrition (</w:t>
            </w:r>
            <w:r>
              <w:t>9</w:t>
            </w:r>
            <w:r w:rsidRPr="00C22B49">
              <w:t xml:space="preserve">%) </w:t>
            </w:r>
          </w:p>
        </w:tc>
        <w:tc>
          <w:tcPr>
            <w:tcW w:w="3020" w:type="pct"/>
            <w:hideMark/>
          </w:tcPr>
          <w:p w14:paraId="2CC045FA" w14:textId="77777777" w:rsidR="000215B6" w:rsidRDefault="000215B6" w:rsidP="00997FDA">
            <w:pPr>
              <w:ind w:right="2233"/>
              <w:rPr>
                <w:rFonts w:cs="Calibri"/>
                <w:color w:val="000000"/>
              </w:rPr>
            </w:pPr>
            <w:r>
              <w:rPr>
                <w:rFonts w:cs="Calibri"/>
                <w:color w:val="000000"/>
              </w:rPr>
              <w:t>593</w:t>
            </w:r>
          </w:p>
        </w:tc>
      </w:tr>
      <w:tr w:rsidR="000215B6" w:rsidRPr="00C22B49" w14:paraId="38EDDE1D" w14:textId="77777777" w:rsidTr="009D3B10">
        <w:trPr>
          <w:trHeight w:val="288"/>
        </w:trPr>
        <w:tc>
          <w:tcPr>
            <w:tcW w:w="1980" w:type="pct"/>
            <w:hideMark/>
          </w:tcPr>
          <w:p w14:paraId="0470EADD" w14:textId="77777777" w:rsidR="000215B6" w:rsidRPr="00C22B49" w:rsidRDefault="000215B6" w:rsidP="003F4207">
            <w:r w:rsidRPr="00C22B49">
              <w:t>Sample</w:t>
            </w:r>
          </w:p>
        </w:tc>
        <w:tc>
          <w:tcPr>
            <w:tcW w:w="3020" w:type="pct"/>
            <w:hideMark/>
          </w:tcPr>
          <w:p w14:paraId="7AEEDEFF" w14:textId="77777777" w:rsidR="000215B6" w:rsidRDefault="000215B6" w:rsidP="00997FDA">
            <w:pPr>
              <w:ind w:right="2233"/>
              <w:rPr>
                <w:rFonts w:cs="Calibri"/>
                <w:color w:val="000000"/>
              </w:rPr>
            </w:pPr>
            <w:r>
              <w:rPr>
                <w:rFonts w:cs="Calibri"/>
                <w:color w:val="000000"/>
              </w:rPr>
              <w:t>6,000</w:t>
            </w:r>
          </w:p>
        </w:tc>
      </w:tr>
      <w:tr w:rsidR="000215B6" w:rsidRPr="00C22B49" w14:paraId="18A0D740" w14:textId="77777777" w:rsidTr="009D3B10">
        <w:trPr>
          <w:trHeight w:val="288"/>
        </w:trPr>
        <w:tc>
          <w:tcPr>
            <w:tcW w:w="1980" w:type="pct"/>
            <w:hideMark/>
          </w:tcPr>
          <w:p w14:paraId="186ED395" w14:textId="77777777" w:rsidR="000215B6" w:rsidRPr="00C22B49" w:rsidRDefault="000215B6" w:rsidP="003F4207">
            <w:r w:rsidRPr="00C22B49">
              <w:t>Completes</w:t>
            </w:r>
            <w:r>
              <w:t xml:space="preserve"> </w:t>
            </w:r>
            <w:r w:rsidRPr="00C22B49">
              <w:t>(</w:t>
            </w:r>
            <w:r>
              <w:t>8</w:t>
            </w:r>
            <w:r w:rsidRPr="00C22B49">
              <w:t>0%)</w:t>
            </w:r>
          </w:p>
        </w:tc>
        <w:tc>
          <w:tcPr>
            <w:tcW w:w="3020" w:type="pct"/>
            <w:hideMark/>
          </w:tcPr>
          <w:p w14:paraId="6EB7B4D2" w14:textId="16F14F94" w:rsidR="000215B6" w:rsidRPr="00C22B49" w:rsidRDefault="000215B6" w:rsidP="00997FDA">
            <w:pPr>
              <w:ind w:right="2233"/>
            </w:pPr>
            <w:r>
              <w:t>4,800</w:t>
            </w:r>
          </w:p>
        </w:tc>
      </w:tr>
    </w:tbl>
    <w:p w14:paraId="6D6E6892" w14:textId="77777777" w:rsidR="003F4207" w:rsidRDefault="003F4207" w:rsidP="003F4207">
      <w:pPr>
        <w:pStyle w:val="L1-FlLSp12"/>
      </w:pPr>
    </w:p>
    <w:p w14:paraId="3FAE9D54" w14:textId="77777777" w:rsidR="004B3FFB" w:rsidRDefault="00347EC8" w:rsidP="000215B6">
      <w:pPr>
        <w:pStyle w:val="P1-StandPara"/>
      </w:pPr>
      <w:r>
        <w:tab/>
      </w:r>
      <w:r w:rsidR="003F4207">
        <w:t xml:space="preserve">It is important to emphasize that the SNAP participants are considered </w:t>
      </w:r>
      <w:r w:rsidR="007B1CE5">
        <w:t>to be a</w:t>
      </w:r>
      <w:r w:rsidR="003F4207">
        <w:t xml:space="preserve"> hard to reach population for </w:t>
      </w:r>
      <w:r w:rsidR="007B1CE5">
        <w:t>studies such as this one</w:t>
      </w:r>
      <w:r w:rsidR="003F4207">
        <w:t xml:space="preserve">. </w:t>
      </w:r>
      <w:r w:rsidR="007B1CE5">
        <w:t>Frequently, the data from State agencies have</w:t>
      </w:r>
      <w:r w:rsidR="003F4207">
        <w:t xml:space="preserve"> incomplete, missing, o</w:t>
      </w:r>
      <w:r w:rsidR="005036E5">
        <w:t>r incorrect information on mailing address and telephone numbers. Considering all the information on difficulties of reaching this population</w:t>
      </w:r>
      <w:r w:rsidR="007D62F9">
        <w:t>,</w:t>
      </w:r>
      <w:r w:rsidR="000215B6">
        <w:t xml:space="preserve"> to ensure 4,800</w:t>
      </w:r>
      <w:r w:rsidR="005036E5">
        <w:t xml:space="preserve"> complete interviews,</w:t>
      </w:r>
      <w:r w:rsidR="000215B6">
        <w:t xml:space="preserve"> w</w:t>
      </w:r>
      <w:r w:rsidR="000215B6" w:rsidRPr="00C32AA2">
        <w:t>e also plan to select a 50</w:t>
      </w:r>
      <w:r w:rsidR="000215B6">
        <w:t xml:space="preserve"> percent</w:t>
      </w:r>
      <w:r w:rsidR="000215B6" w:rsidRPr="00C32AA2">
        <w:t xml:space="preserve"> reserve sample (3,297) as</w:t>
      </w:r>
      <w:r w:rsidR="000215B6" w:rsidRPr="003A0B75">
        <w:t xml:space="preserve"> part of the sampling process, a standard practice to permit supplementation of the sample in an expedited fashion, if necessary. The reserve sample will be randomly split into 10 equal-sized replicates, and released by replicate i</w:t>
      </w:r>
      <w:r w:rsidR="005036E5">
        <w:t xml:space="preserve">f </w:t>
      </w:r>
      <w:r w:rsidR="007B1CE5">
        <w:t>it appears that we will not achieve an</w:t>
      </w:r>
      <w:r w:rsidR="005036E5">
        <w:t xml:space="preserve"> 80% response rate with the original release.</w:t>
      </w:r>
    </w:p>
    <w:p w14:paraId="28D675C3" w14:textId="77777777" w:rsidR="00C80391" w:rsidRDefault="00C80391" w:rsidP="00C80391">
      <w:pPr>
        <w:pStyle w:val="P1-StandPara"/>
      </w:pPr>
    </w:p>
    <w:p w14:paraId="46706FF0" w14:textId="77777777" w:rsidR="00C80391" w:rsidRPr="00E83B21" w:rsidRDefault="00AB2A0D" w:rsidP="00C80391">
      <w:pPr>
        <w:pStyle w:val="Heading2"/>
      </w:pPr>
      <w:bookmarkStart w:id="19" w:name="_Toc287257036"/>
      <w:bookmarkStart w:id="20" w:name="_Toc287257090"/>
      <w:bookmarkStart w:id="21" w:name="_Toc290021782"/>
      <w:bookmarkStart w:id="22" w:name="_Toc329674963"/>
      <w:r w:rsidRPr="00D82921">
        <w:t>B.2.</w:t>
      </w:r>
      <w:r w:rsidRPr="00D82921">
        <w:tab/>
        <w:t>Describe the Procedures for the Collection of Information</w:t>
      </w:r>
      <w:bookmarkEnd w:id="19"/>
      <w:bookmarkEnd w:id="20"/>
      <w:bookmarkEnd w:id="21"/>
      <w:r w:rsidRPr="00D82921">
        <w:t xml:space="preserve"> including:</w:t>
      </w:r>
      <w:bookmarkEnd w:id="22"/>
    </w:p>
    <w:p w14:paraId="62832992" w14:textId="77777777" w:rsidR="00C80391" w:rsidRPr="003D6F33" w:rsidRDefault="00C80391" w:rsidP="00C80391">
      <w:pPr>
        <w:pStyle w:val="Heading2"/>
        <w:numPr>
          <w:ilvl w:val="0"/>
          <w:numId w:val="3"/>
        </w:numPr>
        <w:tabs>
          <w:tab w:val="clear" w:pos="1152"/>
          <w:tab w:val="left" w:pos="1530"/>
        </w:tabs>
        <w:spacing w:after="0"/>
        <w:ind w:left="1526"/>
      </w:pPr>
      <w:bookmarkStart w:id="23" w:name="_Toc329674964"/>
      <w:r w:rsidRPr="003D6F33">
        <w:t>Statistical methodology for stratification and sample selection,</w:t>
      </w:r>
      <w:bookmarkEnd w:id="23"/>
    </w:p>
    <w:p w14:paraId="5CDEA8A5" w14:textId="77777777" w:rsidR="00C80391" w:rsidRPr="003D6F33" w:rsidRDefault="00C80391" w:rsidP="00C80391">
      <w:pPr>
        <w:pStyle w:val="Heading2"/>
        <w:numPr>
          <w:ilvl w:val="0"/>
          <w:numId w:val="3"/>
        </w:numPr>
        <w:tabs>
          <w:tab w:val="clear" w:pos="1152"/>
          <w:tab w:val="left" w:pos="1530"/>
        </w:tabs>
        <w:spacing w:after="0"/>
        <w:ind w:left="1526"/>
      </w:pPr>
      <w:bookmarkStart w:id="24" w:name="_Toc329674965"/>
      <w:r w:rsidRPr="003D6F33">
        <w:t>Estimation procedure,</w:t>
      </w:r>
      <w:bookmarkEnd w:id="24"/>
    </w:p>
    <w:p w14:paraId="64F89D47" w14:textId="77777777" w:rsidR="00C80391" w:rsidRPr="0098663D" w:rsidRDefault="00C80391" w:rsidP="00C80391">
      <w:pPr>
        <w:pStyle w:val="Heading2"/>
        <w:numPr>
          <w:ilvl w:val="0"/>
          <w:numId w:val="3"/>
        </w:numPr>
        <w:tabs>
          <w:tab w:val="clear" w:pos="1152"/>
          <w:tab w:val="left" w:pos="1530"/>
        </w:tabs>
        <w:spacing w:after="0"/>
        <w:ind w:left="1526"/>
      </w:pPr>
      <w:bookmarkStart w:id="25" w:name="_Toc329674966"/>
      <w:r w:rsidRPr="003D6F33">
        <w:t xml:space="preserve">Degree of accuracy needed for the purpose described in the </w:t>
      </w:r>
      <w:r w:rsidRPr="0098663D">
        <w:t>justification,</w:t>
      </w:r>
      <w:bookmarkEnd w:id="25"/>
    </w:p>
    <w:p w14:paraId="30B696BE" w14:textId="77777777" w:rsidR="00C80391" w:rsidRPr="0098663D" w:rsidRDefault="00C80391" w:rsidP="00C80391">
      <w:pPr>
        <w:pStyle w:val="Heading2"/>
        <w:numPr>
          <w:ilvl w:val="0"/>
          <w:numId w:val="3"/>
        </w:numPr>
        <w:tabs>
          <w:tab w:val="clear" w:pos="1152"/>
          <w:tab w:val="left" w:pos="1530"/>
        </w:tabs>
        <w:spacing w:after="0"/>
        <w:ind w:left="1526"/>
      </w:pPr>
      <w:bookmarkStart w:id="26" w:name="_Toc329674967"/>
      <w:r w:rsidRPr="0098663D">
        <w:t>Unusual problems requiring specialized sampling procedures, and</w:t>
      </w:r>
      <w:bookmarkEnd w:id="26"/>
    </w:p>
    <w:p w14:paraId="67C1CAB7" w14:textId="77777777" w:rsidR="00C80391" w:rsidRPr="00363813" w:rsidRDefault="00C80391" w:rsidP="00C80391">
      <w:pPr>
        <w:pStyle w:val="Heading2"/>
        <w:numPr>
          <w:ilvl w:val="0"/>
          <w:numId w:val="3"/>
        </w:numPr>
        <w:tabs>
          <w:tab w:val="clear" w:pos="1152"/>
          <w:tab w:val="left" w:pos="1530"/>
        </w:tabs>
        <w:ind w:left="1530"/>
      </w:pPr>
      <w:bookmarkStart w:id="27" w:name="_Toc329674968"/>
      <w:r w:rsidRPr="0098663D">
        <w:t>Any use of periodic (less frequent than annual) data collection cycles to reduce burden.</w:t>
      </w:r>
      <w:bookmarkEnd w:id="27"/>
    </w:p>
    <w:p w14:paraId="108ACA91" w14:textId="77777777" w:rsidR="00C80391" w:rsidRDefault="00C80391" w:rsidP="00C80391">
      <w:pPr>
        <w:pStyle w:val="Heading3"/>
      </w:pPr>
      <w:bookmarkStart w:id="28" w:name="_Toc280185474"/>
      <w:bookmarkStart w:id="29" w:name="_Toc290021783"/>
      <w:r>
        <w:t>B.2.1.</w:t>
      </w:r>
      <w:r>
        <w:tab/>
        <w:t>Statistical M</w:t>
      </w:r>
      <w:r w:rsidRPr="00081A7D">
        <w:t xml:space="preserve">ethodology for </w:t>
      </w:r>
      <w:r>
        <w:t>S</w:t>
      </w:r>
      <w:r w:rsidRPr="00081A7D">
        <w:t xml:space="preserve">tratification and </w:t>
      </w:r>
      <w:r>
        <w:t>S</w:t>
      </w:r>
      <w:r w:rsidRPr="00081A7D">
        <w:t xml:space="preserve">ample </w:t>
      </w:r>
      <w:r>
        <w:t>S</w:t>
      </w:r>
      <w:r w:rsidRPr="00081A7D">
        <w:t>election</w:t>
      </w:r>
      <w:bookmarkEnd w:id="28"/>
      <w:bookmarkEnd w:id="29"/>
    </w:p>
    <w:p w14:paraId="3789C85C" w14:textId="40D34CC9" w:rsidR="007D2005" w:rsidRDefault="007D2005" w:rsidP="007D2005">
      <w:pPr>
        <w:pStyle w:val="P1-StandPara"/>
      </w:pPr>
      <w:r w:rsidRPr="00DA044A">
        <w:t>Using the data</w:t>
      </w:r>
      <w:r w:rsidR="004421A8">
        <w:t xml:space="preserve"> obtained from S</w:t>
      </w:r>
      <w:r>
        <w:t>tates</w:t>
      </w:r>
      <w:r w:rsidRPr="00DA044A">
        <w:t xml:space="preserve">, we will develop a sampling frame for selecting the </w:t>
      </w:r>
      <w:r>
        <w:t>S</w:t>
      </w:r>
      <w:r w:rsidRPr="00DA044A">
        <w:t>NAP participants. The frame will be a household</w:t>
      </w:r>
      <w:r>
        <w:t>-level list of SNAP participants</w:t>
      </w:r>
      <w:r w:rsidRPr="00DA044A">
        <w:t xml:space="preserve"> who have been in the program for </w:t>
      </w:r>
      <w:r>
        <w:t>at least the previous 6 months</w:t>
      </w:r>
      <w:r w:rsidRPr="00DA044A">
        <w:t xml:space="preserve">. </w:t>
      </w:r>
      <w:r>
        <w:t>We wi</w:t>
      </w:r>
      <w:r w:rsidR="004421A8">
        <w:t>ll first stratify the frame by S</w:t>
      </w:r>
      <w:r>
        <w:t>tate and create secondary strata by household size categories (1-3 persons vs. 4 or more persons)</w:t>
      </w:r>
      <w:r w:rsidRPr="003919E4">
        <w:t xml:space="preserve"> </w:t>
      </w:r>
      <w:r w:rsidR="004421A8">
        <w:t>in each S</w:t>
      </w:r>
      <w:r>
        <w:t xml:space="preserve">tate stratum. </w:t>
      </w:r>
      <w:r w:rsidRPr="008B515A">
        <w:t>Within the explicit strata</w:t>
      </w:r>
      <w:r w:rsidR="004421A8">
        <w:t xml:space="preserve"> defined by S</w:t>
      </w:r>
      <w:r>
        <w:t>tate and household size</w:t>
      </w:r>
      <w:r w:rsidRPr="008B515A">
        <w:t>, additional implicit stratification</w:t>
      </w:r>
      <w:r w:rsidRPr="007E1D9B">
        <w:rPr>
          <w:rStyle w:val="FootnoteReference"/>
          <w:vertAlign w:val="superscript"/>
        </w:rPr>
        <w:footnoteReference w:id="2"/>
      </w:r>
      <w:r w:rsidRPr="008B515A">
        <w:t xml:space="preserve"> can be achieved through sorting</w:t>
      </w:r>
      <w:r>
        <w:t xml:space="preserve"> the list</w:t>
      </w:r>
      <w:r w:rsidRPr="008B515A">
        <w:t xml:space="preserve">. Such stratification can help reduce sample variation associated with variables of analytic interest or expected to be correlated with survey </w:t>
      </w:r>
      <w:r>
        <w:t>outcome variables</w:t>
      </w:r>
      <w:r w:rsidRPr="008B515A">
        <w:t>.</w:t>
      </w:r>
      <w:r>
        <w:t xml:space="preserve"> </w:t>
      </w:r>
      <w:r w:rsidRPr="001F2D06">
        <w:t xml:space="preserve"> </w:t>
      </w:r>
      <w:r>
        <w:t xml:space="preserve">Sort </w:t>
      </w:r>
      <w:r w:rsidRPr="008B515A">
        <w:t>variables</w:t>
      </w:r>
      <w:r>
        <w:t xml:space="preserve"> will</w:t>
      </w:r>
      <w:r w:rsidRPr="008B515A">
        <w:t xml:space="preserve"> include </w:t>
      </w:r>
      <w:r>
        <w:t xml:space="preserve">household characteristics on the frame, specifically </w:t>
      </w:r>
      <w:r w:rsidRPr="00DA044A">
        <w:t>household composition (children/no children</w:t>
      </w:r>
      <w:r>
        <w:t xml:space="preserve">) and the time of participation (based on </w:t>
      </w:r>
      <w:r w:rsidRPr="00DA044A">
        <w:t>date benefit started</w:t>
      </w:r>
      <w:r>
        <w:t>).</w:t>
      </w:r>
    </w:p>
    <w:p w14:paraId="3BD8474A" w14:textId="77777777" w:rsidR="007D2005" w:rsidRDefault="007D2005" w:rsidP="00AD0CA7">
      <w:pPr>
        <w:pStyle w:val="P1-StandPara"/>
      </w:pPr>
    </w:p>
    <w:p w14:paraId="7333C1DD" w14:textId="77777777" w:rsidR="007D2005" w:rsidRDefault="007D2005" w:rsidP="00C80391">
      <w:pPr>
        <w:pStyle w:val="Heading3"/>
      </w:pPr>
      <w:bookmarkStart w:id="30" w:name="_Toc290021784"/>
    </w:p>
    <w:p w14:paraId="23A12F47" w14:textId="77777777" w:rsidR="00C80391" w:rsidRDefault="00C80391" w:rsidP="00C80391">
      <w:pPr>
        <w:pStyle w:val="Heading3"/>
      </w:pPr>
      <w:r>
        <w:t>B.2.2.</w:t>
      </w:r>
      <w:r>
        <w:tab/>
        <w:t>Estimation P</w:t>
      </w:r>
      <w:r w:rsidRPr="005F0A96">
        <w:t>rocedures</w:t>
      </w:r>
      <w:bookmarkEnd w:id="30"/>
    </w:p>
    <w:p w14:paraId="799F7129" w14:textId="77777777" w:rsidR="004B3FFB" w:rsidRDefault="00AB2A0D">
      <w:pPr>
        <w:pStyle w:val="P1-StandPara"/>
        <w:rPr>
          <w:b/>
        </w:rPr>
      </w:pPr>
      <w:r w:rsidRPr="00AB2A0D">
        <w:rPr>
          <w:b/>
        </w:rPr>
        <w:t>Sample Weights</w:t>
      </w:r>
    </w:p>
    <w:p w14:paraId="74C51ED6" w14:textId="3AD838A3" w:rsidR="007D2005" w:rsidRDefault="007D2005" w:rsidP="007D2005">
      <w:pPr>
        <w:pStyle w:val="P1-StandPara"/>
      </w:pPr>
      <w:r w:rsidRPr="003A0B75">
        <w:t>The first step will be to calculate the base weight</w:t>
      </w:r>
      <w:r>
        <w:t>,</w:t>
      </w:r>
      <w:r w:rsidRPr="003A0B75">
        <w:t xml:space="preserve"> which is defined to be the reciprocal of the probability of selecting a SNAP household fo</w:t>
      </w:r>
      <w:r>
        <w:t>r the survey. Under the</w:t>
      </w:r>
      <w:r w:rsidRPr="003A0B75">
        <w:t xml:space="preserve"> stratified </w:t>
      </w:r>
      <w:r w:rsidR="00B37DD0">
        <w:t xml:space="preserve">two-stage </w:t>
      </w:r>
      <w:r w:rsidRPr="003A0B75">
        <w:t xml:space="preserve">sample design, the base weights of the sample households will include two components - the </w:t>
      </w:r>
      <w:r w:rsidR="002B4556">
        <w:t>S</w:t>
      </w:r>
      <w:r w:rsidR="002B4556" w:rsidRPr="003A0B75">
        <w:t>tate</w:t>
      </w:r>
      <w:r w:rsidRPr="003A0B75">
        <w:t xml:space="preserve">-level weight component, and the household-level weight component. At the </w:t>
      </w:r>
      <w:r w:rsidR="002B4556">
        <w:t>S</w:t>
      </w:r>
      <w:r w:rsidR="002B4556" w:rsidRPr="003A0B75">
        <w:t xml:space="preserve">tate </w:t>
      </w:r>
      <w:r w:rsidRPr="003A0B75">
        <w:t xml:space="preserve">level, a </w:t>
      </w:r>
      <w:r w:rsidR="002B4556">
        <w:t>St</w:t>
      </w:r>
      <w:r w:rsidR="002B4556" w:rsidRPr="003A0B75">
        <w:t xml:space="preserve">ate </w:t>
      </w:r>
      <w:r w:rsidRPr="003A0B75">
        <w:t>base weight will be calculated that will reflec</w:t>
      </w:r>
      <w:r w:rsidR="004421A8">
        <w:t>t the selection probability of States, and the S</w:t>
      </w:r>
      <w:r w:rsidRPr="003A0B75">
        <w:t>tate ba</w:t>
      </w:r>
      <w:r w:rsidR="004421A8">
        <w:t>se weight will be adjusted for S</w:t>
      </w:r>
      <w:r w:rsidRPr="003A0B75">
        <w:t>tate non-participation. T</w:t>
      </w:r>
      <w:r>
        <w:t>hen, t</w:t>
      </w:r>
      <w:r w:rsidRPr="003A0B75">
        <w:t>he household-level base wei</w:t>
      </w:r>
      <w:r w:rsidR="004421A8">
        <w:t>ght will be developed based on S</w:t>
      </w:r>
      <w:r w:rsidRPr="003A0B75">
        <w:t>tate weight, reflecting each SNAP participant household</w:t>
      </w:r>
      <w:r>
        <w:t>’</w:t>
      </w:r>
      <w:r w:rsidRPr="003A0B75">
        <w:t>s probability of selection within a PSU (</w:t>
      </w:r>
      <w:r w:rsidR="002B4556">
        <w:t>S</w:t>
      </w:r>
      <w:r w:rsidR="002B4556" w:rsidRPr="003A0B75">
        <w:t>tate</w:t>
      </w:r>
      <w:r w:rsidRPr="003A0B75">
        <w:t>).</w:t>
      </w:r>
    </w:p>
    <w:p w14:paraId="493CFC24" w14:textId="1DF7607C" w:rsidR="007D2005" w:rsidRDefault="007D2005" w:rsidP="007D2005">
      <w:pPr>
        <w:pStyle w:val="P1-StandPara"/>
      </w:pPr>
      <w:r w:rsidRPr="003A0B75">
        <w:t xml:space="preserve">The next step will be to construct and apply weight adjustments to compensate for </w:t>
      </w:r>
      <w:r w:rsidRPr="007D2005">
        <w:rPr>
          <w:u w:val="single"/>
        </w:rPr>
        <w:t>differential rates of nonresponse</w:t>
      </w:r>
      <w:r w:rsidRPr="003A0B75">
        <w:t>. Dealing with issues of survey nonresponse is a standard part of the weighting effort associated with the estimation and analysis of the survey data. In developing sample weights, weights are adjusted to reduce the potential for bias associated with nonresponse. This generally involves identifying data available for both respondents and nonrespondents obtained from the sampl</w:t>
      </w:r>
      <w:r>
        <w:t>ing</w:t>
      </w:r>
      <w:r w:rsidRPr="003A0B75">
        <w:t xml:space="preserve"> frame or other sources from which nonresponse adjustment cells can be created. For this study, demographic and geographic characteristics available in the sampling frames and other data sources such as SNAP administrative files could potentially be used for this purpose. An evaluation of these variables will be undertaken to identify those most effective in characterizing the propensity to respond. Approaches for identifying variables to be incorporated into models for nonresponse adjustment include logistic regression and the software package Chi-square Automatic Interaction Detector (CHAID). CHAID is an effective categorical search algorithm for identifying cells that are homogeneous with respect to response propensity and has been used extensively at Westat for this purpose. Nonresponses adjustments will be made within cells defined by characteristics found to be correlated with response propensity and are known for all sampled households</w:t>
      </w:r>
      <w:r>
        <w:t>.</w:t>
      </w:r>
      <w:r w:rsidRPr="007D2005">
        <w:t xml:space="preserve"> </w:t>
      </w:r>
      <w:r w:rsidR="00D92926" w:rsidRPr="00D92926">
        <w:t>Item nonresponse will be handled through imputation, examining the characteristics of nonresponders and responders on particular items and imputing likely responses. Sensitivity analyses will be performed for all weighting and imputations.</w:t>
      </w:r>
    </w:p>
    <w:p w14:paraId="43A1C96B" w14:textId="77777777" w:rsidR="004B3FFB" w:rsidRDefault="00261DA0">
      <w:pPr>
        <w:pStyle w:val="P1-StandPara"/>
        <w:rPr>
          <w:b/>
        </w:rPr>
      </w:pPr>
      <w:r>
        <w:rPr>
          <w:b/>
        </w:rPr>
        <w:t>Sampling Error Estimation</w:t>
      </w:r>
    </w:p>
    <w:p w14:paraId="30B8EDA1" w14:textId="77777777" w:rsidR="00C80391" w:rsidRDefault="00C80391" w:rsidP="00C80391">
      <w:pPr>
        <w:pStyle w:val="P1-StandPara"/>
      </w:pPr>
      <w:r w:rsidRPr="00EE2533">
        <w:t>When a survey is conducted using a complex sample design, the design must be taken explicitly into account to produce unbiased estimates and standard</w:t>
      </w:r>
      <w:r>
        <w:t xml:space="preserve"> errors for these estimates. This is accomplished by dividing the complete sample into a number of subsamples known as replicates so that each replicate sample, when properly weighted, will provide appropriate estimates of population characteristics of interest. In general, replicate samples are formed to mirror the original sampling of primary sampling units.</w:t>
      </w:r>
      <w:r w:rsidR="005E0357">
        <w:t xml:space="preserve"> In this study</w:t>
      </w:r>
      <w:r w:rsidR="00AB2A0D" w:rsidRPr="00AB2A0D">
        <w:t>, replicate weights using the jackknife methodology will be developed as part of the weighting process</w:t>
      </w:r>
      <w:r>
        <w:t xml:space="preserve"> to calculate sampling errors of survey estimates and to conduct statistical significance tests of survey findings. </w:t>
      </w:r>
      <w:r w:rsidR="007528F3">
        <w:t>A number of</w:t>
      </w:r>
      <w:r w:rsidR="00B31E38" w:rsidRPr="003A3BEC">
        <w:rPr>
          <w:rFonts w:cs="Arial"/>
          <w:color w:val="000000"/>
        </w:rPr>
        <w:t xml:space="preserve"> popular </w:t>
      </w:r>
      <w:r w:rsidR="00B31E38">
        <w:rPr>
          <w:rFonts w:cs="Arial"/>
          <w:color w:val="000000"/>
        </w:rPr>
        <w:t>statistical software</w:t>
      </w:r>
      <w:r w:rsidR="00B31E38" w:rsidRPr="003A3BEC">
        <w:rPr>
          <w:rFonts w:cs="Arial"/>
          <w:color w:val="000000"/>
        </w:rPr>
        <w:t xml:space="preserve"> for the analysis of complex survey data, including SUDAAN, STATA, SAS (using special survey analysis procedures), R, and WesVar, </w:t>
      </w:r>
      <w:r w:rsidR="00B31E38">
        <w:t xml:space="preserve">can </w:t>
      </w:r>
      <w:r>
        <w:t>be used with replicate weights to take the sample design into account when calculating point estimates, correlation</w:t>
      </w:r>
      <w:r w:rsidR="00230B11">
        <w:t>,</w:t>
      </w:r>
      <w:r>
        <w:t xml:space="preserve"> and regression coefficients and their associated standard errors. </w:t>
      </w:r>
      <w:r w:rsidR="00F462FA">
        <w:t>A</w:t>
      </w:r>
      <w:r w:rsidR="00F462FA" w:rsidRPr="002301A6">
        <w:t xml:space="preserve"> series of jackknife replicate weights will be created and attached to each data record for variance estimation purposes.</w:t>
      </w:r>
      <w:r w:rsidR="00F462FA">
        <w:t xml:space="preserve"> </w:t>
      </w:r>
      <w:r w:rsidR="00F462FA" w:rsidRPr="002301A6">
        <w:t>The</w:t>
      </w:r>
      <w:r w:rsidR="00F462FA">
        <w:t>se</w:t>
      </w:r>
      <w:r w:rsidR="00F462FA" w:rsidRPr="002301A6">
        <w:t xml:space="preserve"> replicate weights </w:t>
      </w:r>
      <w:r w:rsidR="00F462FA">
        <w:t>will then</w:t>
      </w:r>
      <w:r w:rsidR="00F462FA" w:rsidRPr="002301A6">
        <w:t xml:space="preserve"> be imported into </w:t>
      </w:r>
      <w:r w:rsidR="00A30E3A">
        <w:t>statistical</w:t>
      </w:r>
      <w:r w:rsidR="00B31E38">
        <w:t xml:space="preserve"> software</w:t>
      </w:r>
      <w:r w:rsidR="00F462FA" w:rsidRPr="002301A6">
        <w:t xml:space="preserve"> to calculate </w:t>
      </w:r>
      <w:r w:rsidR="00F462FA">
        <w:t xml:space="preserve">appropriate </w:t>
      </w:r>
      <w:r w:rsidR="00F462FA" w:rsidRPr="002301A6">
        <w:t xml:space="preserve">standard errors </w:t>
      </w:r>
      <w:r w:rsidR="00F462FA">
        <w:t>for</w:t>
      </w:r>
      <w:r w:rsidR="00F462FA" w:rsidRPr="002301A6">
        <w:t xml:space="preserve"> survey-based estimates.</w:t>
      </w:r>
    </w:p>
    <w:p w14:paraId="41811893" w14:textId="77777777" w:rsidR="005E0357" w:rsidRDefault="005E0357" w:rsidP="00C80391">
      <w:pPr>
        <w:pStyle w:val="P1-StandPara"/>
      </w:pPr>
    </w:p>
    <w:p w14:paraId="10988623" w14:textId="77777777" w:rsidR="00F353C1" w:rsidRDefault="00F353C1">
      <w:pPr>
        <w:spacing w:after="200" w:line="276" w:lineRule="auto"/>
        <w:rPr>
          <w:rFonts w:ascii="Franklin Gothic Medium" w:hAnsi="Franklin Gothic Medium"/>
          <w:b/>
          <w:color w:val="324162"/>
          <w:sz w:val="28"/>
          <w:szCs w:val="32"/>
        </w:rPr>
      </w:pPr>
      <w:bookmarkStart w:id="31" w:name="_Toc290021785"/>
      <w:r>
        <w:br w:type="page"/>
      </w:r>
    </w:p>
    <w:p w14:paraId="465EB22C" w14:textId="77777777" w:rsidR="00C80391" w:rsidRDefault="00C80391" w:rsidP="00C80391">
      <w:pPr>
        <w:pStyle w:val="Heading3"/>
      </w:pPr>
      <w:r>
        <w:t>B.2.3.</w:t>
      </w:r>
      <w:r>
        <w:tab/>
        <w:t xml:space="preserve">Degree of </w:t>
      </w:r>
      <w:r w:rsidR="00501D71">
        <w:t>P</w:t>
      </w:r>
      <w:r w:rsidR="00501D71" w:rsidRPr="00095DDA">
        <w:t>recision</w:t>
      </w:r>
      <w:r>
        <w:t xml:space="preserve"> Needed</w:t>
      </w:r>
      <w:bookmarkEnd w:id="31"/>
      <w:r>
        <w:t xml:space="preserve"> for the Purpose Described in the Justification</w:t>
      </w:r>
    </w:p>
    <w:p w14:paraId="39E62A6F" w14:textId="77777777" w:rsidR="004B3FFB" w:rsidRDefault="00AB2A0D">
      <w:pPr>
        <w:ind w:firstLine="720"/>
      </w:pPr>
      <w:r w:rsidRPr="00AB2A0D">
        <w:rPr>
          <w:b/>
          <w:szCs w:val="24"/>
        </w:rPr>
        <w:t>Margin of Error</w:t>
      </w:r>
    </w:p>
    <w:p w14:paraId="4DF6C61B" w14:textId="77777777" w:rsidR="004B3FFB" w:rsidRDefault="004B3FFB"/>
    <w:p w14:paraId="0F1AD539" w14:textId="77777777" w:rsidR="007D2005" w:rsidRDefault="007D2005" w:rsidP="007D2005">
      <w:pPr>
        <w:pStyle w:val="P1-StandPara"/>
      </w:pPr>
      <w:r w:rsidRPr="00DA044A">
        <w:t xml:space="preserve">To determine the sample size, we performed analyses with the goals that the sample size should be adequate (1) to meet the precision requirements of ±5 percent margin of error with a 95 percent level of confidence around a point estimate (proportion) for the full sample, and (2) to satisfy the needs for subgroup analysis with reasonable precision for point estimates and power for detecting difference between </w:t>
      </w:r>
      <w:r w:rsidRPr="00C32AA2">
        <w:t>groups</w:t>
      </w:r>
      <w:r>
        <w:t xml:space="preserve">. </w:t>
      </w:r>
      <w:r w:rsidRPr="00C32AA2">
        <w:t>As there are many subgroup comparisons of interest and overlap between them (e.g.</w:t>
      </w:r>
      <w:r>
        <w:t>,</w:t>
      </w:r>
      <w:r w:rsidRPr="00C32AA2">
        <w:t xml:space="preserve"> every head of a household is in a gender, race, age, and education subgroup) it becomes inefficient to treat every subgroup as its own explicit strata as that would result in an unnecessarily large sample.</w:t>
      </w:r>
      <w:r>
        <w:t xml:space="preserve"> </w:t>
      </w:r>
      <w:r w:rsidRPr="00C32AA2">
        <w:t>Instead our strategy is to size the sample so that it produces point estimates for subgroups with reasonable precision (+/-8 %) and detect modest differences (6 percentage points) between subgroup prevalence levels.</w:t>
      </w:r>
    </w:p>
    <w:p w14:paraId="1372B644" w14:textId="1CBA76EA" w:rsidR="007D2005" w:rsidRDefault="007D2005" w:rsidP="007D2005">
      <w:pPr>
        <w:pStyle w:val="P1-StandPara"/>
        <w:rPr>
          <w:color w:val="000000"/>
        </w:rPr>
      </w:pPr>
      <w:r w:rsidRPr="00DA044A">
        <w:t>In sample</w:t>
      </w:r>
      <w:r>
        <w:t xml:space="preserve"> size estimation, design effect </w:t>
      </w:r>
      <w:r w:rsidRPr="00DA044A">
        <w:t xml:space="preserve">is also a factor to be incorporated into the power and </w:t>
      </w:r>
      <w:r>
        <w:t>expected precision</w:t>
      </w:r>
      <w:r w:rsidR="005B59EB">
        <w:t>,</w:t>
      </w:r>
      <w:r w:rsidRPr="00DA044A">
        <w:t xml:space="preserve"> if the</w:t>
      </w:r>
      <w:r w:rsidRPr="00DA044A">
        <w:rPr>
          <w:color w:val="000000"/>
        </w:rPr>
        <w:t xml:space="preserve"> sample design is different from a simple random sample.</w:t>
      </w:r>
      <w:r>
        <w:rPr>
          <w:color w:val="000000"/>
        </w:rPr>
        <w:t xml:space="preserve"> </w:t>
      </w:r>
      <w:r w:rsidRPr="00DA044A">
        <w:t xml:space="preserve">The </w:t>
      </w:r>
      <w:r w:rsidRPr="00DA044A">
        <w:rPr>
          <w:color w:val="000000"/>
        </w:rPr>
        <w:t xml:space="preserve">design effect is </w:t>
      </w:r>
      <w:r w:rsidRPr="00DA044A">
        <w:t xml:space="preserve">computed as the ratio of the variance of an estimate obtained from a specified sample design to the variance of the estimate obtained from a simple random sample of </w:t>
      </w:r>
      <w:r>
        <w:t xml:space="preserve">the same size. With this </w:t>
      </w:r>
      <w:r w:rsidRPr="00DA044A">
        <w:t>sample design, we expect there will be</w:t>
      </w:r>
      <w:r w:rsidR="004421A8">
        <w:t xml:space="preserve"> some clustering effect due to S</w:t>
      </w:r>
      <w:r w:rsidRPr="00DA044A">
        <w:t>tates being used as a sampling unit (PSU) in a two-stage design</w:t>
      </w:r>
      <w:r w:rsidRPr="00DA044A">
        <w:rPr>
          <w:color w:val="000000"/>
        </w:rPr>
        <w:t xml:space="preserve">. In addition, there is also </w:t>
      </w:r>
      <w:r w:rsidRPr="00DA044A">
        <w:t>an expected design effect resulting from variation in the nonresponse adjustments in the data weighting process.</w:t>
      </w:r>
      <w:r w:rsidRPr="00DA044A">
        <w:rPr>
          <w:color w:val="000000"/>
        </w:rPr>
        <w:t xml:space="preserve"> Based on our experience with national sample surveys, we e</w:t>
      </w:r>
      <w:r w:rsidR="004421A8">
        <w:rPr>
          <w:color w:val="000000"/>
        </w:rPr>
        <w:t>xpect the design effect due to S</w:t>
      </w:r>
      <w:r w:rsidRPr="00DA044A">
        <w:rPr>
          <w:color w:val="000000"/>
        </w:rPr>
        <w:t>tate-level clustering and weight variation to be roughly 1.2 for most of the estimates</w:t>
      </w:r>
      <w:r>
        <w:rPr>
          <w:color w:val="000000"/>
        </w:rPr>
        <w:t>.</w:t>
      </w:r>
    </w:p>
    <w:p w14:paraId="32C6F7EA" w14:textId="77777777" w:rsidR="007D2005" w:rsidRPr="00DA044A" w:rsidRDefault="007D2005" w:rsidP="007D2005">
      <w:pPr>
        <w:pStyle w:val="P1-StandPara"/>
      </w:pPr>
      <w:r>
        <w:t>Table 2-</w:t>
      </w:r>
      <w:r w:rsidRPr="00DA044A">
        <w:t>1 provides estimates of the levels of precision to be expected for different prevalence</w:t>
      </w:r>
      <w:r>
        <w:t xml:space="preserve"> estimates</w:t>
      </w:r>
      <w:r w:rsidRPr="00DA044A">
        <w:t xml:space="preserve"> under the proposed design with a design effect of 1.2, for subgroup sample sizes ranging from 200 to 2,500.</w:t>
      </w:r>
      <w:r>
        <w:t xml:space="preserve"> As Table </w:t>
      </w:r>
      <w:r w:rsidR="00301D3C">
        <w:t>B-2</w:t>
      </w:r>
      <w:r>
        <w:t xml:space="preserve"> shows even for subgroup samples as small as 200 to 300 households, we would have precision levels under +/- 8 percent margin of error for all prevalence estimates.</w:t>
      </w:r>
    </w:p>
    <w:p w14:paraId="1621A21A" w14:textId="77777777" w:rsidR="007D2005" w:rsidRDefault="007D2005" w:rsidP="007D2005">
      <w:pPr>
        <w:rPr>
          <w:rFonts w:ascii="Franklin Gothic Medium" w:hAnsi="Franklin Gothic Medium"/>
          <w:color w:val="000000" w:themeColor="text1"/>
        </w:rPr>
      </w:pPr>
    </w:p>
    <w:p w14:paraId="23548DF9" w14:textId="77777777" w:rsidR="007D2005" w:rsidRDefault="007D2005" w:rsidP="007D2005">
      <w:pPr>
        <w:rPr>
          <w:rFonts w:ascii="Franklin Gothic Medium" w:hAnsi="Franklin Gothic Medium"/>
          <w:color w:val="000000" w:themeColor="text1"/>
        </w:rPr>
      </w:pPr>
    </w:p>
    <w:p w14:paraId="7DD74AB7" w14:textId="77777777" w:rsidR="007D2005" w:rsidRPr="009C6413" w:rsidRDefault="007D2005" w:rsidP="007D2005">
      <w:pPr>
        <w:pStyle w:val="TT-TableTitle"/>
      </w:pPr>
      <w:r w:rsidRPr="009C6413">
        <w:t xml:space="preserve">Table </w:t>
      </w:r>
      <w:r>
        <w:t>B-2.</w:t>
      </w:r>
      <w:r>
        <w:tab/>
      </w:r>
      <w:r w:rsidRPr="009C6413">
        <w:t xml:space="preserve">Expected 95-percent confidence bounds for selected sample sizes and </w:t>
      </w:r>
      <w:r>
        <w:t xml:space="preserve">prevalences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1777"/>
        <w:gridCol w:w="1777"/>
        <w:gridCol w:w="1777"/>
        <w:gridCol w:w="1777"/>
      </w:tblGrid>
      <w:tr w:rsidR="007D2005" w:rsidRPr="00CE247E" w14:paraId="543DCA86" w14:textId="77777777" w:rsidTr="001326A6">
        <w:trPr>
          <w:trHeight w:val="144"/>
        </w:trPr>
        <w:tc>
          <w:tcPr>
            <w:tcW w:w="1288" w:type="pct"/>
            <w:shd w:val="clear" w:color="auto" w:fill="AFBED7"/>
            <w:noWrap/>
            <w:vAlign w:val="center"/>
            <w:hideMark/>
          </w:tcPr>
          <w:p w14:paraId="475A56B3" w14:textId="77777777" w:rsidR="007D2005" w:rsidRPr="00CE247E" w:rsidRDefault="007D2005" w:rsidP="001326A6">
            <w:pPr>
              <w:pStyle w:val="TH-TableHeading"/>
            </w:pPr>
            <w:r w:rsidRPr="00CE247E">
              <w:t>Subgroup sample size*</w:t>
            </w:r>
          </w:p>
        </w:tc>
        <w:tc>
          <w:tcPr>
            <w:tcW w:w="928" w:type="pct"/>
            <w:shd w:val="clear" w:color="auto" w:fill="AFBED7"/>
            <w:noWrap/>
            <w:vAlign w:val="center"/>
            <w:hideMark/>
          </w:tcPr>
          <w:p w14:paraId="6FBCF38E" w14:textId="77777777" w:rsidR="007D2005" w:rsidRPr="00CE247E" w:rsidRDefault="007D2005" w:rsidP="001326A6">
            <w:pPr>
              <w:pStyle w:val="TH-TableHeading"/>
            </w:pPr>
            <w:r w:rsidRPr="00CE247E">
              <w:t>P</w:t>
            </w:r>
            <w:r>
              <w:t xml:space="preserve"> </w:t>
            </w:r>
            <w:r w:rsidRPr="00CE247E">
              <w:t>=</w:t>
            </w:r>
            <w:r>
              <w:t xml:space="preserve"> </w:t>
            </w:r>
            <w:r w:rsidRPr="00CE247E">
              <w:t>20%</w:t>
            </w:r>
          </w:p>
        </w:tc>
        <w:tc>
          <w:tcPr>
            <w:tcW w:w="928" w:type="pct"/>
            <w:shd w:val="clear" w:color="auto" w:fill="AFBED7"/>
            <w:noWrap/>
            <w:vAlign w:val="center"/>
            <w:hideMark/>
          </w:tcPr>
          <w:p w14:paraId="3ED88952" w14:textId="77777777" w:rsidR="007D2005" w:rsidRPr="00CE247E" w:rsidRDefault="007D2005" w:rsidP="001326A6">
            <w:pPr>
              <w:pStyle w:val="TH-TableHeading"/>
            </w:pPr>
            <w:r w:rsidRPr="00CE247E">
              <w:t>P</w:t>
            </w:r>
            <w:r>
              <w:t xml:space="preserve"> </w:t>
            </w:r>
            <w:r w:rsidRPr="00CE247E">
              <w:t>=</w:t>
            </w:r>
            <w:r>
              <w:t xml:space="preserve"> </w:t>
            </w:r>
            <w:r w:rsidRPr="00CE247E">
              <w:t>30%</w:t>
            </w:r>
          </w:p>
        </w:tc>
        <w:tc>
          <w:tcPr>
            <w:tcW w:w="928" w:type="pct"/>
            <w:shd w:val="clear" w:color="auto" w:fill="AFBED7"/>
            <w:noWrap/>
            <w:vAlign w:val="center"/>
            <w:hideMark/>
          </w:tcPr>
          <w:p w14:paraId="1418D6A6" w14:textId="77777777" w:rsidR="007D2005" w:rsidRPr="00CE247E" w:rsidRDefault="007D2005" w:rsidP="001326A6">
            <w:pPr>
              <w:pStyle w:val="TH-TableHeading"/>
            </w:pPr>
            <w:r w:rsidRPr="00CE247E">
              <w:t>P</w:t>
            </w:r>
            <w:r>
              <w:t xml:space="preserve"> </w:t>
            </w:r>
            <w:r w:rsidRPr="00CE247E">
              <w:t>=</w:t>
            </w:r>
            <w:r>
              <w:t xml:space="preserve"> </w:t>
            </w:r>
            <w:r w:rsidRPr="00CE247E">
              <w:t>40%</w:t>
            </w:r>
          </w:p>
        </w:tc>
        <w:tc>
          <w:tcPr>
            <w:tcW w:w="928" w:type="pct"/>
            <w:shd w:val="clear" w:color="auto" w:fill="AFBED7"/>
            <w:noWrap/>
            <w:vAlign w:val="center"/>
            <w:hideMark/>
          </w:tcPr>
          <w:p w14:paraId="17EF5933" w14:textId="77777777" w:rsidR="007D2005" w:rsidRPr="00CE247E" w:rsidRDefault="007D2005" w:rsidP="001326A6">
            <w:pPr>
              <w:pStyle w:val="TH-TableHeading"/>
            </w:pPr>
            <w:r w:rsidRPr="00CE247E">
              <w:t>P</w:t>
            </w:r>
            <w:r>
              <w:t xml:space="preserve"> </w:t>
            </w:r>
            <w:r w:rsidRPr="00CE247E">
              <w:t>=</w:t>
            </w:r>
            <w:r>
              <w:t xml:space="preserve"> </w:t>
            </w:r>
            <w:r w:rsidRPr="00CE247E">
              <w:t>50%</w:t>
            </w:r>
          </w:p>
        </w:tc>
      </w:tr>
      <w:tr w:rsidR="007D2005" w:rsidRPr="00CE247E" w14:paraId="1DDE7A34" w14:textId="77777777" w:rsidTr="001326A6">
        <w:trPr>
          <w:trHeight w:val="144"/>
        </w:trPr>
        <w:tc>
          <w:tcPr>
            <w:tcW w:w="1288" w:type="pct"/>
            <w:shd w:val="clear" w:color="auto" w:fill="auto"/>
            <w:vAlign w:val="center"/>
            <w:hideMark/>
          </w:tcPr>
          <w:p w14:paraId="618F5E14" w14:textId="77777777" w:rsidR="007D2005" w:rsidRPr="00CE247E" w:rsidRDefault="007D2005" w:rsidP="001326A6">
            <w:pPr>
              <w:pStyle w:val="TX-TableText"/>
              <w:jc w:val="center"/>
            </w:pPr>
            <w:r w:rsidRPr="00CE247E">
              <w:t>200</w:t>
            </w:r>
          </w:p>
        </w:tc>
        <w:tc>
          <w:tcPr>
            <w:tcW w:w="928" w:type="pct"/>
            <w:shd w:val="clear" w:color="auto" w:fill="auto"/>
            <w:noWrap/>
            <w:vAlign w:val="center"/>
            <w:hideMark/>
          </w:tcPr>
          <w:p w14:paraId="54191894" w14:textId="77777777" w:rsidR="007D2005" w:rsidRPr="00CE247E" w:rsidRDefault="007D2005" w:rsidP="001326A6">
            <w:pPr>
              <w:pStyle w:val="TX-TableText"/>
              <w:jc w:val="center"/>
            </w:pPr>
            <w:r w:rsidRPr="00CE247E">
              <w:t>6.07%</w:t>
            </w:r>
          </w:p>
        </w:tc>
        <w:tc>
          <w:tcPr>
            <w:tcW w:w="928" w:type="pct"/>
            <w:shd w:val="clear" w:color="auto" w:fill="auto"/>
            <w:noWrap/>
            <w:vAlign w:val="center"/>
            <w:hideMark/>
          </w:tcPr>
          <w:p w14:paraId="61D0D482" w14:textId="77777777" w:rsidR="007D2005" w:rsidRPr="00CE247E" w:rsidRDefault="007D2005" w:rsidP="001326A6">
            <w:pPr>
              <w:pStyle w:val="TX-TableText"/>
              <w:jc w:val="center"/>
            </w:pPr>
            <w:r w:rsidRPr="00CE247E">
              <w:t>6.96%</w:t>
            </w:r>
          </w:p>
        </w:tc>
        <w:tc>
          <w:tcPr>
            <w:tcW w:w="928" w:type="pct"/>
            <w:shd w:val="clear" w:color="auto" w:fill="auto"/>
            <w:noWrap/>
            <w:vAlign w:val="center"/>
            <w:hideMark/>
          </w:tcPr>
          <w:p w14:paraId="23756AE7" w14:textId="77777777" w:rsidR="007D2005" w:rsidRPr="00CE247E" w:rsidRDefault="007D2005" w:rsidP="001326A6">
            <w:pPr>
              <w:pStyle w:val="TX-TableText"/>
              <w:jc w:val="center"/>
            </w:pPr>
            <w:r w:rsidRPr="00CE247E">
              <w:t>7.44%</w:t>
            </w:r>
          </w:p>
        </w:tc>
        <w:tc>
          <w:tcPr>
            <w:tcW w:w="928" w:type="pct"/>
            <w:shd w:val="clear" w:color="auto" w:fill="auto"/>
            <w:noWrap/>
            <w:vAlign w:val="center"/>
            <w:hideMark/>
          </w:tcPr>
          <w:p w14:paraId="6A92D411" w14:textId="77777777" w:rsidR="007D2005" w:rsidRPr="00CE247E" w:rsidRDefault="007D2005" w:rsidP="001326A6">
            <w:pPr>
              <w:pStyle w:val="TX-TableText"/>
              <w:jc w:val="center"/>
            </w:pPr>
            <w:r w:rsidRPr="00CE247E">
              <w:t>7.59%</w:t>
            </w:r>
          </w:p>
        </w:tc>
      </w:tr>
      <w:tr w:rsidR="007D2005" w:rsidRPr="00CE247E" w14:paraId="6D911433" w14:textId="77777777" w:rsidTr="001326A6">
        <w:trPr>
          <w:cantSplit/>
          <w:trHeight w:val="144"/>
        </w:trPr>
        <w:tc>
          <w:tcPr>
            <w:tcW w:w="1288" w:type="pct"/>
            <w:shd w:val="clear" w:color="auto" w:fill="auto"/>
            <w:vAlign w:val="center"/>
            <w:hideMark/>
          </w:tcPr>
          <w:p w14:paraId="7B02D130" w14:textId="77777777" w:rsidR="007D2005" w:rsidRPr="00CE247E" w:rsidRDefault="007D2005" w:rsidP="001326A6">
            <w:pPr>
              <w:pStyle w:val="TX-TableText"/>
              <w:jc w:val="center"/>
            </w:pPr>
            <w:r w:rsidRPr="00CE247E">
              <w:t>300</w:t>
            </w:r>
          </w:p>
        </w:tc>
        <w:tc>
          <w:tcPr>
            <w:tcW w:w="928" w:type="pct"/>
            <w:shd w:val="clear" w:color="auto" w:fill="FFFFFF" w:themeFill="background1"/>
            <w:noWrap/>
            <w:vAlign w:val="center"/>
            <w:hideMark/>
          </w:tcPr>
          <w:p w14:paraId="36201666" w14:textId="77777777" w:rsidR="007D2005" w:rsidRPr="00CE247E" w:rsidRDefault="007D2005" w:rsidP="001326A6">
            <w:pPr>
              <w:pStyle w:val="TX-TableText"/>
              <w:jc w:val="center"/>
            </w:pPr>
            <w:r w:rsidRPr="00CE247E">
              <w:t>4.96%</w:t>
            </w:r>
          </w:p>
        </w:tc>
        <w:tc>
          <w:tcPr>
            <w:tcW w:w="928" w:type="pct"/>
            <w:shd w:val="clear" w:color="auto" w:fill="FFFFFF" w:themeFill="background1"/>
            <w:noWrap/>
            <w:vAlign w:val="center"/>
            <w:hideMark/>
          </w:tcPr>
          <w:p w14:paraId="0808198E" w14:textId="77777777" w:rsidR="007D2005" w:rsidRPr="00CE247E" w:rsidRDefault="007D2005" w:rsidP="001326A6">
            <w:pPr>
              <w:pStyle w:val="TX-TableText"/>
              <w:jc w:val="center"/>
            </w:pPr>
            <w:r w:rsidRPr="00CE247E">
              <w:t>5.68%</w:t>
            </w:r>
          </w:p>
        </w:tc>
        <w:tc>
          <w:tcPr>
            <w:tcW w:w="928" w:type="pct"/>
            <w:shd w:val="clear" w:color="auto" w:fill="FFFFFF" w:themeFill="background1"/>
            <w:noWrap/>
            <w:vAlign w:val="center"/>
            <w:hideMark/>
          </w:tcPr>
          <w:p w14:paraId="39C90F8A" w14:textId="77777777" w:rsidR="007D2005" w:rsidRPr="00CE247E" w:rsidRDefault="007D2005" w:rsidP="001326A6">
            <w:pPr>
              <w:pStyle w:val="TX-TableText"/>
              <w:jc w:val="center"/>
            </w:pPr>
            <w:r w:rsidRPr="00CE247E">
              <w:t>6.07%</w:t>
            </w:r>
          </w:p>
        </w:tc>
        <w:tc>
          <w:tcPr>
            <w:tcW w:w="928" w:type="pct"/>
            <w:shd w:val="clear" w:color="auto" w:fill="FFFFFF" w:themeFill="background1"/>
            <w:noWrap/>
            <w:vAlign w:val="center"/>
            <w:hideMark/>
          </w:tcPr>
          <w:p w14:paraId="7165E863" w14:textId="77777777" w:rsidR="007D2005" w:rsidRPr="00CE247E" w:rsidRDefault="007D2005" w:rsidP="001326A6">
            <w:pPr>
              <w:pStyle w:val="TX-TableText"/>
              <w:jc w:val="center"/>
            </w:pPr>
            <w:r w:rsidRPr="00CE247E">
              <w:t>6.20%</w:t>
            </w:r>
          </w:p>
        </w:tc>
      </w:tr>
      <w:tr w:rsidR="007D2005" w:rsidRPr="00CE247E" w14:paraId="60CAC349" w14:textId="77777777" w:rsidTr="001326A6">
        <w:trPr>
          <w:cantSplit/>
          <w:trHeight w:val="144"/>
        </w:trPr>
        <w:tc>
          <w:tcPr>
            <w:tcW w:w="1288" w:type="pct"/>
            <w:shd w:val="clear" w:color="auto" w:fill="auto"/>
            <w:vAlign w:val="center"/>
            <w:hideMark/>
          </w:tcPr>
          <w:p w14:paraId="71C0DAA4" w14:textId="77777777" w:rsidR="007D2005" w:rsidRPr="00CE247E" w:rsidRDefault="007D2005" w:rsidP="001326A6">
            <w:pPr>
              <w:pStyle w:val="TX-TableText"/>
              <w:jc w:val="center"/>
            </w:pPr>
            <w:r w:rsidRPr="00CE247E">
              <w:t>400</w:t>
            </w:r>
          </w:p>
        </w:tc>
        <w:tc>
          <w:tcPr>
            <w:tcW w:w="928" w:type="pct"/>
            <w:shd w:val="clear" w:color="auto" w:fill="FFFFFF" w:themeFill="background1"/>
            <w:noWrap/>
            <w:vAlign w:val="center"/>
            <w:hideMark/>
          </w:tcPr>
          <w:p w14:paraId="0E90B7FF" w14:textId="77777777" w:rsidR="007D2005" w:rsidRPr="00CE247E" w:rsidRDefault="007D2005" w:rsidP="001326A6">
            <w:pPr>
              <w:pStyle w:val="TX-TableText"/>
              <w:jc w:val="center"/>
            </w:pPr>
            <w:r w:rsidRPr="00CE247E">
              <w:t>4.29%</w:t>
            </w:r>
          </w:p>
        </w:tc>
        <w:tc>
          <w:tcPr>
            <w:tcW w:w="928" w:type="pct"/>
            <w:shd w:val="clear" w:color="auto" w:fill="FFFFFF" w:themeFill="background1"/>
            <w:noWrap/>
            <w:vAlign w:val="center"/>
            <w:hideMark/>
          </w:tcPr>
          <w:p w14:paraId="60EF7333" w14:textId="77777777" w:rsidR="007D2005" w:rsidRPr="00CE247E" w:rsidRDefault="007D2005" w:rsidP="001326A6">
            <w:pPr>
              <w:pStyle w:val="TX-TableText"/>
              <w:jc w:val="center"/>
            </w:pPr>
            <w:r w:rsidRPr="00CE247E">
              <w:t>4.92%</w:t>
            </w:r>
          </w:p>
        </w:tc>
        <w:tc>
          <w:tcPr>
            <w:tcW w:w="928" w:type="pct"/>
            <w:shd w:val="clear" w:color="auto" w:fill="FFFFFF" w:themeFill="background1"/>
            <w:noWrap/>
            <w:vAlign w:val="center"/>
            <w:hideMark/>
          </w:tcPr>
          <w:p w14:paraId="5D2342E4" w14:textId="77777777" w:rsidR="007D2005" w:rsidRPr="00CE247E" w:rsidRDefault="007D2005" w:rsidP="001326A6">
            <w:pPr>
              <w:pStyle w:val="TX-TableText"/>
              <w:jc w:val="center"/>
            </w:pPr>
            <w:r w:rsidRPr="00CE247E">
              <w:t>5.26%</w:t>
            </w:r>
          </w:p>
        </w:tc>
        <w:tc>
          <w:tcPr>
            <w:tcW w:w="928" w:type="pct"/>
            <w:shd w:val="clear" w:color="auto" w:fill="FFFFFF" w:themeFill="background1"/>
            <w:noWrap/>
            <w:vAlign w:val="center"/>
            <w:hideMark/>
          </w:tcPr>
          <w:p w14:paraId="2CCA1D17" w14:textId="77777777" w:rsidR="007D2005" w:rsidRPr="00CE247E" w:rsidRDefault="007D2005" w:rsidP="001326A6">
            <w:pPr>
              <w:pStyle w:val="TX-TableText"/>
              <w:jc w:val="center"/>
            </w:pPr>
            <w:r w:rsidRPr="00CE247E">
              <w:t>5.37%</w:t>
            </w:r>
          </w:p>
        </w:tc>
      </w:tr>
      <w:tr w:rsidR="007D2005" w:rsidRPr="00CE247E" w14:paraId="1F751537" w14:textId="77777777" w:rsidTr="001326A6">
        <w:trPr>
          <w:cantSplit/>
          <w:trHeight w:val="144"/>
        </w:trPr>
        <w:tc>
          <w:tcPr>
            <w:tcW w:w="1288" w:type="pct"/>
            <w:shd w:val="clear" w:color="auto" w:fill="auto"/>
            <w:vAlign w:val="center"/>
            <w:hideMark/>
          </w:tcPr>
          <w:p w14:paraId="5DB2AFBE" w14:textId="77777777" w:rsidR="007D2005" w:rsidRPr="00CE247E" w:rsidRDefault="007D2005" w:rsidP="001326A6">
            <w:pPr>
              <w:pStyle w:val="TX-TableText"/>
              <w:jc w:val="center"/>
            </w:pPr>
            <w:r w:rsidRPr="00CE247E">
              <w:t>500</w:t>
            </w:r>
          </w:p>
        </w:tc>
        <w:tc>
          <w:tcPr>
            <w:tcW w:w="928" w:type="pct"/>
            <w:shd w:val="clear" w:color="auto" w:fill="FFFFFF" w:themeFill="background1"/>
            <w:noWrap/>
            <w:vAlign w:val="center"/>
            <w:hideMark/>
          </w:tcPr>
          <w:p w14:paraId="2B0CFF44" w14:textId="77777777" w:rsidR="007D2005" w:rsidRPr="00CE247E" w:rsidRDefault="007D2005" w:rsidP="001326A6">
            <w:pPr>
              <w:pStyle w:val="TX-TableText"/>
              <w:jc w:val="center"/>
            </w:pPr>
            <w:r w:rsidRPr="00CE247E">
              <w:t>3.84%</w:t>
            </w:r>
          </w:p>
        </w:tc>
        <w:tc>
          <w:tcPr>
            <w:tcW w:w="928" w:type="pct"/>
            <w:shd w:val="clear" w:color="auto" w:fill="FFFFFF" w:themeFill="background1"/>
            <w:noWrap/>
            <w:vAlign w:val="center"/>
            <w:hideMark/>
          </w:tcPr>
          <w:p w14:paraId="2CA9951E" w14:textId="77777777" w:rsidR="007D2005" w:rsidRPr="00CE247E" w:rsidRDefault="007D2005" w:rsidP="001326A6">
            <w:pPr>
              <w:pStyle w:val="TX-TableText"/>
              <w:jc w:val="center"/>
            </w:pPr>
            <w:r w:rsidRPr="00CE247E">
              <w:t>4.40%</w:t>
            </w:r>
          </w:p>
        </w:tc>
        <w:tc>
          <w:tcPr>
            <w:tcW w:w="928" w:type="pct"/>
            <w:shd w:val="clear" w:color="auto" w:fill="FFFFFF" w:themeFill="background1"/>
            <w:noWrap/>
            <w:vAlign w:val="center"/>
            <w:hideMark/>
          </w:tcPr>
          <w:p w14:paraId="00CA6955" w14:textId="77777777" w:rsidR="007D2005" w:rsidRPr="00CE247E" w:rsidRDefault="007D2005" w:rsidP="001326A6">
            <w:pPr>
              <w:pStyle w:val="TX-TableText"/>
              <w:jc w:val="center"/>
            </w:pPr>
            <w:r w:rsidRPr="00CE247E">
              <w:t>4.70%</w:t>
            </w:r>
          </w:p>
        </w:tc>
        <w:tc>
          <w:tcPr>
            <w:tcW w:w="928" w:type="pct"/>
            <w:shd w:val="clear" w:color="auto" w:fill="FFFFFF" w:themeFill="background1"/>
            <w:noWrap/>
            <w:vAlign w:val="center"/>
            <w:hideMark/>
          </w:tcPr>
          <w:p w14:paraId="703795A7" w14:textId="77777777" w:rsidR="007D2005" w:rsidRPr="00CE247E" w:rsidRDefault="007D2005" w:rsidP="001326A6">
            <w:pPr>
              <w:pStyle w:val="TX-TableText"/>
              <w:jc w:val="center"/>
            </w:pPr>
            <w:r w:rsidRPr="00CE247E">
              <w:t>4.80%</w:t>
            </w:r>
          </w:p>
        </w:tc>
      </w:tr>
      <w:tr w:rsidR="007D2005" w:rsidRPr="00CE247E" w14:paraId="2FD97628" w14:textId="77777777" w:rsidTr="001326A6">
        <w:trPr>
          <w:cantSplit/>
          <w:trHeight w:val="144"/>
        </w:trPr>
        <w:tc>
          <w:tcPr>
            <w:tcW w:w="1288" w:type="pct"/>
            <w:shd w:val="clear" w:color="auto" w:fill="auto"/>
            <w:vAlign w:val="center"/>
            <w:hideMark/>
          </w:tcPr>
          <w:p w14:paraId="69BBB36C" w14:textId="77777777" w:rsidR="007D2005" w:rsidRPr="00CE247E" w:rsidRDefault="007D2005" w:rsidP="001326A6">
            <w:pPr>
              <w:pStyle w:val="TX-TableText"/>
              <w:jc w:val="center"/>
            </w:pPr>
            <w:r w:rsidRPr="00CE247E">
              <w:t>600</w:t>
            </w:r>
          </w:p>
        </w:tc>
        <w:tc>
          <w:tcPr>
            <w:tcW w:w="928" w:type="pct"/>
            <w:shd w:val="clear" w:color="auto" w:fill="FFFFFF" w:themeFill="background1"/>
            <w:noWrap/>
            <w:vAlign w:val="center"/>
            <w:hideMark/>
          </w:tcPr>
          <w:p w14:paraId="60DF2B45" w14:textId="77777777" w:rsidR="007D2005" w:rsidRPr="00CE247E" w:rsidRDefault="007D2005" w:rsidP="001326A6">
            <w:pPr>
              <w:pStyle w:val="TX-TableText"/>
              <w:jc w:val="center"/>
            </w:pPr>
            <w:r w:rsidRPr="00CE247E">
              <w:t>3.51%</w:t>
            </w:r>
          </w:p>
        </w:tc>
        <w:tc>
          <w:tcPr>
            <w:tcW w:w="928" w:type="pct"/>
            <w:shd w:val="clear" w:color="auto" w:fill="FFFFFF" w:themeFill="background1"/>
            <w:noWrap/>
            <w:vAlign w:val="center"/>
            <w:hideMark/>
          </w:tcPr>
          <w:p w14:paraId="6C8BEBA0" w14:textId="77777777" w:rsidR="007D2005" w:rsidRPr="00CE247E" w:rsidRDefault="007D2005" w:rsidP="001326A6">
            <w:pPr>
              <w:pStyle w:val="TX-TableText"/>
              <w:jc w:val="center"/>
            </w:pPr>
            <w:r w:rsidRPr="00CE247E">
              <w:t>4.02%</w:t>
            </w:r>
          </w:p>
        </w:tc>
        <w:tc>
          <w:tcPr>
            <w:tcW w:w="928" w:type="pct"/>
            <w:shd w:val="clear" w:color="auto" w:fill="FFFFFF" w:themeFill="background1"/>
            <w:noWrap/>
            <w:vAlign w:val="center"/>
            <w:hideMark/>
          </w:tcPr>
          <w:p w14:paraId="4EDB591A" w14:textId="77777777" w:rsidR="007D2005" w:rsidRPr="00CE247E" w:rsidRDefault="007D2005" w:rsidP="001326A6">
            <w:pPr>
              <w:pStyle w:val="TX-TableText"/>
              <w:jc w:val="center"/>
            </w:pPr>
            <w:r w:rsidRPr="00CE247E">
              <w:t>4.29%</w:t>
            </w:r>
          </w:p>
        </w:tc>
        <w:tc>
          <w:tcPr>
            <w:tcW w:w="928" w:type="pct"/>
            <w:shd w:val="clear" w:color="auto" w:fill="FFFFFF" w:themeFill="background1"/>
            <w:noWrap/>
            <w:vAlign w:val="center"/>
            <w:hideMark/>
          </w:tcPr>
          <w:p w14:paraId="4FF61D93" w14:textId="77777777" w:rsidR="007D2005" w:rsidRPr="00CE247E" w:rsidRDefault="007D2005" w:rsidP="001326A6">
            <w:pPr>
              <w:pStyle w:val="TX-TableText"/>
              <w:jc w:val="center"/>
            </w:pPr>
            <w:r w:rsidRPr="00CE247E">
              <w:t>4.38%</w:t>
            </w:r>
          </w:p>
        </w:tc>
      </w:tr>
      <w:tr w:rsidR="007D2005" w:rsidRPr="00CE247E" w14:paraId="0A7A20F0" w14:textId="77777777" w:rsidTr="001326A6">
        <w:trPr>
          <w:cantSplit/>
          <w:trHeight w:val="144"/>
        </w:trPr>
        <w:tc>
          <w:tcPr>
            <w:tcW w:w="1288" w:type="pct"/>
            <w:shd w:val="clear" w:color="auto" w:fill="auto"/>
            <w:vAlign w:val="center"/>
            <w:hideMark/>
          </w:tcPr>
          <w:p w14:paraId="4496A9A2" w14:textId="77777777" w:rsidR="007D2005" w:rsidRPr="00CE247E" w:rsidRDefault="007D2005" w:rsidP="001326A6">
            <w:pPr>
              <w:pStyle w:val="TX-TableText"/>
              <w:jc w:val="center"/>
            </w:pPr>
            <w:r w:rsidRPr="00CE247E">
              <w:t>700</w:t>
            </w:r>
          </w:p>
        </w:tc>
        <w:tc>
          <w:tcPr>
            <w:tcW w:w="928" w:type="pct"/>
            <w:shd w:val="clear" w:color="auto" w:fill="FFFFFF" w:themeFill="background1"/>
            <w:noWrap/>
            <w:vAlign w:val="center"/>
            <w:hideMark/>
          </w:tcPr>
          <w:p w14:paraId="62F6822B" w14:textId="77777777" w:rsidR="007D2005" w:rsidRPr="00CE247E" w:rsidRDefault="007D2005" w:rsidP="001326A6">
            <w:pPr>
              <w:pStyle w:val="TX-TableText"/>
              <w:jc w:val="center"/>
            </w:pPr>
            <w:r w:rsidRPr="00CE247E">
              <w:t>3.25%</w:t>
            </w:r>
          </w:p>
        </w:tc>
        <w:tc>
          <w:tcPr>
            <w:tcW w:w="928" w:type="pct"/>
            <w:shd w:val="clear" w:color="auto" w:fill="FFFFFF" w:themeFill="background1"/>
            <w:noWrap/>
            <w:vAlign w:val="center"/>
            <w:hideMark/>
          </w:tcPr>
          <w:p w14:paraId="25EC8F0E" w14:textId="77777777" w:rsidR="007D2005" w:rsidRPr="00CE247E" w:rsidRDefault="007D2005" w:rsidP="001326A6">
            <w:pPr>
              <w:pStyle w:val="TX-TableText"/>
              <w:jc w:val="center"/>
            </w:pPr>
            <w:r w:rsidRPr="00CE247E">
              <w:t>3.72%</w:t>
            </w:r>
          </w:p>
        </w:tc>
        <w:tc>
          <w:tcPr>
            <w:tcW w:w="928" w:type="pct"/>
            <w:shd w:val="clear" w:color="auto" w:fill="FFFFFF" w:themeFill="background1"/>
            <w:noWrap/>
            <w:vAlign w:val="center"/>
            <w:hideMark/>
          </w:tcPr>
          <w:p w14:paraId="7F38C0FB" w14:textId="77777777" w:rsidR="007D2005" w:rsidRPr="00CE247E" w:rsidRDefault="007D2005" w:rsidP="001326A6">
            <w:pPr>
              <w:pStyle w:val="TX-TableText"/>
              <w:jc w:val="center"/>
            </w:pPr>
            <w:r w:rsidRPr="00CE247E">
              <w:t>3.98%</w:t>
            </w:r>
          </w:p>
        </w:tc>
        <w:tc>
          <w:tcPr>
            <w:tcW w:w="928" w:type="pct"/>
            <w:shd w:val="clear" w:color="auto" w:fill="FFFFFF" w:themeFill="background1"/>
            <w:noWrap/>
            <w:vAlign w:val="center"/>
            <w:hideMark/>
          </w:tcPr>
          <w:p w14:paraId="3F506687" w14:textId="77777777" w:rsidR="007D2005" w:rsidRPr="00CE247E" w:rsidRDefault="007D2005" w:rsidP="001326A6">
            <w:pPr>
              <w:pStyle w:val="TX-TableText"/>
              <w:jc w:val="center"/>
            </w:pPr>
            <w:r w:rsidRPr="00CE247E">
              <w:t>4.06%</w:t>
            </w:r>
          </w:p>
        </w:tc>
      </w:tr>
      <w:tr w:rsidR="007D2005" w:rsidRPr="00CE247E" w14:paraId="01F63FF5" w14:textId="77777777" w:rsidTr="001326A6">
        <w:trPr>
          <w:cantSplit/>
          <w:trHeight w:val="144"/>
        </w:trPr>
        <w:tc>
          <w:tcPr>
            <w:tcW w:w="1288" w:type="pct"/>
            <w:shd w:val="clear" w:color="auto" w:fill="auto"/>
            <w:vAlign w:val="center"/>
            <w:hideMark/>
          </w:tcPr>
          <w:p w14:paraId="0A4E4D24" w14:textId="77777777" w:rsidR="007D2005" w:rsidRPr="00CE247E" w:rsidRDefault="007D2005" w:rsidP="001326A6">
            <w:pPr>
              <w:pStyle w:val="TX-TableText"/>
              <w:jc w:val="center"/>
            </w:pPr>
            <w:r w:rsidRPr="00CE247E">
              <w:t>800</w:t>
            </w:r>
          </w:p>
        </w:tc>
        <w:tc>
          <w:tcPr>
            <w:tcW w:w="928" w:type="pct"/>
            <w:shd w:val="clear" w:color="auto" w:fill="FFFFFF" w:themeFill="background1"/>
            <w:noWrap/>
            <w:vAlign w:val="center"/>
            <w:hideMark/>
          </w:tcPr>
          <w:p w14:paraId="78F20929" w14:textId="77777777" w:rsidR="007D2005" w:rsidRPr="00CE247E" w:rsidRDefault="007D2005" w:rsidP="001326A6">
            <w:pPr>
              <w:pStyle w:val="TX-TableText"/>
              <w:jc w:val="center"/>
            </w:pPr>
            <w:r w:rsidRPr="00CE247E">
              <w:t>3.04%</w:t>
            </w:r>
          </w:p>
        </w:tc>
        <w:tc>
          <w:tcPr>
            <w:tcW w:w="928" w:type="pct"/>
            <w:shd w:val="clear" w:color="auto" w:fill="FFFFFF" w:themeFill="background1"/>
            <w:noWrap/>
            <w:vAlign w:val="center"/>
            <w:hideMark/>
          </w:tcPr>
          <w:p w14:paraId="785654BD" w14:textId="77777777" w:rsidR="007D2005" w:rsidRPr="00CE247E" w:rsidRDefault="007D2005" w:rsidP="001326A6">
            <w:pPr>
              <w:pStyle w:val="TX-TableText"/>
              <w:jc w:val="center"/>
            </w:pPr>
            <w:r w:rsidRPr="00CE247E">
              <w:t>3.48%</w:t>
            </w:r>
          </w:p>
        </w:tc>
        <w:tc>
          <w:tcPr>
            <w:tcW w:w="928" w:type="pct"/>
            <w:shd w:val="clear" w:color="auto" w:fill="FFFFFF" w:themeFill="background1"/>
            <w:noWrap/>
            <w:vAlign w:val="center"/>
            <w:hideMark/>
          </w:tcPr>
          <w:p w14:paraId="22FDD7C4" w14:textId="77777777" w:rsidR="007D2005" w:rsidRPr="00CE247E" w:rsidRDefault="007D2005" w:rsidP="001326A6">
            <w:pPr>
              <w:pStyle w:val="TX-TableText"/>
              <w:jc w:val="center"/>
            </w:pPr>
            <w:r w:rsidRPr="00CE247E">
              <w:t>3.72%</w:t>
            </w:r>
          </w:p>
        </w:tc>
        <w:tc>
          <w:tcPr>
            <w:tcW w:w="928" w:type="pct"/>
            <w:shd w:val="clear" w:color="auto" w:fill="FFFFFF" w:themeFill="background1"/>
            <w:noWrap/>
            <w:vAlign w:val="center"/>
            <w:hideMark/>
          </w:tcPr>
          <w:p w14:paraId="7F4B2C7A" w14:textId="77777777" w:rsidR="007D2005" w:rsidRPr="00CE247E" w:rsidRDefault="007D2005" w:rsidP="001326A6">
            <w:pPr>
              <w:pStyle w:val="TX-TableText"/>
              <w:jc w:val="center"/>
            </w:pPr>
            <w:r w:rsidRPr="00CE247E">
              <w:t>3.80%</w:t>
            </w:r>
          </w:p>
        </w:tc>
      </w:tr>
      <w:tr w:rsidR="007D2005" w:rsidRPr="00CE247E" w14:paraId="078983FA" w14:textId="77777777" w:rsidTr="001326A6">
        <w:trPr>
          <w:cantSplit/>
          <w:trHeight w:val="144"/>
        </w:trPr>
        <w:tc>
          <w:tcPr>
            <w:tcW w:w="1288" w:type="pct"/>
            <w:shd w:val="clear" w:color="auto" w:fill="auto"/>
            <w:vAlign w:val="center"/>
            <w:hideMark/>
          </w:tcPr>
          <w:p w14:paraId="5F004264" w14:textId="77777777" w:rsidR="007D2005" w:rsidRPr="00CE247E" w:rsidRDefault="007D2005" w:rsidP="001326A6">
            <w:pPr>
              <w:pStyle w:val="TX-TableText"/>
              <w:jc w:val="center"/>
            </w:pPr>
            <w:r w:rsidRPr="00CE247E">
              <w:t>900</w:t>
            </w:r>
          </w:p>
        </w:tc>
        <w:tc>
          <w:tcPr>
            <w:tcW w:w="928" w:type="pct"/>
            <w:shd w:val="clear" w:color="auto" w:fill="FFFFFF" w:themeFill="background1"/>
            <w:noWrap/>
            <w:vAlign w:val="center"/>
            <w:hideMark/>
          </w:tcPr>
          <w:p w14:paraId="27FFCC80" w14:textId="77777777" w:rsidR="007D2005" w:rsidRPr="00CE247E" w:rsidRDefault="007D2005" w:rsidP="001326A6">
            <w:pPr>
              <w:pStyle w:val="TX-TableText"/>
              <w:jc w:val="center"/>
            </w:pPr>
            <w:r w:rsidRPr="00CE247E">
              <w:t>2.86%</w:t>
            </w:r>
          </w:p>
        </w:tc>
        <w:tc>
          <w:tcPr>
            <w:tcW w:w="928" w:type="pct"/>
            <w:shd w:val="clear" w:color="auto" w:fill="FFFFFF" w:themeFill="background1"/>
            <w:noWrap/>
            <w:vAlign w:val="center"/>
            <w:hideMark/>
          </w:tcPr>
          <w:p w14:paraId="1B5510A3" w14:textId="77777777" w:rsidR="007D2005" w:rsidRPr="00CE247E" w:rsidRDefault="007D2005" w:rsidP="001326A6">
            <w:pPr>
              <w:pStyle w:val="TX-TableText"/>
              <w:jc w:val="center"/>
            </w:pPr>
            <w:r w:rsidRPr="00CE247E">
              <w:t>3.28%</w:t>
            </w:r>
          </w:p>
        </w:tc>
        <w:tc>
          <w:tcPr>
            <w:tcW w:w="928" w:type="pct"/>
            <w:shd w:val="clear" w:color="auto" w:fill="FFFFFF" w:themeFill="background1"/>
            <w:noWrap/>
            <w:vAlign w:val="center"/>
            <w:hideMark/>
          </w:tcPr>
          <w:p w14:paraId="296BF14B" w14:textId="77777777" w:rsidR="007D2005" w:rsidRPr="00CE247E" w:rsidRDefault="007D2005" w:rsidP="001326A6">
            <w:pPr>
              <w:pStyle w:val="TX-TableText"/>
              <w:jc w:val="center"/>
            </w:pPr>
            <w:r w:rsidRPr="00CE247E">
              <w:t>3.51%</w:t>
            </w:r>
          </w:p>
        </w:tc>
        <w:tc>
          <w:tcPr>
            <w:tcW w:w="928" w:type="pct"/>
            <w:shd w:val="clear" w:color="auto" w:fill="FFFFFF" w:themeFill="background1"/>
            <w:noWrap/>
            <w:vAlign w:val="center"/>
            <w:hideMark/>
          </w:tcPr>
          <w:p w14:paraId="2D1486F1" w14:textId="77777777" w:rsidR="007D2005" w:rsidRPr="00CE247E" w:rsidRDefault="007D2005" w:rsidP="001326A6">
            <w:pPr>
              <w:pStyle w:val="TX-TableText"/>
              <w:jc w:val="center"/>
            </w:pPr>
            <w:r w:rsidRPr="00CE247E">
              <w:t>3.58%</w:t>
            </w:r>
          </w:p>
        </w:tc>
      </w:tr>
      <w:tr w:rsidR="007D2005" w:rsidRPr="00CE247E" w14:paraId="6D72AA1F" w14:textId="77777777" w:rsidTr="001326A6">
        <w:trPr>
          <w:cantSplit/>
          <w:trHeight w:val="144"/>
        </w:trPr>
        <w:tc>
          <w:tcPr>
            <w:tcW w:w="1288" w:type="pct"/>
            <w:shd w:val="clear" w:color="auto" w:fill="auto"/>
            <w:vAlign w:val="center"/>
            <w:hideMark/>
          </w:tcPr>
          <w:p w14:paraId="4198B8AE" w14:textId="77777777" w:rsidR="007D2005" w:rsidRPr="00CE247E" w:rsidRDefault="007D2005" w:rsidP="001326A6">
            <w:pPr>
              <w:pStyle w:val="TX-TableText"/>
              <w:jc w:val="center"/>
            </w:pPr>
            <w:r w:rsidRPr="00CE247E">
              <w:t>1000</w:t>
            </w:r>
          </w:p>
        </w:tc>
        <w:tc>
          <w:tcPr>
            <w:tcW w:w="928" w:type="pct"/>
            <w:shd w:val="clear" w:color="auto" w:fill="FFFFFF" w:themeFill="background1"/>
            <w:noWrap/>
            <w:vAlign w:val="center"/>
            <w:hideMark/>
          </w:tcPr>
          <w:p w14:paraId="1AF1C128" w14:textId="77777777" w:rsidR="007D2005" w:rsidRPr="00CE247E" w:rsidRDefault="007D2005" w:rsidP="001326A6">
            <w:pPr>
              <w:pStyle w:val="TX-TableText"/>
              <w:jc w:val="center"/>
            </w:pPr>
            <w:r w:rsidRPr="00CE247E">
              <w:t>2.72%</w:t>
            </w:r>
          </w:p>
        </w:tc>
        <w:tc>
          <w:tcPr>
            <w:tcW w:w="928" w:type="pct"/>
            <w:shd w:val="clear" w:color="auto" w:fill="FFFFFF" w:themeFill="background1"/>
            <w:noWrap/>
            <w:vAlign w:val="center"/>
            <w:hideMark/>
          </w:tcPr>
          <w:p w14:paraId="478BDC1F" w14:textId="77777777" w:rsidR="007D2005" w:rsidRPr="00CE247E" w:rsidRDefault="007D2005" w:rsidP="001326A6">
            <w:pPr>
              <w:pStyle w:val="TX-TableText"/>
              <w:jc w:val="center"/>
            </w:pPr>
            <w:r w:rsidRPr="00CE247E">
              <w:t>3.11%</w:t>
            </w:r>
          </w:p>
        </w:tc>
        <w:tc>
          <w:tcPr>
            <w:tcW w:w="928" w:type="pct"/>
            <w:shd w:val="clear" w:color="auto" w:fill="FFFFFF" w:themeFill="background1"/>
            <w:noWrap/>
            <w:vAlign w:val="center"/>
            <w:hideMark/>
          </w:tcPr>
          <w:p w14:paraId="5B885AC4" w14:textId="77777777" w:rsidR="007D2005" w:rsidRPr="00CE247E" w:rsidRDefault="007D2005" w:rsidP="001326A6">
            <w:pPr>
              <w:pStyle w:val="TX-TableText"/>
              <w:jc w:val="center"/>
            </w:pPr>
            <w:r w:rsidRPr="00CE247E">
              <w:t>3.33%</w:t>
            </w:r>
          </w:p>
        </w:tc>
        <w:tc>
          <w:tcPr>
            <w:tcW w:w="928" w:type="pct"/>
            <w:shd w:val="clear" w:color="auto" w:fill="FFFFFF" w:themeFill="background1"/>
            <w:noWrap/>
            <w:vAlign w:val="center"/>
            <w:hideMark/>
          </w:tcPr>
          <w:p w14:paraId="190EF250" w14:textId="77777777" w:rsidR="007D2005" w:rsidRPr="00CE247E" w:rsidRDefault="007D2005" w:rsidP="001326A6">
            <w:pPr>
              <w:pStyle w:val="TX-TableText"/>
              <w:jc w:val="center"/>
            </w:pPr>
            <w:r w:rsidRPr="00CE247E">
              <w:t>3.39%</w:t>
            </w:r>
          </w:p>
        </w:tc>
      </w:tr>
      <w:tr w:rsidR="007D2005" w:rsidRPr="00CE247E" w14:paraId="25F0E25F" w14:textId="77777777" w:rsidTr="001326A6">
        <w:trPr>
          <w:cantSplit/>
          <w:trHeight w:val="144"/>
        </w:trPr>
        <w:tc>
          <w:tcPr>
            <w:tcW w:w="1288" w:type="pct"/>
            <w:shd w:val="clear" w:color="auto" w:fill="auto"/>
            <w:vAlign w:val="center"/>
            <w:hideMark/>
          </w:tcPr>
          <w:p w14:paraId="62F556E7" w14:textId="77777777" w:rsidR="007D2005" w:rsidRPr="00CE247E" w:rsidRDefault="007D2005" w:rsidP="001326A6">
            <w:pPr>
              <w:pStyle w:val="TX-TableText"/>
              <w:jc w:val="center"/>
            </w:pPr>
            <w:r w:rsidRPr="00CE247E">
              <w:t>1200</w:t>
            </w:r>
          </w:p>
        </w:tc>
        <w:tc>
          <w:tcPr>
            <w:tcW w:w="928" w:type="pct"/>
            <w:shd w:val="clear" w:color="auto" w:fill="FFFFFF" w:themeFill="background1"/>
            <w:noWrap/>
            <w:vAlign w:val="center"/>
            <w:hideMark/>
          </w:tcPr>
          <w:p w14:paraId="7913CEA1" w14:textId="77777777" w:rsidR="007D2005" w:rsidRPr="00CE247E" w:rsidRDefault="007D2005" w:rsidP="001326A6">
            <w:pPr>
              <w:pStyle w:val="TX-TableText"/>
              <w:jc w:val="center"/>
            </w:pPr>
            <w:r w:rsidRPr="00CE247E">
              <w:t>2.48%</w:t>
            </w:r>
          </w:p>
        </w:tc>
        <w:tc>
          <w:tcPr>
            <w:tcW w:w="928" w:type="pct"/>
            <w:shd w:val="clear" w:color="auto" w:fill="FFFFFF" w:themeFill="background1"/>
            <w:noWrap/>
            <w:vAlign w:val="center"/>
            <w:hideMark/>
          </w:tcPr>
          <w:p w14:paraId="07EAFA37" w14:textId="77777777" w:rsidR="007D2005" w:rsidRPr="00CE247E" w:rsidRDefault="007D2005" w:rsidP="001326A6">
            <w:pPr>
              <w:pStyle w:val="TX-TableText"/>
              <w:jc w:val="center"/>
            </w:pPr>
            <w:r w:rsidRPr="00CE247E">
              <w:t>2.84%</w:t>
            </w:r>
          </w:p>
        </w:tc>
        <w:tc>
          <w:tcPr>
            <w:tcW w:w="928" w:type="pct"/>
            <w:shd w:val="clear" w:color="auto" w:fill="FFFFFF" w:themeFill="background1"/>
            <w:noWrap/>
            <w:vAlign w:val="center"/>
            <w:hideMark/>
          </w:tcPr>
          <w:p w14:paraId="5C8DD00B" w14:textId="77777777" w:rsidR="007D2005" w:rsidRPr="00CE247E" w:rsidRDefault="007D2005" w:rsidP="001326A6">
            <w:pPr>
              <w:pStyle w:val="TX-TableText"/>
              <w:jc w:val="center"/>
            </w:pPr>
            <w:r w:rsidRPr="00CE247E">
              <w:t>3.04%</w:t>
            </w:r>
          </w:p>
        </w:tc>
        <w:tc>
          <w:tcPr>
            <w:tcW w:w="928" w:type="pct"/>
            <w:shd w:val="clear" w:color="auto" w:fill="FFFFFF" w:themeFill="background1"/>
            <w:noWrap/>
            <w:vAlign w:val="center"/>
            <w:hideMark/>
          </w:tcPr>
          <w:p w14:paraId="47731B73" w14:textId="77777777" w:rsidR="007D2005" w:rsidRPr="00CE247E" w:rsidRDefault="007D2005" w:rsidP="001326A6">
            <w:pPr>
              <w:pStyle w:val="TX-TableText"/>
              <w:jc w:val="center"/>
            </w:pPr>
            <w:r w:rsidRPr="00CE247E">
              <w:t>3.10%</w:t>
            </w:r>
          </w:p>
        </w:tc>
      </w:tr>
      <w:tr w:rsidR="007D2005" w:rsidRPr="00CE247E" w14:paraId="5BC1370A" w14:textId="77777777" w:rsidTr="001326A6">
        <w:trPr>
          <w:cantSplit/>
          <w:trHeight w:val="144"/>
        </w:trPr>
        <w:tc>
          <w:tcPr>
            <w:tcW w:w="1288" w:type="pct"/>
            <w:shd w:val="clear" w:color="auto" w:fill="auto"/>
            <w:vAlign w:val="center"/>
            <w:hideMark/>
          </w:tcPr>
          <w:p w14:paraId="252916F4" w14:textId="77777777" w:rsidR="007D2005" w:rsidRPr="00CE247E" w:rsidRDefault="007D2005" w:rsidP="001326A6">
            <w:pPr>
              <w:pStyle w:val="TX-TableText"/>
              <w:jc w:val="center"/>
            </w:pPr>
            <w:r w:rsidRPr="00CE247E">
              <w:t>1500</w:t>
            </w:r>
          </w:p>
        </w:tc>
        <w:tc>
          <w:tcPr>
            <w:tcW w:w="928" w:type="pct"/>
            <w:shd w:val="clear" w:color="auto" w:fill="FFFFFF" w:themeFill="background1"/>
            <w:noWrap/>
            <w:vAlign w:val="center"/>
            <w:hideMark/>
          </w:tcPr>
          <w:p w14:paraId="34624A36" w14:textId="77777777" w:rsidR="007D2005" w:rsidRPr="00CE247E" w:rsidRDefault="007D2005" w:rsidP="001326A6">
            <w:pPr>
              <w:pStyle w:val="TX-TableText"/>
              <w:jc w:val="center"/>
            </w:pPr>
            <w:r w:rsidRPr="00CE247E">
              <w:t>2.22%</w:t>
            </w:r>
          </w:p>
        </w:tc>
        <w:tc>
          <w:tcPr>
            <w:tcW w:w="928" w:type="pct"/>
            <w:shd w:val="clear" w:color="auto" w:fill="FFFFFF" w:themeFill="background1"/>
            <w:noWrap/>
            <w:vAlign w:val="center"/>
            <w:hideMark/>
          </w:tcPr>
          <w:p w14:paraId="39C5BC9B" w14:textId="77777777" w:rsidR="007D2005" w:rsidRPr="00CE247E" w:rsidRDefault="007D2005" w:rsidP="001326A6">
            <w:pPr>
              <w:pStyle w:val="TX-TableText"/>
              <w:jc w:val="center"/>
            </w:pPr>
            <w:r w:rsidRPr="00CE247E">
              <w:t>2.54%</w:t>
            </w:r>
          </w:p>
        </w:tc>
        <w:tc>
          <w:tcPr>
            <w:tcW w:w="928" w:type="pct"/>
            <w:shd w:val="clear" w:color="auto" w:fill="FFFFFF" w:themeFill="background1"/>
            <w:noWrap/>
            <w:vAlign w:val="center"/>
            <w:hideMark/>
          </w:tcPr>
          <w:p w14:paraId="71E1489E" w14:textId="77777777" w:rsidR="007D2005" w:rsidRPr="00CE247E" w:rsidRDefault="007D2005" w:rsidP="001326A6">
            <w:pPr>
              <w:pStyle w:val="TX-TableText"/>
              <w:jc w:val="center"/>
            </w:pPr>
            <w:r w:rsidRPr="00CE247E">
              <w:t>2.72%</w:t>
            </w:r>
          </w:p>
        </w:tc>
        <w:tc>
          <w:tcPr>
            <w:tcW w:w="928" w:type="pct"/>
            <w:shd w:val="clear" w:color="auto" w:fill="FFFFFF" w:themeFill="background1"/>
            <w:noWrap/>
            <w:vAlign w:val="center"/>
            <w:hideMark/>
          </w:tcPr>
          <w:p w14:paraId="6AABCC15" w14:textId="77777777" w:rsidR="007D2005" w:rsidRPr="00CE247E" w:rsidRDefault="007D2005" w:rsidP="001326A6">
            <w:pPr>
              <w:pStyle w:val="TX-TableText"/>
              <w:jc w:val="center"/>
            </w:pPr>
            <w:r w:rsidRPr="00CE247E">
              <w:t>2.77%</w:t>
            </w:r>
          </w:p>
        </w:tc>
      </w:tr>
      <w:tr w:rsidR="007D2005" w:rsidRPr="00CE247E" w14:paraId="5B2C7DA1" w14:textId="77777777" w:rsidTr="001326A6">
        <w:trPr>
          <w:cantSplit/>
          <w:trHeight w:val="144"/>
        </w:trPr>
        <w:tc>
          <w:tcPr>
            <w:tcW w:w="1288" w:type="pct"/>
            <w:shd w:val="clear" w:color="auto" w:fill="auto"/>
            <w:vAlign w:val="center"/>
            <w:hideMark/>
          </w:tcPr>
          <w:p w14:paraId="1E696CAD" w14:textId="77777777" w:rsidR="007D2005" w:rsidRPr="00CE247E" w:rsidRDefault="007D2005" w:rsidP="001326A6">
            <w:pPr>
              <w:pStyle w:val="TX-TableText"/>
              <w:jc w:val="center"/>
            </w:pPr>
            <w:r w:rsidRPr="00CE247E">
              <w:t>2000</w:t>
            </w:r>
          </w:p>
        </w:tc>
        <w:tc>
          <w:tcPr>
            <w:tcW w:w="928" w:type="pct"/>
            <w:shd w:val="clear" w:color="auto" w:fill="FFFFFF" w:themeFill="background1"/>
            <w:noWrap/>
            <w:vAlign w:val="center"/>
            <w:hideMark/>
          </w:tcPr>
          <w:p w14:paraId="4D7AEDDB" w14:textId="77777777" w:rsidR="007D2005" w:rsidRPr="00CE247E" w:rsidRDefault="007D2005" w:rsidP="001326A6">
            <w:pPr>
              <w:pStyle w:val="TX-TableText"/>
              <w:jc w:val="center"/>
            </w:pPr>
            <w:r w:rsidRPr="00CE247E">
              <w:t>1.92%</w:t>
            </w:r>
          </w:p>
        </w:tc>
        <w:tc>
          <w:tcPr>
            <w:tcW w:w="928" w:type="pct"/>
            <w:shd w:val="clear" w:color="auto" w:fill="FFFFFF" w:themeFill="background1"/>
            <w:noWrap/>
            <w:vAlign w:val="center"/>
            <w:hideMark/>
          </w:tcPr>
          <w:p w14:paraId="0003CF91" w14:textId="77777777" w:rsidR="007D2005" w:rsidRPr="00CE247E" w:rsidRDefault="007D2005" w:rsidP="001326A6">
            <w:pPr>
              <w:pStyle w:val="TX-TableText"/>
              <w:jc w:val="center"/>
            </w:pPr>
            <w:r w:rsidRPr="00CE247E">
              <w:t>2.20%</w:t>
            </w:r>
          </w:p>
        </w:tc>
        <w:tc>
          <w:tcPr>
            <w:tcW w:w="928" w:type="pct"/>
            <w:shd w:val="clear" w:color="auto" w:fill="FFFFFF" w:themeFill="background1"/>
            <w:noWrap/>
            <w:vAlign w:val="center"/>
            <w:hideMark/>
          </w:tcPr>
          <w:p w14:paraId="2D3E9B75" w14:textId="77777777" w:rsidR="007D2005" w:rsidRPr="00CE247E" w:rsidRDefault="007D2005" w:rsidP="001326A6">
            <w:pPr>
              <w:pStyle w:val="TX-TableText"/>
              <w:jc w:val="center"/>
            </w:pPr>
            <w:r w:rsidRPr="00CE247E">
              <w:t>2.35%</w:t>
            </w:r>
          </w:p>
        </w:tc>
        <w:tc>
          <w:tcPr>
            <w:tcW w:w="928" w:type="pct"/>
            <w:shd w:val="clear" w:color="auto" w:fill="FFFFFF" w:themeFill="background1"/>
            <w:noWrap/>
            <w:vAlign w:val="center"/>
            <w:hideMark/>
          </w:tcPr>
          <w:p w14:paraId="55DEB0AB" w14:textId="77777777" w:rsidR="007D2005" w:rsidRPr="00CE247E" w:rsidRDefault="007D2005" w:rsidP="001326A6">
            <w:pPr>
              <w:pStyle w:val="TX-TableText"/>
              <w:jc w:val="center"/>
            </w:pPr>
            <w:r w:rsidRPr="00CE247E">
              <w:t>2.40%</w:t>
            </w:r>
          </w:p>
        </w:tc>
      </w:tr>
      <w:tr w:rsidR="007D2005" w:rsidRPr="00CE247E" w14:paraId="4EA3285C" w14:textId="77777777" w:rsidTr="001326A6">
        <w:trPr>
          <w:trHeight w:val="144"/>
        </w:trPr>
        <w:tc>
          <w:tcPr>
            <w:tcW w:w="1288" w:type="pct"/>
            <w:shd w:val="clear" w:color="auto" w:fill="auto"/>
            <w:vAlign w:val="center"/>
            <w:hideMark/>
          </w:tcPr>
          <w:p w14:paraId="54DC620D" w14:textId="77777777" w:rsidR="007D2005" w:rsidRPr="00CE247E" w:rsidRDefault="007D2005" w:rsidP="001326A6">
            <w:pPr>
              <w:pStyle w:val="TX-TableText"/>
              <w:jc w:val="center"/>
            </w:pPr>
            <w:r w:rsidRPr="00CE247E">
              <w:t>2500</w:t>
            </w:r>
          </w:p>
        </w:tc>
        <w:tc>
          <w:tcPr>
            <w:tcW w:w="928" w:type="pct"/>
            <w:shd w:val="clear" w:color="auto" w:fill="FFFFFF" w:themeFill="background1"/>
            <w:noWrap/>
            <w:vAlign w:val="center"/>
            <w:hideMark/>
          </w:tcPr>
          <w:p w14:paraId="25AA8163" w14:textId="77777777" w:rsidR="007D2005" w:rsidRPr="00CE247E" w:rsidRDefault="007D2005" w:rsidP="001326A6">
            <w:pPr>
              <w:pStyle w:val="TX-TableText"/>
              <w:jc w:val="center"/>
            </w:pPr>
            <w:r w:rsidRPr="00CE247E">
              <w:t>1.72%</w:t>
            </w:r>
          </w:p>
        </w:tc>
        <w:tc>
          <w:tcPr>
            <w:tcW w:w="928" w:type="pct"/>
            <w:shd w:val="clear" w:color="auto" w:fill="FFFFFF" w:themeFill="background1"/>
            <w:noWrap/>
            <w:vAlign w:val="center"/>
            <w:hideMark/>
          </w:tcPr>
          <w:p w14:paraId="193285B0" w14:textId="77777777" w:rsidR="007D2005" w:rsidRPr="00CE247E" w:rsidRDefault="007D2005" w:rsidP="001326A6">
            <w:pPr>
              <w:pStyle w:val="TX-TableText"/>
              <w:jc w:val="center"/>
            </w:pPr>
            <w:r w:rsidRPr="00CE247E">
              <w:t>1.97%</w:t>
            </w:r>
          </w:p>
        </w:tc>
        <w:tc>
          <w:tcPr>
            <w:tcW w:w="928" w:type="pct"/>
            <w:shd w:val="clear" w:color="auto" w:fill="FFFFFF" w:themeFill="background1"/>
            <w:noWrap/>
            <w:vAlign w:val="center"/>
            <w:hideMark/>
          </w:tcPr>
          <w:p w14:paraId="423F78CB" w14:textId="77777777" w:rsidR="007D2005" w:rsidRPr="00CE247E" w:rsidRDefault="007D2005" w:rsidP="001326A6">
            <w:pPr>
              <w:pStyle w:val="TX-TableText"/>
              <w:jc w:val="center"/>
            </w:pPr>
            <w:r w:rsidRPr="00CE247E">
              <w:t>2.10%</w:t>
            </w:r>
          </w:p>
        </w:tc>
        <w:tc>
          <w:tcPr>
            <w:tcW w:w="928" w:type="pct"/>
            <w:shd w:val="clear" w:color="auto" w:fill="FFFFFF" w:themeFill="background1"/>
            <w:noWrap/>
            <w:vAlign w:val="center"/>
            <w:hideMark/>
          </w:tcPr>
          <w:p w14:paraId="1809E501" w14:textId="77777777" w:rsidR="007D2005" w:rsidRPr="00CE247E" w:rsidRDefault="007D2005" w:rsidP="001326A6">
            <w:pPr>
              <w:pStyle w:val="TX-TableText"/>
              <w:jc w:val="center"/>
            </w:pPr>
            <w:r w:rsidRPr="00CE247E">
              <w:t>2.15%</w:t>
            </w:r>
          </w:p>
        </w:tc>
      </w:tr>
    </w:tbl>
    <w:p w14:paraId="645038D2" w14:textId="77777777" w:rsidR="007D2005" w:rsidRPr="0090289B" w:rsidRDefault="007D2005" w:rsidP="007D2005">
      <w:pPr>
        <w:pStyle w:val="TF-TblFN"/>
      </w:pPr>
      <w:r w:rsidRPr="0090289B">
        <w:t>*Assuming design effects (DEFF) = 1.2.</w:t>
      </w:r>
    </w:p>
    <w:p w14:paraId="74A0C39A" w14:textId="77777777" w:rsidR="00C80391" w:rsidRDefault="00C80391" w:rsidP="00C80391">
      <w:pPr>
        <w:pStyle w:val="P1-StandPara"/>
      </w:pPr>
    </w:p>
    <w:p w14:paraId="567CD9B0" w14:textId="77777777" w:rsidR="00224302" w:rsidRDefault="00224302" w:rsidP="00C80391">
      <w:pPr>
        <w:pStyle w:val="P1-StandPara"/>
      </w:pPr>
      <w:r w:rsidRPr="00095DDA">
        <w:rPr>
          <w:b/>
        </w:rPr>
        <w:t>Minimum Detectable Difference</w:t>
      </w:r>
    </w:p>
    <w:p w14:paraId="0EB820C3" w14:textId="77777777" w:rsidR="007D2005" w:rsidRDefault="007D2005" w:rsidP="007D2005">
      <w:pPr>
        <w:pStyle w:val="P1-StandPara"/>
      </w:pPr>
      <w:r>
        <w:t xml:space="preserve">Table </w:t>
      </w:r>
      <w:r w:rsidR="00301D3C">
        <w:t>B-3</w:t>
      </w:r>
      <w:r w:rsidRPr="00D97A2F">
        <w:t xml:space="preserve"> provides estimates of the minimum detectable difference </w:t>
      </w:r>
      <w:r>
        <w:t xml:space="preserve">(MDD) </w:t>
      </w:r>
      <w:r w:rsidRPr="00D97A2F">
        <w:t>between subgroups under the proposed design for subgroup sample sizes ranging from 200 to 2,500. The detectable differences are for a one-sided test with significance level of 0.05 and power of 0.80. For example, comparing samples of 500 respondents per group (e.g., 500 households with female household head vs. 500 households with male household head), the minimum detectable difference between the groups will range from 7.3 percent to 8.6 percent depending on the underlying prevalence being estimated.</w:t>
      </w:r>
    </w:p>
    <w:p w14:paraId="48CD9AED" w14:textId="77777777" w:rsidR="00F353C1" w:rsidRDefault="00F353C1">
      <w:pPr>
        <w:spacing w:after="200" w:line="276" w:lineRule="auto"/>
        <w:rPr>
          <w:rFonts w:ascii="Franklin Gothic Medium" w:hAnsi="Franklin Gothic Medium"/>
          <w:sz w:val="22"/>
          <w:szCs w:val="32"/>
        </w:rPr>
      </w:pPr>
      <w:r>
        <w:br w:type="page"/>
      </w:r>
    </w:p>
    <w:p w14:paraId="12BD57E2" w14:textId="77777777" w:rsidR="007D2005" w:rsidRPr="009C6413" w:rsidRDefault="007D2005" w:rsidP="007D2005">
      <w:pPr>
        <w:pStyle w:val="TT-TableTitle"/>
      </w:pPr>
      <w:r w:rsidRPr="009C6413">
        <w:t xml:space="preserve">Table </w:t>
      </w:r>
      <w:r w:rsidR="00301D3C">
        <w:t>B-3.</w:t>
      </w:r>
      <w:r>
        <w:tab/>
      </w:r>
      <w:r w:rsidRPr="009C6413">
        <w:t>Minimum detectable difference* between subgroups for selected sample sizes and pr</w:t>
      </w:r>
      <w:r>
        <w:t>evale</w:t>
      </w:r>
      <w:r w:rsidRPr="009C6413">
        <w:t>nces (P)</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8"/>
        <w:gridCol w:w="1781"/>
        <w:gridCol w:w="1783"/>
        <w:gridCol w:w="1781"/>
        <w:gridCol w:w="1783"/>
      </w:tblGrid>
      <w:tr w:rsidR="007D2005" w:rsidRPr="00CE247E" w14:paraId="0F8A670F" w14:textId="77777777" w:rsidTr="00301D3C">
        <w:trPr>
          <w:trHeight w:val="20"/>
        </w:trPr>
        <w:tc>
          <w:tcPr>
            <w:tcW w:w="1278" w:type="pct"/>
            <w:shd w:val="clear" w:color="auto" w:fill="AFBED7"/>
            <w:noWrap/>
            <w:vAlign w:val="center"/>
            <w:hideMark/>
          </w:tcPr>
          <w:p w14:paraId="04E12E28" w14:textId="77777777" w:rsidR="007D2005" w:rsidRPr="00CE247E" w:rsidRDefault="007D2005" w:rsidP="001326A6">
            <w:pPr>
              <w:pStyle w:val="TH-TableHeading"/>
            </w:pPr>
            <w:r w:rsidRPr="00CE247E">
              <w:t>Subgroup sample size*</w:t>
            </w:r>
          </w:p>
        </w:tc>
        <w:tc>
          <w:tcPr>
            <w:tcW w:w="930" w:type="pct"/>
            <w:shd w:val="clear" w:color="auto" w:fill="AFBED7"/>
            <w:noWrap/>
            <w:vAlign w:val="center"/>
            <w:hideMark/>
          </w:tcPr>
          <w:p w14:paraId="4DB458B9" w14:textId="77777777" w:rsidR="007D2005" w:rsidRPr="00CE247E" w:rsidRDefault="007D2005" w:rsidP="001326A6">
            <w:pPr>
              <w:pStyle w:val="TH-TableHeading"/>
            </w:pPr>
            <w:r w:rsidRPr="00CE247E">
              <w:t>P</w:t>
            </w:r>
            <w:r>
              <w:t xml:space="preserve"> </w:t>
            </w:r>
            <w:r w:rsidRPr="00CE247E">
              <w:t>=</w:t>
            </w:r>
            <w:r>
              <w:t xml:space="preserve"> </w:t>
            </w:r>
            <w:r w:rsidRPr="00CE247E">
              <w:t>20%</w:t>
            </w:r>
          </w:p>
        </w:tc>
        <w:tc>
          <w:tcPr>
            <w:tcW w:w="931" w:type="pct"/>
            <w:shd w:val="clear" w:color="auto" w:fill="AFBED7"/>
            <w:noWrap/>
            <w:vAlign w:val="center"/>
            <w:hideMark/>
          </w:tcPr>
          <w:p w14:paraId="1ABC80C9" w14:textId="77777777" w:rsidR="007D2005" w:rsidRPr="00CE247E" w:rsidRDefault="007D2005" w:rsidP="001326A6">
            <w:pPr>
              <w:pStyle w:val="TH-TableHeading"/>
            </w:pPr>
            <w:r w:rsidRPr="00CE247E">
              <w:t>P</w:t>
            </w:r>
            <w:r>
              <w:t xml:space="preserve"> </w:t>
            </w:r>
            <w:r w:rsidRPr="00CE247E">
              <w:t>=</w:t>
            </w:r>
            <w:r>
              <w:t xml:space="preserve"> </w:t>
            </w:r>
            <w:r w:rsidRPr="00CE247E">
              <w:t>30%</w:t>
            </w:r>
          </w:p>
        </w:tc>
        <w:tc>
          <w:tcPr>
            <w:tcW w:w="930" w:type="pct"/>
            <w:shd w:val="clear" w:color="auto" w:fill="AFBED7"/>
            <w:noWrap/>
            <w:vAlign w:val="center"/>
            <w:hideMark/>
          </w:tcPr>
          <w:p w14:paraId="4CA54EC0" w14:textId="77777777" w:rsidR="007D2005" w:rsidRPr="00CE247E" w:rsidRDefault="007D2005" w:rsidP="001326A6">
            <w:pPr>
              <w:pStyle w:val="TH-TableHeading"/>
            </w:pPr>
            <w:r w:rsidRPr="00CE247E">
              <w:t>P</w:t>
            </w:r>
            <w:r>
              <w:t xml:space="preserve"> </w:t>
            </w:r>
            <w:r w:rsidRPr="00CE247E">
              <w:t>=</w:t>
            </w:r>
            <w:r>
              <w:t xml:space="preserve"> </w:t>
            </w:r>
            <w:r w:rsidRPr="00CE247E">
              <w:t>40%</w:t>
            </w:r>
          </w:p>
        </w:tc>
        <w:tc>
          <w:tcPr>
            <w:tcW w:w="931" w:type="pct"/>
            <w:shd w:val="clear" w:color="auto" w:fill="AFBED7"/>
            <w:noWrap/>
            <w:vAlign w:val="center"/>
            <w:hideMark/>
          </w:tcPr>
          <w:p w14:paraId="7CCAEA45" w14:textId="77777777" w:rsidR="007D2005" w:rsidRPr="00CE247E" w:rsidRDefault="007D2005" w:rsidP="001326A6">
            <w:pPr>
              <w:pStyle w:val="TH-TableHeading"/>
            </w:pPr>
            <w:r w:rsidRPr="00CE247E">
              <w:t>P</w:t>
            </w:r>
            <w:r>
              <w:t xml:space="preserve"> </w:t>
            </w:r>
            <w:r w:rsidRPr="00CE247E">
              <w:t>=</w:t>
            </w:r>
            <w:r>
              <w:t xml:space="preserve"> </w:t>
            </w:r>
            <w:r w:rsidRPr="00CE247E">
              <w:t>50%</w:t>
            </w:r>
          </w:p>
        </w:tc>
      </w:tr>
      <w:tr w:rsidR="007D2005" w:rsidRPr="00CE247E" w14:paraId="35072F50" w14:textId="77777777" w:rsidTr="00301D3C">
        <w:trPr>
          <w:trHeight w:val="20"/>
        </w:trPr>
        <w:tc>
          <w:tcPr>
            <w:tcW w:w="1278" w:type="pct"/>
            <w:shd w:val="clear" w:color="auto" w:fill="auto"/>
            <w:vAlign w:val="center"/>
            <w:hideMark/>
          </w:tcPr>
          <w:p w14:paraId="4BA06604" w14:textId="77777777" w:rsidR="007D2005" w:rsidRPr="00CE247E" w:rsidRDefault="007D2005" w:rsidP="001326A6">
            <w:pPr>
              <w:pStyle w:val="TX-TableText"/>
              <w:jc w:val="center"/>
            </w:pPr>
            <w:r w:rsidRPr="00CE247E">
              <w:t>400</w:t>
            </w:r>
          </w:p>
        </w:tc>
        <w:tc>
          <w:tcPr>
            <w:tcW w:w="930" w:type="pct"/>
            <w:shd w:val="clear" w:color="auto" w:fill="auto"/>
            <w:noWrap/>
            <w:vAlign w:val="center"/>
            <w:hideMark/>
          </w:tcPr>
          <w:p w14:paraId="637690CD" w14:textId="77777777" w:rsidR="007D2005" w:rsidRPr="00CE247E" w:rsidRDefault="007D2005" w:rsidP="001326A6">
            <w:pPr>
              <w:pStyle w:val="TX-TableText"/>
              <w:jc w:val="center"/>
            </w:pPr>
            <w:r w:rsidRPr="00CE247E">
              <w:t>8.20%</w:t>
            </w:r>
          </w:p>
        </w:tc>
        <w:tc>
          <w:tcPr>
            <w:tcW w:w="931" w:type="pct"/>
            <w:shd w:val="clear" w:color="auto" w:fill="auto"/>
            <w:noWrap/>
            <w:vAlign w:val="center"/>
            <w:hideMark/>
          </w:tcPr>
          <w:p w14:paraId="569DF125" w14:textId="77777777" w:rsidR="007D2005" w:rsidRPr="00CE247E" w:rsidRDefault="007D2005" w:rsidP="001326A6">
            <w:pPr>
              <w:pStyle w:val="TX-TableText"/>
              <w:jc w:val="center"/>
            </w:pPr>
            <w:r w:rsidRPr="00CE247E">
              <w:t>9.20%</w:t>
            </w:r>
          </w:p>
        </w:tc>
        <w:tc>
          <w:tcPr>
            <w:tcW w:w="930" w:type="pct"/>
            <w:shd w:val="clear" w:color="auto" w:fill="auto"/>
            <w:noWrap/>
            <w:vAlign w:val="center"/>
            <w:hideMark/>
          </w:tcPr>
          <w:p w14:paraId="04390F22" w14:textId="77777777" w:rsidR="007D2005" w:rsidRPr="00CE247E" w:rsidRDefault="007D2005" w:rsidP="001326A6">
            <w:pPr>
              <w:pStyle w:val="TX-TableText"/>
              <w:jc w:val="center"/>
            </w:pPr>
            <w:r w:rsidRPr="00CE247E">
              <w:t>9.60%</w:t>
            </w:r>
          </w:p>
        </w:tc>
        <w:tc>
          <w:tcPr>
            <w:tcW w:w="931" w:type="pct"/>
            <w:shd w:val="clear" w:color="auto" w:fill="auto"/>
            <w:noWrap/>
            <w:vAlign w:val="center"/>
            <w:hideMark/>
          </w:tcPr>
          <w:p w14:paraId="1C06340A" w14:textId="77777777" w:rsidR="007D2005" w:rsidRPr="00CE247E" w:rsidRDefault="007D2005" w:rsidP="001326A6">
            <w:pPr>
              <w:pStyle w:val="TX-TableText"/>
              <w:jc w:val="center"/>
            </w:pPr>
            <w:r w:rsidRPr="00CE247E">
              <w:t>9.60%</w:t>
            </w:r>
          </w:p>
        </w:tc>
      </w:tr>
      <w:tr w:rsidR="007D2005" w:rsidRPr="00CE247E" w14:paraId="390B3B9D" w14:textId="77777777" w:rsidTr="00301D3C">
        <w:trPr>
          <w:trHeight w:val="20"/>
        </w:trPr>
        <w:tc>
          <w:tcPr>
            <w:tcW w:w="1278" w:type="pct"/>
            <w:shd w:val="clear" w:color="auto" w:fill="auto"/>
            <w:vAlign w:val="center"/>
            <w:hideMark/>
          </w:tcPr>
          <w:p w14:paraId="6FAED512" w14:textId="77777777" w:rsidR="007D2005" w:rsidRPr="00CE247E" w:rsidRDefault="007D2005" w:rsidP="001326A6">
            <w:pPr>
              <w:pStyle w:val="TX-TableText"/>
              <w:jc w:val="center"/>
            </w:pPr>
            <w:r w:rsidRPr="00CE247E">
              <w:t>500</w:t>
            </w:r>
          </w:p>
        </w:tc>
        <w:tc>
          <w:tcPr>
            <w:tcW w:w="930" w:type="pct"/>
            <w:shd w:val="clear" w:color="auto" w:fill="auto"/>
            <w:noWrap/>
            <w:vAlign w:val="center"/>
            <w:hideMark/>
          </w:tcPr>
          <w:p w14:paraId="2130F88B" w14:textId="77777777" w:rsidR="007D2005" w:rsidRPr="00CE247E" w:rsidRDefault="007D2005" w:rsidP="001326A6">
            <w:pPr>
              <w:pStyle w:val="TX-TableText"/>
              <w:jc w:val="center"/>
            </w:pPr>
            <w:r w:rsidRPr="00CE247E">
              <w:t>7.30%</w:t>
            </w:r>
          </w:p>
        </w:tc>
        <w:tc>
          <w:tcPr>
            <w:tcW w:w="931" w:type="pct"/>
            <w:shd w:val="clear" w:color="auto" w:fill="auto"/>
            <w:noWrap/>
            <w:vAlign w:val="center"/>
            <w:hideMark/>
          </w:tcPr>
          <w:p w14:paraId="6EBBC0A3" w14:textId="77777777" w:rsidR="007D2005" w:rsidRPr="00CE247E" w:rsidRDefault="007D2005" w:rsidP="001326A6">
            <w:pPr>
              <w:pStyle w:val="TX-TableText"/>
              <w:jc w:val="center"/>
            </w:pPr>
            <w:r w:rsidRPr="00CE247E">
              <w:t>8.20%</w:t>
            </w:r>
          </w:p>
        </w:tc>
        <w:tc>
          <w:tcPr>
            <w:tcW w:w="930" w:type="pct"/>
            <w:shd w:val="clear" w:color="auto" w:fill="auto"/>
            <w:noWrap/>
            <w:vAlign w:val="center"/>
            <w:hideMark/>
          </w:tcPr>
          <w:p w14:paraId="33DA2CBE" w14:textId="77777777" w:rsidR="007D2005" w:rsidRPr="00CE247E" w:rsidRDefault="007D2005" w:rsidP="001326A6">
            <w:pPr>
              <w:pStyle w:val="TX-TableText"/>
              <w:jc w:val="center"/>
            </w:pPr>
            <w:r w:rsidRPr="00CE247E">
              <w:t>8.50%</w:t>
            </w:r>
          </w:p>
        </w:tc>
        <w:tc>
          <w:tcPr>
            <w:tcW w:w="931" w:type="pct"/>
            <w:shd w:val="clear" w:color="auto" w:fill="auto"/>
            <w:noWrap/>
            <w:vAlign w:val="center"/>
            <w:hideMark/>
          </w:tcPr>
          <w:p w14:paraId="53F354DB" w14:textId="77777777" w:rsidR="007D2005" w:rsidRPr="00CE247E" w:rsidRDefault="007D2005" w:rsidP="001326A6">
            <w:pPr>
              <w:pStyle w:val="TX-TableText"/>
              <w:jc w:val="center"/>
            </w:pPr>
            <w:r w:rsidRPr="00CE247E">
              <w:t>8.60%</w:t>
            </w:r>
          </w:p>
        </w:tc>
      </w:tr>
      <w:tr w:rsidR="007D2005" w:rsidRPr="00CE247E" w14:paraId="08E84C47" w14:textId="77777777" w:rsidTr="00301D3C">
        <w:trPr>
          <w:trHeight w:val="20"/>
        </w:trPr>
        <w:tc>
          <w:tcPr>
            <w:tcW w:w="1278" w:type="pct"/>
            <w:shd w:val="clear" w:color="auto" w:fill="auto"/>
            <w:vAlign w:val="center"/>
            <w:hideMark/>
          </w:tcPr>
          <w:p w14:paraId="7EFAB8A5" w14:textId="77777777" w:rsidR="007D2005" w:rsidRPr="00CE247E" w:rsidRDefault="007D2005" w:rsidP="001326A6">
            <w:pPr>
              <w:pStyle w:val="TX-TableText"/>
              <w:jc w:val="center"/>
            </w:pPr>
            <w:r w:rsidRPr="00CE247E">
              <w:t>600</w:t>
            </w:r>
          </w:p>
        </w:tc>
        <w:tc>
          <w:tcPr>
            <w:tcW w:w="930" w:type="pct"/>
            <w:shd w:val="clear" w:color="auto" w:fill="auto"/>
            <w:noWrap/>
            <w:vAlign w:val="center"/>
            <w:hideMark/>
          </w:tcPr>
          <w:p w14:paraId="738A7E23" w14:textId="77777777" w:rsidR="007D2005" w:rsidRPr="00CE247E" w:rsidRDefault="007D2005" w:rsidP="001326A6">
            <w:pPr>
              <w:pStyle w:val="TX-TableText"/>
              <w:jc w:val="center"/>
            </w:pPr>
            <w:r w:rsidRPr="00CE247E">
              <w:t>6.60%</w:t>
            </w:r>
          </w:p>
        </w:tc>
        <w:tc>
          <w:tcPr>
            <w:tcW w:w="931" w:type="pct"/>
            <w:shd w:val="clear" w:color="auto" w:fill="auto"/>
            <w:noWrap/>
            <w:vAlign w:val="center"/>
            <w:hideMark/>
          </w:tcPr>
          <w:p w14:paraId="2315E9A5" w14:textId="77777777" w:rsidR="007D2005" w:rsidRPr="00CE247E" w:rsidRDefault="007D2005" w:rsidP="001326A6">
            <w:pPr>
              <w:pStyle w:val="TX-TableText"/>
              <w:jc w:val="center"/>
            </w:pPr>
            <w:r w:rsidRPr="00CE247E">
              <w:t>7.40%</w:t>
            </w:r>
          </w:p>
        </w:tc>
        <w:tc>
          <w:tcPr>
            <w:tcW w:w="930" w:type="pct"/>
            <w:shd w:val="clear" w:color="auto" w:fill="auto"/>
            <w:noWrap/>
            <w:vAlign w:val="center"/>
            <w:hideMark/>
          </w:tcPr>
          <w:p w14:paraId="1AB12C32" w14:textId="77777777" w:rsidR="007D2005" w:rsidRPr="00CE247E" w:rsidRDefault="007D2005" w:rsidP="001326A6">
            <w:pPr>
              <w:pStyle w:val="TX-TableText"/>
              <w:jc w:val="center"/>
            </w:pPr>
            <w:r w:rsidRPr="00CE247E">
              <w:t>7.80%</w:t>
            </w:r>
          </w:p>
        </w:tc>
        <w:tc>
          <w:tcPr>
            <w:tcW w:w="931" w:type="pct"/>
            <w:shd w:val="clear" w:color="auto" w:fill="auto"/>
            <w:noWrap/>
            <w:vAlign w:val="center"/>
            <w:hideMark/>
          </w:tcPr>
          <w:p w14:paraId="19F9380F" w14:textId="77777777" w:rsidR="007D2005" w:rsidRPr="00CE247E" w:rsidRDefault="007D2005" w:rsidP="001326A6">
            <w:pPr>
              <w:pStyle w:val="TX-TableText"/>
              <w:jc w:val="center"/>
            </w:pPr>
            <w:r w:rsidRPr="00CE247E">
              <w:t>7.80%</w:t>
            </w:r>
          </w:p>
        </w:tc>
      </w:tr>
      <w:tr w:rsidR="007D2005" w:rsidRPr="00CE247E" w14:paraId="37F96C2C" w14:textId="77777777" w:rsidTr="00301D3C">
        <w:trPr>
          <w:trHeight w:val="20"/>
        </w:trPr>
        <w:tc>
          <w:tcPr>
            <w:tcW w:w="1278" w:type="pct"/>
            <w:shd w:val="clear" w:color="auto" w:fill="auto"/>
            <w:vAlign w:val="center"/>
            <w:hideMark/>
          </w:tcPr>
          <w:p w14:paraId="52C2F571" w14:textId="77777777" w:rsidR="007D2005" w:rsidRPr="00CE247E" w:rsidRDefault="007D2005" w:rsidP="001326A6">
            <w:pPr>
              <w:pStyle w:val="TX-TableText"/>
              <w:jc w:val="center"/>
            </w:pPr>
            <w:r w:rsidRPr="00CE247E">
              <w:t>700</w:t>
            </w:r>
          </w:p>
        </w:tc>
        <w:tc>
          <w:tcPr>
            <w:tcW w:w="930" w:type="pct"/>
            <w:shd w:val="clear" w:color="auto" w:fill="auto"/>
            <w:noWrap/>
            <w:vAlign w:val="center"/>
            <w:hideMark/>
          </w:tcPr>
          <w:p w14:paraId="1C4ECBFE" w14:textId="77777777" w:rsidR="007D2005" w:rsidRPr="00CE247E" w:rsidRDefault="007D2005" w:rsidP="001326A6">
            <w:pPr>
              <w:pStyle w:val="TX-TableText"/>
              <w:jc w:val="center"/>
            </w:pPr>
            <w:r w:rsidRPr="00CE247E">
              <w:t>6.10%</w:t>
            </w:r>
          </w:p>
        </w:tc>
        <w:tc>
          <w:tcPr>
            <w:tcW w:w="931" w:type="pct"/>
            <w:shd w:val="clear" w:color="auto" w:fill="auto"/>
            <w:noWrap/>
            <w:vAlign w:val="center"/>
            <w:hideMark/>
          </w:tcPr>
          <w:p w14:paraId="15F47DE2" w14:textId="77777777" w:rsidR="007D2005" w:rsidRPr="00CE247E" w:rsidRDefault="007D2005" w:rsidP="001326A6">
            <w:pPr>
              <w:pStyle w:val="TX-TableText"/>
              <w:jc w:val="center"/>
            </w:pPr>
            <w:r w:rsidRPr="00CE247E">
              <w:t>6.90%</w:t>
            </w:r>
          </w:p>
        </w:tc>
        <w:tc>
          <w:tcPr>
            <w:tcW w:w="930" w:type="pct"/>
            <w:shd w:val="clear" w:color="auto" w:fill="auto"/>
            <w:noWrap/>
            <w:vAlign w:val="center"/>
            <w:hideMark/>
          </w:tcPr>
          <w:p w14:paraId="5F8DF9D4" w14:textId="77777777" w:rsidR="007D2005" w:rsidRPr="00CE247E" w:rsidRDefault="007D2005" w:rsidP="001326A6">
            <w:pPr>
              <w:pStyle w:val="TX-TableText"/>
              <w:jc w:val="center"/>
            </w:pPr>
            <w:r w:rsidRPr="00CE247E">
              <w:t>7.20%</w:t>
            </w:r>
          </w:p>
        </w:tc>
        <w:tc>
          <w:tcPr>
            <w:tcW w:w="931" w:type="pct"/>
            <w:shd w:val="clear" w:color="auto" w:fill="auto"/>
            <w:noWrap/>
            <w:vAlign w:val="center"/>
            <w:hideMark/>
          </w:tcPr>
          <w:p w14:paraId="64B612BB" w14:textId="77777777" w:rsidR="007D2005" w:rsidRPr="00CE247E" w:rsidRDefault="007D2005" w:rsidP="001326A6">
            <w:pPr>
              <w:pStyle w:val="TX-TableText"/>
              <w:jc w:val="center"/>
            </w:pPr>
            <w:r w:rsidRPr="00CE247E">
              <w:t>7.30%</w:t>
            </w:r>
          </w:p>
        </w:tc>
      </w:tr>
      <w:tr w:rsidR="007D2005" w:rsidRPr="00CE247E" w14:paraId="5927FB9E" w14:textId="77777777" w:rsidTr="00301D3C">
        <w:trPr>
          <w:trHeight w:val="20"/>
        </w:trPr>
        <w:tc>
          <w:tcPr>
            <w:tcW w:w="1278" w:type="pct"/>
            <w:shd w:val="clear" w:color="auto" w:fill="auto"/>
            <w:vAlign w:val="center"/>
            <w:hideMark/>
          </w:tcPr>
          <w:p w14:paraId="76B79E76" w14:textId="77777777" w:rsidR="007D2005" w:rsidRPr="00CE247E" w:rsidRDefault="007D2005" w:rsidP="001326A6">
            <w:pPr>
              <w:pStyle w:val="TX-TableText"/>
              <w:jc w:val="center"/>
            </w:pPr>
            <w:r w:rsidRPr="00CE247E">
              <w:t>800</w:t>
            </w:r>
          </w:p>
        </w:tc>
        <w:tc>
          <w:tcPr>
            <w:tcW w:w="930" w:type="pct"/>
            <w:shd w:val="clear" w:color="auto" w:fill="auto"/>
            <w:noWrap/>
            <w:vAlign w:val="center"/>
            <w:hideMark/>
          </w:tcPr>
          <w:p w14:paraId="7D4703D5" w14:textId="77777777" w:rsidR="007D2005" w:rsidRPr="00CE247E" w:rsidRDefault="007D2005" w:rsidP="001326A6">
            <w:pPr>
              <w:pStyle w:val="TX-TableText"/>
              <w:jc w:val="center"/>
            </w:pPr>
            <w:r w:rsidRPr="00CE247E">
              <w:t>5.70%</w:t>
            </w:r>
          </w:p>
        </w:tc>
        <w:tc>
          <w:tcPr>
            <w:tcW w:w="931" w:type="pct"/>
            <w:shd w:val="clear" w:color="auto" w:fill="auto"/>
            <w:noWrap/>
            <w:vAlign w:val="center"/>
            <w:hideMark/>
          </w:tcPr>
          <w:p w14:paraId="286B0308" w14:textId="77777777" w:rsidR="007D2005" w:rsidRPr="00CE247E" w:rsidRDefault="007D2005" w:rsidP="001326A6">
            <w:pPr>
              <w:pStyle w:val="TX-TableText"/>
              <w:jc w:val="center"/>
            </w:pPr>
            <w:r w:rsidRPr="00CE247E">
              <w:t>6.40%</w:t>
            </w:r>
          </w:p>
        </w:tc>
        <w:tc>
          <w:tcPr>
            <w:tcW w:w="930" w:type="pct"/>
            <w:shd w:val="clear" w:color="auto" w:fill="auto"/>
            <w:noWrap/>
            <w:vAlign w:val="center"/>
            <w:hideMark/>
          </w:tcPr>
          <w:p w14:paraId="2C601F1A" w14:textId="77777777" w:rsidR="007D2005" w:rsidRPr="00CE247E" w:rsidRDefault="007D2005" w:rsidP="001326A6">
            <w:pPr>
              <w:pStyle w:val="TX-TableText"/>
              <w:jc w:val="center"/>
            </w:pPr>
            <w:r w:rsidRPr="00CE247E">
              <w:t>6.70%</w:t>
            </w:r>
          </w:p>
        </w:tc>
        <w:tc>
          <w:tcPr>
            <w:tcW w:w="931" w:type="pct"/>
            <w:shd w:val="clear" w:color="auto" w:fill="auto"/>
            <w:noWrap/>
            <w:vAlign w:val="center"/>
            <w:hideMark/>
          </w:tcPr>
          <w:p w14:paraId="7E95F013" w14:textId="77777777" w:rsidR="007D2005" w:rsidRPr="00CE247E" w:rsidRDefault="007D2005" w:rsidP="001326A6">
            <w:pPr>
              <w:pStyle w:val="TX-TableText"/>
              <w:jc w:val="center"/>
            </w:pPr>
            <w:r w:rsidRPr="00CE247E">
              <w:t>6.80%</w:t>
            </w:r>
          </w:p>
        </w:tc>
      </w:tr>
      <w:tr w:rsidR="007D2005" w:rsidRPr="00CE247E" w14:paraId="6B90A364" w14:textId="77777777" w:rsidTr="00301D3C">
        <w:trPr>
          <w:trHeight w:val="20"/>
        </w:trPr>
        <w:tc>
          <w:tcPr>
            <w:tcW w:w="1278" w:type="pct"/>
            <w:shd w:val="clear" w:color="auto" w:fill="auto"/>
            <w:vAlign w:val="center"/>
            <w:hideMark/>
          </w:tcPr>
          <w:p w14:paraId="6DECB9D5" w14:textId="77777777" w:rsidR="007D2005" w:rsidRPr="00CE247E" w:rsidRDefault="007D2005" w:rsidP="001326A6">
            <w:pPr>
              <w:pStyle w:val="TX-TableText"/>
              <w:jc w:val="center"/>
            </w:pPr>
            <w:r w:rsidRPr="00CE247E">
              <w:t>900</w:t>
            </w:r>
          </w:p>
        </w:tc>
        <w:tc>
          <w:tcPr>
            <w:tcW w:w="930" w:type="pct"/>
            <w:shd w:val="clear" w:color="auto" w:fill="auto"/>
            <w:noWrap/>
            <w:vAlign w:val="center"/>
            <w:hideMark/>
          </w:tcPr>
          <w:p w14:paraId="2DA20DA0" w14:textId="77777777" w:rsidR="007D2005" w:rsidRPr="00CE247E" w:rsidRDefault="007D2005" w:rsidP="001326A6">
            <w:pPr>
              <w:pStyle w:val="TX-TableText"/>
              <w:jc w:val="center"/>
            </w:pPr>
            <w:r w:rsidRPr="00CE247E">
              <w:t>5.40%</w:t>
            </w:r>
          </w:p>
        </w:tc>
        <w:tc>
          <w:tcPr>
            <w:tcW w:w="931" w:type="pct"/>
            <w:shd w:val="clear" w:color="auto" w:fill="auto"/>
            <w:noWrap/>
            <w:vAlign w:val="center"/>
            <w:hideMark/>
          </w:tcPr>
          <w:p w14:paraId="3CF186AC" w14:textId="77777777" w:rsidR="007D2005" w:rsidRPr="00CE247E" w:rsidRDefault="007D2005" w:rsidP="001326A6">
            <w:pPr>
              <w:pStyle w:val="TX-TableText"/>
              <w:jc w:val="center"/>
            </w:pPr>
            <w:r w:rsidRPr="00CE247E">
              <w:t>6.00%</w:t>
            </w:r>
          </w:p>
        </w:tc>
        <w:tc>
          <w:tcPr>
            <w:tcW w:w="930" w:type="pct"/>
            <w:shd w:val="clear" w:color="auto" w:fill="auto"/>
            <w:noWrap/>
            <w:vAlign w:val="center"/>
            <w:hideMark/>
          </w:tcPr>
          <w:p w14:paraId="18C83C45" w14:textId="77777777" w:rsidR="007D2005" w:rsidRPr="00CE247E" w:rsidRDefault="007D2005" w:rsidP="001326A6">
            <w:pPr>
              <w:pStyle w:val="TX-TableText"/>
              <w:jc w:val="center"/>
            </w:pPr>
            <w:r w:rsidRPr="00CE247E">
              <w:t>6.40%</w:t>
            </w:r>
          </w:p>
        </w:tc>
        <w:tc>
          <w:tcPr>
            <w:tcW w:w="931" w:type="pct"/>
            <w:shd w:val="clear" w:color="auto" w:fill="auto"/>
            <w:noWrap/>
            <w:vAlign w:val="center"/>
            <w:hideMark/>
          </w:tcPr>
          <w:p w14:paraId="54BCD6FE" w14:textId="77777777" w:rsidR="007D2005" w:rsidRPr="00CE247E" w:rsidRDefault="007D2005" w:rsidP="001326A6">
            <w:pPr>
              <w:pStyle w:val="TX-TableText"/>
              <w:jc w:val="center"/>
            </w:pPr>
            <w:r w:rsidRPr="00CE247E">
              <w:t>6.40%</w:t>
            </w:r>
          </w:p>
        </w:tc>
      </w:tr>
      <w:tr w:rsidR="007D2005" w:rsidRPr="00CE247E" w14:paraId="41AE647F" w14:textId="77777777" w:rsidTr="00301D3C">
        <w:trPr>
          <w:trHeight w:val="20"/>
        </w:trPr>
        <w:tc>
          <w:tcPr>
            <w:tcW w:w="1278" w:type="pct"/>
            <w:shd w:val="clear" w:color="auto" w:fill="auto"/>
            <w:vAlign w:val="center"/>
            <w:hideMark/>
          </w:tcPr>
          <w:p w14:paraId="26D91A5B" w14:textId="77777777" w:rsidR="007D2005" w:rsidRPr="00CE247E" w:rsidRDefault="007D2005" w:rsidP="001326A6">
            <w:pPr>
              <w:pStyle w:val="TX-TableText"/>
              <w:jc w:val="center"/>
            </w:pPr>
            <w:r w:rsidRPr="00CE247E">
              <w:t>1000</w:t>
            </w:r>
          </w:p>
        </w:tc>
        <w:tc>
          <w:tcPr>
            <w:tcW w:w="930" w:type="pct"/>
            <w:shd w:val="clear" w:color="auto" w:fill="auto"/>
            <w:noWrap/>
            <w:vAlign w:val="center"/>
            <w:hideMark/>
          </w:tcPr>
          <w:p w14:paraId="71D4E59B" w14:textId="77777777" w:rsidR="007D2005" w:rsidRPr="00CE247E" w:rsidRDefault="007D2005" w:rsidP="001326A6">
            <w:pPr>
              <w:pStyle w:val="TX-TableText"/>
              <w:jc w:val="center"/>
            </w:pPr>
            <w:r w:rsidRPr="00CE247E">
              <w:t>5.10%</w:t>
            </w:r>
          </w:p>
        </w:tc>
        <w:tc>
          <w:tcPr>
            <w:tcW w:w="931" w:type="pct"/>
            <w:shd w:val="clear" w:color="auto" w:fill="auto"/>
            <w:noWrap/>
            <w:vAlign w:val="center"/>
            <w:hideMark/>
          </w:tcPr>
          <w:p w14:paraId="0F794F44" w14:textId="77777777" w:rsidR="007D2005" w:rsidRPr="00CE247E" w:rsidRDefault="007D2005" w:rsidP="001326A6">
            <w:pPr>
              <w:pStyle w:val="TX-TableText"/>
              <w:jc w:val="center"/>
            </w:pPr>
            <w:r w:rsidRPr="00CE247E">
              <w:t>5.70%</w:t>
            </w:r>
          </w:p>
        </w:tc>
        <w:tc>
          <w:tcPr>
            <w:tcW w:w="930" w:type="pct"/>
            <w:shd w:val="clear" w:color="auto" w:fill="auto"/>
            <w:noWrap/>
            <w:vAlign w:val="center"/>
            <w:hideMark/>
          </w:tcPr>
          <w:p w14:paraId="3BE2A32B" w14:textId="77777777" w:rsidR="007D2005" w:rsidRPr="00CE247E" w:rsidRDefault="007D2005" w:rsidP="001326A6">
            <w:pPr>
              <w:pStyle w:val="TX-TableText"/>
              <w:jc w:val="center"/>
            </w:pPr>
            <w:r w:rsidRPr="00CE247E">
              <w:t>6.00%</w:t>
            </w:r>
          </w:p>
        </w:tc>
        <w:tc>
          <w:tcPr>
            <w:tcW w:w="931" w:type="pct"/>
            <w:shd w:val="clear" w:color="auto" w:fill="auto"/>
            <w:noWrap/>
            <w:vAlign w:val="center"/>
            <w:hideMark/>
          </w:tcPr>
          <w:p w14:paraId="009A7CB2" w14:textId="77777777" w:rsidR="007D2005" w:rsidRPr="00CE247E" w:rsidRDefault="007D2005" w:rsidP="001326A6">
            <w:pPr>
              <w:pStyle w:val="TX-TableText"/>
              <w:jc w:val="center"/>
            </w:pPr>
            <w:r w:rsidRPr="00CE247E">
              <w:t>6.10%</w:t>
            </w:r>
          </w:p>
        </w:tc>
      </w:tr>
      <w:tr w:rsidR="007D2005" w:rsidRPr="00CE247E" w14:paraId="1848FF77" w14:textId="77777777" w:rsidTr="00301D3C">
        <w:trPr>
          <w:trHeight w:val="20"/>
        </w:trPr>
        <w:tc>
          <w:tcPr>
            <w:tcW w:w="1278" w:type="pct"/>
            <w:shd w:val="clear" w:color="auto" w:fill="auto"/>
            <w:vAlign w:val="center"/>
            <w:hideMark/>
          </w:tcPr>
          <w:p w14:paraId="5A523FF1" w14:textId="77777777" w:rsidR="007D2005" w:rsidRPr="00CE247E" w:rsidRDefault="007D2005" w:rsidP="001326A6">
            <w:pPr>
              <w:pStyle w:val="TX-TableText"/>
              <w:jc w:val="center"/>
            </w:pPr>
            <w:r w:rsidRPr="00CE247E">
              <w:t>1200</w:t>
            </w:r>
          </w:p>
        </w:tc>
        <w:tc>
          <w:tcPr>
            <w:tcW w:w="930" w:type="pct"/>
            <w:shd w:val="clear" w:color="auto" w:fill="auto"/>
            <w:noWrap/>
            <w:vAlign w:val="center"/>
            <w:hideMark/>
          </w:tcPr>
          <w:p w14:paraId="206BE3C2" w14:textId="77777777" w:rsidR="007D2005" w:rsidRPr="00CE247E" w:rsidRDefault="007D2005" w:rsidP="001326A6">
            <w:pPr>
              <w:pStyle w:val="TX-TableText"/>
              <w:jc w:val="center"/>
            </w:pPr>
            <w:r w:rsidRPr="00CE247E">
              <w:t>4.60%</w:t>
            </w:r>
          </w:p>
        </w:tc>
        <w:tc>
          <w:tcPr>
            <w:tcW w:w="931" w:type="pct"/>
            <w:shd w:val="clear" w:color="auto" w:fill="auto"/>
            <w:noWrap/>
            <w:vAlign w:val="center"/>
            <w:hideMark/>
          </w:tcPr>
          <w:p w14:paraId="660D4FD5" w14:textId="77777777" w:rsidR="007D2005" w:rsidRPr="00CE247E" w:rsidRDefault="007D2005" w:rsidP="001326A6">
            <w:pPr>
              <w:pStyle w:val="TX-TableText"/>
              <w:jc w:val="center"/>
            </w:pPr>
            <w:r w:rsidRPr="00CE247E">
              <w:t>5.20%</w:t>
            </w:r>
          </w:p>
        </w:tc>
        <w:tc>
          <w:tcPr>
            <w:tcW w:w="930" w:type="pct"/>
            <w:shd w:val="clear" w:color="auto" w:fill="auto"/>
            <w:noWrap/>
            <w:vAlign w:val="center"/>
            <w:hideMark/>
          </w:tcPr>
          <w:p w14:paraId="27BC8DB9" w14:textId="77777777" w:rsidR="007D2005" w:rsidRPr="00CE247E" w:rsidRDefault="007D2005" w:rsidP="001326A6">
            <w:pPr>
              <w:pStyle w:val="TX-TableText"/>
              <w:jc w:val="center"/>
            </w:pPr>
            <w:r w:rsidRPr="00CE247E">
              <w:t>5.50%</w:t>
            </w:r>
          </w:p>
        </w:tc>
        <w:tc>
          <w:tcPr>
            <w:tcW w:w="931" w:type="pct"/>
            <w:shd w:val="clear" w:color="auto" w:fill="auto"/>
            <w:noWrap/>
            <w:vAlign w:val="center"/>
            <w:hideMark/>
          </w:tcPr>
          <w:p w14:paraId="0795C8E7" w14:textId="77777777" w:rsidR="007D2005" w:rsidRPr="00CE247E" w:rsidRDefault="007D2005" w:rsidP="001326A6">
            <w:pPr>
              <w:pStyle w:val="TX-TableText"/>
              <w:jc w:val="center"/>
            </w:pPr>
            <w:r w:rsidRPr="00CE247E">
              <w:t>5.50%</w:t>
            </w:r>
          </w:p>
        </w:tc>
      </w:tr>
      <w:tr w:rsidR="007D2005" w:rsidRPr="00CE247E" w14:paraId="549F3F9E" w14:textId="77777777" w:rsidTr="00301D3C">
        <w:trPr>
          <w:trHeight w:val="20"/>
        </w:trPr>
        <w:tc>
          <w:tcPr>
            <w:tcW w:w="1278" w:type="pct"/>
            <w:shd w:val="clear" w:color="auto" w:fill="auto"/>
            <w:vAlign w:val="center"/>
            <w:hideMark/>
          </w:tcPr>
          <w:p w14:paraId="437D3EE3" w14:textId="77777777" w:rsidR="007D2005" w:rsidRPr="00CE247E" w:rsidRDefault="007D2005" w:rsidP="001326A6">
            <w:pPr>
              <w:pStyle w:val="TX-TableText"/>
              <w:jc w:val="center"/>
            </w:pPr>
            <w:r w:rsidRPr="00CE247E">
              <w:t>1500</w:t>
            </w:r>
          </w:p>
        </w:tc>
        <w:tc>
          <w:tcPr>
            <w:tcW w:w="930" w:type="pct"/>
            <w:shd w:val="clear" w:color="auto" w:fill="auto"/>
            <w:noWrap/>
            <w:vAlign w:val="center"/>
            <w:hideMark/>
          </w:tcPr>
          <w:p w14:paraId="36E26F52" w14:textId="77777777" w:rsidR="007D2005" w:rsidRPr="00CE247E" w:rsidRDefault="007D2005" w:rsidP="001326A6">
            <w:pPr>
              <w:pStyle w:val="TX-TableText"/>
              <w:jc w:val="center"/>
            </w:pPr>
            <w:r w:rsidRPr="00CE247E">
              <w:t>4.10%</w:t>
            </w:r>
          </w:p>
        </w:tc>
        <w:tc>
          <w:tcPr>
            <w:tcW w:w="931" w:type="pct"/>
            <w:shd w:val="clear" w:color="auto" w:fill="auto"/>
            <w:noWrap/>
            <w:vAlign w:val="center"/>
            <w:hideMark/>
          </w:tcPr>
          <w:p w14:paraId="27D56300" w14:textId="77777777" w:rsidR="007D2005" w:rsidRPr="00CE247E" w:rsidRDefault="007D2005" w:rsidP="001326A6">
            <w:pPr>
              <w:pStyle w:val="TX-TableText"/>
              <w:jc w:val="center"/>
            </w:pPr>
            <w:r w:rsidRPr="00CE247E">
              <w:t>4.60%</w:t>
            </w:r>
          </w:p>
        </w:tc>
        <w:tc>
          <w:tcPr>
            <w:tcW w:w="930" w:type="pct"/>
            <w:shd w:val="clear" w:color="auto" w:fill="auto"/>
            <w:noWrap/>
            <w:vAlign w:val="center"/>
            <w:hideMark/>
          </w:tcPr>
          <w:p w14:paraId="4043B20B" w14:textId="77777777" w:rsidR="007D2005" w:rsidRPr="00CE247E" w:rsidRDefault="007D2005" w:rsidP="001326A6">
            <w:pPr>
              <w:pStyle w:val="TX-TableText"/>
              <w:jc w:val="center"/>
            </w:pPr>
            <w:r w:rsidRPr="00CE247E">
              <w:t>4.90%</w:t>
            </w:r>
          </w:p>
        </w:tc>
        <w:tc>
          <w:tcPr>
            <w:tcW w:w="931" w:type="pct"/>
            <w:shd w:val="clear" w:color="auto" w:fill="auto"/>
            <w:noWrap/>
            <w:vAlign w:val="center"/>
            <w:hideMark/>
          </w:tcPr>
          <w:p w14:paraId="00122EEF" w14:textId="77777777" w:rsidR="007D2005" w:rsidRPr="00CE247E" w:rsidRDefault="007D2005" w:rsidP="001326A6">
            <w:pPr>
              <w:pStyle w:val="TX-TableText"/>
              <w:jc w:val="center"/>
            </w:pPr>
            <w:r w:rsidRPr="00CE247E">
              <w:t>5.00%</w:t>
            </w:r>
          </w:p>
        </w:tc>
      </w:tr>
      <w:tr w:rsidR="007D2005" w:rsidRPr="00CE247E" w14:paraId="42BB9C0E" w14:textId="77777777" w:rsidTr="00301D3C">
        <w:trPr>
          <w:trHeight w:val="20"/>
        </w:trPr>
        <w:tc>
          <w:tcPr>
            <w:tcW w:w="1278" w:type="pct"/>
            <w:shd w:val="clear" w:color="auto" w:fill="auto"/>
            <w:vAlign w:val="center"/>
            <w:hideMark/>
          </w:tcPr>
          <w:p w14:paraId="7C588476" w14:textId="77777777" w:rsidR="007D2005" w:rsidRPr="00CE247E" w:rsidRDefault="007D2005" w:rsidP="001326A6">
            <w:pPr>
              <w:pStyle w:val="TX-TableText"/>
              <w:jc w:val="center"/>
            </w:pPr>
            <w:r w:rsidRPr="00CE247E">
              <w:t>2000</w:t>
            </w:r>
          </w:p>
        </w:tc>
        <w:tc>
          <w:tcPr>
            <w:tcW w:w="930" w:type="pct"/>
            <w:shd w:val="clear" w:color="auto" w:fill="auto"/>
            <w:noWrap/>
            <w:vAlign w:val="center"/>
            <w:hideMark/>
          </w:tcPr>
          <w:p w14:paraId="6ADE9834" w14:textId="77777777" w:rsidR="007D2005" w:rsidRPr="00CE247E" w:rsidRDefault="007D2005" w:rsidP="001326A6">
            <w:pPr>
              <w:pStyle w:val="TX-TableText"/>
              <w:jc w:val="center"/>
            </w:pPr>
            <w:r w:rsidRPr="00CE247E">
              <w:t>3.60%</w:t>
            </w:r>
          </w:p>
        </w:tc>
        <w:tc>
          <w:tcPr>
            <w:tcW w:w="931" w:type="pct"/>
            <w:shd w:val="clear" w:color="auto" w:fill="auto"/>
            <w:noWrap/>
            <w:vAlign w:val="center"/>
            <w:hideMark/>
          </w:tcPr>
          <w:p w14:paraId="7881EE1C" w14:textId="77777777" w:rsidR="007D2005" w:rsidRPr="00CE247E" w:rsidRDefault="007D2005" w:rsidP="001326A6">
            <w:pPr>
              <w:pStyle w:val="TX-TableText"/>
              <w:jc w:val="center"/>
            </w:pPr>
            <w:r w:rsidRPr="00CE247E">
              <w:t>4.00%</w:t>
            </w:r>
          </w:p>
        </w:tc>
        <w:tc>
          <w:tcPr>
            <w:tcW w:w="930" w:type="pct"/>
            <w:shd w:val="clear" w:color="auto" w:fill="auto"/>
            <w:noWrap/>
            <w:vAlign w:val="center"/>
            <w:hideMark/>
          </w:tcPr>
          <w:p w14:paraId="2B98A5AE" w14:textId="77777777" w:rsidR="007D2005" w:rsidRPr="00CE247E" w:rsidRDefault="007D2005" w:rsidP="001326A6">
            <w:pPr>
              <w:pStyle w:val="TX-TableText"/>
              <w:jc w:val="center"/>
            </w:pPr>
            <w:r w:rsidRPr="00CE247E">
              <w:t>4.30%</w:t>
            </w:r>
          </w:p>
        </w:tc>
        <w:tc>
          <w:tcPr>
            <w:tcW w:w="931" w:type="pct"/>
            <w:shd w:val="clear" w:color="auto" w:fill="auto"/>
            <w:noWrap/>
            <w:vAlign w:val="center"/>
            <w:hideMark/>
          </w:tcPr>
          <w:p w14:paraId="1A18C148" w14:textId="77777777" w:rsidR="007D2005" w:rsidRPr="00CE247E" w:rsidRDefault="007D2005" w:rsidP="001326A6">
            <w:pPr>
              <w:pStyle w:val="TX-TableText"/>
              <w:jc w:val="center"/>
            </w:pPr>
            <w:r w:rsidRPr="00CE247E">
              <w:t>4.30%</w:t>
            </w:r>
          </w:p>
        </w:tc>
      </w:tr>
      <w:tr w:rsidR="007D2005" w:rsidRPr="00CE247E" w14:paraId="1CC64EC4" w14:textId="77777777" w:rsidTr="00301D3C">
        <w:trPr>
          <w:trHeight w:val="20"/>
        </w:trPr>
        <w:tc>
          <w:tcPr>
            <w:tcW w:w="1278" w:type="pct"/>
            <w:shd w:val="clear" w:color="auto" w:fill="auto"/>
            <w:vAlign w:val="center"/>
            <w:hideMark/>
          </w:tcPr>
          <w:p w14:paraId="325EA811" w14:textId="77777777" w:rsidR="007D2005" w:rsidRPr="00CE247E" w:rsidRDefault="007D2005" w:rsidP="001326A6">
            <w:pPr>
              <w:pStyle w:val="TX-TableText"/>
              <w:jc w:val="center"/>
            </w:pPr>
            <w:r w:rsidRPr="00CE247E">
              <w:t>2500</w:t>
            </w:r>
          </w:p>
        </w:tc>
        <w:tc>
          <w:tcPr>
            <w:tcW w:w="930" w:type="pct"/>
            <w:shd w:val="clear" w:color="auto" w:fill="auto"/>
            <w:noWrap/>
            <w:vAlign w:val="center"/>
            <w:hideMark/>
          </w:tcPr>
          <w:p w14:paraId="74626BFD" w14:textId="77777777" w:rsidR="007D2005" w:rsidRPr="00CE247E" w:rsidRDefault="007D2005" w:rsidP="001326A6">
            <w:pPr>
              <w:pStyle w:val="TX-TableText"/>
              <w:jc w:val="center"/>
            </w:pPr>
            <w:r w:rsidRPr="00CE247E">
              <w:t>3.20%</w:t>
            </w:r>
          </w:p>
        </w:tc>
        <w:tc>
          <w:tcPr>
            <w:tcW w:w="931" w:type="pct"/>
            <w:shd w:val="clear" w:color="auto" w:fill="auto"/>
            <w:noWrap/>
            <w:vAlign w:val="center"/>
            <w:hideMark/>
          </w:tcPr>
          <w:p w14:paraId="7ED5C49D" w14:textId="77777777" w:rsidR="007D2005" w:rsidRPr="00CE247E" w:rsidRDefault="007D2005" w:rsidP="001326A6">
            <w:pPr>
              <w:pStyle w:val="TX-TableText"/>
              <w:jc w:val="center"/>
            </w:pPr>
            <w:r w:rsidRPr="00CE247E">
              <w:t>3.60%</w:t>
            </w:r>
          </w:p>
        </w:tc>
        <w:tc>
          <w:tcPr>
            <w:tcW w:w="930" w:type="pct"/>
            <w:shd w:val="clear" w:color="auto" w:fill="auto"/>
            <w:noWrap/>
            <w:vAlign w:val="center"/>
            <w:hideMark/>
          </w:tcPr>
          <w:p w14:paraId="69E4B70A" w14:textId="77777777" w:rsidR="007D2005" w:rsidRPr="00CE247E" w:rsidRDefault="007D2005" w:rsidP="001326A6">
            <w:pPr>
              <w:pStyle w:val="TX-TableText"/>
              <w:jc w:val="center"/>
            </w:pPr>
            <w:r w:rsidRPr="00CE247E">
              <w:t>3.80%</w:t>
            </w:r>
          </w:p>
        </w:tc>
        <w:tc>
          <w:tcPr>
            <w:tcW w:w="931" w:type="pct"/>
            <w:shd w:val="clear" w:color="auto" w:fill="auto"/>
            <w:noWrap/>
            <w:vAlign w:val="center"/>
            <w:hideMark/>
          </w:tcPr>
          <w:p w14:paraId="064EEC27" w14:textId="77777777" w:rsidR="007D2005" w:rsidRPr="00CE247E" w:rsidRDefault="007D2005" w:rsidP="001326A6">
            <w:pPr>
              <w:pStyle w:val="TX-TableText"/>
              <w:jc w:val="center"/>
            </w:pPr>
            <w:r w:rsidRPr="00CE247E">
              <w:t>3.80%</w:t>
            </w:r>
          </w:p>
        </w:tc>
      </w:tr>
    </w:tbl>
    <w:p w14:paraId="7EC86A53" w14:textId="77777777" w:rsidR="007D2005" w:rsidRDefault="007D2005" w:rsidP="007D2005">
      <w:pPr>
        <w:pStyle w:val="TF-TblFN"/>
      </w:pPr>
      <w:r w:rsidRPr="00F46563" w:rsidDel="00C07CDF">
        <w:t>*</w:t>
      </w:r>
      <w:r w:rsidRPr="00F46563">
        <w:tab/>
        <w:t>Assuming</w:t>
      </w:r>
      <w:r w:rsidRPr="00F46563" w:rsidDel="00C07CDF">
        <w:t xml:space="preserve"> a one-sided test with a significance level of 0.05</w:t>
      </w:r>
      <w:r w:rsidRPr="00F46563">
        <w:t>,</w:t>
      </w:r>
      <w:r w:rsidRPr="00F46563" w:rsidDel="00C07CDF">
        <w:t xml:space="preserve"> </w:t>
      </w:r>
      <w:r w:rsidRPr="00F46563">
        <w:t>power of 0.80, and DEFF</w:t>
      </w:r>
      <w:r>
        <w:t xml:space="preserve"> </w:t>
      </w:r>
      <w:r w:rsidRPr="00F46563">
        <w:t>=</w:t>
      </w:r>
      <w:r>
        <w:t xml:space="preserve"> </w:t>
      </w:r>
      <w:r w:rsidRPr="00F46563">
        <w:t>1.2</w:t>
      </w:r>
      <w:r>
        <w:t>.</w:t>
      </w:r>
    </w:p>
    <w:p w14:paraId="69A3EA09" w14:textId="77777777" w:rsidR="007D2005" w:rsidRPr="00F46563" w:rsidDel="00C07CDF" w:rsidRDefault="007D2005" w:rsidP="007D2005">
      <w:pPr>
        <w:pStyle w:val="SL-FlLftSgl"/>
      </w:pPr>
    </w:p>
    <w:p w14:paraId="50564D16" w14:textId="77777777" w:rsidR="007D2005" w:rsidRPr="00C32AA2" w:rsidRDefault="007D2005" w:rsidP="007D2005">
      <w:pPr>
        <w:pStyle w:val="P1-StandPara"/>
        <w:rPr>
          <w:color w:val="000000"/>
        </w:rPr>
      </w:pPr>
      <w:r w:rsidRPr="00D97A2F">
        <w:t xml:space="preserve">Based on our </w:t>
      </w:r>
      <w:r>
        <w:t>precision and MDD analyses, we believe</w:t>
      </w:r>
      <w:r w:rsidRPr="00D97A2F">
        <w:t xml:space="preserve"> a sample size of 4,800 respondents</w:t>
      </w:r>
      <w:r>
        <w:t xml:space="preserve"> will exceed our target </w:t>
      </w:r>
      <w:r w:rsidRPr="00D97A2F">
        <w:t xml:space="preserve">precision </w:t>
      </w:r>
      <w:r>
        <w:t xml:space="preserve">of +/-5 percent </w:t>
      </w:r>
      <w:r w:rsidRPr="00D97A2F">
        <w:t xml:space="preserve">at the national level and </w:t>
      </w:r>
      <w:r>
        <w:t xml:space="preserve">will also exceed this level </w:t>
      </w:r>
      <w:r w:rsidRPr="00D97A2F">
        <w:t>for most of the subgroup comparisons. To see the resulting power for subgroup comparison when the subsample sizes are unequal given a total sample size of 4,800, we also performed power analysis for subgroup comparison using selected household characteristics that are important for analysis.</w:t>
      </w:r>
      <w:r>
        <w:t xml:space="preserve"> As an illustration, Table </w:t>
      </w:r>
      <w:r w:rsidR="00301D3C">
        <w:t>B-4</w:t>
      </w:r>
      <w:r w:rsidRPr="00D97A2F">
        <w:t xml:space="preserve"> shows the results of power analysis </w:t>
      </w:r>
      <w:r w:rsidRPr="00D97A2F">
        <w:rPr>
          <w:bCs/>
        </w:rPr>
        <w:t>with unequal subgroup sample sizes</w:t>
      </w:r>
      <w:r w:rsidRPr="00D97A2F">
        <w:t xml:space="preserve"> for gender of household head and household size categories with</w:t>
      </w:r>
      <w:r w:rsidRPr="00D97A2F">
        <w:rPr>
          <w:bCs/>
        </w:rPr>
        <w:t xml:space="preserve"> the </w:t>
      </w:r>
      <w:r w:rsidRPr="00D97A2F">
        <w:t>underlying prevalence ranging from 20</w:t>
      </w:r>
      <w:r>
        <w:t xml:space="preserve"> percent</w:t>
      </w:r>
      <w:r w:rsidRPr="00D97A2F">
        <w:t xml:space="preserve"> to 80</w:t>
      </w:r>
      <w:r>
        <w:t xml:space="preserve"> percent</w:t>
      </w:r>
      <w:r w:rsidRPr="00D97A2F">
        <w:t>. The results indicate that, for example, a</w:t>
      </w:r>
      <w:r w:rsidRPr="00D97A2F">
        <w:rPr>
          <w:color w:val="000000"/>
        </w:rPr>
        <w:t xml:space="preserve"> two-group test with a 0.050 one-sided significance level will have 91</w:t>
      </w:r>
      <w:r>
        <w:rPr>
          <w:color w:val="000000"/>
        </w:rPr>
        <w:t xml:space="preserve"> percent</w:t>
      </w:r>
      <w:r w:rsidRPr="00D97A2F">
        <w:rPr>
          <w:color w:val="000000"/>
        </w:rPr>
        <w:t xml:space="preserve"> power to detect the difference between </w:t>
      </w:r>
      <w:r w:rsidRPr="00D97A2F">
        <w:t>households with female household head</w:t>
      </w:r>
      <w:r>
        <w:t>’</w:t>
      </w:r>
      <w:r w:rsidRPr="00D97A2F">
        <w:t>s</w:t>
      </w:r>
      <w:r w:rsidRPr="00D97A2F">
        <w:rPr>
          <w:color w:val="000000"/>
        </w:rPr>
        <w:t xml:space="preserve"> proportion of 0.500 and </w:t>
      </w:r>
      <w:r w:rsidRPr="00D97A2F">
        <w:t>households with male household head</w:t>
      </w:r>
      <w:r>
        <w:t>’</w:t>
      </w:r>
      <w:r w:rsidRPr="00D97A2F">
        <w:t>s</w:t>
      </w:r>
      <w:r w:rsidRPr="00D97A2F">
        <w:rPr>
          <w:color w:val="000000"/>
        </w:rPr>
        <w:t xml:space="preserve"> proportion of 0.550 for a total </w:t>
      </w:r>
      <w:r w:rsidRPr="00C32AA2">
        <w:rPr>
          <w:color w:val="000000"/>
        </w:rPr>
        <w:t>of 4,800</w:t>
      </w:r>
      <w:r w:rsidR="007F3B83">
        <w:rPr>
          <w:color w:val="000000"/>
        </w:rPr>
        <w:t xml:space="preserve"> survey respondents</w:t>
      </w:r>
      <w:r w:rsidRPr="00C32AA2">
        <w:rPr>
          <w:color w:val="000000"/>
        </w:rPr>
        <w:t>.</w:t>
      </w:r>
      <w:r>
        <w:rPr>
          <w:color w:val="000000"/>
        </w:rPr>
        <w:t xml:space="preserve"> </w:t>
      </w:r>
      <w:r w:rsidRPr="00C32AA2">
        <w:rPr>
          <w:color w:val="000000"/>
        </w:rPr>
        <w:t>Similarly, in our example of comparing household of different sizes using the same test and assumptions on prevalences, we</w:t>
      </w:r>
      <w:r>
        <w:rPr>
          <w:color w:val="000000"/>
        </w:rPr>
        <w:t xml:space="preserve"> would</w:t>
      </w:r>
      <w:r w:rsidRPr="00C32AA2">
        <w:rPr>
          <w:color w:val="000000"/>
        </w:rPr>
        <w:t xml:space="preserve"> have </w:t>
      </w:r>
      <w:r>
        <w:rPr>
          <w:color w:val="000000"/>
        </w:rPr>
        <w:t xml:space="preserve">a power of </w:t>
      </w:r>
      <w:r w:rsidRPr="00C32AA2">
        <w:rPr>
          <w:color w:val="000000"/>
        </w:rPr>
        <w:t>84</w:t>
      </w:r>
      <w:r>
        <w:rPr>
          <w:color w:val="000000"/>
        </w:rPr>
        <w:t xml:space="preserve"> percent</w:t>
      </w:r>
      <w:r w:rsidRPr="00C32AA2">
        <w:rPr>
          <w:color w:val="000000"/>
        </w:rPr>
        <w:t xml:space="preserve"> to detect the difference between household</w:t>
      </w:r>
      <w:r>
        <w:rPr>
          <w:color w:val="000000"/>
        </w:rPr>
        <w:t>s</w:t>
      </w:r>
      <w:r w:rsidRPr="00C32AA2">
        <w:rPr>
          <w:color w:val="000000"/>
        </w:rPr>
        <w:t xml:space="preserve"> with 3 or fewer people and those with at least 4 people.</w:t>
      </w:r>
    </w:p>
    <w:p w14:paraId="19D81B76" w14:textId="77777777" w:rsidR="00DC2D18" w:rsidRDefault="00DC2D18">
      <w:pPr>
        <w:spacing w:after="200" w:line="276" w:lineRule="auto"/>
        <w:rPr>
          <w:rFonts w:ascii="Franklin Gothic Medium" w:hAnsi="Franklin Gothic Medium"/>
          <w:bCs/>
          <w:sz w:val="22"/>
          <w:szCs w:val="32"/>
        </w:rPr>
      </w:pPr>
      <w:r>
        <w:rPr>
          <w:bCs/>
        </w:rPr>
        <w:br w:type="page"/>
      </w:r>
    </w:p>
    <w:p w14:paraId="12A248E0" w14:textId="77777777" w:rsidR="007D2005" w:rsidRPr="00F718B5" w:rsidRDefault="007D2005" w:rsidP="007D2005">
      <w:pPr>
        <w:pStyle w:val="TT-TableTitle"/>
      </w:pPr>
      <w:r w:rsidRPr="00F718B5">
        <w:rPr>
          <w:bCs/>
        </w:rPr>
        <w:t xml:space="preserve">Table </w:t>
      </w:r>
      <w:r w:rsidR="00301D3C">
        <w:rPr>
          <w:bCs/>
        </w:rPr>
        <w:t>B-4.</w:t>
      </w:r>
      <w:r>
        <w:rPr>
          <w:bCs/>
        </w:rPr>
        <w:tab/>
      </w:r>
      <w:r w:rsidRPr="00F718B5">
        <w:t>Power for 5-percent minimum detectable difference for comparison between unequal-sized subgroups, n</w:t>
      </w:r>
      <w:r>
        <w:t xml:space="preserve"> </w:t>
      </w:r>
      <w:r w:rsidRPr="00F718B5">
        <w:t>=</w:t>
      </w:r>
      <w:r>
        <w:t xml:space="preserve"> </w:t>
      </w:r>
      <w:r w:rsidRPr="00F718B5">
        <w:t>4</w:t>
      </w:r>
      <w:r>
        <w:t>,</w:t>
      </w:r>
      <w:r w:rsidRPr="00F718B5">
        <w:t>800</w:t>
      </w:r>
    </w:p>
    <w:tbl>
      <w:tblPr>
        <w:tblW w:w="5000" w:type="pct"/>
        <w:tblLook w:val="04A0" w:firstRow="1" w:lastRow="0" w:firstColumn="1" w:lastColumn="0" w:noHBand="0" w:noVBand="1"/>
      </w:tblPr>
      <w:tblGrid>
        <w:gridCol w:w="5331"/>
        <w:gridCol w:w="606"/>
        <w:gridCol w:w="606"/>
        <w:gridCol w:w="606"/>
        <w:gridCol w:w="606"/>
        <w:gridCol w:w="606"/>
        <w:gridCol w:w="606"/>
        <w:gridCol w:w="609"/>
      </w:tblGrid>
      <w:tr w:rsidR="007D2005" w:rsidRPr="00C32AA2" w14:paraId="3A32F189" w14:textId="77777777" w:rsidTr="001326A6">
        <w:tc>
          <w:tcPr>
            <w:tcW w:w="2785" w:type="pct"/>
            <w:tcBorders>
              <w:top w:val="single" w:sz="4" w:space="0" w:color="auto"/>
              <w:bottom w:val="single" w:sz="4" w:space="0" w:color="auto"/>
            </w:tcBorders>
            <w:shd w:val="clear" w:color="auto" w:fill="AFBED7"/>
            <w:vAlign w:val="center"/>
          </w:tcPr>
          <w:p w14:paraId="76D26607" w14:textId="77777777" w:rsidR="007D2005" w:rsidRPr="00C32AA2" w:rsidRDefault="007D2005" w:rsidP="001326A6">
            <w:pPr>
              <w:pStyle w:val="TH-TableHeading"/>
            </w:pPr>
            <w:r w:rsidRPr="00C32AA2">
              <w:t>Group 1 proportion</w:t>
            </w:r>
          </w:p>
        </w:tc>
        <w:tc>
          <w:tcPr>
            <w:tcW w:w="316" w:type="pct"/>
            <w:tcBorders>
              <w:top w:val="single" w:sz="4" w:space="0" w:color="auto"/>
              <w:bottom w:val="single" w:sz="4" w:space="0" w:color="auto"/>
            </w:tcBorders>
            <w:shd w:val="clear" w:color="auto" w:fill="AFBED7"/>
            <w:vAlign w:val="center"/>
          </w:tcPr>
          <w:p w14:paraId="00A124A4" w14:textId="77777777" w:rsidR="007D2005" w:rsidRPr="00C32AA2" w:rsidRDefault="007D2005" w:rsidP="001326A6">
            <w:pPr>
              <w:pStyle w:val="TH-TableHeading"/>
            </w:pPr>
            <w:r w:rsidRPr="00C32AA2">
              <w:t>20%</w:t>
            </w:r>
          </w:p>
        </w:tc>
        <w:tc>
          <w:tcPr>
            <w:tcW w:w="316" w:type="pct"/>
            <w:tcBorders>
              <w:top w:val="single" w:sz="4" w:space="0" w:color="auto"/>
              <w:bottom w:val="single" w:sz="4" w:space="0" w:color="auto"/>
            </w:tcBorders>
            <w:shd w:val="clear" w:color="auto" w:fill="AFBED7"/>
            <w:vAlign w:val="center"/>
          </w:tcPr>
          <w:p w14:paraId="41075210" w14:textId="77777777" w:rsidR="007D2005" w:rsidRPr="00C32AA2" w:rsidRDefault="007D2005" w:rsidP="001326A6">
            <w:pPr>
              <w:pStyle w:val="TH-TableHeading"/>
            </w:pPr>
            <w:r w:rsidRPr="00C32AA2">
              <w:t>30%</w:t>
            </w:r>
          </w:p>
        </w:tc>
        <w:tc>
          <w:tcPr>
            <w:tcW w:w="316" w:type="pct"/>
            <w:tcBorders>
              <w:top w:val="single" w:sz="4" w:space="0" w:color="auto"/>
              <w:bottom w:val="single" w:sz="4" w:space="0" w:color="auto"/>
            </w:tcBorders>
            <w:shd w:val="clear" w:color="auto" w:fill="AFBED7"/>
            <w:vAlign w:val="center"/>
          </w:tcPr>
          <w:p w14:paraId="50E40947" w14:textId="77777777" w:rsidR="007D2005" w:rsidRPr="00C32AA2" w:rsidRDefault="007D2005" w:rsidP="001326A6">
            <w:pPr>
              <w:pStyle w:val="TH-TableHeading"/>
            </w:pPr>
            <w:r w:rsidRPr="00C32AA2">
              <w:t>40%</w:t>
            </w:r>
          </w:p>
        </w:tc>
        <w:tc>
          <w:tcPr>
            <w:tcW w:w="316" w:type="pct"/>
            <w:tcBorders>
              <w:top w:val="single" w:sz="4" w:space="0" w:color="auto"/>
              <w:bottom w:val="single" w:sz="4" w:space="0" w:color="auto"/>
            </w:tcBorders>
            <w:shd w:val="clear" w:color="auto" w:fill="AFBED7"/>
            <w:vAlign w:val="center"/>
          </w:tcPr>
          <w:p w14:paraId="5744C973" w14:textId="77777777" w:rsidR="007D2005" w:rsidRPr="00C32AA2" w:rsidRDefault="007D2005" w:rsidP="001326A6">
            <w:pPr>
              <w:pStyle w:val="TH-TableHeading"/>
            </w:pPr>
            <w:r w:rsidRPr="00C32AA2">
              <w:t>50%</w:t>
            </w:r>
          </w:p>
        </w:tc>
        <w:tc>
          <w:tcPr>
            <w:tcW w:w="316" w:type="pct"/>
            <w:tcBorders>
              <w:top w:val="single" w:sz="4" w:space="0" w:color="auto"/>
              <w:bottom w:val="single" w:sz="4" w:space="0" w:color="auto"/>
            </w:tcBorders>
            <w:shd w:val="clear" w:color="auto" w:fill="AFBED7"/>
            <w:vAlign w:val="center"/>
          </w:tcPr>
          <w:p w14:paraId="04F126C2" w14:textId="77777777" w:rsidR="007D2005" w:rsidRPr="00C32AA2" w:rsidRDefault="007D2005" w:rsidP="001326A6">
            <w:pPr>
              <w:pStyle w:val="TH-TableHeading"/>
            </w:pPr>
            <w:r w:rsidRPr="00C32AA2">
              <w:t>60%</w:t>
            </w:r>
          </w:p>
        </w:tc>
        <w:tc>
          <w:tcPr>
            <w:tcW w:w="316" w:type="pct"/>
            <w:tcBorders>
              <w:top w:val="single" w:sz="4" w:space="0" w:color="auto"/>
              <w:bottom w:val="single" w:sz="4" w:space="0" w:color="auto"/>
            </w:tcBorders>
            <w:shd w:val="clear" w:color="auto" w:fill="AFBED7"/>
            <w:vAlign w:val="center"/>
          </w:tcPr>
          <w:p w14:paraId="32689C1F" w14:textId="77777777" w:rsidR="007D2005" w:rsidRPr="00C32AA2" w:rsidRDefault="007D2005" w:rsidP="001326A6">
            <w:pPr>
              <w:pStyle w:val="TH-TableHeading"/>
            </w:pPr>
            <w:r w:rsidRPr="00C32AA2">
              <w:t>70%</w:t>
            </w:r>
          </w:p>
        </w:tc>
        <w:tc>
          <w:tcPr>
            <w:tcW w:w="316" w:type="pct"/>
            <w:tcBorders>
              <w:top w:val="single" w:sz="4" w:space="0" w:color="auto"/>
              <w:bottom w:val="single" w:sz="4" w:space="0" w:color="auto"/>
            </w:tcBorders>
            <w:shd w:val="clear" w:color="auto" w:fill="AFBED7"/>
            <w:vAlign w:val="center"/>
          </w:tcPr>
          <w:p w14:paraId="723A1B37" w14:textId="77777777" w:rsidR="007D2005" w:rsidRPr="00C32AA2" w:rsidRDefault="007D2005" w:rsidP="001326A6">
            <w:pPr>
              <w:pStyle w:val="TH-TableHeading"/>
            </w:pPr>
            <w:r w:rsidRPr="00C32AA2">
              <w:t>80%</w:t>
            </w:r>
          </w:p>
        </w:tc>
      </w:tr>
      <w:tr w:rsidR="007D2005" w:rsidRPr="00C32AA2" w14:paraId="08C36E7B" w14:textId="77777777" w:rsidTr="001326A6">
        <w:tc>
          <w:tcPr>
            <w:tcW w:w="5000" w:type="pct"/>
            <w:gridSpan w:val="8"/>
            <w:tcBorders>
              <w:top w:val="single" w:sz="4" w:space="0" w:color="auto"/>
            </w:tcBorders>
          </w:tcPr>
          <w:p w14:paraId="4F68E59E" w14:textId="77777777" w:rsidR="007D2005" w:rsidRDefault="007D2005" w:rsidP="001326A6">
            <w:pPr>
              <w:pStyle w:val="TX-TableText"/>
            </w:pPr>
            <w:r w:rsidRPr="00C32AA2">
              <w:t>Power (%) for detecting 5</w:t>
            </w:r>
            <w:r>
              <w:t>-</w:t>
            </w:r>
            <w:r w:rsidRPr="00C32AA2">
              <w:t xml:space="preserve">percent difference between </w:t>
            </w:r>
          </w:p>
          <w:p w14:paraId="063DB7DE" w14:textId="77777777" w:rsidR="007D2005" w:rsidRPr="00C32AA2" w:rsidRDefault="007D2005" w:rsidP="001326A6">
            <w:pPr>
              <w:pStyle w:val="TX-TableText"/>
              <w:rPr>
                <w:color w:val="000000"/>
              </w:rPr>
            </w:pPr>
            <w:r w:rsidRPr="00C32AA2">
              <w:t>Subgroups</w:t>
            </w:r>
          </w:p>
        </w:tc>
      </w:tr>
      <w:tr w:rsidR="007D2005" w:rsidRPr="00C32AA2" w14:paraId="3D0D05D3" w14:textId="77777777" w:rsidTr="001326A6">
        <w:tc>
          <w:tcPr>
            <w:tcW w:w="2785" w:type="pct"/>
          </w:tcPr>
          <w:p w14:paraId="4C722C51" w14:textId="77777777" w:rsidR="007D2005" w:rsidRPr="00C32AA2" w:rsidRDefault="007D2005" w:rsidP="001326A6">
            <w:pPr>
              <w:pStyle w:val="TX-TableText"/>
              <w:rPr>
                <w:color w:val="000000"/>
              </w:rPr>
            </w:pPr>
            <w:r w:rsidRPr="00C32AA2">
              <w:t>Gender of household head (66% female vs</w:t>
            </w:r>
            <w:r>
              <w:t>.</w:t>
            </w:r>
            <w:r w:rsidRPr="00C32AA2">
              <w:t xml:space="preserve"> 34% male)*</w:t>
            </w:r>
          </w:p>
        </w:tc>
        <w:tc>
          <w:tcPr>
            <w:tcW w:w="316" w:type="pct"/>
            <w:vAlign w:val="bottom"/>
          </w:tcPr>
          <w:p w14:paraId="531AEBC7" w14:textId="77777777" w:rsidR="007D2005" w:rsidRPr="00C32AA2" w:rsidRDefault="007D2005" w:rsidP="001326A6">
            <w:pPr>
              <w:pStyle w:val="TX-TableText"/>
              <w:jc w:val="center"/>
              <w:rPr>
                <w:color w:val="000000"/>
              </w:rPr>
            </w:pPr>
            <w:r w:rsidRPr="00C32AA2">
              <w:rPr>
                <w:color w:val="000000"/>
              </w:rPr>
              <w:t>97</w:t>
            </w:r>
          </w:p>
        </w:tc>
        <w:tc>
          <w:tcPr>
            <w:tcW w:w="316" w:type="pct"/>
            <w:vAlign w:val="bottom"/>
          </w:tcPr>
          <w:p w14:paraId="4AD40EA7" w14:textId="77777777" w:rsidR="007D2005" w:rsidRPr="00C32AA2" w:rsidRDefault="007D2005" w:rsidP="001326A6">
            <w:pPr>
              <w:pStyle w:val="TX-TableText"/>
              <w:jc w:val="center"/>
              <w:rPr>
                <w:color w:val="000000"/>
              </w:rPr>
            </w:pPr>
            <w:r w:rsidRPr="00C32AA2">
              <w:rPr>
                <w:color w:val="000000"/>
              </w:rPr>
              <w:t>94</w:t>
            </w:r>
          </w:p>
        </w:tc>
        <w:tc>
          <w:tcPr>
            <w:tcW w:w="316" w:type="pct"/>
            <w:vAlign w:val="bottom"/>
          </w:tcPr>
          <w:p w14:paraId="444302F2" w14:textId="77777777" w:rsidR="007D2005" w:rsidRPr="00C32AA2" w:rsidRDefault="007D2005" w:rsidP="001326A6">
            <w:pPr>
              <w:pStyle w:val="TX-TableText"/>
              <w:jc w:val="center"/>
              <w:rPr>
                <w:color w:val="000000"/>
              </w:rPr>
            </w:pPr>
            <w:r w:rsidRPr="00C32AA2">
              <w:rPr>
                <w:color w:val="000000"/>
              </w:rPr>
              <w:t>91</w:t>
            </w:r>
          </w:p>
        </w:tc>
        <w:tc>
          <w:tcPr>
            <w:tcW w:w="316" w:type="pct"/>
            <w:vAlign w:val="bottom"/>
          </w:tcPr>
          <w:p w14:paraId="59D4D56E" w14:textId="77777777" w:rsidR="007D2005" w:rsidRPr="00C32AA2" w:rsidRDefault="007D2005" w:rsidP="001326A6">
            <w:pPr>
              <w:pStyle w:val="TX-TableText"/>
              <w:jc w:val="center"/>
              <w:rPr>
                <w:color w:val="000000"/>
              </w:rPr>
            </w:pPr>
            <w:r w:rsidRPr="00C32AA2">
              <w:rPr>
                <w:color w:val="000000"/>
              </w:rPr>
              <w:t>91</w:t>
            </w:r>
          </w:p>
        </w:tc>
        <w:tc>
          <w:tcPr>
            <w:tcW w:w="316" w:type="pct"/>
            <w:vAlign w:val="bottom"/>
          </w:tcPr>
          <w:p w14:paraId="550CBCCB" w14:textId="77777777" w:rsidR="007D2005" w:rsidRPr="00C32AA2" w:rsidRDefault="007D2005" w:rsidP="001326A6">
            <w:pPr>
              <w:pStyle w:val="TX-TableText"/>
              <w:jc w:val="center"/>
              <w:rPr>
                <w:color w:val="000000"/>
              </w:rPr>
            </w:pPr>
            <w:r w:rsidRPr="00C32AA2">
              <w:rPr>
                <w:color w:val="000000"/>
              </w:rPr>
              <w:t>92</w:t>
            </w:r>
          </w:p>
        </w:tc>
        <w:tc>
          <w:tcPr>
            <w:tcW w:w="316" w:type="pct"/>
            <w:vAlign w:val="bottom"/>
          </w:tcPr>
          <w:p w14:paraId="64B39DCC" w14:textId="77777777" w:rsidR="007D2005" w:rsidRPr="00C32AA2" w:rsidRDefault="007D2005" w:rsidP="001326A6">
            <w:pPr>
              <w:pStyle w:val="TX-TableText"/>
              <w:jc w:val="center"/>
              <w:rPr>
                <w:color w:val="000000"/>
              </w:rPr>
            </w:pPr>
            <w:r w:rsidRPr="00C32AA2">
              <w:rPr>
                <w:color w:val="000000"/>
              </w:rPr>
              <w:t>95</w:t>
            </w:r>
          </w:p>
        </w:tc>
        <w:tc>
          <w:tcPr>
            <w:tcW w:w="316" w:type="pct"/>
            <w:vAlign w:val="bottom"/>
          </w:tcPr>
          <w:p w14:paraId="59B98415" w14:textId="77777777" w:rsidR="007D2005" w:rsidRPr="00C32AA2" w:rsidRDefault="007D2005" w:rsidP="001326A6">
            <w:pPr>
              <w:pStyle w:val="TX-TableText"/>
              <w:jc w:val="center"/>
              <w:rPr>
                <w:color w:val="000000"/>
              </w:rPr>
            </w:pPr>
            <w:r w:rsidRPr="00C32AA2">
              <w:rPr>
                <w:color w:val="000000"/>
              </w:rPr>
              <w:t>98</w:t>
            </w:r>
          </w:p>
        </w:tc>
      </w:tr>
      <w:tr w:rsidR="007D2005" w:rsidRPr="00C32AA2" w14:paraId="4ACF76F3" w14:textId="77777777" w:rsidTr="001326A6">
        <w:tc>
          <w:tcPr>
            <w:tcW w:w="2785" w:type="pct"/>
            <w:tcBorders>
              <w:bottom w:val="single" w:sz="4" w:space="0" w:color="auto"/>
            </w:tcBorders>
          </w:tcPr>
          <w:p w14:paraId="37A55495" w14:textId="77777777" w:rsidR="007D2005" w:rsidRPr="00C32AA2" w:rsidRDefault="007D2005" w:rsidP="001326A6">
            <w:pPr>
              <w:pStyle w:val="TX-TableText"/>
            </w:pPr>
            <w:r w:rsidRPr="00C32AA2">
              <w:t>Household size (77% with 1~3 persons vs</w:t>
            </w:r>
            <w:r>
              <w:t>.</w:t>
            </w:r>
            <w:r w:rsidRPr="00C32AA2">
              <w:t xml:space="preserve"> 23% with 4+ persons)*</w:t>
            </w:r>
          </w:p>
        </w:tc>
        <w:tc>
          <w:tcPr>
            <w:tcW w:w="316" w:type="pct"/>
            <w:tcBorders>
              <w:bottom w:val="single" w:sz="4" w:space="0" w:color="auto"/>
            </w:tcBorders>
            <w:vAlign w:val="bottom"/>
          </w:tcPr>
          <w:p w14:paraId="5CAAA54E" w14:textId="77777777" w:rsidR="007D2005" w:rsidRPr="00C32AA2" w:rsidRDefault="007D2005" w:rsidP="001326A6">
            <w:pPr>
              <w:pStyle w:val="TX-TableText"/>
              <w:jc w:val="center"/>
              <w:rPr>
                <w:color w:val="000000"/>
              </w:rPr>
            </w:pPr>
            <w:r w:rsidRPr="00C32AA2">
              <w:rPr>
                <w:color w:val="000000"/>
              </w:rPr>
              <w:t>93</w:t>
            </w:r>
          </w:p>
        </w:tc>
        <w:tc>
          <w:tcPr>
            <w:tcW w:w="316" w:type="pct"/>
            <w:tcBorders>
              <w:bottom w:val="single" w:sz="4" w:space="0" w:color="auto"/>
            </w:tcBorders>
            <w:vAlign w:val="bottom"/>
          </w:tcPr>
          <w:p w14:paraId="19947EA0" w14:textId="77777777" w:rsidR="007D2005" w:rsidRPr="00C32AA2" w:rsidRDefault="007D2005" w:rsidP="001326A6">
            <w:pPr>
              <w:pStyle w:val="TX-TableText"/>
              <w:jc w:val="center"/>
              <w:rPr>
                <w:color w:val="000000"/>
              </w:rPr>
            </w:pPr>
            <w:r w:rsidRPr="00C32AA2">
              <w:rPr>
                <w:color w:val="000000"/>
              </w:rPr>
              <w:t>88</w:t>
            </w:r>
          </w:p>
        </w:tc>
        <w:tc>
          <w:tcPr>
            <w:tcW w:w="316" w:type="pct"/>
            <w:tcBorders>
              <w:bottom w:val="single" w:sz="4" w:space="0" w:color="auto"/>
            </w:tcBorders>
            <w:vAlign w:val="bottom"/>
          </w:tcPr>
          <w:p w14:paraId="70CA7911" w14:textId="77777777" w:rsidR="007D2005" w:rsidRPr="00C32AA2" w:rsidRDefault="007D2005" w:rsidP="001326A6">
            <w:pPr>
              <w:pStyle w:val="TX-TableText"/>
              <w:jc w:val="center"/>
              <w:rPr>
                <w:color w:val="000000"/>
              </w:rPr>
            </w:pPr>
            <w:r w:rsidRPr="00C32AA2">
              <w:rPr>
                <w:color w:val="000000"/>
              </w:rPr>
              <w:t>85</w:t>
            </w:r>
          </w:p>
        </w:tc>
        <w:tc>
          <w:tcPr>
            <w:tcW w:w="316" w:type="pct"/>
            <w:tcBorders>
              <w:bottom w:val="single" w:sz="4" w:space="0" w:color="auto"/>
            </w:tcBorders>
            <w:vAlign w:val="bottom"/>
          </w:tcPr>
          <w:p w14:paraId="2293832E" w14:textId="77777777" w:rsidR="007D2005" w:rsidRPr="00C32AA2" w:rsidRDefault="007D2005" w:rsidP="001326A6">
            <w:pPr>
              <w:pStyle w:val="TX-TableText"/>
              <w:jc w:val="center"/>
              <w:rPr>
                <w:color w:val="000000"/>
              </w:rPr>
            </w:pPr>
            <w:r w:rsidRPr="00C32AA2">
              <w:rPr>
                <w:color w:val="000000"/>
              </w:rPr>
              <w:t>84</w:t>
            </w:r>
          </w:p>
        </w:tc>
        <w:tc>
          <w:tcPr>
            <w:tcW w:w="316" w:type="pct"/>
            <w:tcBorders>
              <w:bottom w:val="single" w:sz="4" w:space="0" w:color="auto"/>
            </w:tcBorders>
            <w:vAlign w:val="bottom"/>
          </w:tcPr>
          <w:p w14:paraId="101C34E2" w14:textId="77777777" w:rsidR="007D2005" w:rsidRPr="00C32AA2" w:rsidRDefault="007D2005" w:rsidP="001326A6">
            <w:pPr>
              <w:pStyle w:val="TX-TableText"/>
              <w:jc w:val="center"/>
              <w:rPr>
                <w:color w:val="000000"/>
              </w:rPr>
            </w:pPr>
            <w:r w:rsidRPr="00C32AA2">
              <w:rPr>
                <w:color w:val="000000"/>
              </w:rPr>
              <w:t>86</w:t>
            </w:r>
          </w:p>
        </w:tc>
        <w:tc>
          <w:tcPr>
            <w:tcW w:w="316" w:type="pct"/>
            <w:tcBorders>
              <w:bottom w:val="single" w:sz="4" w:space="0" w:color="auto"/>
            </w:tcBorders>
            <w:vAlign w:val="bottom"/>
          </w:tcPr>
          <w:p w14:paraId="25258C48" w14:textId="77777777" w:rsidR="007D2005" w:rsidRPr="00C32AA2" w:rsidRDefault="007D2005" w:rsidP="001326A6">
            <w:pPr>
              <w:pStyle w:val="TX-TableText"/>
              <w:jc w:val="center"/>
              <w:rPr>
                <w:color w:val="000000"/>
              </w:rPr>
            </w:pPr>
            <w:r w:rsidRPr="00C32AA2">
              <w:rPr>
                <w:color w:val="000000"/>
              </w:rPr>
              <w:t>90</w:t>
            </w:r>
          </w:p>
        </w:tc>
        <w:tc>
          <w:tcPr>
            <w:tcW w:w="316" w:type="pct"/>
            <w:tcBorders>
              <w:bottom w:val="single" w:sz="4" w:space="0" w:color="auto"/>
            </w:tcBorders>
            <w:vAlign w:val="bottom"/>
          </w:tcPr>
          <w:p w14:paraId="2C837941" w14:textId="77777777" w:rsidR="007D2005" w:rsidRPr="00C32AA2" w:rsidRDefault="007D2005" w:rsidP="001326A6">
            <w:pPr>
              <w:pStyle w:val="TX-TableText"/>
              <w:jc w:val="center"/>
              <w:rPr>
                <w:color w:val="000000"/>
              </w:rPr>
            </w:pPr>
            <w:r w:rsidRPr="00C32AA2">
              <w:rPr>
                <w:color w:val="000000"/>
              </w:rPr>
              <w:t>96</w:t>
            </w:r>
          </w:p>
        </w:tc>
      </w:tr>
    </w:tbl>
    <w:p w14:paraId="141314EF" w14:textId="77777777" w:rsidR="007D2005" w:rsidRPr="00C32AA2" w:rsidRDefault="007D2005" w:rsidP="007D2005">
      <w:pPr>
        <w:pStyle w:val="TF-TblFN"/>
      </w:pPr>
      <w:r w:rsidRPr="00C32AA2">
        <w:t>*Distribution of households obtained from USDA, 2013, Measuring the Effect of Supplemental Nutrition Assistance Program (SNAP) Participation on Food Security. Table III.2, p.19</w:t>
      </w:r>
      <w:r>
        <w:t>.</w:t>
      </w:r>
    </w:p>
    <w:p w14:paraId="3B16C155" w14:textId="77777777" w:rsidR="00C80391" w:rsidRDefault="00C80391" w:rsidP="00C80391">
      <w:pPr>
        <w:pStyle w:val="P1-StandPara"/>
      </w:pPr>
    </w:p>
    <w:p w14:paraId="7303AFAB" w14:textId="77777777" w:rsidR="00C80391" w:rsidRDefault="00C80391" w:rsidP="00C80391">
      <w:pPr>
        <w:pStyle w:val="Heading3"/>
      </w:pPr>
      <w:r>
        <w:t>B.2.4</w:t>
      </w:r>
      <w:r w:rsidRPr="0098663D">
        <w:t>.</w:t>
      </w:r>
      <w:r w:rsidRPr="0098663D">
        <w:tab/>
      </w:r>
      <w:r>
        <w:t>Unusual Problems Requiring Specialized Sampling Procedures</w:t>
      </w:r>
    </w:p>
    <w:p w14:paraId="6F77327F" w14:textId="77777777" w:rsidR="00C80391" w:rsidRDefault="00C80391" w:rsidP="00C80391">
      <w:pPr>
        <w:pStyle w:val="P1-StandPara"/>
      </w:pPr>
      <w:r>
        <w:t>No specialized sampling procedures are involved.</w:t>
      </w:r>
    </w:p>
    <w:p w14:paraId="4AD92A3F" w14:textId="77777777" w:rsidR="00C80391" w:rsidRDefault="00C80391" w:rsidP="00C80391">
      <w:pPr>
        <w:pStyle w:val="P1-StandPara"/>
      </w:pPr>
    </w:p>
    <w:p w14:paraId="08369353" w14:textId="77777777" w:rsidR="00C80391" w:rsidRPr="0098663D" w:rsidRDefault="00C80391" w:rsidP="00C80391">
      <w:pPr>
        <w:pStyle w:val="Heading3"/>
      </w:pPr>
      <w:r>
        <w:t>B.2.5</w:t>
      </w:r>
      <w:r w:rsidRPr="0098663D">
        <w:t>.</w:t>
      </w:r>
      <w:r w:rsidRPr="0098663D">
        <w:tab/>
      </w:r>
      <w:r>
        <w:t>Any use of Periodic (less frequent than annual) Data Collection Cycles to Reduce Burden</w:t>
      </w:r>
    </w:p>
    <w:p w14:paraId="30BE81DD" w14:textId="77777777" w:rsidR="00C80391" w:rsidRDefault="00C80391" w:rsidP="00C80391">
      <w:pPr>
        <w:pStyle w:val="P1-StandPara"/>
      </w:pPr>
      <w:r w:rsidRPr="00240A0B">
        <w:t>The study design requires a one-time data collection from respondents.</w:t>
      </w:r>
      <w:r>
        <w:t xml:space="preserve"> </w:t>
      </w:r>
      <w:r w:rsidRPr="00240A0B">
        <w:t>All data collection activities will occur with</w:t>
      </w:r>
      <w:r w:rsidR="007B1CE5">
        <w:t>in a</w:t>
      </w:r>
      <w:r w:rsidRPr="00240A0B">
        <w:t xml:space="preserve"> </w:t>
      </w:r>
      <w:r w:rsidR="006374EA">
        <w:t>4-</w:t>
      </w:r>
      <w:r w:rsidRPr="00240A0B">
        <w:t>month period.</w:t>
      </w:r>
    </w:p>
    <w:p w14:paraId="1788C34B" w14:textId="77777777" w:rsidR="00C80391" w:rsidRDefault="00C80391" w:rsidP="00C80391">
      <w:pPr>
        <w:pStyle w:val="P1-StandPara"/>
      </w:pPr>
    </w:p>
    <w:p w14:paraId="74B8DD13" w14:textId="77777777" w:rsidR="00C80391" w:rsidRPr="00E83B21" w:rsidRDefault="00C80391" w:rsidP="00C80391">
      <w:pPr>
        <w:pStyle w:val="Heading2"/>
      </w:pPr>
      <w:bookmarkStart w:id="32" w:name="_Toc287257054"/>
      <w:bookmarkStart w:id="33" w:name="_Toc287257091"/>
      <w:bookmarkStart w:id="34" w:name="_Toc290021786"/>
      <w:bookmarkStart w:id="35" w:name="_Toc329674999"/>
      <w:r w:rsidRPr="00E83B21">
        <w:t>B.3.</w:t>
      </w:r>
      <w:r w:rsidRPr="00E83B21">
        <w:tab/>
      </w:r>
      <w:bookmarkEnd w:id="32"/>
      <w:bookmarkEnd w:id="33"/>
      <w:bookmarkEnd w:id="34"/>
      <w:r w:rsidRPr="00E83B21">
        <w:t>Describe Methods to Maximize Response Rates and to Deal with Issues of Non-Response.</w:t>
      </w:r>
      <w:bookmarkEnd w:id="35"/>
    </w:p>
    <w:p w14:paraId="73061105" w14:textId="77777777" w:rsidR="00C80391" w:rsidRPr="00E83B21" w:rsidRDefault="00C80391" w:rsidP="00C80391">
      <w:pPr>
        <w:pStyle w:val="Heading2"/>
      </w:pPr>
      <w:r w:rsidRPr="00E83B21">
        <w:tab/>
      </w:r>
      <w:bookmarkStart w:id="36" w:name="_Toc329675000"/>
      <w:r w:rsidRPr="00E83B21">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36"/>
    </w:p>
    <w:p w14:paraId="4AC7D50B" w14:textId="77777777" w:rsidR="007B1CE5" w:rsidRDefault="007B1CE5" w:rsidP="007B1CE5">
      <w:pPr>
        <w:pStyle w:val="P1-StandPara"/>
      </w:pPr>
      <w:r w:rsidRPr="0069672B">
        <w:t>By explaining the importance and potential usefulness of the study findings in the introductory letters from FNS, and by implementing a series of follow-up reminders</w:t>
      </w:r>
      <w:r>
        <w:rPr>
          <w:color w:val="FF0000"/>
        </w:rPr>
        <w:t xml:space="preserve"> </w:t>
      </w:r>
      <w:r w:rsidRPr="005B19E9">
        <w:t>with a final attempt to complete the survey</w:t>
      </w:r>
      <w:r w:rsidRPr="0069672B">
        <w:t xml:space="preserve"> by telephone, we expect to achieve an overall survey response rate of </w:t>
      </w:r>
      <w:r>
        <w:rPr>
          <w:rFonts w:cs="Garamond"/>
          <w:color w:val="000000"/>
          <w:szCs w:val="24"/>
        </w:rPr>
        <w:t>80%</w:t>
      </w:r>
      <w:r>
        <w:t xml:space="preserve">. </w:t>
      </w:r>
      <w:r w:rsidRPr="0069672B">
        <w:t>Specific procedures to maximize response rates include:</w:t>
      </w:r>
    </w:p>
    <w:p w14:paraId="6F44D3F2" w14:textId="77777777" w:rsidR="007B1CE5" w:rsidRPr="00DC2D18" w:rsidRDefault="007B1CE5" w:rsidP="007B1CE5">
      <w:pPr>
        <w:pStyle w:val="N1-1stBullet"/>
        <w:spacing w:before="240"/>
      </w:pPr>
      <w:r w:rsidRPr="00DC2D18">
        <w:t>A cover letter from USDA/FNS (</w:t>
      </w:r>
      <w:r w:rsidR="00B15952" w:rsidRPr="00DC2D18">
        <w:rPr>
          <w:b/>
        </w:rPr>
        <w:t>Appendix A</w:t>
      </w:r>
      <w:r w:rsidRPr="00DC2D18">
        <w:t>).</w:t>
      </w:r>
    </w:p>
    <w:p w14:paraId="3E83D9A9" w14:textId="77777777" w:rsidR="007B1CE5" w:rsidRPr="00DC2D18" w:rsidRDefault="009F2B03" w:rsidP="007B1CE5">
      <w:pPr>
        <w:pStyle w:val="N1-1stBullet"/>
      </w:pPr>
      <w:r w:rsidRPr="00DC2D18">
        <w:t>A</w:t>
      </w:r>
      <w:r w:rsidR="007B1CE5" w:rsidRPr="00DC2D18">
        <w:t xml:space="preserve"> prepaid incentive included with introductory letter and survey</w:t>
      </w:r>
      <w:r w:rsidR="00F163C9" w:rsidRPr="00DC2D18">
        <w:t xml:space="preserve"> (</w:t>
      </w:r>
      <w:r w:rsidR="00F163C9" w:rsidRPr="00DC2D18">
        <w:rPr>
          <w:b/>
        </w:rPr>
        <w:t>Appendix B</w:t>
      </w:r>
      <w:r w:rsidR="00F163C9" w:rsidRPr="00DC2D18">
        <w:t>).</w:t>
      </w:r>
    </w:p>
    <w:p w14:paraId="6341EDDA" w14:textId="77777777" w:rsidR="009F2B03" w:rsidRPr="00DC2D18" w:rsidRDefault="009F2B03" w:rsidP="009F2B03">
      <w:pPr>
        <w:pStyle w:val="N1-1stBullet"/>
      </w:pPr>
      <w:r w:rsidRPr="00DC2D18">
        <w:t>A promissory incentive discussed in introductory letter (</w:t>
      </w:r>
      <w:r w:rsidR="00B15952" w:rsidRPr="00DC2D18">
        <w:rPr>
          <w:b/>
        </w:rPr>
        <w:t xml:space="preserve">Appendix </w:t>
      </w:r>
      <w:r w:rsidR="00E610EF" w:rsidRPr="00DC2D18">
        <w:rPr>
          <w:b/>
        </w:rPr>
        <w:t>A</w:t>
      </w:r>
      <w:r w:rsidR="00B15952" w:rsidRPr="00DC2D18">
        <w:t>)</w:t>
      </w:r>
      <w:r w:rsidR="00F163C9" w:rsidRPr="00DC2D18">
        <w:t>.</w:t>
      </w:r>
    </w:p>
    <w:p w14:paraId="734EACA4" w14:textId="77777777" w:rsidR="007B1CE5" w:rsidRPr="00DC2D18" w:rsidRDefault="007B1CE5" w:rsidP="007B1CE5">
      <w:pPr>
        <w:pStyle w:val="N1-1stBullet"/>
      </w:pPr>
      <w:r w:rsidRPr="00DC2D18">
        <w:t xml:space="preserve">Two </w:t>
      </w:r>
      <w:r w:rsidR="002D7BF8" w:rsidRPr="00DC2D18">
        <w:t>Interactive Voice Response (</w:t>
      </w:r>
      <w:r w:rsidR="009F2B03" w:rsidRPr="00DC2D18">
        <w:t>IVR</w:t>
      </w:r>
      <w:r w:rsidR="002D7BF8" w:rsidRPr="00DC2D18">
        <w:t>)</w:t>
      </w:r>
      <w:r w:rsidR="009F2B03" w:rsidRPr="00DC2D18">
        <w:t xml:space="preserve"> </w:t>
      </w:r>
      <w:r w:rsidR="00924581" w:rsidRPr="00DC2D18">
        <w:t>calls to respondents who have not completed the survey after two weeks of the first and second survey mailing (</w:t>
      </w:r>
      <w:r w:rsidR="00924581" w:rsidRPr="00DC2D18">
        <w:rPr>
          <w:b/>
        </w:rPr>
        <w:t>Appendi</w:t>
      </w:r>
      <w:r w:rsidR="00FD5905" w:rsidRPr="00DC2D18">
        <w:rPr>
          <w:b/>
        </w:rPr>
        <w:t>ces</w:t>
      </w:r>
      <w:r w:rsidR="00924581" w:rsidRPr="00DC2D18">
        <w:t xml:space="preserve"> </w:t>
      </w:r>
      <w:r w:rsidR="00FD5905" w:rsidRPr="00DC2D18">
        <w:rPr>
          <w:b/>
        </w:rPr>
        <w:t>C and E</w:t>
      </w:r>
      <w:r w:rsidRPr="00DC2D18">
        <w:t>).</w:t>
      </w:r>
    </w:p>
    <w:p w14:paraId="2C4217B9" w14:textId="77777777" w:rsidR="00FD5905" w:rsidRPr="00DC2D18" w:rsidRDefault="00FD5905" w:rsidP="007B1CE5">
      <w:pPr>
        <w:pStyle w:val="N1-1stBullet"/>
      </w:pPr>
      <w:r w:rsidRPr="00DC2D18">
        <w:t>A second mail survey sent to non-respondents via Federal Express to underscore the importance of the survey (Appendix D)</w:t>
      </w:r>
    </w:p>
    <w:p w14:paraId="7E94EFB1" w14:textId="77777777" w:rsidR="007B1CE5" w:rsidRPr="00DC2D18" w:rsidRDefault="00924581" w:rsidP="007B1CE5">
      <w:pPr>
        <w:pStyle w:val="N1-1stBullet"/>
      </w:pPr>
      <w:r w:rsidRPr="00DC2D18">
        <w:t>Two data collection modes (mail or telephone) for participants’ convenience</w:t>
      </w:r>
    </w:p>
    <w:p w14:paraId="32BC5130" w14:textId="77777777" w:rsidR="007B1CE5" w:rsidRPr="00DC2D18" w:rsidRDefault="00924581" w:rsidP="007B1CE5">
      <w:pPr>
        <w:pStyle w:val="N1-1stBullet"/>
      </w:pPr>
      <w:r w:rsidRPr="00DC2D18">
        <w:t xml:space="preserve">Telephone follow-up interview for non-responder </w:t>
      </w:r>
      <w:r w:rsidR="00B15952" w:rsidRPr="00DC2D18">
        <w:rPr>
          <w:b/>
        </w:rPr>
        <w:t>(Appendi</w:t>
      </w:r>
      <w:r w:rsidR="00FD5905" w:rsidRPr="00DC2D18">
        <w:rPr>
          <w:b/>
        </w:rPr>
        <w:t>ces</w:t>
      </w:r>
      <w:r w:rsidR="00B15952" w:rsidRPr="00DC2D18">
        <w:rPr>
          <w:b/>
        </w:rPr>
        <w:t xml:space="preserve"> </w:t>
      </w:r>
      <w:r w:rsidR="00FD5905" w:rsidRPr="00DC2D18">
        <w:rPr>
          <w:b/>
        </w:rPr>
        <w:t>F.1-F.2)</w:t>
      </w:r>
      <w:r w:rsidR="007B1CE5" w:rsidRPr="00DC2D18">
        <w:t>).</w:t>
      </w:r>
    </w:p>
    <w:p w14:paraId="7D8369E3" w14:textId="77777777" w:rsidR="007B1CE5" w:rsidRPr="00DC2D18" w:rsidRDefault="00924581" w:rsidP="007B1CE5">
      <w:pPr>
        <w:pStyle w:val="N1-1stBullet"/>
      </w:pPr>
      <w:r w:rsidRPr="00DC2D18">
        <w:t>Make up to 9 unsuccessful call attempts to a number without reaching someone before considering whether to treat the case as “unable to contact.”</w:t>
      </w:r>
    </w:p>
    <w:p w14:paraId="3582264C" w14:textId="77777777" w:rsidR="007B1CE5" w:rsidRPr="00DC2D18" w:rsidRDefault="00924581" w:rsidP="007B1CE5">
      <w:pPr>
        <w:pStyle w:val="N1-1stBullet"/>
        <w:rPr>
          <w:b/>
        </w:rPr>
      </w:pPr>
      <w:r w:rsidRPr="00DC2D18">
        <w:t>Implement refusal conversion efforts for first-time refusals and use interviewers who are skilled at refusal conversion and will not unduly pressure the respondent (</w:t>
      </w:r>
      <w:r w:rsidRPr="00DC2D18">
        <w:rPr>
          <w:b/>
        </w:rPr>
        <w:t>Appendix</w:t>
      </w:r>
      <w:r w:rsidR="00DC2D18">
        <w:rPr>
          <w:b/>
        </w:rPr>
        <w:t xml:space="preserve"> </w:t>
      </w:r>
      <w:r w:rsidR="00FD5905" w:rsidRPr="00DC2D18">
        <w:rPr>
          <w:b/>
        </w:rPr>
        <w:t>G</w:t>
      </w:r>
      <w:r w:rsidR="007B1CE5" w:rsidRPr="00DC2D18">
        <w:t>).</w:t>
      </w:r>
    </w:p>
    <w:p w14:paraId="5D03FCC3" w14:textId="77777777" w:rsidR="007B1CE5" w:rsidRPr="005B19E9" w:rsidRDefault="007B1CE5" w:rsidP="007B1CE5">
      <w:pPr>
        <w:pStyle w:val="N1-1stBullet"/>
      </w:pPr>
      <w:r w:rsidRPr="005B19E9">
        <w:t>Provide a toll-free number for respondents to call to verify the study</w:t>
      </w:r>
      <w:r>
        <w:t>’</w:t>
      </w:r>
      <w:r w:rsidRPr="005B19E9">
        <w:t>s legitimacy or to ask other questions about the study.</w:t>
      </w:r>
    </w:p>
    <w:p w14:paraId="7D04A5CB" w14:textId="77777777" w:rsidR="00A55735" w:rsidRDefault="007B1CE5" w:rsidP="007B1CE5">
      <w:pPr>
        <w:pStyle w:val="N1-1stBullet"/>
      </w:pPr>
      <w:r w:rsidRPr="00141DBF">
        <w:t xml:space="preserve">Implement standardized training for </w:t>
      </w:r>
      <w:r>
        <w:t xml:space="preserve">telephone </w:t>
      </w:r>
      <w:r w:rsidRPr="00141DBF">
        <w:t>data collectors. The interviewer training will focus on basic skills of telephone interviewing, use of CATI platforms for interviews</w:t>
      </w:r>
      <w:r w:rsidR="00A55735">
        <w:t xml:space="preserve">,and refusal avoidance and conversion. </w:t>
      </w:r>
    </w:p>
    <w:p w14:paraId="36595E99" w14:textId="77777777" w:rsidR="007B1CE5" w:rsidRDefault="00A55735" w:rsidP="007B1CE5">
      <w:pPr>
        <w:pStyle w:val="N1-1stBullet"/>
      </w:pPr>
      <w:r>
        <w:t>Use interviewers who have experience interviewing SNAP participants</w:t>
      </w:r>
    </w:p>
    <w:p w14:paraId="1D8EE52E" w14:textId="77777777" w:rsidR="00C80391" w:rsidRPr="00AD629E" w:rsidRDefault="00C80391" w:rsidP="00C80391">
      <w:pPr>
        <w:pStyle w:val="P1-StandPara"/>
      </w:pPr>
    </w:p>
    <w:p w14:paraId="0DFAE823" w14:textId="77777777" w:rsidR="00C80391" w:rsidRPr="00E83B21" w:rsidRDefault="00C80391" w:rsidP="00C80391">
      <w:pPr>
        <w:pStyle w:val="Heading2"/>
      </w:pPr>
      <w:bookmarkStart w:id="37" w:name="_Toc287257055"/>
      <w:bookmarkStart w:id="38" w:name="_Toc287257092"/>
      <w:bookmarkStart w:id="39" w:name="_Toc290021787"/>
      <w:bookmarkStart w:id="40" w:name="_Toc329675001"/>
      <w:r w:rsidRPr="00E83B21">
        <w:t>B.4.</w:t>
      </w:r>
      <w:r w:rsidRPr="00E83B21">
        <w:tab/>
        <w:t>Describe any Test of Procedures or Methods to be Undertaken</w:t>
      </w:r>
      <w:bookmarkEnd w:id="37"/>
      <w:bookmarkEnd w:id="38"/>
      <w:bookmarkEnd w:id="39"/>
      <w:r w:rsidRPr="00E83B21">
        <w:t>.</w:t>
      </w:r>
      <w:bookmarkEnd w:id="40"/>
    </w:p>
    <w:p w14:paraId="6DA832B2" w14:textId="77777777" w:rsidR="00C80391" w:rsidRPr="00E83B21" w:rsidRDefault="00C80391" w:rsidP="00C80391">
      <w:pPr>
        <w:pStyle w:val="Heading2"/>
      </w:pPr>
      <w:r w:rsidRPr="00E83B21">
        <w:tab/>
      </w:r>
      <w:bookmarkStart w:id="41" w:name="_Toc329675002"/>
      <w:r w:rsidRPr="00E83B21">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41"/>
    </w:p>
    <w:p w14:paraId="68ADC867" w14:textId="77777777" w:rsidR="007B1CE5" w:rsidRDefault="007B1CE5" w:rsidP="007B1CE5">
      <w:pPr>
        <w:pStyle w:val="L1-FlLSp12"/>
        <w:spacing w:line="480" w:lineRule="auto"/>
      </w:pPr>
      <w:r>
        <w:t xml:space="preserve">The survey instrument </w:t>
      </w:r>
      <w:r w:rsidR="0041301A">
        <w:t xml:space="preserve">has </w:t>
      </w:r>
      <w:r w:rsidR="000F156A">
        <w:t>been</w:t>
      </w:r>
      <w:r w:rsidR="00486552">
        <w:t xml:space="preserve"> </w:t>
      </w:r>
      <w:r>
        <w:t>cognitive</w:t>
      </w:r>
      <w:r w:rsidR="000F156A">
        <w:t>ly</w:t>
      </w:r>
      <w:r>
        <w:t xml:space="preserve"> test</w:t>
      </w:r>
      <w:r w:rsidR="000F156A">
        <w:t>ed</w:t>
      </w:r>
      <w:r>
        <w:t xml:space="preserve"> with </w:t>
      </w:r>
      <w:r w:rsidR="00B83049">
        <w:t>8</w:t>
      </w:r>
      <w:r>
        <w:t xml:space="preserve"> </w:t>
      </w:r>
      <w:r w:rsidRPr="00A95F88">
        <w:rPr>
          <w:szCs w:val="24"/>
        </w:rPr>
        <w:t>SNAP participants</w:t>
      </w:r>
      <w:r w:rsidR="000F156A">
        <w:rPr>
          <w:szCs w:val="24"/>
        </w:rPr>
        <w:t xml:space="preserve"> for</w:t>
      </w:r>
      <w:r w:rsidR="00486552">
        <w:t xml:space="preserve"> question flow, </w:t>
      </w:r>
      <w:r>
        <w:t>understandability</w:t>
      </w:r>
      <w:r w:rsidR="00056E29">
        <w:t>, ease</w:t>
      </w:r>
      <w:r w:rsidR="00486552">
        <w:t xml:space="preserve"> of completion</w:t>
      </w:r>
      <w:r w:rsidR="00A55735">
        <w:t>, and length of administration</w:t>
      </w:r>
      <w:r>
        <w:t>.</w:t>
      </w:r>
      <w:r w:rsidR="0041301A">
        <w:t xml:space="preserve"> </w:t>
      </w:r>
      <w:r w:rsidRPr="002B58C6">
        <w:t xml:space="preserve">Based on the findings, the survey </w:t>
      </w:r>
      <w:r w:rsidR="0041301A">
        <w:t xml:space="preserve">was revised to address concerns regarding the wording of </w:t>
      </w:r>
      <w:r w:rsidRPr="002B58C6">
        <w:t xml:space="preserve">questions or instructions that proved difficult for participants to comprehend.  </w:t>
      </w:r>
      <w:r>
        <w:t>Each cognitive interview t</w:t>
      </w:r>
      <w:r w:rsidR="001748F6">
        <w:t>ook</w:t>
      </w:r>
      <w:r>
        <w:t xml:space="preserve"> approximately</w:t>
      </w:r>
      <w:r w:rsidR="001748F6">
        <w:t xml:space="preserve"> 60 minutes and the participants wer</w:t>
      </w:r>
      <w:r>
        <w:t>e given $</w:t>
      </w:r>
      <w:r w:rsidR="00486552">
        <w:t>75</w:t>
      </w:r>
      <w:r>
        <w:t xml:space="preserve"> </w:t>
      </w:r>
      <w:r w:rsidR="004C4675">
        <w:t xml:space="preserve">as a token of </w:t>
      </w:r>
      <w:r>
        <w:t>appreciation.</w:t>
      </w:r>
    </w:p>
    <w:p w14:paraId="6DEE0D6D" w14:textId="77777777" w:rsidR="00C80391" w:rsidRDefault="00C80391" w:rsidP="00C80391">
      <w:pPr>
        <w:pStyle w:val="P1-StandPara"/>
      </w:pPr>
    </w:p>
    <w:p w14:paraId="60861205" w14:textId="77777777" w:rsidR="00486552" w:rsidRDefault="00486552" w:rsidP="00C80391">
      <w:pPr>
        <w:pStyle w:val="Heading2"/>
      </w:pPr>
      <w:bookmarkStart w:id="42" w:name="_Toc287257056"/>
      <w:bookmarkStart w:id="43" w:name="_Toc287257093"/>
      <w:bookmarkStart w:id="44" w:name="_Toc290021788"/>
      <w:bookmarkStart w:id="45" w:name="_Toc329675003"/>
    </w:p>
    <w:p w14:paraId="126E3ABD" w14:textId="77777777" w:rsidR="00C80391" w:rsidRDefault="00C80391" w:rsidP="00C80391">
      <w:pPr>
        <w:pStyle w:val="Heading2"/>
      </w:pPr>
      <w:r w:rsidRPr="00E83B21">
        <w:t>B.5.</w:t>
      </w:r>
      <w:r w:rsidRPr="00E83B21">
        <w:tab/>
      </w:r>
      <w:bookmarkEnd w:id="42"/>
      <w:bookmarkEnd w:id="43"/>
      <w:bookmarkEnd w:id="44"/>
      <w:r w:rsidRPr="00E83B21">
        <w:t>Provide the Name and Telephone Number of Individuals Consulted on Statistical Aspects of the Design and the Name of the Agency, Unit, Contractor(s), Grantee(s), or Other Person(s) Who Will Actually Collect and/or Analyze the Information for the Agency.</w:t>
      </w:r>
      <w:bookmarkEnd w:id="45"/>
    </w:p>
    <w:tbl>
      <w:tblPr>
        <w:tblW w:w="5420" w:type="pct"/>
        <w:tblBorders>
          <w:top w:val="single" w:sz="4" w:space="0" w:color="auto"/>
          <w:bottom w:val="single" w:sz="4" w:space="0" w:color="auto"/>
        </w:tblBorders>
        <w:tblLayout w:type="fixed"/>
        <w:tblLook w:val="01E0" w:firstRow="1" w:lastRow="1" w:firstColumn="1" w:lastColumn="1" w:noHBand="0" w:noVBand="0"/>
      </w:tblPr>
      <w:tblGrid>
        <w:gridCol w:w="1998"/>
        <w:gridCol w:w="2798"/>
        <w:gridCol w:w="2163"/>
        <w:gridCol w:w="3421"/>
      </w:tblGrid>
      <w:tr w:rsidR="007B1CE5" w:rsidRPr="004D5308" w14:paraId="4EBAD6CB" w14:textId="77777777" w:rsidTr="003C7779">
        <w:trPr>
          <w:cantSplit/>
        </w:trPr>
        <w:tc>
          <w:tcPr>
            <w:tcW w:w="962" w:type="pct"/>
            <w:tcBorders>
              <w:top w:val="single" w:sz="4" w:space="0" w:color="auto"/>
              <w:left w:val="nil"/>
              <w:bottom w:val="single" w:sz="4" w:space="0" w:color="auto"/>
              <w:right w:val="nil"/>
            </w:tcBorders>
            <w:shd w:val="clear" w:color="auto" w:fill="AFBED7"/>
            <w:vAlign w:val="bottom"/>
          </w:tcPr>
          <w:p w14:paraId="29D00DDF" w14:textId="77777777" w:rsidR="007B1CE5" w:rsidRPr="004D5308" w:rsidRDefault="007B1CE5" w:rsidP="003C7779">
            <w:pPr>
              <w:pStyle w:val="TH-TableHeading"/>
            </w:pPr>
            <w:bookmarkStart w:id="46" w:name="_Toc329675004"/>
            <w:r w:rsidRPr="004D5308">
              <w:t>Name</w:t>
            </w:r>
            <w:bookmarkEnd w:id="46"/>
          </w:p>
        </w:tc>
        <w:tc>
          <w:tcPr>
            <w:tcW w:w="1348" w:type="pct"/>
            <w:tcBorders>
              <w:top w:val="single" w:sz="4" w:space="0" w:color="auto"/>
              <w:left w:val="nil"/>
              <w:bottom w:val="single" w:sz="4" w:space="0" w:color="auto"/>
              <w:right w:val="nil"/>
            </w:tcBorders>
            <w:shd w:val="clear" w:color="auto" w:fill="AFBED7"/>
            <w:vAlign w:val="bottom"/>
          </w:tcPr>
          <w:p w14:paraId="2DB0FA1B" w14:textId="77777777" w:rsidR="007B1CE5" w:rsidRPr="004D5308" w:rsidRDefault="007B1CE5" w:rsidP="003C7779">
            <w:pPr>
              <w:pStyle w:val="TH-TableHeading"/>
            </w:pPr>
            <w:bookmarkStart w:id="47" w:name="_Toc329675005"/>
            <w:r w:rsidRPr="004D5308">
              <w:t>Affiliation</w:t>
            </w:r>
            <w:bookmarkEnd w:id="47"/>
          </w:p>
        </w:tc>
        <w:tc>
          <w:tcPr>
            <w:tcW w:w="1042" w:type="pct"/>
            <w:tcBorders>
              <w:top w:val="single" w:sz="4" w:space="0" w:color="auto"/>
              <w:left w:val="nil"/>
              <w:bottom w:val="single" w:sz="4" w:space="0" w:color="auto"/>
              <w:right w:val="nil"/>
            </w:tcBorders>
            <w:shd w:val="clear" w:color="auto" w:fill="AFBED7"/>
            <w:vAlign w:val="bottom"/>
          </w:tcPr>
          <w:p w14:paraId="7977AC55" w14:textId="77777777" w:rsidR="007B1CE5" w:rsidRPr="004D5308" w:rsidRDefault="007B1CE5" w:rsidP="003C7779">
            <w:pPr>
              <w:pStyle w:val="TH-TableHeading"/>
            </w:pPr>
            <w:bookmarkStart w:id="48" w:name="_Toc329675006"/>
            <w:r w:rsidRPr="004D5308">
              <w:t>Telephone Number</w:t>
            </w:r>
            <w:bookmarkEnd w:id="48"/>
          </w:p>
        </w:tc>
        <w:tc>
          <w:tcPr>
            <w:tcW w:w="1648" w:type="pct"/>
            <w:tcBorders>
              <w:top w:val="single" w:sz="4" w:space="0" w:color="auto"/>
              <w:left w:val="nil"/>
              <w:bottom w:val="single" w:sz="4" w:space="0" w:color="auto"/>
              <w:right w:val="nil"/>
            </w:tcBorders>
            <w:shd w:val="clear" w:color="auto" w:fill="AFBED7"/>
            <w:vAlign w:val="bottom"/>
          </w:tcPr>
          <w:p w14:paraId="7F1B2080" w14:textId="77777777" w:rsidR="007B1CE5" w:rsidRPr="004D5308" w:rsidRDefault="007B1CE5" w:rsidP="003C7779">
            <w:pPr>
              <w:pStyle w:val="TH-TableHeading"/>
            </w:pPr>
            <w:bookmarkStart w:id="49" w:name="_Toc329675007"/>
            <w:r w:rsidRPr="004D5308">
              <w:t>e-mail</w:t>
            </w:r>
            <w:bookmarkEnd w:id="49"/>
          </w:p>
        </w:tc>
      </w:tr>
      <w:tr w:rsidR="007B1CE5" w:rsidRPr="00590D28" w14:paraId="10C366D8" w14:textId="77777777" w:rsidTr="003C7779">
        <w:trPr>
          <w:cantSplit/>
        </w:trPr>
        <w:tc>
          <w:tcPr>
            <w:tcW w:w="962" w:type="pct"/>
            <w:tcBorders>
              <w:top w:val="single" w:sz="4" w:space="0" w:color="auto"/>
              <w:bottom w:val="single" w:sz="4" w:space="0" w:color="auto"/>
            </w:tcBorders>
          </w:tcPr>
          <w:p w14:paraId="70CF132B" w14:textId="77777777" w:rsidR="007B1CE5" w:rsidRPr="00590D28" w:rsidRDefault="00B83049" w:rsidP="003C7779">
            <w:pPr>
              <w:pStyle w:val="TX-TableText"/>
              <w:spacing w:before="40" w:after="40" w:line="240" w:lineRule="auto"/>
            </w:pPr>
            <w:r>
              <w:t>Maeve Gearing</w:t>
            </w:r>
          </w:p>
        </w:tc>
        <w:tc>
          <w:tcPr>
            <w:tcW w:w="1348" w:type="pct"/>
            <w:tcBorders>
              <w:top w:val="single" w:sz="4" w:space="0" w:color="auto"/>
              <w:bottom w:val="single" w:sz="4" w:space="0" w:color="auto"/>
            </w:tcBorders>
          </w:tcPr>
          <w:p w14:paraId="531F4843" w14:textId="77777777" w:rsidR="007B1CE5" w:rsidRDefault="007B1CE5" w:rsidP="003C7779">
            <w:pPr>
              <w:pStyle w:val="TX-TableText"/>
              <w:spacing w:before="40" w:after="40" w:line="240" w:lineRule="auto"/>
            </w:pPr>
            <w:r w:rsidRPr="00590D28">
              <w:t>Project Director</w:t>
            </w:r>
            <w:r>
              <w:t>, Westat</w:t>
            </w:r>
          </w:p>
        </w:tc>
        <w:tc>
          <w:tcPr>
            <w:tcW w:w="1042" w:type="pct"/>
            <w:tcBorders>
              <w:top w:val="single" w:sz="4" w:space="0" w:color="auto"/>
              <w:bottom w:val="single" w:sz="4" w:space="0" w:color="auto"/>
            </w:tcBorders>
          </w:tcPr>
          <w:p w14:paraId="7224250D" w14:textId="77777777" w:rsidR="007B1CE5" w:rsidRDefault="007B1CE5" w:rsidP="003C7779">
            <w:pPr>
              <w:pStyle w:val="TX-TableText"/>
              <w:spacing w:before="40" w:after="40" w:line="240" w:lineRule="auto"/>
            </w:pPr>
            <w:r w:rsidRPr="00590D28">
              <w:t>301-</w:t>
            </w:r>
            <w:r w:rsidR="00B83049">
              <w:t>212-2168</w:t>
            </w:r>
          </w:p>
        </w:tc>
        <w:tc>
          <w:tcPr>
            <w:tcW w:w="1648" w:type="pct"/>
            <w:tcBorders>
              <w:top w:val="single" w:sz="4" w:space="0" w:color="auto"/>
              <w:bottom w:val="single" w:sz="4" w:space="0" w:color="auto"/>
            </w:tcBorders>
          </w:tcPr>
          <w:p w14:paraId="6FAE6772" w14:textId="77777777" w:rsidR="007B1CE5" w:rsidRDefault="00B83049" w:rsidP="003C7779">
            <w:pPr>
              <w:pStyle w:val="TX-TableText"/>
              <w:spacing w:before="40" w:after="40" w:line="240" w:lineRule="auto"/>
            </w:pPr>
            <w:r>
              <w:t>MaeveGearing</w:t>
            </w:r>
            <w:r w:rsidR="007B1CE5">
              <w:t>@westat.com</w:t>
            </w:r>
            <w:r w:rsidR="007B1CE5" w:rsidDel="00B51180">
              <w:t xml:space="preserve"> </w:t>
            </w:r>
          </w:p>
        </w:tc>
      </w:tr>
      <w:tr w:rsidR="007B1CE5" w:rsidRPr="00590D28" w14:paraId="3B68FED5" w14:textId="77777777" w:rsidTr="003C7779">
        <w:trPr>
          <w:cantSplit/>
        </w:trPr>
        <w:tc>
          <w:tcPr>
            <w:tcW w:w="962" w:type="pct"/>
            <w:tcBorders>
              <w:top w:val="single" w:sz="4" w:space="0" w:color="auto"/>
              <w:bottom w:val="single" w:sz="4" w:space="0" w:color="auto"/>
            </w:tcBorders>
          </w:tcPr>
          <w:p w14:paraId="334D2BA2" w14:textId="77777777" w:rsidR="007B1CE5" w:rsidRPr="00590D28" w:rsidRDefault="00486552" w:rsidP="003C7779">
            <w:pPr>
              <w:pStyle w:val="TX-TableText"/>
              <w:spacing w:before="40" w:after="40" w:line="240" w:lineRule="auto"/>
            </w:pPr>
            <w:r>
              <w:t>Crystal MacAllum</w:t>
            </w:r>
          </w:p>
        </w:tc>
        <w:tc>
          <w:tcPr>
            <w:tcW w:w="1348" w:type="pct"/>
            <w:tcBorders>
              <w:top w:val="single" w:sz="4" w:space="0" w:color="auto"/>
              <w:bottom w:val="single" w:sz="4" w:space="0" w:color="auto"/>
            </w:tcBorders>
          </w:tcPr>
          <w:p w14:paraId="328FC46A" w14:textId="77777777" w:rsidR="007B1CE5" w:rsidRDefault="007B1CE5" w:rsidP="003C7779">
            <w:pPr>
              <w:pStyle w:val="TX-TableText"/>
              <w:spacing w:before="40" w:after="40" w:line="240" w:lineRule="auto"/>
            </w:pPr>
            <w:r w:rsidRPr="00590D28">
              <w:t>Senior Study Director</w:t>
            </w:r>
            <w:r>
              <w:t>, Westat</w:t>
            </w:r>
          </w:p>
        </w:tc>
        <w:tc>
          <w:tcPr>
            <w:tcW w:w="1042" w:type="pct"/>
            <w:tcBorders>
              <w:top w:val="single" w:sz="4" w:space="0" w:color="auto"/>
              <w:bottom w:val="single" w:sz="4" w:space="0" w:color="auto"/>
            </w:tcBorders>
          </w:tcPr>
          <w:p w14:paraId="506ED2D3" w14:textId="77777777" w:rsidR="007B1CE5" w:rsidRPr="00590D28" w:rsidRDefault="007B1CE5" w:rsidP="00486552">
            <w:pPr>
              <w:pStyle w:val="TX-TableText"/>
              <w:spacing w:before="40" w:after="40" w:line="240" w:lineRule="auto"/>
            </w:pPr>
            <w:r>
              <w:t>301-</w:t>
            </w:r>
            <w:r w:rsidR="00486552">
              <w:t>251-4232</w:t>
            </w:r>
          </w:p>
        </w:tc>
        <w:tc>
          <w:tcPr>
            <w:tcW w:w="1648" w:type="pct"/>
            <w:tcBorders>
              <w:top w:val="single" w:sz="4" w:space="0" w:color="auto"/>
              <w:bottom w:val="single" w:sz="4" w:space="0" w:color="auto"/>
            </w:tcBorders>
          </w:tcPr>
          <w:p w14:paraId="469ACAF5" w14:textId="77777777" w:rsidR="007B1CE5" w:rsidRPr="00590D28" w:rsidRDefault="00D93604" w:rsidP="00486552">
            <w:pPr>
              <w:pStyle w:val="TX-TableText"/>
              <w:spacing w:before="40" w:after="40" w:line="240" w:lineRule="auto"/>
            </w:pPr>
            <w:hyperlink r:id="rId13" w:history="1"/>
            <w:r w:rsidR="00486552">
              <w:t>CrystalMacAllum</w:t>
            </w:r>
            <w:r w:rsidR="007B1CE5">
              <w:t>@westat.com</w:t>
            </w:r>
          </w:p>
        </w:tc>
      </w:tr>
      <w:tr w:rsidR="007B1CE5" w:rsidRPr="00590D28" w14:paraId="16953802" w14:textId="77777777" w:rsidTr="003C7779">
        <w:trPr>
          <w:cantSplit/>
        </w:trPr>
        <w:tc>
          <w:tcPr>
            <w:tcW w:w="962" w:type="pct"/>
            <w:tcBorders>
              <w:top w:val="single" w:sz="4" w:space="0" w:color="auto"/>
              <w:bottom w:val="single" w:sz="4" w:space="0" w:color="auto"/>
            </w:tcBorders>
          </w:tcPr>
          <w:p w14:paraId="46050573" w14:textId="77777777" w:rsidR="007B1CE5" w:rsidRPr="00590D28" w:rsidRDefault="00486552" w:rsidP="003C7779">
            <w:pPr>
              <w:pStyle w:val="TX-TableText"/>
              <w:spacing w:before="40" w:after="40" w:line="240" w:lineRule="auto"/>
            </w:pPr>
            <w:r>
              <w:t>Jocelyn Marrow</w:t>
            </w:r>
          </w:p>
        </w:tc>
        <w:tc>
          <w:tcPr>
            <w:tcW w:w="1348" w:type="pct"/>
            <w:tcBorders>
              <w:top w:val="single" w:sz="4" w:space="0" w:color="auto"/>
              <w:bottom w:val="single" w:sz="4" w:space="0" w:color="auto"/>
            </w:tcBorders>
          </w:tcPr>
          <w:p w14:paraId="49AEDEF9" w14:textId="77777777" w:rsidR="007B1CE5" w:rsidRDefault="007B1CE5" w:rsidP="003C7779">
            <w:pPr>
              <w:pStyle w:val="TX-TableText"/>
              <w:spacing w:before="40" w:after="40" w:line="240" w:lineRule="auto"/>
            </w:pPr>
            <w:r w:rsidRPr="00590D28">
              <w:t>Senior Study Director</w:t>
            </w:r>
            <w:r>
              <w:t>, Westat</w:t>
            </w:r>
          </w:p>
        </w:tc>
        <w:tc>
          <w:tcPr>
            <w:tcW w:w="1042" w:type="pct"/>
            <w:tcBorders>
              <w:top w:val="single" w:sz="4" w:space="0" w:color="auto"/>
              <w:bottom w:val="single" w:sz="4" w:space="0" w:color="auto"/>
            </w:tcBorders>
          </w:tcPr>
          <w:p w14:paraId="54ACDA43" w14:textId="77777777" w:rsidR="007B1CE5" w:rsidRPr="00590D28" w:rsidRDefault="00486552" w:rsidP="003C7779">
            <w:pPr>
              <w:pStyle w:val="TX-TableText"/>
              <w:spacing w:before="40" w:after="40" w:line="240" w:lineRule="auto"/>
            </w:pPr>
            <w:r>
              <w:t>240-314-5887</w:t>
            </w:r>
          </w:p>
        </w:tc>
        <w:tc>
          <w:tcPr>
            <w:tcW w:w="1648" w:type="pct"/>
            <w:tcBorders>
              <w:top w:val="single" w:sz="4" w:space="0" w:color="auto"/>
              <w:bottom w:val="single" w:sz="4" w:space="0" w:color="auto"/>
            </w:tcBorders>
          </w:tcPr>
          <w:p w14:paraId="063E1416" w14:textId="77777777" w:rsidR="007B1CE5" w:rsidRPr="00590D28" w:rsidRDefault="00D93604" w:rsidP="00486552">
            <w:pPr>
              <w:pStyle w:val="TX-TableText"/>
              <w:spacing w:before="40" w:after="40" w:line="240" w:lineRule="auto"/>
            </w:pPr>
            <w:hyperlink r:id="rId14" w:history="1">
              <w:r w:rsidR="00486552" w:rsidRPr="00695899">
                <w:rPr>
                  <w:rStyle w:val="Hyperlink"/>
                </w:rPr>
                <w:t>JocelynMarrow@westat.com</w:t>
              </w:r>
            </w:hyperlink>
          </w:p>
        </w:tc>
      </w:tr>
      <w:tr w:rsidR="007B1CE5" w:rsidRPr="00590D28" w14:paraId="71898E69" w14:textId="77777777" w:rsidTr="003C7779">
        <w:trPr>
          <w:cantSplit/>
        </w:trPr>
        <w:tc>
          <w:tcPr>
            <w:tcW w:w="962" w:type="pct"/>
            <w:tcBorders>
              <w:top w:val="single" w:sz="4" w:space="0" w:color="auto"/>
              <w:bottom w:val="single" w:sz="4" w:space="0" w:color="auto"/>
            </w:tcBorders>
          </w:tcPr>
          <w:p w14:paraId="7592580D" w14:textId="77777777" w:rsidR="007B1CE5" w:rsidRPr="00590D28" w:rsidRDefault="00486552" w:rsidP="003C7779">
            <w:pPr>
              <w:pStyle w:val="TX-TableText"/>
            </w:pPr>
            <w:r>
              <w:t>Hongsheng Hao</w:t>
            </w:r>
          </w:p>
        </w:tc>
        <w:tc>
          <w:tcPr>
            <w:tcW w:w="1348" w:type="pct"/>
            <w:tcBorders>
              <w:top w:val="single" w:sz="4" w:space="0" w:color="auto"/>
              <w:bottom w:val="single" w:sz="4" w:space="0" w:color="auto"/>
            </w:tcBorders>
          </w:tcPr>
          <w:p w14:paraId="0A48D4D3" w14:textId="77777777" w:rsidR="007B1CE5" w:rsidRDefault="007B1CE5" w:rsidP="00056E29">
            <w:pPr>
              <w:pStyle w:val="TX-TableText"/>
            </w:pPr>
            <w:r w:rsidRPr="00590D28">
              <w:t xml:space="preserve">Senior </w:t>
            </w:r>
            <w:r w:rsidR="00056E29">
              <w:t>Statistician</w:t>
            </w:r>
            <w:r>
              <w:t>, Westat</w:t>
            </w:r>
          </w:p>
        </w:tc>
        <w:tc>
          <w:tcPr>
            <w:tcW w:w="1042" w:type="pct"/>
            <w:tcBorders>
              <w:top w:val="single" w:sz="4" w:space="0" w:color="auto"/>
              <w:bottom w:val="single" w:sz="4" w:space="0" w:color="auto"/>
            </w:tcBorders>
          </w:tcPr>
          <w:p w14:paraId="27195DEC" w14:textId="77777777" w:rsidR="007B1CE5" w:rsidRPr="00590D28" w:rsidRDefault="007B1CE5" w:rsidP="00486552">
            <w:pPr>
              <w:pStyle w:val="TX-TableText"/>
              <w:spacing w:before="40" w:after="40" w:line="240" w:lineRule="auto"/>
            </w:pPr>
            <w:r w:rsidRPr="00590D28">
              <w:t>301-</w:t>
            </w:r>
            <w:r w:rsidR="00486552">
              <w:t>738-3540</w:t>
            </w:r>
          </w:p>
        </w:tc>
        <w:tc>
          <w:tcPr>
            <w:tcW w:w="1648" w:type="pct"/>
            <w:tcBorders>
              <w:top w:val="single" w:sz="4" w:space="0" w:color="auto"/>
              <w:bottom w:val="single" w:sz="4" w:space="0" w:color="auto"/>
            </w:tcBorders>
          </w:tcPr>
          <w:p w14:paraId="1334F437" w14:textId="77777777" w:rsidR="007B1CE5" w:rsidRPr="00590D28" w:rsidRDefault="00D93604" w:rsidP="00486552">
            <w:pPr>
              <w:pStyle w:val="TX-TableText"/>
              <w:spacing w:before="40" w:after="40" w:line="240" w:lineRule="auto"/>
            </w:pPr>
            <w:hyperlink r:id="rId15" w:history="1">
              <w:r w:rsidR="00486552" w:rsidRPr="00695899">
                <w:rPr>
                  <w:rStyle w:val="Hyperlink"/>
                </w:rPr>
                <w:t>HongshengHao@westat.com</w:t>
              </w:r>
            </w:hyperlink>
          </w:p>
        </w:tc>
      </w:tr>
      <w:tr w:rsidR="00377601" w:rsidRPr="00590D28" w14:paraId="3876AD1E" w14:textId="77777777" w:rsidTr="003C7779">
        <w:trPr>
          <w:cantSplit/>
        </w:trPr>
        <w:tc>
          <w:tcPr>
            <w:tcW w:w="962" w:type="pct"/>
            <w:tcBorders>
              <w:top w:val="single" w:sz="4" w:space="0" w:color="auto"/>
              <w:bottom w:val="single" w:sz="4" w:space="0" w:color="auto"/>
            </w:tcBorders>
          </w:tcPr>
          <w:p w14:paraId="45294755" w14:textId="506D4782" w:rsidR="00377601" w:rsidRDefault="008166EA" w:rsidP="003C7779">
            <w:pPr>
              <w:pStyle w:val="TX-TableText"/>
            </w:pPr>
            <w:r>
              <w:t>Doug Kilburg</w:t>
            </w:r>
          </w:p>
        </w:tc>
        <w:tc>
          <w:tcPr>
            <w:tcW w:w="1348" w:type="pct"/>
            <w:tcBorders>
              <w:top w:val="single" w:sz="4" w:space="0" w:color="auto"/>
              <w:bottom w:val="single" w:sz="4" w:space="0" w:color="auto"/>
            </w:tcBorders>
          </w:tcPr>
          <w:p w14:paraId="5BA26503" w14:textId="3ADDCB20" w:rsidR="00377601" w:rsidRPr="00590D28" w:rsidRDefault="008166EA" w:rsidP="00056E29">
            <w:pPr>
              <w:pStyle w:val="TX-TableText"/>
            </w:pPr>
            <w:r>
              <w:t>Mathematical Statistician, NASS</w:t>
            </w:r>
          </w:p>
        </w:tc>
        <w:tc>
          <w:tcPr>
            <w:tcW w:w="1042" w:type="pct"/>
            <w:tcBorders>
              <w:top w:val="single" w:sz="4" w:space="0" w:color="auto"/>
              <w:bottom w:val="single" w:sz="4" w:space="0" w:color="auto"/>
            </w:tcBorders>
          </w:tcPr>
          <w:p w14:paraId="000A1BD4" w14:textId="4F7AE153" w:rsidR="00377601" w:rsidRPr="00590D28" w:rsidRDefault="008166EA" w:rsidP="00486552">
            <w:pPr>
              <w:pStyle w:val="TX-TableText"/>
              <w:spacing w:before="40" w:after="40" w:line="240" w:lineRule="auto"/>
            </w:pPr>
            <w:r>
              <w:t>202-720-9189</w:t>
            </w:r>
          </w:p>
        </w:tc>
        <w:tc>
          <w:tcPr>
            <w:tcW w:w="1648" w:type="pct"/>
            <w:tcBorders>
              <w:top w:val="single" w:sz="4" w:space="0" w:color="auto"/>
              <w:bottom w:val="single" w:sz="4" w:space="0" w:color="auto"/>
            </w:tcBorders>
          </w:tcPr>
          <w:p w14:paraId="1EDA5189" w14:textId="61A60D0D" w:rsidR="00377601" w:rsidRDefault="00470227" w:rsidP="00486552">
            <w:pPr>
              <w:pStyle w:val="TX-TableText"/>
              <w:spacing w:before="40" w:after="40" w:line="240" w:lineRule="auto"/>
            </w:pPr>
            <w:r w:rsidRPr="00470227">
              <w:t>Douglas.Kilburg@nass.usda.gov</w:t>
            </w:r>
          </w:p>
        </w:tc>
      </w:tr>
    </w:tbl>
    <w:p w14:paraId="3BDC2FCA" w14:textId="3A4F94B3" w:rsidR="007B1CE5" w:rsidRDefault="007B1CE5" w:rsidP="007B1CE5"/>
    <w:sectPr w:rsidR="007B1CE5" w:rsidSect="000673CF">
      <w:footerReference w:type="default" r:id="rId16"/>
      <w:footerReference w:type="first" r:id="rId17"/>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E52DA" w14:textId="77777777" w:rsidR="00DF7260" w:rsidRDefault="00DF7260" w:rsidP="00C80391">
      <w:pPr>
        <w:spacing w:line="240" w:lineRule="auto"/>
      </w:pPr>
      <w:r>
        <w:separator/>
      </w:r>
    </w:p>
  </w:endnote>
  <w:endnote w:type="continuationSeparator" w:id="0">
    <w:p w14:paraId="320A0550" w14:textId="77777777" w:rsidR="00DF7260" w:rsidRDefault="00DF7260" w:rsidP="00C80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410208"/>
      <w:docPartObj>
        <w:docPartGallery w:val="Page Numbers (Bottom of Page)"/>
        <w:docPartUnique/>
      </w:docPartObj>
    </w:sdtPr>
    <w:sdtEndPr/>
    <w:sdtContent>
      <w:p w14:paraId="0E2BF339" w14:textId="77777777" w:rsidR="00687B28" w:rsidRDefault="00DF7260">
        <w:pPr>
          <w:pStyle w:val="Footer"/>
          <w:jc w:val="center"/>
        </w:pPr>
        <w:r>
          <w:fldChar w:fldCharType="begin"/>
        </w:r>
        <w:r>
          <w:instrText xml:space="preserve"> PAGE   \* MERGEFORMAT </w:instrText>
        </w:r>
        <w:r>
          <w:fldChar w:fldCharType="separate"/>
        </w:r>
        <w:r w:rsidR="007E2971">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1D6AB" w14:textId="77777777" w:rsidR="004C4675" w:rsidRDefault="004C467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DEF87" w14:textId="392BC2F0" w:rsidR="000673CF" w:rsidRDefault="00033331">
    <w:pPr>
      <w:pStyle w:val="Footer"/>
      <w:jc w:val="center"/>
    </w:pPr>
    <w:r>
      <w:rPr>
        <w:rStyle w:val="PageNumber"/>
      </w:rPr>
      <w:fldChar w:fldCharType="begin"/>
    </w:r>
    <w:r>
      <w:rPr>
        <w:rStyle w:val="PageNumber"/>
      </w:rPr>
      <w:instrText xml:space="preserve"> PAGE </w:instrText>
    </w:r>
    <w:r>
      <w:rPr>
        <w:rStyle w:val="PageNumber"/>
      </w:rPr>
      <w:fldChar w:fldCharType="separate"/>
    </w:r>
    <w:r w:rsidR="00D93604">
      <w:rPr>
        <w:rStyle w:val="PageNumber"/>
        <w:noProof/>
      </w:rPr>
      <w:t>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72181"/>
      <w:docPartObj>
        <w:docPartGallery w:val="Page Numbers (Bottom of Page)"/>
        <w:docPartUnique/>
      </w:docPartObj>
    </w:sdtPr>
    <w:sdtEndPr/>
    <w:sdtContent>
      <w:p w14:paraId="0FCDBCFA" w14:textId="14E8C4E5" w:rsidR="000673CF" w:rsidRDefault="000673CF">
        <w:pPr>
          <w:pStyle w:val="Footer"/>
          <w:jc w:val="center"/>
        </w:pPr>
        <w:r>
          <w:fldChar w:fldCharType="begin"/>
        </w:r>
        <w:r>
          <w:instrText xml:space="preserve"> PAGE   \* MERGEFORMAT </w:instrText>
        </w:r>
        <w:r>
          <w:fldChar w:fldCharType="separate"/>
        </w:r>
        <w:r w:rsidR="00E800C3">
          <w:rPr>
            <w:noProof/>
          </w:rPr>
          <w:t>14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0FF90" w14:textId="26EFC50D" w:rsidR="000673CF" w:rsidRDefault="000673CF">
    <w:pPr>
      <w:pStyle w:val="Footer"/>
      <w:jc w:val="center"/>
    </w:pPr>
    <w:r>
      <w:rPr>
        <w:rStyle w:val="PageNumber"/>
      </w:rPr>
      <w:fldChar w:fldCharType="begin"/>
    </w:r>
    <w:r>
      <w:rPr>
        <w:rStyle w:val="PageNumber"/>
      </w:rPr>
      <w:instrText xml:space="preserve"> PAGE </w:instrText>
    </w:r>
    <w:r>
      <w:rPr>
        <w:rStyle w:val="PageNumber"/>
      </w:rPr>
      <w:fldChar w:fldCharType="separate"/>
    </w:r>
    <w:r w:rsidR="00E800C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0F6C3" w14:textId="77777777" w:rsidR="00DF7260" w:rsidRDefault="00DF7260" w:rsidP="00C80391">
      <w:pPr>
        <w:spacing w:line="240" w:lineRule="auto"/>
      </w:pPr>
      <w:r>
        <w:separator/>
      </w:r>
    </w:p>
  </w:footnote>
  <w:footnote w:type="continuationSeparator" w:id="0">
    <w:p w14:paraId="34E1326D" w14:textId="77777777" w:rsidR="00DF7260" w:rsidRDefault="00DF7260" w:rsidP="00C80391">
      <w:pPr>
        <w:spacing w:line="240" w:lineRule="auto"/>
      </w:pPr>
      <w:r>
        <w:continuationSeparator/>
      </w:r>
    </w:p>
  </w:footnote>
  <w:footnote w:id="1">
    <w:p w14:paraId="1CAA4A6F" w14:textId="77777777" w:rsidR="0016758A" w:rsidRDefault="0016758A">
      <w:pPr>
        <w:pStyle w:val="FootnoteText"/>
      </w:pPr>
      <w:r>
        <w:rPr>
          <w:rStyle w:val="FootnoteReference"/>
        </w:rPr>
        <w:footnoteRef/>
      </w:r>
      <w:r>
        <w:t xml:space="preserve"> </w:t>
      </w:r>
      <w:r w:rsidRPr="00C14978">
        <w:rPr>
          <w:rFonts w:ascii="TimesNewRoman" w:hAnsi="TimesNewRoman"/>
          <w:color w:val="000000"/>
          <w:szCs w:val="16"/>
        </w:rPr>
        <w:t xml:space="preserve">Keyfitz, N. (1951), </w:t>
      </w:r>
      <w:r w:rsidRPr="00C14978">
        <w:rPr>
          <w:rFonts w:ascii="TimesNewRoman" w:hAnsi="TimesNewRoman" w:hint="eastAsia"/>
          <w:color w:val="000000"/>
          <w:szCs w:val="16"/>
        </w:rPr>
        <w:t>“</w:t>
      </w:r>
      <w:r w:rsidRPr="00C14978">
        <w:rPr>
          <w:rFonts w:ascii="TimesNewRoman" w:hAnsi="TimesNewRoman"/>
          <w:color w:val="000000"/>
          <w:szCs w:val="16"/>
        </w:rPr>
        <w:t>Sampling with Probabilities Proportional to Size,</w:t>
      </w:r>
      <w:r w:rsidRPr="00C14978">
        <w:rPr>
          <w:rFonts w:ascii="TimesNewRoman" w:hAnsi="TimesNewRoman" w:hint="eastAsia"/>
          <w:color w:val="000000"/>
          <w:szCs w:val="16"/>
        </w:rPr>
        <w:t>”</w:t>
      </w:r>
      <w:r w:rsidRPr="00C14978">
        <w:rPr>
          <w:rFonts w:ascii="TimesNewRoman" w:hAnsi="TimesNewRoman"/>
          <w:color w:val="000000"/>
          <w:szCs w:val="16"/>
        </w:rPr>
        <w:t xml:space="preserve"> Journal of the American Statistical</w:t>
      </w:r>
      <w:r>
        <w:rPr>
          <w:rFonts w:ascii="TimesNewRoman" w:hAnsi="TimesNewRoman"/>
          <w:color w:val="000000"/>
          <w:szCs w:val="16"/>
        </w:rPr>
        <w:t xml:space="preserve"> </w:t>
      </w:r>
      <w:r w:rsidRPr="00C14978">
        <w:rPr>
          <w:rFonts w:ascii="TimesNewRoman" w:hAnsi="TimesNewRoman"/>
          <w:color w:val="000000"/>
          <w:szCs w:val="16"/>
        </w:rPr>
        <w:t>Association, 46, 105-109.</w:t>
      </w:r>
    </w:p>
  </w:footnote>
  <w:footnote w:id="2">
    <w:p w14:paraId="4BF6492F" w14:textId="77777777" w:rsidR="007D2005" w:rsidRDefault="007D2005" w:rsidP="007D2005">
      <w:pPr>
        <w:pStyle w:val="FootnoteText"/>
      </w:pPr>
      <w:r>
        <w:rPr>
          <w:rStyle w:val="FootnoteReference"/>
        </w:rPr>
        <w:footnoteRef/>
      </w:r>
      <w:r>
        <w:tab/>
      </w:r>
      <w:r w:rsidRPr="008B515A">
        <w:t xml:space="preserve">In contrast with </w:t>
      </w:r>
      <w:hyperlink r:id="rId1" w:anchor="explicit_stratification" w:history="1">
        <w:r w:rsidRPr="008B515A">
          <w:t>explicit stratification</w:t>
        </w:r>
      </w:hyperlink>
      <w:r w:rsidRPr="008B515A">
        <w:t>, i</w:t>
      </w:r>
      <w:r w:rsidRPr="008B515A">
        <w:rPr>
          <w:bCs/>
        </w:rPr>
        <w:t>mplicit stratification is a</w:t>
      </w:r>
      <w:r w:rsidRPr="008B515A">
        <w:t xml:space="preserve"> method of achieving the benefits of stratification often used in conjunction with systematic sampling. The sampling frame is sorted with respect to one or more stratification variables but is not explicitly separated into distinct strata.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1"/>
    <w:rsid w:val="00000213"/>
    <w:rsid w:val="0000022B"/>
    <w:rsid w:val="00000CA5"/>
    <w:rsid w:val="00002DCE"/>
    <w:rsid w:val="000034A9"/>
    <w:rsid w:val="00003743"/>
    <w:rsid w:val="0000386A"/>
    <w:rsid w:val="000045E0"/>
    <w:rsid w:val="00004B58"/>
    <w:rsid w:val="0000539D"/>
    <w:rsid w:val="00005451"/>
    <w:rsid w:val="000066CC"/>
    <w:rsid w:val="000068C8"/>
    <w:rsid w:val="0000695C"/>
    <w:rsid w:val="000069E5"/>
    <w:rsid w:val="00006FB0"/>
    <w:rsid w:val="00007368"/>
    <w:rsid w:val="000073E7"/>
    <w:rsid w:val="000077EE"/>
    <w:rsid w:val="00010596"/>
    <w:rsid w:val="00011169"/>
    <w:rsid w:val="00011C39"/>
    <w:rsid w:val="00012B5E"/>
    <w:rsid w:val="00013BC5"/>
    <w:rsid w:val="000140FB"/>
    <w:rsid w:val="00014BA0"/>
    <w:rsid w:val="00014C69"/>
    <w:rsid w:val="0001585F"/>
    <w:rsid w:val="000159AA"/>
    <w:rsid w:val="00016107"/>
    <w:rsid w:val="00016FA8"/>
    <w:rsid w:val="000174F6"/>
    <w:rsid w:val="00017A17"/>
    <w:rsid w:val="00017D52"/>
    <w:rsid w:val="00020022"/>
    <w:rsid w:val="0002072B"/>
    <w:rsid w:val="000215B6"/>
    <w:rsid w:val="000217AB"/>
    <w:rsid w:val="000220EE"/>
    <w:rsid w:val="000224F3"/>
    <w:rsid w:val="00022CB4"/>
    <w:rsid w:val="00022E3C"/>
    <w:rsid w:val="000231E9"/>
    <w:rsid w:val="00023EF3"/>
    <w:rsid w:val="00023F08"/>
    <w:rsid w:val="000248DF"/>
    <w:rsid w:val="00024BF9"/>
    <w:rsid w:val="00024D9B"/>
    <w:rsid w:val="000254F0"/>
    <w:rsid w:val="00025EC1"/>
    <w:rsid w:val="00026D53"/>
    <w:rsid w:val="000273F5"/>
    <w:rsid w:val="00030244"/>
    <w:rsid w:val="00030469"/>
    <w:rsid w:val="00030FE6"/>
    <w:rsid w:val="0003118A"/>
    <w:rsid w:val="000315D3"/>
    <w:rsid w:val="00031D50"/>
    <w:rsid w:val="00031E3A"/>
    <w:rsid w:val="00031EF2"/>
    <w:rsid w:val="00032324"/>
    <w:rsid w:val="00032767"/>
    <w:rsid w:val="00032E28"/>
    <w:rsid w:val="0003301F"/>
    <w:rsid w:val="00033331"/>
    <w:rsid w:val="0003333E"/>
    <w:rsid w:val="000333E2"/>
    <w:rsid w:val="000339E8"/>
    <w:rsid w:val="00033BFD"/>
    <w:rsid w:val="00034734"/>
    <w:rsid w:val="00035559"/>
    <w:rsid w:val="00035682"/>
    <w:rsid w:val="00036F03"/>
    <w:rsid w:val="00037C27"/>
    <w:rsid w:val="00037C9C"/>
    <w:rsid w:val="00037CC4"/>
    <w:rsid w:val="00040433"/>
    <w:rsid w:val="0004128C"/>
    <w:rsid w:val="00041BE1"/>
    <w:rsid w:val="00042293"/>
    <w:rsid w:val="0004275E"/>
    <w:rsid w:val="00042906"/>
    <w:rsid w:val="000429D8"/>
    <w:rsid w:val="00042C5E"/>
    <w:rsid w:val="0004350C"/>
    <w:rsid w:val="000435FB"/>
    <w:rsid w:val="00043845"/>
    <w:rsid w:val="000439B2"/>
    <w:rsid w:val="000439E0"/>
    <w:rsid w:val="00043C49"/>
    <w:rsid w:val="00043E6D"/>
    <w:rsid w:val="0004467F"/>
    <w:rsid w:val="00044CF8"/>
    <w:rsid w:val="000454E6"/>
    <w:rsid w:val="00046A7B"/>
    <w:rsid w:val="00046DE1"/>
    <w:rsid w:val="000470EB"/>
    <w:rsid w:val="000473AE"/>
    <w:rsid w:val="00047742"/>
    <w:rsid w:val="00047A27"/>
    <w:rsid w:val="00052336"/>
    <w:rsid w:val="00052F4F"/>
    <w:rsid w:val="00053AE6"/>
    <w:rsid w:val="00055154"/>
    <w:rsid w:val="00055A19"/>
    <w:rsid w:val="00055C66"/>
    <w:rsid w:val="0005602C"/>
    <w:rsid w:val="0005603B"/>
    <w:rsid w:val="0005626E"/>
    <w:rsid w:val="00056E29"/>
    <w:rsid w:val="000574AC"/>
    <w:rsid w:val="00057D62"/>
    <w:rsid w:val="00057D72"/>
    <w:rsid w:val="00060AF4"/>
    <w:rsid w:val="00060D21"/>
    <w:rsid w:val="00061280"/>
    <w:rsid w:val="00061E44"/>
    <w:rsid w:val="00061F13"/>
    <w:rsid w:val="00062C4B"/>
    <w:rsid w:val="00062DF9"/>
    <w:rsid w:val="0006340F"/>
    <w:rsid w:val="00064453"/>
    <w:rsid w:val="0006490D"/>
    <w:rsid w:val="00064940"/>
    <w:rsid w:val="00064CB8"/>
    <w:rsid w:val="000655D8"/>
    <w:rsid w:val="0006561E"/>
    <w:rsid w:val="000668D1"/>
    <w:rsid w:val="00066FA6"/>
    <w:rsid w:val="000673CF"/>
    <w:rsid w:val="00067861"/>
    <w:rsid w:val="00067B0B"/>
    <w:rsid w:val="00070278"/>
    <w:rsid w:val="000703F5"/>
    <w:rsid w:val="00070E83"/>
    <w:rsid w:val="00070F71"/>
    <w:rsid w:val="000710FD"/>
    <w:rsid w:val="00071288"/>
    <w:rsid w:val="00071444"/>
    <w:rsid w:val="000727AB"/>
    <w:rsid w:val="00073A09"/>
    <w:rsid w:val="0007406F"/>
    <w:rsid w:val="0007489D"/>
    <w:rsid w:val="000749E5"/>
    <w:rsid w:val="00074E1F"/>
    <w:rsid w:val="00074FB0"/>
    <w:rsid w:val="00075776"/>
    <w:rsid w:val="00076E3D"/>
    <w:rsid w:val="000778CC"/>
    <w:rsid w:val="00080071"/>
    <w:rsid w:val="000809DE"/>
    <w:rsid w:val="00080FD7"/>
    <w:rsid w:val="0008135F"/>
    <w:rsid w:val="00081408"/>
    <w:rsid w:val="00081636"/>
    <w:rsid w:val="00081900"/>
    <w:rsid w:val="00081912"/>
    <w:rsid w:val="00081C10"/>
    <w:rsid w:val="00081E82"/>
    <w:rsid w:val="00081F72"/>
    <w:rsid w:val="00082DF0"/>
    <w:rsid w:val="00082F5B"/>
    <w:rsid w:val="00082F9C"/>
    <w:rsid w:val="000834EA"/>
    <w:rsid w:val="000839EB"/>
    <w:rsid w:val="00084CFB"/>
    <w:rsid w:val="00084D3F"/>
    <w:rsid w:val="00084E1A"/>
    <w:rsid w:val="00084EE1"/>
    <w:rsid w:val="00085543"/>
    <w:rsid w:val="00085C05"/>
    <w:rsid w:val="00085CF0"/>
    <w:rsid w:val="00085D17"/>
    <w:rsid w:val="000860F4"/>
    <w:rsid w:val="00086102"/>
    <w:rsid w:val="000862E1"/>
    <w:rsid w:val="00086985"/>
    <w:rsid w:val="00086A02"/>
    <w:rsid w:val="00086EB2"/>
    <w:rsid w:val="000873A5"/>
    <w:rsid w:val="000874F7"/>
    <w:rsid w:val="00090028"/>
    <w:rsid w:val="0009044C"/>
    <w:rsid w:val="00091596"/>
    <w:rsid w:val="00092039"/>
    <w:rsid w:val="00093478"/>
    <w:rsid w:val="00093E4B"/>
    <w:rsid w:val="00093EBC"/>
    <w:rsid w:val="000940E6"/>
    <w:rsid w:val="0009470D"/>
    <w:rsid w:val="00094E94"/>
    <w:rsid w:val="00094F86"/>
    <w:rsid w:val="000956E5"/>
    <w:rsid w:val="00095B4B"/>
    <w:rsid w:val="00095EAA"/>
    <w:rsid w:val="00095EAC"/>
    <w:rsid w:val="00095F81"/>
    <w:rsid w:val="00095FDD"/>
    <w:rsid w:val="00096389"/>
    <w:rsid w:val="00096C78"/>
    <w:rsid w:val="00097392"/>
    <w:rsid w:val="00097C42"/>
    <w:rsid w:val="000A02B4"/>
    <w:rsid w:val="000A09F3"/>
    <w:rsid w:val="000A0B93"/>
    <w:rsid w:val="000A0C4E"/>
    <w:rsid w:val="000A0E08"/>
    <w:rsid w:val="000A1108"/>
    <w:rsid w:val="000A1391"/>
    <w:rsid w:val="000A2633"/>
    <w:rsid w:val="000A27C0"/>
    <w:rsid w:val="000A28A5"/>
    <w:rsid w:val="000A302C"/>
    <w:rsid w:val="000A30ED"/>
    <w:rsid w:val="000A3AB4"/>
    <w:rsid w:val="000A488C"/>
    <w:rsid w:val="000A5D63"/>
    <w:rsid w:val="000A635E"/>
    <w:rsid w:val="000A6C8C"/>
    <w:rsid w:val="000A6E81"/>
    <w:rsid w:val="000A7546"/>
    <w:rsid w:val="000A78A8"/>
    <w:rsid w:val="000B03A9"/>
    <w:rsid w:val="000B15AB"/>
    <w:rsid w:val="000B1ED8"/>
    <w:rsid w:val="000B25C3"/>
    <w:rsid w:val="000B26C4"/>
    <w:rsid w:val="000B28B9"/>
    <w:rsid w:val="000B2B16"/>
    <w:rsid w:val="000B2E13"/>
    <w:rsid w:val="000B37C8"/>
    <w:rsid w:val="000B3A7E"/>
    <w:rsid w:val="000B3A9D"/>
    <w:rsid w:val="000B3DBB"/>
    <w:rsid w:val="000B4025"/>
    <w:rsid w:val="000B4E95"/>
    <w:rsid w:val="000B4EED"/>
    <w:rsid w:val="000B5480"/>
    <w:rsid w:val="000B5B48"/>
    <w:rsid w:val="000B650B"/>
    <w:rsid w:val="000B739B"/>
    <w:rsid w:val="000C0311"/>
    <w:rsid w:val="000C0AF0"/>
    <w:rsid w:val="000C0C28"/>
    <w:rsid w:val="000C1226"/>
    <w:rsid w:val="000C173D"/>
    <w:rsid w:val="000C17F1"/>
    <w:rsid w:val="000C1B29"/>
    <w:rsid w:val="000C2680"/>
    <w:rsid w:val="000C3649"/>
    <w:rsid w:val="000C3696"/>
    <w:rsid w:val="000C384E"/>
    <w:rsid w:val="000C44D2"/>
    <w:rsid w:val="000C525A"/>
    <w:rsid w:val="000C59FE"/>
    <w:rsid w:val="000C5EB1"/>
    <w:rsid w:val="000C5FB1"/>
    <w:rsid w:val="000C64D7"/>
    <w:rsid w:val="000C65BF"/>
    <w:rsid w:val="000C6B66"/>
    <w:rsid w:val="000C6C4D"/>
    <w:rsid w:val="000C7088"/>
    <w:rsid w:val="000C714C"/>
    <w:rsid w:val="000C7C35"/>
    <w:rsid w:val="000C7F77"/>
    <w:rsid w:val="000D04D2"/>
    <w:rsid w:val="000D0575"/>
    <w:rsid w:val="000D1437"/>
    <w:rsid w:val="000D1BA9"/>
    <w:rsid w:val="000D207F"/>
    <w:rsid w:val="000D25D4"/>
    <w:rsid w:val="000D2ACC"/>
    <w:rsid w:val="000D2CDB"/>
    <w:rsid w:val="000D2ECC"/>
    <w:rsid w:val="000D3139"/>
    <w:rsid w:val="000D41C7"/>
    <w:rsid w:val="000D4D7F"/>
    <w:rsid w:val="000D51FE"/>
    <w:rsid w:val="000D5783"/>
    <w:rsid w:val="000D590B"/>
    <w:rsid w:val="000D61D7"/>
    <w:rsid w:val="000D6314"/>
    <w:rsid w:val="000D69F2"/>
    <w:rsid w:val="000D7512"/>
    <w:rsid w:val="000D7BB1"/>
    <w:rsid w:val="000E001D"/>
    <w:rsid w:val="000E00BA"/>
    <w:rsid w:val="000E072D"/>
    <w:rsid w:val="000E177C"/>
    <w:rsid w:val="000E24BA"/>
    <w:rsid w:val="000E2A8F"/>
    <w:rsid w:val="000E2D15"/>
    <w:rsid w:val="000E3C4D"/>
    <w:rsid w:val="000E3C58"/>
    <w:rsid w:val="000E4130"/>
    <w:rsid w:val="000E44C8"/>
    <w:rsid w:val="000E5618"/>
    <w:rsid w:val="000E5F37"/>
    <w:rsid w:val="000E5F54"/>
    <w:rsid w:val="000E6382"/>
    <w:rsid w:val="000E67BD"/>
    <w:rsid w:val="000E6C7D"/>
    <w:rsid w:val="000E74FB"/>
    <w:rsid w:val="000E766C"/>
    <w:rsid w:val="000E7F79"/>
    <w:rsid w:val="000F0402"/>
    <w:rsid w:val="000F0B58"/>
    <w:rsid w:val="000F156A"/>
    <w:rsid w:val="000F185E"/>
    <w:rsid w:val="000F1CE0"/>
    <w:rsid w:val="000F1EFC"/>
    <w:rsid w:val="000F246B"/>
    <w:rsid w:val="000F298C"/>
    <w:rsid w:val="000F2C49"/>
    <w:rsid w:val="000F307E"/>
    <w:rsid w:val="000F33D1"/>
    <w:rsid w:val="000F3D7A"/>
    <w:rsid w:val="000F3E11"/>
    <w:rsid w:val="000F424F"/>
    <w:rsid w:val="000F4367"/>
    <w:rsid w:val="000F44AA"/>
    <w:rsid w:val="000F4FF2"/>
    <w:rsid w:val="000F582F"/>
    <w:rsid w:val="000F5A5D"/>
    <w:rsid w:val="000F5A6C"/>
    <w:rsid w:val="000F5E83"/>
    <w:rsid w:val="000F674C"/>
    <w:rsid w:val="000F792F"/>
    <w:rsid w:val="000F7C7D"/>
    <w:rsid w:val="000F7DCD"/>
    <w:rsid w:val="0010014B"/>
    <w:rsid w:val="001016B1"/>
    <w:rsid w:val="00101A03"/>
    <w:rsid w:val="00101B6D"/>
    <w:rsid w:val="00101D00"/>
    <w:rsid w:val="0010228F"/>
    <w:rsid w:val="00102752"/>
    <w:rsid w:val="00103C3C"/>
    <w:rsid w:val="00103F66"/>
    <w:rsid w:val="00104780"/>
    <w:rsid w:val="00104837"/>
    <w:rsid w:val="001057AB"/>
    <w:rsid w:val="00107120"/>
    <w:rsid w:val="0010751C"/>
    <w:rsid w:val="00107890"/>
    <w:rsid w:val="00107C4B"/>
    <w:rsid w:val="00107F73"/>
    <w:rsid w:val="00107FFA"/>
    <w:rsid w:val="001101E9"/>
    <w:rsid w:val="001103E4"/>
    <w:rsid w:val="00111E73"/>
    <w:rsid w:val="0011263E"/>
    <w:rsid w:val="001128ED"/>
    <w:rsid w:val="00112F3A"/>
    <w:rsid w:val="00112FFB"/>
    <w:rsid w:val="00113A23"/>
    <w:rsid w:val="00114312"/>
    <w:rsid w:val="001148E1"/>
    <w:rsid w:val="001149E3"/>
    <w:rsid w:val="00114A0B"/>
    <w:rsid w:val="00114ABB"/>
    <w:rsid w:val="00114BAA"/>
    <w:rsid w:val="00115A96"/>
    <w:rsid w:val="0011606A"/>
    <w:rsid w:val="00116118"/>
    <w:rsid w:val="00116A52"/>
    <w:rsid w:val="00116B92"/>
    <w:rsid w:val="00116D0E"/>
    <w:rsid w:val="00117A7A"/>
    <w:rsid w:val="001202FB"/>
    <w:rsid w:val="001207E6"/>
    <w:rsid w:val="00120C0F"/>
    <w:rsid w:val="00121A8E"/>
    <w:rsid w:val="00121BAB"/>
    <w:rsid w:val="00121D0C"/>
    <w:rsid w:val="00122632"/>
    <w:rsid w:val="00122D43"/>
    <w:rsid w:val="00124060"/>
    <w:rsid w:val="001244F9"/>
    <w:rsid w:val="00124549"/>
    <w:rsid w:val="001258B7"/>
    <w:rsid w:val="00125BAC"/>
    <w:rsid w:val="00125D22"/>
    <w:rsid w:val="00126718"/>
    <w:rsid w:val="001267B5"/>
    <w:rsid w:val="00126A9E"/>
    <w:rsid w:val="00126EF4"/>
    <w:rsid w:val="001273E7"/>
    <w:rsid w:val="00130EEA"/>
    <w:rsid w:val="0013189C"/>
    <w:rsid w:val="00131A8F"/>
    <w:rsid w:val="00131C5B"/>
    <w:rsid w:val="0013243F"/>
    <w:rsid w:val="00132F53"/>
    <w:rsid w:val="00134763"/>
    <w:rsid w:val="00134810"/>
    <w:rsid w:val="00134D1B"/>
    <w:rsid w:val="00135D29"/>
    <w:rsid w:val="00135EDC"/>
    <w:rsid w:val="00135FD3"/>
    <w:rsid w:val="00136E83"/>
    <w:rsid w:val="00136F64"/>
    <w:rsid w:val="0013701F"/>
    <w:rsid w:val="0013752C"/>
    <w:rsid w:val="001408BF"/>
    <w:rsid w:val="0014096C"/>
    <w:rsid w:val="00140C38"/>
    <w:rsid w:val="00140FA6"/>
    <w:rsid w:val="00141593"/>
    <w:rsid w:val="00141B9C"/>
    <w:rsid w:val="001420D6"/>
    <w:rsid w:val="00142BF5"/>
    <w:rsid w:val="00142D62"/>
    <w:rsid w:val="00142FAB"/>
    <w:rsid w:val="001435A4"/>
    <w:rsid w:val="00143EE9"/>
    <w:rsid w:val="0014417E"/>
    <w:rsid w:val="00144BCE"/>
    <w:rsid w:val="00145671"/>
    <w:rsid w:val="001458A1"/>
    <w:rsid w:val="00145A95"/>
    <w:rsid w:val="00145E00"/>
    <w:rsid w:val="00145E45"/>
    <w:rsid w:val="00145E9B"/>
    <w:rsid w:val="00146F13"/>
    <w:rsid w:val="001473BD"/>
    <w:rsid w:val="00150881"/>
    <w:rsid w:val="00150EB2"/>
    <w:rsid w:val="00151671"/>
    <w:rsid w:val="0015231F"/>
    <w:rsid w:val="0015232F"/>
    <w:rsid w:val="0015241D"/>
    <w:rsid w:val="00152928"/>
    <w:rsid w:val="00152CAE"/>
    <w:rsid w:val="00152EBB"/>
    <w:rsid w:val="00153063"/>
    <w:rsid w:val="00153D59"/>
    <w:rsid w:val="001540C7"/>
    <w:rsid w:val="001542C1"/>
    <w:rsid w:val="00154A56"/>
    <w:rsid w:val="00155709"/>
    <w:rsid w:val="0015627D"/>
    <w:rsid w:val="0015669B"/>
    <w:rsid w:val="001568BA"/>
    <w:rsid w:val="001575A3"/>
    <w:rsid w:val="0015763A"/>
    <w:rsid w:val="00157F5A"/>
    <w:rsid w:val="00160F28"/>
    <w:rsid w:val="00161889"/>
    <w:rsid w:val="00161991"/>
    <w:rsid w:val="00162062"/>
    <w:rsid w:val="00162560"/>
    <w:rsid w:val="00162865"/>
    <w:rsid w:val="00162918"/>
    <w:rsid w:val="00163C13"/>
    <w:rsid w:val="00163DA2"/>
    <w:rsid w:val="001640FB"/>
    <w:rsid w:val="00164A0E"/>
    <w:rsid w:val="00164DDF"/>
    <w:rsid w:val="001650EE"/>
    <w:rsid w:val="00165CF6"/>
    <w:rsid w:val="001661EC"/>
    <w:rsid w:val="001663EA"/>
    <w:rsid w:val="001665CF"/>
    <w:rsid w:val="00166A47"/>
    <w:rsid w:val="0016758A"/>
    <w:rsid w:val="001679D1"/>
    <w:rsid w:val="00167B4E"/>
    <w:rsid w:val="001702BF"/>
    <w:rsid w:val="00170452"/>
    <w:rsid w:val="0017196A"/>
    <w:rsid w:val="00171E04"/>
    <w:rsid w:val="00171E4D"/>
    <w:rsid w:val="0017213B"/>
    <w:rsid w:val="0017236A"/>
    <w:rsid w:val="00172946"/>
    <w:rsid w:val="001738C8"/>
    <w:rsid w:val="00173C39"/>
    <w:rsid w:val="00174322"/>
    <w:rsid w:val="00174626"/>
    <w:rsid w:val="001748F6"/>
    <w:rsid w:val="00174E0D"/>
    <w:rsid w:val="00176202"/>
    <w:rsid w:val="00176418"/>
    <w:rsid w:val="00176491"/>
    <w:rsid w:val="00176798"/>
    <w:rsid w:val="00177785"/>
    <w:rsid w:val="00177D66"/>
    <w:rsid w:val="001806D3"/>
    <w:rsid w:val="001808F2"/>
    <w:rsid w:val="0018109E"/>
    <w:rsid w:val="001813E7"/>
    <w:rsid w:val="00181BC8"/>
    <w:rsid w:val="0018240C"/>
    <w:rsid w:val="00182D33"/>
    <w:rsid w:val="00182D6F"/>
    <w:rsid w:val="00183838"/>
    <w:rsid w:val="001839C4"/>
    <w:rsid w:val="00183D9F"/>
    <w:rsid w:val="00183EB7"/>
    <w:rsid w:val="00184010"/>
    <w:rsid w:val="001846EE"/>
    <w:rsid w:val="00184753"/>
    <w:rsid w:val="00184CE8"/>
    <w:rsid w:val="00185E07"/>
    <w:rsid w:val="00185EE9"/>
    <w:rsid w:val="001860CA"/>
    <w:rsid w:val="001862BD"/>
    <w:rsid w:val="001864A8"/>
    <w:rsid w:val="0018785A"/>
    <w:rsid w:val="00190695"/>
    <w:rsid w:val="00191BB7"/>
    <w:rsid w:val="00191D5D"/>
    <w:rsid w:val="00193773"/>
    <w:rsid w:val="00193938"/>
    <w:rsid w:val="00193AAC"/>
    <w:rsid w:val="00193B50"/>
    <w:rsid w:val="00193FB9"/>
    <w:rsid w:val="00194333"/>
    <w:rsid w:val="001946E7"/>
    <w:rsid w:val="00195307"/>
    <w:rsid w:val="001955A5"/>
    <w:rsid w:val="00195802"/>
    <w:rsid w:val="0019622A"/>
    <w:rsid w:val="0019686B"/>
    <w:rsid w:val="00196F44"/>
    <w:rsid w:val="001975E3"/>
    <w:rsid w:val="001976B8"/>
    <w:rsid w:val="001A04B2"/>
    <w:rsid w:val="001A04B9"/>
    <w:rsid w:val="001A0897"/>
    <w:rsid w:val="001A0D16"/>
    <w:rsid w:val="001A10A5"/>
    <w:rsid w:val="001A1582"/>
    <w:rsid w:val="001A1636"/>
    <w:rsid w:val="001A1A03"/>
    <w:rsid w:val="001A1B64"/>
    <w:rsid w:val="001A1E2B"/>
    <w:rsid w:val="001A28B9"/>
    <w:rsid w:val="001A30EB"/>
    <w:rsid w:val="001A3158"/>
    <w:rsid w:val="001A3AE6"/>
    <w:rsid w:val="001A5A77"/>
    <w:rsid w:val="001A6178"/>
    <w:rsid w:val="001A6FCC"/>
    <w:rsid w:val="001A76AB"/>
    <w:rsid w:val="001A7BB6"/>
    <w:rsid w:val="001A7C02"/>
    <w:rsid w:val="001B070C"/>
    <w:rsid w:val="001B15A3"/>
    <w:rsid w:val="001B18EA"/>
    <w:rsid w:val="001B1A44"/>
    <w:rsid w:val="001B1B50"/>
    <w:rsid w:val="001B1C0B"/>
    <w:rsid w:val="001B2AD4"/>
    <w:rsid w:val="001B2B33"/>
    <w:rsid w:val="001B2EF1"/>
    <w:rsid w:val="001B4021"/>
    <w:rsid w:val="001B4611"/>
    <w:rsid w:val="001B4EB0"/>
    <w:rsid w:val="001B4F98"/>
    <w:rsid w:val="001B5CAE"/>
    <w:rsid w:val="001B6036"/>
    <w:rsid w:val="001B655C"/>
    <w:rsid w:val="001B69AB"/>
    <w:rsid w:val="001B6E0D"/>
    <w:rsid w:val="001B6F60"/>
    <w:rsid w:val="001B73B7"/>
    <w:rsid w:val="001B74A4"/>
    <w:rsid w:val="001B74B0"/>
    <w:rsid w:val="001B76B5"/>
    <w:rsid w:val="001C024C"/>
    <w:rsid w:val="001C0928"/>
    <w:rsid w:val="001C1A71"/>
    <w:rsid w:val="001C2803"/>
    <w:rsid w:val="001C29FA"/>
    <w:rsid w:val="001C4022"/>
    <w:rsid w:val="001C420A"/>
    <w:rsid w:val="001C4AFD"/>
    <w:rsid w:val="001C4FD9"/>
    <w:rsid w:val="001C664A"/>
    <w:rsid w:val="001C6972"/>
    <w:rsid w:val="001C71EC"/>
    <w:rsid w:val="001C739D"/>
    <w:rsid w:val="001C7BA8"/>
    <w:rsid w:val="001D0022"/>
    <w:rsid w:val="001D00FA"/>
    <w:rsid w:val="001D054A"/>
    <w:rsid w:val="001D1466"/>
    <w:rsid w:val="001D1701"/>
    <w:rsid w:val="001D1831"/>
    <w:rsid w:val="001D1E57"/>
    <w:rsid w:val="001D3B6C"/>
    <w:rsid w:val="001D4BED"/>
    <w:rsid w:val="001D52E9"/>
    <w:rsid w:val="001D5D94"/>
    <w:rsid w:val="001D63A1"/>
    <w:rsid w:val="001D750C"/>
    <w:rsid w:val="001D7B38"/>
    <w:rsid w:val="001D7B85"/>
    <w:rsid w:val="001E0067"/>
    <w:rsid w:val="001E0831"/>
    <w:rsid w:val="001E0922"/>
    <w:rsid w:val="001E0D3C"/>
    <w:rsid w:val="001E12A6"/>
    <w:rsid w:val="001E2625"/>
    <w:rsid w:val="001E2A1F"/>
    <w:rsid w:val="001E2E12"/>
    <w:rsid w:val="001E2FFA"/>
    <w:rsid w:val="001E3CA3"/>
    <w:rsid w:val="001E3E7E"/>
    <w:rsid w:val="001E4356"/>
    <w:rsid w:val="001E508C"/>
    <w:rsid w:val="001E53AD"/>
    <w:rsid w:val="001E661A"/>
    <w:rsid w:val="001E6B20"/>
    <w:rsid w:val="001E77A1"/>
    <w:rsid w:val="001E7B0C"/>
    <w:rsid w:val="001E7D59"/>
    <w:rsid w:val="001E7DF8"/>
    <w:rsid w:val="001F0394"/>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0E81"/>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CD5"/>
    <w:rsid w:val="00207FF3"/>
    <w:rsid w:val="002101B7"/>
    <w:rsid w:val="00210F8A"/>
    <w:rsid w:val="00211CAD"/>
    <w:rsid w:val="00211D66"/>
    <w:rsid w:val="00211E3C"/>
    <w:rsid w:val="00211EDC"/>
    <w:rsid w:val="00212288"/>
    <w:rsid w:val="00213351"/>
    <w:rsid w:val="00214289"/>
    <w:rsid w:val="002144E1"/>
    <w:rsid w:val="002147DC"/>
    <w:rsid w:val="00215005"/>
    <w:rsid w:val="0021550D"/>
    <w:rsid w:val="002155CF"/>
    <w:rsid w:val="0021615C"/>
    <w:rsid w:val="002168F9"/>
    <w:rsid w:val="0021751F"/>
    <w:rsid w:val="00217611"/>
    <w:rsid w:val="0021764D"/>
    <w:rsid w:val="0022043E"/>
    <w:rsid w:val="002205B2"/>
    <w:rsid w:val="00220839"/>
    <w:rsid w:val="00220A69"/>
    <w:rsid w:val="00220BA5"/>
    <w:rsid w:val="0022176C"/>
    <w:rsid w:val="002219DC"/>
    <w:rsid w:val="00221EC7"/>
    <w:rsid w:val="00222489"/>
    <w:rsid w:val="00222B57"/>
    <w:rsid w:val="002231FF"/>
    <w:rsid w:val="00223227"/>
    <w:rsid w:val="00224302"/>
    <w:rsid w:val="00224547"/>
    <w:rsid w:val="00224CDF"/>
    <w:rsid w:val="00225330"/>
    <w:rsid w:val="0022538B"/>
    <w:rsid w:val="002255C3"/>
    <w:rsid w:val="00225797"/>
    <w:rsid w:val="00226AD9"/>
    <w:rsid w:val="00226B0F"/>
    <w:rsid w:val="002272E4"/>
    <w:rsid w:val="002278C7"/>
    <w:rsid w:val="002279E5"/>
    <w:rsid w:val="00227A42"/>
    <w:rsid w:val="00227C8A"/>
    <w:rsid w:val="00230014"/>
    <w:rsid w:val="002302C9"/>
    <w:rsid w:val="00230A58"/>
    <w:rsid w:val="00230B11"/>
    <w:rsid w:val="0023234F"/>
    <w:rsid w:val="002325F4"/>
    <w:rsid w:val="00232DDA"/>
    <w:rsid w:val="00232F63"/>
    <w:rsid w:val="00234013"/>
    <w:rsid w:val="0023438E"/>
    <w:rsid w:val="00234F0F"/>
    <w:rsid w:val="0023591C"/>
    <w:rsid w:val="002360FA"/>
    <w:rsid w:val="00236564"/>
    <w:rsid w:val="00236637"/>
    <w:rsid w:val="00236722"/>
    <w:rsid w:val="0023674E"/>
    <w:rsid w:val="0023691E"/>
    <w:rsid w:val="002369DB"/>
    <w:rsid w:val="00236BEC"/>
    <w:rsid w:val="002375FC"/>
    <w:rsid w:val="00237848"/>
    <w:rsid w:val="00237978"/>
    <w:rsid w:val="00237E55"/>
    <w:rsid w:val="00237F44"/>
    <w:rsid w:val="002407FB"/>
    <w:rsid w:val="002411DE"/>
    <w:rsid w:val="00241498"/>
    <w:rsid w:val="002418DC"/>
    <w:rsid w:val="00243D6D"/>
    <w:rsid w:val="00243F37"/>
    <w:rsid w:val="0024472F"/>
    <w:rsid w:val="00244C19"/>
    <w:rsid w:val="00245021"/>
    <w:rsid w:val="00245782"/>
    <w:rsid w:val="00245985"/>
    <w:rsid w:val="00245E3B"/>
    <w:rsid w:val="002478D9"/>
    <w:rsid w:val="00247A1D"/>
    <w:rsid w:val="00247F7B"/>
    <w:rsid w:val="0025002D"/>
    <w:rsid w:val="00250242"/>
    <w:rsid w:val="00250496"/>
    <w:rsid w:val="002507FE"/>
    <w:rsid w:val="00251B6F"/>
    <w:rsid w:val="0025217D"/>
    <w:rsid w:val="00252625"/>
    <w:rsid w:val="0025262C"/>
    <w:rsid w:val="002531FC"/>
    <w:rsid w:val="0025329F"/>
    <w:rsid w:val="00253613"/>
    <w:rsid w:val="00253B93"/>
    <w:rsid w:val="0025476E"/>
    <w:rsid w:val="002547F7"/>
    <w:rsid w:val="00254968"/>
    <w:rsid w:val="00254BA9"/>
    <w:rsid w:val="00255423"/>
    <w:rsid w:val="0025572D"/>
    <w:rsid w:val="00255984"/>
    <w:rsid w:val="00255CCE"/>
    <w:rsid w:val="00255EAF"/>
    <w:rsid w:val="00256114"/>
    <w:rsid w:val="002562D6"/>
    <w:rsid w:val="002564D6"/>
    <w:rsid w:val="00256C54"/>
    <w:rsid w:val="00256DFF"/>
    <w:rsid w:val="002570FA"/>
    <w:rsid w:val="0026027F"/>
    <w:rsid w:val="00260F1E"/>
    <w:rsid w:val="002611A5"/>
    <w:rsid w:val="00261576"/>
    <w:rsid w:val="00261744"/>
    <w:rsid w:val="00261BAC"/>
    <w:rsid w:val="00261DA0"/>
    <w:rsid w:val="0026216E"/>
    <w:rsid w:val="0026241D"/>
    <w:rsid w:val="002641DC"/>
    <w:rsid w:val="0026448B"/>
    <w:rsid w:val="00264C20"/>
    <w:rsid w:val="00264E88"/>
    <w:rsid w:val="00265351"/>
    <w:rsid w:val="0026686D"/>
    <w:rsid w:val="00266BFD"/>
    <w:rsid w:val="00267BD6"/>
    <w:rsid w:val="00267C04"/>
    <w:rsid w:val="00267E35"/>
    <w:rsid w:val="00270E72"/>
    <w:rsid w:val="002710FD"/>
    <w:rsid w:val="00271BCA"/>
    <w:rsid w:val="00272420"/>
    <w:rsid w:val="002738C6"/>
    <w:rsid w:val="00273BA2"/>
    <w:rsid w:val="002740E7"/>
    <w:rsid w:val="002742A0"/>
    <w:rsid w:val="00274CCB"/>
    <w:rsid w:val="00274CD6"/>
    <w:rsid w:val="00274F2B"/>
    <w:rsid w:val="0027535A"/>
    <w:rsid w:val="00275E7E"/>
    <w:rsid w:val="002760D9"/>
    <w:rsid w:val="002765B9"/>
    <w:rsid w:val="0027660C"/>
    <w:rsid w:val="002767EF"/>
    <w:rsid w:val="00276807"/>
    <w:rsid w:val="00276C12"/>
    <w:rsid w:val="0027742E"/>
    <w:rsid w:val="00277593"/>
    <w:rsid w:val="0027771D"/>
    <w:rsid w:val="00277CF3"/>
    <w:rsid w:val="002801A0"/>
    <w:rsid w:val="002812E7"/>
    <w:rsid w:val="00282DCB"/>
    <w:rsid w:val="00283D26"/>
    <w:rsid w:val="00284AC3"/>
    <w:rsid w:val="00284FF6"/>
    <w:rsid w:val="00285515"/>
    <w:rsid w:val="00285673"/>
    <w:rsid w:val="00285C5E"/>
    <w:rsid w:val="0028633A"/>
    <w:rsid w:val="00286551"/>
    <w:rsid w:val="00287D9B"/>
    <w:rsid w:val="00287FD2"/>
    <w:rsid w:val="00290372"/>
    <w:rsid w:val="00290A74"/>
    <w:rsid w:val="00291601"/>
    <w:rsid w:val="00291EFF"/>
    <w:rsid w:val="00291F50"/>
    <w:rsid w:val="00293727"/>
    <w:rsid w:val="00294111"/>
    <w:rsid w:val="002946E1"/>
    <w:rsid w:val="00295614"/>
    <w:rsid w:val="00296ACA"/>
    <w:rsid w:val="00297036"/>
    <w:rsid w:val="00297929"/>
    <w:rsid w:val="00297B8E"/>
    <w:rsid w:val="00297BEB"/>
    <w:rsid w:val="00297F0C"/>
    <w:rsid w:val="002A01A3"/>
    <w:rsid w:val="002A02E1"/>
    <w:rsid w:val="002A040E"/>
    <w:rsid w:val="002A08DE"/>
    <w:rsid w:val="002A0A53"/>
    <w:rsid w:val="002A0DE3"/>
    <w:rsid w:val="002A2059"/>
    <w:rsid w:val="002A21FD"/>
    <w:rsid w:val="002A2F30"/>
    <w:rsid w:val="002A3055"/>
    <w:rsid w:val="002A4649"/>
    <w:rsid w:val="002A4980"/>
    <w:rsid w:val="002A6385"/>
    <w:rsid w:val="002A674E"/>
    <w:rsid w:val="002A6C27"/>
    <w:rsid w:val="002A7413"/>
    <w:rsid w:val="002A7595"/>
    <w:rsid w:val="002A77F5"/>
    <w:rsid w:val="002A7D6D"/>
    <w:rsid w:val="002B0C83"/>
    <w:rsid w:val="002B1DB5"/>
    <w:rsid w:val="002B20BA"/>
    <w:rsid w:val="002B2389"/>
    <w:rsid w:val="002B29DD"/>
    <w:rsid w:val="002B315C"/>
    <w:rsid w:val="002B32B1"/>
    <w:rsid w:val="002B333E"/>
    <w:rsid w:val="002B3763"/>
    <w:rsid w:val="002B4556"/>
    <w:rsid w:val="002B5649"/>
    <w:rsid w:val="002B5E75"/>
    <w:rsid w:val="002B5E82"/>
    <w:rsid w:val="002B657A"/>
    <w:rsid w:val="002B68F2"/>
    <w:rsid w:val="002B6B21"/>
    <w:rsid w:val="002B743A"/>
    <w:rsid w:val="002B76BA"/>
    <w:rsid w:val="002B799D"/>
    <w:rsid w:val="002B7BCC"/>
    <w:rsid w:val="002B7D05"/>
    <w:rsid w:val="002B7DE6"/>
    <w:rsid w:val="002B7F21"/>
    <w:rsid w:val="002C00DC"/>
    <w:rsid w:val="002C0E9C"/>
    <w:rsid w:val="002C2622"/>
    <w:rsid w:val="002C3239"/>
    <w:rsid w:val="002C37B7"/>
    <w:rsid w:val="002C43B4"/>
    <w:rsid w:val="002C55E3"/>
    <w:rsid w:val="002C5946"/>
    <w:rsid w:val="002C603D"/>
    <w:rsid w:val="002C6B76"/>
    <w:rsid w:val="002C7356"/>
    <w:rsid w:val="002C7828"/>
    <w:rsid w:val="002C7BA7"/>
    <w:rsid w:val="002C7D87"/>
    <w:rsid w:val="002D01DE"/>
    <w:rsid w:val="002D051E"/>
    <w:rsid w:val="002D0DEA"/>
    <w:rsid w:val="002D273E"/>
    <w:rsid w:val="002D33E0"/>
    <w:rsid w:val="002D371F"/>
    <w:rsid w:val="002D3AB0"/>
    <w:rsid w:val="002D41F6"/>
    <w:rsid w:val="002D4830"/>
    <w:rsid w:val="002D4DF6"/>
    <w:rsid w:val="002D4E8F"/>
    <w:rsid w:val="002D5394"/>
    <w:rsid w:val="002D5407"/>
    <w:rsid w:val="002D5792"/>
    <w:rsid w:val="002D5D53"/>
    <w:rsid w:val="002D6A13"/>
    <w:rsid w:val="002D6C18"/>
    <w:rsid w:val="002D6F83"/>
    <w:rsid w:val="002D7957"/>
    <w:rsid w:val="002D7BF8"/>
    <w:rsid w:val="002E14EB"/>
    <w:rsid w:val="002E1A78"/>
    <w:rsid w:val="002E1B21"/>
    <w:rsid w:val="002E1B48"/>
    <w:rsid w:val="002E1EAE"/>
    <w:rsid w:val="002E21EA"/>
    <w:rsid w:val="002E2267"/>
    <w:rsid w:val="002E2911"/>
    <w:rsid w:val="002E2C62"/>
    <w:rsid w:val="002E2E76"/>
    <w:rsid w:val="002E3048"/>
    <w:rsid w:val="002E4448"/>
    <w:rsid w:val="002E46BF"/>
    <w:rsid w:val="002E5081"/>
    <w:rsid w:val="002E53F7"/>
    <w:rsid w:val="002E59F6"/>
    <w:rsid w:val="002E5EAE"/>
    <w:rsid w:val="002E6000"/>
    <w:rsid w:val="002E6205"/>
    <w:rsid w:val="002E6568"/>
    <w:rsid w:val="002E665B"/>
    <w:rsid w:val="002E6ADC"/>
    <w:rsid w:val="002E6C0D"/>
    <w:rsid w:val="002E7192"/>
    <w:rsid w:val="002E7412"/>
    <w:rsid w:val="002E78C1"/>
    <w:rsid w:val="002E7F4D"/>
    <w:rsid w:val="002F0009"/>
    <w:rsid w:val="002F075B"/>
    <w:rsid w:val="002F1752"/>
    <w:rsid w:val="002F2087"/>
    <w:rsid w:val="002F328C"/>
    <w:rsid w:val="002F3538"/>
    <w:rsid w:val="002F3988"/>
    <w:rsid w:val="002F41FA"/>
    <w:rsid w:val="002F46CD"/>
    <w:rsid w:val="002F5D4C"/>
    <w:rsid w:val="002F5DD0"/>
    <w:rsid w:val="002F7325"/>
    <w:rsid w:val="002F7656"/>
    <w:rsid w:val="00300BB2"/>
    <w:rsid w:val="003018FB"/>
    <w:rsid w:val="00301D3C"/>
    <w:rsid w:val="00301D7B"/>
    <w:rsid w:val="003023EE"/>
    <w:rsid w:val="00302A67"/>
    <w:rsid w:val="00302C68"/>
    <w:rsid w:val="0030325C"/>
    <w:rsid w:val="00303DDE"/>
    <w:rsid w:val="00303F74"/>
    <w:rsid w:val="003047C1"/>
    <w:rsid w:val="00304AA6"/>
    <w:rsid w:val="00304CA8"/>
    <w:rsid w:val="00305C05"/>
    <w:rsid w:val="0030677A"/>
    <w:rsid w:val="0030714F"/>
    <w:rsid w:val="00307240"/>
    <w:rsid w:val="00307248"/>
    <w:rsid w:val="0030736A"/>
    <w:rsid w:val="003073F1"/>
    <w:rsid w:val="00307464"/>
    <w:rsid w:val="00307811"/>
    <w:rsid w:val="00310311"/>
    <w:rsid w:val="0031149C"/>
    <w:rsid w:val="003115AC"/>
    <w:rsid w:val="003115C0"/>
    <w:rsid w:val="003117C0"/>
    <w:rsid w:val="003118E5"/>
    <w:rsid w:val="00311919"/>
    <w:rsid w:val="00311CDB"/>
    <w:rsid w:val="00311FA0"/>
    <w:rsid w:val="00312AE2"/>
    <w:rsid w:val="00312BB1"/>
    <w:rsid w:val="00312E8B"/>
    <w:rsid w:val="003138C9"/>
    <w:rsid w:val="00313BBB"/>
    <w:rsid w:val="003140B5"/>
    <w:rsid w:val="003166AC"/>
    <w:rsid w:val="00320481"/>
    <w:rsid w:val="00321D9F"/>
    <w:rsid w:val="00322804"/>
    <w:rsid w:val="003229F3"/>
    <w:rsid w:val="00322B46"/>
    <w:rsid w:val="00323297"/>
    <w:rsid w:val="00323EF7"/>
    <w:rsid w:val="003256A4"/>
    <w:rsid w:val="00325AC8"/>
    <w:rsid w:val="00325F5C"/>
    <w:rsid w:val="00326254"/>
    <w:rsid w:val="003267C9"/>
    <w:rsid w:val="003279B7"/>
    <w:rsid w:val="00327C64"/>
    <w:rsid w:val="00330134"/>
    <w:rsid w:val="003304E4"/>
    <w:rsid w:val="00330611"/>
    <w:rsid w:val="003306F7"/>
    <w:rsid w:val="0033103F"/>
    <w:rsid w:val="00333073"/>
    <w:rsid w:val="00333279"/>
    <w:rsid w:val="00334158"/>
    <w:rsid w:val="0033434D"/>
    <w:rsid w:val="00334A79"/>
    <w:rsid w:val="00335080"/>
    <w:rsid w:val="00335518"/>
    <w:rsid w:val="003370E0"/>
    <w:rsid w:val="003375B3"/>
    <w:rsid w:val="003376CB"/>
    <w:rsid w:val="0033785B"/>
    <w:rsid w:val="00340673"/>
    <w:rsid w:val="00340B54"/>
    <w:rsid w:val="003414D4"/>
    <w:rsid w:val="003417D7"/>
    <w:rsid w:val="00341832"/>
    <w:rsid w:val="00343728"/>
    <w:rsid w:val="0034389C"/>
    <w:rsid w:val="00343BEF"/>
    <w:rsid w:val="00344297"/>
    <w:rsid w:val="003446E5"/>
    <w:rsid w:val="0034482D"/>
    <w:rsid w:val="003448E7"/>
    <w:rsid w:val="003450AE"/>
    <w:rsid w:val="0034516D"/>
    <w:rsid w:val="00345277"/>
    <w:rsid w:val="0034535A"/>
    <w:rsid w:val="00345830"/>
    <w:rsid w:val="00345ABA"/>
    <w:rsid w:val="00346DEE"/>
    <w:rsid w:val="003471BE"/>
    <w:rsid w:val="00347778"/>
    <w:rsid w:val="00347D67"/>
    <w:rsid w:val="00347E3A"/>
    <w:rsid w:val="00347EC8"/>
    <w:rsid w:val="00350384"/>
    <w:rsid w:val="00350A3F"/>
    <w:rsid w:val="0035100A"/>
    <w:rsid w:val="00351CE4"/>
    <w:rsid w:val="003524E6"/>
    <w:rsid w:val="00352B0A"/>
    <w:rsid w:val="00352FFF"/>
    <w:rsid w:val="00353232"/>
    <w:rsid w:val="003539BC"/>
    <w:rsid w:val="00354018"/>
    <w:rsid w:val="00354670"/>
    <w:rsid w:val="00354DF0"/>
    <w:rsid w:val="0035583A"/>
    <w:rsid w:val="00356141"/>
    <w:rsid w:val="003563B2"/>
    <w:rsid w:val="0035696F"/>
    <w:rsid w:val="00356A78"/>
    <w:rsid w:val="00356EEE"/>
    <w:rsid w:val="003575F6"/>
    <w:rsid w:val="00360A4E"/>
    <w:rsid w:val="00361776"/>
    <w:rsid w:val="0036178C"/>
    <w:rsid w:val="00361A80"/>
    <w:rsid w:val="00361B6E"/>
    <w:rsid w:val="003629DD"/>
    <w:rsid w:val="00362E76"/>
    <w:rsid w:val="00363071"/>
    <w:rsid w:val="003633A6"/>
    <w:rsid w:val="00363B21"/>
    <w:rsid w:val="00363CEF"/>
    <w:rsid w:val="00363F91"/>
    <w:rsid w:val="00364DE5"/>
    <w:rsid w:val="00365095"/>
    <w:rsid w:val="0036564F"/>
    <w:rsid w:val="003656C3"/>
    <w:rsid w:val="00365708"/>
    <w:rsid w:val="00366494"/>
    <w:rsid w:val="00366840"/>
    <w:rsid w:val="00366E68"/>
    <w:rsid w:val="00371AAE"/>
    <w:rsid w:val="00371F07"/>
    <w:rsid w:val="003727ED"/>
    <w:rsid w:val="003729F6"/>
    <w:rsid w:val="00373007"/>
    <w:rsid w:val="00373395"/>
    <w:rsid w:val="003734F5"/>
    <w:rsid w:val="0037400F"/>
    <w:rsid w:val="00374685"/>
    <w:rsid w:val="00374910"/>
    <w:rsid w:val="00374959"/>
    <w:rsid w:val="00374B8F"/>
    <w:rsid w:val="00374D00"/>
    <w:rsid w:val="003751C1"/>
    <w:rsid w:val="0037549A"/>
    <w:rsid w:val="00375734"/>
    <w:rsid w:val="003758AC"/>
    <w:rsid w:val="00375A2E"/>
    <w:rsid w:val="00375D20"/>
    <w:rsid w:val="00375D4F"/>
    <w:rsid w:val="00376871"/>
    <w:rsid w:val="003771DF"/>
    <w:rsid w:val="00377350"/>
    <w:rsid w:val="00377601"/>
    <w:rsid w:val="00377804"/>
    <w:rsid w:val="00377BF9"/>
    <w:rsid w:val="00377F25"/>
    <w:rsid w:val="0038011D"/>
    <w:rsid w:val="00380353"/>
    <w:rsid w:val="003804F9"/>
    <w:rsid w:val="00380A93"/>
    <w:rsid w:val="00380EC1"/>
    <w:rsid w:val="003820A0"/>
    <w:rsid w:val="00382111"/>
    <w:rsid w:val="0038214D"/>
    <w:rsid w:val="003822D2"/>
    <w:rsid w:val="003824BA"/>
    <w:rsid w:val="00382E5E"/>
    <w:rsid w:val="0038386F"/>
    <w:rsid w:val="00384D12"/>
    <w:rsid w:val="003851C7"/>
    <w:rsid w:val="003851D9"/>
    <w:rsid w:val="0038702D"/>
    <w:rsid w:val="00387C5A"/>
    <w:rsid w:val="00391553"/>
    <w:rsid w:val="00391AE7"/>
    <w:rsid w:val="00392513"/>
    <w:rsid w:val="00393235"/>
    <w:rsid w:val="003937B3"/>
    <w:rsid w:val="003937D7"/>
    <w:rsid w:val="0039381A"/>
    <w:rsid w:val="0039432D"/>
    <w:rsid w:val="00394ADC"/>
    <w:rsid w:val="00394D7F"/>
    <w:rsid w:val="0039519A"/>
    <w:rsid w:val="00395CF9"/>
    <w:rsid w:val="00396237"/>
    <w:rsid w:val="003966E1"/>
    <w:rsid w:val="00396CE9"/>
    <w:rsid w:val="00397043"/>
    <w:rsid w:val="00397623"/>
    <w:rsid w:val="00397848"/>
    <w:rsid w:val="00397F4B"/>
    <w:rsid w:val="003A0447"/>
    <w:rsid w:val="003A062E"/>
    <w:rsid w:val="003A1297"/>
    <w:rsid w:val="003A1357"/>
    <w:rsid w:val="003A1DC9"/>
    <w:rsid w:val="003A28F8"/>
    <w:rsid w:val="003A2C71"/>
    <w:rsid w:val="003A3BEC"/>
    <w:rsid w:val="003A40BB"/>
    <w:rsid w:val="003A4AB9"/>
    <w:rsid w:val="003A570A"/>
    <w:rsid w:val="003A5A32"/>
    <w:rsid w:val="003A5DCC"/>
    <w:rsid w:val="003A6854"/>
    <w:rsid w:val="003A6E70"/>
    <w:rsid w:val="003A6F43"/>
    <w:rsid w:val="003A7106"/>
    <w:rsid w:val="003B0A4B"/>
    <w:rsid w:val="003B0C78"/>
    <w:rsid w:val="003B0D91"/>
    <w:rsid w:val="003B0FE2"/>
    <w:rsid w:val="003B120D"/>
    <w:rsid w:val="003B14F8"/>
    <w:rsid w:val="003B1AB8"/>
    <w:rsid w:val="003B212F"/>
    <w:rsid w:val="003B2233"/>
    <w:rsid w:val="003B256C"/>
    <w:rsid w:val="003B25A7"/>
    <w:rsid w:val="003B2AAE"/>
    <w:rsid w:val="003B2BAC"/>
    <w:rsid w:val="003B2BEB"/>
    <w:rsid w:val="003B3B2E"/>
    <w:rsid w:val="003B3B9D"/>
    <w:rsid w:val="003B458F"/>
    <w:rsid w:val="003B46EE"/>
    <w:rsid w:val="003B5040"/>
    <w:rsid w:val="003B52BF"/>
    <w:rsid w:val="003B5A45"/>
    <w:rsid w:val="003B6968"/>
    <w:rsid w:val="003C0498"/>
    <w:rsid w:val="003C0D1F"/>
    <w:rsid w:val="003C1089"/>
    <w:rsid w:val="003C1338"/>
    <w:rsid w:val="003C1596"/>
    <w:rsid w:val="003C18EF"/>
    <w:rsid w:val="003C1F74"/>
    <w:rsid w:val="003C27BA"/>
    <w:rsid w:val="003C285D"/>
    <w:rsid w:val="003C317D"/>
    <w:rsid w:val="003C391B"/>
    <w:rsid w:val="003C5977"/>
    <w:rsid w:val="003C5F22"/>
    <w:rsid w:val="003C6027"/>
    <w:rsid w:val="003C6305"/>
    <w:rsid w:val="003C66BD"/>
    <w:rsid w:val="003C6EBD"/>
    <w:rsid w:val="003C76A3"/>
    <w:rsid w:val="003C7779"/>
    <w:rsid w:val="003C779B"/>
    <w:rsid w:val="003C77D2"/>
    <w:rsid w:val="003D1F8F"/>
    <w:rsid w:val="003D2680"/>
    <w:rsid w:val="003D27F6"/>
    <w:rsid w:val="003D3349"/>
    <w:rsid w:val="003D3F6D"/>
    <w:rsid w:val="003D42F0"/>
    <w:rsid w:val="003D470B"/>
    <w:rsid w:val="003D49FB"/>
    <w:rsid w:val="003D4DFB"/>
    <w:rsid w:val="003D5160"/>
    <w:rsid w:val="003D5E20"/>
    <w:rsid w:val="003D5EEC"/>
    <w:rsid w:val="003D630E"/>
    <w:rsid w:val="003D6E43"/>
    <w:rsid w:val="003D72BB"/>
    <w:rsid w:val="003D73EE"/>
    <w:rsid w:val="003D754E"/>
    <w:rsid w:val="003E01EA"/>
    <w:rsid w:val="003E0B15"/>
    <w:rsid w:val="003E0CED"/>
    <w:rsid w:val="003E0ECB"/>
    <w:rsid w:val="003E1AEE"/>
    <w:rsid w:val="003E1C09"/>
    <w:rsid w:val="003E1D6E"/>
    <w:rsid w:val="003E2E5B"/>
    <w:rsid w:val="003E31ED"/>
    <w:rsid w:val="003E3851"/>
    <w:rsid w:val="003E3C21"/>
    <w:rsid w:val="003E3E33"/>
    <w:rsid w:val="003E40DA"/>
    <w:rsid w:val="003E4108"/>
    <w:rsid w:val="003E4542"/>
    <w:rsid w:val="003E4586"/>
    <w:rsid w:val="003E4EA3"/>
    <w:rsid w:val="003E4FFD"/>
    <w:rsid w:val="003E50CF"/>
    <w:rsid w:val="003E590F"/>
    <w:rsid w:val="003E6A83"/>
    <w:rsid w:val="003E6CAF"/>
    <w:rsid w:val="003E6F86"/>
    <w:rsid w:val="003E7291"/>
    <w:rsid w:val="003E787B"/>
    <w:rsid w:val="003E7912"/>
    <w:rsid w:val="003F022A"/>
    <w:rsid w:val="003F0317"/>
    <w:rsid w:val="003F0420"/>
    <w:rsid w:val="003F052A"/>
    <w:rsid w:val="003F068E"/>
    <w:rsid w:val="003F0887"/>
    <w:rsid w:val="003F0888"/>
    <w:rsid w:val="003F100B"/>
    <w:rsid w:val="003F1A84"/>
    <w:rsid w:val="003F1E62"/>
    <w:rsid w:val="003F2448"/>
    <w:rsid w:val="003F2698"/>
    <w:rsid w:val="003F31D7"/>
    <w:rsid w:val="003F4207"/>
    <w:rsid w:val="003F4509"/>
    <w:rsid w:val="003F466C"/>
    <w:rsid w:val="003F4E83"/>
    <w:rsid w:val="003F548B"/>
    <w:rsid w:val="003F54D4"/>
    <w:rsid w:val="003F5726"/>
    <w:rsid w:val="003F57B0"/>
    <w:rsid w:val="003F5A69"/>
    <w:rsid w:val="003F5B30"/>
    <w:rsid w:val="003F6301"/>
    <w:rsid w:val="003F6A4F"/>
    <w:rsid w:val="003F7614"/>
    <w:rsid w:val="003F7A1F"/>
    <w:rsid w:val="0040031B"/>
    <w:rsid w:val="004008DB"/>
    <w:rsid w:val="0040117D"/>
    <w:rsid w:val="00401666"/>
    <w:rsid w:val="004029FD"/>
    <w:rsid w:val="00403E91"/>
    <w:rsid w:val="0040438A"/>
    <w:rsid w:val="004050A0"/>
    <w:rsid w:val="0040548C"/>
    <w:rsid w:val="00405608"/>
    <w:rsid w:val="004068C9"/>
    <w:rsid w:val="00406B71"/>
    <w:rsid w:val="00407DDB"/>
    <w:rsid w:val="00410124"/>
    <w:rsid w:val="0041076B"/>
    <w:rsid w:val="004113CF"/>
    <w:rsid w:val="00411581"/>
    <w:rsid w:val="0041301A"/>
    <w:rsid w:val="004131D3"/>
    <w:rsid w:val="0041380D"/>
    <w:rsid w:val="00413D43"/>
    <w:rsid w:val="0041415C"/>
    <w:rsid w:val="0041479F"/>
    <w:rsid w:val="00414BEC"/>
    <w:rsid w:val="00415398"/>
    <w:rsid w:val="00415402"/>
    <w:rsid w:val="004156DC"/>
    <w:rsid w:val="00415798"/>
    <w:rsid w:val="00415957"/>
    <w:rsid w:val="00415F03"/>
    <w:rsid w:val="004174B0"/>
    <w:rsid w:val="00417E51"/>
    <w:rsid w:val="0042057C"/>
    <w:rsid w:val="004209EA"/>
    <w:rsid w:val="00420CA5"/>
    <w:rsid w:val="00420DD4"/>
    <w:rsid w:val="00420F48"/>
    <w:rsid w:val="004220B1"/>
    <w:rsid w:val="004220D7"/>
    <w:rsid w:val="00422220"/>
    <w:rsid w:val="00422ADD"/>
    <w:rsid w:val="004234AF"/>
    <w:rsid w:val="00424C7A"/>
    <w:rsid w:val="0042571C"/>
    <w:rsid w:val="00425AAC"/>
    <w:rsid w:val="00425AEC"/>
    <w:rsid w:val="00425FB4"/>
    <w:rsid w:val="004261B3"/>
    <w:rsid w:val="00426790"/>
    <w:rsid w:val="004269A9"/>
    <w:rsid w:val="00426A00"/>
    <w:rsid w:val="00426A5B"/>
    <w:rsid w:val="00426A6A"/>
    <w:rsid w:val="00426DD0"/>
    <w:rsid w:val="00427237"/>
    <w:rsid w:val="0042766D"/>
    <w:rsid w:val="00427957"/>
    <w:rsid w:val="00427E0A"/>
    <w:rsid w:val="00430565"/>
    <w:rsid w:val="00430652"/>
    <w:rsid w:val="004307FC"/>
    <w:rsid w:val="00430A84"/>
    <w:rsid w:val="00430BB0"/>
    <w:rsid w:val="00430D09"/>
    <w:rsid w:val="00430D86"/>
    <w:rsid w:val="00431BE2"/>
    <w:rsid w:val="00431F4B"/>
    <w:rsid w:val="00432DC4"/>
    <w:rsid w:val="004339F5"/>
    <w:rsid w:val="00433C95"/>
    <w:rsid w:val="00433D21"/>
    <w:rsid w:val="0043440E"/>
    <w:rsid w:val="0043494C"/>
    <w:rsid w:val="0043556C"/>
    <w:rsid w:val="004375DA"/>
    <w:rsid w:val="00437F01"/>
    <w:rsid w:val="0044070C"/>
    <w:rsid w:val="0044075F"/>
    <w:rsid w:val="00440A8F"/>
    <w:rsid w:val="00440BAD"/>
    <w:rsid w:val="004421A8"/>
    <w:rsid w:val="00442798"/>
    <w:rsid w:val="00442928"/>
    <w:rsid w:val="00442A96"/>
    <w:rsid w:val="00442C81"/>
    <w:rsid w:val="00442DFF"/>
    <w:rsid w:val="004430BF"/>
    <w:rsid w:val="004437BD"/>
    <w:rsid w:val="004448D8"/>
    <w:rsid w:val="0044509E"/>
    <w:rsid w:val="004457AE"/>
    <w:rsid w:val="0044619D"/>
    <w:rsid w:val="00447D88"/>
    <w:rsid w:val="00450049"/>
    <w:rsid w:val="0045006E"/>
    <w:rsid w:val="0045177C"/>
    <w:rsid w:val="00451BBA"/>
    <w:rsid w:val="00451D1D"/>
    <w:rsid w:val="00452F50"/>
    <w:rsid w:val="00453A75"/>
    <w:rsid w:val="00453B02"/>
    <w:rsid w:val="00454243"/>
    <w:rsid w:val="00454424"/>
    <w:rsid w:val="00454BED"/>
    <w:rsid w:val="00454C54"/>
    <w:rsid w:val="00455279"/>
    <w:rsid w:val="004557DD"/>
    <w:rsid w:val="00455E98"/>
    <w:rsid w:val="0045602B"/>
    <w:rsid w:val="0045606E"/>
    <w:rsid w:val="0045614F"/>
    <w:rsid w:val="00456227"/>
    <w:rsid w:val="004563D6"/>
    <w:rsid w:val="00456C0D"/>
    <w:rsid w:val="004570F9"/>
    <w:rsid w:val="0045763D"/>
    <w:rsid w:val="00457ECF"/>
    <w:rsid w:val="004608A3"/>
    <w:rsid w:val="00461A6B"/>
    <w:rsid w:val="00462007"/>
    <w:rsid w:val="004627B8"/>
    <w:rsid w:val="0046377D"/>
    <w:rsid w:val="004637B2"/>
    <w:rsid w:val="00463EB2"/>
    <w:rsid w:val="004640DF"/>
    <w:rsid w:val="004649C2"/>
    <w:rsid w:val="00464DF6"/>
    <w:rsid w:val="00464FC5"/>
    <w:rsid w:val="00465575"/>
    <w:rsid w:val="004657F9"/>
    <w:rsid w:val="00465F6D"/>
    <w:rsid w:val="004664A7"/>
    <w:rsid w:val="004664B9"/>
    <w:rsid w:val="00466AC6"/>
    <w:rsid w:val="00466B0D"/>
    <w:rsid w:val="00466E14"/>
    <w:rsid w:val="00467510"/>
    <w:rsid w:val="00467A3D"/>
    <w:rsid w:val="004700AC"/>
    <w:rsid w:val="00470227"/>
    <w:rsid w:val="00472B6A"/>
    <w:rsid w:val="00472E57"/>
    <w:rsid w:val="00474028"/>
    <w:rsid w:val="004740EF"/>
    <w:rsid w:val="00474435"/>
    <w:rsid w:val="0047473E"/>
    <w:rsid w:val="00474B77"/>
    <w:rsid w:val="0047502D"/>
    <w:rsid w:val="00475645"/>
    <w:rsid w:val="00475FCC"/>
    <w:rsid w:val="00476660"/>
    <w:rsid w:val="00476988"/>
    <w:rsid w:val="00476A78"/>
    <w:rsid w:val="00480C2D"/>
    <w:rsid w:val="00480DED"/>
    <w:rsid w:val="00481174"/>
    <w:rsid w:val="004812C6"/>
    <w:rsid w:val="0048145D"/>
    <w:rsid w:val="00481559"/>
    <w:rsid w:val="00481B3F"/>
    <w:rsid w:val="0048470C"/>
    <w:rsid w:val="00485151"/>
    <w:rsid w:val="004857F1"/>
    <w:rsid w:val="004858D0"/>
    <w:rsid w:val="00486149"/>
    <w:rsid w:val="00486552"/>
    <w:rsid w:val="004875B9"/>
    <w:rsid w:val="00490104"/>
    <w:rsid w:val="00490149"/>
    <w:rsid w:val="00490A72"/>
    <w:rsid w:val="00490F40"/>
    <w:rsid w:val="00491396"/>
    <w:rsid w:val="00491576"/>
    <w:rsid w:val="004915FF"/>
    <w:rsid w:val="0049170B"/>
    <w:rsid w:val="00491BDA"/>
    <w:rsid w:val="00491E21"/>
    <w:rsid w:val="004921C2"/>
    <w:rsid w:val="00493494"/>
    <w:rsid w:val="00493994"/>
    <w:rsid w:val="004939D6"/>
    <w:rsid w:val="00493C15"/>
    <w:rsid w:val="004940D7"/>
    <w:rsid w:val="0049465A"/>
    <w:rsid w:val="0049466B"/>
    <w:rsid w:val="0049564E"/>
    <w:rsid w:val="004958B7"/>
    <w:rsid w:val="00495BAE"/>
    <w:rsid w:val="004960C1"/>
    <w:rsid w:val="00496804"/>
    <w:rsid w:val="0049684A"/>
    <w:rsid w:val="00496DDC"/>
    <w:rsid w:val="004973A1"/>
    <w:rsid w:val="00497CB5"/>
    <w:rsid w:val="00497F31"/>
    <w:rsid w:val="004A03FB"/>
    <w:rsid w:val="004A0698"/>
    <w:rsid w:val="004A0C15"/>
    <w:rsid w:val="004A1454"/>
    <w:rsid w:val="004A15FA"/>
    <w:rsid w:val="004A16D4"/>
    <w:rsid w:val="004A2058"/>
    <w:rsid w:val="004A2223"/>
    <w:rsid w:val="004A24DF"/>
    <w:rsid w:val="004A2C1F"/>
    <w:rsid w:val="004A3267"/>
    <w:rsid w:val="004A328C"/>
    <w:rsid w:val="004A36A9"/>
    <w:rsid w:val="004A4242"/>
    <w:rsid w:val="004A4DB7"/>
    <w:rsid w:val="004A608C"/>
    <w:rsid w:val="004A6D93"/>
    <w:rsid w:val="004A7909"/>
    <w:rsid w:val="004B0056"/>
    <w:rsid w:val="004B060E"/>
    <w:rsid w:val="004B068D"/>
    <w:rsid w:val="004B06D6"/>
    <w:rsid w:val="004B0C79"/>
    <w:rsid w:val="004B1568"/>
    <w:rsid w:val="004B1C70"/>
    <w:rsid w:val="004B2FA1"/>
    <w:rsid w:val="004B329D"/>
    <w:rsid w:val="004B36FC"/>
    <w:rsid w:val="004B38E6"/>
    <w:rsid w:val="004B393E"/>
    <w:rsid w:val="004B39F4"/>
    <w:rsid w:val="004B3BDB"/>
    <w:rsid w:val="004B3FFB"/>
    <w:rsid w:val="004B445D"/>
    <w:rsid w:val="004B44BB"/>
    <w:rsid w:val="004B4692"/>
    <w:rsid w:val="004B47F1"/>
    <w:rsid w:val="004B4BF2"/>
    <w:rsid w:val="004B4D10"/>
    <w:rsid w:val="004B51EF"/>
    <w:rsid w:val="004B51F9"/>
    <w:rsid w:val="004B591F"/>
    <w:rsid w:val="004B5DCB"/>
    <w:rsid w:val="004B5EE7"/>
    <w:rsid w:val="004B60A0"/>
    <w:rsid w:val="004B66C6"/>
    <w:rsid w:val="004B66DB"/>
    <w:rsid w:val="004B6EE0"/>
    <w:rsid w:val="004B75E0"/>
    <w:rsid w:val="004B7BEA"/>
    <w:rsid w:val="004C0344"/>
    <w:rsid w:val="004C03C4"/>
    <w:rsid w:val="004C0ED5"/>
    <w:rsid w:val="004C158C"/>
    <w:rsid w:val="004C15E6"/>
    <w:rsid w:val="004C1B31"/>
    <w:rsid w:val="004C273C"/>
    <w:rsid w:val="004C29BF"/>
    <w:rsid w:val="004C4601"/>
    <w:rsid w:val="004C4675"/>
    <w:rsid w:val="004C4701"/>
    <w:rsid w:val="004C49AA"/>
    <w:rsid w:val="004C4EA5"/>
    <w:rsid w:val="004C508E"/>
    <w:rsid w:val="004C5AF2"/>
    <w:rsid w:val="004C6493"/>
    <w:rsid w:val="004C6AA9"/>
    <w:rsid w:val="004C798C"/>
    <w:rsid w:val="004C7A17"/>
    <w:rsid w:val="004D043B"/>
    <w:rsid w:val="004D071B"/>
    <w:rsid w:val="004D0FCE"/>
    <w:rsid w:val="004D1175"/>
    <w:rsid w:val="004D1E0F"/>
    <w:rsid w:val="004D2067"/>
    <w:rsid w:val="004D2689"/>
    <w:rsid w:val="004D3844"/>
    <w:rsid w:val="004D4020"/>
    <w:rsid w:val="004D408E"/>
    <w:rsid w:val="004D41ED"/>
    <w:rsid w:val="004D4CDA"/>
    <w:rsid w:val="004D56E0"/>
    <w:rsid w:val="004D5C03"/>
    <w:rsid w:val="004D62F0"/>
    <w:rsid w:val="004D6409"/>
    <w:rsid w:val="004D649A"/>
    <w:rsid w:val="004D6529"/>
    <w:rsid w:val="004D6AD3"/>
    <w:rsid w:val="004D6B52"/>
    <w:rsid w:val="004D6EBD"/>
    <w:rsid w:val="004E08DE"/>
    <w:rsid w:val="004E15AF"/>
    <w:rsid w:val="004E283F"/>
    <w:rsid w:val="004E2A10"/>
    <w:rsid w:val="004E2DBD"/>
    <w:rsid w:val="004E3733"/>
    <w:rsid w:val="004E37CF"/>
    <w:rsid w:val="004E38BD"/>
    <w:rsid w:val="004E3DAC"/>
    <w:rsid w:val="004E3EC2"/>
    <w:rsid w:val="004E4462"/>
    <w:rsid w:val="004E4F3C"/>
    <w:rsid w:val="004E4FFB"/>
    <w:rsid w:val="004E565E"/>
    <w:rsid w:val="004E58DA"/>
    <w:rsid w:val="004E5D4A"/>
    <w:rsid w:val="004E753A"/>
    <w:rsid w:val="004F04C0"/>
    <w:rsid w:val="004F06E3"/>
    <w:rsid w:val="004F08C5"/>
    <w:rsid w:val="004F0A0A"/>
    <w:rsid w:val="004F0B48"/>
    <w:rsid w:val="004F0D7A"/>
    <w:rsid w:val="004F17ED"/>
    <w:rsid w:val="004F1E3E"/>
    <w:rsid w:val="004F206C"/>
    <w:rsid w:val="004F226F"/>
    <w:rsid w:val="004F307C"/>
    <w:rsid w:val="004F4589"/>
    <w:rsid w:val="004F48B9"/>
    <w:rsid w:val="004F5661"/>
    <w:rsid w:val="004F5FBF"/>
    <w:rsid w:val="004F640A"/>
    <w:rsid w:val="004F6DDF"/>
    <w:rsid w:val="004F6EC3"/>
    <w:rsid w:val="004F7660"/>
    <w:rsid w:val="004F7B99"/>
    <w:rsid w:val="00500210"/>
    <w:rsid w:val="00500394"/>
    <w:rsid w:val="005005B3"/>
    <w:rsid w:val="005005FB"/>
    <w:rsid w:val="00501051"/>
    <w:rsid w:val="005014EB"/>
    <w:rsid w:val="00501635"/>
    <w:rsid w:val="00501D71"/>
    <w:rsid w:val="00501E1A"/>
    <w:rsid w:val="00503170"/>
    <w:rsid w:val="005036E5"/>
    <w:rsid w:val="00503F2F"/>
    <w:rsid w:val="0050498A"/>
    <w:rsid w:val="00504D93"/>
    <w:rsid w:val="00504DBB"/>
    <w:rsid w:val="00505085"/>
    <w:rsid w:val="00505DFD"/>
    <w:rsid w:val="0050613A"/>
    <w:rsid w:val="00506A90"/>
    <w:rsid w:val="00506D55"/>
    <w:rsid w:val="00506EBA"/>
    <w:rsid w:val="00507048"/>
    <w:rsid w:val="0050741D"/>
    <w:rsid w:val="0050778A"/>
    <w:rsid w:val="00507955"/>
    <w:rsid w:val="00507C3B"/>
    <w:rsid w:val="0051010A"/>
    <w:rsid w:val="00511461"/>
    <w:rsid w:val="0051209D"/>
    <w:rsid w:val="0051225A"/>
    <w:rsid w:val="00512795"/>
    <w:rsid w:val="005127FA"/>
    <w:rsid w:val="00512A30"/>
    <w:rsid w:val="00512BC0"/>
    <w:rsid w:val="00513144"/>
    <w:rsid w:val="0051334C"/>
    <w:rsid w:val="005133F3"/>
    <w:rsid w:val="00514256"/>
    <w:rsid w:val="00514734"/>
    <w:rsid w:val="0051493E"/>
    <w:rsid w:val="00514B7D"/>
    <w:rsid w:val="00515575"/>
    <w:rsid w:val="00515AA8"/>
    <w:rsid w:val="00515B6A"/>
    <w:rsid w:val="00516B61"/>
    <w:rsid w:val="00516BD9"/>
    <w:rsid w:val="0051783B"/>
    <w:rsid w:val="00517975"/>
    <w:rsid w:val="00517D74"/>
    <w:rsid w:val="005201F8"/>
    <w:rsid w:val="005210B5"/>
    <w:rsid w:val="0052130C"/>
    <w:rsid w:val="00521868"/>
    <w:rsid w:val="00521E1D"/>
    <w:rsid w:val="00522200"/>
    <w:rsid w:val="0052352F"/>
    <w:rsid w:val="0052372D"/>
    <w:rsid w:val="005254B4"/>
    <w:rsid w:val="00525E35"/>
    <w:rsid w:val="00525F78"/>
    <w:rsid w:val="00525FC8"/>
    <w:rsid w:val="0052636E"/>
    <w:rsid w:val="00526532"/>
    <w:rsid w:val="00526FE3"/>
    <w:rsid w:val="00527028"/>
    <w:rsid w:val="00527971"/>
    <w:rsid w:val="00527EB2"/>
    <w:rsid w:val="00530900"/>
    <w:rsid w:val="00531D65"/>
    <w:rsid w:val="00532AAC"/>
    <w:rsid w:val="00532C6D"/>
    <w:rsid w:val="00532F0A"/>
    <w:rsid w:val="00533DDF"/>
    <w:rsid w:val="00534371"/>
    <w:rsid w:val="00534EED"/>
    <w:rsid w:val="005356C0"/>
    <w:rsid w:val="005359FA"/>
    <w:rsid w:val="00535A2A"/>
    <w:rsid w:val="00535A46"/>
    <w:rsid w:val="005363F8"/>
    <w:rsid w:val="00536515"/>
    <w:rsid w:val="00536ABA"/>
    <w:rsid w:val="00536E91"/>
    <w:rsid w:val="00537280"/>
    <w:rsid w:val="0053765D"/>
    <w:rsid w:val="00537889"/>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4BC3"/>
    <w:rsid w:val="00544C04"/>
    <w:rsid w:val="00544E22"/>
    <w:rsid w:val="00545391"/>
    <w:rsid w:val="00545566"/>
    <w:rsid w:val="0054573E"/>
    <w:rsid w:val="005466C6"/>
    <w:rsid w:val="00547726"/>
    <w:rsid w:val="00547BDE"/>
    <w:rsid w:val="00547C66"/>
    <w:rsid w:val="0055064C"/>
    <w:rsid w:val="005507AE"/>
    <w:rsid w:val="0055152C"/>
    <w:rsid w:val="0055196E"/>
    <w:rsid w:val="00551AAA"/>
    <w:rsid w:val="00551E9F"/>
    <w:rsid w:val="005521BC"/>
    <w:rsid w:val="00553304"/>
    <w:rsid w:val="005533C4"/>
    <w:rsid w:val="00553622"/>
    <w:rsid w:val="00554137"/>
    <w:rsid w:val="00554521"/>
    <w:rsid w:val="00554879"/>
    <w:rsid w:val="005554A1"/>
    <w:rsid w:val="005559B2"/>
    <w:rsid w:val="00556435"/>
    <w:rsid w:val="00557317"/>
    <w:rsid w:val="00557B83"/>
    <w:rsid w:val="00557CD6"/>
    <w:rsid w:val="00560238"/>
    <w:rsid w:val="0056081E"/>
    <w:rsid w:val="005609C7"/>
    <w:rsid w:val="0056158C"/>
    <w:rsid w:val="00561817"/>
    <w:rsid w:val="00561920"/>
    <w:rsid w:val="005625F1"/>
    <w:rsid w:val="00562AE9"/>
    <w:rsid w:val="00562E29"/>
    <w:rsid w:val="00562F0B"/>
    <w:rsid w:val="00563709"/>
    <w:rsid w:val="00563B11"/>
    <w:rsid w:val="005641F7"/>
    <w:rsid w:val="00564905"/>
    <w:rsid w:val="00564B64"/>
    <w:rsid w:val="0056504D"/>
    <w:rsid w:val="0056534C"/>
    <w:rsid w:val="00565821"/>
    <w:rsid w:val="00566CCC"/>
    <w:rsid w:val="00566DCC"/>
    <w:rsid w:val="00567584"/>
    <w:rsid w:val="005678F5"/>
    <w:rsid w:val="00567D4A"/>
    <w:rsid w:val="005709F0"/>
    <w:rsid w:val="00571881"/>
    <w:rsid w:val="005719FC"/>
    <w:rsid w:val="00572608"/>
    <w:rsid w:val="005726BA"/>
    <w:rsid w:val="0057284F"/>
    <w:rsid w:val="005743C9"/>
    <w:rsid w:val="005748C5"/>
    <w:rsid w:val="00574B02"/>
    <w:rsid w:val="00574D60"/>
    <w:rsid w:val="00574DF9"/>
    <w:rsid w:val="00574F04"/>
    <w:rsid w:val="00575ED3"/>
    <w:rsid w:val="005767A3"/>
    <w:rsid w:val="00576C7F"/>
    <w:rsid w:val="00576ED8"/>
    <w:rsid w:val="005771B3"/>
    <w:rsid w:val="00580470"/>
    <w:rsid w:val="005804C4"/>
    <w:rsid w:val="00580570"/>
    <w:rsid w:val="00580942"/>
    <w:rsid w:val="00580ED1"/>
    <w:rsid w:val="00581526"/>
    <w:rsid w:val="00581667"/>
    <w:rsid w:val="00581795"/>
    <w:rsid w:val="0058191F"/>
    <w:rsid w:val="00581B41"/>
    <w:rsid w:val="00582A55"/>
    <w:rsid w:val="00582E13"/>
    <w:rsid w:val="0058329E"/>
    <w:rsid w:val="00583805"/>
    <w:rsid w:val="00584117"/>
    <w:rsid w:val="0058456A"/>
    <w:rsid w:val="00584A01"/>
    <w:rsid w:val="00584B48"/>
    <w:rsid w:val="00585E4F"/>
    <w:rsid w:val="00585E5F"/>
    <w:rsid w:val="0058714B"/>
    <w:rsid w:val="00587234"/>
    <w:rsid w:val="005877E4"/>
    <w:rsid w:val="00587DF9"/>
    <w:rsid w:val="00590166"/>
    <w:rsid w:val="00590418"/>
    <w:rsid w:val="005905A4"/>
    <w:rsid w:val="005905CD"/>
    <w:rsid w:val="005909A0"/>
    <w:rsid w:val="00590A11"/>
    <w:rsid w:val="005917E2"/>
    <w:rsid w:val="00591889"/>
    <w:rsid w:val="005918F3"/>
    <w:rsid w:val="00592116"/>
    <w:rsid w:val="00592EAE"/>
    <w:rsid w:val="005938C6"/>
    <w:rsid w:val="00593D80"/>
    <w:rsid w:val="005943AC"/>
    <w:rsid w:val="0059440E"/>
    <w:rsid w:val="005949AD"/>
    <w:rsid w:val="00594AC4"/>
    <w:rsid w:val="0059512E"/>
    <w:rsid w:val="00595764"/>
    <w:rsid w:val="00595BA2"/>
    <w:rsid w:val="00595DB4"/>
    <w:rsid w:val="00595EF6"/>
    <w:rsid w:val="0059613D"/>
    <w:rsid w:val="0059661B"/>
    <w:rsid w:val="00596BD2"/>
    <w:rsid w:val="00596E84"/>
    <w:rsid w:val="0059710F"/>
    <w:rsid w:val="00597163"/>
    <w:rsid w:val="005971E1"/>
    <w:rsid w:val="00597759"/>
    <w:rsid w:val="00597BD8"/>
    <w:rsid w:val="005A017D"/>
    <w:rsid w:val="005A025F"/>
    <w:rsid w:val="005A027E"/>
    <w:rsid w:val="005A1169"/>
    <w:rsid w:val="005A1500"/>
    <w:rsid w:val="005A164A"/>
    <w:rsid w:val="005A18CB"/>
    <w:rsid w:val="005A1C7C"/>
    <w:rsid w:val="005A1CAD"/>
    <w:rsid w:val="005A2AED"/>
    <w:rsid w:val="005A2F32"/>
    <w:rsid w:val="005A3243"/>
    <w:rsid w:val="005A3F19"/>
    <w:rsid w:val="005A44D9"/>
    <w:rsid w:val="005A46AB"/>
    <w:rsid w:val="005A471C"/>
    <w:rsid w:val="005A47BD"/>
    <w:rsid w:val="005A49EC"/>
    <w:rsid w:val="005A49F1"/>
    <w:rsid w:val="005A4E1C"/>
    <w:rsid w:val="005A50CA"/>
    <w:rsid w:val="005A514F"/>
    <w:rsid w:val="005A5519"/>
    <w:rsid w:val="005A5BDC"/>
    <w:rsid w:val="005A61B4"/>
    <w:rsid w:val="005A6540"/>
    <w:rsid w:val="005A6FC2"/>
    <w:rsid w:val="005A7497"/>
    <w:rsid w:val="005A796C"/>
    <w:rsid w:val="005B0259"/>
    <w:rsid w:val="005B0B62"/>
    <w:rsid w:val="005B17F5"/>
    <w:rsid w:val="005B19A2"/>
    <w:rsid w:val="005B251A"/>
    <w:rsid w:val="005B2713"/>
    <w:rsid w:val="005B32A7"/>
    <w:rsid w:val="005B37BA"/>
    <w:rsid w:val="005B3BDD"/>
    <w:rsid w:val="005B3C5D"/>
    <w:rsid w:val="005B4B44"/>
    <w:rsid w:val="005B528F"/>
    <w:rsid w:val="005B59EB"/>
    <w:rsid w:val="005B5C2D"/>
    <w:rsid w:val="005B5E19"/>
    <w:rsid w:val="005B6BBF"/>
    <w:rsid w:val="005B6E44"/>
    <w:rsid w:val="005B74C5"/>
    <w:rsid w:val="005B7844"/>
    <w:rsid w:val="005C262E"/>
    <w:rsid w:val="005C287F"/>
    <w:rsid w:val="005C2E52"/>
    <w:rsid w:val="005C346B"/>
    <w:rsid w:val="005C36C7"/>
    <w:rsid w:val="005C38D8"/>
    <w:rsid w:val="005C3F60"/>
    <w:rsid w:val="005C3F92"/>
    <w:rsid w:val="005C5648"/>
    <w:rsid w:val="005C5FF5"/>
    <w:rsid w:val="005C618B"/>
    <w:rsid w:val="005C6ADB"/>
    <w:rsid w:val="005C76CC"/>
    <w:rsid w:val="005D00CF"/>
    <w:rsid w:val="005D1597"/>
    <w:rsid w:val="005D1943"/>
    <w:rsid w:val="005D1C04"/>
    <w:rsid w:val="005D1CF0"/>
    <w:rsid w:val="005D252F"/>
    <w:rsid w:val="005D2636"/>
    <w:rsid w:val="005D4B4C"/>
    <w:rsid w:val="005D4D6A"/>
    <w:rsid w:val="005D4F78"/>
    <w:rsid w:val="005D57DA"/>
    <w:rsid w:val="005D57EB"/>
    <w:rsid w:val="005D5952"/>
    <w:rsid w:val="005D5E0B"/>
    <w:rsid w:val="005D5E2F"/>
    <w:rsid w:val="005D5F8C"/>
    <w:rsid w:val="005D6489"/>
    <w:rsid w:val="005D6DE4"/>
    <w:rsid w:val="005D6EE8"/>
    <w:rsid w:val="005D7DF1"/>
    <w:rsid w:val="005E02F3"/>
    <w:rsid w:val="005E0357"/>
    <w:rsid w:val="005E0CDE"/>
    <w:rsid w:val="005E1BFB"/>
    <w:rsid w:val="005E1D61"/>
    <w:rsid w:val="005E257C"/>
    <w:rsid w:val="005E2821"/>
    <w:rsid w:val="005E2D0D"/>
    <w:rsid w:val="005E2E36"/>
    <w:rsid w:val="005E36AE"/>
    <w:rsid w:val="005E3AFD"/>
    <w:rsid w:val="005E4130"/>
    <w:rsid w:val="005E4137"/>
    <w:rsid w:val="005E583A"/>
    <w:rsid w:val="005E6303"/>
    <w:rsid w:val="005E68F2"/>
    <w:rsid w:val="005E6BE1"/>
    <w:rsid w:val="005E6C47"/>
    <w:rsid w:val="005E73B4"/>
    <w:rsid w:val="005E7BE8"/>
    <w:rsid w:val="005F060B"/>
    <w:rsid w:val="005F0B46"/>
    <w:rsid w:val="005F0D27"/>
    <w:rsid w:val="005F12AC"/>
    <w:rsid w:val="005F1A42"/>
    <w:rsid w:val="005F1CF0"/>
    <w:rsid w:val="005F1D81"/>
    <w:rsid w:val="005F20EF"/>
    <w:rsid w:val="005F2FEC"/>
    <w:rsid w:val="005F4036"/>
    <w:rsid w:val="005F41DD"/>
    <w:rsid w:val="005F522C"/>
    <w:rsid w:val="005F5B52"/>
    <w:rsid w:val="005F604B"/>
    <w:rsid w:val="005F6E3E"/>
    <w:rsid w:val="005F6EA0"/>
    <w:rsid w:val="005F736E"/>
    <w:rsid w:val="005F7BB1"/>
    <w:rsid w:val="005F7E4E"/>
    <w:rsid w:val="006003EA"/>
    <w:rsid w:val="00600F0A"/>
    <w:rsid w:val="00601208"/>
    <w:rsid w:val="00601786"/>
    <w:rsid w:val="006035D8"/>
    <w:rsid w:val="006051A4"/>
    <w:rsid w:val="006060F5"/>
    <w:rsid w:val="0060649A"/>
    <w:rsid w:val="006066E6"/>
    <w:rsid w:val="00606AB7"/>
    <w:rsid w:val="00606DA9"/>
    <w:rsid w:val="00607F00"/>
    <w:rsid w:val="0061071B"/>
    <w:rsid w:val="00610B85"/>
    <w:rsid w:val="00611336"/>
    <w:rsid w:val="0061157C"/>
    <w:rsid w:val="006119EC"/>
    <w:rsid w:val="00611C6F"/>
    <w:rsid w:val="006128A1"/>
    <w:rsid w:val="00612B9D"/>
    <w:rsid w:val="00612D30"/>
    <w:rsid w:val="00613294"/>
    <w:rsid w:val="00613331"/>
    <w:rsid w:val="00613811"/>
    <w:rsid w:val="00613F32"/>
    <w:rsid w:val="0061418E"/>
    <w:rsid w:val="006142B3"/>
    <w:rsid w:val="00614AE3"/>
    <w:rsid w:val="0061610B"/>
    <w:rsid w:val="0061731E"/>
    <w:rsid w:val="00617741"/>
    <w:rsid w:val="00620AB7"/>
    <w:rsid w:val="006223B9"/>
    <w:rsid w:val="00622CF4"/>
    <w:rsid w:val="00622D9D"/>
    <w:rsid w:val="00623D0B"/>
    <w:rsid w:val="00623E1A"/>
    <w:rsid w:val="0062435F"/>
    <w:rsid w:val="00624414"/>
    <w:rsid w:val="00624625"/>
    <w:rsid w:val="00624901"/>
    <w:rsid w:val="00625B35"/>
    <w:rsid w:val="00625D95"/>
    <w:rsid w:val="00626A13"/>
    <w:rsid w:val="00626D39"/>
    <w:rsid w:val="006271E5"/>
    <w:rsid w:val="0062769D"/>
    <w:rsid w:val="00627715"/>
    <w:rsid w:val="00627982"/>
    <w:rsid w:val="00627BB2"/>
    <w:rsid w:val="00627E15"/>
    <w:rsid w:val="00630A6D"/>
    <w:rsid w:val="006310D2"/>
    <w:rsid w:val="006315AB"/>
    <w:rsid w:val="006315C1"/>
    <w:rsid w:val="00632508"/>
    <w:rsid w:val="00633DF7"/>
    <w:rsid w:val="00633E92"/>
    <w:rsid w:val="00634B68"/>
    <w:rsid w:val="00634FC0"/>
    <w:rsid w:val="00635A6D"/>
    <w:rsid w:val="00635C55"/>
    <w:rsid w:val="006362D9"/>
    <w:rsid w:val="00637229"/>
    <w:rsid w:val="006373F2"/>
    <w:rsid w:val="006374EA"/>
    <w:rsid w:val="00637BEA"/>
    <w:rsid w:val="00637DF4"/>
    <w:rsid w:val="0064012F"/>
    <w:rsid w:val="00640639"/>
    <w:rsid w:val="00640D3B"/>
    <w:rsid w:val="006410AD"/>
    <w:rsid w:val="00641872"/>
    <w:rsid w:val="00641996"/>
    <w:rsid w:val="00642144"/>
    <w:rsid w:val="00642C25"/>
    <w:rsid w:val="00643393"/>
    <w:rsid w:val="006435AF"/>
    <w:rsid w:val="006437B0"/>
    <w:rsid w:val="00643861"/>
    <w:rsid w:val="00644045"/>
    <w:rsid w:val="00644101"/>
    <w:rsid w:val="006441FC"/>
    <w:rsid w:val="0064491D"/>
    <w:rsid w:val="0064495F"/>
    <w:rsid w:val="00644B8D"/>
    <w:rsid w:val="00644FD0"/>
    <w:rsid w:val="00645384"/>
    <w:rsid w:val="006453F8"/>
    <w:rsid w:val="00645DFA"/>
    <w:rsid w:val="00645E09"/>
    <w:rsid w:val="00646266"/>
    <w:rsid w:val="006470F8"/>
    <w:rsid w:val="00647355"/>
    <w:rsid w:val="0064769B"/>
    <w:rsid w:val="00647BF8"/>
    <w:rsid w:val="00650326"/>
    <w:rsid w:val="0065064E"/>
    <w:rsid w:val="00650A81"/>
    <w:rsid w:val="00650F9D"/>
    <w:rsid w:val="00651203"/>
    <w:rsid w:val="00651499"/>
    <w:rsid w:val="00651B82"/>
    <w:rsid w:val="00651D68"/>
    <w:rsid w:val="00652F65"/>
    <w:rsid w:val="0065326E"/>
    <w:rsid w:val="00654081"/>
    <w:rsid w:val="006540AC"/>
    <w:rsid w:val="00654113"/>
    <w:rsid w:val="00654139"/>
    <w:rsid w:val="00654616"/>
    <w:rsid w:val="006547D6"/>
    <w:rsid w:val="00654857"/>
    <w:rsid w:val="00654A24"/>
    <w:rsid w:val="00654B20"/>
    <w:rsid w:val="00654F92"/>
    <w:rsid w:val="006556C3"/>
    <w:rsid w:val="006558F4"/>
    <w:rsid w:val="006559F0"/>
    <w:rsid w:val="006565F3"/>
    <w:rsid w:val="00656B7A"/>
    <w:rsid w:val="0065777A"/>
    <w:rsid w:val="00657FDC"/>
    <w:rsid w:val="00660840"/>
    <w:rsid w:val="006608C8"/>
    <w:rsid w:val="006616B9"/>
    <w:rsid w:val="00663795"/>
    <w:rsid w:val="006641B7"/>
    <w:rsid w:val="00664347"/>
    <w:rsid w:val="006643FF"/>
    <w:rsid w:val="00664428"/>
    <w:rsid w:val="00665367"/>
    <w:rsid w:val="0066589B"/>
    <w:rsid w:val="006658DE"/>
    <w:rsid w:val="00665F62"/>
    <w:rsid w:val="006669C6"/>
    <w:rsid w:val="00666F63"/>
    <w:rsid w:val="0066726A"/>
    <w:rsid w:val="0066731E"/>
    <w:rsid w:val="00667934"/>
    <w:rsid w:val="00667FE5"/>
    <w:rsid w:val="006708D2"/>
    <w:rsid w:val="00670A6B"/>
    <w:rsid w:val="00670AA6"/>
    <w:rsid w:val="00670CF9"/>
    <w:rsid w:val="00671A6A"/>
    <w:rsid w:val="00671E34"/>
    <w:rsid w:val="00671E96"/>
    <w:rsid w:val="006742C3"/>
    <w:rsid w:val="00674578"/>
    <w:rsid w:val="00674585"/>
    <w:rsid w:val="00675078"/>
    <w:rsid w:val="006750AA"/>
    <w:rsid w:val="00675A5D"/>
    <w:rsid w:val="00675B50"/>
    <w:rsid w:val="00676612"/>
    <w:rsid w:val="00677034"/>
    <w:rsid w:val="006774F0"/>
    <w:rsid w:val="00677AFB"/>
    <w:rsid w:val="00680734"/>
    <w:rsid w:val="00680D4B"/>
    <w:rsid w:val="00680F2B"/>
    <w:rsid w:val="0068181B"/>
    <w:rsid w:val="00681A32"/>
    <w:rsid w:val="00681BEE"/>
    <w:rsid w:val="00681FBB"/>
    <w:rsid w:val="006824EC"/>
    <w:rsid w:val="00682A74"/>
    <w:rsid w:val="00682E2C"/>
    <w:rsid w:val="006832DE"/>
    <w:rsid w:val="00683571"/>
    <w:rsid w:val="00683D69"/>
    <w:rsid w:val="00684232"/>
    <w:rsid w:val="006842A5"/>
    <w:rsid w:val="0068436B"/>
    <w:rsid w:val="00685C70"/>
    <w:rsid w:val="00685CD0"/>
    <w:rsid w:val="00686502"/>
    <w:rsid w:val="00686C9C"/>
    <w:rsid w:val="00686D77"/>
    <w:rsid w:val="00686FF6"/>
    <w:rsid w:val="00687B28"/>
    <w:rsid w:val="00687B5E"/>
    <w:rsid w:val="00690863"/>
    <w:rsid w:val="00690B3C"/>
    <w:rsid w:val="00692472"/>
    <w:rsid w:val="0069255A"/>
    <w:rsid w:val="00692B08"/>
    <w:rsid w:val="00693627"/>
    <w:rsid w:val="00693647"/>
    <w:rsid w:val="00693C01"/>
    <w:rsid w:val="006942C0"/>
    <w:rsid w:val="00694970"/>
    <w:rsid w:val="00694DA1"/>
    <w:rsid w:val="00695734"/>
    <w:rsid w:val="00695E82"/>
    <w:rsid w:val="00696F6C"/>
    <w:rsid w:val="006970FE"/>
    <w:rsid w:val="006978F7"/>
    <w:rsid w:val="00697A2C"/>
    <w:rsid w:val="00697F68"/>
    <w:rsid w:val="006A02EB"/>
    <w:rsid w:val="006A04A0"/>
    <w:rsid w:val="006A079E"/>
    <w:rsid w:val="006A17F8"/>
    <w:rsid w:val="006A2091"/>
    <w:rsid w:val="006A23C3"/>
    <w:rsid w:val="006A26B3"/>
    <w:rsid w:val="006A3780"/>
    <w:rsid w:val="006A3B12"/>
    <w:rsid w:val="006A3B58"/>
    <w:rsid w:val="006A3F4A"/>
    <w:rsid w:val="006A4258"/>
    <w:rsid w:val="006A426C"/>
    <w:rsid w:val="006A4D89"/>
    <w:rsid w:val="006A4DA7"/>
    <w:rsid w:val="006A5117"/>
    <w:rsid w:val="006A51CF"/>
    <w:rsid w:val="006A5371"/>
    <w:rsid w:val="006A5B58"/>
    <w:rsid w:val="006A644D"/>
    <w:rsid w:val="006A651F"/>
    <w:rsid w:val="006A6CB2"/>
    <w:rsid w:val="006A707C"/>
    <w:rsid w:val="006A74BF"/>
    <w:rsid w:val="006B03C5"/>
    <w:rsid w:val="006B0770"/>
    <w:rsid w:val="006B1405"/>
    <w:rsid w:val="006B14A0"/>
    <w:rsid w:val="006B1DBA"/>
    <w:rsid w:val="006B2B4A"/>
    <w:rsid w:val="006B2E4C"/>
    <w:rsid w:val="006B32B0"/>
    <w:rsid w:val="006B377F"/>
    <w:rsid w:val="006B398D"/>
    <w:rsid w:val="006B39FE"/>
    <w:rsid w:val="006B40A8"/>
    <w:rsid w:val="006B4704"/>
    <w:rsid w:val="006B4ABB"/>
    <w:rsid w:val="006B4C6A"/>
    <w:rsid w:val="006B5153"/>
    <w:rsid w:val="006B55DC"/>
    <w:rsid w:val="006B5A15"/>
    <w:rsid w:val="006B5E4E"/>
    <w:rsid w:val="006B60CA"/>
    <w:rsid w:val="006B6B7C"/>
    <w:rsid w:val="006B7125"/>
    <w:rsid w:val="006B76BF"/>
    <w:rsid w:val="006B76E6"/>
    <w:rsid w:val="006B7C0B"/>
    <w:rsid w:val="006C0530"/>
    <w:rsid w:val="006C0BC7"/>
    <w:rsid w:val="006C156D"/>
    <w:rsid w:val="006C15A2"/>
    <w:rsid w:val="006C16C1"/>
    <w:rsid w:val="006C18DE"/>
    <w:rsid w:val="006C198E"/>
    <w:rsid w:val="006C1C32"/>
    <w:rsid w:val="006C2445"/>
    <w:rsid w:val="006C272D"/>
    <w:rsid w:val="006C2BBE"/>
    <w:rsid w:val="006C2CFC"/>
    <w:rsid w:val="006C33A6"/>
    <w:rsid w:val="006C3766"/>
    <w:rsid w:val="006C4143"/>
    <w:rsid w:val="006C468C"/>
    <w:rsid w:val="006C47AE"/>
    <w:rsid w:val="006C4A97"/>
    <w:rsid w:val="006C4D46"/>
    <w:rsid w:val="006C5E45"/>
    <w:rsid w:val="006C6A3C"/>
    <w:rsid w:val="006C7244"/>
    <w:rsid w:val="006C7539"/>
    <w:rsid w:val="006C7928"/>
    <w:rsid w:val="006D00DB"/>
    <w:rsid w:val="006D0AFA"/>
    <w:rsid w:val="006D3932"/>
    <w:rsid w:val="006D4568"/>
    <w:rsid w:val="006D7324"/>
    <w:rsid w:val="006E0017"/>
    <w:rsid w:val="006E0057"/>
    <w:rsid w:val="006E0990"/>
    <w:rsid w:val="006E0AE5"/>
    <w:rsid w:val="006E19D4"/>
    <w:rsid w:val="006E1D34"/>
    <w:rsid w:val="006E1E19"/>
    <w:rsid w:val="006E316E"/>
    <w:rsid w:val="006E3963"/>
    <w:rsid w:val="006E3BBF"/>
    <w:rsid w:val="006E4565"/>
    <w:rsid w:val="006E4A5E"/>
    <w:rsid w:val="006E5670"/>
    <w:rsid w:val="006E5A1E"/>
    <w:rsid w:val="006E5D23"/>
    <w:rsid w:val="006E5DBB"/>
    <w:rsid w:val="006E5EFA"/>
    <w:rsid w:val="006E624C"/>
    <w:rsid w:val="006E6F34"/>
    <w:rsid w:val="006E7292"/>
    <w:rsid w:val="006E73C5"/>
    <w:rsid w:val="006E764F"/>
    <w:rsid w:val="006F0443"/>
    <w:rsid w:val="006F0962"/>
    <w:rsid w:val="006F0A90"/>
    <w:rsid w:val="006F0BA5"/>
    <w:rsid w:val="006F1202"/>
    <w:rsid w:val="006F18F2"/>
    <w:rsid w:val="006F1B04"/>
    <w:rsid w:val="006F272A"/>
    <w:rsid w:val="006F2923"/>
    <w:rsid w:val="006F2E1A"/>
    <w:rsid w:val="006F2E61"/>
    <w:rsid w:val="006F2F97"/>
    <w:rsid w:val="006F3429"/>
    <w:rsid w:val="006F355C"/>
    <w:rsid w:val="006F4358"/>
    <w:rsid w:val="006F4D5D"/>
    <w:rsid w:val="006F4EFD"/>
    <w:rsid w:val="006F5207"/>
    <w:rsid w:val="006F58F7"/>
    <w:rsid w:val="006F68A1"/>
    <w:rsid w:val="006F74C0"/>
    <w:rsid w:val="006F7750"/>
    <w:rsid w:val="006F781E"/>
    <w:rsid w:val="006F7DD7"/>
    <w:rsid w:val="006F7DFB"/>
    <w:rsid w:val="0070006A"/>
    <w:rsid w:val="007014EE"/>
    <w:rsid w:val="00701610"/>
    <w:rsid w:val="00702491"/>
    <w:rsid w:val="007028CB"/>
    <w:rsid w:val="00703D08"/>
    <w:rsid w:val="00704E73"/>
    <w:rsid w:val="00705268"/>
    <w:rsid w:val="00706110"/>
    <w:rsid w:val="0070787E"/>
    <w:rsid w:val="00707983"/>
    <w:rsid w:val="00707C0C"/>
    <w:rsid w:val="00710E15"/>
    <w:rsid w:val="007114A3"/>
    <w:rsid w:val="00711773"/>
    <w:rsid w:val="0071187F"/>
    <w:rsid w:val="007118F6"/>
    <w:rsid w:val="00711A64"/>
    <w:rsid w:val="00712C6D"/>
    <w:rsid w:val="00712F42"/>
    <w:rsid w:val="007132B8"/>
    <w:rsid w:val="00713452"/>
    <w:rsid w:val="00713C11"/>
    <w:rsid w:val="007140B3"/>
    <w:rsid w:val="00714462"/>
    <w:rsid w:val="00714485"/>
    <w:rsid w:val="0071498E"/>
    <w:rsid w:val="007149BC"/>
    <w:rsid w:val="00714CD6"/>
    <w:rsid w:val="00715CA1"/>
    <w:rsid w:val="00716192"/>
    <w:rsid w:val="00716A37"/>
    <w:rsid w:val="00717554"/>
    <w:rsid w:val="00717C8D"/>
    <w:rsid w:val="00720420"/>
    <w:rsid w:val="00720765"/>
    <w:rsid w:val="00721301"/>
    <w:rsid w:val="007216F9"/>
    <w:rsid w:val="007217D1"/>
    <w:rsid w:val="00721955"/>
    <w:rsid w:val="00721CF0"/>
    <w:rsid w:val="00722428"/>
    <w:rsid w:val="00723634"/>
    <w:rsid w:val="00723989"/>
    <w:rsid w:val="00723AE6"/>
    <w:rsid w:val="00723C90"/>
    <w:rsid w:val="00723D57"/>
    <w:rsid w:val="00723D6A"/>
    <w:rsid w:val="00724449"/>
    <w:rsid w:val="00725958"/>
    <w:rsid w:val="00725D26"/>
    <w:rsid w:val="00726A8B"/>
    <w:rsid w:val="00726B13"/>
    <w:rsid w:val="00726D89"/>
    <w:rsid w:val="007270D8"/>
    <w:rsid w:val="00730FDC"/>
    <w:rsid w:val="0073213B"/>
    <w:rsid w:val="00733B22"/>
    <w:rsid w:val="00733FCC"/>
    <w:rsid w:val="007344B3"/>
    <w:rsid w:val="00734947"/>
    <w:rsid w:val="00734C14"/>
    <w:rsid w:val="00735B5A"/>
    <w:rsid w:val="00736970"/>
    <w:rsid w:val="00736BC1"/>
    <w:rsid w:val="00736E4B"/>
    <w:rsid w:val="0073721E"/>
    <w:rsid w:val="007378E5"/>
    <w:rsid w:val="00740009"/>
    <w:rsid w:val="007412E7"/>
    <w:rsid w:val="00742488"/>
    <w:rsid w:val="007425E9"/>
    <w:rsid w:val="007428AC"/>
    <w:rsid w:val="00742F53"/>
    <w:rsid w:val="00743489"/>
    <w:rsid w:val="00743B36"/>
    <w:rsid w:val="00745094"/>
    <w:rsid w:val="00745126"/>
    <w:rsid w:val="00745380"/>
    <w:rsid w:val="007464A7"/>
    <w:rsid w:val="00746550"/>
    <w:rsid w:val="00746677"/>
    <w:rsid w:val="00746BFE"/>
    <w:rsid w:val="00746F80"/>
    <w:rsid w:val="00746FB2"/>
    <w:rsid w:val="007473E4"/>
    <w:rsid w:val="00747412"/>
    <w:rsid w:val="0074754C"/>
    <w:rsid w:val="00747BCD"/>
    <w:rsid w:val="00750048"/>
    <w:rsid w:val="0075093E"/>
    <w:rsid w:val="00750B43"/>
    <w:rsid w:val="007516F8"/>
    <w:rsid w:val="00752232"/>
    <w:rsid w:val="007524BD"/>
    <w:rsid w:val="007528F3"/>
    <w:rsid w:val="0075322C"/>
    <w:rsid w:val="00753357"/>
    <w:rsid w:val="00753FFD"/>
    <w:rsid w:val="007553B5"/>
    <w:rsid w:val="00755DBD"/>
    <w:rsid w:val="00756010"/>
    <w:rsid w:val="00756017"/>
    <w:rsid w:val="00756B05"/>
    <w:rsid w:val="00756B15"/>
    <w:rsid w:val="00756B61"/>
    <w:rsid w:val="00757098"/>
    <w:rsid w:val="00757788"/>
    <w:rsid w:val="007600A5"/>
    <w:rsid w:val="0076018D"/>
    <w:rsid w:val="007607D0"/>
    <w:rsid w:val="007610CD"/>
    <w:rsid w:val="00761211"/>
    <w:rsid w:val="0076166D"/>
    <w:rsid w:val="00761E86"/>
    <w:rsid w:val="007625C3"/>
    <w:rsid w:val="00763873"/>
    <w:rsid w:val="007638EA"/>
    <w:rsid w:val="00763DC1"/>
    <w:rsid w:val="007640FA"/>
    <w:rsid w:val="0076459E"/>
    <w:rsid w:val="00764853"/>
    <w:rsid w:val="00764B02"/>
    <w:rsid w:val="00764F45"/>
    <w:rsid w:val="00765412"/>
    <w:rsid w:val="0076642A"/>
    <w:rsid w:val="0076653F"/>
    <w:rsid w:val="007668C4"/>
    <w:rsid w:val="007672D5"/>
    <w:rsid w:val="0076739F"/>
    <w:rsid w:val="00767599"/>
    <w:rsid w:val="00767CF0"/>
    <w:rsid w:val="00767D8A"/>
    <w:rsid w:val="00770C18"/>
    <w:rsid w:val="00770D87"/>
    <w:rsid w:val="0077147E"/>
    <w:rsid w:val="007720AE"/>
    <w:rsid w:val="00772C26"/>
    <w:rsid w:val="007730B3"/>
    <w:rsid w:val="007738E7"/>
    <w:rsid w:val="0077398C"/>
    <w:rsid w:val="00773D59"/>
    <w:rsid w:val="00774290"/>
    <w:rsid w:val="007747F8"/>
    <w:rsid w:val="00775593"/>
    <w:rsid w:val="007773ED"/>
    <w:rsid w:val="00777A9E"/>
    <w:rsid w:val="00777B22"/>
    <w:rsid w:val="00777B68"/>
    <w:rsid w:val="00780959"/>
    <w:rsid w:val="00780FBC"/>
    <w:rsid w:val="007817B2"/>
    <w:rsid w:val="0078219D"/>
    <w:rsid w:val="00782A12"/>
    <w:rsid w:val="00782C31"/>
    <w:rsid w:val="00783799"/>
    <w:rsid w:val="007840F0"/>
    <w:rsid w:val="007849D0"/>
    <w:rsid w:val="0078530A"/>
    <w:rsid w:val="00785413"/>
    <w:rsid w:val="007855B9"/>
    <w:rsid w:val="007867AA"/>
    <w:rsid w:val="00786826"/>
    <w:rsid w:val="00786A66"/>
    <w:rsid w:val="0078710E"/>
    <w:rsid w:val="0078771E"/>
    <w:rsid w:val="00787B5F"/>
    <w:rsid w:val="00787BB1"/>
    <w:rsid w:val="00790D96"/>
    <w:rsid w:val="00791374"/>
    <w:rsid w:val="0079137C"/>
    <w:rsid w:val="00791536"/>
    <w:rsid w:val="0079162D"/>
    <w:rsid w:val="00791D80"/>
    <w:rsid w:val="00792354"/>
    <w:rsid w:val="00792A78"/>
    <w:rsid w:val="00792ACB"/>
    <w:rsid w:val="00792C5C"/>
    <w:rsid w:val="00792EE5"/>
    <w:rsid w:val="00793B23"/>
    <w:rsid w:val="00793B89"/>
    <w:rsid w:val="00793BDC"/>
    <w:rsid w:val="00793D86"/>
    <w:rsid w:val="007956AC"/>
    <w:rsid w:val="00795761"/>
    <w:rsid w:val="007959D3"/>
    <w:rsid w:val="00795A11"/>
    <w:rsid w:val="00796544"/>
    <w:rsid w:val="00796F05"/>
    <w:rsid w:val="00796F42"/>
    <w:rsid w:val="00796FA7"/>
    <w:rsid w:val="00797C5A"/>
    <w:rsid w:val="00797E3B"/>
    <w:rsid w:val="007A0902"/>
    <w:rsid w:val="007A10D3"/>
    <w:rsid w:val="007A16F4"/>
    <w:rsid w:val="007A1992"/>
    <w:rsid w:val="007A2293"/>
    <w:rsid w:val="007A2873"/>
    <w:rsid w:val="007A2C95"/>
    <w:rsid w:val="007A3CBD"/>
    <w:rsid w:val="007A409F"/>
    <w:rsid w:val="007A412E"/>
    <w:rsid w:val="007A4265"/>
    <w:rsid w:val="007A55E6"/>
    <w:rsid w:val="007A62DF"/>
    <w:rsid w:val="007A63C1"/>
    <w:rsid w:val="007A6AA9"/>
    <w:rsid w:val="007A7D36"/>
    <w:rsid w:val="007B0516"/>
    <w:rsid w:val="007B0F1A"/>
    <w:rsid w:val="007B13BA"/>
    <w:rsid w:val="007B145F"/>
    <w:rsid w:val="007B1CE5"/>
    <w:rsid w:val="007B23C8"/>
    <w:rsid w:val="007B2777"/>
    <w:rsid w:val="007B2910"/>
    <w:rsid w:val="007B2C66"/>
    <w:rsid w:val="007B3753"/>
    <w:rsid w:val="007B44BB"/>
    <w:rsid w:val="007B46F8"/>
    <w:rsid w:val="007B5440"/>
    <w:rsid w:val="007B6008"/>
    <w:rsid w:val="007B60D3"/>
    <w:rsid w:val="007B60E5"/>
    <w:rsid w:val="007B6952"/>
    <w:rsid w:val="007B6FE3"/>
    <w:rsid w:val="007B71B1"/>
    <w:rsid w:val="007B747D"/>
    <w:rsid w:val="007B7581"/>
    <w:rsid w:val="007C0572"/>
    <w:rsid w:val="007C0D39"/>
    <w:rsid w:val="007C3FC9"/>
    <w:rsid w:val="007C4ED4"/>
    <w:rsid w:val="007C63F7"/>
    <w:rsid w:val="007C6441"/>
    <w:rsid w:val="007C6463"/>
    <w:rsid w:val="007C66B3"/>
    <w:rsid w:val="007C6DCC"/>
    <w:rsid w:val="007C77CA"/>
    <w:rsid w:val="007C7B1C"/>
    <w:rsid w:val="007C7D68"/>
    <w:rsid w:val="007C7E8D"/>
    <w:rsid w:val="007D19CB"/>
    <w:rsid w:val="007D1F86"/>
    <w:rsid w:val="007D2005"/>
    <w:rsid w:val="007D2C36"/>
    <w:rsid w:val="007D2EAE"/>
    <w:rsid w:val="007D3182"/>
    <w:rsid w:val="007D359D"/>
    <w:rsid w:val="007D3846"/>
    <w:rsid w:val="007D38F1"/>
    <w:rsid w:val="007D4CFA"/>
    <w:rsid w:val="007D5915"/>
    <w:rsid w:val="007D5EE6"/>
    <w:rsid w:val="007D62F9"/>
    <w:rsid w:val="007D68CD"/>
    <w:rsid w:val="007D7155"/>
    <w:rsid w:val="007D777E"/>
    <w:rsid w:val="007D7799"/>
    <w:rsid w:val="007D7A9E"/>
    <w:rsid w:val="007D7D60"/>
    <w:rsid w:val="007E0722"/>
    <w:rsid w:val="007E0AAA"/>
    <w:rsid w:val="007E0ED3"/>
    <w:rsid w:val="007E12BA"/>
    <w:rsid w:val="007E1B7D"/>
    <w:rsid w:val="007E1D9B"/>
    <w:rsid w:val="007E1E29"/>
    <w:rsid w:val="007E249B"/>
    <w:rsid w:val="007E2931"/>
    <w:rsid w:val="007E2971"/>
    <w:rsid w:val="007E29D4"/>
    <w:rsid w:val="007E3835"/>
    <w:rsid w:val="007E4206"/>
    <w:rsid w:val="007E49E5"/>
    <w:rsid w:val="007E5352"/>
    <w:rsid w:val="007E5D6D"/>
    <w:rsid w:val="007E70B6"/>
    <w:rsid w:val="007E77A8"/>
    <w:rsid w:val="007E78BB"/>
    <w:rsid w:val="007F106C"/>
    <w:rsid w:val="007F14CB"/>
    <w:rsid w:val="007F25DD"/>
    <w:rsid w:val="007F3B83"/>
    <w:rsid w:val="007F3FB8"/>
    <w:rsid w:val="007F3FED"/>
    <w:rsid w:val="007F4A1D"/>
    <w:rsid w:val="007F5404"/>
    <w:rsid w:val="007F5F4C"/>
    <w:rsid w:val="007F7072"/>
    <w:rsid w:val="007F7EDF"/>
    <w:rsid w:val="008002DB"/>
    <w:rsid w:val="0080043A"/>
    <w:rsid w:val="00800C15"/>
    <w:rsid w:val="008010D7"/>
    <w:rsid w:val="00801A0F"/>
    <w:rsid w:val="00802640"/>
    <w:rsid w:val="00802644"/>
    <w:rsid w:val="00802966"/>
    <w:rsid w:val="00802B70"/>
    <w:rsid w:val="00802E69"/>
    <w:rsid w:val="00803933"/>
    <w:rsid w:val="00804470"/>
    <w:rsid w:val="00804559"/>
    <w:rsid w:val="00804E15"/>
    <w:rsid w:val="0080536B"/>
    <w:rsid w:val="008054D2"/>
    <w:rsid w:val="00805B0E"/>
    <w:rsid w:val="00807C5D"/>
    <w:rsid w:val="00807DF1"/>
    <w:rsid w:val="0081070A"/>
    <w:rsid w:val="00810C33"/>
    <w:rsid w:val="008114D1"/>
    <w:rsid w:val="00812193"/>
    <w:rsid w:val="00812727"/>
    <w:rsid w:val="00812B9C"/>
    <w:rsid w:val="00812BE9"/>
    <w:rsid w:val="0081375B"/>
    <w:rsid w:val="00813BF1"/>
    <w:rsid w:val="0081409A"/>
    <w:rsid w:val="00814182"/>
    <w:rsid w:val="008147D4"/>
    <w:rsid w:val="008148A6"/>
    <w:rsid w:val="00814E2D"/>
    <w:rsid w:val="00814F9B"/>
    <w:rsid w:val="00814F9F"/>
    <w:rsid w:val="00815BC1"/>
    <w:rsid w:val="008164D2"/>
    <w:rsid w:val="00816640"/>
    <w:rsid w:val="008166EA"/>
    <w:rsid w:val="008167DC"/>
    <w:rsid w:val="0081772D"/>
    <w:rsid w:val="00817B62"/>
    <w:rsid w:val="00817C5F"/>
    <w:rsid w:val="008203C8"/>
    <w:rsid w:val="0082047A"/>
    <w:rsid w:val="008204AC"/>
    <w:rsid w:val="0082077F"/>
    <w:rsid w:val="0082131C"/>
    <w:rsid w:val="00821720"/>
    <w:rsid w:val="00821ACF"/>
    <w:rsid w:val="00821F2B"/>
    <w:rsid w:val="0082212B"/>
    <w:rsid w:val="00823037"/>
    <w:rsid w:val="0082305C"/>
    <w:rsid w:val="008230CB"/>
    <w:rsid w:val="0082364F"/>
    <w:rsid w:val="00823BC2"/>
    <w:rsid w:val="008240A6"/>
    <w:rsid w:val="00824334"/>
    <w:rsid w:val="0082463C"/>
    <w:rsid w:val="00824C1D"/>
    <w:rsid w:val="00825B03"/>
    <w:rsid w:val="00825D8F"/>
    <w:rsid w:val="00826180"/>
    <w:rsid w:val="008275EF"/>
    <w:rsid w:val="0082775E"/>
    <w:rsid w:val="00827B1A"/>
    <w:rsid w:val="008309A5"/>
    <w:rsid w:val="00831171"/>
    <w:rsid w:val="00832089"/>
    <w:rsid w:val="00832124"/>
    <w:rsid w:val="008323FB"/>
    <w:rsid w:val="008332EA"/>
    <w:rsid w:val="00833413"/>
    <w:rsid w:val="0083379B"/>
    <w:rsid w:val="008347A6"/>
    <w:rsid w:val="00834A6C"/>
    <w:rsid w:val="008352F2"/>
    <w:rsid w:val="0083533D"/>
    <w:rsid w:val="008356DE"/>
    <w:rsid w:val="00835884"/>
    <w:rsid w:val="00836384"/>
    <w:rsid w:val="008364B0"/>
    <w:rsid w:val="008364CA"/>
    <w:rsid w:val="0083655D"/>
    <w:rsid w:val="00837401"/>
    <w:rsid w:val="00837A0A"/>
    <w:rsid w:val="00837D72"/>
    <w:rsid w:val="00840FF3"/>
    <w:rsid w:val="00841113"/>
    <w:rsid w:val="00841D45"/>
    <w:rsid w:val="00843C4A"/>
    <w:rsid w:val="008441C3"/>
    <w:rsid w:val="00844673"/>
    <w:rsid w:val="008455A0"/>
    <w:rsid w:val="00845699"/>
    <w:rsid w:val="00845ACC"/>
    <w:rsid w:val="008474BD"/>
    <w:rsid w:val="00847814"/>
    <w:rsid w:val="00847A8C"/>
    <w:rsid w:val="008500EB"/>
    <w:rsid w:val="008503DA"/>
    <w:rsid w:val="008507D5"/>
    <w:rsid w:val="00851B46"/>
    <w:rsid w:val="00852A26"/>
    <w:rsid w:val="0085320F"/>
    <w:rsid w:val="00853783"/>
    <w:rsid w:val="00854158"/>
    <w:rsid w:val="00854C5F"/>
    <w:rsid w:val="008551D7"/>
    <w:rsid w:val="0085567E"/>
    <w:rsid w:val="00855B8E"/>
    <w:rsid w:val="00855C74"/>
    <w:rsid w:val="0085636D"/>
    <w:rsid w:val="00856733"/>
    <w:rsid w:val="00857140"/>
    <w:rsid w:val="00857914"/>
    <w:rsid w:val="00857AB0"/>
    <w:rsid w:val="00857AEC"/>
    <w:rsid w:val="008606CD"/>
    <w:rsid w:val="00861943"/>
    <w:rsid w:val="00862094"/>
    <w:rsid w:val="00862805"/>
    <w:rsid w:val="00862A59"/>
    <w:rsid w:val="00863157"/>
    <w:rsid w:val="00863B15"/>
    <w:rsid w:val="00863CC0"/>
    <w:rsid w:val="00864A68"/>
    <w:rsid w:val="00865249"/>
    <w:rsid w:val="0086641C"/>
    <w:rsid w:val="00866578"/>
    <w:rsid w:val="008665DF"/>
    <w:rsid w:val="00866BCB"/>
    <w:rsid w:val="00866CA4"/>
    <w:rsid w:val="00867328"/>
    <w:rsid w:val="008673F4"/>
    <w:rsid w:val="00867921"/>
    <w:rsid w:val="00867C58"/>
    <w:rsid w:val="00867FF9"/>
    <w:rsid w:val="008701C4"/>
    <w:rsid w:val="00871296"/>
    <w:rsid w:val="00871A48"/>
    <w:rsid w:val="008728A5"/>
    <w:rsid w:val="008731A7"/>
    <w:rsid w:val="008733D7"/>
    <w:rsid w:val="00873749"/>
    <w:rsid w:val="00873A1C"/>
    <w:rsid w:val="00873DD3"/>
    <w:rsid w:val="00874A0C"/>
    <w:rsid w:val="00874E53"/>
    <w:rsid w:val="00875001"/>
    <w:rsid w:val="008750C3"/>
    <w:rsid w:val="0087590F"/>
    <w:rsid w:val="0087601A"/>
    <w:rsid w:val="00876428"/>
    <w:rsid w:val="00876576"/>
    <w:rsid w:val="008777F6"/>
    <w:rsid w:val="0088089F"/>
    <w:rsid w:val="00882056"/>
    <w:rsid w:val="00882482"/>
    <w:rsid w:val="008825EA"/>
    <w:rsid w:val="008834BF"/>
    <w:rsid w:val="00883F91"/>
    <w:rsid w:val="008845B6"/>
    <w:rsid w:val="00884B78"/>
    <w:rsid w:val="00884C62"/>
    <w:rsid w:val="00885214"/>
    <w:rsid w:val="00885288"/>
    <w:rsid w:val="00885A1E"/>
    <w:rsid w:val="00885B00"/>
    <w:rsid w:val="00885C0A"/>
    <w:rsid w:val="0088643D"/>
    <w:rsid w:val="00886E14"/>
    <w:rsid w:val="0088711E"/>
    <w:rsid w:val="00887214"/>
    <w:rsid w:val="0088781B"/>
    <w:rsid w:val="00887CC9"/>
    <w:rsid w:val="00887D2B"/>
    <w:rsid w:val="0089059B"/>
    <w:rsid w:val="00890DB4"/>
    <w:rsid w:val="00891769"/>
    <w:rsid w:val="008927CB"/>
    <w:rsid w:val="00894219"/>
    <w:rsid w:val="008947EF"/>
    <w:rsid w:val="008956C9"/>
    <w:rsid w:val="00896137"/>
    <w:rsid w:val="0089639E"/>
    <w:rsid w:val="008966BB"/>
    <w:rsid w:val="008967B7"/>
    <w:rsid w:val="00896C1A"/>
    <w:rsid w:val="00896D79"/>
    <w:rsid w:val="00896FDF"/>
    <w:rsid w:val="00897818"/>
    <w:rsid w:val="0089794E"/>
    <w:rsid w:val="00897F0B"/>
    <w:rsid w:val="00897F78"/>
    <w:rsid w:val="008A04FB"/>
    <w:rsid w:val="008A0F2A"/>
    <w:rsid w:val="008A3B68"/>
    <w:rsid w:val="008A3C39"/>
    <w:rsid w:val="008A3D80"/>
    <w:rsid w:val="008A50D7"/>
    <w:rsid w:val="008A5611"/>
    <w:rsid w:val="008A5790"/>
    <w:rsid w:val="008A5E81"/>
    <w:rsid w:val="008A62CD"/>
    <w:rsid w:val="008A6AA6"/>
    <w:rsid w:val="008A75EA"/>
    <w:rsid w:val="008B00E6"/>
    <w:rsid w:val="008B05C5"/>
    <w:rsid w:val="008B063A"/>
    <w:rsid w:val="008B224E"/>
    <w:rsid w:val="008B2274"/>
    <w:rsid w:val="008B28D1"/>
    <w:rsid w:val="008B32E5"/>
    <w:rsid w:val="008B37BB"/>
    <w:rsid w:val="008B3F7E"/>
    <w:rsid w:val="008B4871"/>
    <w:rsid w:val="008B4B06"/>
    <w:rsid w:val="008B4D0F"/>
    <w:rsid w:val="008B5B8A"/>
    <w:rsid w:val="008B5E83"/>
    <w:rsid w:val="008B6909"/>
    <w:rsid w:val="008B7586"/>
    <w:rsid w:val="008B768E"/>
    <w:rsid w:val="008B7F40"/>
    <w:rsid w:val="008C02D5"/>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4CB9"/>
    <w:rsid w:val="008C55F5"/>
    <w:rsid w:val="008C5CDA"/>
    <w:rsid w:val="008C68F0"/>
    <w:rsid w:val="008C6B98"/>
    <w:rsid w:val="008D0407"/>
    <w:rsid w:val="008D045D"/>
    <w:rsid w:val="008D13A9"/>
    <w:rsid w:val="008D1628"/>
    <w:rsid w:val="008D195F"/>
    <w:rsid w:val="008D257C"/>
    <w:rsid w:val="008D5079"/>
    <w:rsid w:val="008D528E"/>
    <w:rsid w:val="008D592D"/>
    <w:rsid w:val="008D5AE8"/>
    <w:rsid w:val="008D5D56"/>
    <w:rsid w:val="008D5F06"/>
    <w:rsid w:val="008D6560"/>
    <w:rsid w:val="008D6916"/>
    <w:rsid w:val="008D6954"/>
    <w:rsid w:val="008D6AB8"/>
    <w:rsid w:val="008D6E0A"/>
    <w:rsid w:val="008D7B09"/>
    <w:rsid w:val="008E00E2"/>
    <w:rsid w:val="008E05A7"/>
    <w:rsid w:val="008E07C4"/>
    <w:rsid w:val="008E0F03"/>
    <w:rsid w:val="008E11DE"/>
    <w:rsid w:val="008E18DC"/>
    <w:rsid w:val="008E1993"/>
    <w:rsid w:val="008E1CFD"/>
    <w:rsid w:val="008E22BF"/>
    <w:rsid w:val="008E2A1A"/>
    <w:rsid w:val="008E2BD5"/>
    <w:rsid w:val="008E384A"/>
    <w:rsid w:val="008E388B"/>
    <w:rsid w:val="008E3AA5"/>
    <w:rsid w:val="008E3FA3"/>
    <w:rsid w:val="008E44CD"/>
    <w:rsid w:val="008E473A"/>
    <w:rsid w:val="008E4AC9"/>
    <w:rsid w:val="008E4C16"/>
    <w:rsid w:val="008E515B"/>
    <w:rsid w:val="008E56B2"/>
    <w:rsid w:val="008E5F58"/>
    <w:rsid w:val="008E6AD8"/>
    <w:rsid w:val="008E6F47"/>
    <w:rsid w:val="008E7427"/>
    <w:rsid w:val="008E75E8"/>
    <w:rsid w:val="008F1959"/>
    <w:rsid w:val="008F28F9"/>
    <w:rsid w:val="008F29C7"/>
    <w:rsid w:val="008F37B3"/>
    <w:rsid w:val="008F4296"/>
    <w:rsid w:val="008F4ADC"/>
    <w:rsid w:val="008F4D2B"/>
    <w:rsid w:val="008F5EE8"/>
    <w:rsid w:val="008F640B"/>
    <w:rsid w:val="008F6707"/>
    <w:rsid w:val="008F697F"/>
    <w:rsid w:val="0090001B"/>
    <w:rsid w:val="0090028F"/>
    <w:rsid w:val="009003EC"/>
    <w:rsid w:val="009004BC"/>
    <w:rsid w:val="009004DA"/>
    <w:rsid w:val="009009DA"/>
    <w:rsid w:val="009017CB"/>
    <w:rsid w:val="00901C03"/>
    <w:rsid w:val="009021BD"/>
    <w:rsid w:val="0090279D"/>
    <w:rsid w:val="00903159"/>
    <w:rsid w:val="00903586"/>
    <w:rsid w:val="009036CB"/>
    <w:rsid w:val="00903737"/>
    <w:rsid w:val="009038EF"/>
    <w:rsid w:val="00903919"/>
    <w:rsid w:val="00903A0E"/>
    <w:rsid w:val="00903D45"/>
    <w:rsid w:val="00904043"/>
    <w:rsid w:val="0090439F"/>
    <w:rsid w:val="0090574B"/>
    <w:rsid w:val="009057D9"/>
    <w:rsid w:val="00905BE5"/>
    <w:rsid w:val="00905C68"/>
    <w:rsid w:val="00905FB3"/>
    <w:rsid w:val="00906100"/>
    <w:rsid w:val="00910462"/>
    <w:rsid w:val="009107C4"/>
    <w:rsid w:val="0091089D"/>
    <w:rsid w:val="00910CF4"/>
    <w:rsid w:val="0091102D"/>
    <w:rsid w:val="00911231"/>
    <w:rsid w:val="0091127D"/>
    <w:rsid w:val="009118F2"/>
    <w:rsid w:val="00911A89"/>
    <w:rsid w:val="00911C45"/>
    <w:rsid w:val="00911C87"/>
    <w:rsid w:val="00911F83"/>
    <w:rsid w:val="009125EF"/>
    <w:rsid w:val="009126D8"/>
    <w:rsid w:val="00912BAD"/>
    <w:rsid w:val="00912D52"/>
    <w:rsid w:val="00912FB4"/>
    <w:rsid w:val="00913EC3"/>
    <w:rsid w:val="009140D5"/>
    <w:rsid w:val="009146CD"/>
    <w:rsid w:val="00914B1B"/>
    <w:rsid w:val="00914B6F"/>
    <w:rsid w:val="00914C49"/>
    <w:rsid w:val="00915119"/>
    <w:rsid w:val="009157A3"/>
    <w:rsid w:val="00916391"/>
    <w:rsid w:val="009172B4"/>
    <w:rsid w:val="0091760D"/>
    <w:rsid w:val="00917649"/>
    <w:rsid w:val="009179DE"/>
    <w:rsid w:val="0092082A"/>
    <w:rsid w:val="00920B18"/>
    <w:rsid w:val="00920DEA"/>
    <w:rsid w:val="009220A2"/>
    <w:rsid w:val="009230DB"/>
    <w:rsid w:val="009232BA"/>
    <w:rsid w:val="00923C66"/>
    <w:rsid w:val="00924581"/>
    <w:rsid w:val="00924F81"/>
    <w:rsid w:val="00925084"/>
    <w:rsid w:val="0092515E"/>
    <w:rsid w:val="00925337"/>
    <w:rsid w:val="00927C8B"/>
    <w:rsid w:val="00930120"/>
    <w:rsid w:val="0093093E"/>
    <w:rsid w:val="00930D7F"/>
    <w:rsid w:val="00930F60"/>
    <w:rsid w:val="00931A2A"/>
    <w:rsid w:val="00931AA2"/>
    <w:rsid w:val="009321DB"/>
    <w:rsid w:val="00934521"/>
    <w:rsid w:val="00934719"/>
    <w:rsid w:val="009348CB"/>
    <w:rsid w:val="00934B1F"/>
    <w:rsid w:val="00934CA6"/>
    <w:rsid w:val="00934DAB"/>
    <w:rsid w:val="0093566C"/>
    <w:rsid w:val="00935713"/>
    <w:rsid w:val="00935C2E"/>
    <w:rsid w:val="00935DA8"/>
    <w:rsid w:val="009362BC"/>
    <w:rsid w:val="009362CA"/>
    <w:rsid w:val="00936306"/>
    <w:rsid w:val="009367BE"/>
    <w:rsid w:val="00936FBE"/>
    <w:rsid w:val="009372CE"/>
    <w:rsid w:val="009374F3"/>
    <w:rsid w:val="00937729"/>
    <w:rsid w:val="0094007D"/>
    <w:rsid w:val="009403CE"/>
    <w:rsid w:val="009408BA"/>
    <w:rsid w:val="00940E22"/>
    <w:rsid w:val="00941390"/>
    <w:rsid w:val="009418B4"/>
    <w:rsid w:val="00941E40"/>
    <w:rsid w:val="00942027"/>
    <w:rsid w:val="009423B6"/>
    <w:rsid w:val="0094244F"/>
    <w:rsid w:val="009424BD"/>
    <w:rsid w:val="00942A00"/>
    <w:rsid w:val="00942A2F"/>
    <w:rsid w:val="00942E34"/>
    <w:rsid w:val="00942E5C"/>
    <w:rsid w:val="0094320F"/>
    <w:rsid w:val="00943813"/>
    <w:rsid w:val="00943F6C"/>
    <w:rsid w:val="009444F2"/>
    <w:rsid w:val="00944866"/>
    <w:rsid w:val="00944B01"/>
    <w:rsid w:val="00945522"/>
    <w:rsid w:val="00945BF2"/>
    <w:rsid w:val="00945EDA"/>
    <w:rsid w:val="0094660E"/>
    <w:rsid w:val="00946C19"/>
    <w:rsid w:val="00947159"/>
    <w:rsid w:val="009479B0"/>
    <w:rsid w:val="00947A71"/>
    <w:rsid w:val="00947F78"/>
    <w:rsid w:val="00950305"/>
    <w:rsid w:val="00950678"/>
    <w:rsid w:val="00950908"/>
    <w:rsid w:val="00950BF0"/>
    <w:rsid w:val="00950F69"/>
    <w:rsid w:val="00951327"/>
    <w:rsid w:val="0095194B"/>
    <w:rsid w:val="0095262C"/>
    <w:rsid w:val="00953113"/>
    <w:rsid w:val="00954089"/>
    <w:rsid w:val="009540B2"/>
    <w:rsid w:val="00954107"/>
    <w:rsid w:val="00954524"/>
    <w:rsid w:val="00954576"/>
    <w:rsid w:val="009545EF"/>
    <w:rsid w:val="0095620A"/>
    <w:rsid w:val="00956AEB"/>
    <w:rsid w:val="00957568"/>
    <w:rsid w:val="0095767E"/>
    <w:rsid w:val="00957A30"/>
    <w:rsid w:val="00957B28"/>
    <w:rsid w:val="00960578"/>
    <w:rsid w:val="009606AE"/>
    <w:rsid w:val="009607CB"/>
    <w:rsid w:val="00960925"/>
    <w:rsid w:val="009612A9"/>
    <w:rsid w:val="00961BF6"/>
    <w:rsid w:val="00961E32"/>
    <w:rsid w:val="00961F4F"/>
    <w:rsid w:val="00962235"/>
    <w:rsid w:val="00963336"/>
    <w:rsid w:val="0096342B"/>
    <w:rsid w:val="00964037"/>
    <w:rsid w:val="009644AF"/>
    <w:rsid w:val="00964808"/>
    <w:rsid w:val="00964FC0"/>
    <w:rsid w:val="00965150"/>
    <w:rsid w:val="009657C5"/>
    <w:rsid w:val="00965A8C"/>
    <w:rsid w:val="00965AB4"/>
    <w:rsid w:val="0096632F"/>
    <w:rsid w:val="00966BB2"/>
    <w:rsid w:val="00966DDB"/>
    <w:rsid w:val="00967176"/>
    <w:rsid w:val="00967178"/>
    <w:rsid w:val="009677DC"/>
    <w:rsid w:val="00967909"/>
    <w:rsid w:val="00967CA0"/>
    <w:rsid w:val="00970005"/>
    <w:rsid w:val="0097071F"/>
    <w:rsid w:val="00971DE1"/>
    <w:rsid w:val="00972757"/>
    <w:rsid w:val="0097344F"/>
    <w:rsid w:val="00973B25"/>
    <w:rsid w:val="00973B28"/>
    <w:rsid w:val="00973D3B"/>
    <w:rsid w:val="00974E33"/>
    <w:rsid w:val="00974F5B"/>
    <w:rsid w:val="00975CA8"/>
    <w:rsid w:val="00975E73"/>
    <w:rsid w:val="009766EF"/>
    <w:rsid w:val="009768E5"/>
    <w:rsid w:val="00976979"/>
    <w:rsid w:val="00977A5C"/>
    <w:rsid w:val="00977BA4"/>
    <w:rsid w:val="00977DB1"/>
    <w:rsid w:val="009801D0"/>
    <w:rsid w:val="0098119C"/>
    <w:rsid w:val="009812B0"/>
    <w:rsid w:val="00981691"/>
    <w:rsid w:val="00981774"/>
    <w:rsid w:val="00981A06"/>
    <w:rsid w:val="009822F1"/>
    <w:rsid w:val="00982B5A"/>
    <w:rsid w:val="00984207"/>
    <w:rsid w:val="009844DE"/>
    <w:rsid w:val="00985CE2"/>
    <w:rsid w:val="009869EC"/>
    <w:rsid w:val="00986B7D"/>
    <w:rsid w:val="00986F29"/>
    <w:rsid w:val="0098738F"/>
    <w:rsid w:val="00987F90"/>
    <w:rsid w:val="0099054C"/>
    <w:rsid w:val="00990841"/>
    <w:rsid w:val="00991011"/>
    <w:rsid w:val="009913AD"/>
    <w:rsid w:val="0099170A"/>
    <w:rsid w:val="00991837"/>
    <w:rsid w:val="00991976"/>
    <w:rsid w:val="00991AD2"/>
    <w:rsid w:val="00991F04"/>
    <w:rsid w:val="00992C7C"/>
    <w:rsid w:val="00993715"/>
    <w:rsid w:val="00993DBC"/>
    <w:rsid w:val="00994182"/>
    <w:rsid w:val="00997083"/>
    <w:rsid w:val="00997224"/>
    <w:rsid w:val="009978F6"/>
    <w:rsid w:val="00997B28"/>
    <w:rsid w:val="00997BEC"/>
    <w:rsid w:val="00997EAB"/>
    <w:rsid w:val="00997F89"/>
    <w:rsid w:val="00997FDA"/>
    <w:rsid w:val="009A0386"/>
    <w:rsid w:val="009A03D3"/>
    <w:rsid w:val="009A0672"/>
    <w:rsid w:val="009A067B"/>
    <w:rsid w:val="009A0EEF"/>
    <w:rsid w:val="009A1088"/>
    <w:rsid w:val="009A1A16"/>
    <w:rsid w:val="009A1A31"/>
    <w:rsid w:val="009A1C4E"/>
    <w:rsid w:val="009A1D6C"/>
    <w:rsid w:val="009A2615"/>
    <w:rsid w:val="009A268D"/>
    <w:rsid w:val="009A2AA5"/>
    <w:rsid w:val="009A2FDF"/>
    <w:rsid w:val="009A3374"/>
    <w:rsid w:val="009A337E"/>
    <w:rsid w:val="009A3869"/>
    <w:rsid w:val="009A3AD3"/>
    <w:rsid w:val="009A3FF8"/>
    <w:rsid w:val="009A4BA1"/>
    <w:rsid w:val="009A5120"/>
    <w:rsid w:val="009A53F8"/>
    <w:rsid w:val="009A587C"/>
    <w:rsid w:val="009A6007"/>
    <w:rsid w:val="009A68EA"/>
    <w:rsid w:val="009A6B36"/>
    <w:rsid w:val="009A764E"/>
    <w:rsid w:val="009B1459"/>
    <w:rsid w:val="009B17CD"/>
    <w:rsid w:val="009B1E3B"/>
    <w:rsid w:val="009B2887"/>
    <w:rsid w:val="009B3059"/>
    <w:rsid w:val="009B30FC"/>
    <w:rsid w:val="009B384D"/>
    <w:rsid w:val="009B4E01"/>
    <w:rsid w:val="009B51C4"/>
    <w:rsid w:val="009B51EA"/>
    <w:rsid w:val="009B5AB1"/>
    <w:rsid w:val="009B60CC"/>
    <w:rsid w:val="009B6954"/>
    <w:rsid w:val="009B6B09"/>
    <w:rsid w:val="009B7170"/>
    <w:rsid w:val="009B72E6"/>
    <w:rsid w:val="009B743D"/>
    <w:rsid w:val="009B7CC4"/>
    <w:rsid w:val="009C160F"/>
    <w:rsid w:val="009C1A7D"/>
    <w:rsid w:val="009C2A13"/>
    <w:rsid w:val="009C2CE2"/>
    <w:rsid w:val="009C3491"/>
    <w:rsid w:val="009C5B98"/>
    <w:rsid w:val="009C6722"/>
    <w:rsid w:val="009C6BEF"/>
    <w:rsid w:val="009C78F6"/>
    <w:rsid w:val="009C7A8D"/>
    <w:rsid w:val="009C7E9F"/>
    <w:rsid w:val="009D07B1"/>
    <w:rsid w:val="009D094A"/>
    <w:rsid w:val="009D1317"/>
    <w:rsid w:val="009D17F6"/>
    <w:rsid w:val="009D1BB8"/>
    <w:rsid w:val="009D2425"/>
    <w:rsid w:val="009D2693"/>
    <w:rsid w:val="009D288C"/>
    <w:rsid w:val="009D2985"/>
    <w:rsid w:val="009D2C61"/>
    <w:rsid w:val="009D2EF9"/>
    <w:rsid w:val="009D33E0"/>
    <w:rsid w:val="009D3946"/>
    <w:rsid w:val="009D3B10"/>
    <w:rsid w:val="009D45ED"/>
    <w:rsid w:val="009D4DF8"/>
    <w:rsid w:val="009D523D"/>
    <w:rsid w:val="009D5951"/>
    <w:rsid w:val="009D5B8D"/>
    <w:rsid w:val="009D5D06"/>
    <w:rsid w:val="009D625D"/>
    <w:rsid w:val="009D6496"/>
    <w:rsid w:val="009D662E"/>
    <w:rsid w:val="009D71C0"/>
    <w:rsid w:val="009D7784"/>
    <w:rsid w:val="009E078E"/>
    <w:rsid w:val="009E0DC5"/>
    <w:rsid w:val="009E0EA2"/>
    <w:rsid w:val="009E1753"/>
    <w:rsid w:val="009E1791"/>
    <w:rsid w:val="009E1E92"/>
    <w:rsid w:val="009E2424"/>
    <w:rsid w:val="009E2567"/>
    <w:rsid w:val="009E2911"/>
    <w:rsid w:val="009E2C38"/>
    <w:rsid w:val="009E2E84"/>
    <w:rsid w:val="009E3399"/>
    <w:rsid w:val="009E33E9"/>
    <w:rsid w:val="009E3ECF"/>
    <w:rsid w:val="009E3F03"/>
    <w:rsid w:val="009E4102"/>
    <w:rsid w:val="009E4334"/>
    <w:rsid w:val="009E4C38"/>
    <w:rsid w:val="009E4DE6"/>
    <w:rsid w:val="009E53C0"/>
    <w:rsid w:val="009E6131"/>
    <w:rsid w:val="009F0060"/>
    <w:rsid w:val="009F034A"/>
    <w:rsid w:val="009F1243"/>
    <w:rsid w:val="009F2B03"/>
    <w:rsid w:val="009F2EC0"/>
    <w:rsid w:val="009F339F"/>
    <w:rsid w:val="009F34B0"/>
    <w:rsid w:val="009F37A2"/>
    <w:rsid w:val="009F48D3"/>
    <w:rsid w:val="009F4929"/>
    <w:rsid w:val="009F525C"/>
    <w:rsid w:val="009F5A7C"/>
    <w:rsid w:val="009F6ECF"/>
    <w:rsid w:val="009F6EE6"/>
    <w:rsid w:val="009F743F"/>
    <w:rsid w:val="009F765F"/>
    <w:rsid w:val="009F766B"/>
    <w:rsid w:val="00A00190"/>
    <w:rsid w:val="00A00965"/>
    <w:rsid w:val="00A00B1D"/>
    <w:rsid w:val="00A0122D"/>
    <w:rsid w:val="00A01ADE"/>
    <w:rsid w:val="00A02C3E"/>
    <w:rsid w:val="00A02F66"/>
    <w:rsid w:val="00A0400B"/>
    <w:rsid w:val="00A04465"/>
    <w:rsid w:val="00A04DC9"/>
    <w:rsid w:val="00A05F0F"/>
    <w:rsid w:val="00A06548"/>
    <w:rsid w:val="00A06A63"/>
    <w:rsid w:val="00A06C1A"/>
    <w:rsid w:val="00A07723"/>
    <w:rsid w:val="00A1011F"/>
    <w:rsid w:val="00A1091A"/>
    <w:rsid w:val="00A109E7"/>
    <w:rsid w:val="00A10AA7"/>
    <w:rsid w:val="00A10E3A"/>
    <w:rsid w:val="00A11E2F"/>
    <w:rsid w:val="00A12ACF"/>
    <w:rsid w:val="00A12BA4"/>
    <w:rsid w:val="00A12BD8"/>
    <w:rsid w:val="00A12D40"/>
    <w:rsid w:val="00A12F67"/>
    <w:rsid w:val="00A14118"/>
    <w:rsid w:val="00A145D2"/>
    <w:rsid w:val="00A14B2A"/>
    <w:rsid w:val="00A14F9C"/>
    <w:rsid w:val="00A152E3"/>
    <w:rsid w:val="00A15B98"/>
    <w:rsid w:val="00A168ED"/>
    <w:rsid w:val="00A16B93"/>
    <w:rsid w:val="00A16D81"/>
    <w:rsid w:val="00A172FA"/>
    <w:rsid w:val="00A17B3B"/>
    <w:rsid w:val="00A207A0"/>
    <w:rsid w:val="00A20C70"/>
    <w:rsid w:val="00A20FAE"/>
    <w:rsid w:val="00A21C74"/>
    <w:rsid w:val="00A21D89"/>
    <w:rsid w:val="00A220BA"/>
    <w:rsid w:val="00A22814"/>
    <w:rsid w:val="00A238CC"/>
    <w:rsid w:val="00A2396A"/>
    <w:rsid w:val="00A24316"/>
    <w:rsid w:val="00A2431C"/>
    <w:rsid w:val="00A2468F"/>
    <w:rsid w:val="00A24DC9"/>
    <w:rsid w:val="00A259C7"/>
    <w:rsid w:val="00A25A94"/>
    <w:rsid w:val="00A25DB9"/>
    <w:rsid w:val="00A26329"/>
    <w:rsid w:val="00A26663"/>
    <w:rsid w:val="00A26BFD"/>
    <w:rsid w:val="00A27037"/>
    <w:rsid w:val="00A27600"/>
    <w:rsid w:val="00A304F5"/>
    <w:rsid w:val="00A30C42"/>
    <w:rsid w:val="00A30E3A"/>
    <w:rsid w:val="00A3179C"/>
    <w:rsid w:val="00A32369"/>
    <w:rsid w:val="00A32B77"/>
    <w:rsid w:val="00A335EE"/>
    <w:rsid w:val="00A33657"/>
    <w:rsid w:val="00A339A1"/>
    <w:rsid w:val="00A34BC2"/>
    <w:rsid w:val="00A34CD5"/>
    <w:rsid w:val="00A34D1C"/>
    <w:rsid w:val="00A34DB1"/>
    <w:rsid w:val="00A34FEB"/>
    <w:rsid w:val="00A366BD"/>
    <w:rsid w:val="00A36946"/>
    <w:rsid w:val="00A36C28"/>
    <w:rsid w:val="00A37024"/>
    <w:rsid w:val="00A37716"/>
    <w:rsid w:val="00A37E24"/>
    <w:rsid w:val="00A4057B"/>
    <w:rsid w:val="00A40DD2"/>
    <w:rsid w:val="00A414C7"/>
    <w:rsid w:val="00A41D3E"/>
    <w:rsid w:val="00A41F67"/>
    <w:rsid w:val="00A4249D"/>
    <w:rsid w:val="00A43333"/>
    <w:rsid w:val="00A43546"/>
    <w:rsid w:val="00A44301"/>
    <w:rsid w:val="00A44B2C"/>
    <w:rsid w:val="00A44BA9"/>
    <w:rsid w:val="00A450FD"/>
    <w:rsid w:val="00A453FB"/>
    <w:rsid w:val="00A4582B"/>
    <w:rsid w:val="00A4599B"/>
    <w:rsid w:val="00A459B8"/>
    <w:rsid w:val="00A45CFA"/>
    <w:rsid w:val="00A460CE"/>
    <w:rsid w:val="00A46A8C"/>
    <w:rsid w:val="00A471F8"/>
    <w:rsid w:val="00A47746"/>
    <w:rsid w:val="00A47CD0"/>
    <w:rsid w:val="00A50FC7"/>
    <w:rsid w:val="00A5134E"/>
    <w:rsid w:val="00A51998"/>
    <w:rsid w:val="00A51DB1"/>
    <w:rsid w:val="00A51E52"/>
    <w:rsid w:val="00A51FDE"/>
    <w:rsid w:val="00A528CA"/>
    <w:rsid w:val="00A53852"/>
    <w:rsid w:val="00A54CA6"/>
    <w:rsid w:val="00A54CF1"/>
    <w:rsid w:val="00A54DDD"/>
    <w:rsid w:val="00A55735"/>
    <w:rsid w:val="00A558D0"/>
    <w:rsid w:val="00A565AA"/>
    <w:rsid w:val="00A57893"/>
    <w:rsid w:val="00A57F1A"/>
    <w:rsid w:val="00A61567"/>
    <w:rsid w:val="00A615D3"/>
    <w:rsid w:val="00A62011"/>
    <w:rsid w:val="00A622DE"/>
    <w:rsid w:val="00A6287E"/>
    <w:rsid w:val="00A62BFD"/>
    <w:rsid w:val="00A63DB1"/>
    <w:rsid w:val="00A63E49"/>
    <w:rsid w:val="00A640B2"/>
    <w:rsid w:val="00A641CF"/>
    <w:rsid w:val="00A646E0"/>
    <w:rsid w:val="00A64CDF"/>
    <w:rsid w:val="00A65644"/>
    <w:rsid w:val="00A65985"/>
    <w:rsid w:val="00A659C0"/>
    <w:rsid w:val="00A659FA"/>
    <w:rsid w:val="00A65DFF"/>
    <w:rsid w:val="00A6659B"/>
    <w:rsid w:val="00A66D7D"/>
    <w:rsid w:val="00A67A3B"/>
    <w:rsid w:val="00A67B97"/>
    <w:rsid w:val="00A67D52"/>
    <w:rsid w:val="00A700E3"/>
    <w:rsid w:val="00A70300"/>
    <w:rsid w:val="00A704BC"/>
    <w:rsid w:val="00A707D3"/>
    <w:rsid w:val="00A70955"/>
    <w:rsid w:val="00A70EAF"/>
    <w:rsid w:val="00A718CE"/>
    <w:rsid w:val="00A71981"/>
    <w:rsid w:val="00A71DC1"/>
    <w:rsid w:val="00A7224E"/>
    <w:rsid w:val="00A722A9"/>
    <w:rsid w:val="00A724A8"/>
    <w:rsid w:val="00A72591"/>
    <w:rsid w:val="00A729DE"/>
    <w:rsid w:val="00A73371"/>
    <w:rsid w:val="00A736AB"/>
    <w:rsid w:val="00A73DA5"/>
    <w:rsid w:val="00A74295"/>
    <w:rsid w:val="00A74D31"/>
    <w:rsid w:val="00A75199"/>
    <w:rsid w:val="00A7606D"/>
    <w:rsid w:val="00A760AA"/>
    <w:rsid w:val="00A764F1"/>
    <w:rsid w:val="00A76CD3"/>
    <w:rsid w:val="00A7713B"/>
    <w:rsid w:val="00A77159"/>
    <w:rsid w:val="00A7776A"/>
    <w:rsid w:val="00A77D97"/>
    <w:rsid w:val="00A77E2F"/>
    <w:rsid w:val="00A80415"/>
    <w:rsid w:val="00A80E6A"/>
    <w:rsid w:val="00A8159F"/>
    <w:rsid w:val="00A818D3"/>
    <w:rsid w:val="00A81C89"/>
    <w:rsid w:val="00A822F3"/>
    <w:rsid w:val="00A83384"/>
    <w:rsid w:val="00A83685"/>
    <w:rsid w:val="00A83A9D"/>
    <w:rsid w:val="00A83DAD"/>
    <w:rsid w:val="00A8401A"/>
    <w:rsid w:val="00A84402"/>
    <w:rsid w:val="00A84899"/>
    <w:rsid w:val="00A85B9E"/>
    <w:rsid w:val="00A86017"/>
    <w:rsid w:val="00A87234"/>
    <w:rsid w:val="00A87C8C"/>
    <w:rsid w:val="00A87D0B"/>
    <w:rsid w:val="00A9098B"/>
    <w:rsid w:val="00A90D84"/>
    <w:rsid w:val="00A911AA"/>
    <w:rsid w:val="00A91965"/>
    <w:rsid w:val="00A92124"/>
    <w:rsid w:val="00A92B2F"/>
    <w:rsid w:val="00A92FAB"/>
    <w:rsid w:val="00A93294"/>
    <w:rsid w:val="00A935CE"/>
    <w:rsid w:val="00A93624"/>
    <w:rsid w:val="00A93D80"/>
    <w:rsid w:val="00A942B7"/>
    <w:rsid w:val="00A951B1"/>
    <w:rsid w:val="00A95573"/>
    <w:rsid w:val="00A95836"/>
    <w:rsid w:val="00A959C3"/>
    <w:rsid w:val="00A95A36"/>
    <w:rsid w:val="00A95F88"/>
    <w:rsid w:val="00A9614A"/>
    <w:rsid w:val="00A96E18"/>
    <w:rsid w:val="00A96EB0"/>
    <w:rsid w:val="00A974CC"/>
    <w:rsid w:val="00AA0251"/>
    <w:rsid w:val="00AA03BD"/>
    <w:rsid w:val="00AA0F97"/>
    <w:rsid w:val="00AA24A3"/>
    <w:rsid w:val="00AA2A50"/>
    <w:rsid w:val="00AA2DF2"/>
    <w:rsid w:val="00AA2EDE"/>
    <w:rsid w:val="00AA30F8"/>
    <w:rsid w:val="00AA36A4"/>
    <w:rsid w:val="00AA3AE5"/>
    <w:rsid w:val="00AA44C0"/>
    <w:rsid w:val="00AA5133"/>
    <w:rsid w:val="00AA5203"/>
    <w:rsid w:val="00AA53DA"/>
    <w:rsid w:val="00AA548C"/>
    <w:rsid w:val="00AA6E54"/>
    <w:rsid w:val="00AA7795"/>
    <w:rsid w:val="00AA7C3E"/>
    <w:rsid w:val="00AB08A1"/>
    <w:rsid w:val="00AB0BDE"/>
    <w:rsid w:val="00AB168C"/>
    <w:rsid w:val="00AB194F"/>
    <w:rsid w:val="00AB25AF"/>
    <w:rsid w:val="00AB25D5"/>
    <w:rsid w:val="00AB274F"/>
    <w:rsid w:val="00AB2A0D"/>
    <w:rsid w:val="00AB2B4D"/>
    <w:rsid w:val="00AB3006"/>
    <w:rsid w:val="00AB38C9"/>
    <w:rsid w:val="00AB38F4"/>
    <w:rsid w:val="00AB3B88"/>
    <w:rsid w:val="00AB4115"/>
    <w:rsid w:val="00AB4B9D"/>
    <w:rsid w:val="00AB4CDF"/>
    <w:rsid w:val="00AB616E"/>
    <w:rsid w:val="00AB6AE0"/>
    <w:rsid w:val="00AB6C52"/>
    <w:rsid w:val="00AC0CAA"/>
    <w:rsid w:val="00AC0CE0"/>
    <w:rsid w:val="00AC0F6D"/>
    <w:rsid w:val="00AC18F0"/>
    <w:rsid w:val="00AC247A"/>
    <w:rsid w:val="00AC2FDA"/>
    <w:rsid w:val="00AC31D4"/>
    <w:rsid w:val="00AC32D2"/>
    <w:rsid w:val="00AC3BBB"/>
    <w:rsid w:val="00AC3E29"/>
    <w:rsid w:val="00AC4386"/>
    <w:rsid w:val="00AC4B94"/>
    <w:rsid w:val="00AC5253"/>
    <w:rsid w:val="00AC5EF2"/>
    <w:rsid w:val="00AC65DD"/>
    <w:rsid w:val="00AC665B"/>
    <w:rsid w:val="00AD01EB"/>
    <w:rsid w:val="00AD0762"/>
    <w:rsid w:val="00AD0CA7"/>
    <w:rsid w:val="00AD111C"/>
    <w:rsid w:val="00AD12C4"/>
    <w:rsid w:val="00AD18E1"/>
    <w:rsid w:val="00AD1BB7"/>
    <w:rsid w:val="00AD1D23"/>
    <w:rsid w:val="00AD211D"/>
    <w:rsid w:val="00AD2212"/>
    <w:rsid w:val="00AD239E"/>
    <w:rsid w:val="00AD2562"/>
    <w:rsid w:val="00AD27C2"/>
    <w:rsid w:val="00AD32D3"/>
    <w:rsid w:val="00AD3CB7"/>
    <w:rsid w:val="00AD3D67"/>
    <w:rsid w:val="00AD3FD2"/>
    <w:rsid w:val="00AD4AAC"/>
    <w:rsid w:val="00AD4D86"/>
    <w:rsid w:val="00AD4F8D"/>
    <w:rsid w:val="00AD6103"/>
    <w:rsid w:val="00AD6811"/>
    <w:rsid w:val="00AD68D8"/>
    <w:rsid w:val="00AD6F94"/>
    <w:rsid w:val="00AD7812"/>
    <w:rsid w:val="00AE16C7"/>
    <w:rsid w:val="00AE1AD1"/>
    <w:rsid w:val="00AE21D0"/>
    <w:rsid w:val="00AE24C3"/>
    <w:rsid w:val="00AE3834"/>
    <w:rsid w:val="00AE41BF"/>
    <w:rsid w:val="00AE4451"/>
    <w:rsid w:val="00AE4E24"/>
    <w:rsid w:val="00AE4F2D"/>
    <w:rsid w:val="00AE55D1"/>
    <w:rsid w:val="00AE625E"/>
    <w:rsid w:val="00AE6999"/>
    <w:rsid w:val="00AE7318"/>
    <w:rsid w:val="00AE7542"/>
    <w:rsid w:val="00AE7642"/>
    <w:rsid w:val="00AE7E39"/>
    <w:rsid w:val="00AE7F23"/>
    <w:rsid w:val="00AF099A"/>
    <w:rsid w:val="00AF1915"/>
    <w:rsid w:val="00AF1AAC"/>
    <w:rsid w:val="00AF1FBA"/>
    <w:rsid w:val="00AF203A"/>
    <w:rsid w:val="00AF2572"/>
    <w:rsid w:val="00AF2A39"/>
    <w:rsid w:val="00AF3564"/>
    <w:rsid w:val="00AF3C38"/>
    <w:rsid w:val="00AF3E78"/>
    <w:rsid w:val="00AF401F"/>
    <w:rsid w:val="00AF40C9"/>
    <w:rsid w:val="00AF440E"/>
    <w:rsid w:val="00AF44D7"/>
    <w:rsid w:val="00AF50E9"/>
    <w:rsid w:val="00AF587C"/>
    <w:rsid w:val="00AF62EB"/>
    <w:rsid w:val="00AF6424"/>
    <w:rsid w:val="00AF64A5"/>
    <w:rsid w:val="00AF64B4"/>
    <w:rsid w:val="00AF6B1F"/>
    <w:rsid w:val="00AF6DAC"/>
    <w:rsid w:val="00AF7A95"/>
    <w:rsid w:val="00AF7C82"/>
    <w:rsid w:val="00AF7F0C"/>
    <w:rsid w:val="00B00098"/>
    <w:rsid w:val="00B016B0"/>
    <w:rsid w:val="00B0205C"/>
    <w:rsid w:val="00B0275D"/>
    <w:rsid w:val="00B02E37"/>
    <w:rsid w:val="00B0560D"/>
    <w:rsid w:val="00B05902"/>
    <w:rsid w:val="00B05F27"/>
    <w:rsid w:val="00B06D90"/>
    <w:rsid w:val="00B06F87"/>
    <w:rsid w:val="00B07039"/>
    <w:rsid w:val="00B101F6"/>
    <w:rsid w:val="00B114E6"/>
    <w:rsid w:val="00B1178E"/>
    <w:rsid w:val="00B1186F"/>
    <w:rsid w:val="00B11A7B"/>
    <w:rsid w:val="00B11CFA"/>
    <w:rsid w:val="00B11DE7"/>
    <w:rsid w:val="00B129D1"/>
    <w:rsid w:val="00B12D25"/>
    <w:rsid w:val="00B137BC"/>
    <w:rsid w:val="00B1399E"/>
    <w:rsid w:val="00B13B8F"/>
    <w:rsid w:val="00B145AA"/>
    <w:rsid w:val="00B146F4"/>
    <w:rsid w:val="00B14E01"/>
    <w:rsid w:val="00B15025"/>
    <w:rsid w:val="00B158B4"/>
    <w:rsid w:val="00B15938"/>
    <w:rsid w:val="00B15952"/>
    <w:rsid w:val="00B1599C"/>
    <w:rsid w:val="00B17A81"/>
    <w:rsid w:val="00B17B54"/>
    <w:rsid w:val="00B17FF4"/>
    <w:rsid w:val="00B20936"/>
    <w:rsid w:val="00B212C6"/>
    <w:rsid w:val="00B21602"/>
    <w:rsid w:val="00B21E39"/>
    <w:rsid w:val="00B21E6C"/>
    <w:rsid w:val="00B221C9"/>
    <w:rsid w:val="00B22301"/>
    <w:rsid w:val="00B22E30"/>
    <w:rsid w:val="00B238A4"/>
    <w:rsid w:val="00B23B46"/>
    <w:rsid w:val="00B23E9E"/>
    <w:rsid w:val="00B2405F"/>
    <w:rsid w:val="00B240C8"/>
    <w:rsid w:val="00B242C7"/>
    <w:rsid w:val="00B246AF"/>
    <w:rsid w:val="00B250D1"/>
    <w:rsid w:val="00B25428"/>
    <w:rsid w:val="00B260FF"/>
    <w:rsid w:val="00B26122"/>
    <w:rsid w:val="00B27340"/>
    <w:rsid w:val="00B30516"/>
    <w:rsid w:val="00B310C3"/>
    <w:rsid w:val="00B317FF"/>
    <w:rsid w:val="00B31B21"/>
    <w:rsid w:val="00B31CA7"/>
    <w:rsid w:val="00B31E38"/>
    <w:rsid w:val="00B31E5B"/>
    <w:rsid w:val="00B32388"/>
    <w:rsid w:val="00B32945"/>
    <w:rsid w:val="00B32F73"/>
    <w:rsid w:val="00B33616"/>
    <w:rsid w:val="00B3388E"/>
    <w:rsid w:val="00B3425B"/>
    <w:rsid w:val="00B35378"/>
    <w:rsid w:val="00B35DFB"/>
    <w:rsid w:val="00B37DD0"/>
    <w:rsid w:val="00B41149"/>
    <w:rsid w:val="00B4178C"/>
    <w:rsid w:val="00B4233A"/>
    <w:rsid w:val="00B43B55"/>
    <w:rsid w:val="00B43D22"/>
    <w:rsid w:val="00B4400F"/>
    <w:rsid w:val="00B4450E"/>
    <w:rsid w:val="00B447D6"/>
    <w:rsid w:val="00B44D05"/>
    <w:rsid w:val="00B45211"/>
    <w:rsid w:val="00B4645B"/>
    <w:rsid w:val="00B465D0"/>
    <w:rsid w:val="00B46A30"/>
    <w:rsid w:val="00B46B2F"/>
    <w:rsid w:val="00B47373"/>
    <w:rsid w:val="00B4743E"/>
    <w:rsid w:val="00B47825"/>
    <w:rsid w:val="00B47B8F"/>
    <w:rsid w:val="00B47E6E"/>
    <w:rsid w:val="00B5026F"/>
    <w:rsid w:val="00B50362"/>
    <w:rsid w:val="00B50414"/>
    <w:rsid w:val="00B50B51"/>
    <w:rsid w:val="00B51038"/>
    <w:rsid w:val="00B515F4"/>
    <w:rsid w:val="00B52865"/>
    <w:rsid w:val="00B5369D"/>
    <w:rsid w:val="00B540FE"/>
    <w:rsid w:val="00B54137"/>
    <w:rsid w:val="00B54358"/>
    <w:rsid w:val="00B55D50"/>
    <w:rsid w:val="00B55DDE"/>
    <w:rsid w:val="00B55F3F"/>
    <w:rsid w:val="00B56607"/>
    <w:rsid w:val="00B56699"/>
    <w:rsid w:val="00B567F8"/>
    <w:rsid w:val="00B56BD4"/>
    <w:rsid w:val="00B575A3"/>
    <w:rsid w:val="00B5785D"/>
    <w:rsid w:val="00B60066"/>
    <w:rsid w:val="00B60AD6"/>
    <w:rsid w:val="00B60B19"/>
    <w:rsid w:val="00B61BC8"/>
    <w:rsid w:val="00B62446"/>
    <w:rsid w:val="00B62C33"/>
    <w:rsid w:val="00B62C79"/>
    <w:rsid w:val="00B63180"/>
    <w:rsid w:val="00B63432"/>
    <w:rsid w:val="00B64417"/>
    <w:rsid w:val="00B64825"/>
    <w:rsid w:val="00B64A07"/>
    <w:rsid w:val="00B64FDD"/>
    <w:rsid w:val="00B652FF"/>
    <w:rsid w:val="00B65307"/>
    <w:rsid w:val="00B65584"/>
    <w:rsid w:val="00B65E3C"/>
    <w:rsid w:val="00B66115"/>
    <w:rsid w:val="00B6640D"/>
    <w:rsid w:val="00B668ED"/>
    <w:rsid w:val="00B66B8C"/>
    <w:rsid w:val="00B705C1"/>
    <w:rsid w:val="00B71074"/>
    <w:rsid w:val="00B7131B"/>
    <w:rsid w:val="00B713C4"/>
    <w:rsid w:val="00B713C6"/>
    <w:rsid w:val="00B7177E"/>
    <w:rsid w:val="00B7237F"/>
    <w:rsid w:val="00B72736"/>
    <w:rsid w:val="00B731B2"/>
    <w:rsid w:val="00B732C6"/>
    <w:rsid w:val="00B7457F"/>
    <w:rsid w:val="00B751B7"/>
    <w:rsid w:val="00B755CA"/>
    <w:rsid w:val="00B756CB"/>
    <w:rsid w:val="00B75991"/>
    <w:rsid w:val="00B75B01"/>
    <w:rsid w:val="00B7624B"/>
    <w:rsid w:val="00B77637"/>
    <w:rsid w:val="00B77D3A"/>
    <w:rsid w:val="00B77F9A"/>
    <w:rsid w:val="00B8040D"/>
    <w:rsid w:val="00B823E2"/>
    <w:rsid w:val="00B825A8"/>
    <w:rsid w:val="00B82D9D"/>
    <w:rsid w:val="00B83049"/>
    <w:rsid w:val="00B8460A"/>
    <w:rsid w:val="00B8532B"/>
    <w:rsid w:val="00B85605"/>
    <w:rsid w:val="00B8573F"/>
    <w:rsid w:val="00B86ADC"/>
    <w:rsid w:val="00B87B2F"/>
    <w:rsid w:val="00B90C04"/>
    <w:rsid w:val="00B90F30"/>
    <w:rsid w:val="00B91338"/>
    <w:rsid w:val="00B91E2A"/>
    <w:rsid w:val="00B9228E"/>
    <w:rsid w:val="00B923AB"/>
    <w:rsid w:val="00B92657"/>
    <w:rsid w:val="00B93D1D"/>
    <w:rsid w:val="00B94070"/>
    <w:rsid w:val="00B94190"/>
    <w:rsid w:val="00B94542"/>
    <w:rsid w:val="00B94B8C"/>
    <w:rsid w:val="00B95554"/>
    <w:rsid w:val="00B959DD"/>
    <w:rsid w:val="00B9604C"/>
    <w:rsid w:val="00B96397"/>
    <w:rsid w:val="00B966D8"/>
    <w:rsid w:val="00B96731"/>
    <w:rsid w:val="00B96A2B"/>
    <w:rsid w:val="00B97423"/>
    <w:rsid w:val="00B97FE8"/>
    <w:rsid w:val="00BA008D"/>
    <w:rsid w:val="00BA019A"/>
    <w:rsid w:val="00BA0598"/>
    <w:rsid w:val="00BA0802"/>
    <w:rsid w:val="00BA0DAF"/>
    <w:rsid w:val="00BA1335"/>
    <w:rsid w:val="00BA1451"/>
    <w:rsid w:val="00BA1658"/>
    <w:rsid w:val="00BA1DD7"/>
    <w:rsid w:val="00BA2A06"/>
    <w:rsid w:val="00BA2BC9"/>
    <w:rsid w:val="00BA36C5"/>
    <w:rsid w:val="00BA3B9F"/>
    <w:rsid w:val="00BA3EC9"/>
    <w:rsid w:val="00BA3F59"/>
    <w:rsid w:val="00BA41CD"/>
    <w:rsid w:val="00BA487B"/>
    <w:rsid w:val="00BA5360"/>
    <w:rsid w:val="00BA53DB"/>
    <w:rsid w:val="00BA5432"/>
    <w:rsid w:val="00BA5F9D"/>
    <w:rsid w:val="00BA7420"/>
    <w:rsid w:val="00BB088A"/>
    <w:rsid w:val="00BB0E1F"/>
    <w:rsid w:val="00BB0F59"/>
    <w:rsid w:val="00BB1424"/>
    <w:rsid w:val="00BB18EC"/>
    <w:rsid w:val="00BB1C57"/>
    <w:rsid w:val="00BB2711"/>
    <w:rsid w:val="00BB312D"/>
    <w:rsid w:val="00BB32FE"/>
    <w:rsid w:val="00BB3871"/>
    <w:rsid w:val="00BB4161"/>
    <w:rsid w:val="00BB48F2"/>
    <w:rsid w:val="00BB4A6E"/>
    <w:rsid w:val="00BB54C4"/>
    <w:rsid w:val="00BB557F"/>
    <w:rsid w:val="00BB5BD7"/>
    <w:rsid w:val="00BB6141"/>
    <w:rsid w:val="00BB633D"/>
    <w:rsid w:val="00BB6AD9"/>
    <w:rsid w:val="00BC0545"/>
    <w:rsid w:val="00BC0873"/>
    <w:rsid w:val="00BC0F21"/>
    <w:rsid w:val="00BC0F68"/>
    <w:rsid w:val="00BC13AC"/>
    <w:rsid w:val="00BC16AD"/>
    <w:rsid w:val="00BC1D38"/>
    <w:rsid w:val="00BC1D48"/>
    <w:rsid w:val="00BC1DD3"/>
    <w:rsid w:val="00BC2C99"/>
    <w:rsid w:val="00BC4CF2"/>
    <w:rsid w:val="00BC50FE"/>
    <w:rsid w:val="00BC5BE0"/>
    <w:rsid w:val="00BC5FAE"/>
    <w:rsid w:val="00BC62D5"/>
    <w:rsid w:val="00BC7521"/>
    <w:rsid w:val="00BC79B0"/>
    <w:rsid w:val="00BD063C"/>
    <w:rsid w:val="00BD0E8C"/>
    <w:rsid w:val="00BD1052"/>
    <w:rsid w:val="00BD16BB"/>
    <w:rsid w:val="00BD1D96"/>
    <w:rsid w:val="00BD265C"/>
    <w:rsid w:val="00BD26CE"/>
    <w:rsid w:val="00BD2890"/>
    <w:rsid w:val="00BD32C6"/>
    <w:rsid w:val="00BD3599"/>
    <w:rsid w:val="00BD3994"/>
    <w:rsid w:val="00BD3BFA"/>
    <w:rsid w:val="00BD432A"/>
    <w:rsid w:val="00BD453D"/>
    <w:rsid w:val="00BD4E83"/>
    <w:rsid w:val="00BD4F18"/>
    <w:rsid w:val="00BD5F38"/>
    <w:rsid w:val="00BD6158"/>
    <w:rsid w:val="00BD652C"/>
    <w:rsid w:val="00BD660F"/>
    <w:rsid w:val="00BD66E6"/>
    <w:rsid w:val="00BE01F4"/>
    <w:rsid w:val="00BE1603"/>
    <w:rsid w:val="00BE1883"/>
    <w:rsid w:val="00BE1CB5"/>
    <w:rsid w:val="00BE1F5F"/>
    <w:rsid w:val="00BE250D"/>
    <w:rsid w:val="00BE2B6C"/>
    <w:rsid w:val="00BE2DAB"/>
    <w:rsid w:val="00BE40AA"/>
    <w:rsid w:val="00BE461B"/>
    <w:rsid w:val="00BE4748"/>
    <w:rsid w:val="00BE4CB6"/>
    <w:rsid w:val="00BE5068"/>
    <w:rsid w:val="00BE55D9"/>
    <w:rsid w:val="00BE5C41"/>
    <w:rsid w:val="00BE5FDC"/>
    <w:rsid w:val="00BE6717"/>
    <w:rsid w:val="00BE7045"/>
    <w:rsid w:val="00BE7130"/>
    <w:rsid w:val="00BE7B04"/>
    <w:rsid w:val="00BF1175"/>
    <w:rsid w:val="00BF15C7"/>
    <w:rsid w:val="00BF18D4"/>
    <w:rsid w:val="00BF21E9"/>
    <w:rsid w:val="00BF2E4A"/>
    <w:rsid w:val="00BF2F0C"/>
    <w:rsid w:val="00BF3451"/>
    <w:rsid w:val="00BF3BD9"/>
    <w:rsid w:val="00BF420D"/>
    <w:rsid w:val="00BF49EB"/>
    <w:rsid w:val="00BF4B2F"/>
    <w:rsid w:val="00BF4E4A"/>
    <w:rsid w:val="00BF52C4"/>
    <w:rsid w:val="00BF538C"/>
    <w:rsid w:val="00BF5921"/>
    <w:rsid w:val="00BF597B"/>
    <w:rsid w:val="00BF609E"/>
    <w:rsid w:val="00BF64EC"/>
    <w:rsid w:val="00BF6DED"/>
    <w:rsid w:val="00BF74CC"/>
    <w:rsid w:val="00BF785D"/>
    <w:rsid w:val="00C0027C"/>
    <w:rsid w:val="00C01A50"/>
    <w:rsid w:val="00C0286E"/>
    <w:rsid w:val="00C02B53"/>
    <w:rsid w:val="00C02DE9"/>
    <w:rsid w:val="00C05400"/>
    <w:rsid w:val="00C058AF"/>
    <w:rsid w:val="00C05D6F"/>
    <w:rsid w:val="00C05FE4"/>
    <w:rsid w:val="00C0666C"/>
    <w:rsid w:val="00C06E8A"/>
    <w:rsid w:val="00C0737E"/>
    <w:rsid w:val="00C07E69"/>
    <w:rsid w:val="00C10151"/>
    <w:rsid w:val="00C10CEE"/>
    <w:rsid w:val="00C10D8F"/>
    <w:rsid w:val="00C110B4"/>
    <w:rsid w:val="00C114E9"/>
    <w:rsid w:val="00C12178"/>
    <w:rsid w:val="00C122EA"/>
    <w:rsid w:val="00C123B2"/>
    <w:rsid w:val="00C13113"/>
    <w:rsid w:val="00C133EC"/>
    <w:rsid w:val="00C14698"/>
    <w:rsid w:val="00C14B6B"/>
    <w:rsid w:val="00C1535B"/>
    <w:rsid w:val="00C15767"/>
    <w:rsid w:val="00C15F73"/>
    <w:rsid w:val="00C164B7"/>
    <w:rsid w:val="00C16BFF"/>
    <w:rsid w:val="00C17139"/>
    <w:rsid w:val="00C17271"/>
    <w:rsid w:val="00C17E99"/>
    <w:rsid w:val="00C2030A"/>
    <w:rsid w:val="00C203CE"/>
    <w:rsid w:val="00C20AA5"/>
    <w:rsid w:val="00C216CC"/>
    <w:rsid w:val="00C21BC4"/>
    <w:rsid w:val="00C223F9"/>
    <w:rsid w:val="00C22BE8"/>
    <w:rsid w:val="00C23741"/>
    <w:rsid w:val="00C245CD"/>
    <w:rsid w:val="00C249B0"/>
    <w:rsid w:val="00C2597C"/>
    <w:rsid w:val="00C260A5"/>
    <w:rsid w:val="00C268D3"/>
    <w:rsid w:val="00C274E8"/>
    <w:rsid w:val="00C306D9"/>
    <w:rsid w:val="00C307B8"/>
    <w:rsid w:val="00C3195C"/>
    <w:rsid w:val="00C31C86"/>
    <w:rsid w:val="00C31FD0"/>
    <w:rsid w:val="00C320B4"/>
    <w:rsid w:val="00C32323"/>
    <w:rsid w:val="00C32356"/>
    <w:rsid w:val="00C329A6"/>
    <w:rsid w:val="00C32A6C"/>
    <w:rsid w:val="00C32E52"/>
    <w:rsid w:val="00C33410"/>
    <w:rsid w:val="00C33421"/>
    <w:rsid w:val="00C33CB3"/>
    <w:rsid w:val="00C33DF0"/>
    <w:rsid w:val="00C33DF7"/>
    <w:rsid w:val="00C343F5"/>
    <w:rsid w:val="00C34DE7"/>
    <w:rsid w:val="00C358C5"/>
    <w:rsid w:val="00C35CAE"/>
    <w:rsid w:val="00C3781B"/>
    <w:rsid w:val="00C37DB1"/>
    <w:rsid w:val="00C40690"/>
    <w:rsid w:val="00C40943"/>
    <w:rsid w:val="00C41007"/>
    <w:rsid w:val="00C41019"/>
    <w:rsid w:val="00C41E3C"/>
    <w:rsid w:val="00C4206D"/>
    <w:rsid w:val="00C4235C"/>
    <w:rsid w:val="00C427F8"/>
    <w:rsid w:val="00C42919"/>
    <w:rsid w:val="00C4340D"/>
    <w:rsid w:val="00C44105"/>
    <w:rsid w:val="00C44A14"/>
    <w:rsid w:val="00C44A45"/>
    <w:rsid w:val="00C44BA9"/>
    <w:rsid w:val="00C45117"/>
    <w:rsid w:val="00C4597B"/>
    <w:rsid w:val="00C45BA1"/>
    <w:rsid w:val="00C45CC2"/>
    <w:rsid w:val="00C50399"/>
    <w:rsid w:val="00C51956"/>
    <w:rsid w:val="00C51FA8"/>
    <w:rsid w:val="00C5225A"/>
    <w:rsid w:val="00C52541"/>
    <w:rsid w:val="00C52610"/>
    <w:rsid w:val="00C52E0A"/>
    <w:rsid w:val="00C53130"/>
    <w:rsid w:val="00C53526"/>
    <w:rsid w:val="00C5380B"/>
    <w:rsid w:val="00C5398C"/>
    <w:rsid w:val="00C54043"/>
    <w:rsid w:val="00C56490"/>
    <w:rsid w:val="00C566B2"/>
    <w:rsid w:val="00C56719"/>
    <w:rsid w:val="00C56885"/>
    <w:rsid w:val="00C573AB"/>
    <w:rsid w:val="00C604DF"/>
    <w:rsid w:val="00C6076A"/>
    <w:rsid w:val="00C609AB"/>
    <w:rsid w:val="00C610A7"/>
    <w:rsid w:val="00C615DF"/>
    <w:rsid w:val="00C61ADA"/>
    <w:rsid w:val="00C61D18"/>
    <w:rsid w:val="00C61FF2"/>
    <w:rsid w:val="00C62B1F"/>
    <w:rsid w:val="00C63920"/>
    <w:rsid w:val="00C63D8C"/>
    <w:rsid w:val="00C63DB4"/>
    <w:rsid w:val="00C64903"/>
    <w:rsid w:val="00C654FB"/>
    <w:rsid w:val="00C661FC"/>
    <w:rsid w:val="00C662AD"/>
    <w:rsid w:val="00C66983"/>
    <w:rsid w:val="00C675F2"/>
    <w:rsid w:val="00C70110"/>
    <w:rsid w:val="00C701A0"/>
    <w:rsid w:val="00C70331"/>
    <w:rsid w:val="00C70730"/>
    <w:rsid w:val="00C70737"/>
    <w:rsid w:val="00C7076F"/>
    <w:rsid w:val="00C70BFF"/>
    <w:rsid w:val="00C70C06"/>
    <w:rsid w:val="00C70D6D"/>
    <w:rsid w:val="00C70EA6"/>
    <w:rsid w:val="00C71716"/>
    <w:rsid w:val="00C727F5"/>
    <w:rsid w:val="00C7416B"/>
    <w:rsid w:val="00C75333"/>
    <w:rsid w:val="00C756BA"/>
    <w:rsid w:val="00C75F93"/>
    <w:rsid w:val="00C76229"/>
    <w:rsid w:val="00C7697C"/>
    <w:rsid w:val="00C76ADD"/>
    <w:rsid w:val="00C7755A"/>
    <w:rsid w:val="00C77C3B"/>
    <w:rsid w:val="00C80391"/>
    <w:rsid w:val="00C80E84"/>
    <w:rsid w:val="00C813DB"/>
    <w:rsid w:val="00C81421"/>
    <w:rsid w:val="00C8269E"/>
    <w:rsid w:val="00C83C97"/>
    <w:rsid w:val="00C8404E"/>
    <w:rsid w:val="00C8582C"/>
    <w:rsid w:val="00C85E77"/>
    <w:rsid w:val="00C86E19"/>
    <w:rsid w:val="00C900A1"/>
    <w:rsid w:val="00C900CF"/>
    <w:rsid w:val="00C9010B"/>
    <w:rsid w:val="00C904D2"/>
    <w:rsid w:val="00C90781"/>
    <w:rsid w:val="00C9288D"/>
    <w:rsid w:val="00C92B36"/>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A83"/>
    <w:rsid w:val="00C96B24"/>
    <w:rsid w:val="00C96BF3"/>
    <w:rsid w:val="00C97E2D"/>
    <w:rsid w:val="00CA10B9"/>
    <w:rsid w:val="00CA18FC"/>
    <w:rsid w:val="00CA1A93"/>
    <w:rsid w:val="00CA2611"/>
    <w:rsid w:val="00CA2965"/>
    <w:rsid w:val="00CA3FC9"/>
    <w:rsid w:val="00CA41AE"/>
    <w:rsid w:val="00CA4439"/>
    <w:rsid w:val="00CA4492"/>
    <w:rsid w:val="00CA4A51"/>
    <w:rsid w:val="00CA517F"/>
    <w:rsid w:val="00CA6462"/>
    <w:rsid w:val="00CA6499"/>
    <w:rsid w:val="00CA6AD7"/>
    <w:rsid w:val="00CA7926"/>
    <w:rsid w:val="00CA7BCA"/>
    <w:rsid w:val="00CA7E08"/>
    <w:rsid w:val="00CB01B1"/>
    <w:rsid w:val="00CB0E07"/>
    <w:rsid w:val="00CB0E1A"/>
    <w:rsid w:val="00CB29C1"/>
    <w:rsid w:val="00CB2CFA"/>
    <w:rsid w:val="00CB33F2"/>
    <w:rsid w:val="00CB370B"/>
    <w:rsid w:val="00CB38E5"/>
    <w:rsid w:val="00CB3E8B"/>
    <w:rsid w:val="00CB4702"/>
    <w:rsid w:val="00CB508C"/>
    <w:rsid w:val="00CB57E6"/>
    <w:rsid w:val="00CB5C57"/>
    <w:rsid w:val="00CB70C4"/>
    <w:rsid w:val="00CB758F"/>
    <w:rsid w:val="00CB7AB8"/>
    <w:rsid w:val="00CC0036"/>
    <w:rsid w:val="00CC0752"/>
    <w:rsid w:val="00CC0FC6"/>
    <w:rsid w:val="00CC1586"/>
    <w:rsid w:val="00CC18AD"/>
    <w:rsid w:val="00CC1C73"/>
    <w:rsid w:val="00CC225D"/>
    <w:rsid w:val="00CC2609"/>
    <w:rsid w:val="00CC2664"/>
    <w:rsid w:val="00CC2B3A"/>
    <w:rsid w:val="00CC2F5C"/>
    <w:rsid w:val="00CC3727"/>
    <w:rsid w:val="00CC3897"/>
    <w:rsid w:val="00CC466D"/>
    <w:rsid w:val="00CC4950"/>
    <w:rsid w:val="00CC529E"/>
    <w:rsid w:val="00CC5A15"/>
    <w:rsid w:val="00CC5C57"/>
    <w:rsid w:val="00CC5D7B"/>
    <w:rsid w:val="00CC6163"/>
    <w:rsid w:val="00CC66D0"/>
    <w:rsid w:val="00CC6B8A"/>
    <w:rsid w:val="00CC72B5"/>
    <w:rsid w:val="00CC74F2"/>
    <w:rsid w:val="00CC7AF7"/>
    <w:rsid w:val="00CC7B07"/>
    <w:rsid w:val="00CD093F"/>
    <w:rsid w:val="00CD0AAF"/>
    <w:rsid w:val="00CD12D8"/>
    <w:rsid w:val="00CD2449"/>
    <w:rsid w:val="00CD3C7A"/>
    <w:rsid w:val="00CD4967"/>
    <w:rsid w:val="00CD4EBF"/>
    <w:rsid w:val="00CD4FD9"/>
    <w:rsid w:val="00CD659B"/>
    <w:rsid w:val="00CD66E6"/>
    <w:rsid w:val="00CD675C"/>
    <w:rsid w:val="00CD6B49"/>
    <w:rsid w:val="00CD6CA4"/>
    <w:rsid w:val="00CD6F09"/>
    <w:rsid w:val="00CD7364"/>
    <w:rsid w:val="00CD73F3"/>
    <w:rsid w:val="00CD75E2"/>
    <w:rsid w:val="00CE0ACC"/>
    <w:rsid w:val="00CE1A86"/>
    <w:rsid w:val="00CE1D0F"/>
    <w:rsid w:val="00CE2672"/>
    <w:rsid w:val="00CE3166"/>
    <w:rsid w:val="00CE37DE"/>
    <w:rsid w:val="00CE37F3"/>
    <w:rsid w:val="00CE3B56"/>
    <w:rsid w:val="00CE3F6A"/>
    <w:rsid w:val="00CE40C0"/>
    <w:rsid w:val="00CE42E3"/>
    <w:rsid w:val="00CE43DC"/>
    <w:rsid w:val="00CE4A91"/>
    <w:rsid w:val="00CE5045"/>
    <w:rsid w:val="00CE5425"/>
    <w:rsid w:val="00CE6439"/>
    <w:rsid w:val="00CE6532"/>
    <w:rsid w:val="00CE6549"/>
    <w:rsid w:val="00CE750A"/>
    <w:rsid w:val="00CE79D8"/>
    <w:rsid w:val="00CE7CDD"/>
    <w:rsid w:val="00CF007A"/>
    <w:rsid w:val="00CF03E2"/>
    <w:rsid w:val="00CF061F"/>
    <w:rsid w:val="00CF09E6"/>
    <w:rsid w:val="00CF11FB"/>
    <w:rsid w:val="00CF279E"/>
    <w:rsid w:val="00CF2D83"/>
    <w:rsid w:val="00CF3062"/>
    <w:rsid w:val="00CF335A"/>
    <w:rsid w:val="00CF34F5"/>
    <w:rsid w:val="00CF3F67"/>
    <w:rsid w:val="00CF4428"/>
    <w:rsid w:val="00CF4B78"/>
    <w:rsid w:val="00CF5059"/>
    <w:rsid w:val="00CF52D9"/>
    <w:rsid w:val="00CF5AE7"/>
    <w:rsid w:val="00CF5D37"/>
    <w:rsid w:val="00CF5D81"/>
    <w:rsid w:val="00CF6018"/>
    <w:rsid w:val="00CF66E6"/>
    <w:rsid w:val="00CF68CE"/>
    <w:rsid w:val="00CF6A39"/>
    <w:rsid w:val="00CF6AE7"/>
    <w:rsid w:val="00CF6E6A"/>
    <w:rsid w:val="00CF74F3"/>
    <w:rsid w:val="00CF785F"/>
    <w:rsid w:val="00CF78E9"/>
    <w:rsid w:val="00CF79E2"/>
    <w:rsid w:val="00CF7C3D"/>
    <w:rsid w:val="00D00375"/>
    <w:rsid w:val="00D00446"/>
    <w:rsid w:val="00D0053C"/>
    <w:rsid w:val="00D00C3E"/>
    <w:rsid w:val="00D00D2F"/>
    <w:rsid w:val="00D01AE6"/>
    <w:rsid w:val="00D01F33"/>
    <w:rsid w:val="00D02641"/>
    <w:rsid w:val="00D02731"/>
    <w:rsid w:val="00D02A7F"/>
    <w:rsid w:val="00D02F2B"/>
    <w:rsid w:val="00D03479"/>
    <w:rsid w:val="00D0424A"/>
    <w:rsid w:val="00D046DF"/>
    <w:rsid w:val="00D04722"/>
    <w:rsid w:val="00D0559D"/>
    <w:rsid w:val="00D06765"/>
    <w:rsid w:val="00D068D6"/>
    <w:rsid w:val="00D075BE"/>
    <w:rsid w:val="00D07F48"/>
    <w:rsid w:val="00D108F0"/>
    <w:rsid w:val="00D10C5B"/>
    <w:rsid w:val="00D1167D"/>
    <w:rsid w:val="00D117ED"/>
    <w:rsid w:val="00D11889"/>
    <w:rsid w:val="00D11E03"/>
    <w:rsid w:val="00D11E97"/>
    <w:rsid w:val="00D1333E"/>
    <w:rsid w:val="00D13CDE"/>
    <w:rsid w:val="00D1448E"/>
    <w:rsid w:val="00D14A90"/>
    <w:rsid w:val="00D14AC2"/>
    <w:rsid w:val="00D1522D"/>
    <w:rsid w:val="00D1549F"/>
    <w:rsid w:val="00D1632B"/>
    <w:rsid w:val="00D1733E"/>
    <w:rsid w:val="00D175A7"/>
    <w:rsid w:val="00D20A18"/>
    <w:rsid w:val="00D20B6D"/>
    <w:rsid w:val="00D20D08"/>
    <w:rsid w:val="00D20E82"/>
    <w:rsid w:val="00D21980"/>
    <w:rsid w:val="00D21ED9"/>
    <w:rsid w:val="00D22064"/>
    <w:rsid w:val="00D2293F"/>
    <w:rsid w:val="00D22C0F"/>
    <w:rsid w:val="00D2318C"/>
    <w:rsid w:val="00D241C3"/>
    <w:rsid w:val="00D2491E"/>
    <w:rsid w:val="00D24FC7"/>
    <w:rsid w:val="00D258CC"/>
    <w:rsid w:val="00D30F34"/>
    <w:rsid w:val="00D32AD6"/>
    <w:rsid w:val="00D334B4"/>
    <w:rsid w:val="00D33878"/>
    <w:rsid w:val="00D33921"/>
    <w:rsid w:val="00D347DA"/>
    <w:rsid w:val="00D3574E"/>
    <w:rsid w:val="00D35D12"/>
    <w:rsid w:val="00D35DF4"/>
    <w:rsid w:val="00D37291"/>
    <w:rsid w:val="00D403A7"/>
    <w:rsid w:val="00D409C3"/>
    <w:rsid w:val="00D40E70"/>
    <w:rsid w:val="00D4185E"/>
    <w:rsid w:val="00D42154"/>
    <w:rsid w:val="00D4288C"/>
    <w:rsid w:val="00D436CE"/>
    <w:rsid w:val="00D43CE9"/>
    <w:rsid w:val="00D46476"/>
    <w:rsid w:val="00D4694A"/>
    <w:rsid w:val="00D46D1D"/>
    <w:rsid w:val="00D47264"/>
    <w:rsid w:val="00D47990"/>
    <w:rsid w:val="00D47D61"/>
    <w:rsid w:val="00D507A0"/>
    <w:rsid w:val="00D51642"/>
    <w:rsid w:val="00D520D0"/>
    <w:rsid w:val="00D524C9"/>
    <w:rsid w:val="00D524CF"/>
    <w:rsid w:val="00D526E5"/>
    <w:rsid w:val="00D5423C"/>
    <w:rsid w:val="00D54357"/>
    <w:rsid w:val="00D544C6"/>
    <w:rsid w:val="00D54745"/>
    <w:rsid w:val="00D547E9"/>
    <w:rsid w:val="00D54A1E"/>
    <w:rsid w:val="00D54F0D"/>
    <w:rsid w:val="00D54FEA"/>
    <w:rsid w:val="00D550CE"/>
    <w:rsid w:val="00D56123"/>
    <w:rsid w:val="00D5621D"/>
    <w:rsid w:val="00D56F40"/>
    <w:rsid w:val="00D606BD"/>
    <w:rsid w:val="00D60F9E"/>
    <w:rsid w:val="00D611DC"/>
    <w:rsid w:val="00D611E6"/>
    <w:rsid w:val="00D622FD"/>
    <w:rsid w:val="00D628E0"/>
    <w:rsid w:val="00D637CD"/>
    <w:rsid w:val="00D637EE"/>
    <w:rsid w:val="00D638BE"/>
    <w:rsid w:val="00D63B39"/>
    <w:rsid w:val="00D63D07"/>
    <w:rsid w:val="00D6416F"/>
    <w:rsid w:val="00D6417C"/>
    <w:rsid w:val="00D64366"/>
    <w:rsid w:val="00D64750"/>
    <w:rsid w:val="00D65460"/>
    <w:rsid w:val="00D65EDF"/>
    <w:rsid w:val="00D660F9"/>
    <w:rsid w:val="00D6655E"/>
    <w:rsid w:val="00D66B26"/>
    <w:rsid w:val="00D66B51"/>
    <w:rsid w:val="00D670E9"/>
    <w:rsid w:val="00D6786F"/>
    <w:rsid w:val="00D679EB"/>
    <w:rsid w:val="00D7000D"/>
    <w:rsid w:val="00D7086C"/>
    <w:rsid w:val="00D7093F"/>
    <w:rsid w:val="00D70C80"/>
    <w:rsid w:val="00D70F79"/>
    <w:rsid w:val="00D71937"/>
    <w:rsid w:val="00D72B64"/>
    <w:rsid w:val="00D731DA"/>
    <w:rsid w:val="00D73870"/>
    <w:rsid w:val="00D739D0"/>
    <w:rsid w:val="00D73E48"/>
    <w:rsid w:val="00D746B0"/>
    <w:rsid w:val="00D74971"/>
    <w:rsid w:val="00D74CC8"/>
    <w:rsid w:val="00D75C7C"/>
    <w:rsid w:val="00D75CF4"/>
    <w:rsid w:val="00D75E57"/>
    <w:rsid w:val="00D76410"/>
    <w:rsid w:val="00D765D9"/>
    <w:rsid w:val="00D76D06"/>
    <w:rsid w:val="00D76D66"/>
    <w:rsid w:val="00D76EC7"/>
    <w:rsid w:val="00D76F88"/>
    <w:rsid w:val="00D7753C"/>
    <w:rsid w:val="00D77AA9"/>
    <w:rsid w:val="00D77D56"/>
    <w:rsid w:val="00D80258"/>
    <w:rsid w:val="00D813EE"/>
    <w:rsid w:val="00D81745"/>
    <w:rsid w:val="00D82303"/>
    <w:rsid w:val="00D8236C"/>
    <w:rsid w:val="00D82509"/>
    <w:rsid w:val="00D82921"/>
    <w:rsid w:val="00D82EA0"/>
    <w:rsid w:val="00D82F6D"/>
    <w:rsid w:val="00D83DB1"/>
    <w:rsid w:val="00D8418B"/>
    <w:rsid w:val="00D843D3"/>
    <w:rsid w:val="00D8448B"/>
    <w:rsid w:val="00D8459C"/>
    <w:rsid w:val="00D847FB"/>
    <w:rsid w:val="00D858B9"/>
    <w:rsid w:val="00D859B7"/>
    <w:rsid w:val="00D85E55"/>
    <w:rsid w:val="00D866A8"/>
    <w:rsid w:val="00D87653"/>
    <w:rsid w:val="00D87952"/>
    <w:rsid w:val="00D879A7"/>
    <w:rsid w:val="00D87E6E"/>
    <w:rsid w:val="00D90134"/>
    <w:rsid w:val="00D90783"/>
    <w:rsid w:val="00D9113C"/>
    <w:rsid w:val="00D911A7"/>
    <w:rsid w:val="00D912FC"/>
    <w:rsid w:val="00D91573"/>
    <w:rsid w:val="00D91994"/>
    <w:rsid w:val="00D91E9F"/>
    <w:rsid w:val="00D92575"/>
    <w:rsid w:val="00D92926"/>
    <w:rsid w:val="00D92AFA"/>
    <w:rsid w:val="00D93604"/>
    <w:rsid w:val="00D93D22"/>
    <w:rsid w:val="00D93EA6"/>
    <w:rsid w:val="00D94A99"/>
    <w:rsid w:val="00D95440"/>
    <w:rsid w:val="00D95BE1"/>
    <w:rsid w:val="00D95E59"/>
    <w:rsid w:val="00D95F27"/>
    <w:rsid w:val="00D96774"/>
    <w:rsid w:val="00D97212"/>
    <w:rsid w:val="00D97EE9"/>
    <w:rsid w:val="00DA07EA"/>
    <w:rsid w:val="00DA1ABF"/>
    <w:rsid w:val="00DA2408"/>
    <w:rsid w:val="00DA2612"/>
    <w:rsid w:val="00DA2B5F"/>
    <w:rsid w:val="00DA43FD"/>
    <w:rsid w:val="00DA478D"/>
    <w:rsid w:val="00DA4AB7"/>
    <w:rsid w:val="00DA52B2"/>
    <w:rsid w:val="00DA54DA"/>
    <w:rsid w:val="00DA57F3"/>
    <w:rsid w:val="00DA5AB4"/>
    <w:rsid w:val="00DA5BE3"/>
    <w:rsid w:val="00DA5EEF"/>
    <w:rsid w:val="00DA5F9C"/>
    <w:rsid w:val="00DA76FA"/>
    <w:rsid w:val="00DA77BA"/>
    <w:rsid w:val="00DA7844"/>
    <w:rsid w:val="00DA7B4F"/>
    <w:rsid w:val="00DB002C"/>
    <w:rsid w:val="00DB0093"/>
    <w:rsid w:val="00DB1578"/>
    <w:rsid w:val="00DB15E5"/>
    <w:rsid w:val="00DB19CE"/>
    <w:rsid w:val="00DB1F0C"/>
    <w:rsid w:val="00DB25EA"/>
    <w:rsid w:val="00DB2623"/>
    <w:rsid w:val="00DB2B40"/>
    <w:rsid w:val="00DB2B8C"/>
    <w:rsid w:val="00DB3C31"/>
    <w:rsid w:val="00DB3CCA"/>
    <w:rsid w:val="00DB4D7C"/>
    <w:rsid w:val="00DB5C80"/>
    <w:rsid w:val="00DB5D57"/>
    <w:rsid w:val="00DB5ECE"/>
    <w:rsid w:val="00DB6128"/>
    <w:rsid w:val="00DB6137"/>
    <w:rsid w:val="00DB6416"/>
    <w:rsid w:val="00DB680B"/>
    <w:rsid w:val="00DB6D94"/>
    <w:rsid w:val="00DB74FD"/>
    <w:rsid w:val="00DB7595"/>
    <w:rsid w:val="00DB793D"/>
    <w:rsid w:val="00DB798C"/>
    <w:rsid w:val="00DB7B88"/>
    <w:rsid w:val="00DC0339"/>
    <w:rsid w:val="00DC06B9"/>
    <w:rsid w:val="00DC07A6"/>
    <w:rsid w:val="00DC08DF"/>
    <w:rsid w:val="00DC0D21"/>
    <w:rsid w:val="00DC1850"/>
    <w:rsid w:val="00DC1CA2"/>
    <w:rsid w:val="00DC1F9F"/>
    <w:rsid w:val="00DC208F"/>
    <w:rsid w:val="00DC268F"/>
    <w:rsid w:val="00DC29F7"/>
    <w:rsid w:val="00DC2D18"/>
    <w:rsid w:val="00DC4509"/>
    <w:rsid w:val="00DC5FB8"/>
    <w:rsid w:val="00DC616C"/>
    <w:rsid w:val="00DC6539"/>
    <w:rsid w:val="00DC6555"/>
    <w:rsid w:val="00DC65B5"/>
    <w:rsid w:val="00DC7488"/>
    <w:rsid w:val="00DC7AE5"/>
    <w:rsid w:val="00DC7BBA"/>
    <w:rsid w:val="00DC7E7E"/>
    <w:rsid w:val="00DD0691"/>
    <w:rsid w:val="00DD0AF6"/>
    <w:rsid w:val="00DD0B9C"/>
    <w:rsid w:val="00DD0F75"/>
    <w:rsid w:val="00DD10C4"/>
    <w:rsid w:val="00DD121A"/>
    <w:rsid w:val="00DD15EA"/>
    <w:rsid w:val="00DD1ACD"/>
    <w:rsid w:val="00DD2143"/>
    <w:rsid w:val="00DD2580"/>
    <w:rsid w:val="00DD3354"/>
    <w:rsid w:val="00DD3FC1"/>
    <w:rsid w:val="00DD4296"/>
    <w:rsid w:val="00DD4833"/>
    <w:rsid w:val="00DD4BC5"/>
    <w:rsid w:val="00DD5DCD"/>
    <w:rsid w:val="00DD6BE7"/>
    <w:rsid w:val="00DD729E"/>
    <w:rsid w:val="00DD741F"/>
    <w:rsid w:val="00DE0406"/>
    <w:rsid w:val="00DE0721"/>
    <w:rsid w:val="00DE082B"/>
    <w:rsid w:val="00DE09EE"/>
    <w:rsid w:val="00DE0AC8"/>
    <w:rsid w:val="00DE0EEA"/>
    <w:rsid w:val="00DE11AF"/>
    <w:rsid w:val="00DE13DE"/>
    <w:rsid w:val="00DE27FE"/>
    <w:rsid w:val="00DE2EAA"/>
    <w:rsid w:val="00DE428A"/>
    <w:rsid w:val="00DE43E8"/>
    <w:rsid w:val="00DE4509"/>
    <w:rsid w:val="00DE4F45"/>
    <w:rsid w:val="00DE5616"/>
    <w:rsid w:val="00DE5769"/>
    <w:rsid w:val="00DE59BD"/>
    <w:rsid w:val="00DE5BB4"/>
    <w:rsid w:val="00DE6039"/>
    <w:rsid w:val="00DE60B7"/>
    <w:rsid w:val="00DE7017"/>
    <w:rsid w:val="00DE7302"/>
    <w:rsid w:val="00DE73CF"/>
    <w:rsid w:val="00DE7C57"/>
    <w:rsid w:val="00DF0817"/>
    <w:rsid w:val="00DF08E6"/>
    <w:rsid w:val="00DF0B6F"/>
    <w:rsid w:val="00DF1243"/>
    <w:rsid w:val="00DF15C8"/>
    <w:rsid w:val="00DF2422"/>
    <w:rsid w:val="00DF2B6A"/>
    <w:rsid w:val="00DF321F"/>
    <w:rsid w:val="00DF336D"/>
    <w:rsid w:val="00DF35AB"/>
    <w:rsid w:val="00DF39FE"/>
    <w:rsid w:val="00DF3AAC"/>
    <w:rsid w:val="00DF3CA0"/>
    <w:rsid w:val="00DF3E34"/>
    <w:rsid w:val="00DF3E74"/>
    <w:rsid w:val="00DF42B7"/>
    <w:rsid w:val="00DF584E"/>
    <w:rsid w:val="00DF677A"/>
    <w:rsid w:val="00DF6E55"/>
    <w:rsid w:val="00DF6FC4"/>
    <w:rsid w:val="00DF7260"/>
    <w:rsid w:val="00DF7EB0"/>
    <w:rsid w:val="00E0005C"/>
    <w:rsid w:val="00E0026F"/>
    <w:rsid w:val="00E0060D"/>
    <w:rsid w:val="00E00A3A"/>
    <w:rsid w:val="00E00A4F"/>
    <w:rsid w:val="00E00D8B"/>
    <w:rsid w:val="00E01F9F"/>
    <w:rsid w:val="00E022F0"/>
    <w:rsid w:val="00E02449"/>
    <w:rsid w:val="00E0333A"/>
    <w:rsid w:val="00E035DD"/>
    <w:rsid w:val="00E03B38"/>
    <w:rsid w:val="00E04870"/>
    <w:rsid w:val="00E04F7F"/>
    <w:rsid w:val="00E0554F"/>
    <w:rsid w:val="00E056D8"/>
    <w:rsid w:val="00E0637C"/>
    <w:rsid w:val="00E07527"/>
    <w:rsid w:val="00E0762E"/>
    <w:rsid w:val="00E07633"/>
    <w:rsid w:val="00E10C23"/>
    <w:rsid w:val="00E11686"/>
    <w:rsid w:val="00E11747"/>
    <w:rsid w:val="00E11F0F"/>
    <w:rsid w:val="00E12087"/>
    <w:rsid w:val="00E12784"/>
    <w:rsid w:val="00E139D8"/>
    <w:rsid w:val="00E13C9A"/>
    <w:rsid w:val="00E14197"/>
    <w:rsid w:val="00E16C72"/>
    <w:rsid w:val="00E207BF"/>
    <w:rsid w:val="00E20B95"/>
    <w:rsid w:val="00E21821"/>
    <w:rsid w:val="00E21E7C"/>
    <w:rsid w:val="00E22642"/>
    <w:rsid w:val="00E23E62"/>
    <w:rsid w:val="00E24321"/>
    <w:rsid w:val="00E243E1"/>
    <w:rsid w:val="00E248A3"/>
    <w:rsid w:val="00E253FE"/>
    <w:rsid w:val="00E256A1"/>
    <w:rsid w:val="00E26557"/>
    <w:rsid w:val="00E26BBB"/>
    <w:rsid w:val="00E27060"/>
    <w:rsid w:val="00E27821"/>
    <w:rsid w:val="00E27BCE"/>
    <w:rsid w:val="00E27DA9"/>
    <w:rsid w:val="00E300A9"/>
    <w:rsid w:val="00E302E7"/>
    <w:rsid w:val="00E304B3"/>
    <w:rsid w:val="00E30DA9"/>
    <w:rsid w:val="00E30FCF"/>
    <w:rsid w:val="00E30FF3"/>
    <w:rsid w:val="00E31D4C"/>
    <w:rsid w:val="00E320CE"/>
    <w:rsid w:val="00E3222A"/>
    <w:rsid w:val="00E32F56"/>
    <w:rsid w:val="00E33A0B"/>
    <w:rsid w:val="00E33A45"/>
    <w:rsid w:val="00E33D98"/>
    <w:rsid w:val="00E3448D"/>
    <w:rsid w:val="00E34D32"/>
    <w:rsid w:val="00E3580C"/>
    <w:rsid w:val="00E35B27"/>
    <w:rsid w:val="00E3614E"/>
    <w:rsid w:val="00E36952"/>
    <w:rsid w:val="00E37267"/>
    <w:rsid w:val="00E379AE"/>
    <w:rsid w:val="00E404CD"/>
    <w:rsid w:val="00E407C6"/>
    <w:rsid w:val="00E40EF9"/>
    <w:rsid w:val="00E4113F"/>
    <w:rsid w:val="00E41673"/>
    <w:rsid w:val="00E418BA"/>
    <w:rsid w:val="00E42480"/>
    <w:rsid w:val="00E42B5C"/>
    <w:rsid w:val="00E42F4E"/>
    <w:rsid w:val="00E4323C"/>
    <w:rsid w:val="00E43747"/>
    <w:rsid w:val="00E437B3"/>
    <w:rsid w:val="00E439C3"/>
    <w:rsid w:val="00E43ACB"/>
    <w:rsid w:val="00E43EA6"/>
    <w:rsid w:val="00E43FBD"/>
    <w:rsid w:val="00E444FC"/>
    <w:rsid w:val="00E44534"/>
    <w:rsid w:val="00E449CF"/>
    <w:rsid w:val="00E44E43"/>
    <w:rsid w:val="00E4601E"/>
    <w:rsid w:val="00E460C2"/>
    <w:rsid w:val="00E460EC"/>
    <w:rsid w:val="00E4716A"/>
    <w:rsid w:val="00E476A1"/>
    <w:rsid w:val="00E476EF"/>
    <w:rsid w:val="00E4792E"/>
    <w:rsid w:val="00E47CF3"/>
    <w:rsid w:val="00E51847"/>
    <w:rsid w:val="00E52C3C"/>
    <w:rsid w:val="00E52E5F"/>
    <w:rsid w:val="00E5316C"/>
    <w:rsid w:val="00E5338F"/>
    <w:rsid w:val="00E53A88"/>
    <w:rsid w:val="00E53D56"/>
    <w:rsid w:val="00E5406C"/>
    <w:rsid w:val="00E5408A"/>
    <w:rsid w:val="00E54469"/>
    <w:rsid w:val="00E5509C"/>
    <w:rsid w:val="00E555EE"/>
    <w:rsid w:val="00E5624C"/>
    <w:rsid w:val="00E567F5"/>
    <w:rsid w:val="00E57029"/>
    <w:rsid w:val="00E57BA6"/>
    <w:rsid w:val="00E57BE2"/>
    <w:rsid w:val="00E602AD"/>
    <w:rsid w:val="00E602D4"/>
    <w:rsid w:val="00E603DA"/>
    <w:rsid w:val="00E604C9"/>
    <w:rsid w:val="00E60DB5"/>
    <w:rsid w:val="00E610EF"/>
    <w:rsid w:val="00E6115E"/>
    <w:rsid w:val="00E618F8"/>
    <w:rsid w:val="00E61C49"/>
    <w:rsid w:val="00E61F45"/>
    <w:rsid w:val="00E62787"/>
    <w:rsid w:val="00E637F5"/>
    <w:rsid w:val="00E63DCD"/>
    <w:rsid w:val="00E64A3C"/>
    <w:rsid w:val="00E64D99"/>
    <w:rsid w:val="00E66248"/>
    <w:rsid w:val="00E66426"/>
    <w:rsid w:val="00E66E06"/>
    <w:rsid w:val="00E6771B"/>
    <w:rsid w:val="00E701FB"/>
    <w:rsid w:val="00E70290"/>
    <w:rsid w:val="00E70741"/>
    <w:rsid w:val="00E707B2"/>
    <w:rsid w:val="00E70999"/>
    <w:rsid w:val="00E70A62"/>
    <w:rsid w:val="00E71410"/>
    <w:rsid w:val="00E71B9C"/>
    <w:rsid w:val="00E72227"/>
    <w:rsid w:val="00E727B6"/>
    <w:rsid w:val="00E72AF2"/>
    <w:rsid w:val="00E72ED4"/>
    <w:rsid w:val="00E73338"/>
    <w:rsid w:val="00E73889"/>
    <w:rsid w:val="00E738C5"/>
    <w:rsid w:val="00E73A7B"/>
    <w:rsid w:val="00E74151"/>
    <w:rsid w:val="00E746FD"/>
    <w:rsid w:val="00E748CF"/>
    <w:rsid w:val="00E74C60"/>
    <w:rsid w:val="00E74E08"/>
    <w:rsid w:val="00E75179"/>
    <w:rsid w:val="00E7565F"/>
    <w:rsid w:val="00E75C37"/>
    <w:rsid w:val="00E76572"/>
    <w:rsid w:val="00E76CE3"/>
    <w:rsid w:val="00E77910"/>
    <w:rsid w:val="00E7794F"/>
    <w:rsid w:val="00E77F72"/>
    <w:rsid w:val="00E800C3"/>
    <w:rsid w:val="00E8034F"/>
    <w:rsid w:val="00E8047C"/>
    <w:rsid w:val="00E80B77"/>
    <w:rsid w:val="00E81DCA"/>
    <w:rsid w:val="00E82241"/>
    <w:rsid w:val="00E82882"/>
    <w:rsid w:val="00E82AB8"/>
    <w:rsid w:val="00E82FC8"/>
    <w:rsid w:val="00E8319F"/>
    <w:rsid w:val="00E83C9A"/>
    <w:rsid w:val="00E83CBC"/>
    <w:rsid w:val="00E84C24"/>
    <w:rsid w:val="00E84E7D"/>
    <w:rsid w:val="00E855C2"/>
    <w:rsid w:val="00E85687"/>
    <w:rsid w:val="00E859AB"/>
    <w:rsid w:val="00E85E6C"/>
    <w:rsid w:val="00E86B03"/>
    <w:rsid w:val="00E86E70"/>
    <w:rsid w:val="00E87256"/>
    <w:rsid w:val="00E878E3"/>
    <w:rsid w:val="00E90396"/>
    <w:rsid w:val="00E9184D"/>
    <w:rsid w:val="00E920E5"/>
    <w:rsid w:val="00E92160"/>
    <w:rsid w:val="00E926AB"/>
    <w:rsid w:val="00E92E42"/>
    <w:rsid w:val="00E93251"/>
    <w:rsid w:val="00E93898"/>
    <w:rsid w:val="00E938F3"/>
    <w:rsid w:val="00E939B7"/>
    <w:rsid w:val="00E942E1"/>
    <w:rsid w:val="00E950CC"/>
    <w:rsid w:val="00E9638B"/>
    <w:rsid w:val="00E96452"/>
    <w:rsid w:val="00E967C4"/>
    <w:rsid w:val="00E96852"/>
    <w:rsid w:val="00E96BA5"/>
    <w:rsid w:val="00E97D2F"/>
    <w:rsid w:val="00EA03C9"/>
    <w:rsid w:val="00EA0BAD"/>
    <w:rsid w:val="00EA1239"/>
    <w:rsid w:val="00EA1FF4"/>
    <w:rsid w:val="00EA20C1"/>
    <w:rsid w:val="00EA223F"/>
    <w:rsid w:val="00EA22C2"/>
    <w:rsid w:val="00EA2496"/>
    <w:rsid w:val="00EA25E1"/>
    <w:rsid w:val="00EA274F"/>
    <w:rsid w:val="00EA2B19"/>
    <w:rsid w:val="00EA2CAB"/>
    <w:rsid w:val="00EA2EDD"/>
    <w:rsid w:val="00EA3046"/>
    <w:rsid w:val="00EA336C"/>
    <w:rsid w:val="00EA3A11"/>
    <w:rsid w:val="00EA3C69"/>
    <w:rsid w:val="00EA4C46"/>
    <w:rsid w:val="00EA5F29"/>
    <w:rsid w:val="00EA6C1F"/>
    <w:rsid w:val="00EA702F"/>
    <w:rsid w:val="00EA71D3"/>
    <w:rsid w:val="00EA72D6"/>
    <w:rsid w:val="00EB0072"/>
    <w:rsid w:val="00EB14B3"/>
    <w:rsid w:val="00EB1E0E"/>
    <w:rsid w:val="00EB211E"/>
    <w:rsid w:val="00EB2B50"/>
    <w:rsid w:val="00EB345E"/>
    <w:rsid w:val="00EB3A1E"/>
    <w:rsid w:val="00EB4864"/>
    <w:rsid w:val="00EB5A7C"/>
    <w:rsid w:val="00EB5A99"/>
    <w:rsid w:val="00EB5E38"/>
    <w:rsid w:val="00EB67DA"/>
    <w:rsid w:val="00EB6A9A"/>
    <w:rsid w:val="00EB6DB6"/>
    <w:rsid w:val="00EB6FC1"/>
    <w:rsid w:val="00EB7F96"/>
    <w:rsid w:val="00EC0338"/>
    <w:rsid w:val="00EC05DD"/>
    <w:rsid w:val="00EC0817"/>
    <w:rsid w:val="00EC2549"/>
    <w:rsid w:val="00EC2876"/>
    <w:rsid w:val="00EC2E47"/>
    <w:rsid w:val="00EC3404"/>
    <w:rsid w:val="00EC3482"/>
    <w:rsid w:val="00EC3650"/>
    <w:rsid w:val="00EC3954"/>
    <w:rsid w:val="00EC3C57"/>
    <w:rsid w:val="00EC3E33"/>
    <w:rsid w:val="00EC3EB8"/>
    <w:rsid w:val="00EC4546"/>
    <w:rsid w:val="00EC4569"/>
    <w:rsid w:val="00EC56C3"/>
    <w:rsid w:val="00EC5B6B"/>
    <w:rsid w:val="00EC6007"/>
    <w:rsid w:val="00EC6B28"/>
    <w:rsid w:val="00EC6C30"/>
    <w:rsid w:val="00EC715F"/>
    <w:rsid w:val="00EC76DE"/>
    <w:rsid w:val="00EC79BE"/>
    <w:rsid w:val="00EC7DF4"/>
    <w:rsid w:val="00EC7E58"/>
    <w:rsid w:val="00ED0566"/>
    <w:rsid w:val="00ED101C"/>
    <w:rsid w:val="00ED1963"/>
    <w:rsid w:val="00ED1C60"/>
    <w:rsid w:val="00ED2AEB"/>
    <w:rsid w:val="00ED2FAC"/>
    <w:rsid w:val="00ED377E"/>
    <w:rsid w:val="00ED386E"/>
    <w:rsid w:val="00ED4A93"/>
    <w:rsid w:val="00ED5013"/>
    <w:rsid w:val="00ED5329"/>
    <w:rsid w:val="00ED597B"/>
    <w:rsid w:val="00ED5DB7"/>
    <w:rsid w:val="00ED66C9"/>
    <w:rsid w:val="00ED7302"/>
    <w:rsid w:val="00ED73D7"/>
    <w:rsid w:val="00ED7529"/>
    <w:rsid w:val="00ED770C"/>
    <w:rsid w:val="00EE024D"/>
    <w:rsid w:val="00EE0293"/>
    <w:rsid w:val="00EE0772"/>
    <w:rsid w:val="00EE1A02"/>
    <w:rsid w:val="00EE1D9E"/>
    <w:rsid w:val="00EE2042"/>
    <w:rsid w:val="00EE2533"/>
    <w:rsid w:val="00EE2CEE"/>
    <w:rsid w:val="00EE3D19"/>
    <w:rsid w:val="00EE5613"/>
    <w:rsid w:val="00EE563E"/>
    <w:rsid w:val="00EE5D86"/>
    <w:rsid w:val="00EE637C"/>
    <w:rsid w:val="00EE64C4"/>
    <w:rsid w:val="00EE747E"/>
    <w:rsid w:val="00EE7AE1"/>
    <w:rsid w:val="00EF0CE6"/>
    <w:rsid w:val="00EF1A00"/>
    <w:rsid w:val="00EF1F05"/>
    <w:rsid w:val="00EF2274"/>
    <w:rsid w:val="00EF25F1"/>
    <w:rsid w:val="00EF29FF"/>
    <w:rsid w:val="00EF2A06"/>
    <w:rsid w:val="00EF2D14"/>
    <w:rsid w:val="00EF39E3"/>
    <w:rsid w:val="00EF3A18"/>
    <w:rsid w:val="00EF3BED"/>
    <w:rsid w:val="00EF3ED3"/>
    <w:rsid w:val="00EF44AA"/>
    <w:rsid w:val="00EF4E45"/>
    <w:rsid w:val="00EF52E4"/>
    <w:rsid w:val="00EF535F"/>
    <w:rsid w:val="00EF65F6"/>
    <w:rsid w:val="00EF6B9E"/>
    <w:rsid w:val="00EF6CFC"/>
    <w:rsid w:val="00EF7B41"/>
    <w:rsid w:val="00EF7CDE"/>
    <w:rsid w:val="00F0027D"/>
    <w:rsid w:val="00F014E4"/>
    <w:rsid w:val="00F02164"/>
    <w:rsid w:val="00F02B07"/>
    <w:rsid w:val="00F03194"/>
    <w:rsid w:val="00F03216"/>
    <w:rsid w:val="00F033FE"/>
    <w:rsid w:val="00F0340B"/>
    <w:rsid w:val="00F03579"/>
    <w:rsid w:val="00F035EA"/>
    <w:rsid w:val="00F03C09"/>
    <w:rsid w:val="00F040CD"/>
    <w:rsid w:val="00F04336"/>
    <w:rsid w:val="00F0439E"/>
    <w:rsid w:val="00F04E9C"/>
    <w:rsid w:val="00F05753"/>
    <w:rsid w:val="00F06A80"/>
    <w:rsid w:val="00F06B7E"/>
    <w:rsid w:val="00F07574"/>
    <w:rsid w:val="00F0773D"/>
    <w:rsid w:val="00F07D7F"/>
    <w:rsid w:val="00F100A1"/>
    <w:rsid w:val="00F1039C"/>
    <w:rsid w:val="00F10957"/>
    <w:rsid w:val="00F10C2D"/>
    <w:rsid w:val="00F10E3D"/>
    <w:rsid w:val="00F10ECE"/>
    <w:rsid w:val="00F12227"/>
    <w:rsid w:val="00F12FA3"/>
    <w:rsid w:val="00F130B4"/>
    <w:rsid w:val="00F132A9"/>
    <w:rsid w:val="00F1371A"/>
    <w:rsid w:val="00F14ED1"/>
    <w:rsid w:val="00F1627D"/>
    <w:rsid w:val="00F163C9"/>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928"/>
    <w:rsid w:val="00F21D8C"/>
    <w:rsid w:val="00F22049"/>
    <w:rsid w:val="00F22073"/>
    <w:rsid w:val="00F22860"/>
    <w:rsid w:val="00F22951"/>
    <w:rsid w:val="00F22DA9"/>
    <w:rsid w:val="00F235A8"/>
    <w:rsid w:val="00F2362F"/>
    <w:rsid w:val="00F23C3B"/>
    <w:rsid w:val="00F24A97"/>
    <w:rsid w:val="00F254B4"/>
    <w:rsid w:val="00F26799"/>
    <w:rsid w:val="00F26D0C"/>
    <w:rsid w:val="00F2731F"/>
    <w:rsid w:val="00F2738A"/>
    <w:rsid w:val="00F275CA"/>
    <w:rsid w:val="00F278B4"/>
    <w:rsid w:val="00F306D2"/>
    <w:rsid w:val="00F30824"/>
    <w:rsid w:val="00F30866"/>
    <w:rsid w:val="00F309D5"/>
    <w:rsid w:val="00F31452"/>
    <w:rsid w:val="00F316D9"/>
    <w:rsid w:val="00F3187A"/>
    <w:rsid w:val="00F319B6"/>
    <w:rsid w:val="00F31D35"/>
    <w:rsid w:val="00F32251"/>
    <w:rsid w:val="00F327E1"/>
    <w:rsid w:val="00F32B3C"/>
    <w:rsid w:val="00F32F17"/>
    <w:rsid w:val="00F33912"/>
    <w:rsid w:val="00F3397C"/>
    <w:rsid w:val="00F33C67"/>
    <w:rsid w:val="00F33FC2"/>
    <w:rsid w:val="00F348C3"/>
    <w:rsid w:val="00F349EB"/>
    <w:rsid w:val="00F34D53"/>
    <w:rsid w:val="00F34DE9"/>
    <w:rsid w:val="00F353C1"/>
    <w:rsid w:val="00F35EF2"/>
    <w:rsid w:val="00F3600E"/>
    <w:rsid w:val="00F36353"/>
    <w:rsid w:val="00F36A4F"/>
    <w:rsid w:val="00F374FB"/>
    <w:rsid w:val="00F37C7E"/>
    <w:rsid w:val="00F416BD"/>
    <w:rsid w:val="00F42043"/>
    <w:rsid w:val="00F4239E"/>
    <w:rsid w:val="00F436D2"/>
    <w:rsid w:val="00F43D8E"/>
    <w:rsid w:val="00F44627"/>
    <w:rsid w:val="00F44667"/>
    <w:rsid w:val="00F44BB2"/>
    <w:rsid w:val="00F44F29"/>
    <w:rsid w:val="00F461B0"/>
    <w:rsid w:val="00F462FA"/>
    <w:rsid w:val="00F4708F"/>
    <w:rsid w:val="00F47090"/>
    <w:rsid w:val="00F4771A"/>
    <w:rsid w:val="00F47ABD"/>
    <w:rsid w:val="00F47D47"/>
    <w:rsid w:val="00F50147"/>
    <w:rsid w:val="00F50A62"/>
    <w:rsid w:val="00F50D44"/>
    <w:rsid w:val="00F50E7D"/>
    <w:rsid w:val="00F5184D"/>
    <w:rsid w:val="00F51D7F"/>
    <w:rsid w:val="00F53B13"/>
    <w:rsid w:val="00F53B7C"/>
    <w:rsid w:val="00F53F27"/>
    <w:rsid w:val="00F54021"/>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2BD4"/>
    <w:rsid w:val="00F6314A"/>
    <w:rsid w:val="00F632C5"/>
    <w:rsid w:val="00F635EB"/>
    <w:rsid w:val="00F6388F"/>
    <w:rsid w:val="00F63FD3"/>
    <w:rsid w:val="00F640EE"/>
    <w:rsid w:val="00F64706"/>
    <w:rsid w:val="00F6525B"/>
    <w:rsid w:val="00F652E2"/>
    <w:rsid w:val="00F65630"/>
    <w:rsid w:val="00F656B8"/>
    <w:rsid w:val="00F65A6E"/>
    <w:rsid w:val="00F66BF8"/>
    <w:rsid w:val="00F66E68"/>
    <w:rsid w:val="00F66FE4"/>
    <w:rsid w:val="00F67269"/>
    <w:rsid w:val="00F67423"/>
    <w:rsid w:val="00F67428"/>
    <w:rsid w:val="00F6779A"/>
    <w:rsid w:val="00F70062"/>
    <w:rsid w:val="00F70165"/>
    <w:rsid w:val="00F70504"/>
    <w:rsid w:val="00F70B96"/>
    <w:rsid w:val="00F71696"/>
    <w:rsid w:val="00F72444"/>
    <w:rsid w:val="00F72946"/>
    <w:rsid w:val="00F73A59"/>
    <w:rsid w:val="00F73E3C"/>
    <w:rsid w:val="00F744E9"/>
    <w:rsid w:val="00F747C3"/>
    <w:rsid w:val="00F74B5E"/>
    <w:rsid w:val="00F753FB"/>
    <w:rsid w:val="00F75484"/>
    <w:rsid w:val="00F75CAC"/>
    <w:rsid w:val="00F7767D"/>
    <w:rsid w:val="00F777DC"/>
    <w:rsid w:val="00F77A02"/>
    <w:rsid w:val="00F77AAB"/>
    <w:rsid w:val="00F77B9C"/>
    <w:rsid w:val="00F77C19"/>
    <w:rsid w:val="00F80862"/>
    <w:rsid w:val="00F809E1"/>
    <w:rsid w:val="00F80F1B"/>
    <w:rsid w:val="00F813EE"/>
    <w:rsid w:val="00F815F7"/>
    <w:rsid w:val="00F81E83"/>
    <w:rsid w:val="00F82580"/>
    <w:rsid w:val="00F82CBE"/>
    <w:rsid w:val="00F82EFE"/>
    <w:rsid w:val="00F82FC4"/>
    <w:rsid w:val="00F8321D"/>
    <w:rsid w:val="00F8335C"/>
    <w:rsid w:val="00F83A2F"/>
    <w:rsid w:val="00F83A62"/>
    <w:rsid w:val="00F84599"/>
    <w:rsid w:val="00F84A4C"/>
    <w:rsid w:val="00F84D69"/>
    <w:rsid w:val="00F85711"/>
    <w:rsid w:val="00F85E2A"/>
    <w:rsid w:val="00F85ECF"/>
    <w:rsid w:val="00F861EC"/>
    <w:rsid w:val="00F86339"/>
    <w:rsid w:val="00F86353"/>
    <w:rsid w:val="00F86508"/>
    <w:rsid w:val="00F86591"/>
    <w:rsid w:val="00F8684D"/>
    <w:rsid w:val="00F869ED"/>
    <w:rsid w:val="00F86A2B"/>
    <w:rsid w:val="00F86C7D"/>
    <w:rsid w:val="00F877E6"/>
    <w:rsid w:val="00F90587"/>
    <w:rsid w:val="00F909B4"/>
    <w:rsid w:val="00F91173"/>
    <w:rsid w:val="00F9117B"/>
    <w:rsid w:val="00F911D1"/>
    <w:rsid w:val="00F91A73"/>
    <w:rsid w:val="00F92003"/>
    <w:rsid w:val="00F925E7"/>
    <w:rsid w:val="00F92857"/>
    <w:rsid w:val="00F92B94"/>
    <w:rsid w:val="00F92BFD"/>
    <w:rsid w:val="00F92FC0"/>
    <w:rsid w:val="00F934F0"/>
    <w:rsid w:val="00F935FA"/>
    <w:rsid w:val="00F93E96"/>
    <w:rsid w:val="00F945A1"/>
    <w:rsid w:val="00F94853"/>
    <w:rsid w:val="00F94C55"/>
    <w:rsid w:val="00F95128"/>
    <w:rsid w:val="00F95F70"/>
    <w:rsid w:val="00F962FB"/>
    <w:rsid w:val="00F970BF"/>
    <w:rsid w:val="00F97577"/>
    <w:rsid w:val="00F97AC0"/>
    <w:rsid w:val="00F97AC6"/>
    <w:rsid w:val="00FA093F"/>
    <w:rsid w:val="00FA148D"/>
    <w:rsid w:val="00FA1AE2"/>
    <w:rsid w:val="00FA1BA1"/>
    <w:rsid w:val="00FA271E"/>
    <w:rsid w:val="00FA2A8C"/>
    <w:rsid w:val="00FA376B"/>
    <w:rsid w:val="00FA3E79"/>
    <w:rsid w:val="00FA578E"/>
    <w:rsid w:val="00FA5B6F"/>
    <w:rsid w:val="00FA5EF7"/>
    <w:rsid w:val="00FA6747"/>
    <w:rsid w:val="00FA68A0"/>
    <w:rsid w:val="00FA70D5"/>
    <w:rsid w:val="00FA71B6"/>
    <w:rsid w:val="00FA794D"/>
    <w:rsid w:val="00FB0142"/>
    <w:rsid w:val="00FB01FD"/>
    <w:rsid w:val="00FB0770"/>
    <w:rsid w:val="00FB0ABB"/>
    <w:rsid w:val="00FB0C2B"/>
    <w:rsid w:val="00FB0E35"/>
    <w:rsid w:val="00FB1ABF"/>
    <w:rsid w:val="00FB1EE8"/>
    <w:rsid w:val="00FB2974"/>
    <w:rsid w:val="00FB2A59"/>
    <w:rsid w:val="00FB32F2"/>
    <w:rsid w:val="00FB3A2E"/>
    <w:rsid w:val="00FB5779"/>
    <w:rsid w:val="00FB620D"/>
    <w:rsid w:val="00FB6580"/>
    <w:rsid w:val="00FB6A0F"/>
    <w:rsid w:val="00FB6B39"/>
    <w:rsid w:val="00FB7A49"/>
    <w:rsid w:val="00FC00CA"/>
    <w:rsid w:val="00FC0325"/>
    <w:rsid w:val="00FC03A8"/>
    <w:rsid w:val="00FC042B"/>
    <w:rsid w:val="00FC0EBF"/>
    <w:rsid w:val="00FC15E9"/>
    <w:rsid w:val="00FC19FE"/>
    <w:rsid w:val="00FC1D0E"/>
    <w:rsid w:val="00FC36E8"/>
    <w:rsid w:val="00FC36E9"/>
    <w:rsid w:val="00FC3CD8"/>
    <w:rsid w:val="00FC44AF"/>
    <w:rsid w:val="00FC4781"/>
    <w:rsid w:val="00FC4C88"/>
    <w:rsid w:val="00FC4CDB"/>
    <w:rsid w:val="00FC5540"/>
    <w:rsid w:val="00FC639E"/>
    <w:rsid w:val="00FC76B9"/>
    <w:rsid w:val="00FD0155"/>
    <w:rsid w:val="00FD07FE"/>
    <w:rsid w:val="00FD1130"/>
    <w:rsid w:val="00FD1168"/>
    <w:rsid w:val="00FD1CA0"/>
    <w:rsid w:val="00FD1DCD"/>
    <w:rsid w:val="00FD357C"/>
    <w:rsid w:val="00FD3C97"/>
    <w:rsid w:val="00FD4A67"/>
    <w:rsid w:val="00FD4FC9"/>
    <w:rsid w:val="00FD5262"/>
    <w:rsid w:val="00FD54CB"/>
    <w:rsid w:val="00FD5905"/>
    <w:rsid w:val="00FD5A0F"/>
    <w:rsid w:val="00FD5D66"/>
    <w:rsid w:val="00FD5F55"/>
    <w:rsid w:val="00FD5FDA"/>
    <w:rsid w:val="00FD6380"/>
    <w:rsid w:val="00FD6C39"/>
    <w:rsid w:val="00FD71A4"/>
    <w:rsid w:val="00FD79E7"/>
    <w:rsid w:val="00FD7F48"/>
    <w:rsid w:val="00FE0103"/>
    <w:rsid w:val="00FE039D"/>
    <w:rsid w:val="00FE07FC"/>
    <w:rsid w:val="00FE142E"/>
    <w:rsid w:val="00FE25A5"/>
    <w:rsid w:val="00FE27CD"/>
    <w:rsid w:val="00FE2F51"/>
    <w:rsid w:val="00FE34EA"/>
    <w:rsid w:val="00FE374C"/>
    <w:rsid w:val="00FE375F"/>
    <w:rsid w:val="00FE4317"/>
    <w:rsid w:val="00FE4D2B"/>
    <w:rsid w:val="00FE50D2"/>
    <w:rsid w:val="00FE5893"/>
    <w:rsid w:val="00FE5D93"/>
    <w:rsid w:val="00FE6782"/>
    <w:rsid w:val="00FE7081"/>
    <w:rsid w:val="00FE7BA4"/>
    <w:rsid w:val="00FF0358"/>
    <w:rsid w:val="00FF0AFC"/>
    <w:rsid w:val="00FF0EA1"/>
    <w:rsid w:val="00FF1668"/>
    <w:rsid w:val="00FF1889"/>
    <w:rsid w:val="00FF1979"/>
    <w:rsid w:val="00FF1ACE"/>
    <w:rsid w:val="00FF267D"/>
    <w:rsid w:val="00FF2746"/>
    <w:rsid w:val="00FF2795"/>
    <w:rsid w:val="00FF281E"/>
    <w:rsid w:val="00FF2D40"/>
    <w:rsid w:val="00FF30CC"/>
    <w:rsid w:val="00FF3399"/>
    <w:rsid w:val="00FF3DA8"/>
    <w:rsid w:val="00FF4425"/>
    <w:rsid w:val="00FF4E9E"/>
    <w:rsid w:val="00FF4FD7"/>
    <w:rsid w:val="00FF5050"/>
    <w:rsid w:val="00FF5548"/>
    <w:rsid w:val="00FF5A7B"/>
    <w:rsid w:val="00FF5BEA"/>
    <w:rsid w:val="00FF5BF7"/>
    <w:rsid w:val="00FF5FF0"/>
    <w:rsid w:val="00FF62A1"/>
    <w:rsid w:val="00FF6579"/>
    <w:rsid w:val="00FF67FC"/>
    <w:rsid w:val="00FF70EE"/>
    <w:rsid w:val="00FF79CF"/>
    <w:rsid w:val="00FF7DB6"/>
    <w:rsid w:val="00FF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4B4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iPriority w:val="39"/>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uiPriority w:val="99"/>
    <w:rsid w:val="00C80391"/>
  </w:style>
  <w:style w:type="character" w:customStyle="1" w:styleId="FooterChar">
    <w:name w:val="Footer Char"/>
    <w:basedOn w:val="DefaultParagraphFont"/>
    <w:link w:val="Footer"/>
    <w:uiPriority w:val="99"/>
    <w:rsid w:val="00C80391"/>
    <w:rPr>
      <w:rFonts w:ascii="Garamond" w:eastAsia="Times New Roman" w:hAnsi="Garamond" w:cs="Times New Roman"/>
      <w:sz w:val="24"/>
      <w:szCs w:val="20"/>
    </w:rPr>
  </w:style>
  <w:style w:type="paragraph" w:styleId="FootnoteText">
    <w:name w:val="footnote text"/>
    <w:aliases w:val="F1"/>
    <w:link w:val="FootnoteTextChar"/>
    <w:uiPriority w:val="99"/>
    <w:qFormat/>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C80391"/>
    <w:rPr>
      <w:rFonts w:ascii="Garamond" w:eastAsia="Times New Roman" w:hAnsi="Garamond" w:cs="Times New Roman"/>
      <w:sz w:val="16"/>
      <w:szCs w:val="20"/>
    </w:rPr>
  </w:style>
  <w:style w:type="paragraph" w:styleId="Header">
    <w:name w:val="header"/>
    <w:basedOn w:val="Normal"/>
    <w:link w:val="HeaderChar"/>
    <w:uiPriority w:val="99"/>
    <w:rsid w:val="00C80391"/>
    <w:rPr>
      <w:sz w:val="16"/>
    </w:rPr>
  </w:style>
  <w:style w:type="character" w:customStyle="1" w:styleId="HeaderChar">
    <w:name w:val="Header Char"/>
    <w:basedOn w:val="DefaultParagraphFont"/>
    <w:link w:val="Header"/>
    <w:uiPriority w:val="99"/>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link w:val="TT-TableTitleChar"/>
    <w:uiPriority w:val="99"/>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rsid w:val="00C80391"/>
    <w:pPr>
      <w:spacing w:after="0" w:line="240" w:lineRule="atLeast"/>
      <w:ind w:left="0" w:firstLine="0"/>
      <w:jc w:val="center"/>
    </w:pPr>
    <w:rPr>
      <w:color w:val="auto"/>
      <w:sz w:val="20"/>
    </w:rPr>
  </w:style>
  <w:style w:type="paragraph" w:customStyle="1" w:styleId="TX-TableText">
    <w:name w:val="TX-Table Text"/>
    <w:basedOn w:val="Normal"/>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semiHidden/>
    <w:unhideWhenUsed/>
    <w:rsid w:val="003A5A32"/>
    <w:pPr>
      <w:spacing w:line="240" w:lineRule="auto"/>
    </w:pPr>
    <w:rPr>
      <w:sz w:val="20"/>
    </w:rPr>
  </w:style>
  <w:style w:type="character" w:customStyle="1" w:styleId="CommentTextChar">
    <w:name w:val="Comment Text Char"/>
    <w:basedOn w:val="DefaultParagraphFont"/>
    <w:link w:val="CommentText"/>
    <w:uiPriority w:val="99"/>
    <w:semiHidden/>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customStyle="1" w:styleId="L1-FlLSp12">
    <w:name w:val="L1-FlL Sp&amp;1/2"/>
    <w:basedOn w:val="Normal"/>
    <w:uiPriority w:val="99"/>
    <w:rsid w:val="008F697F"/>
    <w:pPr>
      <w:tabs>
        <w:tab w:val="left" w:pos="1152"/>
      </w:tabs>
      <w:spacing w:line="360" w:lineRule="atLeast"/>
    </w:pPr>
  </w:style>
  <w:style w:type="paragraph" w:styleId="Revision">
    <w:name w:val="Revision"/>
    <w:hidden/>
    <w:uiPriority w:val="99"/>
    <w:semiHidden/>
    <w:rsid w:val="0015627D"/>
    <w:pPr>
      <w:spacing w:after="0" w:line="240" w:lineRule="auto"/>
    </w:pPr>
    <w:rPr>
      <w:rFonts w:ascii="Garamond" w:eastAsia="Times New Roman" w:hAnsi="Garamond" w:cs="Times New Roman"/>
      <w:sz w:val="24"/>
      <w:szCs w:val="20"/>
    </w:rPr>
  </w:style>
  <w:style w:type="character" w:styleId="PageNumber">
    <w:name w:val="page number"/>
    <w:basedOn w:val="DefaultParagraphFont"/>
    <w:rsid w:val="00D813EE"/>
  </w:style>
  <w:style w:type="paragraph" w:customStyle="1" w:styleId="NormalSS">
    <w:name w:val="NormalSS"/>
    <w:basedOn w:val="Normal"/>
    <w:qFormat/>
    <w:rsid w:val="00D813EE"/>
    <w:pPr>
      <w:tabs>
        <w:tab w:val="left" w:pos="432"/>
      </w:tabs>
      <w:spacing w:line="240" w:lineRule="auto"/>
      <w:ind w:firstLine="432"/>
      <w:jc w:val="both"/>
    </w:pPr>
    <w:rPr>
      <w:rFonts w:ascii="Times New Roman" w:hAnsi="Times New Roman"/>
      <w:szCs w:val="24"/>
    </w:rPr>
  </w:style>
  <w:style w:type="paragraph" w:styleId="TOC1">
    <w:name w:val="toc 1"/>
    <w:basedOn w:val="Normal"/>
    <w:next w:val="Normal"/>
    <w:autoRedefine/>
    <w:uiPriority w:val="39"/>
    <w:unhideWhenUsed/>
    <w:rsid w:val="004608A3"/>
    <w:pPr>
      <w:tabs>
        <w:tab w:val="left" w:pos="1440"/>
        <w:tab w:val="right" w:leader="dot" w:pos="8208"/>
        <w:tab w:val="left" w:pos="8640"/>
      </w:tabs>
      <w:spacing w:before="120"/>
      <w:ind w:left="1440" w:right="1440" w:hanging="1440"/>
      <w:contextualSpacing/>
    </w:pPr>
  </w:style>
  <w:style w:type="paragraph" w:styleId="TOC2">
    <w:name w:val="toc 2"/>
    <w:basedOn w:val="Normal"/>
    <w:next w:val="Normal"/>
    <w:autoRedefine/>
    <w:uiPriority w:val="39"/>
    <w:unhideWhenUsed/>
    <w:rsid w:val="003471BE"/>
    <w:pPr>
      <w:tabs>
        <w:tab w:val="left" w:pos="2160"/>
        <w:tab w:val="right" w:leader="dot" w:pos="8208"/>
        <w:tab w:val="left" w:pos="8640"/>
      </w:tabs>
      <w:spacing w:before="120"/>
      <w:ind w:left="2160" w:right="1440" w:hanging="720"/>
      <w:contextualSpacing/>
    </w:pPr>
  </w:style>
  <w:style w:type="paragraph" w:styleId="TOC3">
    <w:name w:val="toc 3"/>
    <w:basedOn w:val="Normal"/>
    <w:next w:val="Normal"/>
    <w:autoRedefine/>
    <w:uiPriority w:val="39"/>
    <w:unhideWhenUsed/>
    <w:rsid w:val="004437BD"/>
    <w:pPr>
      <w:tabs>
        <w:tab w:val="right" w:leader="dot" w:pos="8208"/>
        <w:tab w:val="left" w:pos="8640"/>
      </w:tabs>
      <w:spacing w:before="120"/>
      <w:ind w:left="3096" w:right="1440" w:hanging="936"/>
      <w:contextualSpacing/>
    </w:pPr>
  </w:style>
  <w:style w:type="paragraph" w:customStyle="1" w:styleId="T0-ChapPgHd">
    <w:name w:val="T0-Chap/Pg Hd"/>
    <w:basedOn w:val="Normal"/>
    <w:rsid w:val="00687B28"/>
    <w:pPr>
      <w:tabs>
        <w:tab w:val="left" w:pos="8640"/>
      </w:tabs>
    </w:pPr>
    <w:rPr>
      <w:rFonts w:ascii="Franklin Gothic Medium" w:hAnsi="Franklin Gothic Medium"/>
      <w:u w:val="words"/>
    </w:rPr>
  </w:style>
  <w:style w:type="paragraph" w:styleId="NoSpacing">
    <w:name w:val="No Spacing"/>
    <w:link w:val="NoSpacingChar"/>
    <w:uiPriority w:val="1"/>
    <w:qFormat/>
    <w:rsid w:val="00687B28"/>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687B28"/>
    <w:rPr>
      <w:rFonts w:ascii="Calibri" w:eastAsia="Times New Roman" w:hAnsi="Calibri" w:cs="Times New Roman"/>
      <w:b/>
      <w:sz w:val="24"/>
      <w:szCs w:val="20"/>
    </w:rPr>
  </w:style>
  <w:style w:type="paragraph" w:customStyle="1" w:styleId="C2-CtrSglSp">
    <w:name w:val="C2-Ctr Sgl Sp"/>
    <w:basedOn w:val="Normal"/>
    <w:rsid w:val="00FE34EA"/>
    <w:pPr>
      <w:keepLines/>
      <w:spacing w:line="240" w:lineRule="auto"/>
      <w:jc w:val="center"/>
    </w:pPr>
    <w:rPr>
      <w:rFonts w:ascii="Times New Roman" w:hAnsi="Times New Roman" w:cs="Arial"/>
      <w:color w:val="000000" w:themeColor="text1"/>
      <w:sz w:val="22"/>
      <w:szCs w:val="22"/>
    </w:rPr>
  </w:style>
  <w:style w:type="paragraph" w:customStyle="1" w:styleId="SL-FlLftSgl">
    <w:name w:val="SL-Fl Lft Sgl"/>
    <w:basedOn w:val="Normal"/>
    <w:rsid w:val="00FE34EA"/>
    <w:pPr>
      <w:spacing w:line="240" w:lineRule="auto"/>
    </w:pPr>
    <w:rPr>
      <w:rFonts w:ascii="Times New Roman" w:hAnsi="Times New Roman" w:cs="Arial"/>
      <w:color w:val="000000" w:themeColor="text1"/>
      <w:sz w:val="22"/>
      <w:szCs w:val="22"/>
    </w:rPr>
  </w:style>
  <w:style w:type="character" w:customStyle="1" w:styleId="TT-TableTitleChar">
    <w:name w:val="TT-Table Title Char"/>
    <w:basedOn w:val="DefaultParagraphFont"/>
    <w:link w:val="TT-TableTitle"/>
    <w:rsid w:val="00FE34EA"/>
    <w:rPr>
      <w:rFonts w:ascii="Franklin Gothic Medium" w:eastAsia="Times New Roman" w:hAnsi="Franklin Gothic Medium" w:cs="Times New Roman"/>
      <w:szCs w:val="32"/>
    </w:rPr>
  </w:style>
  <w:style w:type="table" w:styleId="LightGrid-Accent1">
    <w:name w:val="Light Grid Accent 1"/>
    <w:basedOn w:val="TableNormal"/>
    <w:uiPriority w:val="62"/>
    <w:rsid w:val="000F0B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C-TableofContentsHeading">
    <w:name w:val="TC-Table of Contents Heading"/>
    <w:basedOn w:val="Heading1"/>
    <w:next w:val="T0-ChapPgHd"/>
    <w:rsid w:val="006669C6"/>
    <w:pPr>
      <w:pBdr>
        <w:bottom w:val="single" w:sz="24" w:space="1" w:color="AFBED7"/>
      </w:pBdr>
      <w:tabs>
        <w:tab w:val="clear" w:pos="1152"/>
      </w:tabs>
      <w:spacing w:after="720"/>
      <w:ind w:left="6869" w:firstLine="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iPriority w:val="39"/>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uiPriority w:val="99"/>
    <w:rsid w:val="00C80391"/>
  </w:style>
  <w:style w:type="character" w:customStyle="1" w:styleId="FooterChar">
    <w:name w:val="Footer Char"/>
    <w:basedOn w:val="DefaultParagraphFont"/>
    <w:link w:val="Footer"/>
    <w:uiPriority w:val="99"/>
    <w:rsid w:val="00C80391"/>
    <w:rPr>
      <w:rFonts w:ascii="Garamond" w:eastAsia="Times New Roman" w:hAnsi="Garamond" w:cs="Times New Roman"/>
      <w:sz w:val="24"/>
      <w:szCs w:val="20"/>
    </w:rPr>
  </w:style>
  <w:style w:type="paragraph" w:styleId="FootnoteText">
    <w:name w:val="footnote text"/>
    <w:aliases w:val="F1"/>
    <w:link w:val="FootnoteTextChar"/>
    <w:uiPriority w:val="99"/>
    <w:qFormat/>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C80391"/>
    <w:rPr>
      <w:rFonts w:ascii="Garamond" w:eastAsia="Times New Roman" w:hAnsi="Garamond" w:cs="Times New Roman"/>
      <w:sz w:val="16"/>
      <w:szCs w:val="20"/>
    </w:rPr>
  </w:style>
  <w:style w:type="paragraph" w:styleId="Header">
    <w:name w:val="header"/>
    <w:basedOn w:val="Normal"/>
    <w:link w:val="HeaderChar"/>
    <w:uiPriority w:val="99"/>
    <w:rsid w:val="00C80391"/>
    <w:rPr>
      <w:sz w:val="16"/>
    </w:rPr>
  </w:style>
  <w:style w:type="character" w:customStyle="1" w:styleId="HeaderChar">
    <w:name w:val="Header Char"/>
    <w:basedOn w:val="DefaultParagraphFont"/>
    <w:link w:val="Header"/>
    <w:uiPriority w:val="99"/>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link w:val="TT-TableTitleChar"/>
    <w:uiPriority w:val="99"/>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rsid w:val="00C80391"/>
    <w:pPr>
      <w:spacing w:after="0" w:line="240" w:lineRule="atLeast"/>
      <w:ind w:left="0" w:firstLine="0"/>
      <w:jc w:val="center"/>
    </w:pPr>
    <w:rPr>
      <w:color w:val="auto"/>
      <w:sz w:val="20"/>
    </w:rPr>
  </w:style>
  <w:style w:type="paragraph" w:customStyle="1" w:styleId="TX-TableText">
    <w:name w:val="TX-Table Text"/>
    <w:basedOn w:val="Normal"/>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semiHidden/>
    <w:unhideWhenUsed/>
    <w:rsid w:val="003A5A32"/>
    <w:pPr>
      <w:spacing w:line="240" w:lineRule="auto"/>
    </w:pPr>
    <w:rPr>
      <w:sz w:val="20"/>
    </w:rPr>
  </w:style>
  <w:style w:type="character" w:customStyle="1" w:styleId="CommentTextChar">
    <w:name w:val="Comment Text Char"/>
    <w:basedOn w:val="DefaultParagraphFont"/>
    <w:link w:val="CommentText"/>
    <w:uiPriority w:val="99"/>
    <w:semiHidden/>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customStyle="1" w:styleId="L1-FlLSp12">
    <w:name w:val="L1-FlL Sp&amp;1/2"/>
    <w:basedOn w:val="Normal"/>
    <w:uiPriority w:val="99"/>
    <w:rsid w:val="008F697F"/>
    <w:pPr>
      <w:tabs>
        <w:tab w:val="left" w:pos="1152"/>
      </w:tabs>
      <w:spacing w:line="360" w:lineRule="atLeast"/>
    </w:pPr>
  </w:style>
  <w:style w:type="paragraph" w:styleId="Revision">
    <w:name w:val="Revision"/>
    <w:hidden/>
    <w:uiPriority w:val="99"/>
    <w:semiHidden/>
    <w:rsid w:val="0015627D"/>
    <w:pPr>
      <w:spacing w:after="0" w:line="240" w:lineRule="auto"/>
    </w:pPr>
    <w:rPr>
      <w:rFonts w:ascii="Garamond" w:eastAsia="Times New Roman" w:hAnsi="Garamond" w:cs="Times New Roman"/>
      <w:sz w:val="24"/>
      <w:szCs w:val="20"/>
    </w:rPr>
  </w:style>
  <w:style w:type="character" w:styleId="PageNumber">
    <w:name w:val="page number"/>
    <w:basedOn w:val="DefaultParagraphFont"/>
    <w:rsid w:val="00D813EE"/>
  </w:style>
  <w:style w:type="paragraph" w:customStyle="1" w:styleId="NormalSS">
    <w:name w:val="NormalSS"/>
    <w:basedOn w:val="Normal"/>
    <w:qFormat/>
    <w:rsid w:val="00D813EE"/>
    <w:pPr>
      <w:tabs>
        <w:tab w:val="left" w:pos="432"/>
      </w:tabs>
      <w:spacing w:line="240" w:lineRule="auto"/>
      <w:ind w:firstLine="432"/>
      <w:jc w:val="both"/>
    </w:pPr>
    <w:rPr>
      <w:rFonts w:ascii="Times New Roman" w:hAnsi="Times New Roman"/>
      <w:szCs w:val="24"/>
    </w:rPr>
  </w:style>
  <w:style w:type="paragraph" w:styleId="TOC1">
    <w:name w:val="toc 1"/>
    <w:basedOn w:val="Normal"/>
    <w:next w:val="Normal"/>
    <w:autoRedefine/>
    <w:uiPriority w:val="39"/>
    <w:unhideWhenUsed/>
    <w:rsid w:val="004608A3"/>
    <w:pPr>
      <w:tabs>
        <w:tab w:val="left" w:pos="1440"/>
        <w:tab w:val="right" w:leader="dot" w:pos="8208"/>
        <w:tab w:val="left" w:pos="8640"/>
      </w:tabs>
      <w:spacing w:before="120"/>
      <w:ind w:left="1440" w:right="1440" w:hanging="1440"/>
      <w:contextualSpacing/>
    </w:pPr>
  </w:style>
  <w:style w:type="paragraph" w:styleId="TOC2">
    <w:name w:val="toc 2"/>
    <w:basedOn w:val="Normal"/>
    <w:next w:val="Normal"/>
    <w:autoRedefine/>
    <w:uiPriority w:val="39"/>
    <w:unhideWhenUsed/>
    <w:rsid w:val="003471BE"/>
    <w:pPr>
      <w:tabs>
        <w:tab w:val="left" w:pos="2160"/>
        <w:tab w:val="right" w:leader="dot" w:pos="8208"/>
        <w:tab w:val="left" w:pos="8640"/>
      </w:tabs>
      <w:spacing w:before="120"/>
      <w:ind w:left="2160" w:right="1440" w:hanging="720"/>
      <w:contextualSpacing/>
    </w:pPr>
  </w:style>
  <w:style w:type="paragraph" w:styleId="TOC3">
    <w:name w:val="toc 3"/>
    <w:basedOn w:val="Normal"/>
    <w:next w:val="Normal"/>
    <w:autoRedefine/>
    <w:uiPriority w:val="39"/>
    <w:unhideWhenUsed/>
    <w:rsid w:val="004437BD"/>
    <w:pPr>
      <w:tabs>
        <w:tab w:val="right" w:leader="dot" w:pos="8208"/>
        <w:tab w:val="left" w:pos="8640"/>
      </w:tabs>
      <w:spacing w:before="120"/>
      <w:ind w:left="3096" w:right="1440" w:hanging="936"/>
      <w:contextualSpacing/>
    </w:pPr>
  </w:style>
  <w:style w:type="paragraph" w:customStyle="1" w:styleId="T0-ChapPgHd">
    <w:name w:val="T0-Chap/Pg Hd"/>
    <w:basedOn w:val="Normal"/>
    <w:rsid w:val="00687B28"/>
    <w:pPr>
      <w:tabs>
        <w:tab w:val="left" w:pos="8640"/>
      </w:tabs>
    </w:pPr>
    <w:rPr>
      <w:rFonts w:ascii="Franklin Gothic Medium" w:hAnsi="Franklin Gothic Medium"/>
      <w:u w:val="words"/>
    </w:rPr>
  </w:style>
  <w:style w:type="paragraph" w:styleId="NoSpacing">
    <w:name w:val="No Spacing"/>
    <w:link w:val="NoSpacingChar"/>
    <w:uiPriority w:val="1"/>
    <w:qFormat/>
    <w:rsid w:val="00687B28"/>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687B28"/>
    <w:rPr>
      <w:rFonts w:ascii="Calibri" w:eastAsia="Times New Roman" w:hAnsi="Calibri" w:cs="Times New Roman"/>
      <w:b/>
      <w:sz w:val="24"/>
      <w:szCs w:val="20"/>
    </w:rPr>
  </w:style>
  <w:style w:type="paragraph" w:customStyle="1" w:styleId="C2-CtrSglSp">
    <w:name w:val="C2-Ctr Sgl Sp"/>
    <w:basedOn w:val="Normal"/>
    <w:rsid w:val="00FE34EA"/>
    <w:pPr>
      <w:keepLines/>
      <w:spacing w:line="240" w:lineRule="auto"/>
      <w:jc w:val="center"/>
    </w:pPr>
    <w:rPr>
      <w:rFonts w:ascii="Times New Roman" w:hAnsi="Times New Roman" w:cs="Arial"/>
      <w:color w:val="000000" w:themeColor="text1"/>
      <w:sz w:val="22"/>
      <w:szCs w:val="22"/>
    </w:rPr>
  </w:style>
  <w:style w:type="paragraph" w:customStyle="1" w:styleId="SL-FlLftSgl">
    <w:name w:val="SL-Fl Lft Sgl"/>
    <w:basedOn w:val="Normal"/>
    <w:rsid w:val="00FE34EA"/>
    <w:pPr>
      <w:spacing w:line="240" w:lineRule="auto"/>
    </w:pPr>
    <w:rPr>
      <w:rFonts w:ascii="Times New Roman" w:hAnsi="Times New Roman" w:cs="Arial"/>
      <w:color w:val="000000" w:themeColor="text1"/>
      <w:sz w:val="22"/>
      <w:szCs w:val="22"/>
    </w:rPr>
  </w:style>
  <w:style w:type="character" w:customStyle="1" w:styleId="TT-TableTitleChar">
    <w:name w:val="TT-Table Title Char"/>
    <w:basedOn w:val="DefaultParagraphFont"/>
    <w:link w:val="TT-TableTitle"/>
    <w:rsid w:val="00FE34EA"/>
    <w:rPr>
      <w:rFonts w:ascii="Franklin Gothic Medium" w:eastAsia="Times New Roman" w:hAnsi="Franklin Gothic Medium" w:cs="Times New Roman"/>
      <w:szCs w:val="32"/>
    </w:rPr>
  </w:style>
  <w:style w:type="table" w:styleId="LightGrid-Accent1">
    <w:name w:val="Light Grid Accent 1"/>
    <w:basedOn w:val="TableNormal"/>
    <w:uiPriority w:val="62"/>
    <w:rsid w:val="000F0B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C-TableofContentsHeading">
    <w:name w:val="TC-Table of Contents Heading"/>
    <w:basedOn w:val="Heading1"/>
    <w:next w:val="T0-ChapPgHd"/>
    <w:rsid w:val="006669C6"/>
    <w:pPr>
      <w:pBdr>
        <w:bottom w:val="single" w:sz="24" w:space="1" w:color="AFBED7"/>
      </w:pBdr>
      <w:tabs>
        <w:tab w:val="clear" w:pos="1152"/>
      </w:tabs>
      <w:spacing w:after="720"/>
      <w:ind w:left="6869"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09908">
      <w:bodyDiv w:val="1"/>
      <w:marLeft w:val="0"/>
      <w:marRight w:val="0"/>
      <w:marTop w:val="0"/>
      <w:marBottom w:val="0"/>
      <w:divBdr>
        <w:top w:val="none" w:sz="0" w:space="0" w:color="auto"/>
        <w:left w:val="none" w:sz="0" w:space="0" w:color="auto"/>
        <w:bottom w:val="none" w:sz="0" w:space="0" w:color="auto"/>
        <w:right w:val="none" w:sz="0" w:space="0" w:color="auto"/>
      </w:divBdr>
    </w:div>
    <w:div w:id="632440764">
      <w:bodyDiv w:val="1"/>
      <w:marLeft w:val="0"/>
      <w:marRight w:val="0"/>
      <w:marTop w:val="0"/>
      <w:marBottom w:val="0"/>
      <w:divBdr>
        <w:top w:val="none" w:sz="0" w:space="0" w:color="auto"/>
        <w:left w:val="none" w:sz="0" w:space="0" w:color="auto"/>
        <w:bottom w:val="none" w:sz="0" w:space="0" w:color="auto"/>
        <w:right w:val="none" w:sz="0" w:space="0" w:color="auto"/>
      </w:divBdr>
    </w:div>
    <w:div w:id="20323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HongshengHao@westat.com"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ocelynMarrow@westa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glossa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5ADF4-576B-47D2-9A6F-37AE8C40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cp:lastPrinted>2012-07-06T13:32:00Z</cp:lastPrinted>
  <dcterms:created xsi:type="dcterms:W3CDTF">2017-08-15T14:05:00Z</dcterms:created>
  <dcterms:modified xsi:type="dcterms:W3CDTF">2017-08-15T14:05:00Z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-1813812305</vt:i4>
  </property>
</Properties>
</file>