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6FD6B" w14:textId="77777777" w:rsidR="007F4005" w:rsidRDefault="007F4005" w:rsidP="00770366">
      <w:pPr>
        <w:jc w:val="center"/>
        <w:rPr>
          <w:b/>
          <w:sz w:val="48"/>
          <w:szCs w:val="48"/>
        </w:rPr>
      </w:pPr>
      <w:bookmarkStart w:id="0" w:name="_Toc390342966"/>
      <w:bookmarkStart w:id="1" w:name="_GoBack"/>
      <w:bookmarkEnd w:id="1"/>
    </w:p>
    <w:p w14:paraId="4114BF59" w14:textId="77777777" w:rsidR="007F4005" w:rsidRDefault="007F4005" w:rsidP="00770366">
      <w:pPr>
        <w:jc w:val="center"/>
        <w:rPr>
          <w:b/>
          <w:sz w:val="48"/>
          <w:szCs w:val="48"/>
        </w:rPr>
      </w:pPr>
    </w:p>
    <w:p w14:paraId="53FD8C20" w14:textId="77777777" w:rsidR="007F4005" w:rsidRDefault="007F4005" w:rsidP="00770366">
      <w:pPr>
        <w:jc w:val="center"/>
        <w:rPr>
          <w:b/>
          <w:sz w:val="48"/>
          <w:szCs w:val="48"/>
        </w:rPr>
      </w:pPr>
    </w:p>
    <w:p w14:paraId="40F59CD0" w14:textId="77777777" w:rsidR="007F4005" w:rsidRPr="00C71131" w:rsidRDefault="007F4005" w:rsidP="00770366">
      <w:pPr>
        <w:jc w:val="center"/>
        <w:rPr>
          <w:b/>
          <w:sz w:val="48"/>
          <w:szCs w:val="48"/>
        </w:rPr>
      </w:pPr>
      <w:r w:rsidRPr="00C71131">
        <w:rPr>
          <w:b/>
          <w:sz w:val="48"/>
          <w:szCs w:val="48"/>
        </w:rPr>
        <w:t>Evaluation of the Rental Assistance Demo</w:t>
      </w:r>
      <w:r w:rsidR="00632A5E">
        <w:rPr>
          <w:b/>
          <w:sz w:val="48"/>
          <w:szCs w:val="48"/>
        </w:rPr>
        <w:t>nstration (RAD) Program, Phase 2</w:t>
      </w:r>
    </w:p>
    <w:p w14:paraId="298DB4B3" w14:textId="77777777" w:rsidR="007F4005" w:rsidRPr="00C71131" w:rsidRDefault="007F4005" w:rsidP="00770366">
      <w:pPr>
        <w:jc w:val="center"/>
        <w:rPr>
          <w:b/>
          <w:sz w:val="48"/>
          <w:szCs w:val="48"/>
        </w:rPr>
      </w:pPr>
    </w:p>
    <w:p w14:paraId="3C5A0866" w14:textId="77777777" w:rsidR="007F4005" w:rsidRDefault="007F4005" w:rsidP="00770366">
      <w:pPr>
        <w:jc w:val="center"/>
        <w:rPr>
          <w:b/>
          <w:sz w:val="44"/>
          <w:szCs w:val="44"/>
        </w:rPr>
      </w:pPr>
    </w:p>
    <w:p w14:paraId="650114EF" w14:textId="77777777" w:rsidR="007F4005" w:rsidRDefault="007F4005" w:rsidP="00770366">
      <w:pPr>
        <w:jc w:val="center"/>
        <w:rPr>
          <w:b/>
          <w:sz w:val="44"/>
          <w:szCs w:val="44"/>
        </w:rPr>
      </w:pPr>
    </w:p>
    <w:p w14:paraId="758CF388" w14:textId="77777777" w:rsidR="007F4005" w:rsidRPr="00C71131" w:rsidRDefault="007F4005" w:rsidP="00770366">
      <w:pPr>
        <w:jc w:val="center"/>
        <w:rPr>
          <w:b/>
          <w:sz w:val="44"/>
          <w:szCs w:val="44"/>
        </w:rPr>
      </w:pPr>
      <w:r w:rsidRPr="00C71131">
        <w:rPr>
          <w:b/>
          <w:sz w:val="44"/>
          <w:szCs w:val="44"/>
        </w:rPr>
        <w:t xml:space="preserve">Supporting Statement for Paperwork Reduction Act Submission, Part </w:t>
      </w:r>
      <w:r>
        <w:rPr>
          <w:b/>
          <w:sz w:val="44"/>
          <w:szCs w:val="44"/>
        </w:rPr>
        <w:t>B</w:t>
      </w:r>
    </w:p>
    <w:p w14:paraId="3B679906" w14:textId="77777777" w:rsidR="007F4005" w:rsidRDefault="007F4005" w:rsidP="00770366">
      <w:pPr>
        <w:jc w:val="center"/>
        <w:rPr>
          <w:b/>
          <w:sz w:val="32"/>
          <w:szCs w:val="32"/>
        </w:rPr>
      </w:pPr>
    </w:p>
    <w:p w14:paraId="10665552" w14:textId="77777777" w:rsidR="00310C79" w:rsidRDefault="00310C79" w:rsidP="00770366">
      <w:pPr>
        <w:jc w:val="center"/>
        <w:rPr>
          <w:b/>
          <w:sz w:val="32"/>
          <w:szCs w:val="32"/>
        </w:rPr>
      </w:pPr>
    </w:p>
    <w:p w14:paraId="40E3F1F9" w14:textId="77777777" w:rsidR="00310C79" w:rsidRDefault="00310C79" w:rsidP="00770366">
      <w:pPr>
        <w:jc w:val="center"/>
        <w:rPr>
          <w:b/>
          <w:sz w:val="32"/>
          <w:szCs w:val="32"/>
        </w:rPr>
      </w:pPr>
    </w:p>
    <w:p w14:paraId="03C6A65E" w14:textId="77777777" w:rsidR="00310C79" w:rsidRDefault="00310C79" w:rsidP="00770366">
      <w:pPr>
        <w:jc w:val="center"/>
        <w:rPr>
          <w:b/>
          <w:sz w:val="32"/>
          <w:szCs w:val="32"/>
        </w:rPr>
      </w:pPr>
    </w:p>
    <w:p w14:paraId="76E90D81" w14:textId="77777777" w:rsidR="00310C79" w:rsidRDefault="00310C79" w:rsidP="00770366">
      <w:pPr>
        <w:jc w:val="center"/>
        <w:rPr>
          <w:b/>
          <w:sz w:val="32"/>
          <w:szCs w:val="32"/>
        </w:rPr>
      </w:pPr>
    </w:p>
    <w:p w14:paraId="65B81841" w14:textId="77777777" w:rsidR="00310C79" w:rsidRDefault="00310C79" w:rsidP="00770366">
      <w:pPr>
        <w:jc w:val="center"/>
        <w:rPr>
          <w:b/>
          <w:sz w:val="32"/>
          <w:szCs w:val="32"/>
        </w:rPr>
      </w:pPr>
    </w:p>
    <w:p w14:paraId="62876255" w14:textId="77777777" w:rsidR="00310C79" w:rsidRDefault="00310C79" w:rsidP="00770366">
      <w:pPr>
        <w:jc w:val="center"/>
        <w:rPr>
          <w:b/>
          <w:sz w:val="32"/>
          <w:szCs w:val="32"/>
        </w:rPr>
      </w:pPr>
    </w:p>
    <w:p w14:paraId="7ED44638" w14:textId="77777777" w:rsidR="007F4005" w:rsidRDefault="007F4005" w:rsidP="00770366">
      <w:pPr>
        <w:jc w:val="center"/>
        <w:rPr>
          <w:b/>
          <w:sz w:val="32"/>
          <w:szCs w:val="32"/>
        </w:rPr>
      </w:pPr>
    </w:p>
    <w:p w14:paraId="3096CF66" w14:textId="77777777" w:rsidR="00310C79" w:rsidRDefault="00310C79" w:rsidP="00770366">
      <w:pPr>
        <w:jc w:val="center"/>
        <w:rPr>
          <w:b/>
          <w:sz w:val="32"/>
          <w:szCs w:val="32"/>
        </w:rPr>
      </w:pPr>
      <w:r>
        <w:rPr>
          <w:b/>
          <w:sz w:val="32"/>
          <w:szCs w:val="32"/>
        </w:rPr>
        <w:t>U.S. Department of Housing &amp; Urban Development (HUD)</w:t>
      </w:r>
    </w:p>
    <w:p w14:paraId="249F5C0A" w14:textId="77777777" w:rsidR="00310C79" w:rsidRDefault="00310C79" w:rsidP="00770366">
      <w:pPr>
        <w:jc w:val="center"/>
        <w:rPr>
          <w:b/>
          <w:sz w:val="32"/>
          <w:szCs w:val="32"/>
        </w:rPr>
      </w:pPr>
      <w:r>
        <w:rPr>
          <w:b/>
          <w:sz w:val="32"/>
          <w:szCs w:val="32"/>
        </w:rPr>
        <w:t>Office of Policy Development &amp; Research (PD&amp;R)</w:t>
      </w:r>
    </w:p>
    <w:p w14:paraId="109AB943" w14:textId="77777777" w:rsidR="007F4005" w:rsidRDefault="007F4005" w:rsidP="00770366">
      <w:pPr>
        <w:jc w:val="center"/>
        <w:rPr>
          <w:b/>
          <w:sz w:val="32"/>
          <w:szCs w:val="32"/>
        </w:rPr>
      </w:pPr>
    </w:p>
    <w:p w14:paraId="1AC1F9B6" w14:textId="77777777" w:rsidR="007F4005" w:rsidRDefault="007F4005" w:rsidP="00770366">
      <w:pPr>
        <w:jc w:val="center"/>
        <w:rPr>
          <w:b/>
          <w:sz w:val="32"/>
          <w:szCs w:val="32"/>
        </w:rPr>
      </w:pPr>
    </w:p>
    <w:p w14:paraId="1E9581B4" w14:textId="77777777" w:rsidR="00B94841" w:rsidRDefault="00B94841" w:rsidP="00770366">
      <w:pPr>
        <w:jc w:val="center"/>
        <w:rPr>
          <w:b/>
          <w:sz w:val="32"/>
          <w:szCs w:val="32"/>
        </w:rPr>
      </w:pPr>
    </w:p>
    <w:p w14:paraId="689D8DE9" w14:textId="77777777" w:rsidR="00B94841" w:rsidRDefault="00B94841" w:rsidP="00770366">
      <w:pPr>
        <w:jc w:val="center"/>
        <w:rPr>
          <w:b/>
          <w:sz w:val="32"/>
          <w:szCs w:val="32"/>
        </w:rPr>
      </w:pPr>
    </w:p>
    <w:p w14:paraId="7F5A1455" w14:textId="77777777" w:rsidR="00B94841" w:rsidRDefault="00B94841" w:rsidP="00770366">
      <w:pPr>
        <w:jc w:val="center"/>
        <w:rPr>
          <w:b/>
          <w:sz w:val="32"/>
          <w:szCs w:val="32"/>
        </w:rPr>
      </w:pPr>
    </w:p>
    <w:p w14:paraId="3DCB0846" w14:textId="02BB2308" w:rsidR="007F4005" w:rsidRDefault="0073747E" w:rsidP="00770366">
      <w:pPr>
        <w:jc w:val="center"/>
        <w:rPr>
          <w:b/>
          <w:sz w:val="32"/>
          <w:szCs w:val="32"/>
        </w:rPr>
      </w:pPr>
      <w:r>
        <w:rPr>
          <w:b/>
          <w:sz w:val="32"/>
          <w:szCs w:val="32"/>
        </w:rPr>
        <w:t xml:space="preserve">February </w:t>
      </w:r>
      <w:r w:rsidR="00982F51">
        <w:rPr>
          <w:b/>
          <w:sz w:val="32"/>
          <w:szCs w:val="32"/>
        </w:rPr>
        <w:t>2</w:t>
      </w:r>
      <w:r>
        <w:rPr>
          <w:b/>
          <w:sz w:val="32"/>
          <w:szCs w:val="32"/>
        </w:rPr>
        <w:t>8</w:t>
      </w:r>
      <w:r w:rsidR="00632A5E">
        <w:rPr>
          <w:b/>
          <w:sz w:val="32"/>
          <w:szCs w:val="32"/>
        </w:rPr>
        <w:t>, 201</w:t>
      </w:r>
      <w:r>
        <w:rPr>
          <w:b/>
          <w:sz w:val="32"/>
          <w:szCs w:val="32"/>
        </w:rPr>
        <w:t>7</w:t>
      </w:r>
    </w:p>
    <w:p w14:paraId="310947F6" w14:textId="77777777" w:rsidR="007F4005" w:rsidRDefault="007F4005" w:rsidP="00770366">
      <w:pPr>
        <w:rPr>
          <w:b/>
          <w:sz w:val="32"/>
          <w:szCs w:val="32"/>
        </w:rPr>
      </w:pPr>
    </w:p>
    <w:p w14:paraId="4C1A7CBC" w14:textId="77777777" w:rsidR="007F4005" w:rsidRDefault="007F4005" w:rsidP="00770366">
      <w:pPr>
        <w:spacing w:after="200" w:line="276" w:lineRule="auto"/>
        <w:rPr>
          <w:b/>
          <w:bCs/>
          <w:iCs/>
          <w:szCs w:val="28"/>
        </w:rPr>
      </w:pPr>
      <w:r>
        <w:br w:type="page"/>
      </w:r>
    </w:p>
    <w:p w14:paraId="2F30265E" w14:textId="77777777" w:rsidR="007F4005" w:rsidRPr="004D5244" w:rsidRDefault="007F4005" w:rsidP="00770366">
      <w:pPr>
        <w:pStyle w:val="Heading2"/>
        <w:numPr>
          <w:ilvl w:val="4"/>
          <w:numId w:val="5"/>
        </w:numPr>
        <w:ind w:left="360"/>
        <w:rPr>
          <w:rFonts w:ascii="Times New Roman" w:hAnsi="Times New Roman" w:cs="Times New Roman"/>
          <w:color w:val="auto"/>
          <w:sz w:val="24"/>
        </w:rPr>
      </w:pPr>
      <w:r w:rsidRPr="00771A67">
        <w:rPr>
          <w:rFonts w:ascii="Times New Roman" w:hAnsi="Times New Roman" w:cs="Times New Roman"/>
          <w:color w:val="auto"/>
          <w:sz w:val="24"/>
        </w:rPr>
        <w:lastRenderedPageBreak/>
        <w:t>COLLECTIONS OF INFORMATION EMPLOYING STATISTICAL METHODS</w:t>
      </w:r>
      <w:bookmarkEnd w:id="0"/>
    </w:p>
    <w:p w14:paraId="653CB777" w14:textId="77777777" w:rsidR="007F4005" w:rsidRPr="004D5244" w:rsidRDefault="007F4005" w:rsidP="00770366">
      <w:pPr>
        <w:numPr>
          <w:ilvl w:val="0"/>
          <w:numId w:val="3"/>
        </w:numPr>
        <w:ind w:left="360"/>
        <w:rPr>
          <w:b/>
          <w:bCs/>
          <w:u w:val="single"/>
        </w:rPr>
      </w:pPr>
      <w:r w:rsidRPr="004D5244">
        <w:rPr>
          <w:b/>
          <w:bCs/>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65574FD5"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9E8507" w14:textId="77777777" w:rsidR="00CE508B" w:rsidRDefault="00CE508B" w:rsidP="00770366">
      <w:r>
        <w:t>This Information Collection Request (ICR) includes t</w:t>
      </w:r>
      <w:r w:rsidR="00632A5E">
        <w:t xml:space="preserve">wo </w:t>
      </w:r>
      <w:r>
        <w:t xml:space="preserve">data collection instruments: (1) a </w:t>
      </w:r>
      <w:r w:rsidR="00632A5E" w:rsidRPr="00632A5E">
        <w:t xml:space="preserve">RAD </w:t>
      </w:r>
      <w:r w:rsidR="00632A5E">
        <w:t xml:space="preserve">Post-Conversion </w:t>
      </w:r>
      <w:r w:rsidR="00632A5E" w:rsidRPr="00632A5E">
        <w:t xml:space="preserve">telephone </w:t>
      </w:r>
      <w:r w:rsidR="00632A5E">
        <w:t>interview</w:t>
      </w:r>
      <w:r w:rsidR="00632A5E" w:rsidRPr="00632A5E">
        <w:t xml:space="preserve"> to be administered to </w:t>
      </w:r>
      <w:r w:rsidR="00632A5E">
        <w:t xml:space="preserve">23 </w:t>
      </w:r>
      <w:r>
        <w:t xml:space="preserve">PHAs currently </w:t>
      </w:r>
      <w:r w:rsidR="00632A5E">
        <w:t xml:space="preserve">managing the 24 </w:t>
      </w:r>
      <w:r>
        <w:t>RAD</w:t>
      </w:r>
      <w:r w:rsidR="00632A5E">
        <w:t xml:space="preserve"> projects in our sample (form included in Appendix A)</w:t>
      </w:r>
      <w:r w:rsidR="00A57346">
        <w:t xml:space="preserve"> to help measure PHA’s experience with RAD after completion of conversion and any rehabilitation or new construction</w:t>
      </w:r>
      <w:r>
        <w:t xml:space="preserve">; </w:t>
      </w:r>
      <w:r w:rsidR="00632A5E">
        <w:t xml:space="preserve">and </w:t>
      </w:r>
      <w:r>
        <w:t>(2) a Resident</w:t>
      </w:r>
      <w:r w:rsidR="00632A5E">
        <w:t xml:space="preserve"> Survey</w:t>
      </w:r>
      <w:r>
        <w:t xml:space="preserve">, which will be administered to 400 tenants of RAD projects </w:t>
      </w:r>
      <w:r w:rsidR="00A57346">
        <w:t>to measure the impact of RAD on</w:t>
      </w:r>
      <w:r>
        <w:t xml:space="preserve"> tenant</w:t>
      </w:r>
      <w:r w:rsidR="00A57346">
        <w:t>s residing in projects at the time of conversion</w:t>
      </w:r>
      <w:r>
        <w:t xml:space="preserve"> (form included as Appendix </w:t>
      </w:r>
      <w:r w:rsidR="00632A5E">
        <w:t>B</w:t>
      </w:r>
      <w:r>
        <w:t>)</w:t>
      </w:r>
      <w:r w:rsidR="0039613F">
        <w:t>.</w:t>
      </w:r>
      <w:r>
        <w:t xml:space="preserve"> </w:t>
      </w:r>
      <w:r w:rsidR="00F158B0">
        <w:t xml:space="preserve"> See Table </w:t>
      </w:r>
      <w:r w:rsidR="0039613F">
        <w:t>10</w:t>
      </w:r>
      <w:r w:rsidR="00F158B0">
        <w:t xml:space="preserve"> below.</w:t>
      </w:r>
    </w:p>
    <w:p w14:paraId="196257E7" w14:textId="77777777" w:rsidR="00CE508B" w:rsidRDefault="00CE508B"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D30425" w14:textId="44913D69"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w:t>
      </w:r>
      <w:r w:rsidR="00632A5E" w:rsidRPr="00632A5E">
        <w:t>Post-Conversion telephone interview</w:t>
      </w:r>
      <w:r>
        <w:t>, the respondent universe is composed of 2</w:t>
      </w:r>
      <w:r w:rsidR="00632A5E">
        <w:t>3 PHAs (2</w:t>
      </w:r>
      <w:r>
        <w:t>4 RAD projects</w:t>
      </w:r>
      <w:r w:rsidR="00632A5E">
        <w:t>)</w:t>
      </w:r>
      <w:r w:rsidR="00A57346">
        <w:t>.  The sample of 24 projects was</w:t>
      </w:r>
      <w:r>
        <w:t xml:space="preserve"> stratified </w:t>
      </w:r>
      <w:r w:rsidR="00860AFB">
        <w:t xml:space="preserve">by PHA size and property </w:t>
      </w:r>
      <w:r w:rsidR="00CF302F">
        <w:t>performance</w:t>
      </w:r>
      <w:r w:rsidR="00860AFB">
        <w:t xml:space="preserve"> (REAC score) </w:t>
      </w:r>
      <w:r w:rsidR="00632A5E">
        <w:t xml:space="preserve">and </w:t>
      </w:r>
      <w:r>
        <w:t>randomly selected</w:t>
      </w:r>
      <w:r w:rsidR="00A57346">
        <w:t xml:space="preserve"> from the 132 RAD public housing projects </w:t>
      </w:r>
      <w:r>
        <w:t xml:space="preserve">that </w:t>
      </w:r>
      <w:r w:rsidR="00A57346">
        <w:t xml:space="preserve">had </w:t>
      </w:r>
      <w:r>
        <w:t xml:space="preserve">received a </w:t>
      </w:r>
      <w:r w:rsidRPr="007113B4">
        <w:t>Commitment to Enter Into a Housing Assistance Payment (</w:t>
      </w:r>
      <w:r>
        <w:t>CHAP) between September 2012 and December 2013</w:t>
      </w:r>
      <w:r w:rsidR="00632A5E">
        <w:t xml:space="preserve">, </w:t>
      </w:r>
      <w:r w:rsidR="00353185">
        <w:t>and had either closed or received a RAD Conversion Commitment (RCC) by December 31, 2014</w:t>
      </w:r>
      <w:r>
        <w:t xml:space="preserve">. </w:t>
      </w:r>
      <w:r w:rsidR="0022148F">
        <w:t xml:space="preserve"> </w:t>
      </w:r>
      <w:r w:rsidR="00A57346">
        <w:t xml:space="preserve">These 132 projects represent 74 PHAs.  </w:t>
      </w:r>
      <w:r w:rsidR="0022148F">
        <w:t>The</w:t>
      </w:r>
      <w:r w:rsidR="00A57346">
        <w:t xml:space="preserve"> 24</w:t>
      </w:r>
      <w:r w:rsidR="0022148F">
        <w:t xml:space="preserve"> projects</w:t>
      </w:r>
      <w:r w:rsidR="00A57346">
        <w:t xml:space="preserve"> w</w:t>
      </w:r>
      <w:r w:rsidR="0022148F">
        <w:t>ere selecte</w:t>
      </w:r>
      <w:r w:rsidR="00A57346">
        <w:t xml:space="preserve">d during phase one of the study. </w:t>
      </w:r>
      <w:r w:rsidR="00921996">
        <w:t>(</w:t>
      </w:r>
      <w:r w:rsidR="00921996" w:rsidRPr="00124E08">
        <w:t>OMB Approval No. 2528-0304</w:t>
      </w:r>
      <w:r w:rsidR="00921996">
        <w:t>)</w:t>
      </w:r>
      <w:r w:rsidR="007113B4">
        <w:t xml:space="preserve"> </w:t>
      </w:r>
      <w:r w:rsidR="00A57346">
        <w:t>The 23 participating PHAs have already completed the Web survey and RAD implementation interviews administered during phase one of the study.</w:t>
      </w:r>
    </w:p>
    <w:p w14:paraId="7652E75D"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82D896" w14:textId="77777777" w:rsidR="00CE508B" w:rsidRDefault="00CE508B" w:rsidP="00770366">
      <w:r w:rsidRPr="00F80ADC">
        <w:rPr>
          <w:szCs w:val="20"/>
        </w:rPr>
        <w:t xml:space="preserve">Because a successful analysis of resident outcomes requires inclusion of former residents who do not return to converted units, enrollment and tracking </w:t>
      </w:r>
      <w:r w:rsidR="00F325B0">
        <w:rPr>
          <w:szCs w:val="20"/>
        </w:rPr>
        <w:t xml:space="preserve">of tenants </w:t>
      </w:r>
      <w:r w:rsidR="00A57346">
        <w:rPr>
          <w:szCs w:val="20"/>
        </w:rPr>
        <w:t xml:space="preserve">to be surveyed </w:t>
      </w:r>
      <w:r w:rsidR="00F325B0">
        <w:rPr>
          <w:szCs w:val="20"/>
        </w:rPr>
        <w:t xml:space="preserve">had </w:t>
      </w:r>
      <w:r w:rsidRPr="00F80ADC">
        <w:rPr>
          <w:szCs w:val="20"/>
        </w:rPr>
        <w:t xml:space="preserve">to begin </w:t>
      </w:r>
      <w:r w:rsidR="00F325B0">
        <w:rPr>
          <w:szCs w:val="20"/>
        </w:rPr>
        <w:t>before properties closed</w:t>
      </w:r>
      <w:r w:rsidR="00A57346">
        <w:rPr>
          <w:szCs w:val="20"/>
        </w:rPr>
        <w:t xml:space="preserve">.  This approach </w:t>
      </w:r>
      <w:r w:rsidRPr="00F80ADC">
        <w:rPr>
          <w:szCs w:val="20"/>
        </w:rPr>
        <w:t>ensure</w:t>
      </w:r>
      <w:r w:rsidR="00A57346">
        <w:rPr>
          <w:szCs w:val="20"/>
        </w:rPr>
        <w:t>d</w:t>
      </w:r>
      <w:r w:rsidRPr="00F80ADC">
        <w:rPr>
          <w:szCs w:val="20"/>
        </w:rPr>
        <w:t xml:space="preserve"> </w:t>
      </w:r>
      <w:r w:rsidR="00F325B0">
        <w:rPr>
          <w:szCs w:val="20"/>
        </w:rPr>
        <w:t xml:space="preserve">that </w:t>
      </w:r>
      <w:r w:rsidRPr="00F80ADC">
        <w:rPr>
          <w:szCs w:val="20"/>
        </w:rPr>
        <w:t>residents</w:t>
      </w:r>
      <w:r>
        <w:rPr>
          <w:szCs w:val="20"/>
        </w:rPr>
        <w:t>’</w:t>
      </w:r>
      <w:r w:rsidR="00F325B0">
        <w:rPr>
          <w:szCs w:val="20"/>
        </w:rPr>
        <w:t xml:space="preserve"> contact information </w:t>
      </w:r>
      <w:r w:rsidR="00A57346">
        <w:rPr>
          <w:szCs w:val="20"/>
        </w:rPr>
        <w:t>could be</w:t>
      </w:r>
      <w:r w:rsidRPr="00F80ADC">
        <w:rPr>
          <w:szCs w:val="20"/>
        </w:rPr>
        <w:t xml:space="preserve"> obtained before they le</w:t>
      </w:r>
      <w:r w:rsidR="00F325B0">
        <w:rPr>
          <w:szCs w:val="20"/>
        </w:rPr>
        <w:t>ft</w:t>
      </w:r>
      <w:r w:rsidRPr="00F80ADC">
        <w:rPr>
          <w:szCs w:val="20"/>
        </w:rPr>
        <w:t xml:space="preserve"> the RAD property</w:t>
      </w:r>
      <w:r w:rsidR="00A57346">
        <w:rPr>
          <w:szCs w:val="20"/>
        </w:rPr>
        <w:t xml:space="preserve"> and were not reachable</w:t>
      </w:r>
      <w:r w:rsidR="0092484E">
        <w:rPr>
          <w:szCs w:val="20"/>
        </w:rPr>
        <w:t>, and therefore that these residents could be contacted to determine their voluntary enrollment in the study</w:t>
      </w:r>
      <w:r>
        <w:t xml:space="preserve">.    </w:t>
      </w:r>
    </w:p>
    <w:p w14:paraId="67BBF1CB" w14:textId="77777777" w:rsidR="00CE508B" w:rsidRDefault="00CE508B" w:rsidP="00770366"/>
    <w:p w14:paraId="3037E9E4" w14:textId="055BF2B2" w:rsidR="00697A2A" w:rsidRDefault="007F4005" w:rsidP="00770366">
      <w:pPr>
        <w:rPr>
          <w:szCs w:val="20"/>
        </w:rPr>
      </w:pPr>
      <w:r w:rsidRPr="00F80ADC">
        <w:rPr>
          <w:szCs w:val="20"/>
        </w:rPr>
        <w:t xml:space="preserve">The sampling for </w:t>
      </w:r>
      <w:r w:rsidR="00DF002D">
        <w:rPr>
          <w:szCs w:val="20"/>
        </w:rPr>
        <w:t>enrollment in the</w:t>
      </w:r>
      <w:r w:rsidR="00DF002D" w:rsidRPr="00F80ADC">
        <w:rPr>
          <w:szCs w:val="20"/>
        </w:rPr>
        <w:t xml:space="preserve"> </w:t>
      </w:r>
      <w:r w:rsidRPr="00F80ADC">
        <w:rPr>
          <w:szCs w:val="20"/>
        </w:rPr>
        <w:t xml:space="preserve">resident study </w:t>
      </w:r>
      <w:r w:rsidR="00A57346">
        <w:rPr>
          <w:szCs w:val="20"/>
        </w:rPr>
        <w:t xml:space="preserve">has </w:t>
      </w:r>
      <w:r w:rsidRPr="00F80ADC">
        <w:rPr>
          <w:szCs w:val="20"/>
        </w:rPr>
        <w:t>occur</w:t>
      </w:r>
      <w:r w:rsidR="00A57346">
        <w:rPr>
          <w:szCs w:val="20"/>
        </w:rPr>
        <w:t>red</w:t>
      </w:r>
      <w:r w:rsidRPr="00F80ADC">
        <w:rPr>
          <w:szCs w:val="20"/>
        </w:rPr>
        <w:t xml:space="preserve"> in two stages. In the first stage, </w:t>
      </w:r>
      <w:r w:rsidR="00DF002D">
        <w:rPr>
          <w:szCs w:val="20"/>
        </w:rPr>
        <w:t>19</w:t>
      </w:r>
      <w:r w:rsidR="0022148F">
        <w:rPr>
          <w:szCs w:val="20"/>
        </w:rPr>
        <w:t xml:space="preserve"> RAD sites </w:t>
      </w:r>
      <w:r w:rsidR="007113B4">
        <w:rPr>
          <w:szCs w:val="20"/>
        </w:rPr>
        <w:t>were</w:t>
      </w:r>
      <w:r w:rsidR="00D764A2">
        <w:rPr>
          <w:szCs w:val="20"/>
        </w:rPr>
        <w:t xml:space="preserve"> </w:t>
      </w:r>
      <w:r w:rsidRPr="00F80ADC">
        <w:rPr>
          <w:szCs w:val="20"/>
        </w:rPr>
        <w:t>chosen</w:t>
      </w:r>
      <w:r w:rsidR="00DF002D">
        <w:rPr>
          <w:szCs w:val="20"/>
        </w:rPr>
        <w:t xml:space="preserve"> </w:t>
      </w:r>
      <w:r w:rsidR="005734EB">
        <w:rPr>
          <w:szCs w:val="20"/>
        </w:rPr>
        <w:t xml:space="preserve">from a sampling frame of properties that have received an RCC but not yet completed closing. </w:t>
      </w:r>
      <w:r w:rsidRPr="00F80ADC">
        <w:rPr>
          <w:szCs w:val="20"/>
        </w:rPr>
        <w:t>In the second stage, a random stratified sample of residents living in each of the</w:t>
      </w:r>
      <w:r w:rsidR="00F325B0">
        <w:rPr>
          <w:szCs w:val="20"/>
        </w:rPr>
        <w:t xml:space="preserve"> RAD</w:t>
      </w:r>
      <w:r w:rsidRPr="00F80ADC">
        <w:rPr>
          <w:szCs w:val="20"/>
        </w:rPr>
        <w:t xml:space="preserve"> sites at the time of closing </w:t>
      </w:r>
      <w:r w:rsidR="00F325B0">
        <w:rPr>
          <w:szCs w:val="20"/>
        </w:rPr>
        <w:t>is</w:t>
      </w:r>
      <w:r w:rsidRPr="00F80ADC">
        <w:rPr>
          <w:szCs w:val="20"/>
        </w:rPr>
        <w:t xml:space="preserve"> drawn</w:t>
      </w:r>
      <w:r w:rsidR="00863559">
        <w:rPr>
          <w:szCs w:val="20"/>
        </w:rPr>
        <w:t xml:space="preserve"> from </w:t>
      </w:r>
      <w:r w:rsidR="00F325B0">
        <w:rPr>
          <w:szCs w:val="20"/>
        </w:rPr>
        <w:t xml:space="preserve">the total number of </w:t>
      </w:r>
      <w:r w:rsidR="00863559">
        <w:rPr>
          <w:szCs w:val="20"/>
        </w:rPr>
        <w:t>units</w:t>
      </w:r>
      <w:r w:rsidR="00F325B0">
        <w:rPr>
          <w:szCs w:val="20"/>
        </w:rPr>
        <w:t xml:space="preserve"> in the RAD sites</w:t>
      </w:r>
      <w:r w:rsidRPr="00F80ADC">
        <w:rPr>
          <w:szCs w:val="20"/>
        </w:rPr>
        <w:t xml:space="preserve">. Residents </w:t>
      </w:r>
      <w:r w:rsidR="00F325B0">
        <w:rPr>
          <w:szCs w:val="20"/>
        </w:rPr>
        <w:t>are</w:t>
      </w:r>
      <w:r w:rsidRPr="00F80ADC">
        <w:rPr>
          <w:szCs w:val="20"/>
        </w:rPr>
        <w:t xml:space="preserve"> selected using HUD’s PIC records. </w:t>
      </w:r>
      <w:r w:rsidR="00863559">
        <w:rPr>
          <w:szCs w:val="20"/>
        </w:rPr>
        <w:t xml:space="preserve">The universe of RAD sites </w:t>
      </w:r>
      <w:r w:rsidR="00F325B0">
        <w:rPr>
          <w:szCs w:val="20"/>
        </w:rPr>
        <w:t xml:space="preserve">for the resident survey </w:t>
      </w:r>
      <w:r w:rsidR="00863559">
        <w:rPr>
          <w:szCs w:val="20"/>
        </w:rPr>
        <w:t>include</w:t>
      </w:r>
      <w:r w:rsidR="0001750E">
        <w:rPr>
          <w:szCs w:val="20"/>
        </w:rPr>
        <w:t>s</w:t>
      </w:r>
      <w:r w:rsidR="00863559">
        <w:rPr>
          <w:szCs w:val="20"/>
        </w:rPr>
        <w:t xml:space="preserve"> 3,</w:t>
      </w:r>
      <w:r w:rsidR="0001750E">
        <w:rPr>
          <w:szCs w:val="20"/>
        </w:rPr>
        <w:t>011</w:t>
      </w:r>
      <w:r w:rsidR="00863559">
        <w:rPr>
          <w:szCs w:val="20"/>
        </w:rPr>
        <w:t xml:space="preserve"> units.</w:t>
      </w:r>
      <w:r w:rsidR="0022148F">
        <w:rPr>
          <w:szCs w:val="20"/>
        </w:rPr>
        <w:t xml:space="preserve">  Selection of RAD sites and a sample of residents in those sites </w:t>
      </w:r>
      <w:r w:rsidR="00D03665">
        <w:rPr>
          <w:szCs w:val="20"/>
        </w:rPr>
        <w:t xml:space="preserve">was completed </w:t>
      </w:r>
      <w:r w:rsidR="0022148F">
        <w:rPr>
          <w:szCs w:val="20"/>
        </w:rPr>
        <w:t xml:space="preserve">during phase one </w:t>
      </w:r>
      <w:r w:rsidR="00D03665">
        <w:t>(</w:t>
      </w:r>
      <w:r w:rsidR="00921996" w:rsidRPr="00124E08">
        <w:t>OMB Approval No. 2528-0304</w:t>
      </w:r>
      <w:r w:rsidR="00D03665">
        <w:t>)</w:t>
      </w:r>
      <w:r w:rsidR="0022148F">
        <w:rPr>
          <w:szCs w:val="20"/>
        </w:rPr>
        <w:t>.</w:t>
      </w:r>
    </w:p>
    <w:p w14:paraId="6C148DF1" w14:textId="77777777" w:rsidR="008C70AE" w:rsidRDefault="008C70AE" w:rsidP="00770366">
      <w:pPr>
        <w:rPr>
          <w:szCs w:val="20"/>
        </w:rPr>
      </w:pPr>
    </w:p>
    <w:p w14:paraId="6B9646A4" w14:textId="77777777" w:rsidR="00F158B0" w:rsidRPr="00A57346" w:rsidRDefault="00770366" w:rsidP="00A57346">
      <w:pPr>
        <w:spacing w:after="120"/>
        <w:rPr>
          <w:rFonts w:ascii="Arial" w:hAnsi="Arial" w:cs="Arial"/>
          <w:b/>
          <w:szCs w:val="20"/>
        </w:rPr>
      </w:pPr>
      <w:r>
        <w:rPr>
          <w:rFonts w:ascii="Arial" w:hAnsi="Arial" w:cs="Arial"/>
          <w:b/>
          <w:szCs w:val="20"/>
        </w:rPr>
        <w:t>Table 10</w:t>
      </w:r>
      <w:r w:rsidR="00F158B0">
        <w:rPr>
          <w:rFonts w:ascii="Arial" w:hAnsi="Arial" w:cs="Arial"/>
          <w:b/>
          <w:szCs w:val="20"/>
        </w:rPr>
        <w:t>. Number of Entities in Universe and Sample</w:t>
      </w:r>
    </w:p>
    <w:tbl>
      <w:tblPr>
        <w:tblStyle w:val="TableGrid1"/>
        <w:tblW w:w="0" w:type="auto"/>
        <w:tblLook w:val="04A0" w:firstRow="1" w:lastRow="0" w:firstColumn="1" w:lastColumn="0" w:noHBand="0" w:noVBand="1"/>
      </w:tblPr>
      <w:tblGrid>
        <w:gridCol w:w="3192"/>
        <w:gridCol w:w="3192"/>
        <w:gridCol w:w="3192"/>
      </w:tblGrid>
      <w:tr w:rsidR="001B3F4E" w:rsidRPr="001B3F4E" w14:paraId="20CD32B2" w14:textId="77777777" w:rsidTr="007113B4">
        <w:tc>
          <w:tcPr>
            <w:tcW w:w="3192" w:type="dxa"/>
            <w:tcBorders>
              <w:top w:val="single" w:sz="4" w:space="0" w:color="000075"/>
              <w:left w:val="single" w:sz="4" w:space="0" w:color="000075"/>
              <w:bottom w:val="single" w:sz="4" w:space="0" w:color="000075"/>
              <w:right w:val="single" w:sz="4" w:space="0" w:color="000075"/>
            </w:tcBorders>
            <w:shd w:val="clear" w:color="auto" w:fill="000075"/>
          </w:tcPr>
          <w:p w14:paraId="7F20F796" w14:textId="77777777" w:rsidR="001B3F4E" w:rsidRPr="007113B4" w:rsidRDefault="000265F9" w:rsidP="008316CB">
            <w:pPr>
              <w:jc w:val="center"/>
              <w:rPr>
                <w:rFonts w:ascii="Arial" w:eastAsiaTheme="minorHAnsi" w:hAnsi="Arial"/>
              </w:rPr>
            </w:pPr>
            <w:r w:rsidRPr="007113B4">
              <w:rPr>
                <w:rFonts w:ascii="Arial" w:eastAsiaTheme="minorHAnsi" w:hAnsi="Arial"/>
                <w:b/>
              </w:rPr>
              <w:t xml:space="preserve">Interview or </w:t>
            </w:r>
            <w:r w:rsidR="001B3F4E" w:rsidRPr="007113B4">
              <w:rPr>
                <w:rFonts w:ascii="Arial" w:eastAsiaTheme="minorHAnsi" w:hAnsi="Arial"/>
                <w:b/>
              </w:rPr>
              <w:t>Survey</w:t>
            </w:r>
          </w:p>
        </w:tc>
        <w:tc>
          <w:tcPr>
            <w:tcW w:w="3192" w:type="dxa"/>
            <w:tcBorders>
              <w:top w:val="single" w:sz="4" w:space="0" w:color="000075"/>
              <w:left w:val="single" w:sz="4" w:space="0" w:color="000075"/>
              <w:bottom w:val="single" w:sz="4" w:space="0" w:color="000075"/>
              <w:right w:val="single" w:sz="4" w:space="0" w:color="000075"/>
            </w:tcBorders>
            <w:shd w:val="clear" w:color="auto" w:fill="000075"/>
          </w:tcPr>
          <w:p w14:paraId="2EC738FE" w14:textId="77777777" w:rsidR="001B3F4E" w:rsidRPr="007113B4" w:rsidRDefault="001B3F4E" w:rsidP="008316CB">
            <w:pPr>
              <w:jc w:val="center"/>
              <w:rPr>
                <w:rFonts w:ascii="Arial" w:eastAsiaTheme="minorHAnsi" w:hAnsi="Arial"/>
              </w:rPr>
            </w:pPr>
            <w:r w:rsidRPr="007113B4">
              <w:rPr>
                <w:rFonts w:ascii="Arial" w:eastAsiaTheme="minorHAnsi" w:hAnsi="Arial"/>
                <w:b/>
              </w:rPr>
              <w:t>Universe of Respondents</w:t>
            </w:r>
          </w:p>
        </w:tc>
        <w:tc>
          <w:tcPr>
            <w:tcW w:w="3192" w:type="dxa"/>
            <w:tcBorders>
              <w:top w:val="single" w:sz="4" w:space="0" w:color="000075"/>
              <w:left w:val="single" w:sz="4" w:space="0" w:color="000075"/>
              <w:bottom w:val="single" w:sz="4" w:space="0" w:color="000075"/>
              <w:right w:val="single" w:sz="4" w:space="0" w:color="000075"/>
            </w:tcBorders>
            <w:shd w:val="clear" w:color="auto" w:fill="000075"/>
          </w:tcPr>
          <w:p w14:paraId="2BE239B9" w14:textId="77777777" w:rsidR="001B3F4E" w:rsidRPr="007113B4" w:rsidRDefault="001B3F4E" w:rsidP="008316CB">
            <w:pPr>
              <w:jc w:val="center"/>
              <w:rPr>
                <w:rFonts w:ascii="Arial" w:eastAsiaTheme="minorHAnsi" w:hAnsi="Arial"/>
              </w:rPr>
            </w:pPr>
            <w:r w:rsidRPr="007113B4">
              <w:rPr>
                <w:rFonts w:ascii="Arial" w:eastAsiaTheme="minorHAnsi" w:hAnsi="Arial"/>
                <w:b/>
              </w:rPr>
              <w:t>Sample Respondents</w:t>
            </w:r>
          </w:p>
        </w:tc>
      </w:tr>
      <w:tr w:rsidR="001B3F4E" w:rsidRPr="001B3F4E" w14:paraId="46593055" w14:textId="77777777" w:rsidTr="007113B4">
        <w:tc>
          <w:tcPr>
            <w:tcW w:w="3192" w:type="dxa"/>
            <w:tcBorders>
              <w:top w:val="single" w:sz="4" w:space="0" w:color="000075"/>
            </w:tcBorders>
          </w:tcPr>
          <w:p w14:paraId="7B1E8AE3" w14:textId="77777777" w:rsidR="001B3F4E" w:rsidRPr="000265F9" w:rsidRDefault="00964300" w:rsidP="00964300">
            <w:r w:rsidRPr="000265F9">
              <w:t xml:space="preserve">Post-Conversion Interview </w:t>
            </w:r>
          </w:p>
        </w:tc>
        <w:tc>
          <w:tcPr>
            <w:tcW w:w="3192" w:type="dxa"/>
            <w:tcBorders>
              <w:top w:val="single" w:sz="4" w:space="0" w:color="000075"/>
            </w:tcBorders>
          </w:tcPr>
          <w:p w14:paraId="5DC31775" w14:textId="77777777" w:rsidR="001B3F4E" w:rsidRPr="000265F9" w:rsidRDefault="00C5248C" w:rsidP="00C5248C">
            <w:r>
              <w:t xml:space="preserve">74 PHAs owning </w:t>
            </w:r>
            <w:r w:rsidR="00353185">
              <w:t>132</w:t>
            </w:r>
            <w:r w:rsidR="001B3F4E" w:rsidRPr="000265F9">
              <w:t xml:space="preserve"> RAD </w:t>
            </w:r>
            <w:r w:rsidR="00964300" w:rsidRPr="000265F9">
              <w:t>projects</w:t>
            </w:r>
            <w:r>
              <w:t xml:space="preserve"> in our universe</w:t>
            </w:r>
          </w:p>
        </w:tc>
        <w:tc>
          <w:tcPr>
            <w:tcW w:w="3192" w:type="dxa"/>
            <w:tcBorders>
              <w:top w:val="single" w:sz="4" w:space="0" w:color="000075"/>
            </w:tcBorders>
          </w:tcPr>
          <w:p w14:paraId="2067BA0C" w14:textId="77777777" w:rsidR="001B3F4E" w:rsidRPr="000265F9" w:rsidRDefault="000265F9" w:rsidP="00964300">
            <w:r>
              <w:t>23</w:t>
            </w:r>
            <w:r w:rsidR="001B3F4E" w:rsidRPr="000265F9">
              <w:t xml:space="preserve"> </w:t>
            </w:r>
            <w:r>
              <w:t xml:space="preserve">PHAs owning 24 </w:t>
            </w:r>
            <w:r w:rsidR="001B3F4E" w:rsidRPr="000265F9">
              <w:t xml:space="preserve">RAD projects </w:t>
            </w:r>
            <w:r w:rsidR="00C5248C">
              <w:t>in our sample</w:t>
            </w:r>
          </w:p>
        </w:tc>
      </w:tr>
      <w:tr w:rsidR="001B3F4E" w:rsidRPr="001B3F4E" w14:paraId="24AF5F98" w14:textId="77777777" w:rsidTr="007113B4">
        <w:tc>
          <w:tcPr>
            <w:tcW w:w="3192" w:type="dxa"/>
          </w:tcPr>
          <w:p w14:paraId="669FFBC7" w14:textId="77777777" w:rsidR="001B3F4E" w:rsidRPr="000265F9" w:rsidRDefault="001B3F4E" w:rsidP="001B3F4E">
            <w:r w:rsidRPr="000265F9">
              <w:t xml:space="preserve">Resident </w:t>
            </w:r>
            <w:r w:rsidR="00F929BD">
              <w:t xml:space="preserve">Impact </w:t>
            </w:r>
            <w:r w:rsidRPr="000265F9">
              <w:t>Survey</w:t>
            </w:r>
          </w:p>
        </w:tc>
        <w:tc>
          <w:tcPr>
            <w:tcW w:w="3192" w:type="dxa"/>
          </w:tcPr>
          <w:p w14:paraId="228AE566" w14:textId="063C8973" w:rsidR="001B3F4E" w:rsidRPr="000265F9" w:rsidRDefault="001B3F4E" w:rsidP="00DF002D">
            <w:r w:rsidRPr="000265F9">
              <w:t>3,</w:t>
            </w:r>
            <w:r w:rsidR="00DF002D">
              <w:t>011</w:t>
            </w:r>
            <w:r w:rsidR="00DF002D" w:rsidRPr="000265F9">
              <w:t xml:space="preserve"> </w:t>
            </w:r>
            <w:r w:rsidRPr="000265F9">
              <w:t>units</w:t>
            </w:r>
          </w:p>
        </w:tc>
        <w:tc>
          <w:tcPr>
            <w:tcW w:w="3192" w:type="dxa"/>
          </w:tcPr>
          <w:p w14:paraId="458F474E" w14:textId="77777777" w:rsidR="001B3F4E" w:rsidRPr="000265F9" w:rsidRDefault="001B3F4E" w:rsidP="001B3F4E">
            <w:r w:rsidRPr="000265F9">
              <w:t>400 units</w:t>
            </w:r>
          </w:p>
        </w:tc>
      </w:tr>
    </w:tbl>
    <w:p w14:paraId="76F2FF0A" w14:textId="77777777" w:rsidR="001B3F4E" w:rsidRDefault="001B3F4E" w:rsidP="00770366">
      <w:pPr>
        <w:rPr>
          <w:szCs w:val="20"/>
        </w:rPr>
      </w:pPr>
    </w:p>
    <w:p w14:paraId="632F2502" w14:textId="77777777" w:rsidR="00EB4E44" w:rsidRDefault="00EB4E44" w:rsidP="00770366">
      <w:pPr>
        <w:rPr>
          <w:b/>
        </w:rPr>
      </w:pPr>
      <w:r w:rsidRPr="000316EC">
        <w:rPr>
          <w:b/>
        </w:rPr>
        <w:t>Expected Response Rate</w:t>
      </w:r>
    </w:p>
    <w:p w14:paraId="22AB99AA" w14:textId="77777777" w:rsidR="00EF6138" w:rsidRPr="00A879E8" w:rsidRDefault="00EF6138" w:rsidP="00770366">
      <w:pPr>
        <w:rPr>
          <w:szCs w:val="20"/>
        </w:rPr>
      </w:pPr>
    </w:p>
    <w:p w14:paraId="2C32E3BA" w14:textId="77777777" w:rsidR="00EB4E44" w:rsidRDefault="00EB4E44" w:rsidP="00D1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It is anticipated that </w:t>
      </w:r>
      <w:r w:rsidR="0092484E">
        <w:t xml:space="preserve">almost </w:t>
      </w:r>
      <w:r>
        <w:t xml:space="preserve">100 percent of the </w:t>
      </w:r>
      <w:r w:rsidR="0092484E">
        <w:t xml:space="preserve">23 </w:t>
      </w:r>
      <w:r w:rsidR="0022148F">
        <w:t xml:space="preserve">PHAs </w:t>
      </w:r>
      <w:r>
        <w:t xml:space="preserve">will complete the </w:t>
      </w:r>
      <w:r w:rsidR="0022148F">
        <w:t>post-conversion interviews</w:t>
      </w:r>
      <w:r>
        <w:t xml:space="preserve">. To boost response rates, we will contact non-respondents by email </w:t>
      </w:r>
      <w:r w:rsidR="0022148F">
        <w:t xml:space="preserve">and telephone </w:t>
      </w:r>
      <w:r>
        <w:t xml:space="preserve">every </w:t>
      </w:r>
      <w:r w:rsidR="00EF6138">
        <w:t>two</w:t>
      </w:r>
      <w:r>
        <w:t xml:space="preserve"> weeks during the period allotted for the data collection. In extreme circumstances, we will</w:t>
      </w:r>
      <w:r w:rsidR="0022148F">
        <w:t xml:space="preserve"> request HUD to reach out to non-respondents</w:t>
      </w:r>
      <w:r>
        <w:t>.</w:t>
      </w:r>
      <w:r w:rsidR="00AB1261">
        <w:t xml:space="preserve"> Th</w:t>
      </w:r>
      <w:r w:rsidR="0092484E">
        <w:t>is</w:t>
      </w:r>
      <w:r w:rsidR="00AB1261">
        <w:t xml:space="preserve"> method imp</w:t>
      </w:r>
      <w:r w:rsidR="0092484E">
        <w:t>roved responses during phase one</w:t>
      </w:r>
      <w:r w:rsidR="00AB1261">
        <w:t xml:space="preserve"> of the study.</w:t>
      </w:r>
      <w:r w:rsidR="0092484E" w:rsidRPr="0092484E">
        <w:t xml:space="preserve"> </w:t>
      </w:r>
      <w:r w:rsidR="0092484E">
        <w:t xml:space="preserve"> A</w:t>
      </w:r>
      <w:r w:rsidR="0092484E" w:rsidRPr="0092484E">
        <w:t xml:space="preserve">ll 23 </w:t>
      </w:r>
      <w:r w:rsidR="0092484E">
        <w:t xml:space="preserve">PHAs </w:t>
      </w:r>
      <w:r w:rsidR="0092484E" w:rsidRPr="0092484E">
        <w:t xml:space="preserve">completed the </w:t>
      </w:r>
      <w:r w:rsidR="0092484E">
        <w:t xml:space="preserve">phase one </w:t>
      </w:r>
      <w:r w:rsidR="0092484E" w:rsidRPr="0092484E">
        <w:t xml:space="preserve">survey and only one did not complete the </w:t>
      </w:r>
      <w:r w:rsidR="0092484E">
        <w:t xml:space="preserve">phase one </w:t>
      </w:r>
      <w:r w:rsidR="0092484E" w:rsidRPr="0092484E">
        <w:t>interview</w:t>
      </w:r>
      <w:r w:rsidR="0092484E">
        <w:t>.</w:t>
      </w:r>
    </w:p>
    <w:p w14:paraId="37572FA9" w14:textId="77777777" w:rsidR="00EB4E44" w:rsidRDefault="00EB4E44" w:rsidP="00D1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CC3F1D" w14:textId="77777777" w:rsidR="00EB4E44" w:rsidRDefault="00103302"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Based on our prior experience with similar </w:t>
      </w:r>
      <w:r w:rsidR="0092484E">
        <w:t xml:space="preserve">low-income housing resident </w:t>
      </w:r>
      <w:r>
        <w:t xml:space="preserve">survey efforts, </w:t>
      </w:r>
      <w:r w:rsidR="00580567">
        <w:t>we</w:t>
      </w:r>
      <w:r w:rsidR="005D622F">
        <w:t xml:space="preserve"> expected that 20 percent of </w:t>
      </w:r>
      <w:r w:rsidR="0092484E">
        <w:t xml:space="preserve">the </w:t>
      </w:r>
      <w:r w:rsidR="005D622F">
        <w:t xml:space="preserve">residents contacted </w:t>
      </w:r>
      <w:r w:rsidR="0092484E">
        <w:t xml:space="preserve">for the RAD survey </w:t>
      </w:r>
      <w:r w:rsidR="00580567">
        <w:t xml:space="preserve">would </w:t>
      </w:r>
      <w:r w:rsidR="005D622F">
        <w:t xml:space="preserve">agree to enroll in the study, yielding a sample size of 400 for the resident survey. </w:t>
      </w:r>
      <w:r w:rsidR="00580567">
        <w:t>Enrollment across 19 properties has resulted in 512 enrollments in 1,669 units attempted.</w:t>
      </w:r>
      <w:r w:rsidR="005D622F">
        <w:t xml:space="preserve"> </w:t>
      </w:r>
      <w:r w:rsidR="00F158B0">
        <w:t>See T</w:t>
      </w:r>
      <w:r w:rsidR="005D622F">
        <w:t xml:space="preserve">able </w:t>
      </w:r>
      <w:r w:rsidR="00F158B0">
        <w:t>1</w:t>
      </w:r>
      <w:r w:rsidR="00F47B87">
        <w:t>1</w:t>
      </w:r>
      <w:r w:rsidR="00F158B0">
        <w:t xml:space="preserve"> </w:t>
      </w:r>
      <w:r w:rsidR="005D622F">
        <w:t xml:space="preserve">below.  </w:t>
      </w:r>
      <w:r w:rsidR="00EB4E44" w:rsidRPr="00F80ADC">
        <w:t xml:space="preserve">Analysis by specific </w:t>
      </w:r>
      <w:r w:rsidR="00F929BD">
        <w:t xml:space="preserve">PHA </w:t>
      </w:r>
      <w:r w:rsidR="00EB4E44" w:rsidRPr="00F80ADC">
        <w:t>is not anticipated, but subgroups for analyses would include region</w:t>
      </w:r>
      <w:r w:rsidR="00F929BD">
        <w:t>,</w:t>
      </w:r>
      <w:r w:rsidR="00EB4E44" w:rsidRPr="00F80ADC">
        <w:t xml:space="preserve"> size of the </w:t>
      </w:r>
      <w:r w:rsidR="00F929BD">
        <w:t xml:space="preserve">PHA, </w:t>
      </w:r>
      <w:r w:rsidR="00EB4E44" w:rsidRPr="00F80ADC">
        <w:t>and household</w:t>
      </w:r>
      <w:r w:rsidR="00F929BD">
        <w:t>-head</w:t>
      </w:r>
      <w:r w:rsidR="00EB4E44" w:rsidRPr="00F80ADC">
        <w:t xml:space="preserve"> characteristics such as race and age (senior vs. non-senior).</w:t>
      </w:r>
    </w:p>
    <w:p w14:paraId="049DF16A" w14:textId="77777777" w:rsidR="005D622F" w:rsidRDefault="005D622F" w:rsidP="00770366">
      <w:pPr>
        <w:rPr>
          <w:b/>
        </w:rPr>
      </w:pPr>
    </w:p>
    <w:p w14:paraId="3A4313A0" w14:textId="77777777" w:rsidR="00EF6138" w:rsidRPr="00F929BD" w:rsidRDefault="00F158B0" w:rsidP="00F929BD">
      <w:pPr>
        <w:spacing w:after="120"/>
        <w:rPr>
          <w:rFonts w:ascii="Arial" w:hAnsi="Arial" w:cs="Arial"/>
          <w:b/>
          <w:szCs w:val="20"/>
        </w:rPr>
      </w:pPr>
      <w:r>
        <w:rPr>
          <w:rFonts w:ascii="Arial" w:hAnsi="Arial" w:cs="Arial"/>
          <w:b/>
          <w:szCs w:val="20"/>
        </w:rPr>
        <w:t xml:space="preserve">Table </w:t>
      </w:r>
      <w:r w:rsidR="00770366">
        <w:rPr>
          <w:rFonts w:ascii="Arial" w:hAnsi="Arial" w:cs="Arial"/>
          <w:b/>
          <w:szCs w:val="20"/>
        </w:rPr>
        <w:t>1</w:t>
      </w:r>
      <w:r w:rsidR="00F47B87">
        <w:rPr>
          <w:rFonts w:ascii="Arial" w:hAnsi="Arial" w:cs="Arial"/>
          <w:b/>
          <w:szCs w:val="20"/>
        </w:rPr>
        <w:t>1</w:t>
      </w:r>
      <w:r w:rsidR="00F929BD">
        <w:rPr>
          <w:rFonts w:ascii="Arial" w:hAnsi="Arial" w:cs="Arial"/>
          <w:b/>
          <w:szCs w:val="20"/>
        </w:rPr>
        <w:t>. Resident Impact Survey</w:t>
      </w:r>
    </w:p>
    <w:tbl>
      <w:tblPr>
        <w:tblStyle w:val="TableGrid"/>
        <w:tblW w:w="0" w:type="auto"/>
        <w:tblLook w:val="04A0" w:firstRow="1" w:lastRow="0" w:firstColumn="1" w:lastColumn="0" w:noHBand="0" w:noVBand="1"/>
      </w:tblPr>
      <w:tblGrid>
        <w:gridCol w:w="4793"/>
        <w:gridCol w:w="2160"/>
      </w:tblGrid>
      <w:tr w:rsidR="005D622F" w14:paraId="6E6990F4" w14:textId="77777777" w:rsidTr="007113B4">
        <w:tc>
          <w:tcPr>
            <w:tcW w:w="4793" w:type="dxa"/>
          </w:tcPr>
          <w:p w14:paraId="3A54A9BB" w14:textId="77777777" w:rsidR="005D622F" w:rsidRPr="00310C79" w:rsidRDefault="005D622F" w:rsidP="00770366">
            <w:r w:rsidRPr="00310C79">
              <w:t xml:space="preserve">Estimated </w:t>
            </w:r>
            <w:r>
              <w:t>number of units in property sample</w:t>
            </w:r>
          </w:p>
        </w:tc>
        <w:tc>
          <w:tcPr>
            <w:tcW w:w="2160" w:type="dxa"/>
          </w:tcPr>
          <w:p w14:paraId="5D004525" w14:textId="77777777" w:rsidR="005D622F" w:rsidRPr="00310C79" w:rsidRDefault="00580567" w:rsidP="00580567">
            <w:r>
              <w:t>3,011</w:t>
            </w:r>
          </w:p>
        </w:tc>
      </w:tr>
      <w:tr w:rsidR="005D622F" w14:paraId="562212EE" w14:textId="77777777" w:rsidTr="007113B4">
        <w:tc>
          <w:tcPr>
            <w:tcW w:w="4793" w:type="dxa"/>
          </w:tcPr>
          <w:p w14:paraId="62EACBC9" w14:textId="77777777" w:rsidR="005D622F" w:rsidRPr="00310C79" w:rsidRDefault="005D622F" w:rsidP="00770366">
            <w:r>
              <w:t>Number of units sampled for enrollment</w:t>
            </w:r>
          </w:p>
        </w:tc>
        <w:tc>
          <w:tcPr>
            <w:tcW w:w="2160" w:type="dxa"/>
          </w:tcPr>
          <w:p w14:paraId="6498D4A1" w14:textId="77777777" w:rsidR="005D622F" w:rsidRPr="00310C79" w:rsidRDefault="00580567" w:rsidP="00770366">
            <w:r>
              <w:t>1,669</w:t>
            </w:r>
          </w:p>
        </w:tc>
      </w:tr>
      <w:tr w:rsidR="005D622F" w14:paraId="2DBEFB01" w14:textId="77777777" w:rsidTr="007113B4">
        <w:tc>
          <w:tcPr>
            <w:tcW w:w="4793" w:type="dxa"/>
          </w:tcPr>
          <w:p w14:paraId="743D2A9F" w14:textId="77777777" w:rsidR="005D622F" w:rsidRPr="00310C79" w:rsidRDefault="005D622F" w:rsidP="00770366">
            <w:r>
              <w:t>Number of residents enrolled</w:t>
            </w:r>
          </w:p>
        </w:tc>
        <w:tc>
          <w:tcPr>
            <w:tcW w:w="2160" w:type="dxa"/>
          </w:tcPr>
          <w:p w14:paraId="699900C2" w14:textId="31C70E30" w:rsidR="005D622F" w:rsidRPr="00310C79" w:rsidRDefault="00580567" w:rsidP="00770366">
            <w:r>
              <w:t>512</w:t>
            </w:r>
          </w:p>
        </w:tc>
      </w:tr>
      <w:tr w:rsidR="0094777F" w14:paraId="7FBB5020" w14:textId="77777777" w:rsidTr="007113B4">
        <w:tc>
          <w:tcPr>
            <w:tcW w:w="4788" w:type="dxa"/>
          </w:tcPr>
          <w:p w14:paraId="5C396786" w14:textId="77777777" w:rsidR="0094777F" w:rsidRDefault="0094777F" w:rsidP="00770366">
            <w:r>
              <w:t>Number of residents expected to complete survey</w:t>
            </w:r>
          </w:p>
        </w:tc>
        <w:tc>
          <w:tcPr>
            <w:tcW w:w="2160" w:type="dxa"/>
          </w:tcPr>
          <w:p w14:paraId="21456EE0" w14:textId="77777777" w:rsidR="0094777F" w:rsidRDefault="0094777F" w:rsidP="00770366">
            <w:r>
              <w:t>400</w:t>
            </w:r>
          </w:p>
        </w:tc>
      </w:tr>
    </w:tbl>
    <w:p w14:paraId="12B017C1" w14:textId="77777777" w:rsidR="005D622F" w:rsidRDefault="005D622F" w:rsidP="00770366">
      <w:pPr>
        <w:rPr>
          <w:b/>
        </w:rPr>
      </w:pPr>
    </w:p>
    <w:p w14:paraId="088BF80C" w14:textId="4FFDEA23" w:rsidR="00860AFB" w:rsidRDefault="001D5608" w:rsidP="00770366">
      <w:pPr>
        <w:rPr>
          <w:b/>
        </w:rPr>
      </w:pPr>
      <w:r w:rsidRPr="001D5608">
        <w:t>We anticipate a response rate</w:t>
      </w:r>
      <w:r>
        <w:t xml:space="preserve"> of </w:t>
      </w:r>
      <w:r w:rsidR="0094777F">
        <w:t xml:space="preserve">nearly </w:t>
      </w:r>
      <w:r>
        <w:t>80 percent</w:t>
      </w:r>
      <w:r w:rsidRPr="001D5608">
        <w:t xml:space="preserve"> for the</w:t>
      </w:r>
      <w:r>
        <w:t xml:space="preserve"> resident</w:t>
      </w:r>
      <w:r w:rsidRPr="001D5608">
        <w:t xml:space="preserve"> survey by virtue of planned tracking efforts and having already obtained consent to participate at the time of enrollment.</w:t>
      </w:r>
      <w:r>
        <w:t xml:space="preserve"> Enrolled resident</w:t>
      </w:r>
      <w:r w:rsidR="005260D9">
        <w:t>s</w:t>
      </w:r>
      <w:r>
        <w:t xml:space="preserve"> </w:t>
      </w:r>
      <w:r w:rsidRPr="001D5608">
        <w:t xml:space="preserve">have filled out forms providing complete contact information—including phone numbers—and granting consent for inclusion in the study. They </w:t>
      </w:r>
      <w:r>
        <w:t>have</w:t>
      </w:r>
      <w:r w:rsidRPr="001D5608">
        <w:t xml:space="preserve"> receive</w:t>
      </w:r>
      <w:r>
        <w:t>d</w:t>
      </w:r>
      <w:r w:rsidRPr="001D5608">
        <w:t xml:space="preserve"> a round of reminder postcards</w:t>
      </w:r>
      <w:r>
        <w:t xml:space="preserve"> since enrolling.</w:t>
      </w:r>
    </w:p>
    <w:p w14:paraId="4F5EA126" w14:textId="77777777" w:rsidR="00860AFB" w:rsidRDefault="00860AFB" w:rsidP="00770366">
      <w:pPr>
        <w:rPr>
          <w:b/>
        </w:rPr>
      </w:pPr>
    </w:p>
    <w:p w14:paraId="7C590F29" w14:textId="77777777" w:rsidR="00EB4E44" w:rsidRPr="000316EC" w:rsidRDefault="00EB4E44" w:rsidP="00770366">
      <w:pPr>
        <w:rPr>
          <w:b/>
        </w:rPr>
      </w:pPr>
      <w:r w:rsidRPr="000316EC">
        <w:rPr>
          <w:b/>
        </w:rPr>
        <w:t>Previously Conducted Collection</w:t>
      </w:r>
    </w:p>
    <w:p w14:paraId="7FA7885C" w14:textId="77777777" w:rsidR="00EB4E44" w:rsidRDefault="00EB4E44"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2723FC" w14:textId="77777777" w:rsidR="00EB4E44" w:rsidRDefault="00CF302F"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survey and interview has already </w:t>
      </w:r>
      <w:r w:rsidR="00EB4E44">
        <w:t xml:space="preserve">been collected </w:t>
      </w:r>
      <w:r>
        <w:t xml:space="preserve">from </w:t>
      </w:r>
      <w:r w:rsidR="00EB4E44">
        <w:t xml:space="preserve">the RAD </w:t>
      </w:r>
      <w:r>
        <w:t xml:space="preserve">PHAs during phase one of the study.  </w:t>
      </w:r>
      <w:r w:rsidR="00D91B8A">
        <w:t>Due to the timing of that data collection, PHAs were not able to provide answers to questions regarding the post-conversion impacts of RAD on their operations or projects.  T</w:t>
      </w:r>
      <w:r w:rsidR="00EB4E44">
        <w:t xml:space="preserve">he questions in the proposed </w:t>
      </w:r>
      <w:r w:rsidR="00D91B8A">
        <w:t xml:space="preserve">interview </w:t>
      </w:r>
      <w:r w:rsidR="00EB4E44">
        <w:t xml:space="preserve">will </w:t>
      </w:r>
      <w:r w:rsidR="00D91B8A">
        <w:t xml:space="preserve">fill in this gap in the data and will not </w:t>
      </w:r>
      <w:r w:rsidR="00697A2A">
        <w:t xml:space="preserve">duplicate </w:t>
      </w:r>
      <w:r w:rsidR="00EB4E44">
        <w:t>information</w:t>
      </w:r>
      <w:r w:rsidR="00D91B8A">
        <w:t xml:space="preserve"> that HUD has already collected</w:t>
      </w:r>
      <w:r w:rsidR="00EB4E44">
        <w:t>.</w:t>
      </w:r>
      <w:r w:rsidR="00D91B8A">
        <w:t xml:space="preserve">  </w:t>
      </w:r>
    </w:p>
    <w:p w14:paraId="4D9C7069" w14:textId="77777777" w:rsidR="00D91B8A" w:rsidRDefault="00D91B8A"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913B46" w14:textId="426418E6" w:rsidR="00D91B8A" w:rsidRDefault="00D91B8A"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Residents have been contacted to enroll in this study but no survey data has been collected</w:t>
      </w:r>
      <w:r w:rsidR="00003D0F">
        <w:t>.</w:t>
      </w:r>
      <w:r>
        <w:t xml:space="preserve">  </w:t>
      </w:r>
      <w:r w:rsidR="00003D0F">
        <w:t>T</w:t>
      </w:r>
      <w:r>
        <w:t>he purpose of the proposed survey</w:t>
      </w:r>
      <w:r w:rsidR="00003D0F">
        <w:t xml:space="preserve"> is to measure the impact of RAD on their living condition</w:t>
      </w:r>
      <w:r w:rsidR="007113B4">
        <w:t>s</w:t>
      </w:r>
      <w:r>
        <w:t>.</w:t>
      </w:r>
    </w:p>
    <w:p w14:paraId="2F9B98B7" w14:textId="77777777" w:rsidR="007F4005" w:rsidRDefault="007F4005" w:rsidP="00770366">
      <w:pPr>
        <w:rPr>
          <w:szCs w:val="20"/>
        </w:rPr>
      </w:pPr>
    </w:p>
    <w:p w14:paraId="7F3E655D" w14:textId="77777777" w:rsidR="007F4005" w:rsidRPr="004D5244" w:rsidRDefault="007F4005" w:rsidP="00770366">
      <w:pPr>
        <w:numPr>
          <w:ilvl w:val="0"/>
          <w:numId w:val="3"/>
        </w:numPr>
        <w:ind w:left="360"/>
        <w:rPr>
          <w:b/>
          <w:bCs/>
          <w:u w:val="single"/>
        </w:rPr>
      </w:pPr>
      <w:r w:rsidRPr="004D5244">
        <w:rPr>
          <w:b/>
          <w:bCs/>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17C3AC87"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BE87BE" w14:textId="77777777" w:rsidR="007F4005" w:rsidRDefault="007F4005" w:rsidP="00770366">
      <w:pPr>
        <w:numPr>
          <w:ilvl w:val="1"/>
          <w:numId w:val="4"/>
        </w:numPr>
        <w:ind w:left="1080"/>
      </w:pPr>
      <w:r>
        <w:rPr>
          <w:b/>
        </w:rPr>
        <w:t>Sample Selection Method</w:t>
      </w:r>
    </w:p>
    <w:p w14:paraId="506A4F8D"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7AB1A9" w14:textId="77777777" w:rsidR="007F4005" w:rsidRPr="00816CA4" w:rsidRDefault="007F4005" w:rsidP="00770366">
      <w:pPr>
        <w:rPr>
          <w:rFonts w:eastAsia="Calibri"/>
        </w:rPr>
      </w:pPr>
      <w:r w:rsidRPr="00816CA4">
        <w:rPr>
          <w:rFonts w:eastAsia="Calibri"/>
        </w:rPr>
        <w:t xml:space="preserve">To select </w:t>
      </w:r>
      <w:r>
        <w:rPr>
          <w:rFonts w:eastAsia="Calibri"/>
        </w:rPr>
        <w:t xml:space="preserve">the </w:t>
      </w:r>
      <w:r w:rsidRPr="00816CA4">
        <w:rPr>
          <w:rFonts w:eastAsia="Calibri"/>
        </w:rPr>
        <w:t xml:space="preserve">RAD properties for the study, we </w:t>
      </w:r>
      <w:r>
        <w:rPr>
          <w:rFonts w:eastAsia="Calibri"/>
        </w:rPr>
        <w:t>stratified</w:t>
      </w:r>
      <w:r w:rsidRPr="00816CA4">
        <w:rPr>
          <w:rFonts w:eastAsia="Calibri"/>
        </w:rPr>
        <w:t xml:space="preserve"> </w:t>
      </w:r>
      <w:r>
        <w:rPr>
          <w:rFonts w:eastAsia="Calibri"/>
        </w:rPr>
        <w:t xml:space="preserve">the RAD universe </w:t>
      </w:r>
      <w:r w:rsidRPr="00816CA4">
        <w:rPr>
          <w:rFonts w:eastAsia="Calibri"/>
        </w:rPr>
        <w:t xml:space="preserve">on two variables: PHA size and latest available </w:t>
      </w:r>
      <w:r>
        <w:rPr>
          <w:rFonts w:eastAsia="Calibri"/>
        </w:rPr>
        <w:t xml:space="preserve">inspection </w:t>
      </w:r>
      <w:r w:rsidRPr="00816CA4">
        <w:rPr>
          <w:rFonts w:eastAsia="Calibri"/>
        </w:rPr>
        <w:t>score issued by the Real Estate Assessment Center (REAC) under the physical condition indicator of the Public Housing Assessment System (PHAS).</w:t>
      </w:r>
      <w:r w:rsidR="00EB4E44">
        <w:rPr>
          <w:rFonts w:eastAsia="Calibri"/>
        </w:rPr>
        <w:t xml:space="preserve">  </w:t>
      </w:r>
      <w:r w:rsidRPr="00816CA4">
        <w:rPr>
          <w:rFonts w:eastAsia="Calibri"/>
        </w:rPr>
        <w:t>PHA</w:t>
      </w:r>
      <w:r>
        <w:rPr>
          <w:rFonts w:eastAsia="Calibri"/>
        </w:rPr>
        <w:t>s</w:t>
      </w:r>
      <w:r w:rsidRPr="00816CA4">
        <w:rPr>
          <w:rFonts w:eastAsia="Calibri"/>
        </w:rPr>
        <w:t xml:space="preserve"> can </w:t>
      </w:r>
      <w:r>
        <w:rPr>
          <w:rFonts w:eastAsia="Calibri"/>
        </w:rPr>
        <w:t xml:space="preserve">be classified as </w:t>
      </w:r>
      <w:r w:rsidRPr="00816CA4">
        <w:rPr>
          <w:rFonts w:eastAsia="Calibri"/>
        </w:rPr>
        <w:t>either large, medium, or small. The PHAS/</w:t>
      </w:r>
      <w:r w:rsidRPr="007113B4">
        <w:rPr>
          <w:rFonts w:eastAsia="Calibri"/>
        </w:rPr>
        <w:t>Uniform Physical Condition Standards (</w:t>
      </w:r>
      <w:r w:rsidRPr="00816CA4">
        <w:rPr>
          <w:rFonts w:eastAsia="Calibri"/>
        </w:rPr>
        <w:t xml:space="preserve">UPCS) scores range from 0 to 100. Based on the </w:t>
      </w:r>
      <w:r>
        <w:rPr>
          <w:rFonts w:eastAsia="Calibri"/>
        </w:rPr>
        <w:t xml:space="preserve">inspection </w:t>
      </w:r>
      <w:r w:rsidRPr="00816CA4">
        <w:rPr>
          <w:rFonts w:eastAsia="Calibri"/>
        </w:rPr>
        <w:t xml:space="preserve">scores, we </w:t>
      </w:r>
      <w:r>
        <w:rPr>
          <w:rFonts w:eastAsia="Calibri"/>
        </w:rPr>
        <w:t>grouped</w:t>
      </w:r>
      <w:r w:rsidRPr="00816CA4">
        <w:rPr>
          <w:rFonts w:eastAsia="Calibri"/>
        </w:rPr>
        <w:t xml:space="preserve"> the PHAs into three mutually exclusive categories: 90 to 100, high performers; 70 to 89, standard performers (medium); and below 70, substandard or troubled (low).</w:t>
      </w:r>
    </w:p>
    <w:p w14:paraId="12FE6748"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CCE230" w14:textId="77777777" w:rsidR="000373D5" w:rsidRDefault="000373D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73D5">
        <w:t xml:space="preserve">We calculated the sample size in each group as the percentage of the size of the group relative to the population as a whole multiplied by the total sample size of 24 projects. The number of projects in each group reflected this proportion after allowing for a minimum of one property in each group if one were available. As with the sampling universe, the last stratum of our sample (substandard or troubled performers in small PHAs) contained zero projects. The result is a sample that is broadly representative of RAD projects that have closed or that were expected to close during phase </w:t>
      </w:r>
      <w:r>
        <w:t xml:space="preserve">one </w:t>
      </w:r>
      <w:r w:rsidRPr="000373D5">
        <w:t>of the evaluation.</w:t>
      </w:r>
    </w:p>
    <w:p w14:paraId="030E2BA6" w14:textId="77777777" w:rsidR="000373D5" w:rsidRDefault="000373D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9B5D6F" w14:textId="136B1386" w:rsidR="007113B4" w:rsidRDefault="00A06540"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Interviews will be conducted by two Econometrica, Inc team members. The interviews will be conducted over the phone. At the onset, the PHA will be asked for permission to record the interview for accuracy purposes. It is at the discretion of each PHA as to whether or not the interview is recorded. </w:t>
      </w:r>
    </w:p>
    <w:p w14:paraId="51AD3B79" w14:textId="2C18D141" w:rsidR="007F4005" w:rsidRDefault="007F4005" w:rsidP="00770366">
      <w:pPr>
        <w:rPr>
          <w:szCs w:val="20"/>
        </w:rPr>
      </w:pPr>
      <w:r>
        <w:rPr>
          <w:szCs w:val="20"/>
        </w:rPr>
        <w:t xml:space="preserve">Table </w:t>
      </w:r>
      <w:r w:rsidR="00F158B0">
        <w:rPr>
          <w:szCs w:val="20"/>
        </w:rPr>
        <w:t>1</w:t>
      </w:r>
      <w:r w:rsidR="00F47B87">
        <w:rPr>
          <w:szCs w:val="20"/>
        </w:rPr>
        <w:t>2</w:t>
      </w:r>
      <w:r>
        <w:rPr>
          <w:szCs w:val="20"/>
        </w:rPr>
        <w:t xml:space="preserve"> depicts the sample of 24 RAD properties based on the stratification criteria.</w:t>
      </w:r>
      <w:r w:rsidR="00301247">
        <w:rPr>
          <w:szCs w:val="20"/>
        </w:rPr>
        <w:t xml:space="preserve"> These 24 properties are utilized </w:t>
      </w:r>
      <w:r w:rsidR="00D70BE0">
        <w:rPr>
          <w:szCs w:val="20"/>
        </w:rPr>
        <w:t>for the</w:t>
      </w:r>
      <w:r w:rsidR="00301247">
        <w:rPr>
          <w:szCs w:val="20"/>
        </w:rPr>
        <w:t xml:space="preserve"> PHA Interview Sample. </w:t>
      </w:r>
    </w:p>
    <w:p w14:paraId="7DCF6553" w14:textId="77777777" w:rsidR="007F4005" w:rsidRDefault="007F4005" w:rsidP="00770366">
      <w:pPr>
        <w:rPr>
          <w:szCs w:val="20"/>
        </w:rPr>
      </w:pPr>
    </w:p>
    <w:p w14:paraId="186F263A" w14:textId="77777777" w:rsidR="007F4005" w:rsidRDefault="007F4005" w:rsidP="00770366">
      <w:pPr>
        <w:rPr>
          <w:rFonts w:ascii="Arial" w:hAnsi="Arial" w:cs="Arial"/>
          <w:b/>
          <w:szCs w:val="20"/>
        </w:rPr>
      </w:pPr>
      <w:r>
        <w:rPr>
          <w:rFonts w:ascii="Arial" w:hAnsi="Arial" w:cs="Arial"/>
          <w:b/>
          <w:szCs w:val="20"/>
        </w:rPr>
        <w:t xml:space="preserve">Table </w:t>
      </w:r>
      <w:r w:rsidR="00770366">
        <w:rPr>
          <w:rFonts w:ascii="Arial" w:hAnsi="Arial" w:cs="Arial"/>
          <w:b/>
          <w:szCs w:val="20"/>
        </w:rPr>
        <w:t>1</w:t>
      </w:r>
      <w:r w:rsidR="00F47B87">
        <w:rPr>
          <w:rFonts w:ascii="Arial" w:hAnsi="Arial" w:cs="Arial"/>
          <w:b/>
          <w:szCs w:val="20"/>
        </w:rPr>
        <w:t>2</w:t>
      </w:r>
      <w:r>
        <w:rPr>
          <w:rFonts w:ascii="Arial" w:hAnsi="Arial" w:cs="Arial"/>
          <w:b/>
          <w:szCs w:val="20"/>
        </w:rPr>
        <w:t xml:space="preserve">. </w:t>
      </w:r>
      <w:r w:rsidRPr="00C108F6">
        <w:rPr>
          <w:rFonts w:ascii="Arial" w:hAnsi="Arial" w:cs="Arial"/>
          <w:b/>
          <w:szCs w:val="20"/>
        </w:rPr>
        <w:t>Percent</w:t>
      </w:r>
      <w:r>
        <w:rPr>
          <w:rFonts w:ascii="Arial" w:hAnsi="Arial" w:cs="Arial"/>
          <w:b/>
          <w:szCs w:val="20"/>
        </w:rPr>
        <w:t>age</w:t>
      </w:r>
      <w:r w:rsidRPr="00C108F6">
        <w:rPr>
          <w:rFonts w:ascii="Arial" w:hAnsi="Arial" w:cs="Arial"/>
          <w:b/>
          <w:szCs w:val="20"/>
        </w:rPr>
        <w:t xml:space="preserve"> of</w:t>
      </w:r>
      <w:r w:rsidRPr="00331B87">
        <w:rPr>
          <w:rFonts w:ascii="Arial" w:hAnsi="Arial" w:cs="Arial"/>
          <w:b/>
          <w:szCs w:val="20"/>
        </w:rPr>
        <w:t xml:space="preserve"> Properties in the Subgroup and </w:t>
      </w:r>
      <w:r w:rsidRPr="00C108F6">
        <w:rPr>
          <w:rFonts w:ascii="Arial" w:hAnsi="Arial" w:cs="Arial"/>
          <w:b/>
          <w:szCs w:val="20"/>
        </w:rPr>
        <w:t xml:space="preserve">Number </w:t>
      </w:r>
      <w:r w:rsidRPr="00331B87">
        <w:rPr>
          <w:rFonts w:ascii="Arial" w:hAnsi="Arial" w:cs="Arial"/>
          <w:b/>
          <w:szCs w:val="20"/>
        </w:rPr>
        <w:t xml:space="preserve">to </w:t>
      </w:r>
      <w:r>
        <w:rPr>
          <w:rFonts w:ascii="Arial" w:hAnsi="Arial" w:cs="Arial"/>
          <w:b/>
          <w:szCs w:val="20"/>
        </w:rPr>
        <w:t>B</w:t>
      </w:r>
      <w:r w:rsidRPr="00331B87">
        <w:rPr>
          <w:rFonts w:ascii="Arial" w:hAnsi="Arial" w:cs="Arial"/>
          <w:b/>
          <w:szCs w:val="20"/>
        </w:rPr>
        <w:t xml:space="preserve">e </w:t>
      </w:r>
      <w:r w:rsidRPr="00C108F6">
        <w:rPr>
          <w:rFonts w:ascii="Arial" w:hAnsi="Arial" w:cs="Arial"/>
          <w:b/>
          <w:szCs w:val="20"/>
        </w:rPr>
        <w:t xml:space="preserve">Selected </w:t>
      </w:r>
      <w:r w:rsidRPr="00331B87">
        <w:rPr>
          <w:rFonts w:ascii="Arial" w:hAnsi="Arial" w:cs="Arial"/>
          <w:b/>
          <w:szCs w:val="20"/>
        </w:rPr>
        <w:t xml:space="preserve">From </w:t>
      </w:r>
      <w:r w:rsidRPr="00C108F6">
        <w:rPr>
          <w:rFonts w:ascii="Arial" w:hAnsi="Arial" w:cs="Arial"/>
          <w:b/>
          <w:szCs w:val="20"/>
        </w:rPr>
        <w:t>Each Subgroup</w:t>
      </w:r>
      <w:r w:rsidR="00BA1AB5">
        <w:rPr>
          <w:rFonts w:ascii="Arial" w:hAnsi="Arial" w:cs="Arial"/>
          <w:b/>
          <w:szCs w:val="20"/>
        </w:rPr>
        <w:t xml:space="preserve"> for RAD Sample</w:t>
      </w:r>
    </w:p>
    <w:p w14:paraId="7B1A4952" w14:textId="77777777" w:rsidR="00EF6138" w:rsidRPr="0017309F" w:rsidRDefault="00EF6138" w:rsidP="00770366">
      <w:pPr>
        <w:rPr>
          <w:rFonts w:ascii="Arial" w:hAnsi="Arial" w:cs="Arial"/>
          <w:szCs w:val="20"/>
        </w:rPr>
      </w:pPr>
    </w:p>
    <w:tbl>
      <w:tblPr>
        <w:tblStyle w:val="EconometricaTableStyle"/>
        <w:tblW w:w="9488" w:type="dxa"/>
        <w:tblLayout w:type="fixed"/>
        <w:tblLook w:val="04E0" w:firstRow="1" w:lastRow="1" w:firstColumn="1" w:lastColumn="0" w:noHBand="0" w:noVBand="1"/>
      </w:tblPr>
      <w:tblGrid>
        <w:gridCol w:w="1356"/>
        <w:gridCol w:w="1356"/>
        <w:gridCol w:w="1356"/>
        <w:gridCol w:w="1355"/>
        <w:gridCol w:w="1355"/>
        <w:gridCol w:w="1355"/>
        <w:gridCol w:w="1355"/>
      </w:tblGrid>
      <w:tr w:rsidR="00B73421" w:rsidRPr="000373D5" w14:paraId="5F53F131" w14:textId="77777777" w:rsidTr="007113B4">
        <w:trPr>
          <w:cnfStyle w:val="100000000000" w:firstRow="1" w:lastRow="0" w:firstColumn="0" w:lastColumn="0" w:oddVBand="0" w:evenVBand="0" w:oddHBand="0" w:evenHBand="0" w:firstRowFirstColumn="0" w:firstRowLastColumn="0" w:lastRowFirstColumn="0" w:lastRowLastColumn="0"/>
        </w:trPr>
        <w:tc>
          <w:tcPr>
            <w:tcW w:w="0" w:type="dxa"/>
            <w:hideMark/>
          </w:tcPr>
          <w:p w14:paraId="3A7BCF38" w14:textId="77777777" w:rsidR="00B73421" w:rsidRPr="007113B4" w:rsidRDefault="00B73421" w:rsidP="00003D0F">
            <w:pPr>
              <w:rPr>
                <w:rFonts w:ascii="Arial" w:eastAsiaTheme="minorHAnsi" w:hAnsi="Arial"/>
              </w:rPr>
            </w:pPr>
            <w:r w:rsidRPr="007113B4">
              <w:rPr>
                <w:rFonts w:ascii="Arial" w:eastAsiaTheme="minorHAnsi" w:hAnsi="Arial"/>
              </w:rPr>
              <w:t>PHA Size</w:t>
            </w:r>
          </w:p>
        </w:tc>
        <w:tc>
          <w:tcPr>
            <w:tcW w:w="0" w:type="dxa"/>
            <w:hideMark/>
          </w:tcPr>
          <w:p w14:paraId="3AC957B5" w14:textId="77777777" w:rsidR="00B73421" w:rsidRPr="007113B4" w:rsidRDefault="00B73421" w:rsidP="00003D0F">
            <w:pPr>
              <w:rPr>
                <w:rFonts w:ascii="Arial" w:eastAsiaTheme="minorHAnsi" w:hAnsi="Arial"/>
              </w:rPr>
            </w:pPr>
            <w:r w:rsidRPr="007113B4">
              <w:rPr>
                <w:rFonts w:ascii="Arial" w:eastAsiaTheme="minorHAnsi" w:hAnsi="Arial"/>
              </w:rPr>
              <w:t>Strata</w:t>
            </w:r>
          </w:p>
        </w:tc>
        <w:tc>
          <w:tcPr>
            <w:tcW w:w="0" w:type="dxa"/>
            <w:hideMark/>
          </w:tcPr>
          <w:p w14:paraId="593695B7" w14:textId="77777777" w:rsidR="00B73421" w:rsidRPr="007113B4" w:rsidRDefault="00B73421" w:rsidP="00003D0F">
            <w:pPr>
              <w:rPr>
                <w:rFonts w:ascii="Arial" w:eastAsiaTheme="minorHAnsi" w:hAnsi="Arial"/>
              </w:rPr>
            </w:pPr>
            <w:r w:rsidRPr="007113B4">
              <w:rPr>
                <w:rFonts w:ascii="Arial" w:eastAsiaTheme="minorHAnsi" w:hAnsi="Arial"/>
              </w:rPr>
              <w:t>Project Performance</w:t>
            </w:r>
          </w:p>
        </w:tc>
        <w:tc>
          <w:tcPr>
            <w:tcW w:w="0" w:type="dxa"/>
            <w:hideMark/>
          </w:tcPr>
          <w:p w14:paraId="1E1A7AF4" w14:textId="77777777" w:rsidR="00B73421" w:rsidRPr="007113B4" w:rsidRDefault="00B73421" w:rsidP="00003D0F">
            <w:pPr>
              <w:rPr>
                <w:rFonts w:ascii="Arial" w:eastAsiaTheme="minorHAnsi" w:hAnsi="Arial"/>
              </w:rPr>
            </w:pPr>
            <w:r w:rsidRPr="007113B4">
              <w:rPr>
                <w:rFonts w:ascii="Arial" w:eastAsiaTheme="minorHAnsi" w:hAnsi="Arial"/>
              </w:rPr>
              <w:t>Number of Projects in Universe</w:t>
            </w:r>
          </w:p>
        </w:tc>
        <w:tc>
          <w:tcPr>
            <w:tcW w:w="0" w:type="dxa"/>
            <w:hideMark/>
          </w:tcPr>
          <w:p w14:paraId="78EBA493" w14:textId="77777777" w:rsidR="00B73421" w:rsidRPr="007113B4" w:rsidRDefault="00B73421" w:rsidP="00003D0F">
            <w:pPr>
              <w:rPr>
                <w:rFonts w:ascii="Arial" w:eastAsiaTheme="minorHAnsi" w:hAnsi="Arial"/>
              </w:rPr>
            </w:pPr>
            <w:r w:rsidRPr="007113B4">
              <w:rPr>
                <w:rFonts w:ascii="Arial" w:eastAsiaTheme="minorHAnsi" w:hAnsi="Arial"/>
              </w:rPr>
              <w:t>Percentage of Projects in Universe</w:t>
            </w:r>
          </w:p>
        </w:tc>
        <w:tc>
          <w:tcPr>
            <w:tcW w:w="0" w:type="dxa"/>
            <w:hideMark/>
          </w:tcPr>
          <w:p w14:paraId="0315959D" w14:textId="77777777" w:rsidR="00B73421" w:rsidRPr="007113B4" w:rsidRDefault="00B73421" w:rsidP="00003D0F">
            <w:pPr>
              <w:rPr>
                <w:rFonts w:ascii="Arial" w:eastAsiaTheme="minorHAnsi" w:hAnsi="Arial"/>
              </w:rPr>
            </w:pPr>
            <w:r w:rsidRPr="007113B4">
              <w:rPr>
                <w:rFonts w:ascii="Arial" w:eastAsiaTheme="minorHAnsi" w:hAnsi="Arial"/>
              </w:rPr>
              <w:t>Proportional Distribution of Sample</w:t>
            </w:r>
          </w:p>
        </w:tc>
        <w:tc>
          <w:tcPr>
            <w:tcW w:w="0" w:type="dxa"/>
            <w:hideMark/>
          </w:tcPr>
          <w:p w14:paraId="6E196566" w14:textId="77777777" w:rsidR="00B73421" w:rsidRPr="007113B4" w:rsidRDefault="00B73421" w:rsidP="00003D0F">
            <w:pPr>
              <w:rPr>
                <w:rFonts w:ascii="Arial" w:eastAsiaTheme="minorHAnsi" w:hAnsi="Arial"/>
              </w:rPr>
            </w:pPr>
            <w:r w:rsidRPr="007113B4">
              <w:rPr>
                <w:rFonts w:ascii="Arial" w:eastAsiaTheme="minorHAnsi" w:hAnsi="Arial"/>
              </w:rPr>
              <w:t>Number of Projects in Sample</w:t>
            </w:r>
          </w:p>
        </w:tc>
      </w:tr>
      <w:tr w:rsidR="007113B4" w:rsidRPr="000373D5" w14:paraId="06E846B7" w14:textId="77777777" w:rsidTr="007113B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258CE60"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Large</w:t>
            </w:r>
          </w:p>
        </w:tc>
        <w:tc>
          <w:tcPr>
            <w:tcW w:w="0" w:type="dxa"/>
            <w:noWrap/>
            <w:hideMark/>
          </w:tcPr>
          <w:p w14:paraId="13F21018"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1</w:t>
            </w:r>
          </w:p>
        </w:tc>
        <w:tc>
          <w:tcPr>
            <w:tcW w:w="0" w:type="dxa"/>
            <w:noWrap/>
            <w:hideMark/>
          </w:tcPr>
          <w:p w14:paraId="48602CAE"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High</w:t>
            </w:r>
          </w:p>
        </w:tc>
        <w:tc>
          <w:tcPr>
            <w:tcW w:w="0" w:type="dxa"/>
            <w:noWrap/>
            <w:hideMark/>
          </w:tcPr>
          <w:p w14:paraId="2C9EDF63"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9</w:t>
            </w:r>
          </w:p>
        </w:tc>
        <w:tc>
          <w:tcPr>
            <w:tcW w:w="0" w:type="dxa"/>
            <w:noWrap/>
            <w:hideMark/>
          </w:tcPr>
          <w:p w14:paraId="65EC9A13"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6.8%</w:t>
            </w:r>
          </w:p>
        </w:tc>
        <w:tc>
          <w:tcPr>
            <w:tcW w:w="0" w:type="dxa"/>
            <w:noWrap/>
            <w:hideMark/>
          </w:tcPr>
          <w:p w14:paraId="40DFC530"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1.64</w:t>
            </w:r>
          </w:p>
        </w:tc>
        <w:tc>
          <w:tcPr>
            <w:tcW w:w="0" w:type="dxa"/>
            <w:hideMark/>
          </w:tcPr>
          <w:p w14:paraId="639C86B2"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w:t>
            </w:r>
          </w:p>
        </w:tc>
      </w:tr>
      <w:tr w:rsidR="00B73421" w:rsidRPr="000373D5" w14:paraId="3267C280" w14:textId="77777777" w:rsidTr="007113B4">
        <w:tc>
          <w:tcPr>
            <w:tcW w:w="0" w:type="dxa"/>
            <w:tcBorders>
              <w:bottom w:val="single" w:sz="4" w:space="0" w:color="000075"/>
            </w:tcBorders>
            <w:noWrap/>
            <w:hideMark/>
          </w:tcPr>
          <w:p w14:paraId="17ED8B1D"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4" w:space="0" w:color="000075"/>
            </w:tcBorders>
            <w:noWrap/>
            <w:hideMark/>
          </w:tcPr>
          <w:p w14:paraId="0EFE8698"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2</w:t>
            </w:r>
          </w:p>
        </w:tc>
        <w:tc>
          <w:tcPr>
            <w:tcW w:w="0" w:type="dxa"/>
            <w:tcBorders>
              <w:bottom w:val="single" w:sz="4" w:space="0" w:color="000075"/>
            </w:tcBorders>
            <w:noWrap/>
            <w:hideMark/>
          </w:tcPr>
          <w:p w14:paraId="557E2B64"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Standard</w:t>
            </w:r>
          </w:p>
        </w:tc>
        <w:tc>
          <w:tcPr>
            <w:tcW w:w="0" w:type="dxa"/>
            <w:tcBorders>
              <w:bottom w:val="single" w:sz="4" w:space="0" w:color="000075"/>
            </w:tcBorders>
            <w:noWrap/>
            <w:hideMark/>
          </w:tcPr>
          <w:p w14:paraId="645381AE"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13</w:t>
            </w:r>
          </w:p>
        </w:tc>
        <w:tc>
          <w:tcPr>
            <w:tcW w:w="0" w:type="dxa"/>
            <w:tcBorders>
              <w:bottom w:val="single" w:sz="4" w:space="0" w:color="000075"/>
            </w:tcBorders>
            <w:noWrap/>
            <w:hideMark/>
          </w:tcPr>
          <w:p w14:paraId="72A2CEB1"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9.8%</w:t>
            </w:r>
          </w:p>
        </w:tc>
        <w:tc>
          <w:tcPr>
            <w:tcW w:w="0" w:type="dxa"/>
            <w:tcBorders>
              <w:bottom w:val="single" w:sz="4" w:space="0" w:color="000075"/>
            </w:tcBorders>
            <w:noWrap/>
            <w:hideMark/>
          </w:tcPr>
          <w:p w14:paraId="6AE05E60"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2.36</w:t>
            </w:r>
          </w:p>
        </w:tc>
        <w:tc>
          <w:tcPr>
            <w:tcW w:w="0" w:type="dxa"/>
            <w:tcBorders>
              <w:bottom w:val="single" w:sz="4" w:space="0" w:color="000075"/>
            </w:tcBorders>
            <w:hideMark/>
          </w:tcPr>
          <w:p w14:paraId="3C916F4D"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2</w:t>
            </w:r>
          </w:p>
        </w:tc>
      </w:tr>
      <w:tr w:rsidR="001C5EAC" w:rsidRPr="000373D5" w14:paraId="3A7045B3"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tcBorders>
              <w:bottom w:val="single" w:sz="12" w:space="0" w:color="000075"/>
            </w:tcBorders>
            <w:noWrap/>
            <w:hideMark/>
          </w:tcPr>
          <w:p w14:paraId="519D870F"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12" w:space="0" w:color="000075"/>
            </w:tcBorders>
            <w:noWrap/>
            <w:hideMark/>
          </w:tcPr>
          <w:p w14:paraId="23532D22"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3</w:t>
            </w:r>
          </w:p>
        </w:tc>
        <w:tc>
          <w:tcPr>
            <w:tcW w:w="0" w:type="dxa"/>
            <w:tcBorders>
              <w:bottom w:val="single" w:sz="12" w:space="0" w:color="000075"/>
            </w:tcBorders>
            <w:noWrap/>
            <w:hideMark/>
          </w:tcPr>
          <w:p w14:paraId="48F72D4B"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Substandard</w:t>
            </w:r>
          </w:p>
        </w:tc>
        <w:tc>
          <w:tcPr>
            <w:tcW w:w="0" w:type="dxa"/>
            <w:tcBorders>
              <w:bottom w:val="single" w:sz="12" w:space="0" w:color="000075"/>
            </w:tcBorders>
            <w:noWrap/>
            <w:hideMark/>
          </w:tcPr>
          <w:p w14:paraId="4D917C13"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2</w:t>
            </w:r>
          </w:p>
        </w:tc>
        <w:tc>
          <w:tcPr>
            <w:tcW w:w="0" w:type="dxa"/>
            <w:tcBorders>
              <w:bottom w:val="single" w:sz="12" w:space="0" w:color="000075"/>
            </w:tcBorders>
            <w:noWrap/>
            <w:hideMark/>
          </w:tcPr>
          <w:p w14:paraId="6151B8F8"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1.5%</w:t>
            </w:r>
          </w:p>
        </w:tc>
        <w:tc>
          <w:tcPr>
            <w:tcW w:w="0" w:type="dxa"/>
            <w:tcBorders>
              <w:bottom w:val="single" w:sz="12" w:space="0" w:color="000075"/>
            </w:tcBorders>
            <w:noWrap/>
            <w:hideMark/>
          </w:tcPr>
          <w:p w14:paraId="1731FAA8"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0.36</w:t>
            </w:r>
          </w:p>
        </w:tc>
        <w:tc>
          <w:tcPr>
            <w:tcW w:w="0" w:type="dxa"/>
            <w:tcBorders>
              <w:bottom w:val="single" w:sz="12" w:space="0" w:color="000075"/>
            </w:tcBorders>
            <w:hideMark/>
          </w:tcPr>
          <w:p w14:paraId="7369BC78"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w:t>
            </w:r>
          </w:p>
        </w:tc>
      </w:tr>
      <w:tr w:rsidR="00B73421" w:rsidRPr="000373D5" w14:paraId="70AECB0D" w14:textId="77777777" w:rsidTr="007113B4">
        <w:tc>
          <w:tcPr>
            <w:tcW w:w="0" w:type="dxa"/>
            <w:tcBorders>
              <w:top w:val="single" w:sz="12" w:space="0" w:color="000075"/>
            </w:tcBorders>
            <w:noWrap/>
            <w:hideMark/>
          </w:tcPr>
          <w:p w14:paraId="002EB27B"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Medium</w:t>
            </w:r>
          </w:p>
        </w:tc>
        <w:tc>
          <w:tcPr>
            <w:tcW w:w="0" w:type="dxa"/>
            <w:tcBorders>
              <w:top w:val="single" w:sz="12" w:space="0" w:color="000075"/>
            </w:tcBorders>
            <w:noWrap/>
            <w:hideMark/>
          </w:tcPr>
          <w:p w14:paraId="1A81D2FB"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4</w:t>
            </w:r>
          </w:p>
        </w:tc>
        <w:tc>
          <w:tcPr>
            <w:tcW w:w="0" w:type="dxa"/>
            <w:tcBorders>
              <w:top w:val="single" w:sz="12" w:space="0" w:color="000075"/>
            </w:tcBorders>
            <w:noWrap/>
            <w:hideMark/>
          </w:tcPr>
          <w:p w14:paraId="0187A6CE"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High</w:t>
            </w:r>
          </w:p>
        </w:tc>
        <w:tc>
          <w:tcPr>
            <w:tcW w:w="0" w:type="dxa"/>
            <w:tcBorders>
              <w:top w:val="single" w:sz="12" w:space="0" w:color="000075"/>
            </w:tcBorders>
            <w:noWrap/>
            <w:hideMark/>
          </w:tcPr>
          <w:p w14:paraId="4C16D07C"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34</w:t>
            </w:r>
          </w:p>
        </w:tc>
        <w:tc>
          <w:tcPr>
            <w:tcW w:w="0" w:type="dxa"/>
            <w:tcBorders>
              <w:top w:val="single" w:sz="12" w:space="0" w:color="000075"/>
            </w:tcBorders>
            <w:noWrap/>
            <w:hideMark/>
          </w:tcPr>
          <w:p w14:paraId="2248F20F"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25.8%</w:t>
            </w:r>
          </w:p>
        </w:tc>
        <w:tc>
          <w:tcPr>
            <w:tcW w:w="0" w:type="dxa"/>
            <w:tcBorders>
              <w:top w:val="single" w:sz="12" w:space="0" w:color="000075"/>
            </w:tcBorders>
            <w:noWrap/>
            <w:hideMark/>
          </w:tcPr>
          <w:p w14:paraId="637AE5C4"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6.18</w:t>
            </w:r>
          </w:p>
        </w:tc>
        <w:tc>
          <w:tcPr>
            <w:tcW w:w="0" w:type="dxa"/>
            <w:tcBorders>
              <w:top w:val="single" w:sz="12" w:space="0" w:color="000075"/>
            </w:tcBorders>
            <w:hideMark/>
          </w:tcPr>
          <w:p w14:paraId="7CCD7281"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6</w:t>
            </w:r>
          </w:p>
        </w:tc>
      </w:tr>
      <w:tr w:rsidR="001C5EAC" w:rsidRPr="000373D5" w14:paraId="01AA95C2"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tcBorders>
              <w:bottom w:val="single" w:sz="4" w:space="0" w:color="000075"/>
            </w:tcBorders>
            <w:noWrap/>
            <w:hideMark/>
          </w:tcPr>
          <w:p w14:paraId="7CB0AC3A"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4" w:space="0" w:color="000075"/>
            </w:tcBorders>
            <w:noWrap/>
            <w:hideMark/>
          </w:tcPr>
          <w:p w14:paraId="20CC2CAD"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5</w:t>
            </w:r>
          </w:p>
        </w:tc>
        <w:tc>
          <w:tcPr>
            <w:tcW w:w="0" w:type="dxa"/>
            <w:tcBorders>
              <w:bottom w:val="single" w:sz="4" w:space="0" w:color="000075"/>
            </w:tcBorders>
            <w:noWrap/>
            <w:hideMark/>
          </w:tcPr>
          <w:p w14:paraId="53DAA936"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Standard</w:t>
            </w:r>
          </w:p>
        </w:tc>
        <w:tc>
          <w:tcPr>
            <w:tcW w:w="0" w:type="dxa"/>
            <w:tcBorders>
              <w:bottom w:val="single" w:sz="4" w:space="0" w:color="000075"/>
            </w:tcBorders>
            <w:noWrap/>
            <w:hideMark/>
          </w:tcPr>
          <w:p w14:paraId="069A5795"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45</w:t>
            </w:r>
          </w:p>
        </w:tc>
        <w:tc>
          <w:tcPr>
            <w:tcW w:w="0" w:type="dxa"/>
            <w:tcBorders>
              <w:bottom w:val="single" w:sz="4" w:space="0" w:color="000075"/>
            </w:tcBorders>
            <w:noWrap/>
            <w:hideMark/>
          </w:tcPr>
          <w:p w14:paraId="6A1EB63C"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34.1%</w:t>
            </w:r>
          </w:p>
        </w:tc>
        <w:tc>
          <w:tcPr>
            <w:tcW w:w="0" w:type="dxa"/>
            <w:tcBorders>
              <w:bottom w:val="single" w:sz="4" w:space="0" w:color="000075"/>
            </w:tcBorders>
            <w:noWrap/>
            <w:hideMark/>
          </w:tcPr>
          <w:p w14:paraId="37420419"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8.18</w:t>
            </w:r>
          </w:p>
        </w:tc>
        <w:tc>
          <w:tcPr>
            <w:tcW w:w="0" w:type="dxa"/>
            <w:tcBorders>
              <w:bottom w:val="single" w:sz="4" w:space="0" w:color="000075"/>
            </w:tcBorders>
            <w:hideMark/>
          </w:tcPr>
          <w:p w14:paraId="7AA406EC"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8</w:t>
            </w:r>
          </w:p>
        </w:tc>
      </w:tr>
      <w:tr w:rsidR="00B73421" w:rsidRPr="000373D5" w14:paraId="6D3E7E53" w14:textId="77777777" w:rsidTr="007113B4">
        <w:tc>
          <w:tcPr>
            <w:tcW w:w="0" w:type="dxa"/>
            <w:tcBorders>
              <w:bottom w:val="single" w:sz="12" w:space="0" w:color="000075"/>
            </w:tcBorders>
            <w:noWrap/>
            <w:hideMark/>
          </w:tcPr>
          <w:p w14:paraId="083FD712"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12" w:space="0" w:color="000075"/>
            </w:tcBorders>
            <w:noWrap/>
            <w:hideMark/>
          </w:tcPr>
          <w:p w14:paraId="142A8BBC"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6</w:t>
            </w:r>
          </w:p>
        </w:tc>
        <w:tc>
          <w:tcPr>
            <w:tcW w:w="0" w:type="dxa"/>
            <w:tcBorders>
              <w:bottom w:val="single" w:sz="12" w:space="0" w:color="000075"/>
            </w:tcBorders>
            <w:noWrap/>
            <w:hideMark/>
          </w:tcPr>
          <w:p w14:paraId="3F3F6CA0"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Substandard</w:t>
            </w:r>
          </w:p>
        </w:tc>
        <w:tc>
          <w:tcPr>
            <w:tcW w:w="0" w:type="dxa"/>
            <w:tcBorders>
              <w:bottom w:val="single" w:sz="12" w:space="0" w:color="000075"/>
            </w:tcBorders>
            <w:noWrap/>
            <w:hideMark/>
          </w:tcPr>
          <w:p w14:paraId="7F370FB3"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w:t>
            </w:r>
          </w:p>
        </w:tc>
        <w:tc>
          <w:tcPr>
            <w:tcW w:w="0" w:type="dxa"/>
            <w:tcBorders>
              <w:bottom w:val="single" w:sz="12" w:space="0" w:color="000075"/>
            </w:tcBorders>
            <w:noWrap/>
            <w:hideMark/>
          </w:tcPr>
          <w:p w14:paraId="7E6238D0"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0.8%</w:t>
            </w:r>
          </w:p>
        </w:tc>
        <w:tc>
          <w:tcPr>
            <w:tcW w:w="0" w:type="dxa"/>
            <w:tcBorders>
              <w:bottom w:val="single" w:sz="12" w:space="0" w:color="000075"/>
            </w:tcBorders>
            <w:noWrap/>
            <w:hideMark/>
          </w:tcPr>
          <w:p w14:paraId="192A8E42"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0.18</w:t>
            </w:r>
          </w:p>
        </w:tc>
        <w:tc>
          <w:tcPr>
            <w:tcW w:w="0" w:type="dxa"/>
            <w:tcBorders>
              <w:bottom w:val="single" w:sz="12" w:space="0" w:color="000075"/>
            </w:tcBorders>
            <w:hideMark/>
          </w:tcPr>
          <w:p w14:paraId="10A035D9"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w:t>
            </w:r>
          </w:p>
        </w:tc>
      </w:tr>
      <w:tr w:rsidR="001C5EAC" w:rsidRPr="000373D5" w14:paraId="718B9BB7"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tcBorders>
              <w:top w:val="single" w:sz="12" w:space="0" w:color="000075"/>
            </w:tcBorders>
            <w:noWrap/>
            <w:hideMark/>
          </w:tcPr>
          <w:p w14:paraId="118134B6"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Small</w:t>
            </w:r>
          </w:p>
        </w:tc>
        <w:tc>
          <w:tcPr>
            <w:tcW w:w="0" w:type="dxa"/>
            <w:tcBorders>
              <w:top w:val="single" w:sz="12" w:space="0" w:color="000075"/>
            </w:tcBorders>
            <w:noWrap/>
            <w:hideMark/>
          </w:tcPr>
          <w:p w14:paraId="24CFD5A7"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7</w:t>
            </w:r>
          </w:p>
        </w:tc>
        <w:tc>
          <w:tcPr>
            <w:tcW w:w="0" w:type="dxa"/>
            <w:tcBorders>
              <w:top w:val="single" w:sz="12" w:space="0" w:color="000075"/>
            </w:tcBorders>
            <w:noWrap/>
            <w:hideMark/>
          </w:tcPr>
          <w:p w14:paraId="54442F99"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High</w:t>
            </w:r>
          </w:p>
        </w:tc>
        <w:tc>
          <w:tcPr>
            <w:tcW w:w="0" w:type="dxa"/>
            <w:tcBorders>
              <w:top w:val="single" w:sz="12" w:space="0" w:color="000075"/>
            </w:tcBorders>
            <w:noWrap/>
            <w:hideMark/>
          </w:tcPr>
          <w:p w14:paraId="56E2E8CE"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18</w:t>
            </w:r>
          </w:p>
        </w:tc>
        <w:tc>
          <w:tcPr>
            <w:tcW w:w="0" w:type="dxa"/>
            <w:tcBorders>
              <w:top w:val="single" w:sz="12" w:space="0" w:color="000075"/>
            </w:tcBorders>
            <w:noWrap/>
            <w:hideMark/>
          </w:tcPr>
          <w:p w14:paraId="5A0A1A13"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13.6%</w:t>
            </w:r>
          </w:p>
        </w:tc>
        <w:tc>
          <w:tcPr>
            <w:tcW w:w="0" w:type="dxa"/>
            <w:tcBorders>
              <w:top w:val="single" w:sz="12" w:space="0" w:color="000075"/>
            </w:tcBorders>
            <w:noWrap/>
            <w:hideMark/>
          </w:tcPr>
          <w:p w14:paraId="509732AD"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3.27</w:t>
            </w:r>
          </w:p>
        </w:tc>
        <w:tc>
          <w:tcPr>
            <w:tcW w:w="0" w:type="dxa"/>
            <w:tcBorders>
              <w:top w:val="single" w:sz="12" w:space="0" w:color="000075"/>
            </w:tcBorders>
            <w:hideMark/>
          </w:tcPr>
          <w:p w14:paraId="538006A4"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3</w:t>
            </w:r>
          </w:p>
        </w:tc>
      </w:tr>
      <w:tr w:rsidR="00B73421" w:rsidRPr="000373D5" w14:paraId="76CCC216" w14:textId="77777777" w:rsidTr="007113B4">
        <w:tc>
          <w:tcPr>
            <w:tcW w:w="0" w:type="dxa"/>
            <w:tcBorders>
              <w:bottom w:val="single" w:sz="4" w:space="0" w:color="000075"/>
            </w:tcBorders>
            <w:noWrap/>
            <w:hideMark/>
          </w:tcPr>
          <w:p w14:paraId="13E1A907"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4" w:space="0" w:color="000075"/>
            </w:tcBorders>
            <w:noWrap/>
            <w:hideMark/>
          </w:tcPr>
          <w:p w14:paraId="531E3A99"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8</w:t>
            </w:r>
          </w:p>
        </w:tc>
        <w:tc>
          <w:tcPr>
            <w:tcW w:w="0" w:type="dxa"/>
            <w:tcBorders>
              <w:bottom w:val="single" w:sz="4" w:space="0" w:color="000075"/>
            </w:tcBorders>
            <w:noWrap/>
            <w:hideMark/>
          </w:tcPr>
          <w:p w14:paraId="49BADD3E"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Standard</w:t>
            </w:r>
          </w:p>
        </w:tc>
        <w:tc>
          <w:tcPr>
            <w:tcW w:w="0" w:type="dxa"/>
            <w:tcBorders>
              <w:bottom w:val="single" w:sz="4" w:space="0" w:color="000075"/>
            </w:tcBorders>
            <w:noWrap/>
            <w:hideMark/>
          </w:tcPr>
          <w:p w14:paraId="20C66F50"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10</w:t>
            </w:r>
          </w:p>
        </w:tc>
        <w:tc>
          <w:tcPr>
            <w:tcW w:w="0" w:type="dxa"/>
            <w:tcBorders>
              <w:bottom w:val="single" w:sz="4" w:space="0" w:color="000075"/>
            </w:tcBorders>
            <w:noWrap/>
            <w:hideMark/>
          </w:tcPr>
          <w:p w14:paraId="77A91717"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7.6%</w:t>
            </w:r>
          </w:p>
        </w:tc>
        <w:tc>
          <w:tcPr>
            <w:tcW w:w="0" w:type="dxa"/>
            <w:tcBorders>
              <w:bottom w:val="single" w:sz="4" w:space="0" w:color="000075"/>
            </w:tcBorders>
            <w:noWrap/>
            <w:hideMark/>
          </w:tcPr>
          <w:p w14:paraId="2CE7D50D"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1.82</w:t>
            </w:r>
          </w:p>
        </w:tc>
        <w:tc>
          <w:tcPr>
            <w:tcW w:w="0" w:type="dxa"/>
            <w:tcBorders>
              <w:bottom w:val="single" w:sz="4" w:space="0" w:color="000075"/>
            </w:tcBorders>
            <w:hideMark/>
          </w:tcPr>
          <w:p w14:paraId="54E52BC3"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2</w:t>
            </w:r>
          </w:p>
        </w:tc>
      </w:tr>
      <w:tr w:rsidR="001C5EAC" w:rsidRPr="000373D5" w14:paraId="764F62D3"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tcBorders>
              <w:bottom w:val="single" w:sz="12" w:space="0" w:color="000075"/>
            </w:tcBorders>
            <w:noWrap/>
            <w:hideMark/>
          </w:tcPr>
          <w:p w14:paraId="283EB590"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12" w:space="0" w:color="000075"/>
            </w:tcBorders>
            <w:noWrap/>
            <w:hideMark/>
          </w:tcPr>
          <w:p w14:paraId="08C81AA0"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9</w:t>
            </w:r>
          </w:p>
        </w:tc>
        <w:tc>
          <w:tcPr>
            <w:tcW w:w="0" w:type="dxa"/>
            <w:tcBorders>
              <w:bottom w:val="single" w:sz="12" w:space="0" w:color="000075"/>
            </w:tcBorders>
            <w:noWrap/>
            <w:hideMark/>
          </w:tcPr>
          <w:p w14:paraId="7FB22046"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Substandard</w:t>
            </w:r>
          </w:p>
        </w:tc>
        <w:tc>
          <w:tcPr>
            <w:tcW w:w="0" w:type="dxa"/>
            <w:tcBorders>
              <w:bottom w:val="single" w:sz="12" w:space="0" w:color="000075"/>
            </w:tcBorders>
            <w:noWrap/>
            <w:hideMark/>
          </w:tcPr>
          <w:p w14:paraId="6F8D0773"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0</w:t>
            </w:r>
          </w:p>
        </w:tc>
        <w:tc>
          <w:tcPr>
            <w:tcW w:w="0" w:type="dxa"/>
            <w:tcBorders>
              <w:bottom w:val="single" w:sz="12" w:space="0" w:color="000075"/>
            </w:tcBorders>
            <w:noWrap/>
            <w:hideMark/>
          </w:tcPr>
          <w:p w14:paraId="1063C7E2"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0.0%</w:t>
            </w:r>
          </w:p>
        </w:tc>
        <w:tc>
          <w:tcPr>
            <w:tcW w:w="0" w:type="dxa"/>
            <w:tcBorders>
              <w:bottom w:val="single" w:sz="12" w:space="0" w:color="000075"/>
            </w:tcBorders>
            <w:noWrap/>
            <w:hideMark/>
          </w:tcPr>
          <w:p w14:paraId="5EF7DB60"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0.00</w:t>
            </w:r>
          </w:p>
        </w:tc>
        <w:tc>
          <w:tcPr>
            <w:tcW w:w="0" w:type="dxa"/>
            <w:tcBorders>
              <w:bottom w:val="single" w:sz="12" w:space="0" w:color="000075"/>
            </w:tcBorders>
            <w:hideMark/>
          </w:tcPr>
          <w:p w14:paraId="65A7ED81"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0</w:t>
            </w:r>
          </w:p>
        </w:tc>
      </w:tr>
      <w:tr w:rsidR="001C5EAC" w:rsidRPr="000373D5" w14:paraId="675A8F4F" w14:textId="77777777" w:rsidTr="007113B4">
        <w:trPr>
          <w:cnfStyle w:val="010000000000" w:firstRow="0" w:lastRow="1" w:firstColumn="0" w:lastColumn="0" w:oddVBand="0" w:evenVBand="0" w:oddHBand="0" w:evenHBand="0" w:firstRowFirstColumn="0" w:firstRowLastColumn="0" w:lastRowFirstColumn="0" w:lastRowLastColumn="0"/>
        </w:trPr>
        <w:tc>
          <w:tcPr>
            <w:tcW w:w="0" w:type="dxa"/>
            <w:tcBorders>
              <w:top w:val="single" w:sz="12" w:space="0" w:color="000075"/>
              <w:right w:val="nil"/>
            </w:tcBorders>
            <w:noWrap/>
            <w:hideMark/>
          </w:tcPr>
          <w:p w14:paraId="5E8F273F"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Total</w:t>
            </w:r>
          </w:p>
        </w:tc>
        <w:tc>
          <w:tcPr>
            <w:tcW w:w="0" w:type="dxa"/>
            <w:tcBorders>
              <w:top w:val="single" w:sz="12" w:space="0" w:color="000075"/>
              <w:left w:val="nil"/>
              <w:right w:val="nil"/>
            </w:tcBorders>
            <w:noWrap/>
            <w:hideMark/>
          </w:tcPr>
          <w:p w14:paraId="34E1799F"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top w:val="single" w:sz="12" w:space="0" w:color="000075"/>
              <w:left w:val="nil"/>
            </w:tcBorders>
            <w:noWrap/>
            <w:hideMark/>
          </w:tcPr>
          <w:p w14:paraId="4903AB84" w14:textId="77777777" w:rsidR="00B73421" w:rsidRPr="000373D5" w:rsidRDefault="00B73421" w:rsidP="00003D0F">
            <w:pPr>
              <w:rPr>
                <w:rFonts w:ascii="Arial" w:eastAsiaTheme="minorHAnsi" w:hAnsi="Arial" w:cstheme="minorBidi"/>
                <w:sz w:val="20"/>
                <w:szCs w:val="22"/>
              </w:rPr>
            </w:pPr>
          </w:p>
        </w:tc>
        <w:tc>
          <w:tcPr>
            <w:tcW w:w="0" w:type="dxa"/>
            <w:tcBorders>
              <w:top w:val="single" w:sz="12" w:space="0" w:color="000075"/>
            </w:tcBorders>
            <w:noWrap/>
            <w:hideMark/>
          </w:tcPr>
          <w:p w14:paraId="2CD7D03B"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132</w:t>
            </w:r>
          </w:p>
        </w:tc>
        <w:tc>
          <w:tcPr>
            <w:tcW w:w="0" w:type="dxa"/>
            <w:tcBorders>
              <w:top w:val="single" w:sz="12" w:space="0" w:color="000075"/>
            </w:tcBorders>
            <w:noWrap/>
            <w:hideMark/>
          </w:tcPr>
          <w:p w14:paraId="6E5C22C6"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100.00%</w:t>
            </w:r>
          </w:p>
        </w:tc>
        <w:tc>
          <w:tcPr>
            <w:tcW w:w="0" w:type="dxa"/>
            <w:tcBorders>
              <w:top w:val="single" w:sz="12" w:space="0" w:color="000075"/>
            </w:tcBorders>
            <w:noWrap/>
            <w:hideMark/>
          </w:tcPr>
          <w:p w14:paraId="5FAF00BC"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24</w:t>
            </w:r>
          </w:p>
        </w:tc>
        <w:tc>
          <w:tcPr>
            <w:tcW w:w="0" w:type="dxa"/>
            <w:tcBorders>
              <w:top w:val="single" w:sz="12" w:space="0" w:color="000075"/>
            </w:tcBorders>
            <w:hideMark/>
          </w:tcPr>
          <w:p w14:paraId="57BC2169" w14:textId="77777777" w:rsidR="00B73421" w:rsidRPr="000373D5" w:rsidRDefault="00B73421" w:rsidP="00003D0F">
            <w:pPr>
              <w:jc w:val="right"/>
              <w:rPr>
                <w:rFonts w:ascii="Arial" w:eastAsiaTheme="minorHAnsi" w:hAnsi="Arial" w:cstheme="minorBidi"/>
                <w:sz w:val="20"/>
                <w:szCs w:val="22"/>
              </w:rPr>
            </w:pPr>
            <w:r w:rsidRPr="000373D5">
              <w:rPr>
                <w:rFonts w:ascii="Arial" w:eastAsiaTheme="minorHAnsi" w:hAnsi="Arial" w:cstheme="minorBidi"/>
                <w:sz w:val="20"/>
                <w:szCs w:val="22"/>
              </w:rPr>
              <w:t>24</w:t>
            </w:r>
          </w:p>
        </w:tc>
      </w:tr>
    </w:tbl>
    <w:p w14:paraId="1838C58F" w14:textId="77777777" w:rsidR="007F4005" w:rsidRDefault="007F4005" w:rsidP="00770366"/>
    <w:p w14:paraId="54FFBC17" w14:textId="77777777" w:rsidR="001D5608" w:rsidRDefault="001D5608" w:rsidP="00770366">
      <w:pPr>
        <w:rPr>
          <w:szCs w:val="20"/>
        </w:rPr>
      </w:pPr>
    </w:p>
    <w:p w14:paraId="71DFA095" w14:textId="77777777" w:rsidR="00F93AAE" w:rsidRDefault="001D5608" w:rsidP="00770366">
      <w:r>
        <w:rPr>
          <w:szCs w:val="20"/>
        </w:rPr>
        <w:t>For the enrollment stage of the resident survey, properties were sampled using the same stratification criteria</w:t>
      </w:r>
      <w:r w:rsidR="00B73421">
        <w:rPr>
          <w:szCs w:val="20"/>
        </w:rPr>
        <w:t xml:space="preserve"> applied to the full universe of RAD properties.</w:t>
      </w:r>
      <w:r w:rsidR="00B73421" w:rsidRPr="00B73421">
        <w:t xml:space="preserve"> The original design expected the sample of properties to be drawn all at once from the universe of approved RAD properties. We found, however, that the episodic nature of projects made this impossible. The possibility of a property being withdrawn or revoked from RAD has also complicated selection; it is difficult to avoid mass mailings to and enrollments of residents in properties that are subsequently withdrawn. We currently consider a property eligible for sampling only after it has reached the RCC stage, since those properties are most likely to make it to closing. We have also limited the sample to no more than one property from a selected PHA, to avoid the possibility of </w:t>
      </w:r>
      <w:r w:rsidR="00B73421">
        <w:t>includ</w:t>
      </w:r>
      <w:r w:rsidR="00B73421" w:rsidRPr="00B73421">
        <w:t>ing a single PHA with multiple properties moving through the pipeline at the same time, creating an unbalanced sample.</w:t>
      </w:r>
      <w:r w:rsidR="00B73421">
        <w:t xml:space="preserve"> </w:t>
      </w:r>
    </w:p>
    <w:p w14:paraId="2B20795A" w14:textId="77777777" w:rsidR="00F93AAE" w:rsidRDefault="00F93AAE" w:rsidP="00770366"/>
    <w:p w14:paraId="4F2062BC" w14:textId="77777777" w:rsidR="001D5608" w:rsidRDefault="001D5608" w:rsidP="00770366">
      <w:pPr>
        <w:rPr>
          <w:szCs w:val="20"/>
        </w:rPr>
      </w:pPr>
    </w:p>
    <w:p w14:paraId="79111B06" w14:textId="77777777" w:rsidR="00B73421" w:rsidRDefault="00B73421" w:rsidP="00770366">
      <w:pPr>
        <w:rPr>
          <w:szCs w:val="20"/>
        </w:rPr>
      </w:pPr>
    </w:p>
    <w:p w14:paraId="2046BAA1" w14:textId="77777777" w:rsidR="00B73421" w:rsidRDefault="00B73421" w:rsidP="00B73421">
      <w:pPr>
        <w:rPr>
          <w:rFonts w:ascii="Arial" w:hAnsi="Arial" w:cs="Arial"/>
          <w:b/>
          <w:szCs w:val="20"/>
        </w:rPr>
      </w:pPr>
      <w:r>
        <w:rPr>
          <w:rFonts w:ascii="Arial" w:hAnsi="Arial" w:cs="Arial"/>
          <w:b/>
          <w:szCs w:val="20"/>
        </w:rPr>
        <w:t xml:space="preserve">Table 13. </w:t>
      </w:r>
      <w:r w:rsidRPr="00C108F6">
        <w:rPr>
          <w:rFonts w:ascii="Arial" w:hAnsi="Arial" w:cs="Arial"/>
          <w:b/>
          <w:szCs w:val="20"/>
        </w:rPr>
        <w:t>Percent</w:t>
      </w:r>
      <w:r>
        <w:rPr>
          <w:rFonts w:ascii="Arial" w:hAnsi="Arial" w:cs="Arial"/>
          <w:b/>
          <w:szCs w:val="20"/>
        </w:rPr>
        <w:t>age</w:t>
      </w:r>
      <w:r w:rsidRPr="00C108F6">
        <w:rPr>
          <w:rFonts w:ascii="Arial" w:hAnsi="Arial" w:cs="Arial"/>
          <w:b/>
          <w:szCs w:val="20"/>
        </w:rPr>
        <w:t xml:space="preserve"> of</w:t>
      </w:r>
      <w:r w:rsidRPr="00331B87">
        <w:rPr>
          <w:rFonts w:ascii="Arial" w:hAnsi="Arial" w:cs="Arial"/>
          <w:b/>
          <w:szCs w:val="20"/>
        </w:rPr>
        <w:t xml:space="preserve"> Properties in the Subgroup and </w:t>
      </w:r>
      <w:r w:rsidRPr="00C108F6">
        <w:rPr>
          <w:rFonts w:ascii="Arial" w:hAnsi="Arial" w:cs="Arial"/>
          <w:b/>
          <w:szCs w:val="20"/>
        </w:rPr>
        <w:t xml:space="preserve">Number </w:t>
      </w:r>
      <w:r w:rsidRPr="00331B87">
        <w:rPr>
          <w:rFonts w:ascii="Arial" w:hAnsi="Arial" w:cs="Arial"/>
          <w:b/>
          <w:szCs w:val="20"/>
        </w:rPr>
        <w:t xml:space="preserve">to </w:t>
      </w:r>
      <w:r>
        <w:rPr>
          <w:rFonts w:ascii="Arial" w:hAnsi="Arial" w:cs="Arial"/>
          <w:b/>
          <w:szCs w:val="20"/>
        </w:rPr>
        <w:t>B</w:t>
      </w:r>
      <w:r w:rsidRPr="00331B87">
        <w:rPr>
          <w:rFonts w:ascii="Arial" w:hAnsi="Arial" w:cs="Arial"/>
          <w:b/>
          <w:szCs w:val="20"/>
        </w:rPr>
        <w:t xml:space="preserve">e </w:t>
      </w:r>
      <w:r w:rsidRPr="00C108F6">
        <w:rPr>
          <w:rFonts w:ascii="Arial" w:hAnsi="Arial" w:cs="Arial"/>
          <w:b/>
          <w:szCs w:val="20"/>
        </w:rPr>
        <w:t xml:space="preserve">Selected </w:t>
      </w:r>
      <w:r w:rsidRPr="00331B87">
        <w:rPr>
          <w:rFonts w:ascii="Arial" w:hAnsi="Arial" w:cs="Arial"/>
          <w:b/>
          <w:szCs w:val="20"/>
        </w:rPr>
        <w:t xml:space="preserve">From </w:t>
      </w:r>
      <w:r w:rsidRPr="00C108F6">
        <w:rPr>
          <w:rFonts w:ascii="Arial" w:hAnsi="Arial" w:cs="Arial"/>
          <w:b/>
          <w:szCs w:val="20"/>
        </w:rPr>
        <w:t>Each Subgroup</w:t>
      </w:r>
      <w:r>
        <w:rPr>
          <w:rFonts w:ascii="Arial" w:hAnsi="Arial" w:cs="Arial"/>
          <w:b/>
          <w:szCs w:val="20"/>
        </w:rPr>
        <w:t xml:space="preserve"> for RAD Resident Survey Sample</w:t>
      </w:r>
    </w:p>
    <w:p w14:paraId="5472794B" w14:textId="77777777" w:rsidR="001D5608" w:rsidRDefault="001D5608" w:rsidP="00770366">
      <w:pPr>
        <w:rPr>
          <w:szCs w:val="20"/>
        </w:rPr>
      </w:pPr>
    </w:p>
    <w:tbl>
      <w:tblPr>
        <w:tblStyle w:val="EconometricaTableStyle"/>
        <w:tblW w:w="9488" w:type="dxa"/>
        <w:tblLayout w:type="fixed"/>
        <w:tblLook w:val="04E0" w:firstRow="1" w:lastRow="1" w:firstColumn="1" w:lastColumn="0" w:noHBand="0" w:noVBand="1"/>
      </w:tblPr>
      <w:tblGrid>
        <w:gridCol w:w="1356"/>
        <w:gridCol w:w="1356"/>
        <w:gridCol w:w="1356"/>
        <w:gridCol w:w="1355"/>
        <w:gridCol w:w="1355"/>
        <w:gridCol w:w="1355"/>
        <w:gridCol w:w="1355"/>
      </w:tblGrid>
      <w:tr w:rsidR="00B73421" w:rsidRPr="000373D5" w14:paraId="7983E49A" w14:textId="77777777" w:rsidTr="007113B4">
        <w:trPr>
          <w:cnfStyle w:val="100000000000" w:firstRow="1" w:lastRow="0" w:firstColumn="0" w:lastColumn="0" w:oddVBand="0" w:evenVBand="0" w:oddHBand="0" w:evenHBand="0" w:firstRowFirstColumn="0" w:firstRowLastColumn="0" w:lastRowFirstColumn="0" w:lastRowLastColumn="0"/>
          <w:tblHeader/>
        </w:trPr>
        <w:tc>
          <w:tcPr>
            <w:tcW w:w="0" w:type="dxa"/>
            <w:hideMark/>
          </w:tcPr>
          <w:p w14:paraId="46A42509" w14:textId="77777777" w:rsidR="00B73421" w:rsidRPr="007113B4" w:rsidRDefault="00B73421" w:rsidP="00003D0F">
            <w:pPr>
              <w:rPr>
                <w:rFonts w:ascii="Arial" w:eastAsiaTheme="minorHAnsi" w:hAnsi="Arial"/>
              </w:rPr>
            </w:pPr>
            <w:r w:rsidRPr="007113B4">
              <w:rPr>
                <w:rFonts w:ascii="Arial" w:eastAsiaTheme="minorHAnsi" w:hAnsi="Arial"/>
              </w:rPr>
              <w:t>PHA Size</w:t>
            </w:r>
          </w:p>
        </w:tc>
        <w:tc>
          <w:tcPr>
            <w:tcW w:w="0" w:type="dxa"/>
            <w:hideMark/>
          </w:tcPr>
          <w:p w14:paraId="222DAE9A" w14:textId="77777777" w:rsidR="00B73421" w:rsidRPr="007113B4" w:rsidRDefault="00B73421" w:rsidP="00003D0F">
            <w:pPr>
              <w:rPr>
                <w:rFonts w:ascii="Arial" w:eastAsiaTheme="minorHAnsi" w:hAnsi="Arial"/>
              </w:rPr>
            </w:pPr>
            <w:r w:rsidRPr="007113B4">
              <w:rPr>
                <w:rFonts w:ascii="Arial" w:eastAsiaTheme="minorHAnsi" w:hAnsi="Arial"/>
              </w:rPr>
              <w:t>Strata</w:t>
            </w:r>
          </w:p>
        </w:tc>
        <w:tc>
          <w:tcPr>
            <w:tcW w:w="0" w:type="dxa"/>
            <w:hideMark/>
          </w:tcPr>
          <w:p w14:paraId="4D9005BD" w14:textId="77777777" w:rsidR="00B73421" w:rsidRPr="007113B4" w:rsidRDefault="00B73421" w:rsidP="00003D0F">
            <w:pPr>
              <w:rPr>
                <w:rFonts w:ascii="Arial" w:eastAsiaTheme="minorHAnsi" w:hAnsi="Arial"/>
              </w:rPr>
            </w:pPr>
            <w:r w:rsidRPr="007113B4">
              <w:rPr>
                <w:rFonts w:ascii="Arial" w:eastAsiaTheme="minorHAnsi" w:hAnsi="Arial"/>
              </w:rPr>
              <w:t>Project Performance</w:t>
            </w:r>
          </w:p>
        </w:tc>
        <w:tc>
          <w:tcPr>
            <w:tcW w:w="0" w:type="dxa"/>
            <w:hideMark/>
          </w:tcPr>
          <w:p w14:paraId="2938FB8E" w14:textId="77777777" w:rsidR="00B73421" w:rsidRPr="007113B4" w:rsidRDefault="00B73421" w:rsidP="00003D0F">
            <w:pPr>
              <w:rPr>
                <w:rFonts w:ascii="Arial" w:eastAsiaTheme="minorHAnsi" w:hAnsi="Arial"/>
              </w:rPr>
            </w:pPr>
            <w:r w:rsidRPr="007113B4">
              <w:rPr>
                <w:rFonts w:ascii="Arial" w:eastAsiaTheme="minorHAnsi" w:hAnsi="Arial"/>
              </w:rPr>
              <w:t>Number of Projects in Universe</w:t>
            </w:r>
          </w:p>
        </w:tc>
        <w:tc>
          <w:tcPr>
            <w:tcW w:w="0" w:type="dxa"/>
            <w:hideMark/>
          </w:tcPr>
          <w:p w14:paraId="0A172C8A" w14:textId="77777777" w:rsidR="00B73421" w:rsidRPr="007113B4" w:rsidRDefault="00B73421" w:rsidP="00003D0F">
            <w:pPr>
              <w:rPr>
                <w:rFonts w:ascii="Arial" w:eastAsiaTheme="minorHAnsi" w:hAnsi="Arial"/>
              </w:rPr>
            </w:pPr>
            <w:r w:rsidRPr="007113B4">
              <w:rPr>
                <w:rFonts w:ascii="Arial" w:eastAsiaTheme="minorHAnsi" w:hAnsi="Arial"/>
              </w:rPr>
              <w:t>Percentage of Projects in Universe</w:t>
            </w:r>
          </w:p>
        </w:tc>
        <w:tc>
          <w:tcPr>
            <w:tcW w:w="0" w:type="dxa"/>
            <w:hideMark/>
          </w:tcPr>
          <w:p w14:paraId="36145538" w14:textId="77777777" w:rsidR="00B73421" w:rsidRPr="007113B4" w:rsidRDefault="00B73421" w:rsidP="00003D0F">
            <w:pPr>
              <w:rPr>
                <w:rFonts w:ascii="Arial" w:eastAsiaTheme="minorHAnsi" w:hAnsi="Arial"/>
              </w:rPr>
            </w:pPr>
            <w:r w:rsidRPr="007113B4">
              <w:rPr>
                <w:rFonts w:ascii="Arial" w:eastAsiaTheme="minorHAnsi" w:hAnsi="Arial"/>
              </w:rPr>
              <w:t>Number of Projects in Sample Design</w:t>
            </w:r>
          </w:p>
        </w:tc>
        <w:tc>
          <w:tcPr>
            <w:tcW w:w="0" w:type="dxa"/>
            <w:hideMark/>
          </w:tcPr>
          <w:p w14:paraId="451609D4" w14:textId="77777777" w:rsidR="00B73421" w:rsidRPr="007113B4" w:rsidRDefault="00B73421" w:rsidP="00003D0F">
            <w:pPr>
              <w:rPr>
                <w:rFonts w:ascii="Arial" w:eastAsiaTheme="minorHAnsi" w:hAnsi="Arial"/>
              </w:rPr>
            </w:pPr>
            <w:r w:rsidRPr="007113B4">
              <w:rPr>
                <w:rFonts w:ascii="Arial" w:eastAsiaTheme="minorHAnsi" w:hAnsi="Arial"/>
              </w:rPr>
              <w:t>Number of Projects in Sample</w:t>
            </w:r>
          </w:p>
        </w:tc>
      </w:tr>
      <w:tr w:rsidR="001C5EAC" w:rsidRPr="000373D5" w14:paraId="554E2356"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3E5D8F0"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Large</w:t>
            </w:r>
          </w:p>
        </w:tc>
        <w:tc>
          <w:tcPr>
            <w:tcW w:w="0" w:type="dxa"/>
            <w:noWrap/>
            <w:hideMark/>
          </w:tcPr>
          <w:p w14:paraId="33C045BB"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1</w:t>
            </w:r>
          </w:p>
        </w:tc>
        <w:tc>
          <w:tcPr>
            <w:tcW w:w="0" w:type="dxa"/>
            <w:noWrap/>
            <w:hideMark/>
          </w:tcPr>
          <w:p w14:paraId="723FE8E7"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High</w:t>
            </w:r>
          </w:p>
        </w:tc>
        <w:tc>
          <w:tcPr>
            <w:tcW w:w="0" w:type="dxa"/>
            <w:noWrap/>
            <w:hideMark/>
          </w:tcPr>
          <w:p w14:paraId="18D6DB2F"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27</w:t>
            </w:r>
          </w:p>
        </w:tc>
        <w:tc>
          <w:tcPr>
            <w:tcW w:w="0" w:type="dxa"/>
            <w:noWrap/>
            <w:hideMark/>
          </w:tcPr>
          <w:p w14:paraId="05A357E5"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10.40%</w:t>
            </w:r>
          </w:p>
        </w:tc>
        <w:tc>
          <w:tcPr>
            <w:tcW w:w="0" w:type="dxa"/>
            <w:noWrap/>
            <w:hideMark/>
          </w:tcPr>
          <w:p w14:paraId="666F9A0C"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3</w:t>
            </w:r>
          </w:p>
        </w:tc>
        <w:tc>
          <w:tcPr>
            <w:tcW w:w="0" w:type="dxa"/>
            <w:vAlign w:val="bottom"/>
            <w:hideMark/>
          </w:tcPr>
          <w:p w14:paraId="62759E7E"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w:t>
            </w:r>
          </w:p>
        </w:tc>
      </w:tr>
      <w:tr w:rsidR="00B73421" w:rsidRPr="000373D5" w14:paraId="63780583" w14:textId="77777777" w:rsidTr="007113B4">
        <w:tc>
          <w:tcPr>
            <w:tcW w:w="0" w:type="dxa"/>
            <w:tcBorders>
              <w:bottom w:val="single" w:sz="4" w:space="0" w:color="000075"/>
            </w:tcBorders>
            <w:noWrap/>
            <w:hideMark/>
          </w:tcPr>
          <w:p w14:paraId="31AE72BC"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4" w:space="0" w:color="000075"/>
            </w:tcBorders>
            <w:noWrap/>
            <w:hideMark/>
          </w:tcPr>
          <w:p w14:paraId="0C745DA2"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2</w:t>
            </w:r>
          </w:p>
        </w:tc>
        <w:tc>
          <w:tcPr>
            <w:tcW w:w="0" w:type="dxa"/>
            <w:tcBorders>
              <w:bottom w:val="single" w:sz="4" w:space="0" w:color="000075"/>
            </w:tcBorders>
            <w:noWrap/>
            <w:hideMark/>
          </w:tcPr>
          <w:p w14:paraId="6738C054"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Standard</w:t>
            </w:r>
          </w:p>
        </w:tc>
        <w:tc>
          <w:tcPr>
            <w:tcW w:w="0" w:type="dxa"/>
            <w:tcBorders>
              <w:bottom w:val="single" w:sz="4" w:space="0" w:color="000075"/>
            </w:tcBorders>
            <w:noWrap/>
            <w:hideMark/>
          </w:tcPr>
          <w:p w14:paraId="0737445D"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36</w:t>
            </w:r>
          </w:p>
        </w:tc>
        <w:tc>
          <w:tcPr>
            <w:tcW w:w="0" w:type="dxa"/>
            <w:tcBorders>
              <w:bottom w:val="single" w:sz="4" w:space="0" w:color="000075"/>
            </w:tcBorders>
            <w:noWrap/>
            <w:hideMark/>
          </w:tcPr>
          <w:p w14:paraId="6E466233"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13.80%</w:t>
            </w:r>
          </w:p>
        </w:tc>
        <w:tc>
          <w:tcPr>
            <w:tcW w:w="0" w:type="dxa"/>
            <w:tcBorders>
              <w:bottom w:val="single" w:sz="4" w:space="0" w:color="000075"/>
            </w:tcBorders>
            <w:noWrap/>
            <w:hideMark/>
          </w:tcPr>
          <w:p w14:paraId="1D322422"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3</w:t>
            </w:r>
          </w:p>
        </w:tc>
        <w:tc>
          <w:tcPr>
            <w:tcW w:w="0" w:type="dxa"/>
            <w:tcBorders>
              <w:bottom w:val="single" w:sz="4" w:space="0" w:color="000075"/>
            </w:tcBorders>
            <w:vAlign w:val="bottom"/>
            <w:hideMark/>
          </w:tcPr>
          <w:p w14:paraId="27A0EB85"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w:t>
            </w:r>
          </w:p>
        </w:tc>
      </w:tr>
      <w:tr w:rsidR="001C5EAC" w:rsidRPr="000373D5" w14:paraId="5611F5A9"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tcBorders>
              <w:bottom w:val="single" w:sz="12" w:space="0" w:color="000075"/>
            </w:tcBorders>
            <w:noWrap/>
            <w:hideMark/>
          </w:tcPr>
          <w:p w14:paraId="0E785546"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12" w:space="0" w:color="000075"/>
            </w:tcBorders>
            <w:noWrap/>
            <w:hideMark/>
          </w:tcPr>
          <w:p w14:paraId="396C1A60"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3</w:t>
            </w:r>
          </w:p>
        </w:tc>
        <w:tc>
          <w:tcPr>
            <w:tcW w:w="0" w:type="dxa"/>
            <w:tcBorders>
              <w:bottom w:val="single" w:sz="12" w:space="0" w:color="000075"/>
            </w:tcBorders>
            <w:noWrap/>
            <w:hideMark/>
          </w:tcPr>
          <w:p w14:paraId="033C9458"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Substandard</w:t>
            </w:r>
          </w:p>
        </w:tc>
        <w:tc>
          <w:tcPr>
            <w:tcW w:w="0" w:type="dxa"/>
            <w:tcBorders>
              <w:bottom w:val="single" w:sz="12" w:space="0" w:color="000075"/>
            </w:tcBorders>
            <w:noWrap/>
            <w:hideMark/>
          </w:tcPr>
          <w:p w14:paraId="4613A1AD"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12</w:t>
            </w:r>
          </w:p>
        </w:tc>
        <w:tc>
          <w:tcPr>
            <w:tcW w:w="0" w:type="dxa"/>
            <w:tcBorders>
              <w:bottom w:val="single" w:sz="12" w:space="0" w:color="000075"/>
            </w:tcBorders>
            <w:noWrap/>
            <w:hideMark/>
          </w:tcPr>
          <w:p w14:paraId="7A2E3C0B"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4.60%</w:t>
            </w:r>
          </w:p>
        </w:tc>
        <w:tc>
          <w:tcPr>
            <w:tcW w:w="0" w:type="dxa"/>
            <w:tcBorders>
              <w:bottom w:val="single" w:sz="12" w:space="0" w:color="000075"/>
            </w:tcBorders>
            <w:noWrap/>
            <w:hideMark/>
          </w:tcPr>
          <w:p w14:paraId="5AC26CCD"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w:t>
            </w:r>
          </w:p>
        </w:tc>
        <w:tc>
          <w:tcPr>
            <w:tcW w:w="0" w:type="dxa"/>
            <w:tcBorders>
              <w:bottom w:val="single" w:sz="12" w:space="0" w:color="000075"/>
            </w:tcBorders>
            <w:vAlign w:val="bottom"/>
            <w:hideMark/>
          </w:tcPr>
          <w:p w14:paraId="6FD4E995"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0</w:t>
            </w:r>
          </w:p>
        </w:tc>
      </w:tr>
      <w:tr w:rsidR="00B73421" w:rsidRPr="000373D5" w14:paraId="1FA26874" w14:textId="77777777" w:rsidTr="007113B4">
        <w:tc>
          <w:tcPr>
            <w:tcW w:w="0" w:type="dxa"/>
            <w:tcBorders>
              <w:top w:val="single" w:sz="12" w:space="0" w:color="000075"/>
            </w:tcBorders>
            <w:noWrap/>
            <w:hideMark/>
          </w:tcPr>
          <w:p w14:paraId="0A0A2A0B"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Medium</w:t>
            </w:r>
          </w:p>
        </w:tc>
        <w:tc>
          <w:tcPr>
            <w:tcW w:w="0" w:type="dxa"/>
            <w:tcBorders>
              <w:top w:val="single" w:sz="12" w:space="0" w:color="000075"/>
            </w:tcBorders>
            <w:noWrap/>
            <w:hideMark/>
          </w:tcPr>
          <w:p w14:paraId="42FB8CB6"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4</w:t>
            </w:r>
          </w:p>
        </w:tc>
        <w:tc>
          <w:tcPr>
            <w:tcW w:w="0" w:type="dxa"/>
            <w:tcBorders>
              <w:top w:val="single" w:sz="12" w:space="0" w:color="000075"/>
            </w:tcBorders>
            <w:noWrap/>
            <w:hideMark/>
          </w:tcPr>
          <w:p w14:paraId="4751FC1B"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High</w:t>
            </w:r>
          </w:p>
        </w:tc>
        <w:tc>
          <w:tcPr>
            <w:tcW w:w="0" w:type="dxa"/>
            <w:tcBorders>
              <w:top w:val="single" w:sz="12" w:space="0" w:color="000075"/>
            </w:tcBorders>
            <w:noWrap/>
            <w:hideMark/>
          </w:tcPr>
          <w:p w14:paraId="2F41776B"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57</w:t>
            </w:r>
          </w:p>
        </w:tc>
        <w:tc>
          <w:tcPr>
            <w:tcW w:w="0" w:type="dxa"/>
            <w:tcBorders>
              <w:top w:val="single" w:sz="12" w:space="0" w:color="000075"/>
            </w:tcBorders>
            <w:noWrap/>
            <w:hideMark/>
          </w:tcPr>
          <w:p w14:paraId="7D8F1504"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21.90%</w:t>
            </w:r>
          </w:p>
        </w:tc>
        <w:tc>
          <w:tcPr>
            <w:tcW w:w="0" w:type="dxa"/>
            <w:tcBorders>
              <w:top w:val="single" w:sz="12" w:space="0" w:color="000075"/>
            </w:tcBorders>
            <w:noWrap/>
            <w:hideMark/>
          </w:tcPr>
          <w:p w14:paraId="75262FCA"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5</w:t>
            </w:r>
          </w:p>
        </w:tc>
        <w:tc>
          <w:tcPr>
            <w:tcW w:w="0" w:type="dxa"/>
            <w:tcBorders>
              <w:top w:val="single" w:sz="12" w:space="0" w:color="000075"/>
            </w:tcBorders>
            <w:vAlign w:val="bottom"/>
            <w:hideMark/>
          </w:tcPr>
          <w:p w14:paraId="5504439B"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5</w:t>
            </w:r>
          </w:p>
        </w:tc>
      </w:tr>
      <w:tr w:rsidR="001C5EAC" w:rsidRPr="000373D5" w14:paraId="4E0A36CE"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tcBorders>
              <w:bottom w:val="single" w:sz="4" w:space="0" w:color="000075"/>
            </w:tcBorders>
            <w:noWrap/>
            <w:hideMark/>
          </w:tcPr>
          <w:p w14:paraId="348DE722"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4" w:space="0" w:color="000075"/>
            </w:tcBorders>
            <w:noWrap/>
            <w:hideMark/>
          </w:tcPr>
          <w:p w14:paraId="42E8D7A5"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5</w:t>
            </w:r>
          </w:p>
        </w:tc>
        <w:tc>
          <w:tcPr>
            <w:tcW w:w="0" w:type="dxa"/>
            <w:tcBorders>
              <w:bottom w:val="single" w:sz="4" w:space="0" w:color="000075"/>
            </w:tcBorders>
            <w:noWrap/>
            <w:hideMark/>
          </w:tcPr>
          <w:p w14:paraId="79A5BC0A"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Standard</w:t>
            </w:r>
          </w:p>
        </w:tc>
        <w:tc>
          <w:tcPr>
            <w:tcW w:w="0" w:type="dxa"/>
            <w:tcBorders>
              <w:bottom w:val="single" w:sz="4" w:space="0" w:color="000075"/>
            </w:tcBorders>
            <w:noWrap/>
            <w:hideMark/>
          </w:tcPr>
          <w:p w14:paraId="662BC96F"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72</w:t>
            </w:r>
          </w:p>
        </w:tc>
        <w:tc>
          <w:tcPr>
            <w:tcW w:w="0" w:type="dxa"/>
            <w:tcBorders>
              <w:bottom w:val="single" w:sz="4" w:space="0" w:color="000075"/>
            </w:tcBorders>
            <w:noWrap/>
            <w:hideMark/>
          </w:tcPr>
          <w:p w14:paraId="38DBA6A1"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27.70%</w:t>
            </w:r>
          </w:p>
        </w:tc>
        <w:tc>
          <w:tcPr>
            <w:tcW w:w="0" w:type="dxa"/>
            <w:tcBorders>
              <w:bottom w:val="single" w:sz="4" w:space="0" w:color="000075"/>
            </w:tcBorders>
            <w:noWrap/>
            <w:hideMark/>
          </w:tcPr>
          <w:p w14:paraId="5D943944"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6</w:t>
            </w:r>
          </w:p>
        </w:tc>
        <w:tc>
          <w:tcPr>
            <w:tcW w:w="0" w:type="dxa"/>
            <w:tcBorders>
              <w:bottom w:val="single" w:sz="4" w:space="0" w:color="000075"/>
            </w:tcBorders>
            <w:vAlign w:val="bottom"/>
            <w:hideMark/>
          </w:tcPr>
          <w:p w14:paraId="1A65CA2F"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4</w:t>
            </w:r>
          </w:p>
        </w:tc>
      </w:tr>
      <w:tr w:rsidR="00B73421" w:rsidRPr="000373D5" w14:paraId="467854DE" w14:textId="77777777" w:rsidTr="007113B4">
        <w:tc>
          <w:tcPr>
            <w:tcW w:w="0" w:type="dxa"/>
            <w:tcBorders>
              <w:bottom w:val="single" w:sz="12" w:space="0" w:color="000075"/>
            </w:tcBorders>
            <w:noWrap/>
            <w:hideMark/>
          </w:tcPr>
          <w:p w14:paraId="78E54C7B"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12" w:space="0" w:color="000075"/>
            </w:tcBorders>
            <w:noWrap/>
            <w:hideMark/>
          </w:tcPr>
          <w:p w14:paraId="0FB40E1C"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6</w:t>
            </w:r>
          </w:p>
        </w:tc>
        <w:tc>
          <w:tcPr>
            <w:tcW w:w="0" w:type="dxa"/>
            <w:tcBorders>
              <w:bottom w:val="single" w:sz="12" w:space="0" w:color="000075"/>
            </w:tcBorders>
            <w:noWrap/>
            <w:hideMark/>
          </w:tcPr>
          <w:p w14:paraId="098E12BB"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Substandard</w:t>
            </w:r>
          </w:p>
        </w:tc>
        <w:tc>
          <w:tcPr>
            <w:tcW w:w="0" w:type="dxa"/>
            <w:tcBorders>
              <w:bottom w:val="single" w:sz="12" w:space="0" w:color="000075"/>
            </w:tcBorders>
            <w:noWrap/>
            <w:hideMark/>
          </w:tcPr>
          <w:p w14:paraId="2A713925"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8</w:t>
            </w:r>
          </w:p>
        </w:tc>
        <w:tc>
          <w:tcPr>
            <w:tcW w:w="0" w:type="dxa"/>
            <w:tcBorders>
              <w:bottom w:val="single" w:sz="12" w:space="0" w:color="000075"/>
            </w:tcBorders>
            <w:noWrap/>
            <w:hideMark/>
          </w:tcPr>
          <w:p w14:paraId="54AA1688"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3.10%</w:t>
            </w:r>
          </w:p>
        </w:tc>
        <w:tc>
          <w:tcPr>
            <w:tcW w:w="0" w:type="dxa"/>
            <w:tcBorders>
              <w:bottom w:val="single" w:sz="12" w:space="0" w:color="000075"/>
            </w:tcBorders>
            <w:noWrap/>
            <w:hideMark/>
          </w:tcPr>
          <w:p w14:paraId="1C2F544C"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w:t>
            </w:r>
          </w:p>
        </w:tc>
        <w:tc>
          <w:tcPr>
            <w:tcW w:w="0" w:type="dxa"/>
            <w:tcBorders>
              <w:bottom w:val="single" w:sz="12" w:space="0" w:color="000075"/>
            </w:tcBorders>
            <w:vAlign w:val="bottom"/>
            <w:hideMark/>
          </w:tcPr>
          <w:p w14:paraId="5EC1A8DF"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w:t>
            </w:r>
          </w:p>
        </w:tc>
      </w:tr>
      <w:tr w:rsidR="001C5EAC" w:rsidRPr="000373D5" w14:paraId="0D2915E6"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tcBorders>
              <w:top w:val="single" w:sz="12" w:space="0" w:color="000075"/>
            </w:tcBorders>
            <w:noWrap/>
            <w:hideMark/>
          </w:tcPr>
          <w:p w14:paraId="115CAB08"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Small</w:t>
            </w:r>
          </w:p>
        </w:tc>
        <w:tc>
          <w:tcPr>
            <w:tcW w:w="0" w:type="dxa"/>
            <w:tcBorders>
              <w:top w:val="single" w:sz="12" w:space="0" w:color="000075"/>
            </w:tcBorders>
            <w:noWrap/>
            <w:hideMark/>
          </w:tcPr>
          <w:p w14:paraId="2B1A1857"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7</w:t>
            </w:r>
          </w:p>
        </w:tc>
        <w:tc>
          <w:tcPr>
            <w:tcW w:w="0" w:type="dxa"/>
            <w:tcBorders>
              <w:top w:val="single" w:sz="12" w:space="0" w:color="000075"/>
            </w:tcBorders>
            <w:noWrap/>
            <w:hideMark/>
          </w:tcPr>
          <w:p w14:paraId="2324918E"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High</w:t>
            </w:r>
          </w:p>
        </w:tc>
        <w:tc>
          <w:tcPr>
            <w:tcW w:w="0" w:type="dxa"/>
            <w:tcBorders>
              <w:top w:val="single" w:sz="12" w:space="0" w:color="000075"/>
            </w:tcBorders>
            <w:noWrap/>
            <w:hideMark/>
          </w:tcPr>
          <w:p w14:paraId="4CF0C728"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23</w:t>
            </w:r>
          </w:p>
        </w:tc>
        <w:tc>
          <w:tcPr>
            <w:tcW w:w="0" w:type="dxa"/>
            <w:tcBorders>
              <w:top w:val="single" w:sz="12" w:space="0" w:color="000075"/>
            </w:tcBorders>
            <w:noWrap/>
            <w:hideMark/>
          </w:tcPr>
          <w:p w14:paraId="4C1529D0"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8.80%</w:t>
            </w:r>
          </w:p>
        </w:tc>
        <w:tc>
          <w:tcPr>
            <w:tcW w:w="0" w:type="dxa"/>
            <w:tcBorders>
              <w:top w:val="single" w:sz="12" w:space="0" w:color="000075"/>
            </w:tcBorders>
            <w:noWrap/>
            <w:hideMark/>
          </w:tcPr>
          <w:p w14:paraId="62F1FA0F"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w:t>
            </w:r>
          </w:p>
        </w:tc>
        <w:tc>
          <w:tcPr>
            <w:tcW w:w="0" w:type="dxa"/>
            <w:tcBorders>
              <w:top w:val="single" w:sz="12" w:space="0" w:color="000075"/>
            </w:tcBorders>
            <w:vAlign w:val="bottom"/>
            <w:hideMark/>
          </w:tcPr>
          <w:p w14:paraId="7813080F"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w:t>
            </w:r>
          </w:p>
        </w:tc>
      </w:tr>
      <w:tr w:rsidR="00B73421" w:rsidRPr="000373D5" w14:paraId="095BD508" w14:textId="77777777" w:rsidTr="007113B4">
        <w:tc>
          <w:tcPr>
            <w:tcW w:w="0" w:type="dxa"/>
            <w:tcBorders>
              <w:bottom w:val="single" w:sz="4" w:space="0" w:color="000075"/>
            </w:tcBorders>
            <w:noWrap/>
            <w:hideMark/>
          </w:tcPr>
          <w:p w14:paraId="7C39C223"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4" w:space="0" w:color="000075"/>
            </w:tcBorders>
            <w:noWrap/>
            <w:hideMark/>
          </w:tcPr>
          <w:p w14:paraId="4ED9B1A6"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8</w:t>
            </w:r>
          </w:p>
        </w:tc>
        <w:tc>
          <w:tcPr>
            <w:tcW w:w="0" w:type="dxa"/>
            <w:tcBorders>
              <w:bottom w:val="single" w:sz="4" w:space="0" w:color="000075"/>
            </w:tcBorders>
            <w:noWrap/>
            <w:hideMark/>
          </w:tcPr>
          <w:p w14:paraId="10810DBE"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Standard</w:t>
            </w:r>
          </w:p>
        </w:tc>
        <w:tc>
          <w:tcPr>
            <w:tcW w:w="0" w:type="dxa"/>
            <w:tcBorders>
              <w:bottom w:val="single" w:sz="4" w:space="0" w:color="000075"/>
            </w:tcBorders>
            <w:noWrap/>
            <w:hideMark/>
          </w:tcPr>
          <w:p w14:paraId="41F8DCBC"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21</w:t>
            </w:r>
          </w:p>
        </w:tc>
        <w:tc>
          <w:tcPr>
            <w:tcW w:w="0" w:type="dxa"/>
            <w:tcBorders>
              <w:bottom w:val="single" w:sz="4" w:space="0" w:color="000075"/>
            </w:tcBorders>
            <w:noWrap/>
            <w:hideMark/>
          </w:tcPr>
          <w:p w14:paraId="0338E04F"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8.10%</w:t>
            </w:r>
          </w:p>
        </w:tc>
        <w:tc>
          <w:tcPr>
            <w:tcW w:w="0" w:type="dxa"/>
            <w:tcBorders>
              <w:bottom w:val="single" w:sz="4" w:space="0" w:color="000075"/>
            </w:tcBorders>
            <w:noWrap/>
            <w:hideMark/>
          </w:tcPr>
          <w:p w14:paraId="3801D92B"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w:t>
            </w:r>
          </w:p>
        </w:tc>
        <w:tc>
          <w:tcPr>
            <w:tcW w:w="0" w:type="dxa"/>
            <w:tcBorders>
              <w:bottom w:val="single" w:sz="4" w:space="0" w:color="000075"/>
            </w:tcBorders>
            <w:vAlign w:val="bottom"/>
            <w:hideMark/>
          </w:tcPr>
          <w:p w14:paraId="39F50F61"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2</w:t>
            </w:r>
          </w:p>
        </w:tc>
      </w:tr>
      <w:tr w:rsidR="001C5EAC" w:rsidRPr="000373D5" w14:paraId="54990609" w14:textId="77777777" w:rsidTr="004B7FBF">
        <w:trPr>
          <w:cnfStyle w:val="000000100000" w:firstRow="0" w:lastRow="0" w:firstColumn="0" w:lastColumn="0" w:oddVBand="0" w:evenVBand="0" w:oddHBand="1" w:evenHBand="0" w:firstRowFirstColumn="0" w:firstRowLastColumn="0" w:lastRowFirstColumn="0" w:lastRowLastColumn="0"/>
        </w:trPr>
        <w:tc>
          <w:tcPr>
            <w:tcW w:w="0" w:type="dxa"/>
            <w:tcBorders>
              <w:bottom w:val="single" w:sz="12" w:space="0" w:color="000075"/>
            </w:tcBorders>
            <w:noWrap/>
            <w:hideMark/>
          </w:tcPr>
          <w:p w14:paraId="230850C0"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bottom w:val="single" w:sz="12" w:space="0" w:color="000075"/>
            </w:tcBorders>
            <w:noWrap/>
            <w:hideMark/>
          </w:tcPr>
          <w:p w14:paraId="110E9C1C" w14:textId="77777777" w:rsidR="00B73421" w:rsidRPr="000373D5" w:rsidRDefault="00B73421" w:rsidP="00003D0F">
            <w:pPr>
              <w:jc w:val="center"/>
              <w:rPr>
                <w:rFonts w:ascii="Arial" w:eastAsiaTheme="minorHAnsi" w:hAnsi="Arial" w:cstheme="minorBidi"/>
                <w:sz w:val="20"/>
                <w:szCs w:val="22"/>
              </w:rPr>
            </w:pPr>
            <w:r w:rsidRPr="000373D5">
              <w:rPr>
                <w:rFonts w:ascii="Arial" w:eastAsiaTheme="minorHAnsi" w:hAnsi="Arial" w:cstheme="minorBidi"/>
                <w:sz w:val="20"/>
                <w:szCs w:val="22"/>
              </w:rPr>
              <w:t>9</w:t>
            </w:r>
          </w:p>
        </w:tc>
        <w:tc>
          <w:tcPr>
            <w:tcW w:w="0" w:type="dxa"/>
            <w:tcBorders>
              <w:bottom w:val="single" w:sz="12" w:space="0" w:color="000075"/>
            </w:tcBorders>
            <w:noWrap/>
            <w:hideMark/>
          </w:tcPr>
          <w:p w14:paraId="7887A726"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Substandard</w:t>
            </w:r>
          </w:p>
        </w:tc>
        <w:tc>
          <w:tcPr>
            <w:tcW w:w="0" w:type="dxa"/>
            <w:tcBorders>
              <w:bottom w:val="single" w:sz="12" w:space="0" w:color="000075"/>
            </w:tcBorders>
            <w:noWrap/>
            <w:hideMark/>
          </w:tcPr>
          <w:p w14:paraId="072459DD"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4</w:t>
            </w:r>
          </w:p>
        </w:tc>
        <w:tc>
          <w:tcPr>
            <w:tcW w:w="0" w:type="dxa"/>
            <w:tcBorders>
              <w:bottom w:val="single" w:sz="12" w:space="0" w:color="000075"/>
            </w:tcBorders>
            <w:noWrap/>
            <w:hideMark/>
          </w:tcPr>
          <w:p w14:paraId="18982CE8"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1.50%</w:t>
            </w:r>
          </w:p>
        </w:tc>
        <w:tc>
          <w:tcPr>
            <w:tcW w:w="0" w:type="dxa"/>
            <w:tcBorders>
              <w:bottom w:val="single" w:sz="12" w:space="0" w:color="000075"/>
            </w:tcBorders>
            <w:noWrap/>
            <w:hideMark/>
          </w:tcPr>
          <w:p w14:paraId="20FF8DE9"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w:t>
            </w:r>
          </w:p>
        </w:tc>
        <w:tc>
          <w:tcPr>
            <w:tcW w:w="0" w:type="dxa"/>
            <w:tcBorders>
              <w:bottom w:val="single" w:sz="12" w:space="0" w:color="000075"/>
            </w:tcBorders>
            <w:vAlign w:val="bottom"/>
            <w:hideMark/>
          </w:tcPr>
          <w:p w14:paraId="06F3DE04"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w:t>
            </w:r>
          </w:p>
        </w:tc>
      </w:tr>
      <w:tr w:rsidR="001C5EAC" w:rsidRPr="000373D5" w14:paraId="1DA8EDB4" w14:textId="77777777" w:rsidTr="007113B4">
        <w:trPr>
          <w:cnfStyle w:val="010000000000" w:firstRow="0" w:lastRow="1" w:firstColumn="0" w:lastColumn="0" w:oddVBand="0" w:evenVBand="0" w:oddHBand="0" w:evenHBand="0" w:firstRowFirstColumn="0" w:firstRowLastColumn="0" w:lastRowFirstColumn="0" w:lastRowLastColumn="0"/>
        </w:trPr>
        <w:tc>
          <w:tcPr>
            <w:tcW w:w="0" w:type="dxa"/>
            <w:tcBorders>
              <w:top w:val="single" w:sz="12" w:space="0" w:color="000075"/>
              <w:right w:val="nil"/>
            </w:tcBorders>
            <w:noWrap/>
            <w:hideMark/>
          </w:tcPr>
          <w:p w14:paraId="0D896528"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Total</w:t>
            </w:r>
          </w:p>
        </w:tc>
        <w:tc>
          <w:tcPr>
            <w:tcW w:w="0" w:type="dxa"/>
            <w:tcBorders>
              <w:top w:val="single" w:sz="12" w:space="0" w:color="000075"/>
              <w:left w:val="nil"/>
              <w:right w:val="nil"/>
            </w:tcBorders>
            <w:noWrap/>
            <w:hideMark/>
          </w:tcPr>
          <w:p w14:paraId="6AFA79DC" w14:textId="77777777" w:rsidR="00B73421" w:rsidRPr="000373D5" w:rsidRDefault="00B73421" w:rsidP="00003D0F">
            <w:pPr>
              <w:rPr>
                <w:rFonts w:ascii="Arial" w:eastAsiaTheme="minorHAnsi" w:hAnsi="Arial" w:cstheme="minorBidi"/>
                <w:sz w:val="20"/>
                <w:szCs w:val="22"/>
              </w:rPr>
            </w:pPr>
            <w:r w:rsidRPr="000373D5">
              <w:rPr>
                <w:rFonts w:ascii="Arial" w:eastAsiaTheme="minorHAnsi" w:hAnsi="Arial" w:cstheme="minorBidi"/>
                <w:sz w:val="20"/>
                <w:szCs w:val="22"/>
              </w:rPr>
              <w:t> </w:t>
            </w:r>
          </w:p>
        </w:tc>
        <w:tc>
          <w:tcPr>
            <w:tcW w:w="0" w:type="dxa"/>
            <w:tcBorders>
              <w:top w:val="single" w:sz="12" w:space="0" w:color="000075"/>
              <w:left w:val="nil"/>
            </w:tcBorders>
            <w:noWrap/>
            <w:hideMark/>
          </w:tcPr>
          <w:p w14:paraId="2621CDF5" w14:textId="77777777" w:rsidR="00B73421" w:rsidRPr="000373D5" w:rsidRDefault="00B73421" w:rsidP="00003D0F">
            <w:pPr>
              <w:rPr>
                <w:rFonts w:ascii="Arial" w:eastAsiaTheme="minorHAnsi" w:hAnsi="Arial" w:cstheme="minorBidi"/>
                <w:sz w:val="20"/>
                <w:szCs w:val="22"/>
              </w:rPr>
            </w:pPr>
          </w:p>
        </w:tc>
        <w:tc>
          <w:tcPr>
            <w:tcW w:w="0" w:type="dxa"/>
            <w:tcBorders>
              <w:top w:val="single" w:sz="12" w:space="0" w:color="000075"/>
            </w:tcBorders>
            <w:noWrap/>
            <w:hideMark/>
          </w:tcPr>
          <w:p w14:paraId="79E6EC2B" w14:textId="77777777" w:rsidR="00B73421" w:rsidRPr="00B73421" w:rsidRDefault="00B73421" w:rsidP="00003D0F">
            <w:pPr>
              <w:jc w:val="right"/>
              <w:rPr>
                <w:rFonts w:ascii="Arial" w:eastAsiaTheme="minorHAnsi" w:hAnsi="Arial" w:cs="Arial"/>
                <w:sz w:val="20"/>
                <w:szCs w:val="20"/>
              </w:rPr>
            </w:pPr>
            <w:r w:rsidRPr="00B73421">
              <w:rPr>
                <w:rFonts w:ascii="Arial" w:hAnsi="Arial" w:cs="Arial"/>
                <w:b w:val="0"/>
                <w:bCs/>
                <w:color w:val="000000"/>
                <w:sz w:val="20"/>
                <w:szCs w:val="20"/>
              </w:rPr>
              <w:t>260</w:t>
            </w:r>
          </w:p>
        </w:tc>
        <w:tc>
          <w:tcPr>
            <w:tcW w:w="0" w:type="dxa"/>
            <w:tcBorders>
              <w:top w:val="single" w:sz="12" w:space="0" w:color="000075"/>
            </w:tcBorders>
            <w:noWrap/>
            <w:hideMark/>
          </w:tcPr>
          <w:p w14:paraId="2AFF285B" w14:textId="77777777" w:rsidR="00B73421" w:rsidRPr="00B73421" w:rsidRDefault="00B73421" w:rsidP="00003D0F">
            <w:pPr>
              <w:jc w:val="right"/>
              <w:rPr>
                <w:rFonts w:ascii="Arial" w:eastAsiaTheme="minorHAnsi" w:hAnsi="Arial" w:cs="Arial"/>
                <w:sz w:val="20"/>
                <w:szCs w:val="20"/>
              </w:rPr>
            </w:pPr>
            <w:r w:rsidRPr="00B73421">
              <w:rPr>
                <w:rFonts w:ascii="Arial" w:hAnsi="Arial" w:cs="Arial"/>
                <w:b w:val="0"/>
                <w:bCs/>
                <w:color w:val="000000"/>
                <w:sz w:val="20"/>
                <w:szCs w:val="20"/>
              </w:rPr>
              <w:t>100.00%</w:t>
            </w:r>
          </w:p>
        </w:tc>
        <w:tc>
          <w:tcPr>
            <w:tcW w:w="0" w:type="dxa"/>
            <w:tcBorders>
              <w:top w:val="single" w:sz="12" w:space="0" w:color="000075"/>
            </w:tcBorders>
            <w:noWrap/>
            <w:hideMark/>
          </w:tcPr>
          <w:p w14:paraId="19BBF2EB" w14:textId="77777777" w:rsidR="00B73421" w:rsidRPr="00B73421" w:rsidRDefault="00B73421" w:rsidP="00003D0F">
            <w:pPr>
              <w:jc w:val="right"/>
              <w:rPr>
                <w:rFonts w:ascii="Arial" w:eastAsiaTheme="minorHAnsi" w:hAnsi="Arial" w:cs="Arial"/>
                <w:sz w:val="20"/>
                <w:szCs w:val="20"/>
              </w:rPr>
            </w:pPr>
            <w:r w:rsidRPr="00B73421">
              <w:rPr>
                <w:rFonts w:ascii="Arial" w:hAnsi="Arial" w:cs="Arial"/>
                <w:b w:val="0"/>
                <w:bCs/>
                <w:color w:val="000000"/>
                <w:sz w:val="20"/>
                <w:szCs w:val="20"/>
              </w:rPr>
              <w:t>24</w:t>
            </w:r>
          </w:p>
        </w:tc>
        <w:tc>
          <w:tcPr>
            <w:tcW w:w="0" w:type="dxa"/>
            <w:tcBorders>
              <w:top w:val="single" w:sz="12" w:space="0" w:color="000075"/>
            </w:tcBorders>
            <w:vAlign w:val="bottom"/>
            <w:hideMark/>
          </w:tcPr>
          <w:p w14:paraId="5A62DC43" w14:textId="77777777" w:rsidR="00B73421" w:rsidRPr="00B73421" w:rsidRDefault="00B73421" w:rsidP="00003D0F">
            <w:pPr>
              <w:jc w:val="right"/>
              <w:rPr>
                <w:rFonts w:ascii="Arial" w:eastAsiaTheme="minorHAnsi" w:hAnsi="Arial" w:cs="Arial"/>
                <w:sz w:val="20"/>
                <w:szCs w:val="20"/>
              </w:rPr>
            </w:pPr>
            <w:r w:rsidRPr="00B73421">
              <w:rPr>
                <w:rFonts w:ascii="Arial" w:hAnsi="Arial" w:cs="Arial"/>
                <w:color w:val="000000"/>
                <w:sz w:val="20"/>
                <w:szCs w:val="20"/>
              </w:rPr>
              <w:t>19</w:t>
            </w:r>
          </w:p>
        </w:tc>
      </w:tr>
    </w:tbl>
    <w:p w14:paraId="74B3D36D" w14:textId="77777777" w:rsidR="001D5608" w:rsidRDefault="001D5608" w:rsidP="00770366">
      <w:pPr>
        <w:rPr>
          <w:szCs w:val="20"/>
        </w:rPr>
      </w:pPr>
    </w:p>
    <w:p w14:paraId="2878A203" w14:textId="77777777" w:rsidR="005B7484" w:rsidRDefault="005B7484" w:rsidP="005B7484">
      <w:pPr>
        <w:rPr>
          <w:szCs w:val="20"/>
        </w:rPr>
      </w:pPr>
      <w:r>
        <w:rPr>
          <w:szCs w:val="20"/>
        </w:rPr>
        <w:t>For selected properties with 100 or fewer units, we attempted to enroll all residents. For larger properties residents at the selected properties were selected to create a sample of 100 residents, representative of the property, on the basis of four characteristics from HUD administrative data: race/ethnicity, gender, elderly/non-elderly, and disabled/non-disabled.</w:t>
      </w:r>
    </w:p>
    <w:p w14:paraId="36EC0D28" w14:textId="77777777" w:rsidR="005B7484" w:rsidRDefault="005B7484" w:rsidP="00770366">
      <w:pPr>
        <w:rPr>
          <w:szCs w:val="20"/>
        </w:rPr>
      </w:pPr>
    </w:p>
    <w:p w14:paraId="18C176A0" w14:textId="77777777" w:rsidR="005B7484" w:rsidRDefault="005B7484" w:rsidP="00770366">
      <w:pPr>
        <w:rPr>
          <w:szCs w:val="20"/>
        </w:rPr>
      </w:pPr>
      <w:r>
        <w:rPr>
          <w:szCs w:val="20"/>
        </w:rPr>
        <w:t>All enrolled residents will be asked to complete the survey</w:t>
      </w:r>
    </w:p>
    <w:p w14:paraId="50F0895A" w14:textId="77777777" w:rsidR="005B7484" w:rsidRDefault="005B7484" w:rsidP="00770366">
      <w:pPr>
        <w:rPr>
          <w:szCs w:val="20"/>
        </w:rPr>
      </w:pPr>
    </w:p>
    <w:p w14:paraId="63371D81"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73DA9E" w14:textId="77777777" w:rsidR="007F4005" w:rsidRDefault="007F4005" w:rsidP="00770366">
      <w:pPr>
        <w:numPr>
          <w:ilvl w:val="1"/>
          <w:numId w:val="4"/>
        </w:numPr>
        <w:ind w:left="1080"/>
      </w:pPr>
      <w:r>
        <w:rPr>
          <w:b/>
        </w:rPr>
        <w:t>Procedure for Data Collection</w:t>
      </w:r>
    </w:p>
    <w:p w14:paraId="7B96C9CB" w14:textId="77777777" w:rsidR="007F4005" w:rsidRDefault="007F4005" w:rsidP="00770366">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C86E40" w14:textId="2EE0E075" w:rsidR="00BA1AB5" w:rsidRDefault="007F4005" w:rsidP="00BA1AB5">
      <w:r>
        <w:t xml:space="preserve">Data for the </w:t>
      </w:r>
      <w:r w:rsidR="00BA1AB5">
        <w:t xml:space="preserve">Post-Conversion interviews of </w:t>
      </w:r>
      <w:r w:rsidR="000373D5">
        <w:t xml:space="preserve">23 </w:t>
      </w:r>
      <w:r w:rsidR="00BA1AB5">
        <w:t xml:space="preserve">PHA represented by </w:t>
      </w:r>
      <w:r>
        <w:t xml:space="preserve">the </w:t>
      </w:r>
      <w:r w:rsidR="00BA1AB5">
        <w:t xml:space="preserve">sample of </w:t>
      </w:r>
      <w:r>
        <w:t xml:space="preserve">24 RAD properties will be collected through a </w:t>
      </w:r>
      <w:r w:rsidR="00BA1AB5">
        <w:t>telephone interview</w:t>
      </w:r>
      <w:r>
        <w:t xml:space="preserve">. </w:t>
      </w:r>
      <w:r w:rsidR="00BA1AB5">
        <w:t xml:space="preserve"> In phase one of this study, </w:t>
      </w:r>
      <w:r>
        <w:t xml:space="preserve">Econometrica </w:t>
      </w:r>
      <w:r w:rsidRPr="003E446B">
        <w:t>identif</w:t>
      </w:r>
      <w:r w:rsidR="00BA1AB5">
        <w:t>ied the</w:t>
      </w:r>
      <w:r w:rsidRPr="003E446B">
        <w:t xml:space="preserve"> primary respondent who will </w:t>
      </w:r>
      <w:r w:rsidR="00BA1AB5">
        <w:t>be contacted for arranging the telephone interviews</w:t>
      </w:r>
      <w:r w:rsidR="000373D5">
        <w:t xml:space="preserve"> in phase two</w:t>
      </w:r>
      <w:r>
        <w:t xml:space="preserve">. </w:t>
      </w:r>
      <w:r w:rsidR="00BA1AB5">
        <w:t>After OMB approval, w</w:t>
      </w:r>
      <w:r>
        <w:t xml:space="preserve">e will </w:t>
      </w:r>
      <w:r w:rsidR="00FD7DA8">
        <w:t xml:space="preserve">send </w:t>
      </w:r>
      <w:r w:rsidR="00BA1AB5">
        <w:t xml:space="preserve">these </w:t>
      </w:r>
      <w:r>
        <w:t xml:space="preserve">respondents </w:t>
      </w:r>
      <w:r w:rsidR="00BA1AB5">
        <w:t>an e-mail in advance notifying them that we will be calling them to set up the interview and providing a copy of the questions in advance.  A copy of this notification is included in Appendix C.</w:t>
      </w:r>
      <w:r w:rsidR="00BA1AB5" w:rsidRPr="00BA1AB5">
        <w:t xml:space="preserve"> If necessary, we will make repeated phone calls to encourage response and will enlist the support of HUD staff if we fail to receive a response.</w:t>
      </w:r>
    </w:p>
    <w:p w14:paraId="3E3A70AE" w14:textId="77777777" w:rsidR="007F4005" w:rsidRDefault="007F4005" w:rsidP="00770366"/>
    <w:p w14:paraId="63019E79" w14:textId="77777777" w:rsidR="007F4005" w:rsidRDefault="007F4005" w:rsidP="00770366">
      <w:pPr>
        <w:rPr>
          <w:szCs w:val="20"/>
        </w:rPr>
      </w:pPr>
      <w:r>
        <w:rPr>
          <w:szCs w:val="20"/>
        </w:rPr>
        <w:t>For the resident enrollment portion of the data collection effort, t</w:t>
      </w:r>
      <w:r w:rsidRPr="00F80ADC">
        <w:rPr>
          <w:szCs w:val="20"/>
        </w:rPr>
        <w:t xml:space="preserve">argeted residents </w:t>
      </w:r>
      <w:r w:rsidR="00165DAB">
        <w:rPr>
          <w:szCs w:val="20"/>
        </w:rPr>
        <w:t>were</w:t>
      </w:r>
      <w:r w:rsidR="008D7495">
        <w:rPr>
          <w:szCs w:val="20"/>
        </w:rPr>
        <w:t xml:space="preserve"> </w:t>
      </w:r>
      <w:r w:rsidRPr="00F80ADC">
        <w:rPr>
          <w:szCs w:val="20"/>
        </w:rPr>
        <w:t xml:space="preserve">sent a </w:t>
      </w:r>
      <w:r w:rsidR="00697A2A">
        <w:rPr>
          <w:szCs w:val="20"/>
        </w:rPr>
        <w:t xml:space="preserve">letter </w:t>
      </w:r>
      <w:r w:rsidR="008C0966">
        <w:rPr>
          <w:szCs w:val="20"/>
        </w:rPr>
        <w:t xml:space="preserve">by a HUD Official requesting the household’s participation in the study and including the </w:t>
      </w:r>
      <w:r w:rsidR="008C0966">
        <w:t xml:space="preserve">Resident Intake Study Correspondence and Intake Form.  The letter and Intake Form </w:t>
      </w:r>
      <w:r w:rsidR="008C0966">
        <w:rPr>
          <w:szCs w:val="20"/>
        </w:rPr>
        <w:t>include</w:t>
      </w:r>
      <w:r w:rsidR="00165DAB">
        <w:rPr>
          <w:szCs w:val="20"/>
        </w:rPr>
        <w:t>d</w:t>
      </w:r>
      <w:r w:rsidR="008C0966">
        <w:rPr>
          <w:szCs w:val="20"/>
        </w:rPr>
        <w:t xml:space="preserve"> a phone</w:t>
      </w:r>
      <w:r w:rsidRPr="00F80ADC">
        <w:rPr>
          <w:szCs w:val="20"/>
        </w:rPr>
        <w:t xml:space="preserve"> number to call with questions. </w:t>
      </w:r>
      <w:r w:rsidR="008C0966">
        <w:rPr>
          <w:szCs w:val="20"/>
        </w:rPr>
        <w:t xml:space="preserve"> The households </w:t>
      </w:r>
      <w:r w:rsidR="00165DAB">
        <w:rPr>
          <w:szCs w:val="20"/>
        </w:rPr>
        <w:t>we</w:t>
      </w:r>
      <w:r w:rsidR="008D7495">
        <w:rPr>
          <w:szCs w:val="20"/>
        </w:rPr>
        <w:t>re</w:t>
      </w:r>
      <w:r w:rsidR="008C0966">
        <w:rPr>
          <w:szCs w:val="20"/>
        </w:rPr>
        <w:t xml:space="preserve"> </w:t>
      </w:r>
      <w:r w:rsidRPr="00F80ADC">
        <w:rPr>
          <w:szCs w:val="20"/>
        </w:rPr>
        <w:t>offer</w:t>
      </w:r>
      <w:r w:rsidR="008C0966">
        <w:rPr>
          <w:szCs w:val="20"/>
        </w:rPr>
        <w:t>ed</w:t>
      </w:r>
      <w:r w:rsidRPr="00F80ADC">
        <w:rPr>
          <w:szCs w:val="20"/>
        </w:rPr>
        <w:t xml:space="preserve"> incentives for enrollment and maintenance of continued contact. Multiple mail contacts </w:t>
      </w:r>
      <w:r w:rsidR="00165DAB">
        <w:rPr>
          <w:szCs w:val="20"/>
        </w:rPr>
        <w:t>we</w:t>
      </w:r>
      <w:r w:rsidR="008D7495">
        <w:rPr>
          <w:szCs w:val="20"/>
        </w:rPr>
        <w:t>re</w:t>
      </w:r>
      <w:r w:rsidRPr="00F80ADC">
        <w:rPr>
          <w:szCs w:val="20"/>
        </w:rPr>
        <w:t xml:space="preserve"> made to improve response rates. </w:t>
      </w:r>
      <w:r w:rsidR="00165DAB">
        <w:rPr>
          <w:szCs w:val="20"/>
        </w:rPr>
        <w:t>Approximately 5</w:t>
      </w:r>
      <w:r w:rsidRPr="00F80ADC">
        <w:rPr>
          <w:szCs w:val="20"/>
        </w:rPr>
        <w:t>00 residents enroll</w:t>
      </w:r>
      <w:r w:rsidR="00165DAB">
        <w:rPr>
          <w:szCs w:val="20"/>
        </w:rPr>
        <w:t>ed</w:t>
      </w:r>
      <w:r w:rsidR="008D7495">
        <w:rPr>
          <w:szCs w:val="20"/>
        </w:rPr>
        <w:t xml:space="preserve"> during phase one of the study</w:t>
      </w:r>
      <w:r w:rsidRPr="00F80ADC">
        <w:rPr>
          <w:szCs w:val="20"/>
        </w:rPr>
        <w:t>.</w:t>
      </w:r>
    </w:p>
    <w:p w14:paraId="50296AF0" w14:textId="77777777" w:rsidR="00F93AAE" w:rsidRDefault="00F93AAE" w:rsidP="00770366">
      <w:pPr>
        <w:rPr>
          <w:szCs w:val="20"/>
        </w:rPr>
      </w:pPr>
    </w:p>
    <w:p w14:paraId="78E5BD52" w14:textId="048CDBA4" w:rsidR="00F93AAE" w:rsidRDefault="00F93AAE" w:rsidP="00F93AAE">
      <w:pPr>
        <w:rPr>
          <w:szCs w:val="20"/>
        </w:rPr>
      </w:pPr>
      <w:r w:rsidRPr="00F93AAE">
        <w:rPr>
          <w:szCs w:val="20"/>
        </w:rPr>
        <w:t xml:space="preserve">We will </w:t>
      </w:r>
      <w:r w:rsidR="005B7484">
        <w:rPr>
          <w:szCs w:val="20"/>
        </w:rPr>
        <w:t>attempt</w:t>
      </w:r>
      <w:r w:rsidRPr="00F93AAE">
        <w:rPr>
          <w:szCs w:val="20"/>
        </w:rPr>
        <w:t xml:space="preserve"> to </w:t>
      </w:r>
      <w:r w:rsidR="005B7484">
        <w:rPr>
          <w:szCs w:val="20"/>
        </w:rPr>
        <w:t>survey all enrolled residents</w:t>
      </w:r>
      <w:r w:rsidRPr="00F93AAE">
        <w:rPr>
          <w:szCs w:val="20"/>
        </w:rPr>
        <w:t xml:space="preserve">, with the goal of 400 completed surveys and a minimum of 300 completed surveys </w:t>
      </w:r>
      <w:r w:rsidR="009B1CA6">
        <w:rPr>
          <w:szCs w:val="20"/>
        </w:rPr>
        <w:t xml:space="preserve">for </w:t>
      </w:r>
      <w:r w:rsidRPr="00F93AAE">
        <w:rPr>
          <w:szCs w:val="20"/>
        </w:rPr>
        <w:t>the analysis</w:t>
      </w:r>
      <w:r w:rsidR="005B7484">
        <w:rPr>
          <w:szCs w:val="20"/>
        </w:rPr>
        <w:t xml:space="preserve">. </w:t>
      </w:r>
      <w:r w:rsidRPr="00F93AAE">
        <w:rPr>
          <w:szCs w:val="20"/>
        </w:rPr>
        <w:t xml:space="preserve">The survey phase will begin after residents have had the opportunity to return to the rehabilitated property or have permanently </w:t>
      </w:r>
      <w:r w:rsidR="00042DB6">
        <w:rPr>
          <w:szCs w:val="20"/>
        </w:rPr>
        <w:t>re</w:t>
      </w:r>
      <w:r w:rsidRPr="00F93AAE">
        <w:rPr>
          <w:szCs w:val="20"/>
        </w:rPr>
        <w:t>located to a new property if the original property was replaced. Properties in the sample will reach this stage at different dates, so fielding will occur over an extended timeline. Some properties in our sample—particularly those that did not require relocation—may already have completed all work. Prior to fielding, the survey firm will conduct final address confirmation and tracking tasks. Tracking and address confirmation activities covered under OMB clearance for the base tasks (OMB Approval No. 2528-0304) can take place before OMB approval for this phase.</w:t>
      </w:r>
    </w:p>
    <w:p w14:paraId="209CDD44" w14:textId="77777777" w:rsidR="00F93AAE" w:rsidRPr="00F93AAE" w:rsidRDefault="00F93AAE" w:rsidP="00F93AAE">
      <w:pPr>
        <w:rPr>
          <w:szCs w:val="20"/>
        </w:rPr>
      </w:pPr>
    </w:p>
    <w:p w14:paraId="3CE13186" w14:textId="5C8568AE" w:rsidR="00F93AAE" w:rsidRPr="00F93AAE" w:rsidRDefault="00F93AAE" w:rsidP="00F93AAE">
      <w:pPr>
        <w:rPr>
          <w:szCs w:val="20"/>
        </w:rPr>
      </w:pPr>
      <w:r w:rsidRPr="00F93AAE">
        <w:rPr>
          <w:szCs w:val="20"/>
        </w:rPr>
        <w:t xml:space="preserve">The survey will be pretested on no more than nine residents of </w:t>
      </w:r>
      <w:r w:rsidR="005B7484" w:rsidRPr="00F93AAE">
        <w:rPr>
          <w:szCs w:val="20"/>
        </w:rPr>
        <w:t>propert</w:t>
      </w:r>
      <w:r w:rsidR="005B7484">
        <w:rPr>
          <w:szCs w:val="20"/>
        </w:rPr>
        <w:t>ies</w:t>
      </w:r>
      <w:r w:rsidRPr="00F93AAE">
        <w:rPr>
          <w:szCs w:val="20"/>
        </w:rPr>
        <w:t xml:space="preserve"> where work has been completed. </w:t>
      </w:r>
      <w:r w:rsidR="005B7484">
        <w:rPr>
          <w:szCs w:val="20"/>
        </w:rPr>
        <w:t>Three projects will be selected</w:t>
      </w:r>
      <w:r w:rsidR="00165D82">
        <w:rPr>
          <w:szCs w:val="20"/>
        </w:rPr>
        <w:t>:</w:t>
      </w:r>
      <w:r w:rsidR="005B7484">
        <w:rPr>
          <w:szCs w:val="20"/>
        </w:rPr>
        <w:t xml:space="preserve"> one new construction, one rehab, and one neither rehab nor new construction</w:t>
      </w:r>
      <w:r w:rsidR="00165D82">
        <w:rPr>
          <w:szCs w:val="20"/>
        </w:rPr>
        <w:t>.</w:t>
      </w:r>
      <w:r w:rsidR="005B7484">
        <w:rPr>
          <w:szCs w:val="20"/>
        </w:rPr>
        <w:t xml:space="preserve"> </w:t>
      </w:r>
      <w:r w:rsidRPr="00F93AAE">
        <w:rPr>
          <w:szCs w:val="20"/>
        </w:rPr>
        <w:t xml:space="preserve">The pretest will identify problems with the instruments’ length and clarity. </w:t>
      </w:r>
    </w:p>
    <w:p w14:paraId="1EC67237" w14:textId="77777777" w:rsidR="005B7484" w:rsidRDefault="005B7484" w:rsidP="00F93AAE">
      <w:pPr>
        <w:rPr>
          <w:szCs w:val="20"/>
        </w:rPr>
      </w:pPr>
    </w:p>
    <w:p w14:paraId="2635C7E2" w14:textId="77777777" w:rsidR="00F93AAE" w:rsidRDefault="00F93AAE" w:rsidP="00F93AAE">
      <w:pPr>
        <w:rPr>
          <w:szCs w:val="20"/>
        </w:rPr>
      </w:pPr>
      <w:r w:rsidRPr="00F93AAE">
        <w:rPr>
          <w:szCs w:val="20"/>
        </w:rPr>
        <w:t>We have concluded that the initial stage should rely upon call-in and phone survey administration rather than asking respondents to return completed surveys through the mail. With a planned length of 30 minutes, the survey may discourage self-administration and may prove to be a particular challenge to respondents with low literacy.</w:t>
      </w:r>
    </w:p>
    <w:p w14:paraId="7841F9A5" w14:textId="77777777" w:rsidR="00F93AAE" w:rsidRPr="00F93AAE" w:rsidRDefault="00F93AAE" w:rsidP="00F93AAE">
      <w:pPr>
        <w:rPr>
          <w:szCs w:val="20"/>
        </w:rPr>
      </w:pPr>
    </w:p>
    <w:p w14:paraId="16133943" w14:textId="3332EE22" w:rsidR="00F93AAE" w:rsidRDefault="00F93AAE" w:rsidP="00F93AAE">
      <w:pPr>
        <w:rPr>
          <w:szCs w:val="20"/>
        </w:rPr>
      </w:pPr>
      <w:r w:rsidRPr="00F93AAE">
        <w:rPr>
          <w:szCs w:val="20"/>
        </w:rPr>
        <w:t xml:space="preserve">Survey fieldwork could begin shortly after OMB clearance for the survey. Fielding the survey will begin with a mailing to the enrollees, with a small ($5) </w:t>
      </w:r>
      <w:r w:rsidR="00FD7DA8">
        <w:rPr>
          <w:szCs w:val="20"/>
        </w:rPr>
        <w:t>pre-</w:t>
      </w:r>
      <w:r w:rsidRPr="00F93AAE">
        <w:rPr>
          <w:szCs w:val="20"/>
        </w:rPr>
        <w:t>incentive and the offer of an additional incentive ($2</w:t>
      </w:r>
      <w:r w:rsidR="005B7484">
        <w:rPr>
          <w:szCs w:val="20"/>
        </w:rPr>
        <w:t>5</w:t>
      </w:r>
      <w:r w:rsidRPr="00F93AAE">
        <w:rPr>
          <w:szCs w:val="20"/>
        </w:rPr>
        <w:t>) for completing the survey. The letter will request residents to call a toll-free number to complete the survey over the phone. Following the initial letter, the survey firm will make up to four calls to the telephone number collected through the enrollment form. A second mailing will be sent if there is no response, with a $2 pre-incentive. Following the second mailing, the survey firm will attempt telephone contact, with up to four additional attempts.</w:t>
      </w:r>
    </w:p>
    <w:p w14:paraId="7A887ECD" w14:textId="77777777" w:rsidR="00F93AAE" w:rsidRPr="00F93AAE" w:rsidRDefault="00F93AAE" w:rsidP="00F93AAE">
      <w:pPr>
        <w:rPr>
          <w:szCs w:val="20"/>
        </w:rPr>
      </w:pPr>
    </w:p>
    <w:p w14:paraId="617578E7" w14:textId="166C917B" w:rsidR="00F93AAE" w:rsidRPr="00F80ADC" w:rsidRDefault="00F93AAE" w:rsidP="00F93AAE">
      <w:pPr>
        <w:rPr>
          <w:szCs w:val="20"/>
        </w:rPr>
      </w:pPr>
      <w:r w:rsidRPr="00F93AAE">
        <w:rPr>
          <w:szCs w:val="20"/>
        </w:rPr>
        <w:t xml:space="preserve">Because using in-person field staff to either administer the survey or facilitate completion over the phone is prohibitively expensive for </w:t>
      </w:r>
      <w:r w:rsidR="005B7484">
        <w:rPr>
          <w:szCs w:val="20"/>
        </w:rPr>
        <w:t>19</w:t>
      </w:r>
      <w:r w:rsidRPr="00F93AAE">
        <w:rPr>
          <w:szCs w:val="20"/>
        </w:rPr>
        <w:t xml:space="preserve"> sites, we are relying on the dial-in and direct contact phone modes, with the cash incentive, to achieve acceptable response rates at most selected properties. For a limited number of sites, if these efforts fall short, field staff will be sent to convert </w:t>
      </w:r>
      <w:r w:rsidR="00165D82" w:rsidRPr="00F93AAE">
        <w:rPr>
          <w:szCs w:val="20"/>
        </w:rPr>
        <w:t>non-responses</w:t>
      </w:r>
      <w:r w:rsidRPr="00F93AAE">
        <w:rPr>
          <w:szCs w:val="20"/>
        </w:rPr>
        <w:t xml:space="preserve"> through in-person contact, equipped with cell phones to allow residents to call to complete the survey over the phone.</w:t>
      </w:r>
    </w:p>
    <w:p w14:paraId="72AC2EA0"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85A1DE" w14:textId="77777777" w:rsidR="007F4005" w:rsidRDefault="007F4005" w:rsidP="00770366">
      <w:pPr>
        <w:numPr>
          <w:ilvl w:val="1"/>
          <w:numId w:val="4"/>
        </w:numPr>
        <w:ind w:left="1080"/>
        <w:rPr>
          <w:b/>
        </w:rPr>
      </w:pPr>
      <w:r>
        <w:rPr>
          <w:b/>
        </w:rPr>
        <w:t xml:space="preserve">Estimation </w:t>
      </w:r>
    </w:p>
    <w:p w14:paraId="6B9F914B" w14:textId="77777777" w:rsidR="007F4005" w:rsidRDefault="007F400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395EDAB" w14:textId="77777777" w:rsidR="007F4005" w:rsidRDefault="007F400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Despite the measures described </w:t>
      </w:r>
      <w:r w:rsidR="000373D5">
        <w:t>above</w:t>
      </w:r>
      <w:r>
        <w:t xml:space="preserve"> to reduce non-response rates, it is likely that some sample units will remain unmeasured. We will measure response bias and use post-survey adjustment to reduce non-response error.</w:t>
      </w:r>
    </w:p>
    <w:p w14:paraId="09CBAA0B"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A22F4F" w14:textId="0EC8571E" w:rsidR="007113B4" w:rsidRDefault="005B7484"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resident survey is designed to representative of </w:t>
      </w:r>
      <w:r w:rsidR="00F93AAE">
        <w:t xml:space="preserve">the </w:t>
      </w:r>
      <w:r>
        <w:t>universe of RAD projects. Responses to</w:t>
      </w:r>
      <w:r w:rsidR="00F93AAE">
        <w:t xml:space="preserve"> the </w:t>
      </w:r>
      <w:r>
        <w:t>survey will be weighted by property</w:t>
      </w:r>
      <w:r w:rsidR="00F93AAE">
        <w:t xml:space="preserve"> to correct for differences between the sampled properties and the </w:t>
      </w:r>
      <w:r>
        <w:t>universe</w:t>
      </w:r>
      <w:r w:rsidR="007113B4">
        <w:t>. For example, weighs will</w:t>
      </w:r>
      <w:r>
        <w:t xml:space="preserve"> correct for the undersample of substandard performing properties, or</w:t>
      </w:r>
      <w:r w:rsidR="00F93AAE">
        <w:t xml:space="preserve"> if necessary</w:t>
      </w:r>
      <w:r>
        <w:t xml:space="preserve"> to adjust for a low response-rate from a particular property.</w:t>
      </w:r>
    </w:p>
    <w:p w14:paraId="36C2C1C3" w14:textId="77777777" w:rsidR="00112A91" w:rsidRDefault="00112A91"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6BF458" w14:textId="7FAE92B6" w:rsidR="00F93AAE" w:rsidRDefault="005B7484"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Weights representing respondent characteristics will not be constructed. Respondents were selected for enro</w:t>
      </w:r>
      <w:r w:rsidR="007113B4">
        <w:t>l</w:t>
      </w:r>
      <w:r>
        <w:t>lment to be representative of their RAD properties. Through several rounds of email and telephone contact during the enrolment process, we worked to convert non-responses and ensure a representative sample. Because survey responses will not be linked to administrative data, we cannot weight survey responses to adjust for differences between the respondents and the other residents of the property</w:t>
      </w:r>
      <w:r w:rsidR="00F93AAE">
        <w:t>.</w:t>
      </w:r>
    </w:p>
    <w:p w14:paraId="3289C8DC" w14:textId="77777777" w:rsidR="00F93AAE" w:rsidRDefault="00F93AAE"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EB612F" w14:textId="77777777" w:rsidR="007F4005" w:rsidRPr="004D5244" w:rsidRDefault="007F4005" w:rsidP="00770366">
      <w:pPr>
        <w:keepNext/>
        <w:numPr>
          <w:ilvl w:val="0"/>
          <w:numId w:val="3"/>
        </w:numPr>
        <w:ind w:left="360"/>
        <w:rPr>
          <w:b/>
          <w:bCs/>
          <w:u w:val="single"/>
        </w:rPr>
      </w:pPr>
      <w:r w:rsidRPr="004D5244">
        <w:rPr>
          <w:b/>
          <w:bCs/>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62FC29EE" w14:textId="77777777" w:rsidR="007F4005" w:rsidRDefault="007F4005" w:rsidP="0077036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E171FD" w14:textId="60590CE4" w:rsidR="007F4005" w:rsidDel="00F93AAE" w:rsidRDefault="007F4005" w:rsidP="0077036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Del="00F93AAE">
        <w:t xml:space="preserve">To achieve a high response rate, </w:t>
      </w:r>
      <w:r w:rsidR="00B94841" w:rsidDel="00F93AAE">
        <w:t xml:space="preserve">we will take </w:t>
      </w:r>
      <w:r>
        <w:t xml:space="preserve">four </w:t>
      </w:r>
      <w:r w:rsidDel="00F93AAE">
        <w:t>steps that are consistent with contemporary strategies in the field of survey research.</w:t>
      </w:r>
    </w:p>
    <w:p w14:paraId="29DEF1A5"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E90ECC" w14:textId="34D74EED" w:rsidR="002B7752" w:rsidRDefault="00F93AAE" w:rsidP="002B7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First, enrollment efforts for the resident survey</w:t>
      </w:r>
      <w:r w:rsidR="002B7752">
        <w:t xml:space="preserve"> </w:t>
      </w:r>
      <w:r w:rsidR="00C0573A">
        <w:t xml:space="preserve">began </w:t>
      </w:r>
      <w:r w:rsidR="002B7752">
        <w:t xml:space="preserve">with a notification letter from HUD’s </w:t>
      </w:r>
      <w:r>
        <w:t>Deputy Assistan</w:t>
      </w:r>
      <w:r w:rsidR="00042DB6">
        <w:t>t</w:t>
      </w:r>
      <w:r>
        <w:t xml:space="preserve"> Secretary for the Office of </w:t>
      </w:r>
      <w:r w:rsidRPr="00F93AAE">
        <w:t>Research, Evaluation and Monitoring</w:t>
      </w:r>
      <w:r>
        <w:t>,</w:t>
      </w:r>
      <w:r w:rsidRPr="00F93AAE">
        <w:t xml:space="preserve"> </w:t>
      </w:r>
      <w:r w:rsidR="002B7752">
        <w:t xml:space="preserve">and an enrollment/tracking form to the sampled population. A $5 gift card incentive </w:t>
      </w:r>
      <w:r w:rsidR="00C0573A">
        <w:t xml:space="preserve">was </w:t>
      </w:r>
      <w:r w:rsidR="002B7752">
        <w:t xml:space="preserve">offered for participation. A reminder postcard </w:t>
      </w:r>
      <w:r w:rsidR="00C0573A">
        <w:t xml:space="preserve">was </w:t>
      </w:r>
      <w:r w:rsidR="002B7752">
        <w:t xml:space="preserve">mailed two weeks after the first mailing. A second notification letter and enrollment form is subsequently mailed to those that have not enrolled. A final recruitment package </w:t>
      </w:r>
      <w:r w:rsidR="00C0573A">
        <w:t xml:space="preserve">included </w:t>
      </w:r>
      <w:r w:rsidR="002B7752">
        <w:t xml:space="preserve">a $2 incentive. We </w:t>
      </w:r>
      <w:r w:rsidR="00C0573A">
        <w:t xml:space="preserve">made </w:t>
      </w:r>
      <w:r w:rsidR="002B7752">
        <w:t xml:space="preserve">up to 5 attempts by telephone to reach residents who do not enroll after receiving three mailings. Finally, we will conduct a non-response bias analysis on the </w:t>
      </w:r>
      <w:r w:rsidR="00042DB6">
        <w:t>results of the enrollment process and the survey</w:t>
      </w:r>
      <w:r w:rsidR="002B7752">
        <w:t>.</w:t>
      </w:r>
    </w:p>
    <w:p w14:paraId="4FE9895E" w14:textId="77777777" w:rsidR="002B7752" w:rsidRDefault="002B7752"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47AC25" w14:textId="77777777" w:rsidR="00F93AAE" w:rsidRDefault="002B7752"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Second</w:t>
      </w:r>
      <w:r w:rsidR="007F4005">
        <w:t xml:space="preserve">, the </w:t>
      </w:r>
      <w:r w:rsidR="00B94841">
        <w:t xml:space="preserve">resident </w:t>
      </w:r>
      <w:r w:rsidR="007F4005">
        <w:t xml:space="preserve">survey </w:t>
      </w:r>
      <w:r w:rsidR="00F93AAE">
        <w:t>is designed to be easily understandable and reasonably quick to complete, no more than half an hour. Attempts to gain resident cooperation will follow several stages:</w:t>
      </w:r>
    </w:p>
    <w:p w14:paraId="51A3EED7" w14:textId="77777777" w:rsidR="00F93AAE" w:rsidRDefault="00F93AAE"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0EA16C" w14:textId="46613221" w:rsidR="00F93AAE" w:rsidRDefault="00F93AAE" w:rsidP="00F93AAE">
      <w:pPr>
        <w:numPr>
          <w:ilvl w:val="0"/>
          <w:numId w:val="8"/>
        </w:numPr>
      </w:pPr>
      <w:r>
        <w:t xml:space="preserve">Mail an advance notification letter from HUD to the sampled population, </w:t>
      </w:r>
      <w:r w:rsidR="00CD0ED1">
        <w:t xml:space="preserve">including </w:t>
      </w:r>
      <w:r>
        <w:t>a $5 cash/gift card incentive for participation and request to call an 800 number to complete the survey</w:t>
      </w:r>
    </w:p>
    <w:p w14:paraId="6153749D" w14:textId="77777777" w:rsidR="00F93AAE" w:rsidRDefault="00F93AAE" w:rsidP="00F93AAE">
      <w:pPr>
        <w:numPr>
          <w:ilvl w:val="0"/>
          <w:numId w:val="8"/>
        </w:numPr>
      </w:pPr>
      <w:r>
        <w:t>Attempt four outbound calls to participants to complete survey</w:t>
      </w:r>
    </w:p>
    <w:p w14:paraId="59AD96B5" w14:textId="77777777" w:rsidR="00F93AAE" w:rsidRDefault="00F93AAE" w:rsidP="00F93AAE">
      <w:pPr>
        <w:numPr>
          <w:ilvl w:val="0"/>
          <w:numId w:val="8"/>
        </w:numPr>
      </w:pPr>
      <w:r>
        <w:t xml:space="preserve">Pause telephone outreach and mail 8-page questionnaire </w:t>
      </w:r>
      <w:r w:rsidRPr="00B15E5D">
        <w:t xml:space="preserve">(with $2 </w:t>
      </w:r>
      <w:r>
        <w:t>pre-</w:t>
      </w:r>
      <w:r w:rsidRPr="00B15E5D">
        <w:t>incentive).</w:t>
      </w:r>
    </w:p>
    <w:p w14:paraId="737B7844" w14:textId="77777777" w:rsidR="00F93AAE" w:rsidRDefault="00F93AAE" w:rsidP="00F93AAE">
      <w:pPr>
        <w:numPr>
          <w:ilvl w:val="0"/>
          <w:numId w:val="8"/>
        </w:numPr>
      </w:pPr>
      <w:r>
        <w:t xml:space="preserve">Carry out a follow-up survey completion effort by telephone (4 call attempts) </w:t>
      </w:r>
    </w:p>
    <w:p w14:paraId="62C1B2BA" w14:textId="77777777" w:rsidR="00F93AAE" w:rsidRDefault="00F93AAE" w:rsidP="00F93AAE">
      <w:pPr>
        <w:numPr>
          <w:ilvl w:val="0"/>
          <w:numId w:val="8"/>
        </w:numPr>
      </w:pPr>
      <w:r>
        <w:t xml:space="preserve">Conduct in-person follow up at no more than 15 sites </w:t>
      </w:r>
    </w:p>
    <w:p w14:paraId="3BF2644F" w14:textId="75F33A1C" w:rsidR="00F93AAE" w:rsidRDefault="00F93AAE" w:rsidP="00F93AAE">
      <w:pPr>
        <w:numPr>
          <w:ilvl w:val="0"/>
          <w:numId w:val="8"/>
        </w:numPr>
      </w:pPr>
      <w:r>
        <w:t>Provide $25 post-incentives for completion of survey by telephone, in person, or by mail</w:t>
      </w:r>
    </w:p>
    <w:p w14:paraId="5CFF0343"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3E2D1601" w14:textId="192B1B63" w:rsidR="007F4005" w:rsidRPr="003E446B" w:rsidRDefault="002B7752" w:rsidP="00F25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rPr>
      </w:pPr>
      <w:r>
        <w:t xml:space="preserve">Third, </w:t>
      </w:r>
      <w:r w:rsidR="007F4005">
        <w:t xml:space="preserve">respondents are treated as real people with distinct identities. </w:t>
      </w:r>
      <w:r w:rsidR="007F4005" w:rsidDel="00CD0ED1">
        <w:t>The distribution mailings are addressed to specific respondents rather than to a generic “hous</w:t>
      </w:r>
      <w:r w:rsidR="0062504F" w:rsidDel="00CD0ED1">
        <w:t>eholder</w:t>
      </w:r>
      <w:r w:rsidR="007F4005" w:rsidDel="00CD0ED1">
        <w:t>.”</w:t>
      </w:r>
      <w:r w:rsidR="007F4005" w:rsidRPr="003E446B" w:rsidDel="00CD0ED1">
        <w:t xml:space="preserve">  </w:t>
      </w:r>
    </w:p>
    <w:p w14:paraId="62B1F715" w14:textId="77777777" w:rsidR="007F4005" w:rsidRDefault="007F4005" w:rsidP="00F25CFB">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060CED9" w14:textId="58F1A061" w:rsidR="007F4005" w:rsidRDefault="002B7752" w:rsidP="00F25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Fourth</w:t>
      </w:r>
      <w:r w:rsidR="007F4005">
        <w:t>, the cover letter accompanying the survey provides a clear explanation of the reasons for the data collection and urges participation. The cover letter also encourages response by explaining that responses will be kept confidential, meaning that data will be</w:t>
      </w:r>
      <w:r w:rsidR="007F4005" w:rsidRPr="003E446B">
        <w:t xml:space="preserve"> made available in a form that would </w:t>
      </w:r>
      <w:r w:rsidR="007F4005">
        <w:t xml:space="preserve">not </w:t>
      </w:r>
      <w:r w:rsidR="007F4005" w:rsidRPr="003E446B">
        <w:t xml:space="preserve">reveal the identity of </w:t>
      </w:r>
      <w:r>
        <w:t>the person making the comment.</w:t>
      </w:r>
    </w:p>
    <w:p w14:paraId="7CEC3C16" w14:textId="77777777" w:rsidR="008F0D75" w:rsidRDefault="008F0D75" w:rsidP="008F0D75"/>
    <w:p w14:paraId="0DCA0F5B" w14:textId="386F6234" w:rsidR="008F0D75" w:rsidRDefault="008F0D75" w:rsidP="008F0D75">
      <w:r w:rsidRPr="00124E08">
        <w:t xml:space="preserve">This design includes several strategies to overcome </w:t>
      </w:r>
      <w:r w:rsidR="00165D82">
        <w:t>non-response</w:t>
      </w:r>
      <w:r w:rsidRPr="00124E08">
        <w:t>, of particular importance given the extended period since enrollment for some respondents. First, the pre-incentives will foster increased confidence in the full incentive for completing the survey. Second, the incentive itself should boost response rates. Finally, the option of in-person surveys will allow us to address properties with low response rates. Because we will not know the response rates through the phone survey for all properties at the same time, we will make the decision to field the survey in person at a particular property based on being able to meet the minimum number of complete</w:t>
      </w:r>
      <w:r w:rsidR="00CD0ED1">
        <w:t xml:space="preserve">d </w:t>
      </w:r>
      <w:r w:rsidRPr="00124E08">
        <w:t>s</w:t>
      </w:r>
      <w:r w:rsidR="00CD0ED1">
        <w:t>urveys</w:t>
      </w:r>
      <w:r>
        <w:t>. We</w:t>
      </w:r>
      <w:r w:rsidRPr="00124E08">
        <w:t xml:space="preserve"> will wait to begin in-person fielding until response rates can be compared across several properties.</w:t>
      </w:r>
    </w:p>
    <w:p w14:paraId="1BBBD72C" w14:textId="77777777" w:rsidR="00C3676A" w:rsidRDefault="00C3676A"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3A86E8" w14:textId="77777777" w:rsidR="002B7752" w:rsidRDefault="002B7752"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 the PHA interviews, we will be contacting PHAs that have already participated in the RAD evaluation during phase one.  This second round of interviews will be treated as a follow-up to the initial interviews.  If necessary, we will enlist the support of HUD staff to address any failures of a PHA to respond after several requests to set up an interview.</w:t>
      </w:r>
    </w:p>
    <w:p w14:paraId="3056368B" w14:textId="77777777" w:rsidR="002B7752" w:rsidRDefault="002B7752"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77382D" w14:textId="77777777" w:rsidR="00F47B87" w:rsidRDefault="00F47B87"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See Appendix </w:t>
      </w:r>
      <w:r w:rsidR="00BC7AE2">
        <w:t xml:space="preserve">C </w:t>
      </w:r>
      <w:r>
        <w:t>for copies of notifications.</w:t>
      </w:r>
    </w:p>
    <w:p w14:paraId="56B313B4" w14:textId="77777777" w:rsidR="00F47B87" w:rsidRDefault="00F47B87"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793998" w14:textId="77777777" w:rsidR="004C30D2" w:rsidRPr="005123E4" w:rsidRDefault="004C30D2" w:rsidP="004C30D2">
      <w:pPr>
        <w:spacing w:after="200" w:line="276" w:lineRule="auto"/>
        <w:rPr>
          <w:rFonts w:eastAsiaTheme="minorHAnsi"/>
          <w:b/>
        </w:rPr>
      </w:pPr>
      <w:r>
        <w:rPr>
          <w:rFonts w:eastAsiaTheme="minorHAnsi"/>
          <w:b/>
        </w:rPr>
        <w:t xml:space="preserve">Strategies for Mitigating </w:t>
      </w:r>
      <w:r w:rsidRPr="005123E4">
        <w:rPr>
          <w:rFonts w:eastAsiaTheme="minorHAnsi"/>
          <w:b/>
        </w:rPr>
        <w:t xml:space="preserve">Non-Response </w:t>
      </w:r>
      <w:r>
        <w:rPr>
          <w:rFonts w:eastAsiaTheme="minorHAnsi"/>
          <w:b/>
        </w:rPr>
        <w:t>Bias</w:t>
      </w:r>
    </w:p>
    <w:p w14:paraId="27A351CA" w14:textId="77777777" w:rsidR="00860AFB" w:rsidRDefault="00CF302F" w:rsidP="00CF30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We do not anticipate significant non-responses for the PHA post-conversion interviews, as explained above, primarily because most of the PHAs in our sample have already participated in phase one of the study.  If responses are shown to be non-representative </w:t>
      </w:r>
      <w:r w:rsidR="004B7FBF">
        <w:t>of the</w:t>
      </w:r>
      <w:r>
        <w:t xml:space="preserve"> sample, they will be weighted to reflect the population more accurately. </w:t>
      </w:r>
    </w:p>
    <w:p w14:paraId="3F85767E" w14:textId="77777777" w:rsidR="00CF302F" w:rsidRDefault="00CF302F" w:rsidP="00CF30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DDA5FC" w14:textId="452FDD9D" w:rsidR="005123E4" w:rsidRPr="00D12C6E" w:rsidRDefault="005123E4" w:rsidP="00D1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D12C6E">
        <w:t>During the resident enrollment phase</w:t>
      </w:r>
      <w:r w:rsidR="00C45B9B">
        <w:t>,</w:t>
      </w:r>
      <w:r w:rsidRPr="00D12C6E">
        <w:t xml:space="preserve"> the goal </w:t>
      </w:r>
      <w:r w:rsidR="007212A0">
        <w:t xml:space="preserve">has been </w:t>
      </w:r>
      <w:r w:rsidRPr="00D12C6E">
        <w:t>to build a sample that is representative of RAD properties and the residents in those properties</w:t>
      </w:r>
      <w:r w:rsidR="00BA1AB5">
        <w:t>, subject to the constraint of having sufficient numbers of properties that are close to closing but have not closed</w:t>
      </w:r>
      <w:r w:rsidRPr="00D12C6E">
        <w:t xml:space="preserve">. </w:t>
      </w:r>
      <w:r w:rsidR="004C30D2" w:rsidRPr="00D12C6E">
        <w:t>We select</w:t>
      </w:r>
      <w:r w:rsidR="004F60B2">
        <w:t>ed</w:t>
      </w:r>
      <w:r w:rsidR="004C30D2" w:rsidRPr="00D12C6E">
        <w:t xml:space="preserve"> prop</w:t>
      </w:r>
      <w:r w:rsidR="004C30D2">
        <w:t xml:space="preserve">erties for the sample using PHA </w:t>
      </w:r>
      <w:r w:rsidR="004C30D2" w:rsidRPr="00D12C6E">
        <w:t>size</w:t>
      </w:r>
      <w:r w:rsidR="004C30D2">
        <w:t xml:space="preserve"> and project </w:t>
      </w:r>
      <w:r w:rsidR="004C30D2" w:rsidRPr="00D12C6E">
        <w:t>performance although only properties that have</w:t>
      </w:r>
      <w:r w:rsidR="0001750E" w:rsidRPr="0001750E">
        <w:t xml:space="preserve"> </w:t>
      </w:r>
      <w:r w:rsidR="0001750E">
        <w:t>received an RAD Conversion Commitment (RCC)</w:t>
      </w:r>
      <w:r w:rsidR="004C30D2" w:rsidRPr="00D12C6E">
        <w:t xml:space="preserve"> and in which work has not yet begun </w:t>
      </w:r>
      <w:r w:rsidR="004C30D2">
        <w:t>are</w:t>
      </w:r>
      <w:r w:rsidR="004C30D2" w:rsidRPr="00D12C6E">
        <w:t xml:space="preserve"> eligible. </w:t>
      </w:r>
      <w:r w:rsidRPr="00D12C6E">
        <w:t xml:space="preserve">We </w:t>
      </w:r>
      <w:r w:rsidR="002C5715">
        <w:t>are</w:t>
      </w:r>
      <w:r w:rsidRPr="00D12C6E">
        <w:t xml:space="preserve"> monitor</w:t>
      </w:r>
      <w:r w:rsidR="002C5715">
        <w:t>ing</w:t>
      </w:r>
      <w:r w:rsidRPr="00D12C6E">
        <w:t xml:space="preserve"> responses for two primary problems that could require action:</w:t>
      </w:r>
    </w:p>
    <w:p w14:paraId="31359F19" w14:textId="77777777" w:rsidR="004C30D2" w:rsidRPr="005123E4" w:rsidRDefault="0001750E" w:rsidP="004C30D2">
      <w:pPr>
        <w:numPr>
          <w:ilvl w:val="0"/>
          <w:numId w:val="7"/>
        </w:numPr>
        <w:spacing w:after="200" w:line="276" w:lineRule="auto"/>
        <w:contextualSpacing/>
        <w:rPr>
          <w:rFonts w:eastAsiaTheme="minorHAnsi"/>
        </w:rPr>
      </w:pPr>
      <w:r>
        <w:rPr>
          <w:rFonts w:eastAsiaTheme="minorHAnsi"/>
        </w:rPr>
        <w:t>Enrollment r</w:t>
      </w:r>
      <w:r w:rsidR="004C30D2" w:rsidRPr="005123E4">
        <w:rPr>
          <w:rFonts w:eastAsiaTheme="minorHAnsi"/>
        </w:rPr>
        <w:t>ates from a particular property are below our target threshold (20%).</w:t>
      </w:r>
    </w:p>
    <w:p w14:paraId="3D396CF7" w14:textId="77777777" w:rsidR="005123E4" w:rsidRPr="005123E4" w:rsidRDefault="0001750E" w:rsidP="005123E4">
      <w:pPr>
        <w:numPr>
          <w:ilvl w:val="0"/>
          <w:numId w:val="7"/>
        </w:numPr>
        <w:spacing w:after="200" w:line="276" w:lineRule="auto"/>
        <w:contextualSpacing/>
        <w:rPr>
          <w:rFonts w:eastAsiaTheme="minorHAnsi"/>
        </w:rPr>
      </w:pPr>
      <w:r>
        <w:rPr>
          <w:rFonts w:eastAsiaTheme="minorHAnsi"/>
        </w:rPr>
        <w:t xml:space="preserve">Enrollment </w:t>
      </w:r>
      <w:r w:rsidRPr="005123E4">
        <w:rPr>
          <w:rFonts w:eastAsiaTheme="minorHAnsi"/>
        </w:rPr>
        <w:t>rates</w:t>
      </w:r>
      <w:r w:rsidR="005123E4" w:rsidRPr="005123E4">
        <w:rPr>
          <w:rFonts w:eastAsiaTheme="minorHAnsi"/>
        </w:rPr>
        <w:t xml:space="preserve"> from a particular group defined by available demographic characteristics are below our target threshold (to be determined by analysis of the universe of RAD property residents).</w:t>
      </w:r>
    </w:p>
    <w:p w14:paraId="5F160CAE" w14:textId="77777777" w:rsidR="005123E4" w:rsidRDefault="005123E4" w:rsidP="00D1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AE4551" w14:textId="77777777" w:rsidR="004C30D2" w:rsidRPr="00D12C6E" w:rsidRDefault="001D5608" w:rsidP="004C3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While our plan has been, i</w:t>
      </w:r>
      <w:r w:rsidR="005123E4" w:rsidRPr="00D12C6E">
        <w:t xml:space="preserve">f </w:t>
      </w:r>
      <w:r w:rsidR="00003D0F">
        <w:t xml:space="preserve">enrollment </w:t>
      </w:r>
      <w:r w:rsidR="005123E4" w:rsidRPr="00D12C6E">
        <w:t xml:space="preserve">response rates for a particular property are low, </w:t>
      </w:r>
      <w:r>
        <w:t>to</w:t>
      </w:r>
      <w:r w:rsidR="005123E4" w:rsidRPr="00D12C6E">
        <w:t xml:space="preserve"> make extra effort through additional mailings and phone contact to non-respondents to increase enrollment at that property</w:t>
      </w:r>
      <w:r>
        <w:t xml:space="preserve">, </w:t>
      </w:r>
      <w:r w:rsidR="008F0D75">
        <w:t>our</w:t>
      </w:r>
      <w:r>
        <w:t xml:space="preserve"> enrollment rates have exceeded expectations and this has not been necessary</w:t>
      </w:r>
      <w:r w:rsidR="005123E4" w:rsidRPr="00D12C6E">
        <w:t xml:space="preserve">. </w:t>
      </w:r>
      <w:r w:rsidR="0001750E">
        <w:t xml:space="preserve">The property sample, of 19 properties, contains one fewer property than would be ideal for a representative sample from the substandard performing property group. Responses from the properties in that group will be weighted up to correct for the undersample. Other </w:t>
      </w:r>
      <w:r w:rsidR="004C30D2" w:rsidRPr="00D12C6E">
        <w:t>deviations from a representative sample will be handled by weighting responses to the survey</w:t>
      </w:r>
      <w:r w:rsidR="0001750E">
        <w:t xml:space="preserve"> based on property characteristics</w:t>
      </w:r>
      <w:r w:rsidR="0001750E" w:rsidRPr="00D12C6E">
        <w:t>.</w:t>
      </w:r>
      <w:r w:rsidR="0001750E">
        <w:t xml:space="preserve"> Because responses will not be linked to administrative data, weighting by respondent characteristics is not being considered.</w:t>
      </w:r>
      <w:r w:rsidR="004C30D2" w:rsidRPr="00D12C6E">
        <w:t xml:space="preserve"> </w:t>
      </w:r>
    </w:p>
    <w:p w14:paraId="29A5E8A7" w14:textId="77777777" w:rsidR="004C30D2" w:rsidRDefault="004C30D2"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DB194C" w14:textId="77777777" w:rsidR="00F47B87" w:rsidRDefault="00F47B87"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07B5E3" w14:textId="6BF15DF4" w:rsidR="007F4005" w:rsidRPr="004D5244" w:rsidRDefault="007F4005" w:rsidP="00770366">
      <w:pPr>
        <w:keepNext/>
        <w:numPr>
          <w:ilvl w:val="0"/>
          <w:numId w:val="3"/>
        </w:numPr>
        <w:ind w:left="360"/>
        <w:rPr>
          <w:b/>
          <w:bCs/>
          <w:u w:val="single"/>
        </w:rPr>
      </w:pPr>
      <w:r w:rsidRPr="004D5244">
        <w:rPr>
          <w:b/>
          <w:bCs/>
          <w:u w:val="single"/>
        </w:rPr>
        <w:t>Describe any tests of procedures or methods to be undertaken. Tests are encouraged as effective means to refine collections, but if ten or more test respondents are involved OMB must give prior approval.</w:t>
      </w:r>
    </w:p>
    <w:p w14:paraId="55D9829B" w14:textId="77777777" w:rsidR="007F4005" w:rsidRDefault="007F400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74568B" w14:textId="77777777" w:rsidR="007F4005" w:rsidRDefault="007F400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8D50DF">
        <w:t xml:space="preserve">PHA interview </w:t>
      </w:r>
      <w:r>
        <w:t>instrument will be tested with HUD program staff</w:t>
      </w:r>
      <w:r w:rsidR="002B7752">
        <w:t xml:space="preserve">, </w:t>
      </w:r>
      <w:r w:rsidR="008D50DF">
        <w:t xml:space="preserve">outside </w:t>
      </w:r>
      <w:r w:rsidR="002B7752">
        <w:t xml:space="preserve">consultants and </w:t>
      </w:r>
      <w:r>
        <w:t xml:space="preserve">PHAs who are not in the sample. The </w:t>
      </w:r>
      <w:r w:rsidR="002B7752">
        <w:t xml:space="preserve">size of the </w:t>
      </w:r>
      <w:r>
        <w:t xml:space="preserve">pretest </w:t>
      </w:r>
      <w:r w:rsidR="002B7752">
        <w:t xml:space="preserve">population will not exceed </w:t>
      </w:r>
      <w:r>
        <w:t>OMB guidelines.</w:t>
      </w:r>
    </w:p>
    <w:p w14:paraId="4E28CAFE" w14:textId="77777777" w:rsidR="000373D5" w:rsidRDefault="000373D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004A78" w14:textId="77777777" w:rsidR="00065E6E" w:rsidRDefault="00065E6E"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35890D" w14:textId="77777777" w:rsidR="008F0D75" w:rsidRDefault="008F0D7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resident survey will be tested by attempting completion with 9 randomly selected residents of RAD properties at which all RAD-related improvements have been completed.</w:t>
      </w:r>
    </w:p>
    <w:p w14:paraId="6CD79F0C"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FD7BB5" w14:textId="77777777" w:rsidR="007F4005" w:rsidRPr="004D5244" w:rsidRDefault="007F4005" w:rsidP="00770366">
      <w:pPr>
        <w:numPr>
          <w:ilvl w:val="0"/>
          <w:numId w:val="3"/>
        </w:numPr>
        <w:ind w:left="360"/>
        <w:rPr>
          <w:u w:val="single"/>
        </w:rPr>
      </w:pPr>
      <w:r w:rsidRPr="004D5244">
        <w:rPr>
          <w:b/>
          <w:bCs/>
          <w:u w:val="single"/>
        </w:rPr>
        <w:t>Provide the name and telephone number of individuals consulted on the statistical aspects of the design, and the name of the agency unit, contractor(s), grantee(s), or other person(s) who will actually collect and/or analyze the information for the agency.</w:t>
      </w:r>
    </w:p>
    <w:p w14:paraId="657F9B67" w14:textId="77777777"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79B7A6" w14:textId="19AB7BE1" w:rsidR="007F4005" w:rsidRDefault="007F4005" w:rsidP="00770366">
      <w:pPr>
        <w:autoSpaceDE w:val="0"/>
        <w:autoSpaceDN w:val="0"/>
        <w:adjustRightInd w:val="0"/>
      </w:pPr>
      <w:r>
        <w:t xml:space="preserve">HUD </w:t>
      </w:r>
      <w:r w:rsidR="006B1FED">
        <w:t xml:space="preserve">has </w:t>
      </w:r>
      <w:r>
        <w:t xml:space="preserve">contracted with Econometrica (prime contractor) to conduct </w:t>
      </w:r>
      <w:r w:rsidR="008D50DF">
        <w:t xml:space="preserve">phase two of </w:t>
      </w:r>
      <w:r>
        <w:t>t</w:t>
      </w:r>
      <w:r w:rsidRPr="00CE6678">
        <w:t xml:space="preserve">he </w:t>
      </w:r>
      <w:r w:rsidR="008D50DF">
        <w:t>RAD e</w:t>
      </w:r>
      <w:r w:rsidRPr="00CE6678">
        <w:t>valuation</w:t>
      </w:r>
      <w:r w:rsidR="008D50DF">
        <w:t>.  Econometrica designed and will administer the PHA interview.  T</w:t>
      </w:r>
      <w:r>
        <w:t>he Urban Institute is Econometrica’s subcontractor</w:t>
      </w:r>
      <w:r w:rsidR="008D50DF">
        <w:t xml:space="preserve"> and is responsible for the design and execution of the resident survey</w:t>
      </w:r>
      <w:r>
        <w:t>.</w:t>
      </w:r>
      <w:r w:rsidRPr="00CE6678">
        <w:t xml:space="preserve"> </w:t>
      </w:r>
      <w:r>
        <w:t xml:space="preserve">The following </w:t>
      </w:r>
      <w:r w:rsidR="006B1FED">
        <w:t xml:space="preserve">table </w:t>
      </w:r>
      <w:r>
        <w:t xml:space="preserve">lists those who </w:t>
      </w:r>
      <w:r w:rsidR="00DE4461">
        <w:t xml:space="preserve">developed the collection strategy, designed the instruments, and </w:t>
      </w:r>
      <w:r>
        <w:t>will participate in the data collecti</w:t>
      </w:r>
      <w:r w:rsidR="00F25CFB">
        <w:t xml:space="preserve">on effort, analyze the data, and </w:t>
      </w:r>
      <w:r>
        <w:t>prepare reports.</w:t>
      </w:r>
      <w:r w:rsidRPr="00D959A5">
        <w:t xml:space="preserve"> </w:t>
      </w:r>
      <w:r>
        <w:t xml:space="preserve">Tables </w:t>
      </w:r>
      <w:r w:rsidR="00F158B0">
        <w:t>1</w:t>
      </w:r>
      <w:r w:rsidR="00D2057E">
        <w:t>4</w:t>
      </w:r>
      <w:r>
        <w:t xml:space="preserve"> and 1</w:t>
      </w:r>
      <w:r w:rsidR="00D2057E">
        <w:t>5</w:t>
      </w:r>
      <w:r>
        <w:t xml:space="preserve"> below show the names, affiliations and contact information for those involved in the survey research.</w:t>
      </w:r>
    </w:p>
    <w:p w14:paraId="37875776" w14:textId="77777777" w:rsidR="007F4005" w:rsidRDefault="007F4005" w:rsidP="00770366">
      <w:pPr>
        <w:autoSpaceDE w:val="0"/>
        <w:autoSpaceDN w:val="0"/>
        <w:adjustRightInd w:val="0"/>
      </w:pPr>
    </w:p>
    <w:p w14:paraId="5E3322F5" w14:textId="77777777" w:rsidR="00EF6138" w:rsidRPr="004D5244" w:rsidRDefault="007F4005" w:rsidP="00B94841">
      <w:pPr>
        <w:keepNext/>
        <w:spacing w:after="120"/>
        <w:rPr>
          <w:rFonts w:ascii="Arial" w:hAnsi="Arial" w:cs="Arial"/>
          <w:b/>
        </w:rPr>
      </w:pPr>
      <w:r w:rsidRPr="004D5244">
        <w:rPr>
          <w:rFonts w:ascii="Arial" w:hAnsi="Arial" w:cs="Arial"/>
          <w:b/>
        </w:rPr>
        <w:t xml:space="preserve">Table </w:t>
      </w:r>
      <w:r w:rsidR="00F158B0">
        <w:rPr>
          <w:rFonts w:ascii="Arial" w:hAnsi="Arial" w:cs="Arial"/>
          <w:b/>
        </w:rPr>
        <w:t>1</w:t>
      </w:r>
      <w:r w:rsidR="00D2057E">
        <w:rPr>
          <w:rFonts w:ascii="Arial" w:hAnsi="Arial" w:cs="Arial"/>
          <w:b/>
        </w:rPr>
        <w:t>4</w:t>
      </w:r>
      <w:r w:rsidRPr="004D5244">
        <w:rPr>
          <w:rFonts w:ascii="Arial" w:hAnsi="Arial" w:cs="Arial"/>
          <w:b/>
        </w:rPr>
        <w:t>. Names, Affiliations and Contact Information</w:t>
      </w:r>
      <w:r w:rsidR="008D50DF">
        <w:rPr>
          <w:rFonts w:ascii="Arial" w:hAnsi="Arial" w:cs="Arial"/>
          <w:b/>
        </w:rPr>
        <w:t xml:space="preserve"> of Contractors Involved in Data Collection and Analysis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18"/>
        <w:gridCol w:w="3258"/>
      </w:tblGrid>
      <w:tr w:rsidR="007113B4" w:rsidRPr="008316CB" w14:paraId="6A46342E" w14:textId="77777777" w:rsidTr="008316CB">
        <w:trPr>
          <w:tblHeader/>
        </w:trPr>
        <w:tc>
          <w:tcPr>
            <w:tcW w:w="6318" w:type="dxa"/>
            <w:tcBorders>
              <w:top w:val="single" w:sz="12" w:space="0" w:color="auto"/>
              <w:bottom w:val="single" w:sz="6" w:space="0" w:color="auto"/>
            </w:tcBorders>
            <w:shd w:val="clear" w:color="auto" w:fill="000075"/>
            <w:vAlign w:val="center"/>
          </w:tcPr>
          <w:p w14:paraId="6AD0E9B7" w14:textId="77777777" w:rsidR="007F4005" w:rsidRPr="004F60B2" w:rsidRDefault="00B94841" w:rsidP="00770366">
            <w:pPr>
              <w:autoSpaceDE w:val="0"/>
              <w:autoSpaceDN w:val="0"/>
              <w:adjustRightInd w:val="0"/>
              <w:rPr>
                <w:rFonts w:ascii="Arial" w:hAnsi="Arial"/>
                <w:b/>
                <w:color w:val="FFFFFF" w:themeColor="background1"/>
              </w:rPr>
            </w:pPr>
            <w:r w:rsidRPr="008316CB">
              <w:rPr>
                <w:rFonts w:ascii="Arial" w:hAnsi="Arial" w:cs="Arial"/>
                <w:b/>
                <w:color w:val="FFFFFF" w:themeColor="background1"/>
                <w:sz w:val="22"/>
                <w:szCs w:val="22"/>
              </w:rPr>
              <w:t xml:space="preserve">Contractor </w:t>
            </w:r>
            <w:r w:rsidR="007F4005" w:rsidRPr="008316CB">
              <w:rPr>
                <w:rFonts w:ascii="Arial" w:hAnsi="Arial" w:cs="Arial"/>
                <w:b/>
                <w:color w:val="FFFFFF" w:themeColor="background1"/>
                <w:sz w:val="22"/>
                <w:szCs w:val="22"/>
              </w:rPr>
              <w:t>Personnel</w:t>
            </w:r>
          </w:p>
        </w:tc>
        <w:tc>
          <w:tcPr>
            <w:tcW w:w="3258" w:type="dxa"/>
            <w:tcBorders>
              <w:top w:val="single" w:sz="12" w:space="0" w:color="auto"/>
              <w:bottom w:val="single" w:sz="6" w:space="0" w:color="auto"/>
            </w:tcBorders>
            <w:shd w:val="clear" w:color="auto" w:fill="000075"/>
            <w:vAlign w:val="center"/>
          </w:tcPr>
          <w:p w14:paraId="6BA31414" w14:textId="77777777" w:rsidR="007F4005" w:rsidRPr="004F60B2" w:rsidRDefault="00F25CFB" w:rsidP="00770366">
            <w:pPr>
              <w:autoSpaceDE w:val="0"/>
              <w:autoSpaceDN w:val="0"/>
              <w:adjustRightInd w:val="0"/>
              <w:rPr>
                <w:rFonts w:ascii="Arial" w:hAnsi="Arial"/>
                <w:b/>
                <w:color w:val="FFFFFF" w:themeColor="background1"/>
              </w:rPr>
            </w:pPr>
            <w:r w:rsidRPr="008316CB">
              <w:rPr>
                <w:rFonts w:ascii="Arial" w:hAnsi="Arial" w:cs="Arial"/>
                <w:b/>
                <w:color w:val="FFFFFF" w:themeColor="background1"/>
                <w:sz w:val="22"/>
                <w:szCs w:val="22"/>
              </w:rPr>
              <w:t>Phone Number</w:t>
            </w:r>
          </w:p>
        </w:tc>
      </w:tr>
      <w:tr w:rsidR="001C5EAC" w:rsidRPr="004D5244" w14:paraId="57A0CD78" w14:textId="77777777" w:rsidTr="00B94841">
        <w:tc>
          <w:tcPr>
            <w:tcW w:w="6318" w:type="dxa"/>
            <w:tcBorders>
              <w:top w:val="single" w:sz="6" w:space="0" w:color="auto"/>
              <w:bottom w:val="single" w:sz="6" w:space="0" w:color="auto"/>
              <w:right w:val="nil"/>
            </w:tcBorders>
            <w:shd w:val="clear" w:color="auto" w:fill="D9D9D9"/>
            <w:vAlign w:val="center"/>
          </w:tcPr>
          <w:p w14:paraId="224CBEBA" w14:textId="77777777" w:rsidR="007F4005" w:rsidRPr="004D5244" w:rsidRDefault="000373D5" w:rsidP="00770366">
            <w:pPr>
              <w:autoSpaceDE w:val="0"/>
              <w:autoSpaceDN w:val="0"/>
              <w:adjustRightInd w:val="0"/>
              <w:rPr>
                <w:rFonts w:ascii="Arial" w:hAnsi="Arial" w:cs="Arial"/>
                <w:sz w:val="20"/>
                <w:szCs w:val="20"/>
              </w:rPr>
            </w:pPr>
            <w:r>
              <w:rPr>
                <w:rFonts w:ascii="Arial" w:hAnsi="Arial" w:cs="Arial"/>
                <w:b/>
                <w:sz w:val="20"/>
                <w:szCs w:val="20"/>
              </w:rPr>
              <w:t>Prime – Econometrica, Inc.</w:t>
            </w:r>
          </w:p>
        </w:tc>
        <w:tc>
          <w:tcPr>
            <w:tcW w:w="3258" w:type="dxa"/>
            <w:tcBorders>
              <w:top w:val="single" w:sz="6" w:space="0" w:color="auto"/>
              <w:left w:val="nil"/>
              <w:bottom w:val="single" w:sz="6" w:space="0" w:color="auto"/>
            </w:tcBorders>
            <w:shd w:val="clear" w:color="auto" w:fill="D9D9D9"/>
            <w:vAlign w:val="center"/>
          </w:tcPr>
          <w:p w14:paraId="753D9C44" w14:textId="77777777" w:rsidR="007F4005" w:rsidRPr="004D5244" w:rsidRDefault="007F4005" w:rsidP="00770366">
            <w:pPr>
              <w:autoSpaceDE w:val="0"/>
              <w:autoSpaceDN w:val="0"/>
              <w:adjustRightInd w:val="0"/>
              <w:rPr>
                <w:rFonts w:ascii="Arial" w:hAnsi="Arial" w:cs="Arial"/>
                <w:sz w:val="20"/>
                <w:szCs w:val="20"/>
              </w:rPr>
            </w:pPr>
          </w:p>
        </w:tc>
      </w:tr>
      <w:tr w:rsidR="007F4005" w:rsidRPr="004D5244" w14:paraId="72FCAC40" w14:textId="77777777" w:rsidTr="004F60B2">
        <w:tc>
          <w:tcPr>
            <w:tcW w:w="6318" w:type="dxa"/>
            <w:tcBorders>
              <w:top w:val="single" w:sz="6" w:space="0" w:color="auto"/>
            </w:tcBorders>
            <w:shd w:val="clear" w:color="auto" w:fill="auto"/>
            <w:vAlign w:val="center"/>
          </w:tcPr>
          <w:p w14:paraId="4EF75CAB" w14:textId="77777777" w:rsidR="007F4005" w:rsidRPr="004D5244" w:rsidRDefault="007F4005" w:rsidP="00770366">
            <w:pPr>
              <w:rPr>
                <w:rFonts w:ascii="Arial" w:hAnsi="Arial" w:cs="Arial"/>
                <w:b/>
                <w:i/>
                <w:color w:val="000000"/>
                <w:sz w:val="20"/>
                <w:szCs w:val="20"/>
              </w:rPr>
            </w:pPr>
            <w:r w:rsidRPr="004D5244">
              <w:rPr>
                <w:rFonts w:ascii="Arial" w:hAnsi="Arial" w:cs="Arial"/>
                <w:b/>
                <w:i/>
                <w:color w:val="000000"/>
                <w:sz w:val="20"/>
                <w:szCs w:val="20"/>
              </w:rPr>
              <w:t>Principal Investigator</w:t>
            </w:r>
          </w:p>
        </w:tc>
        <w:tc>
          <w:tcPr>
            <w:tcW w:w="3258" w:type="dxa"/>
            <w:tcBorders>
              <w:top w:val="single" w:sz="6" w:space="0" w:color="auto"/>
            </w:tcBorders>
            <w:shd w:val="clear" w:color="auto" w:fill="auto"/>
          </w:tcPr>
          <w:p w14:paraId="02AAF16E" w14:textId="77777777" w:rsidR="007F4005" w:rsidRPr="004D5244" w:rsidRDefault="007F4005" w:rsidP="00770366">
            <w:pPr>
              <w:autoSpaceDE w:val="0"/>
              <w:autoSpaceDN w:val="0"/>
              <w:adjustRightInd w:val="0"/>
              <w:rPr>
                <w:rFonts w:ascii="Arial" w:hAnsi="Arial" w:cs="Arial"/>
                <w:sz w:val="20"/>
                <w:szCs w:val="20"/>
              </w:rPr>
            </w:pPr>
          </w:p>
        </w:tc>
      </w:tr>
      <w:tr w:rsidR="007F4005" w:rsidRPr="004D5244" w14:paraId="53B61628" w14:textId="77777777" w:rsidTr="004F60B2">
        <w:tc>
          <w:tcPr>
            <w:tcW w:w="6318" w:type="dxa"/>
            <w:shd w:val="clear" w:color="auto" w:fill="auto"/>
            <w:vAlign w:val="center"/>
          </w:tcPr>
          <w:p w14:paraId="6269024B" w14:textId="77777777" w:rsidR="007F4005" w:rsidRPr="00A7368B" w:rsidRDefault="007F4005" w:rsidP="00770366">
            <w:pPr>
              <w:ind w:left="180"/>
              <w:rPr>
                <w:rFonts w:ascii="Arial" w:hAnsi="Arial" w:cs="Arial"/>
                <w:color w:val="000000"/>
                <w:sz w:val="20"/>
                <w:szCs w:val="20"/>
              </w:rPr>
            </w:pPr>
            <w:r w:rsidRPr="00A7368B">
              <w:rPr>
                <w:rFonts w:ascii="Arial" w:hAnsi="Arial" w:cs="Arial"/>
                <w:color w:val="000000"/>
                <w:sz w:val="20"/>
                <w:szCs w:val="20"/>
              </w:rPr>
              <w:t>Chuck Hanson</w:t>
            </w:r>
          </w:p>
        </w:tc>
        <w:tc>
          <w:tcPr>
            <w:tcW w:w="3258" w:type="dxa"/>
            <w:shd w:val="clear" w:color="auto" w:fill="auto"/>
          </w:tcPr>
          <w:p w14:paraId="7189EF81" w14:textId="77777777"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sz w:val="20"/>
                <w:szCs w:val="20"/>
              </w:rPr>
              <w:t>(301) 657-9883</w:t>
            </w:r>
          </w:p>
        </w:tc>
      </w:tr>
      <w:tr w:rsidR="007F4005" w:rsidRPr="004D5244" w14:paraId="05CD6B7A" w14:textId="77777777" w:rsidTr="004F60B2">
        <w:tc>
          <w:tcPr>
            <w:tcW w:w="6318" w:type="dxa"/>
            <w:shd w:val="clear" w:color="auto" w:fill="auto"/>
            <w:vAlign w:val="center"/>
          </w:tcPr>
          <w:p w14:paraId="0B7CE4C3" w14:textId="77777777" w:rsidR="007F4005" w:rsidRPr="004D5244" w:rsidRDefault="007F4005" w:rsidP="00770366">
            <w:pPr>
              <w:rPr>
                <w:rFonts w:ascii="Arial" w:hAnsi="Arial" w:cs="Arial"/>
                <w:b/>
                <w:i/>
                <w:color w:val="000000"/>
                <w:sz w:val="20"/>
                <w:szCs w:val="20"/>
              </w:rPr>
            </w:pPr>
            <w:r w:rsidRPr="004D5244">
              <w:rPr>
                <w:rFonts w:ascii="Arial" w:hAnsi="Arial" w:cs="Arial"/>
                <w:b/>
                <w:i/>
                <w:color w:val="000000"/>
                <w:sz w:val="20"/>
                <w:szCs w:val="20"/>
              </w:rPr>
              <w:t>Project Manager</w:t>
            </w:r>
          </w:p>
        </w:tc>
        <w:tc>
          <w:tcPr>
            <w:tcW w:w="3258" w:type="dxa"/>
            <w:shd w:val="clear" w:color="auto" w:fill="auto"/>
          </w:tcPr>
          <w:p w14:paraId="5160B35A" w14:textId="77777777" w:rsidR="007F4005" w:rsidRPr="004D5244" w:rsidRDefault="007F4005" w:rsidP="00770366">
            <w:pPr>
              <w:autoSpaceDE w:val="0"/>
              <w:autoSpaceDN w:val="0"/>
              <w:adjustRightInd w:val="0"/>
              <w:rPr>
                <w:rFonts w:ascii="Arial" w:hAnsi="Arial" w:cs="Arial"/>
                <w:sz w:val="20"/>
                <w:szCs w:val="20"/>
              </w:rPr>
            </w:pPr>
          </w:p>
        </w:tc>
      </w:tr>
      <w:tr w:rsidR="007F4005" w:rsidRPr="004D5244" w14:paraId="4DA05CFD" w14:textId="77777777" w:rsidTr="004F60B2">
        <w:tc>
          <w:tcPr>
            <w:tcW w:w="6318" w:type="dxa"/>
            <w:shd w:val="clear" w:color="auto" w:fill="auto"/>
            <w:vAlign w:val="center"/>
          </w:tcPr>
          <w:p w14:paraId="34A0CA63" w14:textId="77777777" w:rsidR="007F4005" w:rsidRPr="00A7368B" w:rsidRDefault="00103302" w:rsidP="00770366">
            <w:pPr>
              <w:ind w:left="180"/>
              <w:rPr>
                <w:rFonts w:ascii="Arial" w:hAnsi="Arial" w:cs="Arial"/>
                <w:color w:val="000000"/>
                <w:sz w:val="20"/>
                <w:szCs w:val="20"/>
              </w:rPr>
            </w:pPr>
            <w:r>
              <w:rPr>
                <w:rFonts w:ascii="Arial" w:hAnsi="Arial" w:cs="Arial"/>
                <w:color w:val="000000"/>
                <w:sz w:val="20"/>
                <w:szCs w:val="20"/>
              </w:rPr>
              <w:t>Dennis Stout</w:t>
            </w:r>
          </w:p>
        </w:tc>
        <w:tc>
          <w:tcPr>
            <w:tcW w:w="3258" w:type="dxa"/>
            <w:shd w:val="clear" w:color="auto" w:fill="auto"/>
          </w:tcPr>
          <w:p w14:paraId="1781121B" w14:textId="77777777"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sz w:val="20"/>
                <w:szCs w:val="20"/>
              </w:rPr>
              <w:t>(301) 657-9883</w:t>
            </w:r>
          </w:p>
        </w:tc>
      </w:tr>
      <w:tr w:rsidR="007F4005" w:rsidRPr="004D5244" w14:paraId="4A21175A" w14:textId="77777777" w:rsidTr="004F60B2">
        <w:tc>
          <w:tcPr>
            <w:tcW w:w="6318" w:type="dxa"/>
            <w:shd w:val="clear" w:color="auto" w:fill="auto"/>
            <w:vAlign w:val="center"/>
          </w:tcPr>
          <w:p w14:paraId="1C1C452E" w14:textId="77777777" w:rsidR="007F4005" w:rsidRPr="004D5244" w:rsidRDefault="007F4005" w:rsidP="00770366">
            <w:pPr>
              <w:rPr>
                <w:rFonts w:ascii="Arial" w:hAnsi="Arial" w:cs="Arial"/>
                <w:b/>
                <w:i/>
                <w:color w:val="000000"/>
                <w:sz w:val="20"/>
                <w:szCs w:val="20"/>
              </w:rPr>
            </w:pPr>
            <w:r w:rsidRPr="004D5244">
              <w:rPr>
                <w:rFonts w:ascii="Arial" w:hAnsi="Arial" w:cs="Arial"/>
                <w:b/>
                <w:i/>
                <w:color w:val="000000"/>
                <w:sz w:val="20"/>
                <w:szCs w:val="20"/>
              </w:rPr>
              <w:t>Senior Analysts</w:t>
            </w:r>
          </w:p>
        </w:tc>
        <w:tc>
          <w:tcPr>
            <w:tcW w:w="3258" w:type="dxa"/>
            <w:shd w:val="clear" w:color="auto" w:fill="auto"/>
          </w:tcPr>
          <w:p w14:paraId="0396C570" w14:textId="77777777" w:rsidR="007F4005" w:rsidRPr="004D5244" w:rsidRDefault="007F4005" w:rsidP="00770366">
            <w:pPr>
              <w:autoSpaceDE w:val="0"/>
              <w:autoSpaceDN w:val="0"/>
              <w:adjustRightInd w:val="0"/>
              <w:rPr>
                <w:rFonts w:ascii="Arial" w:hAnsi="Arial" w:cs="Arial"/>
                <w:sz w:val="20"/>
                <w:szCs w:val="20"/>
              </w:rPr>
            </w:pPr>
          </w:p>
        </w:tc>
      </w:tr>
      <w:tr w:rsidR="007F4005" w:rsidRPr="004D5244" w14:paraId="2D43E913" w14:textId="77777777" w:rsidTr="004F60B2">
        <w:tc>
          <w:tcPr>
            <w:tcW w:w="6318" w:type="dxa"/>
            <w:shd w:val="clear" w:color="auto" w:fill="auto"/>
            <w:vAlign w:val="center"/>
          </w:tcPr>
          <w:p w14:paraId="7289C457" w14:textId="77777777" w:rsidR="007F4005" w:rsidRPr="00A7368B" w:rsidRDefault="00F25CFB" w:rsidP="00770366">
            <w:pPr>
              <w:ind w:left="180"/>
              <w:rPr>
                <w:rFonts w:ascii="Arial" w:hAnsi="Arial" w:cs="Arial"/>
                <w:color w:val="000000"/>
                <w:sz w:val="20"/>
                <w:szCs w:val="20"/>
              </w:rPr>
            </w:pPr>
            <w:r>
              <w:rPr>
                <w:rFonts w:ascii="Arial" w:hAnsi="Arial" w:cs="Arial"/>
                <w:color w:val="000000"/>
                <w:sz w:val="20"/>
                <w:szCs w:val="20"/>
              </w:rPr>
              <w:t>Fred Bellemore</w:t>
            </w:r>
          </w:p>
        </w:tc>
        <w:tc>
          <w:tcPr>
            <w:tcW w:w="3258" w:type="dxa"/>
            <w:shd w:val="clear" w:color="auto" w:fill="auto"/>
          </w:tcPr>
          <w:p w14:paraId="2A3E25FB" w14:textId="77777777" w:rsidR="007F4005" w:rsidRPr="004D5244" w:rsidRDefault="007F4005" w:rsidP="00770366">
            <w:pPr>
              <w:rPr>
                <w:rFonts w:ascii="Arial" w:hAnsi="Arial" w:cs="Arial"/>
                <w:sz w:val="20"/>
                <w:szCs w:val="20"/>
              </w:rPr>
            </w:pPr>
            <w:r w:rsidRPr="004D5244">
              <w:rPr>
                <w:rFonts w:ascii="Arial" w:hAnsi="Arial" w:cs="Arial"/>
                <w:sz w:val="20"/>
                <w:szCs w:val="20"/>
              </w:rPr>
              <w:t>(301) 657-9883</w:t>
            </w:r>
          </w:p>
        </w:tc>
      </w:tr>
      <w:tr w:rsidR="007F4005" w:rsidRPr="004D5244" w14:paraId="78E3D68E" w14:textId="77777777" w:rsidTr="004F60B2">
        <w:tc>
          <w:tcPr>
            <w:tcW w:w="6318" w:type="dxa"/>
            <w:shd w:val="clear" w:color="auto" w:fill="auto"/>
            <w:vAlign w:val="center"/>
          </w:tcPr>
          <w:p w14:paraId="21513E0B" w14:textId="77777777" w:rsidR="007F4005" w:rsidRPr="00A7368B" w:rsidRDefault="00F25CFB" w:rsidP="00770366">
            <w:pPr>
              <w:ind w:left="180"/>
              <w:rPr>
                <w:rFonts w:ascii="Arial" w:hAnsi="Arial" w:cs="Arial"/>
                <w:color w:val="000000"/>
                <w:sz w:val="20"/>
                <w:szCs w:val="20"/>
              </w:rPr>
            </w:pPr>
            <w:r>
              <w:rPr>
                <w:rFonts w:ascii="Arial" w:hAnsi="Arial" w:cs="Arial"/>
                <w:color w:val="000000"/>
                <w:sz w:val="20"/>
                <w:szCs w:val="20"/>
              </w:rPr>
              <w:t>Paul Watkins</w:t>
            </w:r>
          </w:p>
        </w:tc>
        <w:tc>
          <w:tcPr>
            <w:tcW w:w="3258" w:type="dxa"/>
            <w:shd w:val="clear" w:color="auto" w:fill="auto"/>
          </w:tcPr>
          <w:p w14:paraId="44C5F20E" w14:textId="77777777" w:rsidR="007F4005" w:rsidRPr="004D5244" w:rsidRDefault="007F4005" w:rsidP="00770366">
            <w:pPr>
              <w:rPr>
                <w:rFonts w:ascii="Arial" w:hAnsi="Arial" w:cs="Arial"/>
                <w:sz w:val="20"/>
                <w:szCs w:val="20"/>
              </w:rPr>
            </w:pPr>
            <w:r w:rsidRPr="004D5244">
              <w:rPr>
                <w:rFonts w:ascii="Arial" w:hAnsi="Arial" w:cs="Arial"/>
                <w:sz w:val="20"/>
                <w:szCs w:val="20"/>
              </w:rPr>
              <w:t>(301) 657-9883</w:t>
            </w:r>
          </w:p>
        </w:tc>
      </w:tr>
      <w:tr w:rsidR="007F4005" w:rsidRPr="004D5244" w14:paraId="523CF2DD" w14:textId="77777777" w:rsidTr="004F60B2">
        <w:tc>
          <w:tcPr>
            <w:tcW w:w="6318" w:type="dxa"/>
            <w:shd w:val="clear" w:color="auto" w:fill="auto"/>
            <w:vAlign w:val="center"/>
          </w:tcPr>
          <w:p w14:paraId="57AAECC3" w14:textId="77777777" w:rsidR="007F4005" w:rsidRPr="00A7368B" w:rsidRDefault="00F25CFB" w:rsidP="00770366">
            <w:pPr>
              <w:ind w:left="180"/>
              <w:rPr>
                <w:rFonts w:ascii="Arial" w:hAnsi="Arial" w:cs="Arial"/>
                <w:color w:val="000000"/>
                <w:sz w:val="20"/>
                <w:szCs w:val="20"/>
              </w:rPr>
            </w:pPr>
            <w:r>
              <w:rPr>
                <w:rFonts w:ascii="Arial" w:hAnsi="Arial" w:cs="Arial"/>
                <w:color w:val="000000"/>
                <w:sz w:val="20"/>
                <w:szCs w:val="20"/>
              </w:rPr>
              <w:t>Margaret McGilvray</w:t>
            </w:r>
          </w:p>
        </w:tc>
        <w:tc>
          <w:tcPr>
            <w:tcW w:w="3258" w:type="dxa"/>
            <w:shd w:val="clear" w:color="auto" w:fill="auto"/>
          </w:tcPr>
          <w:p w14:paraId="5349D353" w14:textId="77777777" w:rsidR="007F4005" w:rsidRPr="004D5244" w:rsidRDefault="007F4005" w:rsidP="00770366">
            <w:pPr>
              <w:rPr>
                <w:rFonts w:ascii="Arial" w:hAnsi="Arial" w:cs="Arial"/>
                <w:sz w:val="20"/>
                <w:szCs w:val="20"/>
              </w:rPr>
            </w:pPr>
            <w:r w:rsidRPr="004D5244">
              <w:rPr>
                <w:rFonts w:ascii="Arial" w:hAnsi="Arial" w:cs="Arial"/>
                <w:sz w:val="20"/>
                <w:szCs w:val="20"/>
              </w:rPr>
              <w:t>(301) 657-9883</w:t>
            </w:r>
          </w:p>
        </w:tc>
      </w:tr>
      <w:tr w:rsidR="007F4005" w:rsidRPr="004D5244" w14:paraId="697235A1" w14:textId="77777777" w:rsidTr="004F60B2">
        <w:tc>
          <w:tcPr>
            <w:tcW w:w="6318" w:type="dxa"/>
            <w:shd w:val="clear" w:color="auto" w:fill="auto"/>
            <w:vAlign w:val="center"/>
          </w:tcPr>
          <w:p w14:paraId="073DEEB7" w14:textId="77777777" w:rsidR="007F4005" w:rsidRPr="00A7368B" w:rsidRDefault="007F4005" w:rsidP="00770366">
            <w:pPr>
              <w:ind w:left="180"/>
              <w:rPr>
                <w:rFonts w:ascii="Arial" w:hAnsi="Arial" w:cs="Arial"/>
                <w:color w:val="000000"/>
                <w:sz w:val="20"/>
                <w:szCs w:val="20"/>
              </w:rPr>
            </w:pPr>
            <w:r w:rsidRPr="00A7368B">
              <w:rPr>
                <w:rFonts w:ascii="Arial" w:hAnsi="Arial" w:cs="Arial"/>
                <w:color w:val="000000"/>
                <w:sz w:val="20"/>
                <w:szCs w:val="20"/>
              </w:rPr>
              <w:t>David Ruiz</w:t>
            </w:r>
          </w:p>
        </w:tc>
        <w:tc>
          <w:tcPr>
            <w:tcW w:w="3258" w:type="dxa"/>
            <w:shd w:val="clear" w:color="auto" w:fill="auto"/>
          </w:tcPr>
          <w:p w14:paraId="6DFBA191" w14:textId="77777777" w:rsidR="007F4005" w:rsidRPr="004D5244" w:rsidRDefault="007F4005" w:rsidP="00770366">
            <w:pPr>
              <w:rPr>
                <w:rFonts w:ascii="Arial" w:hAnsi="Arial" w:cs="Arial"/>
                <w:sz w:val="20"/>
                <w:szCs w:val="20"/>
              </w:rPr>
            </w:pPr>
            <w:r w:rsidRPr="004D5244">
              <w:rPr>
                <w:rFonts w:ascii="Arial" w:hAnsi="Arial" w:cs="Arial"/>
                <w:sz w:val="20"/>
                <w:szCs w:val="20"/>
              </w:rPr>
              <w:t>(301) 657-9883</w:t>
            </w:r>
          </w:p>
        </w:tc>
      </w:tr>
      <w:tr w:rsidR="007F4005" w:rsidRPr="004D5244" w14:paraId="46D81ECD" w14:textId="77777777" w:rsidTr="004F60B2">
        <w:tc>
          <w:tcPr>
            <w:tcW w:w="6318" w:type="dxa"/>
            <w:shd w:val="clear" w:color="auto" w:fill="auto"/>
            <w:vAlign w:val="center"/>
          </w:tcPr>
          <w:p w14:paraId="5D80485D" w14:textId="77777777" w:rsidR="007F4005" w:rsidRPr="004D5244" w:rsidRDefault="007F4005" w:rsidP="00770366">
            <w:pPr>
              <w:rPr>
                <w:rFonts w:ascii="Arial" w:hAnsi="Arial" w:cs="Arial"/>
                <w:b/>
                <w:i/>
                <w:color w:val="000000"/>
                <w:sz w:val="20"/>
                <w:szCs w:val="20"/>
              </w:rPr>
            </w:pPr>
            <w:r w:rsidRPr="004D5244">
              <w:rPr>
                <w:rFonts w:ascii="Arial" w:hAnsi="Arial" w:cs="Arial"/>
                <w:b/>
                <w:i/>
                <w:color w:val="000000"/>
                <w:sz w:val="20"/>
                <w:szCs w:val="20"/>
              </w:rPr>
              <w:t>Analyst</w:t>
            </w:r>
          </w:p>
        </w:tc>
        <w:tc>
          <w:tcPr>
            <w:tcW w:w="3258" w:type="dxa"/>
            <w:shd w:val="clear" w:color="auto" w:fill="auto"/>
          </w:tcPr>
          <w:p w14:paraId="1D6500B0" w14:textId="77777777" w:rsidR="007F4005" w:rsidRPr="004D5244" w:rsidRDefault="007F4005" w:rsidP="00770366">
            <w:pPr>
              <w:autoSpaceDE w:val="0"/>
              <w:autoSpaceDN w:val="0"/>
              <w:adjustRightInd w:val="0"/>
              <w:rPr>
                <w:rFonts w:ascii="Arial" w:hAnsi="Arial" w:cs="Arial"/>
                <w:sz w:val="20"/>
                <w:szCs w:val="20"/>
              </w:rPr>
            </w:pPr>
          </w:p>
        </w:tc>
      </w:tr>
      <w:tr w:rsidR="007F4005" w:rsidRPr="004D5244" w14:paraId="753E0B90" w14:textId="77777777" w:rsidTr="004F60B2">
        <w:tc>
          <w:tcPr>
            <w:tcW w:w="6318" w:type="dxa"/>
            <w:shd w:val="clear" w:color="auto" w:fill="auto"/>
            <w:vAlign w:val="center"/>
          </w:tcPr>
          <w:p w14:paraId="6C228785" w14:textId="77777777" w:rsidR="007F4005" w:rsidRPr="00A7368B" w:rsidRDefault="00F25CFB" w:rsidP="00770366">
            <w:pPr>
              <w:ind w:left="180"/>
              <w:rPr>
                <w:rFonts w:ascii="Arial" w:hAnsi="Arial" w:cs="Arial"/>
                <w:color w:val="000000"/>
                <w:sz w:val="20"/>
                <w:szCs w:val="20"/>
              </w:rPr>
            </w:pPr>
            <w:r>
              <w:rPr>
                <w:rFonts w:ascii="Arial" w:hAnsi="Arial" w:cs="Arial"/>
                <w:color w:val="000000"/>
                <w:sz w:val="20"/>
                <w:szCs w:val="20"/>
              </w:rPr>
              <w:t>Bethany Hase</w:t>
            </w:r>
          </w:p>
        </w:tc>
        <w:tc>
          <w:tcPr>
            <w:tcW w:w="3258" w:type="dxa"/>
            <w:shd w:val="clear" w:color="auto" w:fill="auto"/>
          </w:tcPr>
          <w:p w14:paraId="03B5EC7C" w14:textId="77777777" w:rsidR="007F4005" w:rsidRPr="004D5244" w:rsidRDefault="007F4005" w:rsidP="00770366">
            <w:pPr>
              <w:rPr>
                <w:rFonts w:ascii="Arial" w:hAnsi="Arial" w:cs="Arial"/>
                <w:sz w:val="20"/>
                <w:szCs w:val="20"/>
              </w:rPr>
            </w:pPr>
            <w:r>
              <w:rPr>
                <w:rFonts w:ascii="Arial" w:hAnsi="Arial" w:cs="Arial"/>
                <w:sz w:val="20"/>
                <w:szCs w:val="20"/>
              </w:rPr>
              <w:t>(</w:t>
            </w:r>
            <w:r w:rsidRPr="009C1476">
              <w:rPr>
                <w:rFonts w:ascii="Arial" w:hAnsi="Arial" w:cs="Arial"/>
                <w:sz w:val="20"/>
                <w:szCs w:val="20"/>
              </w:rPr>
              <w:t>301) 657-9883</w:t>
            </w:r>
          </w:p>
        </w:tc>
      </w:tr>
      <w:tr w:rsidR="007F4005" w:rsidRPr="004D5244" w14:paraId="4C637547" w14:textId="77777777" w:rsidTr="004F60B2">
        <w:tc>
          <w:tcPr>
            <w:tcW w:w="6318" w:type="dxa"/>
            <w:tcBorders>
              <w:bottom w:val="single" w:sz="6" w:space="0" w:color="auto"/>
            </w:tcBorders>
            <w:shd w:val="clear" w:color="auto" w:fill="auto"/>
            <w:vAlign w:val="center"/>
          </w:tcPr>
          <w:p w14:paraId="684E8E31" w14:textId="77777777" w:rsidR="007F4005" w:rsidRPr="00A7368B" w:rsidRDefault="00F25CFB" w:rsidP="00F25CFB">
            <w:pPr>
              <w:ind w:left="180"/>
              <w:rPr>
                <w:rFonts w:ascii="Arial" w:hAnsi="Arial" w:cs="Arial"/>
                <w:color w:val="000000"/>
                <w:sz w:val="20"/>
                <w:szCs w:val="20"/>
              </w:rPr>
            </w:pPr>
            <w:r>
              <w:rPr>
                <w:rFonts w:ascii="Arial" w:hAnsi="Arial" w:cs="Arial"/>
                <w:color w:val="000000"/>
                <w:sz w:val="20"/>
                <w:szCs w:val="20"/>
              </w:rPr>
              <w:t>Tim Beggs</w:t>
            </w:r>
          </w:p>
        </w:tc>
        <w:tc>
          <w:tcPr>
            <w:tcW w:w="3258" w:type="dxa"/>
            <w:tcBorders>
              <w:bottom w:val="single" w:sz="6" w:space="0" w:color="auto"/>
            </w:tcBorders>
            <w:shd w:val="clear" w:color="auto" w:fill="auto"/>
          </w:tcPr>
          <w:p w14:paraId="28B1E9CF" w14:textId="77777777" w:rsidR="007F4005" w:rsidRPr="004D5244" w:rsidRDefault="00F25CFB" w:rsidP="00770366">
            <w:pPr>
              <w:autoSpaceDE w:val="0"/>
              <w:autoSpaceDN w:val="0"/>
              <w:adjustRightInd w:val="0"/>
              <w:rPr>
                <w:rFonts w:ascii="Arial" w:hAnsi="Arial" w:cs="Arial"/>
                <w:sz w:val="20"/>
                <w:szCs w:val="20"/>
              </w:rPr>
            </w:pPr>
            <w:r>
              <w:rPr>
                <w:rFonts w:ascii="Arial" w:hAnsi="Arial" w:cs="Arial"/>
                <w:sz w:val="20"/>
                <w:szCs w:val="20"/>
              </w:rPr>
              <w:t>(</w:t>
            </w:r>
            <w:r w:rsidRPr="009C1476">
              <w:rPr>
                <w:rFonts w:ascii="Arial" w:hAnsi="Arial" w:cs="Arial"/>
                <w:sz w:val="20"/>
                <w:szCs w:val="20"/>
              </w:rPr>
              <w:t>301) 657-9883</w:t>
            </w:r>
          </w:p>
        </w:tc>
      </w:tr>
      <w:tr w:rsidR="00B94841" w:rsidRPr="004D5244" w14:paraId="55CAE7D9" w14:textId="77777777" w:rsidTr="004F60B2">
        <w:tc>
          <w:tcPr>
            <w:tcW w:w="6318" w:type="dxa"/>
            <w:tcBorders>
              <w:bottom w:val="single" w:sz="6" w:space="0" w:color="auto"/>
            </w:tcBorders>
            <w:shd w:val="clear" w:color="auto" w:fill="auto"/>
            <w:vAlign w:val="center"/>
          </w:tcPr>
          <w:p w14:paraId="1E96FEC9" w14:textId="77777777" w:rsidR="00B94841" w:rsidRPr="00B94841" w:rsidRDefault="00B94841" w:rsidP="00B94841">
            <w:pPr>
              <w:rPr>
                <w:rFonts w:ascii="Arial" w:hAnsi="Arial" w:cs="Arial"/>
                <w:b/>
                <w:i/>
                <w:color w:val="000000"/>
                <w:sz w:val="20"/>
                <w:szCs w:val="20"/>
              </w:rPr>
            </w:pPr>
            <w:r w:rsidRPr="00B94841">
              <w:rPr>
                <w:rFonts w:ascii="Arial" w:hAnsi="Arial" w:cs="Arial"/>
                <w:b/>
                <w:i/>
                <w:color w:val="000000"/>
                <w:sz w:val="20"/>
                <w:szCs w:val="20"/>
              </w:rPr>
              <w:t>Research Assistant</w:t>
            </w:r>
          </w:p>
        </w:tc>
        <w:tc>
          <w:tcPr>
            <w:tcW w:w="3258" w:type="dxa"/>
            <w:tcBorders>
              <w:bottom w:val="single" w:sz="6" w:space="0" w:color="auto"/>
            </w:tcBorders>
            <w:shd w:val="clear" w:color="auto" w:fill="auto"/>
          </w:tcPr>
          <w:p w14:paraId="21B91E44" w14:textId="77777777" w:rsidR="00B94841" w:rsidRDefault="00B94841" w:rsidP="00770366">
            <w:pPr>
              <w:autoSpaceDE w:val="0"/>
              <w:autoSpaceDN w:val="0"/>
              <w:adjustRightInd w:val="0"/>
              <w:rPr>
                <w:rFonts w:ascii="Arial" w:hAnsi="Arial" w:cs="Arial"/>
                <w:sz w:val="20"/>
                <w:szCs w:val="20"/>
              </w:rPr>
            </w:pPr>
          </w:p>
        </w:tc>
      </w:tr>
      <w:tr w:rsidR="00B94841" w:rsidRPr="004D5244" w14:paraId="570D2ECB" w14:textId="77777777" w:rsidTr="004F60B2">
        <w:tc>
          <w:tcPr>
            <w:tcW w:w="6318" w:type="dxa"/>
            <w:tcBorders>
              <w:bottom w:val="single" w:sz="6" w:space="0" w:color="auto"/>
            </w:tcBorders>
            <w:shd w:val="clear" w:color="auto" w:fill="auto"/>
            <w:vAlign w:val="center"/>
          </w:tcPr>
          <w:p w14:paraId="642D652B" w14:textId="77777777" w:rsidR="00B94841" w:rsidRDefault="00B94841" w:rsidP="00F25CFB">
            <w:pPr>
              <w:ind w:left="180"/>
              <w:rPr>
                <w:rFonts w:ascii="Arial" w:hAnsi="Arial" w:cs="Arial"/>
                <w:color w:val="000000"/>
                <w:sz w:val="20"/>
                <w:szCs w:val="20"/>
              </w:rPr>
            </w:pPr>
            <w:r>
              <w:rPr>
                <w:rFonts w:ascii="Arial" w:hAnsi="Arial" w:cs="Arial"/>
                <w:color w:val="000000"/>
                <w:sz w:val="20"/>
                <w:szCs w:val="20"/>
              </w:rPr>
              <w:t>Linden Li</w:t>
            </w:r>
          </w:p>
        </w:tc>
        <w:tc>
          <w:tcPr>
            <w:tcW w:w="3258" w:type="dxa"/>
            <w:tcBorders>
              <w:bottom w:val="single" w:sz="6" w:space="0" w:color="auto"/>
            </w:tcBorders>
            <w:shd w:val="clear" w:color="auto" w:fill="auto"/>
          </w:tcPr>
          <w:p w14:paraId="3C8F0DB2" w14:textId="77777777" w:rsidR="00B94841" w:rsidRPr="004D5244" w:rsidRDefault="00B94841" w:rsidP="00003D0F">
            <w:pPr>
              <w:autoSpaceDE w:val="0"/>
              <w:autoSpaceDN w:val="0"/>
              <w:adjustRightInd w:val="0"/>
              <w:rPr>
                <w:rFonts w:ascii="Arial" w:hAnsi="Arial" w:cs="Arial"/>
                <w:sz w:val="20"/>
                <w:szCs w:val="20"/>
              </w:rPr>
            </w:pPr>
            <w:r>
              <w:rPr>
                <w:rFonts w:ascii="Arial" w:hAnsi="Arial" w:cs="Arial"/>
                <w:sz w:val="20"/>
                <w:szCs w:val="20"/>
              </w:rPr>
              <w:t>(</w:t>
            </w:r>
            <w:r w:rsidRPr="009C1476">
              <w:rPr>
                <w:rFonts w:ascii="Arial" w:hAnsi="Arial" w:cs="Arial"/>
                <w:sz w:val="20"/>
                <w:szCs w:val="20"/>
              </w:rPr>
              <w:t>301) 657-9883</w:t>
            </w:r>
          </w:p>
        </w:tc>
      </w:tr>
      <w:tr w:rsidR="00B94841" w:rsidRPr="004D5244" w14:paraId="66E563E7" w14:textId="77777777" w:rsidTr="004F60B2">
        <w:tc>
          <w:tcPr>
            <w:tcW w:w="6318" w:type="dxa"/>
            <w:tcBorders>
              <w:bottom w:val="single" w:sz="6" w:space="0" w:color="auto"/>
            </w:tcBorders>
            <w:shd w:val="clear" w:color="auto" w:fill="auto"/>
            <w:vAlign w:val="center"/>
          </w:tcPr>
          <w:p w14:paraId="2FC90660" w14:textId="77777777" w:rsidR="00B94841" w:rsidRDefault="00B94841" w:rsidP="00F25CFB">
            <w:pPr>
              <w:ind w:left="180"/>
              <w:rPr>
                <w:rFonts w:ascii="Arial" w:hAnsi="Arial" w:cs="Arial"/>
                <w:color w:val="000000"/>
                <w:sz w:val="20"/>
                <w:szCs w:val="20"/>
              </w:rPr>
            </w:pPr>
            <w:r>
              <w:rPr>
                <w:rFonts w:ascii="Arial" w:hAnsi="Arial" w:cs="Arial"/>
                <w:color w:val="000000"/>
                <w:sz w:val="20"/>
                <w:szCs w:val="20"/>
              </w:rPr>
              <w:t>Briana Alterman</w:t>
            </w:r>
          </w:p>
        </w:tc>
        <w:tc>
          <w:tcPr>
            <w:tcW w:w="3258" w:type="dxa"/>
            <w:tcBorders>
              <w:bottom w:val="single" w:sz="6" w:space="0" w:color="auto"/>
            </w:tcBorders>
            <w:shd w:val="clear" w:color="auto" w:fill="auto"/>
          </w:tcPr>
          <w:p w14:paraId="4E06688A" w14:textId="77777777" w:rsidR="00B94841" w:rsidRPr="004D5244" w:rsidRDefault="00B94841" w:rsidP="00003D0F">
            <w:pPr>
              <w:autoSpaceDE w:val="0"/>
              <w:autoSpaceDN w:val="0"/>
              <w:adjustRightInd w:val="0"/>
              <w:rPr>
                <w:rFonts w:ascii="Arial" w:hAnsi="Arial" w:cs="Arial"/>
                <w:sz w:val="20"/>
                <w:szCs w:val="20"/>
              </w:rPr>
            </w:pPr>
            <w:r>
              <w:rPr>
                <w:rFonts w:ascii="Arial" w:hAnsi="Arial" w:cs="Arial"/>
                <w:sz w:val="20"/>
                <w:szCs w:val="20"/>
              </w:rPr>
              <w:t>(</w:t>
            </w:r>
            <w:r w:rsidRPr="009C1476">
              <w:rPr>
                <w:rFonts w:ascii="Arial" w:hAnsi="Arial" w:cs="Arial"/>
                <w:sz w:val="20"/>
                <w:szCs w:val="20"/>
              </w:rPr>
              <w:t>301) 657-9883</w:t>
            </w:r>
          </w:p>
        </w:tc>
      </w:tr>
      <w:tr w:rsidR="001C5EAC" w:rsidRPr="004D5244" w14:paraId="02A8A967" w14:textId="77777777" w:rsidTr="00B94841">
        <w:tc>
          <w:tcPr>
            <w:tcW w:w="6318" w:type="dxa"/>
            <w:tcBorders>
              <w:top w:val="single" w:sz="6" w:space="0" w:color="auto"/>
              <w:bottom w:val="single" w:sz="6" w:space="0" w:color="auto"/>
              <w:right w:val="nil"/>
            </w:tcBorders>
            <w:shd w:val="clear" w:color="auto" w:fill="D9D9D9"/>
            <w:vAlign w:val="center"/>
          </w:tcPr>
          <w:p w14:paraId="093672BB" w14:textId="77777777" w:rsidR="007F4005" w:rsidRPr="004D5244" w:rsidRDefault="00F25CFB" w:rsidP="00770366">
            <w:pPr>
              <w:autoSpaceDE w:val="0"/>
              <w:autoSpaceDN w:val="0"/>
              <w:adjustRightInd w:val="0"/>
              <w:rPr>
                <w:rFonts w:ascii="Arial" w:hAnsi="Arial" w:cs="Arial"/>
                <w:sz w:val="20"/>
                <w:szCs w:val="20"/>
              </w:rPr>
            </w:pPr>
            <w:r>
              <w:rPr>
                <w:rFonts w:ascii="Arial" w:hAnsi="Arial" w:cs="Arial"/>
                <w:b/>
                <w:color w:val="000000"/>
                <w:sz w:val="20"/>
                <w:szCs w:val="20"/>
              </w:rPr>
              <w:t>Subcontractor – Urban Institute</w:t>
            </w:r>
          </w:p>
        </w:tc>
        <w:tc>
          <w:tcPr>
            <w:tcW w:w="3258" w:type="dxa"/>
            <w:tcBorders>
              <w:top w:val="single" w:sz="6" w:space="0" w:color="auto"/>
              <w:left w:val="nil"/>
              <w:bottom w:val="single" w:sz="6" w:space="0" w:color="auto"/>
            </w:tcBorders>
            <w:shd w:val="clear" w:color="auto" w:fill="D9D9D9"/>
            <w:vAlign w:val="center"/>
          </w:tcPr>
          <w:p w14:paraId="08DC334C" w14:textId="77777777" w:rsidR="007F4005" w:rsidRPr="004D5244" w:rsidRDefault="007F4005" w:rsidP="00770366">
            <w:pPr>
              <w:autoSpaceDE w:val="0"/>
              <w:autoSpaceDN w:val="0"/>
              <w:adjustRightInd w:val="0"/>
              <w:rPr>
                <w:rFonts w:ascii="Arial" w:hAnsi="Arial" w:cs="Arial"/>
                <w:sz w:val="20"/>
                <w:szCs w:val="20"/>
              </w:rPr>
            </w:pPr>
          </w:p>
        </w:tc>
      </w:tr>
      <w:tr w:rsidR="007F4005" w:rsidRPr="004D5244" w14:paraId="651EE7A6" w14:textId="77777777" w:rsidTr="004F60B2">
        <w:tc>
          <w:tcPr>
            <w:tcW w:w="6318" w:type="dxa"/>
            <w:tcBorders>
              <w:top w:val="single" w:sz="6" w:space="0" w:color="auto"/>
            </w:tcBorders>
            <w:shd w:val="clear" w:color="auto" w:fill="auto"/>
            <w:vAlign w:val="center"/>
          </w:tcPr>
          <w:p w14:paraId="1B779023" w14:textId="77777777"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Sue Popkin, Project Manager</w:t>
            </w:r>
          </w:p>
        </w:tc>
        <w:tc>
          <w:tcPr>
            <w:tcW w:w="3258" w:type="dxa"/>
            <w:tcBorders>
              <w:top w:val="single" w:sz="6" w:space="0" w:color="auto"/>
            </w:tcBorders>
            <w:shd w:val="clear" w:color="auto" w:fill="auto"/>
          </w:tcPr>
          <w:p w14:paraId="54E15FA4" w14:textId="77777777"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color w:val="222222"/>
                <w:sz w:val="20"/>
                <w:szCs w:val="20"/>
              </w:rPr>
              <w:t>(202) 833-7200</w:t>
            </w:r>
          </w:p>
        </w:tc>
      </w:tr>
      <w:tr w:rsidR="007F4005" w:rsidRPr="004D5244" w14:paraId="25EBDDF8" w14:textId="77777777" w:rsidTr="004F60B2">
        <w:tc>
          <w:tcPr>
            <w:tcW w:w="6318" w:type="dxa"/>
            <w:shd w:val="clear" w:color="auto" w:fill="auto"/>
            <w:vAlign w:val="center"/>
          </w:tcPr>
          <w:p w14:paraId="6DA9B9AC" w14:textId="77777777"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Chris Hayes, Principal Investigator</w:t>
            </w:r>
          </w:p>
        </w:tc>
        <w:tc>
          <w:tcPr>
            <w:tcW w:w="3258" w:type="dxa"/>
            <w:shd w:val="clear" w:color="auto" w:fill="auto"/>
          </w:tcPr>
          <w:p w14:paraId="2344EAAE" w14:textId="77777777" w:rsidR="007F4005" w:rsidRPr="004D5244" w:rsidRDefault="007F4005" w:rsidP="00770366">
            <w:pPr>
              <w:rPr>
                <w:rFonts w:ascii="Arial" w:hAnsi="Arial" w:cs="Arial"/>
                <w:sz w:val="20"/>
                <w:szCs w:val="20"/>
              </w:rPr>
            </w:pPr>
            <w:r w:rsidRPr="004D5244">
              <w:rPr>
                <w:rFonts w:ascii="Arial" w:hAnsi="Arial" w:cs="Arial"/>
                <w:color w:val="222222"/>
                <w:sz w:val="20"/>
                <w:szCs w:val="20"/>
              </w:rPr>
              <w:t>(202) 833-7200</w:t>
            </w:r>
          </w:p>
        </w:tc>
      </w:tr>
      <w:tr w:rsidR="007F4005" w:rsidRPr="004D5244" w14:paraId="1A4AA0A0" w14:textId="77777777" w:rsidTr="004F60B2">
        <w:tc>
          <w:tcPr>
            <w:tcW w:w="6318" w:type="dxa"/>
            <w:shd w:val="clear" w:color="auto" w:fill="auto"/>
            <w:vAlign w:val="center"/>
          </w:tcPr>
          <w:p w14:paraId="64AF34E1" w14:textId="77777777"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Elaine Morley, Sr. Analyst</w:t>
            </w:r>
          </w:p>
        </w:tc>
        <w:tc>
          <w:tcPr>
            <w:tcW w:w="3258" w:type="dxa"/>
            <w:shd w:val="clear" w:color="auto" w:fill="auto"/>
          </w:tcPr>
          <w:p w14:paraId="308C8803" w14:textId="77777777" w:rsidR="007F4005" w:rsidRPr="004D5244" w:rsidRDefault="007F4005" w:rsidP="00770366">
            <w:pPr>
              <w:rPr>
                <w:rFonts w:ascii="Arial" w:hAnsi="Arial" w:cs="Arial"/>
                <w:sz w:val="20"/>
                <w:szCs w:val="20"/>
              </w:rPr>
            </w:pPr>
            <w:r w:rsidRPr="004D5244">
              <w:rPr>
                <w:rFonts w:ascii="Arial" w:hAnsi="Arial" w:cs="Arial"/>
                <w:color w:val="222222"/>
                <w:sz w:val="20"/>
                <w:szCs w:val="20"/>
              </w:rPr>
              <w:t>(202) 833-7200</w:t>
            </w:r>
          </w:p>
        </w:tc>
      </w:tr>
      <w:tr w:rsidR="007F4005" w:rsidRPr="004D5244" w14:paraId="015DCD4E" w14:textId="77777777" w:rsidTr="004F60B2">
        <w:tc>
          <w:tcPr>
            <w:tcW w:w="6318" w:type="dxa"/>
            <w:tcBorders>
              <w:bottom w:val="single" w:sz="6" w:space="0" w:color="auto"/>
            </w:tcBorders>
            <w:shd w:val="clear" w:color="auto" w:fill="auto"/>
            <w:vAlign w:val="center"/>
          </w:tcPr>
          <w:p w14:paraId="3C00E32E" w14:textId="77777777"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Alex Derian, Analyst</w:t>
            </w:r>
          </w:p>
        </w:tc>
        <w:tc>
          <w:tcPr>
            <w:tcW w:w="3258" w:type="dxa"/>
            <w:tcBorders>
              <w:bottom w:val="single" w:sz="6" w:space="0" w:color="auto"/>
            </w:tcBorders>
            <w:shd w:val="clear" w:color="auto" w:fill="auto"/>
          </w:tcPr>
          <w:p w14:paraId="09183960" w14:textId="77777777" w:rsidR="007F4005" w:rsidRPr="004D5244" w:rsidRDefault="007F4005" w:rsidP="00770366">
            <w:pPr>
              <w:rPr>
                <w:rFonts w:ascii="Arial" w:hAnsi="Arial" w:cs="Arial"/>
                <w:sz w:val="20"/>
                <w:szCs w:val="20"/>
              </w:rPr>
            </w:pPr>
            <w:r w:rsidRPr="004D5244">
              <w:rPr>
                <w:rFonts w:ascii="Arial" w:hAnsi="Arial" w:cs="Arial"/>
                <w:color w:val="222222"/>
                <w:sz w:val="20"/>
                <w:szCs w:val="20"/>
              </w:rPr>
              <w:t>(202) 833-7200</w:t>
            </w:r>
          </w:p>
        </w:tc>
      </w:tr>
      <w:tr w:rsidR="001C5EAC" w:rsidRPr="004D5244" w14:paraId="4CCEB520" w14:textId="77777777" w:rsidTr="00B94841">
        <w:tc>
          <w:tcPr>
            <w:tcW w:w="6318" w:type="dxa"/>
            <w:tcBorders>
              <w:top w:val="single" w:sz="6" w:space="0" w:color="auto"/>
              <w:bottom w:val="single" w:sz="6" w:space="0" w:color="auto"/>
              <w:right w:val="nil"/>
            </w:tcBorders>
            <w:shd w:val="clear" w:color="auto" w:fill="D9D9D9"/>
            <w:vAlign w:val="center"/>
          </w:tcPr>
          <w:p w14:paraId="0699CA02" w14:textId="77777777"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b/>
                <w:color w:val="000000"/>
                <w:sz w:val="20"/>
                <w:szCs w:val="20"/>
              </w:rPr>
              <w:t>Subcontractor – Other</w:t>
            </w:r>
          </w:p>
        </w:tc>
        <w:tc>
          <w:tcPr>
            <w:tcW w:w="3258" w:type="dxa"/>
            <w:tcBorders>
              <w:top w:val="single" w:sz="6" w:space="0" w:color="auto"/>
              <w:left w:val="nil"/>
              <w:bottom w:val="single" w:sz="6" w:space="0" w:color="auto"/>
            </w:tcBorders>
            <w:shd w:val="clear" w:color="auto" w:fill="D9D9D9"/>
            <w:vAlign w:val="center"/>
          </w:tcPr>
          <w:p w14:paraId="54E769B2" w14:textId="77777777" w:rsidR="007F4005" w:rsidRPr="004D5244" w:rsidRDefault="007F4005" w:rsidP="00770366">
            <w:pPr>
              <w:autoSpaceDE w:val="0"/>
              <w:autoSpaceDN w:val="0"/>
              <w:adjustRightInd w:val="0"/>
              <w:rPr>
                <w:rFonts w:ascii="Arial" w:hAnsi="Arial" w:cs="Arial"/>
                <w:sz w:val="20"/>
                <w:szCs w:val="20"/>
              </w:rPr>
            </w:pPr>
          </w:p>
        </w:tc>
      </w:tr>
      <w:tr w:rsidR="007F4005" w:rsidRPr="004D5244" w14:paraId="5595DB41" w14:textId="77777777" w:rsidTr="004F60B2">
        <w:tc>
          <w:tcPr>
            <w:tcW w:w="6318" w:type="dxa"/>
            <w:tcBorders>
              <w:top w:val="single" w:sz="6" w:space="0" w:color="auto"/>
            </w:tcBorders>
            <w:shd w:val="clear" w:color="auto" w:fill="auto"/>
            <w:vAlign w:val="center"/>
          </w:tcPr>
          <w:p w14:paraId="310776F3" w14:textId="77777777"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 xml:space="preserve">Jaime Bordenave, SME, The </w:t>
            </w:r>
            <w:r>
              <w:rPr>
                <w:rFonts w:ascii="Arial" w:hAnsi="Arial" w:cs="Arial"/>
                <w:color w:val="000000"/>
                <w:sz w:val="20"/>
                <w:szCs w:val="20"/>
              </w:rPr>
              <w:t>C</w:t>
            </w:r>
            <w:r w:rsidRPr="00A7368B">
              <w:rPr>
                <w:rFonts w:ascii="Arial" w:hAnsi="Arial" w:cs="Arial"/>
                <w:color w:val="000000"/>
                <w:sz w:val="20"/>
                <w:szCs w:val="20"/>
              </w:rPr>
              <w:t>ommunities Group</w:t>
            </w:r>
          </w:p>
        </w:tc>
        <w:tc>
          <w:tcPr>
            <w:tcW w:w="3258" w:type="dxa"/>
            <w:tcBorders>
              <w:top w:val="single" w:sz="6" w:space="0" w:color="auto"/>
            </w:tcBorders>
            <w:shd w:val="clear" w:color="auto" w:fill="auto"/>
          </w:tcPr>
          <w:p w14:paraId="066B1874" w14:textId="77777777" w:rsidR="007F4005" w:rsidRPr="004D5244" w:rsidRDefault="00F25CFB" w:rsidP="00770366">
            <w:pPr>
              <w:autoSpaceDE w:val="0"/>
              <w:autoSpaceDN w:val="0"/>
              <w:adjustRightInd w:val="0"/>
              <w:rPr>
                <w:rFonts w:ascii="Arial" w:hAnsi="Arial" w:cs="Arial"/>
                <w:sz w:val="20"/>
                <w:szCs w:val="20"/>
              </w:rPr>
            </w:pPr>
            <w:r>
              <w:rPr>
                <w:rFonts w:ascii="Arial" w:hAnsi="Arial" w:cs="Arial"/>
                <w:sz w:val="20"/>
                <w:szCs w:val="20"/>
              </w:rPr>
              <w:t>(202)</w:t>
            </w:r>
            <w:r w:rsidRPr="00F25CFB">
              <w:rPr>
                <w:rFonts w:ascii="Arial" w:hAnsi="Arial" w:cs="Arial"/>
                <w:sz w:val="20"/>
                <w:szCs w:val="20"/>
              </w:rPr>
              <w:t xml:space="preserve"> 667-3002</w:t>
            </w:r>
          </w:p>
        </w:tc>
      </w:tr>
      <w:tr w:rsidR="007F4005" w:rsidRPr="004D5244" w14:paraId="4438B4AA" w14:textId="77777777" w:rsidTr="004F60B2">
        <w:tc>
          <w:tcPr>
            <w:tcW w:w="6318" w:type="dxa"/>
            <w:shd w:val="clear" w:color="auto" w:fill="auto"/>
            <w:vAlign w:val="center"/>
          </w:tcPr>
          <w:p w14:paraId="71092088" w14:textId="77777777"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Dr. John Weicher, SME, Hudson Institute</w:t>
            </w:r>
          </w:p>
        </w:tc>
        <w:tc>
          <w:tcPr>
            <w:tcW w:w="3258" w:type="dxa"/>
            <w:shd w:val="clear" w:color="auto" w:fill="auto"/>
          </w:tcPr>
          <w:p w14:paraId="0631EC08" w14:textId="77777777"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sz w:val="20"/>
                <w:szCs w:val="20"/>
              </w:rPr>
              <w:t>(202) 974-2425</w:t>
            </w:r>
          </w:p>
        </w:tc>
      </w:tr>
    </w:tbl>
    <w:p w14:paraId="4E77BBB8" w14:textId="77777777" w:rsidR="007F4005" w:rsidRDefault="007F4005" w:rsidP="00770366">
      <w:pPr>
        <w:autoSpaceDE w:val="0"/>
        <w:autoSpaceDN w:val="0"/>
        <w:adjustRightInd w:val="0"/>
      </w:pPr>
    </w:p>
    <w:p w14:paraId="62695324" w14:textId="77777777" w:rsidR="0009412C" w:rsidRPr="004D5244" w:rsidRDefault="007F4005" w:rsidP="00B94841">
      <w:pPr>
        <w:keepNext/>
        <w:spacing w:after="120"/>
        <w:rPr>
          <w:rFonts w:ascii="Arial" w:hAnsi="Arial" w:cs="Arial"/>
          <w:b/>
        </w:rPr>
      </w:pPr>
      <w:r w:rsidRPr="00771A67">
        <w:rPr>
          <w:rFonts w:ascii="Arial" w:hAnsi="Arial" w:cs="Arial"/>
          <w:b/>
        </w:rPr>
        <w:t xml:space="preserve">Table </w:t>
      </w:r>
      <w:r>
        <w:rPr>
          <w:rFonts w:ascii="Arial" w:hAnsi="Arial" w:cs="Arial"/>
          <w:b/>
        </w:rPr>
        <w:t>1</w:t>
      </w:r>
      <w:r w:rsidR="00D2057E">
        <w:rPr>
          <w:rFonts w:ascii="Arial" w:hAnsi="Arial" w:cs="Arial"/>
          <w:b/>
        </w:rPr>
        <w:t>5</w:t>
      </w:r>
      <w:r w:rsidRPr="00771A67">
        <w:rPr>
          <w:rFonts w:ascii="Arial" w:hAnsi="Arial" w:cs="Arial"/>
          <w:b/>
        </w:rPr>
        <w:t xml:space="preserve">. HUD Staff </w:t>
      </w:r>
      <w:r w:rsidRPr="004D5244">
        <w:rPr>
          <w:rFonts w:ascii="Arial" w:hAnsi="Arial" w:cs="Arial"/>
          <w:b/>
        </w:rPr>
        <w:t xml:space="preserve">Who </w:t>
      </w:r>
      <w:r w:rsidR="008D50DF">
        <w:rPr>
          <w:rFonts w:ascii="Arial" w:hAnsi="Arial" w:cs="Arial"/>
          <w:b/>
        </w:rPr>
        <w:t xml:space="preserve">Have </w:t>
      </w:r>
      <w:r w:rsidRPr="004D5244">
        <w:rPr>
          <w:rFonts w:ascii="Arial" w:hAnsi="Arial" w:cs="Arial"/>
          <w:b/>
        </w:rPr>
        <w:t>Advised on the Survey and Interview Instruments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38"/>
        <w:gridCol w:w="3600"/>
        <w:gridCol w:w="2538"/>
      </w:tblGrid>
      <w:tr w:rsidR="001C5EAC" w:rsidRPr="008316CB" w14:paraId="1DFE8960" w14:textId="77777777" w:rsidTr="008316CB">
        <w:tc>
          <w:tcPr>
            <w:tcW w:w="3438" w:type="dxa"/>
            <w:tcBorders>
              <w:top w:val="single" w:sz="12" w:space="0" w:color="auto"/>
              <w:bottom w:val="single" w:sz="4" w:space="0" w:color="auto"/>
            </w:tcBorders>
            <w:shd w:val="clear" w:color="auto" w:fill="000075"/>
          </w:tcPr>
          <w:p w14:paraId="7DA768FC" w14:textId="77777777" w:rsidR="007F4005" w:rsidRPr="004F60B2" w:rsidRDefault="007F4005" w:rsidP="00770366">
            <w:pPr>
              <w:keepNext/>
              <w:autoSpaceDE w:val="0"/>
              <w:autoSpaceDN w:val="0"/>
              <w:adjustRightInd w:val="0"/>
              <w:rPr>
                <w:rFonts w:ascii="Arial" w:hAnsi="Arial"/>
                <w:b/>
                <w:color w:val="FFFFFF" w:themeColor="background1"/>
              </w:rPr>
            </w:pPr>
            <w:r w:rsidRPr="008316CB">
              <w:rPr>
                <w:rFonts w:ascii="Arial" w:hAnsi="Arial" w:cs="Arial"/>
                <w:b/>
                <w:color w:val="FFFFFF" w:themeColor="background1"/>
                <w:sz w:val="22"/>
                <w:szCs w:val="20"/>
              </w:rPr>
              <w:t>Name</w:t>
            </w:r>
          </w:p>
        </w:tc>
        <w:tc>
          <w:tcPr>
            <w:tcW w:w="3600" w:type="dxa"/>
            <w:tcBorders>
              <w:top w:val="single" w:sz="12" w:space="0" w:color="auto"/>
              <w:bottom w:val="single" w:sz="4" w:space="0" w:color="auto"/>
            </w:tcBorders>
            <w:shd w:val="clear" w:color="auto" w:fill="000075"/>
          </w:tcPr>
          <w:p w14:paraId="1A7394BE" w14:textId="77777777" w:rsidR="007F4005" w:rsidRPr="004F60B2" w:rsidRDefault="007F4005" w:rsidP="00770366">
            <w:pPr>
              <w:keepNext/>
              <w:autoSpaceDE w:val="0"/>
              <w:autoSpaceDN w:val="0"/>
              <w:adjustRightInd w:val="0"/>
              <w:rPr>
                <w:rFonts w:ascii="Arial" w:hAnsi="Arial"/>
                <w:b/>
                <w:color w:val="FFFFFF" w:themeColor="background1"/>
              </w:rPr>
            </w:pPr>
            <w:r w:rsidRPr="008316CB">
              <w:rPr>
                <w:rFonts w:ascii="Arial" w:hAnsi="Arial" w:cs="Arial"/>
                <w:b/>
                <w:color w:val="FFFFFF" w:themeColor="background1"/>
                <w:sz w:val="22"/>
                <w:szCs w:val="20"/>
              </w:rPr>
              <w:t>HUD Staff</w:t>
            </w:r>
            <w:r w:rsidR="008316CB">
              <w:rPr>
                <w:rFonts w:ascii="Arial" w:hAnsi="Arial" w:cs="Arial"/>
                <w:b/>
                <w:color w:val="FFFFFF" w:themeColor="background1"/>
                <w:sz w:val="22"/>
                <w:szCs w:val="20"/>
              </w:rPr>
              <w:t xml:space="preserve"> Position</w:t>
            </w:r>
          </w:p>
        </w:tc>
        <w:tc>
          <w:tcPr>
            <w:tcW w:w="2538" w:type="dxa"/>
            <w:tcBorders>
              <w:top w:val="single" w:sz="12" w:space="0" w:color="auto"/>
              <w:bottom w:val="single" w:sz="4" w:space="0" w:color="auto"/>
            </w:tcBorders>
            <w:shd w:val="clear" w:color="auto" w:fill="000075"/>
          </w:tcPr>
          <w:p w14:paraId="5F1E06FA" w14:textId="77777777" w:rsidR="007F4005" w:rsidRPr="004F60B2" w:rsidRDefault="00F25CFB" w:rsidP="00770366">
            <w:pPr>
              <w:keepNext/>
              <w:autoSpaceDE w:val="0"/>
              <w:autoSpaceDN w:val="0"/>
              <w:adjustRightInd w:val="0"/>
              <w:rPr>
                <w:rFonts w:ascii="Arial" w:hAnsi="Arial"/>
                <w:b/>
                <w:color w:val="FFFFFF" w:themeColor="background1"/>
              </w:rPr>
            </w:pPr>
            <w:r w:rsidRPr="008316CB">
              <w:rPr>
                <w:rFonts w:ascii="Arial" w:hAnsi="Arial" w:cs="Arial"/>
                <w:b/>
                <w:color w:val="FFFFFF" w:themeColor="background1"/>
                <w:sz w:val="22"/>
                <w:szCs w:val="20"/>
              </w:rPr>
              <w:t>Phone Number</w:t>
            </w:r>
          </w:p>
        </w:tc>
      </w:tr>
      <w:tr w:rsidR="007F4005" w:rsidRPr="00FC0C27" w14:paraId="37880370" w14:textId="77777777" w:rsidTr="004F60B2">
        <w:tc>
          <w:tcPr>
            <w:tcW w:w="3438" w:type="dxa"/>
            <w:tcBorders>
              <w:top w:val="single" w:sz="4" w:space="0" w:color="auto"/>
            </w:tcBorders>
            <w:shd w:val="clear" w:color="auto" w:fill="auto"/>
          </w:tcPr>
          <w:p w14:paraId="48E8F893" w14:textId="77777777" w:rsidR="007F4005" w:rsidRPr="00FC0C27" w:rsidRDefault="00F25CFB" w:rsidP="00770366">
            <w:pPr>
              <w:keepNext/>
              <w:autoSpaceDE w:val="0"/>
              <w:autoSpaceDN w:val="0"/>
              <w:adjustRightInd w:val="0"/>
              <w:rPr>
                <w:rFonts w:ascii="Arial" w:hAnsi="Arial" w:cs="Arial"/>
                <w:sz w:val="20"/>
                <w:szCs w:val="20"/>
              </w:rPr>
            </w:pPr>
            <w:r>
              <w:rPr>
                <w:rFonts w:ascii="Arial" w:hAnsi="Arial" w:cs="Arial"/>
                <w:sz w:val="20"/>
                <w:szCs w:val="20"/>
              </w:rPr>
              <w:t>Nathan Bossie</w:t>
            </w:r>
          </w:p>
        </w:tc>
        <w:tc>
          <w:tcPr>
            <w:tcW w:w="3600" w:type="dxa"/>
            <w:tcBorders>
              <w:top w:val="single" w:sz="4" w:space="0" w:color="auto"/>
            </w:tcBorders>
            <w:shd w:val="clear" w:color="auto" w:fill="auto"/>
          </w:tcPr>
          <w:p w14:paraId="2C94EAEE" w14:textId="77777777" w:rsidR="007F4005" w:rsidRPr="00FC0C27" w:rsidRDefault="007F4005" w:rsidP="00770366">
            <w:pPr>
              <w:keepNext/>
              <w:autoSpaceDE w:val="0"/>
              <w:autoSpaceDN w:val="0"/>
              <w:adjustRightInd w:val="0"/>
              <w:rPr>
                <w:rFonts w:ascii="Arial" w:hAnsi="Arial" w:cs="Arial"/>
                <w:sz w:val="20"/>
                <w:szCs w:val="20"/>
              </w:rPr>
            </w:pPr>
            <w:r>
              <w:rPr>
                <w:rFonts w:ascii="Arial" w:hAnsi="Arial" w:cs="Arial"/>
                <w:sz w:val="20"/>
                <w:szCs w:val="20"/>
              </w:rPr>
              <w:t>HUD GTR</w:t>
            </w:r>
          </w:p>
        </w:tc>
        <w:tc>
          <w:tcPr>
            <w:tcW w:w="2538" w:type="dxa"/>
            <w:tcBorders>
              <w:top w:val="single" w:sz="4" w:space="0" w:color="auto"/>
            </w:tcBorders>
            <w:shd w:val="clear" w:color="auto" w:fill="auto"/>
          </w:tcPr>
          <w:p w14:paraId="680589E5" w14:textId="77777777" w:rsidR="007F4005" w:rsidRPr="00FC0C27" w:rsidRDefault="008D50DF" w:rsidP="00770366">
            <w:pPr>
              <w:keepNext/>
              <w:autoSpaceDE w:val="0"/>
              <w:autoSpaceDN w:val="0"/>
              <w:adjustRightInd w:val="0"/>
              <w:rPr>
                <w:rFonts w:ascii="Arial" w:hAnsi="Arial" w:cs="Arial"/>
                <w:sz w:val="20"/>
                <w:szCs w:val="20"/>
              </w:rPr>
            </w:pPr>
            <w:r>
              <w:rPr>
                <w:rFonts w:ascii="Arial" w:hAnsi="Arial" w:cs="Arial"/>
                <w:sz w:val="20"/>
                <w:szCs w:val="20"/>
              </w:rPr>
              <w:t>(</w:t>
            </w:r>
            <w:r w:rsidRPr="008D50DF">
              <w:rPr>
                <w:rFonts w:ascii="Arial" w:hAnsi="Arial" w:cs="Arial"/>
                <w:sz w:val="20"/>
                <w:szCs w:val="20"/>
              </w:rPr>
              <w:t>202) 402-2046</w:t>
            </w:r>
          </w:p>
        </w:tc>
      </w:tr>
      <w:tr w:rsidR="007F4005" w:rsidRPr="00FC0C27" w14:paraId="219C61CD" w14:textId="77777777" w:rsidTr="004F60B2">
        <w:tc>
          <w:tcPr>
            <w:tcW w:w="3438" w:type="dxa"/>
            <w:shd w:val="clear" w:color="auto" w:fill="auto"/>
          </w:tcPr>
          <w:p w14:paraId="77F8B314" w14:textId="77777777" w:rsidR="007F4005" w:rsidRPr="00FC0C27" w:rsidRDefault="00F25CFB" w:rsidP="00770366">
            <w:pPr>
              <w:keepNext/>
              <w:autoSpaceDE w:val="0"/>
              <w:autoSpaceDN w:val="0"/>
              <w:adjustRightInd w:val="0"/>
              <w:rPr>
                <w:rFonts w:ascii="Arial" w:hAnsi="Arial" w:cs="Arial"/>
                <w:sz w:val="20"/>
                <w:szCs w:val="20"/>
              </w:rPr>
            </w:pPr>
            <w:r>
              <w:rPr>
                <w:rFonts w:ascii="Arial" w:hAnsi="Arial" w:cs="Arial"/>
                <w:sz w:val="20"/>
                <w:szCs w:val="20"/>
              </w:rPr>
              <w:t>Paul Joice</w:t>
            </w:r>
          </w:p>
        </w:tc>
        <w:tc>
          <w:tcPr>
            <w:tcW w:w="3600" w:type="dxa"/>
            <w:shd w:val="clear" w:color="auto" w:fill="auto"/>
          </w:tcPr>
          <w:p w14:paraId="1AFB0CD7" w14:textId="77777777" w:rsidR="007F4005" w:rsidRPr="00FC0C27" w:rsidRDefault="00F25CFB" w:rsidP="00770366">
            <w:pPr>
              <w:keepNext/>
              <w:autoSpaceDE w:val="0"/>
              <w:autoSpaceDN w:val="0"/>
              <w:adjustRightInd w:val="0"/>
              <w:rPr>
                <w:rFonts w:ascii="Arial" w:hAnsi="Arial" w:cs="Arial"/>
                <w:sz w:val="20"/>
                <w:szCs w:val="20"/>
              </w:rPr>
            </w:pPr>
            <w:r>
              <w:rPr>
                <w:rFonts w:ascii="Arial" w:hAnsi="Arial" w:cs="Arial"/>
                <w:sz w:val="20"/>
                <w:szCs w:val="20"/>
              </w:rPr>
              <w:t>HUD GTM</w:t>
            </w:r>
          </w:p>
        </w:tc>
        <w:tc>
          <w:tcPr>
            <w:tcW w:w="2538" w:type="dxa"/>
            <w:shd w:val="clear" w:color="auto" w:fill="auto"/>
          </w:tcPr>
          <w:p w14:paraId="2C285046" w14:textId="77777777" w:rsidR="007F4005" w:rsidRPr="00FC0C27" w:rsidRDefault="008D50DF" w:rsidP="00770366">
            <w:pPr>
              <w:keepNext/>
              <w:autoSpaceDE w:val="0"/>
              <w:autoSpaceDN w:val="0"/>
              <w:adjustRightInd w:val="0"/>
              <w:rPr>
                <w:rFonts w:ascii="Arial" w:hAnsi="Arial" w:cs="Arial"/>
                <w:sz w:val="20"/>
                <w:szCs w:val="20"/>
              </w:rPr>
            </w:pPr>
            <w:r w:rsidRPr="008D50DF">
              <w:rPr>
                <w:rFonts w:ascii="Arial" w:hAnsi="Arial" w:cs="Arial"/>
                <w:sz w:val="20"/>
                <w:szCs w:val="20"/>
              </w:rPr>
              <w:t>(312) 913-8597</w:t>
            </w:r>
          </w:p>
        </w:tc>
      </w:tr>
    </w:tbl>
    <w:p w14:paraId="0760BD2F" w14:textId="77777777" w:rsidR="007F4005" w:rsidRPr="00CE6678" w:rsidRDefault="007F4005" w:rsidP="00770366">
      <w:pPr>
        <w:autoSpaceDE w:val="0"/>
        <w:autoSpaceDN w:val="0"/>
        <w:adjustRightInd w:val="0"/>
      </w:pPr>
    </w:p>
    <w:p w14:paraId="25466108" w14:textId="77777777" w:rsidR="007F4005" w:rsidRPr="009B65DE" w:rsidRDefault="007F4005" w:rsidP="00770366"/>
    <w:p w14:paraId="18054926" w14:textId="77777777" w:rsidR="00F47B87" w:rsidRDefault="00F47B87">
      <w:pPr>
        <w:spacing w:after="200" w:line="276" w:lineRule="auto"/>
      </w:pPr>
    </w:p>
    <w:sectPr w:rsidR="00F47B87" w:rsidSect="00003D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8B9CF" w14:textId="77777777" w:rsidR="001C5EAC" w:rsidRDefault="001C5EAC" w:rsidP="007F4005">
      <w:r>
        <w:separator/>
      </w:r>
    </w:p>
  </w:endnote>
  <w:endnote w:type="continuationSeparator" w:id="0">
    <w:p w14:paraId="1CA3BFD7" w14:textId="77777777" w:rsidR="001C5EAC" w:rsidRDefault="001C5EAC" w:rsidP="007F4005">
      <w:r>
        <w:continuationSeparator/>
      </w:r>
    </w:p>
  </w:endnote>
  <w:endnote w:type="continuationNotice" w:id="1">
    <w:p w14:paraId="07D07175" w14:textId="77777777" w:rsidR="001C5EAC" w:rsidRDefault="001C5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F0F9" w14:textId="2AEB7948" w:rsidR="00EF4D36" w:rsidRDefault="00EF4D36">
    <w:pPr>
      <w:pStyle w:val="Footer"/>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406F1">
          <w:rPr>
            <w:noProof/>
          </w:rPr>
          <w:t>1</w:t>
        </w:r>
        <w:r>
          <w:rPr>
            <w:noProof/>
          </w:rPr>
          <w:fldChar w:fldCharType="end"/>
        </w:r>
        <w:r>
          <w:rPr>
            <w:noProof/>
          </w:rPr>
          <w:t xml:space="preserve"> – Part B Supporting Statement</w:t>
        </w:r>
      </w:sdtContent>
    </w:sdt>
  </w:p>
  <w:p w14:paraId="2D1F332F" w14:textId="77777777" w:rsidR="00EF4D36" w:rsidRPr="007F4005" w:rsidRDefault="00EF4D36" w:rsidP="007F4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8032B" w14:textId="77777777" w:rsidR="001C5EAC" w:rsidRDefault="001C5EAC" w:rsidP="007F4005">
      <w:r>
        <w:separator/>
      </w:r>
    </w:p>
  </w:footnote>
  <w:footnote w:type="continuationSeparator" w:id="0">
    <w:p w14:paraId="1920315C" w14:textId="77777777" w:rsidR="001C5EAC" w:rsidRDefault="001C5EAC" w:rsidP="007F4005">
      <w:r>
        <w:continuationSeparator/>
      </w:r>
    </w:p>
  </w:footnote>
  <w:footnote w:type="continuationNotice" w:id="1">
    <w:p w14:paraId="71C0762B" w14:textId="77777777" w:rsidR="001C5EAC" w:rsidRDefault="001C5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E4B5" w14:textId="77777777" w:rsidR="00EF4D36" w:rsidRDefault="00EF4D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
    <w:nsid w:val="1BD27EE4"/>
    <w:multiLevelType w:val="hybridMultilevel"/>
    <w:tmpl w:val="6966E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A3246"/>
    <w:multiLevelType w:val="hybridMultilevel"/>
    <w:tmpl w:val="A8CA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3B2D37"/>
    <w:multiLevelType w:val="hybridMultilevel"/>
    <w:tmpl w:val="B2B6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652717"/>
    <w:multiLevelType w:val="hybridMultilevel"/>
    <w:tmpl w:val="D2F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3E7828"/>
    <w:multiLevelType w:val="hybridMultilevel"/>
    <w:tmpl w:val="439C1740"/>
    <w:lvl w:ilvl="0" w:tplc="555637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3242C"/>
    <w:multiLevelType w:val="hybridMultilevel"/>
    <w:tmpl w:val="A112AA64"/>
    <w:lvl w:ilvl="0" w:tplc="04090019">
      <w:start w:val="1"/>
      <w:numFmt w:val="lowerLetter"/>
      <w:lvlText w:val="%1."/>
      <w:lvlJc w:val="left"/>
      <w:pPr>
        <w:ind w:left="720" w:hanging="360"/>
      </w:pPr>
    </w:lvl>
    <w:lvl w:ilvl="1" w:tplc="46D0EC7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02049F"/>
    <w:multiLevelType w:val="hybridMultilevel"/>
    <w:tmpl w:val="114CE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05"/>
    <w:rsid w:val="00003D0F"/>
    <w:rsid w:val="000073C7"/>
    <w:rsid w:val="0001750E"/>
    <w:rsid w:val="000265F9"/>
    <w:rsid w:val="000373D5"/>
    <w:rsid w:val="00042DB6"/>
    <w:rsid w:val="00044313"/>
    <w:rsid w:val="00065E6E"/>
    <w:rsid w:val="0009412C"/>
    <w:rsid w:val="000C540D"/>
    <w:rsid w:val="000D7DAB"/>
    <w:rsid w:val="00103302"/>
    <w:rsid w:val="00112A91"/>
    <w:rsid w:val="00122E02"/>
    <w:rsid w:val="0013505D"/>
    <w:rsid w:val="00135D23"/>
    <w:rsid w:val="001650F6"/>
    <w:rsid w:val="00165D82"/>
    <w:rsid w:val="00165DAB"/>
    <w:rsid w:val="001B3F4E"/>
    <w:rsid w:val="001C5EAC"/>
    <w:rsid w:val="001D5608"/>
    <w:rsid w:val="00202EFD"/>
    <w:rsid w:val="0022148F"/>
    <w:rsid w:val="00252F65"/>
    <w:rsid w:val="00277E99"/>
    <w:rsid w:val="002B7752"/>
    <w:rsid w:val="002C5715"/>
    <w:rsid w:val="002F1BE2"/>
    <w:rsid w:val="00301247"/>
    <w:rsid w:val="00303418"/>
    <w:rsid w:val="00310C79"/>
    <w:rsid w:val="00315EE1"/>
    <w:rsid w:val="00326A70"/>
    <w:rsid w:val="00353185"/>
    <w:rsid w:val="00354504"/>
    <w:rsid w:val="00387441"/>
    <w:rsid w:val="0039613F"/>
    <w:rsid w:val="00397AD3"/>
    <w:rsid w:val="003E10C8"/>
    <w:rsid w:val="00413880"/>
    <w:rsid w:val="00464BD8"/>
    <w:rsid w:val="004706FF"/>
    <w:rsid w:val="00490193"/>
    <w:rsid w:val="004B7FBF"/>
    <w:rsid w:val="004C30D2"/>
    <w:rsid w:val="004D1693"/>
    <w:rsid w:val="004F60B2"/>
    <w:rsid w:val="00510CEC"/>
    <w:rsid w:val="005123E4"/>
    <w:rsid w:val="005260D9"/>
    <w:rsid w:val="00563DF7"/>
    <w:rsid w:val="005734EB"/>
    <w:rsid w:val="00580567"/>
    <w:rsid w:val="005B7484"/>
    <w:rsid w:val="005D622F"/>
    <w:rsid w:val="005F46F0"/>
    <w:rsid w:val="0062504F"/>
    <w:rsid w:val="00632A5E"/>
    <w:rsid w:val="006346C7"/>
    <w:rsid w:val="00646D8C"/>
    <w:rsid w:val="0065199B"/>
    <w:rsid w:val="00697A2A"/>
    <w:rsid w:val="006B1FED"/>
    <w:rsid w:val="006D186C"/>
    <w:rsid w:val="007113B4"/>
    <w:rsid w:val="00716C59"/>
    <w:rsid w:val="007212A0"/>
    <w:rsid w:val="00735A39"/>
    <w:rsid w:val="00736CD9"/>
    <w:rsid w:val="0073747E"/>
    <w:rsid w:val="00743647"/>
    <w:rsid w:val="00770366"/>
    <w:rsid w:val="0077096D"/>
    <w:rsid w:val="007F4005"/>
    <w:rsid w:val="008316CB"/>
    <w:rsid w:val="008463CD"/>
    <w:rsid w:val="00857B9F"/>
    <w:rsid w:val="00860AFB"/>
    <w:rsid w:val="00863559"/>
    <w:rsid w:val="00882509"/>
    <w:rsid w:val="00885522"/>
    <w:rsid w:val="00893C81"/>
    <w:rsid w:val="00895231"/>
    <w:rsid w:val="008B6A74"/>
    <w:rsid w:val="008C0966"/>
    <w:rsid w:val="008C70AE"/>
    <w:rsid w:val="008D50DF"/>
    <w:rsid w:val="008D7495"/>
    <w:rsid w:val="008E2207"/>
    <w:rsid w:val="008F0D75"/>
    <w:rsid w:val="009038FC"/>
    <w:rsid w:val="009211F5"/>
    <w:rsid w:val="00921996"/>
    <w:rsid w:val="0092484E"/>
    <w:rsid w:val="00941D8B"/>
    <w:rsid w:val="0094777F"/>
    <w:rsid w:val="00964300"/>
    <w:rsid w:val="00965947"/>
    <w:rsid w:val="00982F51"/>
    <w:rsid w:val="009966BE"/>
    <w:rsid w:val="009B1CA6"/>
    <w:rsid w:val="009F409E"/>
    <w:rsid w:val="00A06540"/>
    <w:rsid w:val="00A57346"/>
    <w:rsid w:val="00A629F1"/>
    <w:rsid w:val="00A84CE0"/>
    <w:rsid w:val="00A879E8"/>
    <w:rsid w:val="00AB1261"/>
    <w:rsid w:val="00B43757"/>
    <w:rsid w:val="00B46B00"/>
    <w:rsid w:val="00B73421"/>
    <w:rsid w:val="00B94841"/>
    <w:rsid w:val="00BA0762"/>
    <w:rsid w:val="00BA1AB5"/>
    <w:rsid w:val="00BC7AE2"/>
    <w:rsid w:val="00BF679E"/>
    <w:rsid w:val="00BF733F"/>
    <w:rsid w:val="00C0573A"/>
    <w:rsid w:val="00C31FD5"/>
    <w:rsid w:val="00C3676A"/>
    <w:rsid w:val="00C406F1"/>
    <w:rsid w:val="00C45B9B"/>
    <w:rsid w:val="00C5068E"/>
    <w:rsid w:val="00C5248C"/>
    <w:rsid w:val="00CB2D54"/>
    <w:rsid w:val="00CD0ED1"/>
    <w:rsid w:val="00CE508B"/>
    <w:rsid w:val="00CF302F"/>
    <w:rsid w:val="00D03665"/>
    <w:rsid w:val="00D12039"/>
    <w:rsid w:val="00D12C6E"/>
    <w:rsid w:val="00D2057E"/>
    <w:rsid w:val="00D373C3"/>
    <w:rsid w:val="00D40088"/>
    <w:rsid w:val="00D543EA"/>
    <w:rsid w:val="00D70BE0"/>
    <w:rsid w:val="00D764A2"/>
    <w:rsid w:val="00D91B8A"/>
    <w:rsid w:val="00DB2541"/>
    <w:rsid w:val="00DB7FCD"/>
    <w:rsid w:val="00DC6708"/>
    <w:rsid w:val="00DC6EC0"/>
    <w:rsid w:val="00DE4461"/>
    <w:rsid w:val="00DF002D"/>
    <w:rsid w:val="00EA49A0"/>
    <w:rsid w:val="00EB4E44"/>
    <w:rsid w:val="00EF4D36"/>
    <w:rsid w:val="00EF5D94"/>
    <w:rsid w:val="00EF6138"/>
    <w:rsid w:val="00F036D8"/>
    <w:rsid w:val="00F158B0"/>
    <w:rsid w:val="00F25CFB"/>
    <w:rsid w:val="00F325B0"/>
    <w:rsid w:val="00F36873"/>
    <w:rsid w:val="00F47B87"/>
    <w:rsid w:val="00F85C77"/>
    <w:rsid w:val="00F929BD"/>
    <w:rsid w:val="00F93AAE"/>
    <w:rsid w:val="00FA6533"/>
    <w:rsid w:val="00FA6C51"/>
    <w:rsid w:val="00FD7DA8"/>
    <w:rsid w:val="00FE0213"/>
    <w:rsid w:val="00FE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4005"/>
    <w:pPr>
      <w:keepNext/>
      <w:numPr>
        <w:numId w:val="2"/>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7F4005"/>
    <w:pPr>
      <w:keepNext/>
      <w:numPr>
        <w:ilvl w:val="1"/>
        <w:numId w:val="2"/>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7F4005"/>
    <w:pPr>
      <w:keepNext/>
      <w:numPr>
        <w:ilvl w:val="2"/>
        <w:numId w:val="2"/>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7F4005"/>
    <w:pPr>
      <w:keepNext/>
      <w:numPr>
        <w:ilvl w:val="3"/>
        <w:numId w:val="2"/>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005"/>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7F4005"/>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7F4005"/>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7F4005"/>
    <w:rPr>
      <w:rFonts w:ascii="Arial" w:eastAsia="Times New Roman" w:hAnsi="Arial" w:cs="Times New Roman"/>
      <w:b/>
      <w:bCs/>
      <w:szCs w:val="28"/>
    </w:rPr>
  </w:style>
  <w:style w:type="paragraph" w:customStyle="1" w:styleId="CharCharCharChar1">
    <w:name w:val="Char Char Char Char1"/>
    <w:basedOn w:val="Normal"/>
    <w:rsid w:val="007F4005"/>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7F4005"/>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7F4005"/>
    <w:rPr>
      <w:rFonts w:ascii="Times New Roman" w:eastAsia="Times New Roman" w:hAnsi="Times New Roman" w:cs="Times New Roman"/>
      <w:sz w:val="20"/>
      <w:szCs w:val="20"/>
    </w:rPr>
  </w:style>
  <w:style w:type="character" w:styleId="FootnoteReference">
    <w:name w:val="footnote reference"/>
    <w:uiPriority w:val="99"/>
    <w:rsid w:val="007F4005"/>
    <w:rPr>
      <w:vertAlign w:val="superscript"/>
    </w:rPr>
  </w:style>
  <w:style w:type="paragraph" w:customStyle="1" w:styleId="3">
    <w:name w:val="3"/>
    <w:rsid w:val="007F4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4005"/>
    <w:pPr>
      <w:tabs>
        <w:tab w:val="center" w:pos="4680"/>
        <w:tab w:val="right" w:pos="9360"/>
      </w:tabs>
    </w:pPr>
  </w:style>
  <w:style w:type="character" w:customStyle="1" w:styleId="HeaderChar">
    <w:name w:val="Header Char"/>
    <w:basedOn w:val="DefaultParagraphFont"/>
    <w:link w:val="Header"/>
    <w:uiPriority w:val="99"/>
    <w:rsid w:val="007F4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005"/>
    <w:pPr>
      <w:tabs>
        <w:tab w:val="center" w:pos="4680"/>
        <w:tab w:val="right" w:pos="9360"/>
      </w:tabs>
    </w:pPr>
  </w:style>
  <w:style w:type="character" w:customStyle="1" w:styleId="FooterChar">
    <w:name w:val="Footer Char"/>
    <w:basedOn w:val="DefaultParagraphFont"/>
    <w:link w:val="Footer"/>
    <w:uiPriority w:val="99"/>
    <w:rsid w:val="007F40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08B"/>
    <w:rPr>
      <w:sz w:val="16"/>
      <w:szCs w:val="16"/>
    </w:rPr>
  </w:style>
  <w:style w:type="paragraph" w:styleId="CommentText">
    <w:name w:val="annotation text"/>
    <w:basedOn w:val="Normal"/>
    <w:link w:val="CommentTextChar"/>
    <w:uiPriority w:val="99"/>
    <w:semiHidden/>
    <w:unhideWhenUsed/>
    <w:rsid w:val="00CE508B"/>
    <w:rPr>
      <w:sz w:val="20"/>
      <w:szCs w:val="20"/>
    </w:rPr>
  </w:style>
  <w:style w:type="character" w:customStyle="1" w:styleId="CommentTextChar">
    <w:name w:val="Comment Text Char"/>
    <w:basedOn w:val="DefaultParagraphFont"/>
    <w:link w:val="CommentText"/>
    <w:uiPriority w:val="99"/>
    <w:semiHidden/>
    <w:rsid w:val="00CE5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08B"/>
    <w:rPr>
      <w:b/>
      <w:bCs/>
    </w:rPr>
  </w:style>
  <w:style w:type="character" w:customStyle="1" w:styleId="CommentSubjectChar">
    <w:name w:val="Comment Subject Char"/>
    <w:basedOn w:val="CommentTextChar"/>
    <w:link w:val="CommentSubject"/>
    <w:uiPriority w:val="99"/>
    <w:semiHidden/>
    <w:rsid w:val="00CE50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08B"/>
    <w:rPr>
      <w:rFonts w:ascii="Tahoma" w:hAnsi="Tahoma" w:cs="Tahoma"/>
      <w:sz w:val="16"/>
      <w:szCs w:val="16"/>
    </w:rPr>
  </w:style>
  <w:style w:type="character" w:customStyle="1" w:styleId="BalloonTextChar">
    <w:name w:val="Balloon Text Char"/>
    <w:basedOn w:val="DefaultParagraphFont"/>
    <w:link w:val="BalloonText"/>
    <w:uiPriority w:val="99"/>
    <w:semiHidden/>
    <w:rsid w:val="00CE508B"/>
    <w:rPr>
      <w:rFonts w:ascii="Tahoma" w:eastAsia="Times New Roman" w:hAnsi="Tahoma" w:cs="Tahoma"/>
      <w:sz w:val="16"/>
      <w:szCs w:val="16"/>
    </w:rPr>
  </w:style>
  <w:style w:type="table" w:styleId="TableGrid">
    <w:name w:val="Table Grid"/>
    <w:basedOn w:val="TableNormal"/>
    <w:uiPriority w:val="59"/>
    <w:rsid w:val="005D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7B87"/>
    <w:rPr>
      <w:color w:val="0000FF"/>
      <w:u w:val="single"/>
    </w:rPr>
  </w:style>
  <w:style w:type="table" w:customStyle="1" w:styleId="EconometricaTableStyle">
    <w:name w:val="Econometrica Table Style"/>
    <w:basedOn w:val="TableNormal"/>
    <w:uiPriority w:val="99"/>
    <w:rsid w:val="000373D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Revision">
    <w:name w:val="Revision"/>
    <w:hidden/>
    <w:uiPriority w:val="99"/>
    <w:semiHidden/>
    <w:rsid w:val="002F1BE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4005"/>
    <w:pPr>
      <w:keepNext/>
      <w:numPr>
        <w:numId w:val="2"/>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7F4005"/>
    <w:pPr>
      <w:keepNext/>
      <w:numPr>
        <w:ilvl w:val="1"/>
        <w:numId w:val="2"/>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7F4005"/>
    <w:pPr>
      <w:keepNext/>
      <w:numPr>
        <w:ilvl w:val="2"/>
        <w:numId w:val="2"/>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7F4005"/>
    <w:pPr>
      <w:keepNext/>
      <w:numPr>
        <w:ilvl w:val="3"/>
        <w:numId w:val="2"/>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005"/>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7F4005"/>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7F4005"/>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7F4005"/>
    <w:rPr>
      <w:rFonts w:ascii="Arial" w:eastAsia="Times New Roman" w:hAnsi="Arial" w:cs="Times New Roman"/>
      <w:b/>
      <w:bCs/>
      <w:szCs w:val="28"/>
    </w:rPr>
  </w:style>
  <w:style w:type="paragraph" w:customStyle="1" w:styleId="CharCharCharChar1">
    <w:name w:val="Char Char Char Char1"/>
    <w:basedOn w:val="Normal"/>
    <w:rsid w:val="007F4005"/>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7F4005"/>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7F4005"/>
    <w:rPr>
      <w:rFonts w:ascii="Times New Roman" w:eastAsia="Times New Roman" w:hAnsi="Times New Roman" w:cs="Times New Roman"/>
      <w:sz w:val="20"/>
      <w:szCs w:val="20"/>
    </w:rPr>
  </w:style>
  <w:style w:type="character" w:styleId="FootnoteReference">
    <w:name w:val="footnote reference"/>
    <w:uiPriority w:val="99"/>
    <w:rsid w:val="007F4005"/>
    <w:rPr>
      <w:vertAlign w:val="superscript"/>
    </w:rPr>
  </w:style>
  <w:style w:type="paragraph" w:customStyle="1" w:styleId="3">
    <w:name w:val="3"/>
    <w:rsid w:val="007F4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4005"/>
    <w:pPr>
      <w:tabs>
        <w:tab w:val="center" w:pos="4680"/>
        <w:tab w:val="right" w:pos="9360"/>
      </w:tabs>
    </w:pPr>
  </w:style>
  <w:style w:type="character" w:customStyle="1" w:styleId="HeaderChar">
    <w:name w:val="Header Char"/>
    <w:basedOn w:val="DefaultParagraphFont"/>
    <w:link w:val="Header"/>
    <w:uiPriority w:val="99"/>
    <w:rsid w:val="007F4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005"/>
    <w:pPr>
      <w:tabs>
        <w:tab w:val="center" w:pos="4680"/>
        <w:tab w:val="right" w:pos="9360"/>
      </w:tabs>
    </w:pPr>
  </w:style>
  <w:style w:type="character" w:customStyle="1" w:styleId="FooterChar">
    <w:name w:val="Footer Char"/>
    <w:basedOn w:val="DefaultParagraphFont"/>
    <w:link w:val="Footer"/>
    <w:uiPriority w:val="99"/>
    <w:rsid w:val="007F40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08B"/>
    <w:rPr>
      <w:sz w:val="16"/>
      <w:szCs w:val="16"/>
    </w:rPr>
  </w:style>
  <w:style w:type="paragraph" w:styleId="CommentText">
    <w:name w:val="annotation text"/>
    <w:basedOn w:val="Normal"/>
    <w:link w:val="CommentTextChar"/>
    <w:uiPriority w:val="99"/>
    <w:semiHidden/>
    <w:unhideWhenUsed/>
    <w:rsid w:val="00CE508B"/>
    <w:rPr>
      <w:sz w:val="20"/>
      <w:szCs w:val="20"/>
    </w:rPr>
  </w:style>
  <w:style w:type="character" w:customStyle="1" w:styleId="CommentTextChar">
    <w:name w:val="Comment Text Char"/>
    <w:basedOn w:val="DefaultParagraphFont"/>
    <w:link w:val="CommentText"/>
    <w:uiPriority w:val="99"/>
    <w:semiHidden/>
    <w:rsid w:val="00CE5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08B"/>
    <w:rPr>
      <w:b/>
      <w:bCs/>
    </w:rPr>
  </w:style>
  <w:style w:type="character" w:customStyle="1" w:styleId="CommentSubjectChar">
    <w:name w:val="Comment Subject Char"/>
    <w:basedOn w:val="CommentTextChar"/>
    <w:link w:val="CommentSubject"/>
    <w:uiPriority w:val="99"/>
    <w:semiHidden/>
    <w:rsid w:val="00CE50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08B"/>
    <w:rPr>
      <w:rFonts w:ascii="Tahoma" w:hAnsi="Tahoma" w:cs="Tahoma"/>
      <w:sz w:val="16"/>
      <w:szCs w:val="16"/>
    </w:rPr>
  </w:style>
  <w:style w:type="character" w:customStyle="1" w:styleId="BalloonTextChar">
    <w:name w:val="Balloon Text Char"/>
    <w:basedOn w:val="DefaultParagraphFont"/>
    <w:link w:val="BalloonText"/>
    <w:uiPriority w:val="99"/>
    <w:semiHidden/>
    <w:rsid w:val="00CE508B"/>
    <w:rPr>
      <w:rFonts w:ascii="Tahoma" w:eastAsia="Times New Roman" w:hAnsi="Tahoma" w:cs="Tahoma"/>
      <w:sz w:val="16"/>
      <w:szCs w:val="16"/>
    </w:rPr>
  </w:style>
  <w:style w:type="table" w:styleId="TableGrid">
    <w:name w:val="Table Grid"/>
    <w:basedOn w:val="TableNormal"/>
    <w:uiPriority w:val="59"/>
    <w:rsid w:val="005D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7B87"/>
    <w:rPr>
      <w:color w:val="0000FF"/>
      <w:u w:val="single"/>
    </w:rPr>
  </w:style>
  <w:style w:type="table" w:customStyle="1" w:styleId="EconometricaTableStyle">
    <w:name w:val="Econometrica Table Style"/>
    <w:basedOn w:val="TableNormal"/>
    <w:uiPriority w:val="99"/>
    <w:rsid w:val="000373D5"/>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Revision">
    <w:name w:val="Revision"/>
    <w:hidden/>
    <w:uiPriority w:val="99"/>
    <w:semiHidden/>
    <w:rsid w:val="002F1BE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7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35B8-4BA5-4DE4-8A5F-3CF9BF92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Fletcher</dc:creator>
  <cp:lastModifiedBy>SYSTEM</cp:lastModifiedBy>
  <cp:revision>2</cp:revision>
  <cp:lastPrinted>2017-03-06T19:44:00Z</cp:lastPrinted>
  <dcterms:created xsi:type="dcterms:W3CDTF">2017-11-14T14:18:00Z</dcterms:created>
  <dcterms:modified xsi:type="dcterms:W3CDTF">2017-11-14T14:18:00Z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