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5AF61" w14:textId="77777777" w:rsidR="004C72D6" w:rsidRDefault="004C72D6" w:rsidP="004C72D6">
      <w:pPr>
        <w:jc w:val="center"/>
      </w:pPr>
    </w:p>
    <w:p w14:paraId="3CD5D20A" w14:textId="77777777" w:rsidR="004C72D6" w:rsidRDefault="004C72D6" w:rsidP="004C72D6">
      <w:pPr>
        <w:jc w:val="center"/>
      </w:pPr>
    </w:p>
    <w:p w14:paraId="71E78D24" w14:textId="77777777" w:rsidR="004C72D6" w:rsidRDefault="004C72D6" w:rsidP="004C72D6">
      <w:pPr>
        <w:jc w:val="center"/>
      </w:pPr>
    </w:p>
    <w:p w14:paraId="5B1E912B" w14:textId="77777777" w:rsidR="004C72D6" w:rsidRDefault="004C72D6" w:rsidP="004C72D6">
      <w:pPr>
        <w:jc w:val="center"/>
      </w:pPr>
    </w:p>
    <w:p w14:paraId="3EB3F876" w14:textId="77777777" w:rsidR="004C72D6" w:rsidRDefault="004C72D6" w:rsidP="004C72D6">
      <w:pPr>
        <w:jc w:val="center"/>
      </w:pPr>
    </w:p>
    <w:p w14:paraId="194F988B" w14:textId="77777777" w:rsidR="004C72D6" w:rsidRDefault="004C72D6" w:rsidP="004C72D6">
      <w:pPr>
        <w:jc w:val="center"/>
      </w:pPr>
    </w:p>
    <w:p w14:paraId="1D9BBF86" w14:textId="77777777" w:rsidR="004C72D6" w:rsidRDefault="004C72D6" w:rsidP="004C72D6">
      <w:pPr>
        <w:jc w:val="center"/>
      </w:pPr>
    </w:p>
    <w:p w14:paraId="7B0F45E7" w14:textId="77777777" w:rsidR="004C72D6" w:rsidRDefault="004C72D6" w:rsidP="004C72D6">
      <w:pPr>
        <w:jc w:val="center"/>
      </w:pPr>
    </w:p>
    <w:p w14:paraId="13F9A109" w14:textId="77777777" w:rsidR="004C72D6" w:rsidRPr="0037058C" w:rsidRDefault="004C72D6" w:rsidP="004C72D6">
      <w:pPr>
        <w:jc w:val="center"/>
      </w:pPr>
      <w:r w:rsidRPr="0037058C">
        <w:t>Supporting Statement</w:t>
      </w:r>
      <w:r w:rsidRPr="0037058C">
        <w:br/>
        <w:t>for</w:t>
      </w:r>
      <w:r w:rsidRPr="0037058C">
        <w:br/>
        <w:t>Information Collection Request</w:t>
      </w:r>
    </w:p>
    <w:p w14:paraId="6AA3A252" w14:textId="77777777" w:rsidR="003049B1" w:rsidRPr="0037058C" w:rsidRDefault="00A230DA" w:rsidP="004C72D6">
      <w:pPr>
        <w:jc w:val="center"/>
      </w:pPr>
      <w:r w:rsidRPr="0037058C">
        <w:t>Control of Air Pollution from Motor Vehicles: Tier 3 Motor Vehicle Emission and Fuel Standards (</w:t>
      </w:r>
      <w:r w:rsidR="0076563D">
        <w:t>Final Rule</w:t>
      </w:r>
      <w:r w:rsidRPr="0037058C">
        <w:t>)</w:t>
      </w:r>
    </w:p>
    <w:p w14:paraId="22970BA4" w14:textId="45E38D8C" w:rsidR="004C72D6" w:rsidRDefault="004C72D6" w:rsidP="004C72D6">
      <w:pPr>
        <w:jc w:val="center"/>
      </w:pPr>
      <w:r w:rsidRPr="0037058C">
        <w:t xml:space="preserve">EPA ICR </w:t>
      </w:r>
      <w:r w:rsidR="003049B1" w:rsidRPr="0037058C">
        <w:t>0783.6</w:t>
      </w:r>
      <w:r w:rsidR="00EB4861">
        <w:t>4</w:t>
      </w:r>
    </w:p>
    <w:p w14:paraId="17A662FB" w14:textId="77777777" w:rsidR="001A4796" w:rsidRPr="0037058C" w:rsidRDefault="001A4796" w:rsidP="004C72D6">
      <w:pPr>
        <w:jc w:val="center"/>
      </w:pPr>
      <w:r>
        <w:t>OMB Control Number 2060-0104</w:t>
      </w:r>
    </w:p>
    <w:p w14:paraId="652FE6D6" w14:textId="77777777" w:rsidR="004C72D6" w:rsidRPr="0037058C" w:rsidRDefault="004C72D6" w:rsidP="004C72D6">
      <w:pPr>
        <w:pStyle w:val="Style13"/>
        <w:spacing w:line="240" w:lineRule="auto"/>
        <w:rPr>
          <w:spacing w:val="8"/>
        </w:rPr>
      </w:pPr>
    </w:p>
    <w:p w14:paraId="79B78DA9" w14:textId="77777777" w:rsidR="004C72D6" w:rsidRPr="0037058C" w:rsidRDefault="004C72D6" w:rsidP="004C72D6">
      <w:pPr>
        <w:pStyle w:val="Style13"/>
        <w:spacing w:line="240" w:lineRule="auto"/>
        <w:rPr>
          <w:spacing w:val="8"/>
        </w:rPr>
      </w:pPr>
      <w:r w:rsidRPr="0037058C">
        <w:rPr>
          <w:spacing w:val="8"/>
        </w:rPr>
        <w:br/>
      </w:r>
    </w:p>
    <w:p w14:paraId="11C27825" w14:textId="77777777" w:rsidR="004C72D6" w:rsidRPr="0037058C" w:rsidRDefault="004C72D6" w:rsidP="004C72D6">
      <w:pPr>
        <w:pStyle w:val="Style13"/>
        <w:spacing w:line="240" w:lineRule="auto"/>
        <w:rPr>
          <w:spacing w:val="8"/>
        </w:rPr>
      </w:pPr>
    </w:p>
    <w:p w14:paraId="6C87DEB5" w14:textId="77777777" w:rsidR="004C72D6" w:rsidRPr="0037058C" w:rsidRDefault="004C72D6" w:rsidP="004C72D6">
      <w:pPr>
        <w:pStyle w:val="Style13"/>
        <w:spacing w:line="240" w:lineRule="auto"/>
        <w:rPr>
          <w:spacing w:val="8"/>
        </w:rPr>
      </w:pPr>
    </w:p>
    <w:p w14:paraId="3377B998" w14:textId="77777777" w:rsidR="004C72D6" w:rsidRPr="0037058C" w:rsidRDefault="004C72D6" w:rsidP="004C72D6">
      <w:pPr>
        <w:pStyle w:val="Style13"/>
        <w:spacing w:line="240" w:lineRule="auto"/>
        <w:rPr>
          <w:spacing w:val="8"/>
        </w:rPr>
      </w:pPr>
    </w:p>
    <w:p w14:paraId="1317CF2B" w14:textId="77777777" w:rsidR="004C72D6" w:rsidRPr="0037058C" w:rsidRDefault="004C72D6" w:rsidP="004C72D6">
      <w:pPr>
        <w:pStyle w:val="Style13"/>
        <w:spacing w:line="240" w:lineRule="auto"/>
        <w:rPr>
          <w:spacing w:val="8"/>
        </w:rPr>
      </w:pPr>
    </w:p>
    <w:p w14:paraId="13735B06" w14:textId="77777777" w:rsidR="004C72D6" w:rsidRPr="0037058C" w:rsidRDefault="004C72D6" w:rsidP="004C72D6">
      <w:pPr>
        <w:pStyle w:val="Style13"/>
        <w:spacing w:line="240" w:lineRule="auto"/>
        <w:rPr>
          <w:spacing w:val="8"/>
        </w:rPr>
      </w:pPr>
      <w:bookmarkStart w:id="0" w:name="_GoBack"/>
      <w:bookmarkEnd w:id="0"/>
    </w:p>
    <w:p w14:paraId="4B77A3B6" w14:textId="77777777" w:rsidR="004C72D6" w:rsidRPr="0037058C" w:rsidRDefault="004C72D6" w:rsidP="004C72D6">
      <w:pPr>
        <w:pStyle w:val="Style13"/>
        <w:spacing w:line="240" w:lineRule="auto"/>
        <w:rPr>
          <w:spacing w:val="8"/>
        </w:rPr>
      </w:pPr>
    </w:p>
    <w:p w14:paraId="47D04F3D" w14:textId="77777777" w:rsidR="004C72D6" w:rsidRPr="0037058C" w:rsidRDefault="004C72D6" w:rsidP="004C72D6">
      <w:pPr>
        <w:pStyle w:val="Style13"/>
        <w:spacing w:line="240" w:lineRule="auto"/>
        <w:rPr>
          <w:spacing w:val="8"/>
        </w:rPr>
      </w:pPr>
    </w:p>
    <w:p w14:paraId="1D7CB400" w14:textId="77777777" w:rsidR="004C72D6" w:rsidRPr="0037058C" w:rsidRDefault="004C72D6" w:rsidP="004C72D6">
      <w:pPr>
        <w:pStyle w:val="Style13"/>
        <w:spacing w:line="240" w:lineRule="auto"/>
        <w:rPr>
          <w:spacing w:val="8"/>
        </w:rPr>
      </w:pPr>
    </w:p>
    <w:p w14:paraId="5412197F" w14:textId="77777777" w:rsidR="004C72D6" w:rsidRPr="0037058C" w:rsidRDefault="004C72D6" w:rsidP="004C72D6">
      <w:pPr>
        <w:pStyle w:val="Style13"/>
        <w:spacing w:line="240" w:lineRule="auto"/>
        <w:rPr>
          <w:spacing w:val="8"/>
        </w:rPr>
      </w:pPr>
    </w:p>
    <w:p w14:paraId="55691180" w14:textId="77777777" w:rsidR="004C72D6" w:rsidRPr="0037058C" w:rsidRDefault="004C72D6" w:rsidP="004C72D6">
      <w:pPr>
        <w:pStyle w:val="Style13"/>
        <w:spacing w:line="240" w:lineRule="auto"/>
        <w:rPr>
          <w:spacing w:val="8"/>
        </w:rPr>
      </w:pPr>
    </w:p>
    <w:p w14:paraId="3AD138B6" w14:textId="77777777" w:rsidR="004C72D6" w:rsidRPr="0037058C" w:rsidRDefault="004C72D6" w:rsidP="004C72D6">
      <w:pPr>
        <w:pStyle w:val="Style13"/>
        <w:spacing w:line="240" w:lineRule="auto"/>
        <w:rPr>
          <w:spacing w:val="8"/>
        </w:rPr>
      </w:pPr>
    </w:p>
    <w:p w14:paraId="07797676" w14:textId="77777777" w:rsidR="004C72D6" w:rsidRPr="0037058C" w:rsidRDefault="004C72D6" w:rsidP="004C72D6">
      <w:pPr>
        <w:pStyle w:val="Style13"/>
        <w:spacing w:line="240" w:lineRule="auto"/>
        <w:rPr>
          <w:spacing w:val="8"/>
        </w:rPr>
      </w:pPr>
    </w:p>
    <w:p w14:paraId="59C24643" w14:textId="77777777" w:rsidR="004C72D6" w:rsidRPr="0037058C" w:rsidRDefault="004C72D6" w:rsidP="004C72D6">
      <w:pPr>
        <w:pStyle w:val="Style13"/>
        <w:spacing w:line="240" w:lineRule="auto"/>
        <w:rPr>
          <w:spacing w:val="8"/>
        </w:rPr>
      </w:pPr>
    </w:p>
    <w:p w14:paraId="0D0E576D" w14:textId="77777777" w:rsidR="004C72D6" w:rsidRPr="0037058C" w:rsidRDefault="004C72D6" w:rsidP="004C72D6">
      <w:pPr>
        <w:pStyle w:val="Style13"/>
        <w:spacing w:line="240" w:lineRule="auto"/>
        <w:rPr>
          <w:spacing w:val="8"/>
        </w:rPr>
      </w:pPr>
    </w:p>
    <w:p w14:paraId="7A3CB754" w14:textId="77777777" w:rsidR="004C72D6" w:rsidRPr="0037058C" w:rsidRDefault="004C72D6" w:rsidP="004C72D6">
      <w:pPr>
        <w:pStyle w:val="Style13"/>
        <w:spacing w:line="240" w:lineRule="auto"/>
        <w:rPr>
          <w:spacing w:val="8"/>
        </w:rPr>
      </w:pPr>
    </w:p>
    <w:p w14:paraId="0651FD57" w14:textId="77777777" w:rsidR="004C72D6" w:rsidRPr="0037058C" w:rsidRDefault="004C72D6" w:rsidP="004C72D6">
      <w:pPr>
        <w:pStyle w:val="Style13"/>
        <w:spacing w:line="240" w:lineRule="auto"/>
        <w:rPr>
          <w:spacing w:val="8"/>
        </w:rPr>
      </w:pPr>
    </w:p>
    <w:p w14:paraId="1270B4C5" w14:textId="77777777" w:rsidR="004C72D6" w:rsidRPr="0037058C" w:rsidRDefault="004C72D6" w:rsidP="004C72D6">
      <w:pPr>
        <w:pStyle w:val="Style13"/>
        <w:spacing w:line="240" w:lineRule="auto"/>
        <w:rPr>
          <w:spacing w:val="8"/>
        </w:rPr>
      </w:pPr>
    </w:p>
    <w:p w14:paraId="08D3ABF5" w14:textId="77777777" w:rsidR="003049B1" w:rsidRPr="0037058C" w:rsidRDefault="003049B1" w:rsidP="004C72D6">
      <w:pPr>
        <w:jc w:val="center"/>
      </w:pPr>
    </w:p>
    <w:p w14:paraId="3B7886EF" w14:textId="77777777" w:rsidR="003049B1" w:rsidRPr="0037058C" w:rsidRDefault="003049B1" w:rsidP="004C72D6">
      <w:pPr>
        <w:jc w:val="center"/>
      </w:pPr>
    </w:p>
    <w:p w14:paraId="19DD49C1" w14:textId="77777777" w:rsidR="003049B1" w:rsidRPr="0037058C" w:rsidRDefault="003049B1" w:rsidP="004C72D6">
      <w:pPr>
        <w:jc w:val="center"/>
      </w:pPr>
    </w:p>
    <w:p w14:paraId="59633D2A" w14:textId="77777777" w:rsidR="004C72D6" w:rsidRPr="0037058C" w:rsidRDefault="004C72D6" w:rsidP="004C72D6">
      <w:pPr>
        <w:jc w:val="center"/>
      </w:pPr>
      <w:r w:rsidRPr="0037058C">
        <w:t>Compliance Division</w:t>
      </w:r>
    </w:p>
    <w:p w14:paraId="4F2E5C1C" w14:textId="77777777" w:rsidR="004C72D6" w:rsidRPr="0037058C" w:rsidRDefault="004C72D6" w:rsidP="004C72D6">
      <w:pPr>
        <w:pStyle w:val="Style14"/>
        <w:spacing w:before="0"/>
        <w:rPr>
          <w:spacing w:val="8"/>
        </w:rPr>
      </w:pPr>
      <w:r w:rsidRPr="0037058C">
        <w:rPr>
          <w:spacing w:val="8"/>
        </w:rPr>
        <w:t>Office of Transportation and Air Quality</w:t>
      </w:r>
      <w:r w:rsidRPr="0037058C">
        <w:rPr>
          <w:spacing w:val="8"/>
        </w:rPr>
        <w:br/>
        <w:t>Office of Air and Radiation</w:t>
      </w:r>
      <w:r w:rsidRPr="0037058C">
        <w:rPr>
          <w:spacing w:val="8"/>
        </w:rPr>
        <w:br/>
      </w:r>
      <w:smartTag w:uri="urn:schemas-microsoft-com:office:smarttags" w:element="country-region">
        <w:smartTag w:uri="urn:schemas-microsoft-com:office:smarttags" w:element="place">
          <w:r w:rsidRPr="0037058C">
            <w:rPr>
              <w:spacing w:val="8"/>
            </w:rPr>
            <w:t>U.S.</w:t>
          </w:r>
        </w:smartTag>
      </w:smartTag>
      <w:r w:rsidRPr="0037058C">
        <w:rPr>
          <w:spacing w:val="8"/>
        </w:rPr>
        <w:t xml:space="preserve"> Environmental Protection Agency</w:t>
      </w:r>
    </w:p>
    <w:p w14:paraId="40906E92" w14:textId="77777777" w:rsidR="004C72D6" w:rsidRPr="0037058C" w:rsidRDefault="004C72D6" w:rsidP="004C72D6">
      <w:pPr>
        <w:pStyle w:val="Style14"/>
        <w:jc w:val="left"/>
        <w:sectPr w:rsidR="004C72D6" w:rsidRPr="0037058C" w:rsidSect="009F7CD6">
          <w:footerReference w:type="even" r:id="rId8"/>
          <w:footerReference w:type="default" r:id="rId9"/>
          <w:pgSz w:w="12240" w:h="15840"/>
          <w:pgMar w:top="1440" w:right="2572" w:bottom="1440" w:left="2141" w:header="720" w:footer="720" w:gutter="0"/>
          <w:cols w:space="720"/>
          <w:noEndnote/>
          <w:titlePg/>
        </w:sectPr>
      </w:pPr>
    </w:p>
    <w:p w14:paraId="7FEEAD0E" w14:textId="77777777" w:rsidR="00A230DA" w:rsidRPr="0037058C" w:rsidRDefault="004C72D6" w:rsidP="00A230DA">
      <w:pPr>
        <w:spacing w:line="480" w:lineRule="auto"/>
        <w:ind w:right="3456"/>
        <w:rPr>
          <w:spacing w:val="6"/>
        </w:rPr>
      </w:pPr>
      <w:r w:rsidRPr="0037058C">
        <w:rPr>
          <w:spacing w:val="6"/>
        </w:rPr>
        <w:lastRenderedPageBreak/>
        <w:t>Part A</w:t>
      </w:r>
      <w:r w:rsidR="00A230DA" w:rsidRPr="0037058C">
        <w:rPr>
          <w:spacing w:val="6"/>
        </w:rPr>
        <w:t xml:space="preserve"> </w:t>
      </w:r>
      <w:r w:rsidRPr="0037058C">
        <w:rPr>
          <w:spacing w:val="6"/>
        </w:rPr>
        <w:t xml:space="preserve">SUBMISSION </w:t>
      </w:r>
    </w:p>
    <w:p w14:paraId="0271E003" w14:textId="77777777" w:rsidR="004C72D6" w:rsidRPr="0037058C" w:rsidRDefault="004C72D6" w:rsidP="00A230DA">
      <w:pPr>
        <w:spacing w:line="480" w:lineRule="auto"/>
        <w:ind w:right="3150"/>
        <w:rPr>
          <w:spacing w:val="6"/>
          <w:u w:val="single"/>
        </w:rPr>
      </w:pPr>
      <w:r w:rsidRPr="0037058C">
        <w:rPr>
          <w:spacing w:val="6"/>
          <w:u w:val="single"/>
        </w:rPr>
        <w:t>Section 1: Identification Of The</w:t>
      </w:r>
      <w:r w:rsidR="00EF49BE" w:rsidRPr="0037058C">
        <w:rPr>
          <w:spacing w:val="6"/>
          <w:u w:val="single"/>
        </w:rPr>
        <w:t xml:space="preserve"> In</w:t>
      </w:r>
      <w:r w:rsidRPr="0037058C">
        <w:rPr>
          <w:spacing w:val="6"/>
          <w:u w:val="single"/>
        </w:rPr>
        <w:t>formation Collection</w:t>
      </w:r>
    </w:p>
    <w:p w14:paraId="65AB722F" w14:textId="77777777" w:rsidR="004C72D6" w:rsidRPr="0037058C" w:rsidRDefault="004C72D6" w:rsidP="004C72D6">
      <w:pPr>
        <w:outlineLvl w:val="0"/>
      </w:pPr>
      <w:r w:rsidRPr="0037058C">
        <w:t xml:space="preserve">1(a) </w:t>
      </w:r>
      <w:r w:rsidRPr="0037058C">
        <w:rPr>
          <w:u w:val="single"/>
        </w:rPr>
        <w:t>Title And Number Of The Information Collection</w:t>
      </w:r>
      <w:r w:rsidRPr="0037058C">
        <w:tab/>
        <w:t xml:space="preserve"> </w:t>
      </w:r>
    </w:p>
    <w:p w14:paraId="7D485D86" w14:textId="77777777" w:rsidR="004C72D6" w:rsidRPr="0037058C" w:rsidRDefault="004C72D6" w:rsidP="004C72D6">
      <w:pPr>
        <w:outlineLvl w:val="0"/>
      </w:pPr>
    </w:p>
    <w:p w14:paraId="5C38D676" w14:textId="7F21B66F" w:rsidR="004C72D6" w:rsidRPr="0037058C" w:rsidRDefault="004C72D6" w:rsidP="004C72D6">
      <w:pPr>
        <w:outlineLvl w:val="0"/>
      </w:pPr>
      <w:r w:rsidRPr="0037058C">
        <w:tab/>
      </w:r>
      <w:r w:rsidR="00A230DA" w:rsidRPr="0037058C">
        <w:t>Control of Air Pollution from Motor Vehicles: Tier 3 Motor Vehicle Emission and Fuel Standards (</w:t>
      </w:r>
      <w:r w:rsidR="003D3E47">
        <w:t>Final Rule</w:t>
      </w:r>
      <w:r w:rsidR="00A230DA" w:rsidRPr="0037058C">
        <w:t>)</w:t>
      </w:r>
      <w:r w:rsidRPr="0037058C">
        <w:t xml:space="preserve">; EPA ICR number </w:t>
      </w:r>
      <w:r w:rsidR="003049B1" w:rsidRPr="0037058C">
        <w:t>0783.6</w:t>
      </w:r>
      <w:r w:rsidR="00A230DA" w:rsidRPr="0037058C">
        <w:t>3</w:t>
      </w:r>
      <w:r w:rsidRPr="0037058C">
        <w:t>, OMB control number 2060-</w:t>
      </w:r>
      <w:r w:rsidR="003049B1" w:rsidRPr="0037058C">
        <w:t>0104</w:t>
      </w:r>
      <w:r w:rsidRPr="0037058C">
        <w:t>.</w:t>
      </w:r>
    </w:p>
    <w:p w14:paraId="0B886595" w14:textId="77777777" w:rsidR="004C72D6" w:rsidRPr="0037058C" w:rsidRDefault="004C72D6" w:rsidP="004C72D6">
      <w:pPr>
        <w:pStyle w:val="Style6"/>
        <w:jc w:val="left"/>
        <w:rPr>
          <w:spacing w:val="6"/>
        </w:rPr>
      </w:pPr>
    </w:p>
    <w:p w14:paraId="0AADAA26" w14:textId="77777777" w:rsidR="004C72D6" w:rsidRPr="0037058C" w:rsidRDefault="004C72D6" w:rsidP="004C72D6">
      <w:pPr>
        <w:rPr>
          <w:spacing w:val="6"/>
        </w:rPr>
      </w:pPr>
      <w:r w:rsidRPr="0037058C">
        <w:rPr>
          <w:spacing w:val="6"/>
        </w:rPr>
        <w:t xml:space="preserve">1(b) </w:t>
      </w:r>
      <w:r w:rsidRPr="0037058C">
        <w:rPr>
          <w:spacing w:val="6"/>
          <w:u w:val="single"/>
        </w:rPr>
        <w:t>Short Characterization/Abstract</w:t>
      </w:r>
    </w:p>
    <w:p w14:paraId="43651CF1" w14:textId="77777777" w:rsidR="00EB77F4" w:rsidRPr="0037058C" w:rsidRDefault="00EB77F4" w:rsidP="004C72D6">
      <w:pPr>
        <w:rPr>
          <w:spacing w:val="6"/>
        </w:rPr>
      </w:pPr>
    </w:p>
    <w:p w14:paraId="191418AE" w14:textId="77777777" w:rsidR="00EB77F4" w:rsidRPr="0037058C" w:rsidRDefault="00EB77F4" w:rsidP="004C72D6">
      <w:pPr>
        <w:rPr>
          <w:spacing w:val="6"/>
          <w:u w:val="single"/>
        </w:rPr>
      </w:pPr>
      <w:r w:rsidRPr="0037058C">
        <w:rPr>
          <w:spacing w:val="6"/>
        </w:rPr>
        <w:tab/>
      </w:r>
      <w:r w:rsidRPr="0037058C">
        <w:rPr>
          <w:spacing w:val="6"/>
          <w:u w:val="single"/>
        </w:rPr>
        <w:t>Introduction</w:t>
      </w:r>
      <w:r w:rsidR="00D679AE" w:rsidRPr="0037058C">
        <w:rPr>
          <w:spacing w:val="6"/>
          <w:u w:val="single"/>
        </w:rPr>
        <w:t xml:space="preserve"> and Short Characterization</w:t>
      </w:r>
    </w:p>
    <w:p w14:paraId="3303777F" w14:textId="77777777" w:rsidR="004C72D6" w:rsidRPr="0037058C" w:rsidRDefault="004C72D6" w:rsidP="004C72D6">
      <w:pPr>
        <w:rPr>
          <w:spacing w:val="6"/>
        </w:rPr>
      </w:pPr>
    </w:p>
    <w:p w14:paraId="270C0407" w14:textId="67963273" w:rsidR="00A230DA" w:rsidRPr="0037058C" w:rsidRDefault="004C72D6" w:rsidP="00A230DA">
      <w:r w:rsidRPr="0037058C">
        <w:rPr>
          <w:spacing w:val="6"/>
        </w:rPr>
        <w:tab/>
      </w:r>
      <w:r w:rsidR="00A230DA" w:rsidRPr="0037058C">
        <w:rPr>
          <w:spacing w:val="6"/>
        </w:rPr>
        <w:t xml:space="preserve">EPA is </w:t>
      </w:r>
      <w:r w:rsidR="003D3E47">
        <w:rPr>
          <w:spacing w:val="6"/>
        </w:rPr>
        <w:t>finalizing</w:t>
      </w:r>
      <w:r w:rsidR="003D3E47" w:rsidRPr="0037058C">
        <w:t xml:space="preserve"> </w:t>
      </w:r>
      <w:r w:rsidR="00A230DA" w:rsidRPr="0037058C">
        <w:t xml:space="preserve">more stringent vehicle emissions standards and reduced sulfur content of gasoline beginning in 2017, as part of a systems approach to addressing the impacts of motor vehicles and fuels on air quality and public health.  The </w:t>
      </w:r>
      <w:r w:rsidR="003D3E47">
        <w:t xml:space="preserve">final </w:t>
      </w:r>
      <w:r w:rsidR="00A230DA" w:rsidRPr="0037058C">
        <w:t xml:space="preserve">gasoline sulfur standard (see ICR </w:t>
      </w:r>
      <w:r w:rsidR="00C871BC" w:rsidRPr="0037058C">
        <w:t>2459.01</w:t>
      </w:r>
      <w:r w:rsidR="00A230DA" w:rsidRPr="0037058C">
        <w:t xml:space="preserve">) would make emission control systems more effective for both existing and new vehicles, and would enable more stringent vehicle emissions standards.  The </w:t>
      </w:r>
      <w:r w:rsidR="003D3E47">
        <w:t>final</w:t>
      </w:r>
      <w:r w:rsidR="003D3E47" w:rsidRPr="0037058C">
        <w:t xml:space="preserve"> </w:t>
      </w:r>
      <w:r w:rsidR="00A230DA" w:rsidRPr="0037058C">
        <w:t>vehicle standards, which are the subject of this ICR, would reduce both tailpipe and evaporative emissions from passenger cars, light-duty trucks, medium-duty passenger vehicles,</w:t>
      </w:r>
      <w:r w:rsidR="00484112" w:rsidRPr="0037058C">
        <w:t xml:space="preserve"> and some heavy-duty vehicles. </w:t>
      </w:r>
      <w:r w:rsidR="00213C2C">
        <w:t xml:space="preserve"> </w:t>
      </w:r>
      <w:r w:rsidR="00A230DA" w:rsidRPr="0037058C">
        <w:t xml:space="preserve">These </w:t>
      </w:r>
      <w:r w:rsidR="003D3E47">
        <w:t xml:space="preserve">final </w:t>
      </w:r>
      <w:r w:rsidR="00A230DA" w:rsidRPr="0037058C">
        <w:t xml:space="preserve">vehicle standards are intended to harmonize with California’s Low Emission Vehicle </w:t>
      </w:r>
      <w:r w:rsidR="007A697C">
        <w:t>P</w:t>
      </w:r>
      <w:r w:rsidR="00A230DA" w:rsidRPr="0037058C">
        <w:t>rogram</w:t>
      </w:r>
      <w:r w:rsidR="007A697C">
        <w:t xml:space="preserve"> – </w:t>
      </w:r>
      <w:proofErr w:type="spellStart"/>
      <w:r w:rsidR="007A697C">
        <w:t>LEVIII</w:t>
      </w:r>
      <w:proofErr w:type="spellEnd"/>
      <w:r w:rsidR="007A697C">
        <w:t xml:space="preserve"> standards</w:t>
      </w:r>
      <w:r w:rsidR="00A230DA" w:rsidRPr="0037058C">
        <w:t xml:space="preserve">, thus creating a federal vehicle emissions program that would allow automakers to sell the same vehicles in all </w:t>
      </w:r>
      <w:r w:rsidR="00484112" w:rsidRPr="0037058C">
        <w:t>fifty</w:t>
      </w:r>
      <w:r w:rsidR="00A230DA" w:rsidRPr="0037058C">
        <w:t xml:space="preserve"> states.  The </w:t>
      </w:r>
      <w:r w:rsidR="003D3E47">
        <w:t>final</w:t>
      </w:r>
      <w:r w:rsidR="003D3E47" w:rsidRPr="0037058C">
        <w:t xml:space="preserve"> </w:t>
      </w:r>
      <w:r w:rsidR="00A230DA" w:rsidRPr="0037058C">
        <w:t xml:space="preserve">vehicle standards would be implemented over the same timeframe as the greenhouse gas/fuel efficiency standards for light-duty vehicles, as part of a comprehensive approach toward regulating emissions from motor vehicles. </w:t>
      </w:r>
    </w:p>
    <w:p w14:paraId="13033F90" w14:textId="77777777" w:rsidR="007716C4" w:rsidRPr="0037058C" w:rsidRDefault="007716C4" w:rsidP="004C72D6">
      <w:pPr>
        <w:pStyle w:val="Style6"/>
        <w:jc w:val="left"/>
        <w:rPr>
          <w:spacing w:val="6"/>
        </w:rPr>
      </w:pPr>
    </w:p>
    <w:p w14:paraId="7EAA2192" w14:textId="77777777" w:rsidR="004C72D6" w:rsidRPr="0037058C" w:rsidRDefault="007716C4" w:rsidP="004C72D6">
      <w:pPr>
        <w:pStyle w:val="Style6"/>
        <w:jc w:val="left"/>
        <w:rPr>
          <w:spacing w:val="6"/>
        </w:rPr>
      </w:pPr>
      <w:r w:rsidRPr="0037058C">
        <w:rPr>
          <w:spacing w:val="6"/>
        </w:rPr>
        <w:tab/>
      </w:r>
      <w:r w:rsidR="00A230DA" w:rsidRPr="0037058C">
        <w:rPr>
          <w:spacing w:val="6"/>
        </w:rPr>
        <w:t>T</w:t>
      </w:r>
      <w:r w:rsidR="004C72D6" w:rsidRPr="0037058C">
        <w:rPr>
          <w:spacing w:val="6"/>
        </w:rPr>
        <w:t xml:space="preserve">he burdens in this ICR have been allocated to the </w:t>
      </w:r>
      <w:r w:rsidR="00B5319B" w:rsidRPr="0037058C">
        <w:rPr>
          <w:spacing w:val="6"/>
        </w:rPr>
        <w:t>Certification</w:t>
      </w:r>
      <w:r w:rsidR="00BC326F" w:rsidRPr="0037058C">
        <w:rPr>
          <w:spacing w:val="6"/>
        </w:rPr>
        <w:t xml:space="preserve"> (also called Emissions)</w:t>
      </w:r>
      <w:r w:rsidR="004C72D6" w:rsidRPr="0037058C">
        <w:rPr>
          <w:spacing w:val="6"/>
        </w:rPr>
        <w:t xml:space="preserve"> and </w:t>
      </w:r>
      <w:proofErr w:type="spellStart"/>
      <w:r w:rsidR="004C72D6" w:rsidRPr="0037058C">
        <w:rPr>
          <w:spacing w:val="6"/>
        </w:rPr>
        <w:t>IUVP</w:t>
      </w:r>
      <w:proofErr w:type="spellEnd"/>
      <w:r w:rsidR="004C72D6" w:rsidRPr="0037058C">
        <w:rPr>
          <w:spacing w:val="6"/>
        </w:rPr>
        <w:t xml:space="preserve"> ICs</w:t>
      </w:r>
      <w:r w:rsidR="00EE7BA3" w:rsidRPr="0037058C">
        <w:rPr>
          <w:spacing w:val="6"/>
        </w:rPr>
        <w:t xml:space="preserve"> (Information Collections, subaccounts of the overall ICR paperwork calculation)</w:t>
      </w:r>
      <w:r w:rsidR="00A230DA" w:rsidRPr="0037058C">
        <w:rPr>
          <w:spacing w:val="6"/>
        </w:rPr>
        <w:t xml:space="preserve">. </w:t>
      </w:r>
    </w:p>
    <w:p w14:paraId="5FD6C8F6" w14:textId="77777777" w:rsidR="00A230DA" w:rsidRPr="0037058C" w:rsidRDefault="00A230DA" w:rsidP="004C72D6">
      <w:pPr>
        <w:pStyle w:val="Style6"/>
        <w:jc w:val="left"/>
        <w:rPr>
          <w:spacing w:val="6"/>
        </w:rPr>
      </w:pPr>
    </w:p>
    <w:p w14:paraId="4DE86700" w14:textId="50FD7BA8" w:rsidR="0095178E" w:rsidRPr="0037058C" w:rsidRDefault="004C72D6" w:rsidP="0095178E">
      <w:pPr>
        <w:pStyle w:val="Style6"/>
        <w:jc w:val="left"/>
        <w:rPr>
          <w:spacing w:val="6"/>
        </w:rPr>
      </w:pPr>
      <w:r w:rsidRPr="0037058C">
        <w:rPr>
          <w:spacing w:val="6"/>
        </w:rPr>
        <w:tab/>
      </w:r>
      <w:r w:rsidR="004A10DE" w:rsidRPr="0037058C">
        <w:rPr>
          <w:spacing w:val="6"/>
        </w:rPr>
        <w:t xml:space="preserve">Some of the changes occur as early as </w:t>
      </w:r>
      <w:r w:rsidR="00B30C0B" w:rsidRPr="0037058C">
        <w:rPr>
          <w:spacing w:val="6"/>
        </w:rPr>
        <w:t>model year (MY)</w:t>
      </w:r>
      <w:r w:rsidR="004A10DE" w:rsidRPr="0037058C">
        <w:rPr>
          <w:spacing w:val="6"/>
        </w:rPr>
        <w:t xml:space="preserve"> </w:t>
      </w:r>
      <w:r w:rsidR="006977BA" w:rsidRPr="0037058C">
        <w:rPr>
          <w:spacing w:val="6"/>
        </w:rPr>
        <w:t>201</w:t>
      </w:r>
      <w:r w:rsidR="006977BA">
        <w:rPr>
          <w:spacing w:val="6"/>
        </w:rPr>
        <w:t>5</w:t>
      </w:r>
      <w:r w:rsidR="006977BA" w:rsidRPr="0037058C">
        <w:rPr>
          <w:spacing w:val="6"/>
        </w:rPr>
        <w:t xml:space="preserve"> </w:t>
      </w:r>
      <w:r w:rsidR="00B30C0B" w:rsidRPr="0037058C">
        <w:rPr>
          <w:spacing w:val="6"/>
        </w:rPr>
        <w:t>for those manufacturers who opt to accumulate early credits.</w:t>
      </w:r>
      <w:r w:rsidR="00703429">
        <w:rPr>
          <w:spacing w:val="6"/>
        </w:rPr>
        <w:t xml:space="preserve"> </w:t>
      </w:r>
      <w:r w:rsidR="00B30C0B" w:rsidRPr="0037058C">
        <w:rPr>
          <w:spacing w:val="6"/>
        </w:rPr>
        <w:t xml:space="preserve"> The basic timeline for implementation of the new requirements is a phase-in beginning with MY 2017 and extending to 2025, similar to the current greenhouse gases rule (see </w:t>
      </w:r>
      <w:proofErr w:type="spellStart"/>
      <w:r w:rsidR="00B30C0B" w:rsidRPr="0037058C">
        <w:rPr>
          <w:spacing w:val="6"/>
        </w:rPr>
        <w:t>Nonduplication</w:t>
      </w:r>
      <w:proofErr w:type="spellEnd"/>
      <w:r w:rsidR="00B30C0B" w:rsidRPr="0037058C">
        <w:rPr>
          <w:spacing w:val="6"/>
        </w:rPr>
        <w:t xml:space="preserve">, below). </w:t>
      </w:r>
      <w:r w:rsidR="002A69F7">
        <w:rPr>
          <w:spacing w:val="6"/>
        </w:rPr>
        <w:t xml:space="preserve"> </w:t>
      </w:r>
      <w:r w:rsidR="0034079F" w:rsidRPr="0037058C">
        <w:rPr>
          <w:spacing w:val="6"/>
        </w:rPr>
        <w:t xml:space="preserve">Most of the costs associated with the rulemaking involve an assessment </w:t>
      </w:r>
      <w:r w:rsidR="00B30C0B" w:rsidRPr="0037058C">
        <w:rPr>
          <w:spacing w:val="6"/>
        </w:rPr>
        <w:t xml:space="preserve">by industry </w:t>
      </w:r>
      <w:r w:rsidR="0034079F" w:rsidRPr="0037058C">
        <w:rPr>
          <w:spacing w:val="6"/>
        </w:rPr>
        <w:t xml:space="preserve">of the available technology and the costs of using it </w:t>
      </w:r>
      <w:r w:rsidR="00EE7BA3" w:rsidRPr="0037058C">
        <w:rPr>
          <w:spacing w:val="6"/>
        </w:rPr>
        <w:t xml:space="preserve">to meet the new standards </w:t>
      </w:r>
      <w:r w:rsidR="0034079F" w:rsidRPr="0037058C">
        <w:rPr>
          <w:spacing w:val="6"/>
        </w:rPr>
        <w:t>and as such are outside the scope of this ICR.</w:t>
      </w:r>
      <w:r w:rsidR="000F239D" w:rsidRPr="0037058C">
        <w:rPr>
          <w:spacing w:val="6"/>
        </w:rPr>
        <w:t xml:space="preserve"> </w:t>
      </w:r>
    </w:p>
    <w:p w14:paraId="67C43879" w14:textId="77777777" w:rsidR="0095178E" w:rsidRPr="0037058C" w:rsidRDefault="0095178E" w:rsidP="004C72D6">
      <w:pPr>
        <w:pStyle w:val="Style6"/>
        <w:jc w:val="left"/>
        <w:rPr>
          <w:spacing w:val="6"/>
        </w:rPr>
      </w:pPr>
    </w:p>
    <w:p w14:paraId="6DB7731D" w14:textId="54CE2BBB" w:rsidR="003C0382" w:rsidRPr="0037058C" w:rsidRDefault="00EC5F7A" w:rsidP="0095178E">
      <w:pPr>
        <w:pStyle w:val="Style6"/>
        <w:jc w:val="left"/>
        <w:rPr>
          <w:spacing w:val="6"/>
        </w:rPr>
      </w:pPr>
      <w:r w:rsidRPr="0037058C">
        <w:rPr>
          <w:spacing w:val="6"/>
        </w:rPr>
        <w:tab/>
      </w:r>
      <w:proofErr w:type="spellStart"/>
      <w:r w:rsidR="00BB76E8" w:rsidRPr="0037058C">
        <w:rPr>
          <w:spacing w:val="6"/>
        </w:rPr>
        <w:t>ICRs</w:t>
      </w:r>
      <w:proofErr w:type="spellEnd"/>
      <w:r w:rsidR="00BB76E8" w:rsidRPr="0037058C">
        <w:rPr>
          <w:spacing w:val="6"/>
        </w:rPr>
        <w:t xml:space="preserve"> normally have a three year time horizon.</w:t>
      </w:r>
      <w:r w:rsidR="002A69F7">
        <w:rPr>
          <w:spacing w:val="6"/>
        </w:rPr>
        <w:t xml:space="preserve"> </w:t>
      </w:r>
      <w:r w:rsidR="00BB76E8" w:rsidRPr="0037058C">
        <w:rPr>
          <w:spacing w:val="6"/>
        </w:rPr>
        <w:t xml:space="preserve"> </w:t>
      </w:r>
      <w:r w:rsidR="00D97FA8" w:rsidRPr="0037058C">
        <w:rPr>
          <w:spacing w:val="6"/>
        </w:rPr>
        <w:t xml:space="preserve">The burdens in this ICR are intended to cover the final paperwork costs for MY 2025 and later years. </w:t>
      </w:r>
    </w:p>
    <w:p w14:paraId="31C814B9" w14:textId="77777777" w:rsidR="00D97FA8" w:rsidRPr="0037058C" w:rsidRDefault="00D97FA8" w:rsidP="0095178E">
      <w:pPr>
        <w:pStyle w:val="Style6"/>
        <w:jc w:val="left"/>
      </w:pPr>
    </w:p>
    <w:p w14:paraId="63CFDA57" w14:textId="77777777" w:rsidR="003C0382" w:rsidRPr="0037058C" w:rsidRDefault="006350D5" w:rsidP="003C0382">
      <w:pPr>
        <w:pStyle w:val="Style6"/>
        <w:jc w:val="left"/>
        <w:rPr>
          <w:spacing w:val="6"/>
        </w:rPr>
      </w:pPr>
      <w:r w:rsidRPr="001C6A02">
        <w:tab/>
        <w:t>In many cases</w:t>
      </w:r>
      <w:r w:rsidR="00354466" w:rsidRPr="001C6A02">
        <w:t>,</w:t>
      </w:r>
      <w:r w:rsidRPr="001C6A02">
        <w:t xml:space="preserve"> this ICR cost analysis includes</w:t>
      </w:r>
      <w:r w:rsidR="003C0382" w:rsidRPr="001C6A02">
        <w:t xml:space="preserve"> both high and low cost estimates; unless otherwise indicated, the burden estimates given below are the high-cost estimates. </w:t>
      </w:r>
      <w:r w:rsidR="00213C2C">
        <w:t xml:space="preserve"> </w:t>
      </w:r>
      <w:r w:rsidR="00ED3E2F" w:rsidRPr="001C6A02">
        <w:t>T</w:t>
      </w:r>
      <w:r w:rsidR="003C0382" w:rsidRPr="001C6A02">
        <w:t xml:space="preserve">he rule changes will </w:t>
      </w:r>
      <w:r w:rsidR="005E137A" w:rsidRPr="001C6A02">
        <w:t>result in</w:t>
      </w:r>
      <w:r w:rsidR="003C0382" w:rsidRPr="001C6A02">
        <w:t xml:space="preserve"> </w:t>
      </w:r>
      <w:r w:rsidR="001C6A02" w:rsidRPr="001C6A02">
        <w:t xml:space="preserve">estimated </w:t>
      </w:r>
      <w:r w:rsidRPr="001C6A02">
        <w:t>new costs</w:t>
      </w:r>
      <w:r w:rsidR="003C0382" w:rsidRPr="001C6A02">
        <w:t xml:space="preserve"> (high estimate) of about </w:t>
      </w:r>
      <w:r w:rsidR="00D507D2" w:rsidRPr="001C6A02">
        <w:t>$</w:t>
      </w:r>
      <w:r w:rsidR="003A45F0" w:rsidRPr="001C6A02">
        <w:t>7.7</w:t>
      </w:r>
      <w:r w:rsidR="00DE3F6C" w:rsidRPr="001C6A02">
        <w:t xml:space="preserve"> million</w:t>
      </w:r>
      <w:r w:rsidR="003C0382" w:rsidRPr="001C6A02">
        <w:t xml:space="preserve"> annually </w:t>
      </w:r>
      <w:r w:rsidR="00D507D2" w:rsidRPr="001C6A02">
        <w:t>in capital and operations and maintenance costs with a</w:t>
      </w:r>
      <w:r w:rsidR="00ED3E2F" w:rsidRPr="001C6A02">
        <w:t>n</w:t>
      </w:r>
      <w:r w:rsidR="00D507D2" w:rsidRPr="001C6A02">
        <w:t xml:space="preserve"> </w:t>
      </w:r>
      <w:r w:rsidR="00ED3E2F" w:rsidRPr="001C6A02">
        <w:t xml:space="preserve">increase in </w:t>
      </w:r>
      <w:r w:rsidR="003C0382" w:rsidRPr="001C6A02">
        <w:t xml:space="preserve">labor hours </w:t>
      </w:r>
      <w:r w:rsidR="00D507D2" w:rsidRPr="001C6A02">
        <w:t xml:space="preserve">of </w:t>
      </w:r>
      <w:r w:rsidR="00DE3F6C" w:rsidRPr="001C6A02">
        <w:lastRenderedPageBreak/>
        <w:t>73,567</w:t>
      </w:r>
      <w:r w:rsidR="00D507D2" w:rsidRPr="001C6A02">
        <w:t xml:space="preserve"> </w:t>
      </w:r>
      <w:r w:rsidRPr="001C6A02">
        <w:t xml:space="preserve">annually </w:t>
      </w:r>
      <w:r w:rsidR="003C0382" w:rsidRPr="001C6A02">
        <w:t>on the regulated manufacturers</w:t>
      </w:r>
      <w:r w:rsidR="005E137A" w:rsidRPr="001C6A02">
        <w:t xml:space="preserve"> compared to the baseline</w:t>
      </w:r>
      <w:r w:rsidR="00A0003F" w:rsidRPr="0037058C">
        <w:rPr>
          <w:spacing w:val="6"/>
        </w:rPr>
        <w:t>.</w:t>
      </w:r>
      <w:r w:rsidR="005E137A" w:rsidRPr="0037058C">
        <w:rPr>
          <w:spacing w:val="6"/>
        </w:rPr>
        <w:t xml:space="preserve"> </w:t>
      </w:r>
      <w:r w:rsidR="003C0382" w:rsidRPr="0037058C">
        <w:rPr>
          <w:spacing w:val="6"/>
        </w:rPr>
        <w:t xml:space="preserve"> </w:t>
      </w:r>
    </w:p>
    <w:p w14:paraId="37F83357" w14:textId="77777777" w:rsidR="00EB77F4" w:rsidRPr="0037058C" w:rsidRDefault="00EB77F4" w:rsidP="0095178E">
      <w:pPr>
        <w:pStyle w:val="Style6"/>
        <w:jc w:val="left"/>
      </w:pPr>
    </w:p>
    <w:p w14:paraId="47D6747C" w14:textId="081A410B" w:rsidR="00C67AB5" w:rsidRPr="0037058C" w:rsidRDefault="00EB77F4" w:rsidP="0095178E">
      <w:pPr>
        <w:pStyle w:val="Style6"/>
        <w:jc w:val="left"/>
      </w:pPr>
      <w:r w:rsidRPr="0037058C">
        <w:tab/>
      </w:r>
      <w:r w:rsidRPr="0037058C">
        <w:rPr>
          <w:u w:val="single"/>
        </w:rPr>
        <w:t xml:space="preserve">Summary of the </w:t>
      </w:r>
      <w:r w:rsidR="00441938">
        <w:rPr>
          <w:u w:val="single"/>
        </w:rPr>
        <w:t>Final</w:t>
      </w:r>
      <w:r w:rsidR="00441938" w:rsidRPr="0037058C">
        <w:rPr>
          <w:u w:val="single"/>
        </w:rPr>
        <w:t xml:space="preserve"> </w:t>
      </w:r>
      <w:r w:rsidR="00245DDF" w:rsidRPr="0037058C">
        <w:rPr>
          <w:u w:val="single"/>
        </w:rPr>
        <w:t xml:space="preserve">Rule’s </w:t>
      </w:r>
      <w:r w:rsidR="00D679AE" w:rsidRPr="0037058C">
        <w:rPr>
          <w:u w:val="single"/>
        </w:rPr>
        <w:t xml:space="preserve">New </w:t>
      </w:r>
      <w:r w:rsidRPr="0037058C">
        <w:rPr>
          <w:u w:val="single"/>
        </w:rPr>
        <w:t>Paperwork-</w:t>
      </w:r>
      <w:r w:rsidR="00C67AB5" w:rsidRPr="0037058C">
        <w:rPr>
          <w:u w:val="single"/>
        </w:rPr>
        <w:t>Affecting</w:t>
      </w:r>
      <w:r w:rsidRPr="0037058C">
        <w:rPr>
          <w:u w:val="single"/>
        </w:rPr>
        <w:t xml:space="preserve"> Features</w:t>
      </w:r>
    </w:p>
    <w:p w14:paraId="093F97C3" w14:textId="77777777" w:rsidR="00C67AB5" w:rsidRPr="001C6A02" w:rsidRDefault="00C67AB5" w:rsidP="0095178E">
      <w:pPr>
        <w:pStyle w:val="Style6"/>
        <w:jc w:val="left"/>
        <w:rPr>
          <w:spacing w:val="6"/>
        </w:rPr>
      </w:pPr>
    </w:p>
    <w:p w14:paraId="67ADB7BA" w14:textId="77777777" w:rsidR="00C67AB5" w:rsidRPr="001C6A02" w:rsidRDefault="00C67AB5" w:rsidP="0095178E">
      <w:pPr>
        <w:pStyle w:val="Style6"/>
        <w:jc w:val="left"/>
        <w:rPr>
          <w:spacing w:val="6"/>
        </w:rPr>
      </w:pPr>
      <w:r w:rsidRPr="001C6A02">
        <w:rPr>
          <w:spacing w:val="6"/>
        </w:rPr>
        <w:tab/>
      </w:r>
      <w:r w:rsidR="00A67A96" w:rsidRPr="001C6A02">
        <w:rPr>
          <w:spacing w:val="6"/>
        </w:rPr>
        <w:t xml:space="preserve">This </w:t>
      </w:r>
      <w:r w:rsidR="003F5DEF" w:rsidRPr="001C6A02">
        <w:rPr>
          <w:spacing w:val="6"/>
        </w:rPr>
        <w:t xml:space="preserve">very abbreviated </w:t>
      </w:r>
      <w:r w:rsidR="00A67A96" w:rsidRPr="001C6A02">
        <w:rPr>
          <w:spacing w:val="6"/>
        </w:rPr>
        <w:t>summary gives background</w:t>
      </w:r>
      <w:r w:rsidR="003F5DEF" w:rsidRPr="001C6A02">
        <w:rPr>
          <w:spacing w:val="6"/>
        </w:rPr>
        <w:t xml:space="preserve"> on the pertinent paperwork burden-related provisions</w:t>
      </w:r>
      <w:r w:rsidR="00740323" w:rsidRPr="001C6A02">
        <w:rPr>
          <w:spacing w:val="6"/>
        </w:rPr>
        <w:t>, including the meanings of numerous abbreviations,</w:t>
      </w:r>
      <w:r w:rsidR="00A67A96" w:rsidRPr="001C6A02">
        <w:rPr>
          <w:spacing w:val="6"/>
        </w:rPr>
        <w:t xml:space="preserve"> for the estimations given in Part 6. </w:t>
      </w:r>
    </w:p>
    <w:p w14:paraId="0E6E5B00" w14:textId="77777777" w:rsidR="00F56F79" w:rsidRPr="0037058C" w:rsidRDefault="00F56F79" w:rsidP="004C72D6">
      <w:pPr>
        <w:pStyle w:val="Style6"/>
        <w:jc w:val="left"/>
        <w:rPr>
          <w:spacing w:val="6"/>
        </w:rPr>
      </w:pPr>
    </w:p>
    <w:p w14:paraId="3AA5CF37" w14:textId="341EE6B5" w:rsidR="00AA616E" w:rsidRPr="0037058C" w:rsidRDefault="00AA616E" w:rsidP="00AA616E">
      <w:pPr>
        <w:pStyle w:val="Style6"/>
        <w:jc w:val="left"/>
        <w:rPr>
          <w:spacing w:val="6"/>
        </w:rPr>
      </w:pPr>
      <w:r w:rsidRPr="0037058C">
        <w:rPr>
          <w:spacing w:val="6"/>
        </w:rPr>
        <w:tab/>
        <w:t xml:space="preserve">The </w:t>
      </w:r>
      <w:r w:rsidR="003D3E47">
        <w:rPr>
          <w:spacing w:val="6"/>
        </w:rPr>
        <w:t>final</w:t>
      </w:r>
      <w:r w:rsidR="003D3E47" w:rsidRPr="0037058C">
        <w:rPr>
          <w:spacing w:val="6"/>
        </w:rPr>
        <w:t xml:space="preserve"> </w:t>
      </w:r>
      <w:r w:rsidRPr="0037058C">
        <w:rPr>
          <w:spacing w:val="6"/>
        </w:rPr>
        <w:t xml:space="preserve">regulations are intended to harmonize the federal vehicle emissions program with California's </w:t>
      </w:r>
      <w:proofErr w:type="spellStart"/>
      <w:r w:rsidR="0021109B">
        <w:rPr>
          <w:spacing w:val="6"/>
        </w:rPr>
        <w:t>LEVIII</w:t>
      </w:r>
      <w:proofErr w:type="spellEnd"/>
      <w:r w:rsidRPr="0037058C">
        <w:rPr>
          <w:spacing w:val="6"/>
        </w:rPr>
        <w:t xml:space="preserve"> requirements, as discussed below. </w:t>
      </w:r>
      <w:r w:rsidR="002A69F7">
        <w:rPr>
          <w:spacing w:val="6"/>
        </w:rPr>
        <w:t xml:space="preserve"> </w:t>
      </w:r>
      <w:r w:rsidRPr="0037058C">
        <w:rPr>
          <w:spacing w:val="6"/>
        </w:rPr>
        <w:t xml:space="preserve">Paperwork burdens that manufacturers would have to undergo anyway to comply with California's requirements are not considered new </w:t>
      </w:r>
      <w:r w:rsidR="005B5C41" w:rsidRPr="0037058C">
        <w:rPr>
          <w:spacing w:val="6"/>
        </w:rPr>
        <w:t xml:space="preserve">paperwork </w:t>
      </w:r>
      <w:r w:rsidRPr="0037058C">
        <w:rPr>
          <w:spacing w:val="6"/>
        </w:rPr>
        <w:t>burdens required by this rulemaking</w:t>
      </w:r>
      <w:r w:rsidR="00593819" w:rsidRPr="0037058C">
        <w:rPr>
          <w:spacing w:val="6"/>
        </w:rPr>
        <w:t xml:space="preserve"> in the low cost estimates</w:t>
      </w:r>
      <w:r w:rsidRPr="0037058C">
        <w:rPr>
          <w:spacing w:val="6"/>
        </w:rPr>
        <w:t xml:space="preserve">. </w:t>
      </w:r>
      <w:r w:rsidR="002A69F7">
        <w:rPr>
          <w:spacing w:val="6"/>
        </w:rPr>
        <w:t xml:space="preserve"> </w:t>
      </w:r>
      <w:r w:rsidRPr="0037058C">
        <w:rPr>
          <w:spacing w:val="6"/>
        </w:rPr>
        <w:t>Th</w:t>
      </w:r>
      <w:r w:rsidR="006977BA">
        <w:rPr>
          <w:spacing w:val="6"/>
        </w:rPr>
        <w:t>e</w:t>
      </w:r>
      <w:r w:rsidRPr="0037058C">
        <w:rPr>
          <w:spacing w:val="6"/>
        </w:rPr>
        <w:t xml:space="preserve"> majority of the </w:t>
      </w:r>
      <w:r w:rsidR="00593819" w:rsidRPr="0037058C">
        <w:rPr>
          <w:spacing w:val="6"/>
        </w:rPr>
        <w:t xml:space="preserve">low-cost </w:t>
      </w:r>
      <w:r w:rsidR="00DD5032" w:rsidRPr="0037058C">
        <w:rPr>
          <w:spacing w:val="6"/>
        </w:rPr>
        <w:t xml:space="preserve">testing </w:t>
      </w:r>
      <w:r w:rsidRPr="0037058C">
        <w:rPr>
          <w:spacing w:val="6"/>
        </w:rPr>
        <w:t>burdens estimated be</w:t>
      </w:r>
      <w:r w:rsidR="00EE7BA3" w:rsidRPr="0037058C">
        <w:rPr>
          <w:spacing w:val="6"/>
        </w:rPr>
        <w:t xml:space="preserve">low are for </w:t>
      </w:r>
      <w:r w:rsidR="00593819" w:rsidRPr="0037058C">
        <w:rPr>
          <w:spacing w:val="6"/>
        </w:rPr>
        <w:t xml:space="preserve">the manufacturers producing </w:t>
      </w:r>
      <w:r w:rsidR="00EE7BA3" w:rsidRPr="0037058C">
        <w:rPr>
          <w:spacing w:val="6"/>
        </w:rPr>
        <w:t>"49 state vehicles</w:t>
      </w:r>
      <w:r w:rsidR="00EE7BA3" w:rsidRPr="00F62201">
        <w:rPr>
          <w:spacing w:val="6"/>
        </w:rPr>
        <w:t>"</w:t>
      </w:r>
      <w:r w:rsidR="00593819" w:rsidRPr="00F62201">
        <w:rPr>
          <w:spacing w:val="6"/>
        </w:rPr>
        <w:t xml:space="preserve"> </w:t>
      </w:r>
      <w:r w:rsidR="00593819" w:rsidRPr="002A69F7">
        <w:rPr>
          <w:spacing w:val="6"/>
        </w:rPr>
        <w:t>or "Federal-</w:t>
      </w:r>
      <w:r w:rsidR="00EE7BA3" w:rsidRPr="002A69F7">
        <w:rPr>
          <w:spacing w:val="6"/>
        </w:rPr>
        <w:t>only vehicles</w:t>
      </w:r>
      <w:r w:rsidR="00593819" w:rsidRPr="002A69F7">
        <w:rPr>
          <w:spacing w:val="6"/>
        </w:rPr>
        <w:t>"</w:t>
      </w:r>
      <w:r w:rsidRPr="002A69F7">
        <w:rPr>
          <w:spacing w:val="6"/>
        </w:rPr>
        <w:t xml:space="preserve">. </w:t>
      </w:r>
      <w:r w:rsidR="00593819" w:rsidRPr="002A69F7">
        <w:rPr>
          <w:spacing w:val="6"/>
        </w:rPr>
        <w:t>Furthermore, a</w:t>
      </w:r>
      <w:r w:rsidR="00EE7BA3" w:rsidRPr="002A69F7">
        <w:rPr>
          <w:spacing w:val="6"/>
        </w:rPr>
        <w:t xml:space="preserve"> large majority of </w:t>
      </w:r>
      <w:r w:rsidR="00593819" w:rsidRPr="002A69F7">
        <w:rPr>
          <w:spacing w:val="6"/>
        </w:rPr>
        <w:t>Federal-</w:t>
      </w:r>
      <w:r w:rsidR="00A212EF" w:rsidRPr="002A69F7">
        <w:rPr>
          <w:spacing w:val="6"/>
        </w:rPr>
        <w:t xml:space="preserve">only vehicles are </w:t>
      </w:r>
      <w:r w:rsidR="00593819" w:rsidRPr="00AE0A6A">
        <w:rPr>
          <w:spacing w:val="6"/>
        </w:rPr>
        <w:t xml:space="preserve">small-business </w:t>
      </w:r>
      <w:r w:rsidR="00A212EF" w:rsidRPr="002A69F7">
        <w:rPr>
          <w:spacing w:val="6"/>
        </w:rPr>
        <w:t>alternative fuel converte</w:t>
      </w:r>
      <w:r w:rsidR="00A212EF" w:rsidRPr="0037058C">
        <w:rPr>
          <w:spacing w:val="6"/>
        </w:rPr>
        <w:t xml:space="preserve">rs and older model-year vehicles imported by </w:t>
      </w:r>
      <w:r w:rsidR="00593819" w:rsidRPr="0037058C">
        <w:rPr>
          <w:spacing w:val="6"/>
        </w:rPr>
        <w:t xml:space="preserve">small business </w:t>
      </w:r>
      <w:r w:rsidR="00A212EF" w:rsidRPr="0037058C">
        <w:rPr>
          <w:spacing w:val="6"/>
        </w:rPr>
        <w:t>Independent Commercial Importers (ICIs)</w:t>
      </w:r>
      <w:r w:rsidR="00593819" w:rsidRPr="0037058C">
        <w:rPr>
          <w:spacing w:val="6"/>
        </w:rPr>
        <w:t xml:space="preserve">, both subject to various lowered certification requirements and entirely exempt from </w:t>
      </w:r>
      <w:proofErr w:type="spellStart"/>
      <w:r w:rsidR="00593819" w:rsidRPr="0037058C">
        <w:rPr>
          <w:spacing w:val="6"/>
        </w:rPr>
        <w:t>IUVP</w:t>
      </w:r>
      <w:proofErr w:type="spellEnd"/>
      <w:r w:rsidR="00593819" w:rsidRPr="0037058C">
        <w:rPr>
          <w:spacing w:val="6"/>
        </w:rPr>
        <w:t xml:space="preserve"> testing</w:t>
      </w:r>
      <w:r w:rsidR="00A212EF" w:rsidRPr="0037058C">
        <w:rPr>
          <w:spacing w:val="6"/>
        </w:rPr>
        <w:t xml:space="preserve">. </w:t>
      </w:r>
      <w:r w:rsidR="00F62201">
        <w:rPr>
          <w:spacing w:val="6"/>
        </w:rPr>
        <w:t xml:space="preserve"> </w:t>
      </w:r>
      <w:r w:rsidR="00593819" w:rsidRPr="0037058C">
        <w:rPr>
          <w:spacing w:val="6"/>
        </w:rPr>
        <w:t xml:space="preserve">High-cost certification testing estimates assume that all </w:t>
      </w:r>
      <w:r w:rsidR="002A69F7">
        <w:rPr>
          <w:spacing w:val="6"/>
        </w:rPr>
        <w:t>certification test</w:t>
      </w:r>
      <w:r w:rsidR="00593819" w:rsidRPr="0037058C">
        <w:rPr>
          <w:spacing w:val="6"/>
        </w:rPr>
        <w:t xml:space="preserve"> groups other than California-only certifications</w:t>
      </w:r>
      <w:r w:rsidR="00BE1370">
        <w:rPr>
          <w:spacing w:val="6"/>
        </w:rPr>
        <w:t xml:space="preserve"> </w:t>
      </w:r>
      <w:r w:rsidR="00593819" w:rsidRPr="0037058C">
        <w:rPr>
          <w:spacing w:val="6"/>
        </w:rPr>
        <w:t xml:space="preserve">are included on the rationale that, but for these regulations, the manufacturers thereof would have the option of avoiding the new requirements by certifying as </w:t>
      </w:r>
      <w:r w:rsidR="002A69F7">
        <w:rPr>
          <w:spacing w:val="6"/>
        </w:rPr>
        <w:t xml:space="preserve">California only </w:t>
      </w:r>
      <w:r w:rsidR="00593819" w:rsidRPr="0037058C">
        <w:rPr>
          <w:spacing w:val="6"/>
        </w:rPr>
        <w:t xml:space="preserve">vehicles. </w:t>
      </w:r>
      <w:r w:rsidR="002A69F7">
        <w:rPr>
          <w:spacing w:val="6"/>
        </w:rPr>
        <w:t xml:space="preserve"> </w:t>
      </w:r>
      <w:r w:rsidR="00593819" w:rsidRPr="0037058C">
        <w:rPr>
          <w:spacing w:val="6"/>
        </w:rPr>
        <w:t xml:space="preserve">This is a conservative estimate because it assumes a universal choice to forego sales in California. </w:t>
      </w:r>
      <w:r w:rsidR="002A69F7">
        <w:rPr>
          <w:spacing w:val="6"/>
        </w:rPr>
        <w:t xml:space="preserve"> </w:t>
      </w:r>
      <w:r w:rsidR="00E962D9" w:rsidRPr="0037058C">
        <w:rPr>
          <w:spacing w:val="6"/>
        </w:rPr>
        <w:t xml:space="preserve">The true cost of new certification testing requirements therefore most likely falls within these two extremes. </w:t>
      </w:r>
    </w:p>
    <w:p w14:paraId="060B3E03" w14:textId="77777777" w:rsidR="00AA616E" w:rsidRPr="0037058C" w:rsidRDefault="00AA616E" w:rsidP="004C72D6">
      <w:pPr>
        <w:pStyle w:val="Style6"/>
        <w:jc w:val="left"/>
        <w:rPr>
          <w:spacing w:val="6"/>
        </w:rPr>
      </w:pPr>
    </w:p>
    <w:p w14:paraId="7856A213" w14:textId="5F5D205C" w:rsidR="00AA616E" w:rsidRPr="0037058C" w:rsidRDefault="00740323" w:rsidP="00A0003F">
      <w:pPr>
        <w:pStyle w:val="Style6"/>
        <w:jc w:val="left"/>
        <w:rPr>
          <w:spacing w:val="6"/>
        </w:rPr>
      </w:pPr>
      <w:r w:rsidRPr="0037058C">
        <w:rPr>
          <w:spacing w:val="6"/>
        </w:rPr>
        <w:tab/>
        <w:t xml:space="preserve">The </w:t>
      </w:r>
      <w:r w:rsidR="003D3E47">
        <w:rPr>
          <w:spacing w:val="6"/>
        </w:rPr>
        <w:t>final</w:t>
      </w:r>
      <w:r w:rsidRPr="0037058C">
        <w:rPr>
          <w:spacing w:val="6"/>
        </w:rPr>
        <w:t xml:space="preserve"> Tier 3 standards are very similar in structure to those in the existing Tier 2 program.  As with the Tier 2 program, the </w:t>
      </w:r>
      <w:r w:rsidR="003D3E47">
        <w:rPr>
          <w:spacing w:val="6"/>
        </w:rPr>
        <w:t>final</w:t>
      </w:r>
      <w:r w:rsidRPr="0037058C">
        <w:rPr>
          <w:spacing w:val="6"/>
        </w:rPr>
        <w:t xml:space="preserve"> standards would apply to</w:t>
      </w:r>
      <w:r w:rsidR="00324989" w:rsidRPr="0037058C">
        <w:rPr>
          <w:spacing w:val="6"/>
        </w:rPr>
        <w:t xml:space="preserve"> (a)</w:t>
      </w:r>
      <w:r w:rsidRPr="0037058C">
        <w:rPr>
          <w:spacing w:val="6"/>
        </w:rPr>
        <w:t xml:space="preserve"> all light-duty vehicles (</w:t>
      </w:r>
      <w:proofErr w:type="spellStart"/>
      <w:r w:rsidRPr="0037058C">
        <w:rPr>
          <w:spacing w:val="6"/>
        </w:rPr>
        <w:t>LDVs</w:t>
      </w:r>
      <w:proofErr w:type="spellEnd"/>
      <w:r w:rsidRPr="0037058C">
        <w:rPr>
          <w:spacing w:val="6"/>
        </w:rPr>
        <w:t xml:space="preserve">, or passenger cars), light-duty trucks (LDT1s, LDT2s, LDT3s, and LDT4s) and Medium-Duty Passenger Vehicles (or </w:t>
      </w:r>
      <w:proofErr w:type="spellStart"/>
      <w:r w:rsidRPr="0037058C">
        <w:rPr>
          <w:spacing w:val="6"/>
        </w:rPr>
        <w:t>MDPVs</w:t>
      </w:r>
      <w:proofErr w:type="spellEnd"/>
      <w:r w:rsidRPr="0037058C">
        <w:rPr>
          <w:spacing w:val="6"/>
        </w:rPr>
        <w:t xml:space="preserve">).  </w:t>
      </w:r>
      <w:r w:rsidR="00AA616E" w:rsidRPr="0037058C">
        <w:rPr>
          <w:spacing w:val="6"/>
        </w:rPr>
        <w:t xml:space="preserve">The </w:t>
      </w:r>
      <w:r w:rsidR="00227854">
        <w:rPr>
          <w:spacing w:val="6"/>
        </w:rPr>
        <w:t>final rule</w:t>
      </w:r>
      <w:r w:rsidR="00227854" w:rsidRPr="0037058C">
        <w:rPr>
          <w:spacing w:val="6"/>
        </w:rPr>
        <w:t xml:space="preserve"> </w:t>
      </w:r>
      <w:r w:rsidRPr="0037058C">
        <w:rPr>
          <w:spacing w:val="6"/>
        </w:rPr>
        <w:t xml:space="preserve">also </w:t>
      </w:r>
      <w:r w:rsidR="00AA616E" w:rsidRPr="0037058C">
        <w:rPr>
          <w:spacing w:val="6"/>
        </w:rPr>
        <w:t>includes</w:t>
      </w:r>
      <w:r w:rsidR="00324989" w:rsidRPr="0037058C">
        <w:rPr>
          <w:spacing w:val="6"/>
        </w:rPr>
        <w:t xml:space="preserve"> </w:t>
      </w:r>
      <w:r w:rsidRPr="0037058C">
        <w:rPr>
          <w:spacing w:val="6"/>
        </w:rPr>
        <w:t xml:space="preserve">separate but closely related </w:t>
      </w:r>
      <w:r w:rsidR="005B5C41" w:rsidRPr="0037058C">
        <w:rPr>
          <w:spacing w:val="6"/>
        </w:rPr>
        <w:t xml:space="preserve">new </w:t>
      </w:r>
      <w:r w:rsidRPr="0037058C">
        <w:rPr>
          <w:spacing w:val="6"/>
        </w:rPr>
        <w:t xml:space="preserve">standards for </w:t>
      </w:r>
      <w:r w:rsidR="00213C2C">
        <w:rPr>
          <w:spacing w:val="6"/>
        </w:rPr>
        <w:t xml:space="preserve">chassis-certified </w:t>
      </w:r>
      <w:r w:rsidRPr="0037058C">
        <w:rPr>
          <w:spacing w:val="6"/>
        </w:rPr>
        <w:t xml:space="preserve">heavy-duty vehicles </w:t>
      </w:r>
      <w:r w:rsidR="009F2258" w:rsidRPr="0037058C">
        <w:rPr>
          <w:spacing w:val="6"/>
        </w:rPr>
        <w:t>from 8,500</w:t>
      </w:r>
      <w:r w:rsidRPr="0037058C">
        <w:rPr>
          <w:spacing w:val="6"/>
        </w:rPr>
        <w:t xml:space="preserve"> to 14,000 lbs Gross Vehicle Weight Rating (GVWR).  </w:t>
      </w:r>
    </w:p>
    <w:p w14:paraId="2E949A74" w14:textId="77777777" w:rsidR="00E962D9" w:rsidRPr="0037058C" w:rsidRDefault="00E962D9" w:rsidP="00A0003F">
      <w:pPr>
        <w:pStyle w:val="Style6"/>
        <w:jc w:val="left"/>
        <w:rPr>
          <w:spacing w:val="6"/>
        </w:rPr>
      </w:pPr>
    </w:p>
    <w:p w14:paraId="15F62F2E" w14:textId="77777777" w:rsidR="00324989" w:rsidRPr="0037058C" w:rsidRDefault="009F2258" w:rsidP="00A0003F">
      <w:pPr>
        <w:pStyle w:val="Style6"/>
        <w:jc w:val="left"/>
        <w:rPr>
          <w:spacing w:val="6"/>
        </w:rPr>
      </w:pPr>
      <w:r w:rsidRPr="0037058C">
        <w:rPr>
          <w:spacing w:val="6"/>
        </w:rPr>
        <w:tab/>
        <w:t>Most of the harmonizing emissions standards are fleet average standards</w:t>
      </w:r>
      <w:r w:rsidR="00A212EF" w:rsidRPr="0037058C">
        <w:rPr>
          <w:spacing w:val="6"/>
        </w:rPr>
        <w:t xml:space="preserve"> with no new testing</w:t>
      </w:r>
      <w:r w:rsidRPr="0037058C">
        <w:rPr>
          <w:spacing w:val="6"/>
        </w:rPr>
        <w:t>, so that the burdens are appropriately scored as pertaining to a manufacturer's entire fleet, rather</w:t>
      </w:r>
      <w:r w:rsidR="00484112" w:rsidRPr="0037058C">
        <w:rPr>
          <w:spacing w:val="6"/>
        </w:rPr>
        <w:t xml:space="preserve"> than on a per-</w:t>
      </w:r>
      <w:r w:rsidR="00324989" w:rsidRPr="0037058C">
        <w:rPr>
          <w:spacing w:val="6"/>
        </w:rPr>
        <w:t>vehicle average; i.e., they are per-respondent burdens</w:t>
      </w:r>
      <w:r w:rsidR="00E962D9" w:rsidRPr="0037058C">
        <w:rPr>
          <w:spacing w:val="6"/>
        </w:rPr>
        <w:t xml:space="preserve"> that primarily involve administrative costs, such as updating computer systems</w:t>
      </w:r>
      <w:r w:rsidR="00324989" w:rsidRPr="0037058C">
        <w:rPr>
          <w:spacing w:val="6"/>
        </w:rPr>
        <w:t>. (Minor complexity is added by the fact that the average ceilings decline through MY 2025.) However, the n</w:t>
      </w:r>
      <w:r w:rsidR="005B5C41" w:rsidRPr="0037058C">
        <w:rPr>
          <w:spacing w:val="6"/>
        </w:rPr>
        <w:t>ew PM standard (below) is a per-</w:t>
      </w:r>
      <w:r w:rsidR="00324989" w:rsidRPr="0037058C">
        <w:rPr>
          <w:spacing w:val="6"/>
        </w:rPr>
        <w:t>vehicle standard that requires new testing</w:t>
      </w:r>
      <w:r w:rsidR="00A212EF" w:rsidRPr="0037058C">
        <w:rPr>
          <w:spacing w:val="6"/>
        </w:rPr>
        <w:t xml:space="preserve"> both for certification and the in-use program (</w:t>
      </w:r>
      <w:proofErr w:type="spellStart"/>
      <w:r w:rsidR="00A212EF" w:rsidRPr="0037058C">
        <w:rPr>
          <w:spacing w:val="6"/>
        </w:rPr>
        <w:t>IUVP</w:t>
      </w:r>
      <w:proofErr w:type="spellEnd"/>
      <w:r w:rsidR="00A212EF" w:rsidRPr="0037058C">
        <w:rPr>
          <w:spacing w:val="6"/>
        </w:rPr>
        <w:t>)</w:t>
      </w:r>
      <w:r w:rsidR="00324989" w:rsidRPr="0037058C">
        <w:rPr>
          <w:spacing w:val="6"/>
        </w:rPr>
        <w:t>. As this testing is necessary to produce the results that have to be reported to EPA, the costs of testing are included in the ICR burden, following previous practice in this ICR series.</w:t>
      </w:r>
      <w:r w:rsidR="00C72A69" w:rsidRPr="0037058C">
        <w:rPr>
          <w:spacing w:val="6"/>
        </w:rPr>
        <w:t xml:space="preserve"> There are also new evaporative emissions standards which entail new testing for in-use vehicles. Th</w:t>
      </w:r>
      <w:r w:rsidR="005B5C41" w:rsidRPr="0037058C">
        <w:rPr>
          <w:spacing w:val="6"/>
        </w:rPr>
        <w:t>o</w:t>
      </w:r>
      <w:r w:rsidR="00C72A69" w:rsidRPr="0037058C">
        <w:rPr>
          <w:spacing w:val="6"/>
        </w:rPr>
        <w:t xml:space="preserve">se paperwork burdens are allocated </w:t>
      </w:r>
      <w:r w:rsidR="00A212EF" w:rsidRPr="0037058C">
        <w:rPr>
          <w:spacing w:val="6"/>
        </w:rPr>
        <w:t xml:space="preserve">only </w:t>
      </w:r>
      <w:r w:rsidR="00C72A69" w:rsidRPr="0037058C">
        <w:rPr>
          <w:spacing w:val="6"/>
        </w:rPr>
        <w:t xml:space="preserve">to the </w:t>
      </w:r>
      <w:proofErr w:type="spellStart"/>
      <w:r w:rsidR="00C72A69" w:rsidRPr="0037058C">
        <w:rPr>
          <w:spacing w:val="6"/>
        </w:rPr>
        <w:t>IUVP</w:t>
      </w:r>
      <w:proofErr w:type="spellEnd"/>
      <w:r w:rsidR="00C72A69" w:rsidRPr="0037058C">
        <w:rPr>
          <w:spacing w:val="6"/>
        </w:rPr>
        <w:t xml:space="preserve"> IC. </w:t>
      </w:r>
    </w:p>
    <w:p w14:paraId="207CC5CA" w14:textId="77777777" w:rsidR="00324989" w:rsidRPr="0037058C" w:rsidRDefault="00324989" w:rsidP="00A0003F">
      <w:pPr>
        <w:pStyle w:val="Style6"/>
        <w:jc w:val="left"/>
        <w:rPr>
          <w:spacing w:val="6"/>
        </w:rPr>
      </w:pPr>
    </w:p>
    <w:p w14:paraId="6DBC9432" w14:textId="52F7D380" w:rsidR="00AA616E" w:rsidRPr="0037058C" w:rsidRDefault="00324989" w:rsidP="00A0003F">
      <w:pPr>
        <w:pStyle w:val="Style6"/>
        <w:jc w:val="left"/>
        <w:rPr>
          <w:spacing w:val="6"/>
        </w:rPr>
      </w:pPr>
      <w:r w:rsidRPr="0037058C">
        <w:rPr>
          <w:spacing w:val="6"/>
        </w:rPr>
        <w:tab/>
        <w:t xml:space="preserve">The </w:t>
      </w:r>
      <w:r w:rsidR="00227854">
        <w:rPr>
          <w:spacing w:val="6"/>
        </w:rPr>
        <w:t>final rule</w:t>
      </w:r>
      <w:r w:rsidRPr="0037058C">
        <w:rPr>
          <w:spacing w:val="6"/>
        </w:rPr>
        <w:t xml:space="preserve"> </w:t>
      </w:r>
      <w:r w:rsidR="005B5C41" w:rsidRPr="0037058C">
        <w:rPr>
          <w:spacing w:val="6"/>
        </w:rPr>
        <w:t xml:space="preserve">also </w:t>
      </w:r>
      <w:r w:rsidRPr="0037058C">
        <w:rPr>
          <w:spacing w:val="6"/>
        </w:rPr>
        <w:t xml:space="preserve">includes credit and credit trading provisions of the kind familiar in the existing Federal regulations, and are considered to entail </w:t>
      </w:r>
      <w:r w:rsidR="005A27F6" w:rsidRPr="0037058C">
        <w:rPr>
          <w:spacing w:val="6"/>
        </w:rPr>
        <w:t>startup</w:t>
      </w:r>
      <w:r w:rsidRPr="0037058C">
        <w:rPr>
          <w:spacing w:val="6"/>
        </w:rPr>
        <w:t xml:space="preserve"> </w:t>
      </w:r>
      <w:r w:rsidRPr="0037058C">
        <w:rPr>
          <w:spacing w:val="6"/>
        </w:rPr>
        <w:lastRenderedPageBreak/>
        <w:t xml:space="preserve">paperwork burdens similar to but smaller than those already contained in the baseline.  </w:t>
      </w:r>
    </w:p>
    <w:p w14:paraId="768E3CBE" w14:textId="77777777" w:rsidR="00740323" w:rsidRPr="0037058C" w:rsidRDefault="00AA616E" w:rsidP="00A0003F">
      <w:pPr>
        <w:pStyle w:val="Style6"/>
        <w:jc w:val="left"/>
        <w:rPr>
          <w:spacing w:val="6"/>
        </w:rPr>
      </w:pPr>
      <w:r w:rsidRPr="0037058C">
        <w:rPr>
          <w:spacing w:val="6"/>
        </w:rPr>
        <w:tab/>
      </w:r>
    </w:p>
    <w:p w14:paraId="49BD4B85" w14:textId="6CA85115" w:rsidR="00740323" w:rsidRPr="0037058C" w:rsidRDefault="00740323" w:rsidP="00A0003F">
      <w:pPr>
        <w:pStyle w:val="Style6"/>
        <w:jc w:val="left"/>
        <w:rPr>
          <w:spacing w:val="6"/>
        </w:rPr>
      </w:pPr>
      <w:r w:rsidRPr="0037058C">
        <w:rPr>
          <w:spacing w:val="6"/>
        </w:rPr>
        <w:tab/>
      </w:r>
      <w:r w:rsidRPr="00F62201">
        <w:rPr>
          <w:spacing w:val="6"/>
          <w:u w:val="single"/>
        </w:rPr>
        <w:t>For light-duty vehicle, light-duty truck, and medium-duty passenger vehicle tailpipe emissions</w:t>
      </w:r>
      <w:r w:rsidRPr="00F62201">
        <w:rPr>
          <w:spacing w:val="6"/>
        </w:rPr>
        <w:t>,</w:t>
      </w:r>
      <w:r w:rsidRPr="0037058C">
        <w:rPr>
          <w:spacing w:val="6"/>
        </w:rPr>
        <w:t xml:space="preserve"> new fleet-average standards for the sum of NMOG </w:t>
      </w:r>
      <w:r w:rsidR="00487900" w:rsidRPr="0037058C">
        <w:rPr>
          <w:spacing w:val="6"/>
        </w:rPr>
        <w:t xml:space="preserve">(non-methane organic gases) </w:t>
      </w:r>
      <w:r w:rsidRPr="0037058C">
        <w:rPr>
          <w:spacing w:val="6"/>
        </w:rPr>
        <w:t>and NO</w:t>
      </w:r>
      <w:r w:rsidR="004A1D10" w:rsidRPr="0037058C">
        <w:rPr>
          <w:spacing w:val="6"/>
        </w:rPr>
        <w:t>x</w:t>
      </w:r>
      <w:r w:rsidRPr="0037058C">
        <w:rPr>
          <w:spacing w:val="6"/>
        </w:rPr>
        <w:t xml:space="preserve"> </w:t>
      </w:r>
      <w:r w:rsidR="00487900" w:rsidRPr="0037058C">
        <w:rPr>
          <w:spacing w:val="6"/>
        </w:rPr>
        <w:t xml:space="preserve">(nitrogen oxides) </w:t>
      </w:r>
      <w:r w:rsidRPr="0037058C">
        <w:rPr>
          <w:spacing w:val="6"/>
        </w:rPr>
        <w:t xml:space="preserve">emissions (presented as </w:t>
      </w:r>
      <w:proofErr w:type="spellStart"/>
      <w:r w:rsidRPr="0037058C">
        <w:rPr>
          <w:spacing w:val="6"/>
        </w:rPr>
        <w:t>NMOG+NO</w:t>
      </w:r>
      <w:r w:rsidR="004A1D10" w:rsidRPr="0037058C">
        <w:rPr>
          <w:spacing w:val="6"/>
        </w:rPr>
        <w:t>x</w:t>
      </w:r>
      <w:proofErr w:type="spellEnd"/>
      <w:r w:rsidRPr="0037058C">
        <w:rPr>
          <w:spacing w:val="6"/>
        </w:rPr>
        <w:t xml:space="preserve">) and for PM </w:t>
      </w:r>
      <w:r w:rsidR="00487900" w:rsidRPr="0037058C">
        <w:rPr>
          <w:spacing w:val="6"/>
        </w:rPr>
        <w:t xml:space="preserve">(particulate matter) </w:t>
      </w:r>
      <w:r w:rsidRPr="0037058C">
        <w:rPr>
          <w:spacing w:val="6"/>
        </w:rPr>
        <w:t xml:space="preserve">are </w:t>
      </w:r>
      <w:r w:rsidR="003D3E47">
        <w:rPr>
          <w:spacing w:val="6"/>
        </w:rPr>
        <w:t>finalized</w:t>
      </w:r>
      <w:r w:rsidRPr="0037058C">
        <w:rPr>
          <w:spacing w:val="6"/>
        </w:rPr>
        <w:t xml:space="preserve">. </w:t>
      </w:r>
      <w:r w:rsidR="002A69F7">
        <w:rPr>
          <w:spacing w:val="6"/>
        </w:rPr>
        <w:t xml:space="preserve"> </w:t>
      </w:r>
      <w:r w:rsidRPr="0037058C">
        <w:rPr>
          <w:spacing w:val="6"/>
        </w:rPr>
        <w:t xml:space="preserve">For these pollutants, standards </w:t>
      </w:r>
      <w:r w:rsidR="009F2258" w:rsidRPr="0037058C">
        <w:rPr>
          <w:spacing w:val="6"/>
        </w:rPr>
        <w:t>would be</w:t>
      </w:r>
      <w:r w:rsidRPr="0037058C">
        <w:rPr>
          <w:spacing w:val="6"/>
        </w:rPr>
        <w:t xml:space="preserve"> measured on test procedures that represent a range of vehicle operation, including the Federal Test Procedure (or FTP, simulating typical driving)</w:t>
      </w:r>
      <w:r w:rsidR="00782CA7">
        <w:rPr>
          <w:spacing w:val="6"/>
        </w:rPr>
        <w:t xml:space="preserve">, the Highway Fuel Economy Test (or </w:t>
      </w:r>
      <w:proofErr w:type="spellStart"/>
      <w:r w:rsidR="00782CA7">
        <w:rPr>
          <w:spacing w:val="6"/>
        </w:rPr>
        <w:t>HFET</w:t>
      </w:r>
      <w:proofErr w:type="spellEnd"/>
      <w:r w:rsidR="00782CA7">
        <w:rPr>
          <w:spacing w:val="6"/>
        </w:rPr>
        <w:t>, simulating urban highway driving)</w:t>
      </w:r>
      <w:r w:rsidRPr="0037058C">
        <w:rPr>
          <w:spacing w:val="6"/>
        </w:rPr>
        <w:t xml:space="preserve"> and the Supplemental Federal Test Procedure (or SFTP, a composite test simulating higher temperatures, higher speeds, and quicker accelerations)</w:t>
      </w:r>
      <w:r w:rsidR="00B01373" w:rsidRPr="0037058C">
        <w:rPr>
          <w:spacing w:val="6"/>
        </w:rPr>
        <w:t>.</w:t>
      </w:r>
      <w:r w:rsidR="00324989" w:rsidRPr="0037058C">
        <w:rPr>
          <w:spacing w:val="6"/>
        </w:rPr>
        <w:t xml:space="preserve"> </w:t>
      </w:r>
      <w:r w:rsidR="002A69F7">
        <w:rPr>
          <w:spacing w:val="6"/>
        </w:rPr>
        <w:t xml:space="preserve"> </w:t>
      </w:r>
      <w:r w:rsidR="00324989" w:rsidRPr="0037058C">
        <w:rPr>
          <w:spacing w:val="6"/>
        </w:rPr>
        <w:t xml:space="preserve">For this testing, the standards have changed but not the testing required, so no new testing costs are included. </w:t>
      </w:r>
    </w:p>
    <w:p w14:paraId="7E0708F3" w14:textId="77777777" w:rsidR="00B01373" w:rsidRPr="0037058C" w:rsidRDefault="00B01373" w:rsidP="00A0003F">
      <w:pPr>
        <w:pStyle w:val="Style6"/>
        <w:jc w:val="left"/>
        <w:rPr>
          <w:spacing w:val="6"/>
        </w:rPr>
      </w:pPr>
    </w:p>
    <w:p w14:paraId="6EEF5819" w14:textId="26F269DD" w:rsidR="00B01373" w:rsidRPr="0037058C" w:rsidRDefault="00B01373" w:rsidP="00A0003F">
      <w:pPr>
        <w:pStyle w:val="Style6"/>
        <w:jc w:val="left"/>
        <w:rPr>
          <w:spacing w:val="6"/>
        </w:rPr>
      </w:pPr>
      <w:r w:rsidRPr="0037058C">
        <w:rPr>
          <w:spacing w:val="6"/>
        </w:rPr>
        <w:tab/>
        <w:t xml:space="preserve">The </w:t>
      </w:r>
      <w:r w:rsidR="003D3E47">
        <w:rPr>
          <w:spacing w:val="6"/>
        </w:rPr>
        <w:t>final</w:t>
      </w:r>
      <w:r w:rsidRPr="0037058C">
        <w:rPr>
          <w:spacing w:val="6"/>
        </w:rPr>
        <w:t xml:space="preserve"> FTP and SFTP </w:t>
      </w:r>
      <w:proofErr w:type="spellStart"/>
      <w:r w:rsidRPr="0037058C">
        <w:rPr>
          <w:spacing w:val="6"/>
        </w:rPr>
        <w:t>NMOG+NO</w:t>
      </w:r>
      <w:r w:rsidR="004A1D10" w:rsidRPr="0037058C">
        <w:rPr>
          <w:spacing w:val="6"/>
        </w:rPr>
        <w:t>x</w:t>
      </w:r>
      <w:proofErr w:type="spellEnd"/>
      <w:r w:rsidRPr="0037058C">
        <w:rPr>
          <w:spacing w:val="6"/>
        </w:rPr>
        <w:t xml:space="preserve"> standards would be fleet-average standards, meaning that a manufacturer would calculate the average emissions of the vehicles it produces in each model year and compare that average to the applicable standard for that model year.  The manufacturer would certify each of its vehicles to a per-vehicle “bin” standard and sales-weight these values to calculate its fleet-average </w:t>
      </w:r>
      <w:proofErr w:type="spellStart"/>
      <w:r w:rsidRPr="0037058C">
        <w:rPr>
          <w:spacing w:val="6"/>
        </w:rPr>
        <w:t>NMOG+NO</w:t>
      </w:r>
      <w:r w:rsidR="004A1D10" w:rsidRPr="0037058C">
        <w:rPr>
          <w:spacing w:val="6"/>
        </w:rPr>
        <w:t>x</w:t>
      </w:r>
      <w:proofErr w:type="spellEnd"/>
      <w:r w:rsidRPr="0037058C">
        <w:rPr>
          <w:spacing w:val="6"/>
        </w:rPr>
        <w:t xml:space="preserve"> emissions for each model year. </w:t>
      </w:r>
      <w:r w:rsidR="00F62201">
        <w:rPr>
          <w:spacing w:val="6"/>
        </w:rPr>
        <w:t xml:space="preserve"> </w:t>
      </w:r>
      <w:r w:rsidRPr="0037058C">
        <w:rPr>
          <w:spacing w:val="6"/>
        </w:rPr>
        <w:t>The standards for light-duty vehicles would begin in MY 2017.  (For vehicles at or over 6</w:t>
      </w:r>
      <w:r w:rsidR="006848A1">
        <w:rPr>
          <w:spacing w:val="6"/>
        </w:rPr>
        <w:t>,</w:t>
      </w:r>
      <w:r w:rsidRPr="0037058C">
        <w:rPr>
          <w:spacing w:val="6"/>
        </w:rPr>
        <w:t xml:space="preserve">000 lbs GVWR, the standards would apply beginning in MY 2018).  These </w:t>
      </w:r>
      <w:r w:rsidR="003D3E47">
        <w:rPr>
          <w:spacing w:val="6"/>
        </w:rPr>
        <w:t>final</w:t>
      </w:r>
      <w:r w:rsidRPr="0037058C">
        <w:rPr>
          <w:spacing w:val="6"/>
        </w:rPr>
        <w:t xml:space="preserve"> fleet-average standards would decline during the first several years of the program. </w:t>
      </w:r>
      <w:r w:rsidR="00AE0A6A">
        <w:rPr>
          <w:spacing w:val="6"/>
        </w:rPr>
        <w:t xml:space="preserve"> </w:t>
      </w:r>
      <w:r w:rsidRPr="0037058C">
        <w:rPr>
          <w:spacing w:val="6"/>
        </w:rPr>
        <w:t xml:space="preserve">The </w:t>
      </w:r>
      <w:r w:rsidR="003D3E47">
        <w:rPr>
          <w:spacing w:val="6"/>
        </w:rPr>
        <w:t>final</w:t>
      </w:r>
      <w:r w:rsidRPr="0037058C">
        <w:rPr>
          <w:spacing w:val="6"/>
        </w:rPr>
        <w:t xml:space="preserve"> FTP </w:t>
      </w:r>
      <w:proofErr w:type="spellStart"/>
      <w:r w:rsidRPr="0037058C">
        <w:rPr>
          <w:spacing w:val="6"/>
        </w:rPr>
        <w:t>NMOG+NO</w:t>
      </w:r>
      <w:r w:rsidR="004A1D10" w:rsidRPr="0037058C">
        <w:rPr>
          <w:spacing w:val="6"/>
        </w:rPr>
        <w:t>x</w:t>
      </w:r>
      <w:proofErr w:type="spellEnd"/>
      <w:r w:rsidRPr="0037058C">
        <w:rPr>
          <w:spacing w:val="6"/>
        </w:rPr>
        <w:t xml:space="preserve"> program includes two separate sets of declining fleet-average standards, with </w:t>
      </w:r>
      <w:proofErr w:type="spellStart"/>
      <w:r w:rsidRPr="0037058C">
        <w:rPr>
          <w:spacing w:val="6"/>
        </w:rPr>
        <w:t>LDVs</w:t>
      </w:r>
      <w:proofErr w:type="spellEnd"/>
      <w:r w:rsidRPr="0037058C">
        <w:rPr>
          <w:spacing w:val="6"/>
        </w:rPr>
        <w:t xml:space="preserve"> and LDT1s in one grouping and heavier </w:t>
      </w:r>
      <w:proofErr w:type="spellStart"/>
      <w:r w:rsidRPr="0037058C">
        <w:rPr>
          <w:spacing w:val="6"/>
        </w:rPr>
        <w:t>LDTs</w:t>
      </w:r>
      <w:proofErr w:type="spellEnd"/>
      <w:r w:rsidRPr="0037058C">
        <w:rPr>
          <w:spacing w:val="6"/>
        </w:rPr>
        <w:t xml:space="preserve"> (LDT2s, LDT3s, LDT4s) and </w:t>
      </w:r>
      <w:proofErr w:type="spellStart"/>
      <w:r w:rsidRPr="0037058C">
        <w:rPr>
          <w:spacing w:val="6"/>
        </w:rPr>
        <w:t>MDPVs</w:t>
      </w:r>
      <w:proofErr w:type="spellEnd"/>
      <w:r w:rsidRPr="0037058C">
        <w:rPr>
          <w:spacing w:val="6"/>
        </w:rPr>
        <w:t xml:space="preserve"> in a second grouping that would converge </w:t>
      </w:r>
      <w:r w:rsidR="005B5C41" w:rsidRPr="0037058C">
        <w:rPr>
          <w:spacing w:val="6"/>
        </w:rPr>
        <w:t>on a single standard</w:t>
      </w:r>
      <w:r w:rsidRPr="0037058C">
        <w:rPr>
          <w:spacing w:val="6"/>
        </w:rPr>
        <w:t xml:space="preserve"> in MY 2025 and later.</w:t>
      </w:r>
      <w:r w:rsidR="00AE0A6A">
        <w:rPr>
          <w:spacing w:val="6"/>
        </w:rPr>
        <w:t xml:space="preserve"> </w:t>
      </w:r>
      <w:r w:rsidRPr="0037058C">
        <w:rPr>
          <w:spacing w:val="6"/>
        </w:rPr>
        <w:t xml:space="preserve"> Similarly, the </w:t>
      </w:r>
      <w:r w:rsidR="003D3E47">
        <w:rPr>
          <w:spacing w:val="6"/>
        </w:rPr>
        <w:t>final</w:t>
      </w:r>
      <w:r w:rsidRPr="0037058C">
        <w:rPr>
          <w:spacing w:val="6"/>
        </w:rPr>
        <w:t xml:space="preserve"> </w:t>
      </w:r>
      <w:proofErr w:type="spellStart"/>
      <w:r w:rsidRPr="0037058C">
        <w:rPr>
          <w:spacing w:val="6"/>
        </w:rPr>
        <w:t>NMOG+NO</w:t>
      </w:r>
      <w:r w:rsidR="004A1D10" w:rsidRPr="0037058C">
        <w:rPr>
          <w:spacing w:val="6"/>
        </w:rPr>
        <w:t>x</w:t>
      </w:r>
      <w:proofErr w:type="spellEnd"/>
      <w:r w:rsidRPr="0037058C">
        <w:rPr>
          <w:spacing w:val="6"/>
        </w:rPr>
        <w:t xml:space="preserve"> standards measured over the SFTP would be fleet-average standards, declining from MY 2017 until MY 2025.  In this case, the same </w:t>
      </w:r>
      <w:r w:rsidR="006848A1">
        <w:rPr>
          <w:spacing w:val="6"/>
        </w:rPr>
        <w:t xml:space="preserve">declining fleet-average </w:t>
      </w:r>
      <w:r w:rsidRPr="0037058C">
        <w:rPr>
          <w:spacing w:val="6"/>
        </w:rPr>
        <w:t>standards would apply to both lighter and heavier vehicles.</w:t>
      </w:r>
      <w:r w:rsidR="003426E8" w:rsidRPr="0037058C">
        <w:rPr>
          <w:spacing w:val="6"/>
        </w:rPr>
        <w:t xml:space="preserve"> </w:t>
      </w:r>
    </w:p>
    <w:p w14:paraId="6F13A0CE" w14:textId="77777777" w:rsidR="005B5C41" w:rsidRPr="0037058C" w:rsidRDefault="005B5C41" w:rsidP="00A0003F">
      <w:pPr>
        <w:pStyle w:val="Style6"/>
        <w:jc w:val="left"/>
        <w:rPr>
          <w:spacing w:val="6"/>
        </w:rPr>
      </w:pPr>
    </w:p>
    <w:p w14:paraId="5F0CE410" w14:textId="77777777" w:rsidR="00B01373" w:rsidRPr="0037058C" w:rsidRDefault="00B01373" w:rsidP="00A0003F">
      <w:pPr>
        <w:pStyle w:val="Style6"/>
        <w:jc w:val="left"/>
        <w:rPr>
          <w:spacing w:val="6"/>
        </w:rPr>
      </w:pPr>
      <w:r w:rsidRPr="0037058C">
        <w:rPr>
          <w:spacing w:val="6"/>
        </w:rPr>
        <w:tab/>
        <w:t xml:space="preserve">Manufacturers could also earn credits for fleet average </w:t>
      </w:r>
      <w:proofErr w:type="spellStart"/>
      <w:r w:rsidRPr="0037058C">
        <w:rPr>
          <w:spacing w:val="6"/>
        </w:rPr>
        <w:t>NMOG+NO</w:t>
      </w:r>
      <w:r w:rsidR="004A1D10" w:rsidRPr="0037058C">
        <w:rPr>
          <w:spacing w:val="6"/>
        </w:rPr>
        <w:t>x</w:t>
      </w:r>
      <w:proofErr w:type="spellEnd"/>
      <w:r w:rsidRPr="0037058C">
        <w:rPr>
          <w:spacing w:val="6"/>
        </w:rPr>
        <w:t xml:space="preserve"> levels below the applicable standard in any model year.  Credits that were previously banked or obtained from other manufacturers could be used, or credits could be transferred to other manufacturers.  Unused credits would expire after 5 model years.  Manufacturers would also be allowed to carry deficits in their credit balance for up to 3 model years.</w:t>
      </w:r>
    </w:p>
    <w:p w14:paraId="0C9622F1" w14:textId="77777777" w:rsidR="00B01373" w:rsidRPr="0037058C" w:rsidRDefault="00B01373" w:rsidP="00A0003F">
      <w:pPr>
        <w:pStyle w:val="Style6"/>
        <w:jc w:val="left"/>
        <w:rPr>
          <w:spacing w:val="6"/>
        </w:rPr>
      </w:pPr>
    </w:p>
    <w:p w14:paraId="76C724F4" w14:textId="4E01BC3F" w:rsidR="00B01373" w:rsidRPr="0037058C" w:rsidRDefault="00B01373" w:rsidP="00A0003F">
      <w:pPr>
        <w:pStyle w:val="Style6"/>
        <w:jc w:val="left"/>
        <w:rPr>
          <w:spacing w:val="6"/>
        </w:rPr>
      </w:pPr>
      <w:r w:rsidRPr="0037058C">
        <w:rPr>
          <w:spacing w:val="6"/>
        </w:rPr>
        <w:tab/>
      </w:r>
      <w:r w:rsidR="009F2258" w:rsidRPr="0037058C">
        <w:rPr>
          <w:spacing w:val="6"/>
        </w:rPr>
        <w:t xml:space="preserve">The </w:t>
      </w:r>
      <w:r w:rsidR="00227854">
        <w:rPr>
          <w:spacing w:val="6"/>
        </w:rPr>
        <w:t>final rule</w:t>
      </w:r>
      <w:r w:rsidR="009F2258" w:rsidRPr="0037058C">
        <w:rPr>
          <w:spacing w:val="6"/>
        </w:rPr>
        <w:t xml:space="preserve"> includes</w:t>
      </w:r>
      <w:r w:rsidRPr="0037058C">
        <w:rPr>
          <w:spacing w:val="6"/>
        </w:rPr>
        <w:t xml:space="preserve"> PM standards</w:t>
      </w:r>
      <w:r w:rsidR="00D82FDC" w:rsidRPr="0037058C">
        <w:rPr>
          <w:spacing w:val="6"/>
        </w:rPr>
        <w:t>,</w:t>
      </w:r>
      <w:r w:rsidRPr="0037058C">
        <w:rPr>
          <w:spacing w:val="6"/>
        </w:rPr>
        <w:t xml:space="preserve"> both on the FTP and US06 cycles (US06 is a component of the SFTP test).  The </w:t>
      </w:r>
      <w:r w:rsidR="003D3E47">
        <w:rPr>
          <w:spacing w:val="6"/>
        </w:rPr>
        <w:t>final</w:t>
      </w:r>
      <w:r w:rsidRPr="0037058C">
        <w:rPr>
          <w:spacing w:val="6"/>
        </w:rPr>
        <w:t xml:space="preserve"> PM standards would apply to each vehicle separately (i.e., not as a fleet average).  Also, in contrast to the declining </w:t>
      </w:r>
      <w:proofErr w:type="spellStart"/>
      <w:r w:rsidRPr="0037058C">
        <w:rPr>
          <w:spacing w:val="6"/>
        </w:rPr>
        <w:t>NMOG+NO</w:t>
      </w:r>
      <w:r w:rsidR="004A1D10" w:rsidRPr="0037058C">
        <w:rPr>
          <w:spacing w:val="6"/>
        </w:rPr>
        <w:t>x</w:t>
      </w:r>
      <w:proofErr w:type="spellEnd"/>
      <w:r w:rsidRPr="0037058C">
        <w:rPr>
          <w:spacing w:val="6"/>
        </w:rPr>
        <w:t xml:space="preserve"> standards, the </w:t>
      </w:r>
      <w:r w:rsidR="003D3E47">
        <w:rPr>
          <w:spacing w:val="6"/>
        </w:rPr>
        <w:t>final</w:t>
      </w:r>
      <w:r w:rsidRPr="0037058C">
        <w:rPr>
          <w:spacing w:val="6"/>
        </w:rPr>
        <w:t xml:space="preserve"> PM standard on the FTP for certification testing is </w:t>
      </w:r>
      <w:r w:rsidR="005B5C41" w:rsidRPr="0037058C">
        <w:rPr>
          <w:spacing w:val="6"/>
        </w:rPr>
        <w:t xml:space="preserve">the same </w:t>
      </w:r>
      <w:r w:rsidRPr="0037058C">
        <w:rPr>
          <w:spacing w:val="6"/>
        </w:rPr>
        <w:t xml:space="preserve">for all vehicles and for all model years.  As for the </w:t>
      </w:r>
      <w:proofErr w:type="spellStart"/>
      <w:r w:rsidRPr="0037058C">
        <w:rPr>
          <w:spacing w:val="6"/>
        </w:rPr>
        <w:t>NMOG+NOx</w:t>
      </w:r>
      <w:proofErr w:type="spellEnd"/>
      <w:r w:rsidRPr="0037058C">
        <w:rPr>
          <w:spacing w:val="6"/>
        </w:rPr>
        <w:t xml:space="preserve"> standards, for vehicles over 6</w:t>
      </w:r>
      <w:r w:rsidR="006848A1">
        <w:rPr>
          <w:spacing w:val="6"/>
        </w:rPr>
        <w:t>,</w:t>
      </w:r>
      <w:r w:rsidRPr="0037058C">
        <w:rPr>
          <w:spacing w:val="6"/>
        </w:rPr>
        <w:t>000 lbs GVWR, the FTP PM standard would apply beginning in MY 2018.  Manufacturers c</w:t>
      </w:r>
      <w:r w:rsidR="004C77F2" w:rsidRPr="0037058C">
        <w:rPr>
          <w:spacing w:val="6"/>
        </w:rPr>
        <w:t>an</w:t>
      </w:r>
      <w:r w:rsidRPr="0037058C">
        <w:rPr>
          <w:spacing w:val="6"/>
        </w:rPr>
        <w:t xml:space="preserve"> phase in their vehicle models as a percent of U.S. sales through MY 2022.  </w:t>
      </w:r>
      <w:r w:rsidR="00831DAA" w:rsidRPr="0037058C">
        <w:rPr>
          <w:spacing w:val="6"/>
        </w:rPr>
        <w:t>The US06 PM standards would phase</w:t>
      </w:r>
      <w:r w:rsidR="009B5A1C">
        <w:rPr>
          <w:spacing w:val="6"/>
        </w:rPr>
        <w:t>-in</w:t>
      </w:r>
      <w:r w:rsidR="00831DAA" w:rsidRPr="0037058C">
        <w:rPr>
          <w:spacing w:val="6"/>
        </w:rPr>
        <w:t xml:space="preserve"> </w:t>
      </w:r>
      <w:r w:rsidR="004C77F2" w:rsidRPr="0037058C">
        <w:rPr>
          <w:spacing w:val="6"/>
        </w:rPr>
        <w:t xml:space="preserve">based on sales volume </w:t>
      </w:r>
      <w:r w:rsidR="00831DAA" w:rsidRPr="0037058C">
        <w:rPr>
          <w:spacing w:val="6"/>
        </w:rPr>
        <w:t xml:space="preserve">on the same schedule as the FTP PM standards. These PM programs' paperwork burdens are allocated to the </w:t>
      </w:r>
      <w:r w:rsidR="00B5319B" w:rsidRPr="0037058C">
        <w:rPr>
          <w:spacing w:val="6"/>
        </w:rPr>
        <w:t>Certification</w:t>
      </w:r>
      <w:r w:rsidR="00831DAA" w:rsidRPr="0037058C">
        <w:rPr>
          <w:spacing w:val="6"/>
        </w:rPr>
        <w:t xml:space="preserve"> IC. </w:t>
      </w:r>
    </w:p>
    <w:p w14:paraId="50E1A7B1" w14:textId="77777777" w:rsidR="00487900" w:rsidRPr="0037058C" w:rsidRDefault="00487900" w:rsidP="00A0003F">
      <w:pPr>
        <w:pStyle w:val="Style6"/>
        <w:jc w:val="left"/>
        <w:rPr>
          <w:spacing w:val="6"/>
        </w:rPr>
      </w:pPr>
    </w:p>
    <w:p w14:paraId="7BEAFF4C" w14:textId="337ECD56" w:rsidR="00487900" w:rsidRPr="0037058C" w:rsidRDefault="00487900" w:rsidP="00A0003F">
      <w:pPr>
        <w:pStyle w:val="Style6"/>
        <w:jc w:val="left"/>
        <w:rPr>
          <w:spacing w:val="6"/>
        </w:rPr>
      </w:pPr>
      <w:r w:rsidRPr="0037058C">
        <w:rPr>
          <w:spacing w:val="6"/>
        </w:rPr>
        <w:lastRenderedPageBreak/>
        <w:tab/>
        <w:t xml:space="preserve">The </w:t>
      </w:r>
      <w:r w:rsidR="003D3E47">
        <w:rPr>
          <w:spacing w:val="6"/>
        </w:rPr>
        <w:t>final</w:t>
      </w:r>
      <w:r w:rsidRPr="0037058C">
        <w:rPr>
          <w:spacing w:val="6"/>
        </w:rPr>
        <w:t xml:space="preserve"> p</w:t>
      </w:r>
      <w:r w:rsidR="004C77F2" w:rsidRPr="0037058C">
        <w:rPr>
          <w:spacing w:val="6"/>
        </w:rPr>
        <w:t xml:space="preserve">rogram also includes a separate, less stringent </w:t>
      </w:r>
      <w:r w:rsidRPr="0037058C">
        <w:rPr>
          <w:spacing w:val="6"/>
        </w:rPr>
        <w:t>in-use FTP</w:t>
      </w:r>
      <w:r w:rsidR="006848A1">
        <w:rPr>
          <w:spacing w:val="6"/>
        </w:rPr>
        <w:t xml:space="preserve"> and US06 </w:t>
      </w:r>
      <w:r w:rsidRPr="0037058C">
        <w:rPr>
          <w:spacing w:val="6"/>
        </w:rPr>
        <w:t xml:space="preserve">PM standard for the testing of in-use vehicles that would apply during the phase-in period only.  </w:t>
      </w:r>
      <w:r w:rsidR="004C77F2" w:rsidRPr="0037058C">
        <w:rPr>
          <w:spacing w:val="6"/>
        </w:rPr>
        <w:t>In MY 2022</w:t>
      </w:r>
      <w:r w:rsidR="009B5A1C">
        <w:rPr>
          <w:spacing w:val="6"/>
        </w:rPr>
        <w:t xml:space="preserve"> and after, the FTP PM in-use standard is</w:t>
      </w:r>
      <w:r w:rsidR="004C77F2" w:rsidRPr="0037058C">
        <w:rPr>
          <w:spacing w:val="6"/>
        </w:rPr>
        <w:t xml:space="preserve"> the same as the certification standard</w:t>
      </w:r>
      <w:r w:rsidR="009B5A1C">
        <w:rPr>
          <w:spacing w:val="6"/>
        </w:rPr>
        <w:t>.  In MY 2023 and after, the US06 PM in-use standard is the same as the certification standard</w:t>
      </w:r>
      <w:r w:rsidR="004C77F2" w:rsidRPr="0037058C">
        <w:rPr>
          <w:spacing w:val="6"/>
        </w:rPr>
        <w:t xml:space="preserve">. </w:t>
      </w:r>
      <w:r w:rsidRPr="0037058C">
        <w:rPr>
          <w:spacing w:val="6"/>
        </w:rPr>
        <w:t xml:space="preserve">The paperwork burdens of this program </w:t>
      </w:r>
      <w:r w:rsidR="009B5A1C">
        <w:rPr>
          <w:spacing w:val="6"/>
        </w:rPr>
        <w:t>is</w:t>
      </w:r>
      <w:r w:rsidR="009B5A1C" w:rsidRPr="0037058C">
        <w:rPr>
          <w:spacing w:val="6"/>
        </w:rPr>
        <w:t xml:space="preserve"> </w:t>
      </w:r>
      <w:r w:rsidRPr="0037058C">
        <w:rPr>
          <w:spacing w:val="6"/>
        </w:rPr>
        <w:t xml:space="preserve">allocated to the </w:t>
      </w:r>
      <w:proofErr w:type="spellStart"/>
      <w:r w:rsidRPr="0037058C">
        <w:rPr>
          <w:spacing w:val="6"/>
        </w:rPr>
        <w:t>IUVP</w:t>
      </w:r>
      <w:proofErr w:type="spellEnd"/>
      <w:r w:rsidRPr="0037058C">
        <w:rPr>
          <w:spacing w:val="6"/>
        </w:rPr>
        <w:t xml:space="preserve"> IC. </w:t>
      </w:r>
    </w:p>
    <w:p w14:paraId="01510A30" w14:textId="77777777" w:rsidR="00831DAA" w:rsidRPr="0037058C" w:rsidRDefault="00831DAA" w:rsidP="00A0003F">
      <w:pPr>
        <w:pStyle w:val="Style6"/>
        <w:jc w:val="left"/>
        <w:rPr>
          <w:spacing w:val="6"/>
        </w:rPr>
      </w:pPr>
    </w:p>
    <w:p w14:paraId="1D00856B" w14:textId="1F745208" w:rsidR="00831DAA" w:rsidRPr="0037058C" w:rsidRDefault="00831DAA" w:rsidP="00A0003F">
      <w:pPr>
        <w:pStyle w:val="Style6"/>
        <w:jc w:val="left"/>
        <w:rPr>
          <w:spacing w:val="6"/>
        </w:rPr>
      </w:pPr>
      <w:r w:rsidRPr="0037058C">
        <w:rPr>
          <w:spacing w:val="6"/>
        </w:rPr>
        <w:tab/>
      </w:r>
      <w:r w:rsidR="00D82FDC" w:rsidRPr="0037058C">
        <w:rPr>
          <w:spacing w:val="6"/>
          <w:u w:val="single"/>
        </w:rPr>
        <w:t>F</w:t>
      </w:r>
      <w:r w:rsidRPr="0037058C">
        <w:rPr>
          <w:spacing w:val="6"/>
          <w:u w:val="single"/>
        </w:rPr>
        <w:t>or complete heavy-duty vehicle</w:t>
      </w:r>
      <w:r w:rsidR="00C72A69" w:rsidRPr="0037058C">
        <w:rPr>
          <w:spacing w:val="6"/>
          <w:u w:val="single"/>
        </w:rPr>
        <w:t xml:space="preserve"> </w:t>
      </w:r>
      <w:r w:rsidR="00B32513" w:rsidRPr="0037058C">
        <w:rPr>
          <w:spacing w:val="6"/>
        </w:rPr>
        <w:t>(</w:t>
      </w:r>
      <w:proofErr w:type="spellStart"/>
      <w:r w:rsidR="00B32513" w:rsidRPr="0037058C">
        <w:rPr>
          <w:spacing w:val="6"/>
        </w:rPr>
        <w:t>HDVs</w:t>
      </w:r>
      <w:proofErr w:type="spellEnd"/>
      <w:r w:rsidR="00B32513" w:rsidRPr="0037058C">
        <w:rPr>
          <w:spacing w:val="6"/>
        </w:rPr>
        <w:t xml:space="preserve">, defined as being between 8,501 and 14,000 lbs GVWR) </w:t>
      </w:r>
      <w:r w:rsidR="00C72A69" w:rsidRPr="0037058C">
        <w:rPr>
          <w:spacing w:val="6"/>
        </w:rPr>
        <w:t>tailpipe emissions</w:t>
      </w:r>
      <w:r w:rsidR="00B52C21" w:rsidRPr="0037058C">
        <w:rPr>
          <w:spacing w:val="6"/>
        </w:rPr>
        <w:t>,</w:t>
      </w:r>
      <w:r w:rsidR="00B32513" w:rsidRPr="0037058C">
        <w:rPr>
          <w:spacing w:val="6"/>
        </w:rPr>
        <w:t xml:space="preserve"> the </w:t>
      </w:r>
      <w:r w:rsidR="00227854">
        <w:rPr>
          <w:spacing w:val="6"/>
        </w:rPr>
        <w:t>final rule</w:t>
      </w:r>
      <w:r w:rsidR="00B32513" w:rsidRPr="0037058C">
        <w:rPr>
          <w:spacing w:val="6"/>
        </w:rPr>
        <w:t xml:space="preserve"> adds new </w:t>
      </w:r>
      <w:r w:rsidR="00D82FDC" w:rsidRPr="0037058C">
        <w:rPr>
          <w:spacing w:val="6"/>
        </w:rPr>
        <w:t>exhaust emissions standards</w:t>
      </w:r>
      <w:r w:rsidRPr="0037058C">
        <w:rPr>
          <w:spacing w:val="6"/>
        </w:rPr>
        <w:t>.  Vehicles in this GVWR range are often referred to as Class 2b (8,501-10,000 lb) and Class 3 (10,001-14,000 lb) vehicles, and are typically full-size pickup trucks and work vans</w:t>
      </w:r>
      <w:r w:rsidR="004F3770" w:rsidRPr="0037058C">
        <w:rPr>
          <w:spacing w:val="6"/>
        </w:rPr>
        <w:t xml:space="preserve">. "Complete" heavy-duty vehicles are covered by the Light Duty ICR because they are </w:t>
      </w:r>
      <w:r w:rsidR="00E962D9" w:rsidRPr="0037058C">
        <w:rPr>
          <w:spacing w:val="6"/>
        </w:rPr>
        <w:t xml:space="preserve">"complete" vehicles that are </w:t>
      </w:r>
      <w:r w:rsidR="004F3770" w:rsidRPr="0037058C">
        <w:rPr>
          <w:spacing w:val="6"/>
        </w:rPr>
        <w:t xml:space="preserve">chassis certified on a dynamometer like light duty trucks and vehicles. </w:t>
      </w:r>
    </w:p>
    <w:p w14:paraId="380B1345" w14:textId="77777777" w:rsidR="004F3770" w:rsidRPr="0037058C" w:rsidRDefault="004F3770" w:rsidP="00A0003F">
      <w:pPr>
        <w:pStyle w:val="Style6"/>
        <w:jc w:val="left"/>
        <w:rPr>
          <w:spacing w:val="6"/>
        </w:rPr>
      </w:pPr>
    </w:p>
    <w:p w14:paraId="1BEF024B" w14:textId="60E787E8" w:rsidR="00C94633" w:rsidRPr="0037058C" w:rsidRDefault="004F3770" w:rsidP="004F3770">
      <w:pPr>
        <w:pStyle w:val="Style6"/>
        <w:jc w:val="left"/>
        <w:rPr>
          <w:spacing w:val="6"/>
        </w:rPr>
      </w:pPr>
      <w:r w:rsidRPr="0037058C">
        <w:rPr>
          <w:spacing w:val="6"/>
        </w:rPr>
        <w:tab/>
        <w:t xml:space="preserve">The </w:t>
      </w:r>
      <w:r w:rsidR="00227854">
        <w:rPr>
          <w:spacing w:val="6"/>
        </w:rPr>
        <w:t>final rule</w:t>
      </w:r>
      <w:r w:rsidRPr="0037058C">
        <w:rPr>
          <w:spacing w:val="6"/>
        </w:rPr>
        <w:t xml:space="preserve"> </w:t>
      </w:r>
      <w:r w:rsidR="00314AFA" w:rsidRPr="0037058C">
        <w:rPr>
          <w:spacing w:val="6"/>
        </w:rPr>
        <w:t xml:space="preserve">for </w:t>
      </w:r>
      <w:proofErr w:type="spellStart"/>
      <w:r w:rsidRPr="0037058C">
        <w:rPr>
          <w:spacing w:val="6"/>
        </w:rPr>
        <w:t>HDVs</w:t>
      </w:r>
      <w:proofErr w:type="spellEnd"/>
      <w:r w:rsidRPr="0037058C">
        <w:rPr>
          <w:spacing w:val="6"/>
        </w:rPr>
        <w:t xml:space="preserve"> parallels that for passenger cars and </w:t>
      </w:r>
      <w:proofErr w:type="spellStart"/>
      <w:r w:rsidRPr="0037058C">
        <w:rPr>
          <w:spacing w:val="6"/>
        </w:rPr>
        <w:t>LDTs</w:t>
      </w:r>
      <w:proofErr w:type="spellEnd"/>
      <w:r w:rsidRPr="0037058C">
        <w:rPr>
          <w:spacing w:val="6"/>
        </w:rPr>
        <w:t xml:space="preserve">, with adjustments in standards levels, emissions test requirements, and implementation schedules.  These include a combined </w:t>
      </w:r>
      <w:proofErr w:type="spellStart"/>
      <w:r w:rsidRPr="0037058C">
        <w:rPr>
          <w:spacing w:val="6"/>
        </w:rPr>
        <w:t>NMOG+NO</w:t>
      </w:r>
      <w:r w:rsidR="004A1D10" w:rsidRPr="0037058C">
        <w:rPr>
          <w:spacing w:val="6"/>
        </w:rPr>
        <w:t>x</w:t>
      </w:r>
      <w:proofErr w:type="spellEnd"/>
      <w:r w:rsidRPr="0037058C">
        <w:rPr>
          <w:spacing w:val="6"/>
        </w:rPr>
        <w:t xml:space="preserve"> declining fleet average standard, new PM standards phasing in on a separate schedule, adoption of a </w:t>
      </w:r>
      <w:r w:rsidR="009B5A1C" w:rsidRPr="0037058C">
        <w:rPr>
          <w:spacing w:val="6"/>
        </w:rPr>
        <w:t>1</w:t>
      </w:r>
      <w:r w:rsidR="009B5A1C">
        <w:rPr>
          <w:spacing w:val="6"/>
        </w:rPr>
        <w:t>0</w:t>
      </w:r>
      <w:r w:rsidR="009B5A1C" w:rsidRPr="0037058C">
        <w:rPr>
          <w:spacing w:val="6"/>
        </w:rPr>
        <w:t xml:space="preserve"> </w:t>
      </w:r>
      <w:r w:rsidRPr="0037058C">
        <w:rPr>
          <w:spacing w:val="6"/>
        </w:rPr>
        <w:t>percent ethanol by volume (</w:t>
      </w:r>
      <w:r w:rsidR="009B5A1C" w:rsidRPr="0037058C">
        <w:rPr>
          <w:spacing w:val="6"/>
        </w:rPr>
        <w:t>E1</w:t>
      </w:r>
      <w:r w:rsidR="009B5A1C">
        <w:rPr>
          <w:spacing w:val="6"/>
        </w:rPr>
        <w:t>0</w:t>
      </w:r>
      <w:r w:rsidRPr="0037058C">
        <w:rPr>
          <w:spacing w:val="6"/>
        </w:rPr>
        <w:t xml:space="preserve">) certification test fuel for gasoline-fueled vehicles, extension of the regulatory useful life to 150,000 miles or 15 years (whichever occurs first), and a new requirement to meet standards over an SFTP.  </w:t>
      </w:r>
      <w:r w:rsidR="00C94633" w:rsidRPr="0037058C">
        <w:rPr>
          <w:spacing w:val="6"/>
        </w:rPr>
        <w:t>(An alternative phase-in schedule based on sales volume for FTP standards and "indexed" phase-in for PM are also available.)</w:t>
      </w:r>
      <w:r w:rsidRPr="0037058C">
        <w:rPr>
          <w:spacing w:val="6"/>
        </w:rPr>
        <w:t xml:space="preserve"> </w:t>
      </w:r>
      <w:r w:rsidR="00B52C21" w:rsidRPr="0037058C">
        <w:rPr>
          <w:spacing w:val="6"/>
        </w:rPr>
        <w:t>Th</w:t>
      </w:r>
      <w:r w:rsidR="00C94633" w:rsidRPr="0037058C">
        <w:rPr>
          <w:spacing w:val="6"/>
        </w:rPr>
        <w:t>e</w:t>
      </w:r>
      <w:r w:rsidR="00B52C21" w:rsidRPr="0037058C">
        <w:rPr>
          <w:spacing w:val="6"/>
        </w:rPr>
        <w:t xml:space="preserve"> SFTP testing for complete </w:t>
      </w:r>
      <w:proofErr w:type="spellStart"/>
      <w:r w:rsidR="00B52C21" w:rsidRPr="0037058C">
        <w:rPr>
          <w:spacing w:val="6"/>
        </w:rPr>
        <w:t>HDVs</w:t>
      </w:r>
      <w:proofErr w:type="spellEnd"/>
      <w:r w:rsidR="00B52C21" w:rsidRPr="0037058C">
        <w:rPr>
          <w:spacing w:val="6"/>
        </w:rPr>
        <w:t xml:space="preserve"> is a new testing requirement for federal</w:t>
      </w:r>
      <w:r w:rsidR="004C77F2" w:rsidRPr="0037058C">
        <w:rPr>
          <w:spacing w:val="6"/>
        </w:rPr>
        <w:t>ly certified</w:t>
      </w:r>
      <w:r w:rsidR="00B52C21" w:rsidRPr="0037058C">
        <w:rPr>
          <w:spacing w:val="6"/>
        </w:rPr>
        <w:t xml:space="preserve"> vehicles and results in a new testing cost burden</w:t>
      </w:r>
      <w:r w:rsidR="004C77F2" w:rsidRPr="0037058C">
        <w:rPr>
          <w:spacing w:val="6"/>
        </w:rPr>
        <w:t>, because these test results are necessary for reporting required by EPA</w:t>
      </w:r>
      <w:r w:rsidR="00B52C21" w:rsidRPr="0037058C">
        <w:rPr>
          <w:spacing w:val="6"/>
        </w:rPr>
        <w:t xml:space="preserve">. </w:t>
      </w:r>
    </w:p>
    <w:p w14:paraId="3B37A64D" w14:textId="77777777" w:rsidR="00C94633" w:rsidRPr="0037058C" w:rsidRDefault="00C94633" w:rsidP="004F3770">
      <w:pPr>
        <w:pStyle w:val="Style6"/>
        <w:jc w:val="left"/>
        <w:rPr>
          <w:spacing w:val="6"/>
        </w:rPr>
      </w:pPr>
    </w:p>
    <w:p w14:paraId="60F3B482" w14:textId="3BE73FD7" w:rsidR="00B52C21" w:rsidRPr="0037058C" w:rsidRDefault="00C94633" w:rsidP="004F3770">
      <w:pPr>
        <w:pStyle w:val="Style6"/>
        <w:jc w:val="left"/>
        <w:rPr>
          <w:spacing w:val="6"/>
        </w:rPr>
      </w:pPr>
      <w:r w:rsidRPr="0037058C">
        <w:rPr>
          <w:spacing w:val="6"/>
        </w:rPr>
        <w:tab/>
        <w:t xml:space="preserve">The shorthand "SFTP testing" actually encompasses a variety of testing options and waivers for various classes of </w:t>
      </w:r>
      <w:proofErr w:type="spellStart"/>
      <w:r w:rsidRPr="0037058C">
        <w:rPr>
          <w:spacing w:val="6"/>
        </w:rPr>
        <w:t>HDVs</w:t>
      </w:r>
      <w:proofErr w:type="spellEnd"/>
      <w:r w:rsidRPr="0037058C">
        <w:rPr>
          <w:spacing w:val="6"/>
        </w:rPr>
        <w:t xml:space="preserve">. Because this bears on testing costs, it is necessary to go through them in a more detail. For the existing light-duty Tier 2 testing and the </w:t>
      </w:r>
      <w:r w:rsidR="003D3E47">
        <w:rPr>
          <w:spacing w:val="6"/>
        </w:rPr>
        <w:t>final</w:t>
      </w:r>
      <w:r w:rsidRPr="0037058C">
        <w:rPr>
          <w:spacing w:val="6"/>
        </w:rPr>
        <w:t xml:space="preserve"> Tier 3 </w:t>
      </w:r>
      <w:proofErr w:type="spellStart"/>
      <w:r w:rsidRPr="0037058C">
        <w:rPr>
          <w:spacing w:val="6"/>
        </w:rPr>
        <w:t>NMOG+NOx</w:t>
      </w:r>
      <w:proofErr w:type="spellEnd"/>
      <w:r w:rsidRPr="0037058C">
        <w:rPr>
          <w:spacing w:val="6"/>
        </w:rPr>
        <w:t xml:space="preserve"> testing, a "composite cycle" combin</w:t>
      </w:r>
      <w:r w:rsidR="00BA215E" w:rsidRPr="0037058C">
        <w:rPr>
          <w:spacing w:val="6"/>
        </w:rPr>
        <w:t>es</w:t>
      </w:r>
      <w:r w:rsidRPr="0037058C">
        <w:rPr>
          <w:spacing w:val="6"/>
        </w:rPr>
        <w:t xml:space="preserve"> test results from the FTP, US06 and SC</w:t>
      </w:r>
      <w:r w:rsidR="009B5A1C">
        <w:rPr>
          <w:spacing w:val="6"/>
        </w:rPr>
        <w:t>0</w:t>
      </w:r>
      <w:r w:rsidRPr="0037058C">
        <w:rPr>
          <w:spacing w:val="6"/>
        </w:rPr>
        <w:t xml:space="preserve">3 cycles, the latter </w:t>
      </w:r>
      <w:r w:rsidR="006C19E0" w:rsidRPr="0037058C">
        <w:rPr>
          <w:spacing w:val="6"/>
        </w:rPr>
        <w:t xml:space="preserve">two </w:t>
      </w:r>
      <w:r w:rsidRPr="0037058C">
        <w:rPr>
          <w:spacing w:val="6"/>
        </w:rPr>
        <w:t xml:space="preserve">being "supplemental" driving tests designed to capture emissions under conditions not fully accounted for by the FTP: aggressive driving and high speeds, and use of air conditioning, respectively. </w:t>
      </w:r>
      <w:r w:rsidR="00665A41" w:rsidRPr="0037058C">
        <w:rPr>
          <w:spacing w:val="6"/>
        </w:rPr>
        <w:t xml:space="preserve">Under the </w:t>
      </w:r>
      <w:r w:rsidR="00227854">
        <w:rPr>
          <w:spacing w:val="6"/>
        </w:rPr>
        <w:t>final rule</w:t>
      </w:r>
      <w:r w:rsidR="00665A41" w:rsidRPr="0037058C">
        <w:rPr>
          <w:spacing w:val="6"/>
        </w:rPr>
        <w:t xml:space="preserve">, in SFTP testing of Class 2b vehicles at or below 0.024 </w:t>
      </w:r>
      <w:proofErr w:type="spellStart"/>
      <w:r w:rsidR="00665A41" w:rsidRPr="0037058C">
        <w:rPr>
          <w:spacing w:val="6"/>
        </w:rPr>
        <w:t>hp</w:t>
      </w:r>
      <w:proofErr w:type="spellEnd"/>
      <w:r w:rsidR="00665A41" w:rsidRPr="0037058C">
        <w:rPr>
          <w:spacing w:val="6"/>
        </w:rPr>
        <w:t xml:space="preserve">/lb, manufacturers may replace the full US06 component of the composite SFTP emissions with the test results from only the second of the three emissions sampling </w:t>
      </w:r>
      <w:r w:rsidR="00F818F1">
        <w:rPr>
          <w:spacing w:val="6"/>
        </w:rPr>
        <w:t>periods</w:t>
      </w:r>
      <w:r w:rsidR="00F818F1" w:rsidRPr="0037058C">
        <w:rPr>
          <w:spacing w:val="6"/>
        </w:rPr>
        <w:t xml:space="preserve"> </w:t>
      </w:r>
      <w:r w:rsidR="00665A41" w:rsidRPr="0037058C">
        <w:rPr>
          <w:spacing w:val="6"/>
        </w:rPr>
        <w:t xml:space="preserve">in the US06 test, generally referred to as the “highway” portion of the US06, subject to correspondingly lower SFTP standards levels. </w:t>
      </w:r>
      <w:r w:rsidR="00AE0A6A">
        <w:rPr>
          <w:spacing w:val="6"/>
        </w:rPr>
        <w:t xml:space="preserve"> </w:t>
      </w:r>
      <w:r w:rsidR="00665A41" w:rsidRPr="0037058C">
        <w:rPr>
          <w:spacing w:val="6"/>
        </w:rPr>
        <w:t xml:space="preserve">For Class 3 vehicles, the LA-92 cycle </w:t>
      </w:r>
      <w:r w:rsidR="009B5A1C">
        <w:rPr>
          <w:spacing w:val="6"/>
        </w:rPr>
        <w:t>is</w:t>
      </w:r>
      <w:r w:rsidR="00665A41" w:rsidRPr="0037058C">
        <w:rPr>
          <w:spacing w:val="6"/>
        </w:rPr>
        <w:t xml:space="preserve"> used in</w:t>
      </w:r>
      <w:r w:rsidR="009B5A1C">
        <w:rPr>
          <w:spacing w:val="6"/>
        </w:rPr>
        <w:t xml:space="preserve">stead of the </w:t>
      </w:r>
      <w:r w:rsidR="00665A41" w:rsidRPr="0037058C">
        <w:rPr>
          <w:spacing w:val="6"/>
        </w:rPr>
        <w:t xml:space="preserve">US06 component </w:t>
      </w:r>
      <w:r w:rsidR="009B5A1C">
        <w:rPr>
          <w:spacing w:val="6"/>
        </w:rPr>
        <w:t xml:space="preserve">for calculating </w:t>
      </w:r>
      <w:r w:rsidR="00665A41" w:rsidRPr="0037058C">
        <w:rPr>
          <w:spacing w:val="6"/>
        </w:rPr>
        <w:t>the composite SFTP.  Both composite SFTP cycles are fully consistent with the MDV LEV III program</w:t>
      </w:r>
      <w:r w:rsidR="007F04E2" w:rsidRPr="0037058C">
        <w:rPr>
          <w:spacing w:val="6"/>
        </w:rPr>
        <w:t>, and cover CO and PM as well</w:t>
      </w:r>
      <w:r w:rsidR="00665A41" w:rsidRPr="0037058C">
        <w:rPr>
          <w:spacing w:val="6"/>
        </w:rPr>
        <w:t>.</w:t>
      </w:r>
      <w:r w:rsidR="00AE0A6A">
        <w:rPr>
          <w:spacing w:val="6"/>
        </w:rPr>
        <w:t xml:space="preserve"> </w:t>
      </w:r>
      <w:r w:rsidR="00665A41" w:rsidRPr="0037058C">
        <w:rPr>
          <w:spacing w:val="6"/>
        </w:rPr>
        <w:t xml:space="preserve"> </w:t>
      </w:r>
      <w:r w:rsidR="00AE0A6A">
        <w:rPr>
          <w:spacing w:val="6"/>
        </w:rPr>
        <w:t>U</w:t>
      </w:r>
      <w:r w:rsidR="00665A41" w:rsidRPr="0037058C">
        <w:rPr>
          <w:spacing w:val="6"/>
        </w:rPr>
        <w:t xml:space="preserve">nder the </w:t>
      </w:r>
      <w:r w:rsidR="00227854">
        <w:rPr>
          <w:spacing w:val="6"/>
        </w:rPr>
        <w:t>final rule</w:t>
      </w:r>
      <w:r w:rsidR="00665A41" w:rsidRPr="0037058C">
        <w:rPr>
          <w:spacing w:val="6"/>
        </w:rPr>
        <w:t xml:space="preserve"> HDV manufacturers have the option to substitute the FTP emissions levels, which are expected to be higher </w:t>
      </w:r>
      <w:r w:rsidR="00845047" w:rsidRPr="0037058C">
        <w:rPr>
          <w:spacing w:val="6"/>
        </w:rPr>
        <w:t xml:space="preserve">(more stringent) </w:t>
      </w:r>
      <w:r w:rsidR="00665A41" w:rsidRPr="0037058C">
        <w:rPr>
          <w:spacing w:val="6"/>
        </w:rPr>
        <w:t xml:space="preserve">in general, for the SC03 emissions results for purposes of </w:t>
      </w:r>
      <w:r w:rsidR="00AE0A6A">
        <w:rPr>
          <w:spacing w:val="6"/>
        </w:rPr>
        <w:t xml:space="preserve">demonstrating </w:t>
      </w:r>
      <w:r w:rsidR="00665A41" w:rsidRPr="0037058C">
        <w:rPr>
          <w:spacing w:val="6"/>
        </w:rPr>
        <w:t>compliance.</w:t>
      </w:r>
      <w:r w:rsidR="00AE0A6A">
        <w:rPr>
          <w:spacing w:val="6"/>
        </w:rPr>
        <w:t xml:space="preserve"> </w:t>
      </w:r>
      <w:r w:rsidR="00665A41" w:rsidRPr="0037058C">
        <w:rPr>
          <w:spacing w:val="6"/>
        </w:rPr>
        <w:t xml:space="preserve"> How many vehicles benefit from this option depends on the extent to which the higher FTP emissions levels reduce the margin needed to comply with the bin's emission standards. </w:t>
      </w:r>
    </w:p>
    <w:p w14:paraId="0060C595" w14:textId="77777777" w:rsidR="00B52C21" w:rsidRPr="0037058C" w:rsidRDefault="00B52C21" w:rsidP="004F3770">
      <w:pPr>
        <w:pStyle w:val="Style6"/>
        <w:jc w:val="left"/>
        <w:rPr>
          <w:spacing w:val="6"/>
        </w:rPr>
      </w:pPr>
    </w:p>
    <w:p w14:paraId="1B889D41" w14:textId="3188E7AF" w:rsidR="004F3770" w:rsidRPr="0037058C" w:rsidRDefault="00B52C21" w:rsidP="004F3770">
      <w:pPr>
        <w:pStyle w:val="Style6"/>
        <w:jc w:val="left"/>
        <w:rPr>
          <w:spacing w:val="6"/>
        </w:rPr>
      </w:pPr>
      <w:r w:rsidRPr="0037058C">
        <w:rPr>
          <w:spacing w:val="6"/>
        </w:rPr>
        <w:tab/>
      </w:r>
      <w:r w:rsidR="004F3770" w:rsidRPr="0037058C">
        <w:rPr>
          <w:spacing w:val="6"/>
        </w:rPr>
        <w:t xml:space="preserve">Fleet average </w:t>
      </w:r>
      <w:proofErr w:type="spellStart"/>
      <w:r w:rsidR="004F3770" w:rsidRPr="0037058C">
        <w:rPr>
          <w:spacing w:val="6"/>
        </w:rPr>
        <w:t>NMOG+NO</w:t>
      </w:r>
      <w:r w:rsidR="004A1D10" w:rsidRPr="0037058C">
        <w:rPr>
          <w:spacing w:val="6"/>
        </w:rPr>
        <w:t>x</w:t>
      </w:r>
      <w:proofErr w:type="spellEnd"/>
      <w:r w:rsidR="004F3770" w:rsidRPr="0037058C">
        <w:rPr>
          <w:spacing w:val="6"/>
        </w:rPr>
        <w:t xml:space="preserve"> standards are separate for Class 2b and Class</w:t>
      </w:r>
      <w:r w:rsidR="004C77F2" w:rsidRPr="0037058C">
        <w:rPr>
          <w:spacing w:val="6"/>
        </w:rPr>
        <w:t xml:space="preserve"> 3</w:t>
      </w:r>
      <w:r w:rsidR="004F3770" w:rsidRPr="0037058C">
        <w:rPr>
          <w:spacing w:val="6"/>
        </w:rPr>
        <w:t xml:space="preserve">.  The </w:t>
      </w:r>
      <w:r w:rsidR="003D3E47">
        <w:rPr>
          <w:spacing w:val="6"/>
        </w:rPr>
        <w:t>final</w:t>
      </w:r>
      <w:r w:rsidR="004F3770" w:rsidRPr="0037058C">
        <w:rPr>
          <w:spacing w:val="6"/>
        </w:rPr>
        <w:t xml:space="preserve"> standards would become more stringent in successive model years from 2018 to 2022, with voluntary standards made available in 2016 and 2017, all of which would be set at levels that match those of California’s LEV III program for these classes of vehicles.  Each covered HDV produced by a manufacturer in each model year would contribute to this fleet average based on the </w:t>
      </w:r>
      <w:proofErr w:type="spellStart"/>
      <w:r w:rsidR="004F3770" w:rsidRPr="0037058C">
        <w:rPr>
          <w:spacing w:val="6"/>
        </w:rPr>
        <w:t>NMOG+NO</w:t>
      </w:r>
      <w:r w:rsidR="004A1D10" w:rsidRPr="0037058C">
        <w:rPr>
          <w:spacing w:val="6"/>
        </w:rPr>
        <w:t>x</w:t>
      </w:r>
      <w:proofErr w:type="spellEnd"/>
      <w:r w:rsidR="004F3770" w:rsidRPr="0037058C">
        <w:rPr>
          <w:spacing w:val="6"/>
        </w:rPr>
        <w:t xml:space="preserve"> level of the emission level (“bin”) declared for it by the manufacturer.  Manufacturers could also earn credits for fleet average </w:t>
      </w:r>
      <w:proofErr w:type="spellStart"/>
      <w:r w:rsidR="004F3770" w:rsidRPr="0037058C">
        <w:rPr>
          <w:spacing w:val="6"/>
        </w:rPr>
        <w:t>NMOG+NO</w:t>
      </w:r>
      <w:r w:rsidR="004A1D10" w:rsidRPr="0037058C">
        <w:rPr>
          <w:spacing w:val="6"/>
        </w:rPr>
        <w:t>x</w:t>
      </w:r>
      <w:proofErr w:type="spellEnd"/>
      <w:r w:rsidR="004F3770" w:rsidRPr="0037058C">
        <w:rPr>
          <w:spacing w:val="6"/>
        </w:rPr>
        <w:t xml:space="preserve"> levels below the standard in any model year.  Tier 3 credits that were previously banked, obtained from other manufacturers, or transferred across the Class 2b/Class 3 categories could be used to help demonstrate compliance.  Unused credits would expire after 5 model years.  Manufacturers would also be allowed to carry deficits in their credit balance for up to 3 model years.</w:t>
      </w:r>
    </w:p>
    <w:p w14:paraId="63057BF6" w14:textId="77777777" w:rsidR="004F3770" w:rsidRPr="0037058C" w:rsidRDefault="004F3770" w:rsidP="004F3770">
      <w:pPr>
        <w:pStyle w:val="Style6"/>
        <w:jc w:val="left"/>
        <w:rPr>
          <w:spacing w:val="6"/>
        </w:rPr>
      </w:pPr>
    </w:p>
    <w:p w14:paraId="6471812E" w14:textId="40E9A070" w:rsidR="004F3770" w:rsidRPr="0037058C" w:rsidRDefault="004F3770" w:rsidP="004F3770">
      <w:pPr>
        <w:pStyle w:val="Style6"/>
        <w:jc w:val="left"/>
        <w:rPr>
          <w:spacing w:val="6"/>
        </w:rPr>
      </w:pPr>
      <w:r w:rsidRPr="0037058C">
        <w:rPr>
          <w:spacing w:val="6"/>
        </w:rPr>
        <w:tab/>
        <w:t xml:space="preserve">The </w:t>
      </w:r>
      <w:r w:rsidR="00227854">
        <w:rPr>
          <w:spacing w:val="6"/>
        </w:rPr>
        <w:t>final rule</w:t>
      </w:r>
      <w:r w:rsidRPr="0037058C">
        <w:rPr>
          <w:spacing w:val="6"/>
        </w:rPr>
        <w:t xml:space="preserve"> includes separate PM standards for Class 2b and Class 3 </w:t>
      </w:r>
      <w:proofErr w:type="spellStart"/>
      <w:r w:rsidRPr="0037058C">
        <w:rPr>
          <w:spacing w:val="6"/>
        </w:rPr>
        <w:t>HDVs</w:t>
      </w:r>
      <w:proofErr w:type="spellEnd"/>
      <w:r w:rsidRPr="0037058C">
        <w:rPr>
          <w:spacing w:val="6"/>
        </w:rPr>
        <w:t xml:space="preserve">, respectively, phasing in as an increasing percentage of a manufacturer’s production per year.  </w:t>
      </w:r>
      <w:r w:rsidR="007F04E2" w:rsidRPr="0037058C">
        <w:rPr>
          <w:spacing w:val="6"/>
        </w:rPr>
        <w:t>T</w:t>
      </w:r>
      <w:r w:rsidRPr="0037058C">
        <w:rPr>
          <w:spacing w:val="6"/>
        </w:rPr>
        <w:t xml:space="preserve">he same phase-in schedule </w:t>
      </w:r>
      <w:r w:rsidR="007F04E2" w:rsidRPr="0037058C">
        <w:rPr>
          <w:spacing w:val="6"/>
        </w:rPr>
        <w:t xml:space="preserve">is </w:t>
      </w:r>
      <w:r w:rsidR="003D3E47">
        <w:rPr>
          <w:spacing w:val="6"/>
        </w:rPr>
        <w:t>being finalized</w:t>
      </w:r>
      <w:r w:rsidR="003D3E47" w:rsidRPr="0037058C">
        <w:rPr>
          <w:spacing w:val="6"/>
        </w:rPr>
        <w:t xml:space="preserve"> </w:t>
      </w:r>
      <w:r w:rsidRPr="0037058C">
        <w:rPr>
          <w:spacing w:val="6"/>
        </w:rPr>
        <w:t xml:space="preserve">as for the light-duty sector, and a more flexible but equivalent alternative PM phase-in is also being </w:t>
      </w:r>
      <w:r w:rsidR="003D3E47">
        <w:rPr>
          <w:spacing w:val="6"/>
        </w:rPr>
        <w:t>finalized</w:t>
      </w:r>
      <w:r w:rsidRPr="0037058C">
        <w:rPr>
          <w:spacing w:val="6"/>
        </w:rPr>
        <w:t xml:space="preserve">.  </w:t>
      </w:r>
      <w:r w:rsidR="005E533D" w:rsidRPr="0037058C">
        <w:rPr>
          <w:spacing w:val="6"/>
        </w:rPr>
        <w:t>(</w:t>
      </w:r>
      <w:r w:rsidRPr="0037058C">
        <w:rPr>
          <w:spacing w:val="6"/>
        </w:rPr>
        <w:t xml:space="preserve">Tier 3 </w:t>
      </w:r>
      <w:proofErr w:type="spellStart"/>
      <w:r w:rsidRPr="0037058C">
        <w:rPr>
          <w:spacing w:val="6"/>
        </w:rPr>
        <w:t>HDVs</w:t>
      </w:r>
      <w:proofErr w:type="spellEnd"/>
      <w:r w:rsidRPr="0037058C">
        <w:rPr>
          <w:spacing w:val="6"/>
        </w:rPr>
        <w:t xml:space="preserve"> would also be subject to more stringent CO and formaldehyde exhaust emissions standar</w:t>
      </w:r>
      <w:r w:rsidR="00B52C21" w:rsidRPr="0037058C">
        <w:rPr>
          <w:spacing w:val="6"/>
        </w:rPr>
        <w:t>ds, which entail no new testing costs.</w:t>
      </w:r>
      <w:r w:rsidR="005E533D" w:rsidRPr="0037058C">
        <w:rPr>
          <w:spacing w:val="6"/>
        </w:rPr>
        <w:t>)</w:t>
      </w:r>
    </w:p>
    <w:p w14:paraId="7175A25E" w14:textId="77777777" w:rsidR="004F3770" w:rsidRPr="0037058C" w:rsidRDefault="004F3770" w:rsidP="004F3770">
      <w:pPr>
        <w:pStyle w:val="Style6"/>
        <w:jc w:val="left"/>
        <w:rPr>
          <w:spacing w:val="6"/>
        </w:rPr>
      </w:pPr>
    </w:p>
    <w:p w14:paraId="48E2D620" w14:textId="4998B88A" w:rsidR="00BC66A2" w:rsidRPr="0037058C" w:rsidRDefault="004F3770" w:rsidP="00C72A69">
      <w:pPr>
        <w:pStyle w:val="Style6"/>
        <w:jc w:val="left"/>
        <w:rPr>
          <w:spacing w:val="6"/>
        </w:rPr>
      </w:pPr>
      <w:r w:rsidRPr="0037058C">
        <w:rPr>
          <w:spacing w:val="6"/>
        </w:rPr>
        <w:tab/>
      </w:r>
      <w:r w:rsidR="00C72A69" w:rsidRPr="0037058C">
        <w:rPr>
          <w:spacing w:val="6"/>
          <w:u w:val="single"/>
        </w:rPr>
        <w:t>For evaporative emissions (non-tailpipe)</w:t>
      </w:r>
      <w:r w:rsidR="007F04E2" w:rsidRPr="0037058C">
        <w:rPr>
          <w:spacing w:val="6"/>
          <w:u w:val="single"/>
        </w:rPr>
        <w:t>, for both light-duty and heavy-duty vehicles</w:t>
      </w:r>
      <w:r w:rsidR="00C72A69" w:rsidRPr="0037058C">
        <w:rPr>
          <w:spacing w:val="6"/>
        </w:rPr>
        <w:t>, EPA is proposing more stringent standards that would require covered vehicle</w:t>
      </w:r>
      <w:r w:rsidR="007D686A" w:rsidRPr="0037058C">
        <w:rPr>
          <w:spacing w:val="6"/>
        </w:rPr>
        <w:t>s to have essentially zero fuel-</w:t>
      </w:r>
      <w:r w:rsidR="00C72A69" w:rsidRPr="0037058C">
        <w:rPr>
          <w:spacing w:val="6"/>
        </w:rPr>
        <w:t xml:space="preserve">vapor emissions in use. These include more stringent evaporative emissions standards, new test procedures, and a new fuel/evaporative </w:t>
      </w:r>
      <w:r w:rsidR="00DE3F6C" w:rsidRPr="0037058C">
        <w:rPr>
          <w:spacing w:val="6"/>
        </w:rPr>
        <w:t xml:space="preserve">system leak emission standard. </w:t>
      </w:r>
      <w:r w:rsidR="0021109B">
        <w:rPr>
          <w:spacing w:val="6"/>
        </w:rPr>
        <w:t xml:space="preserve"> </w:t>
      </w:r>
      <w:r w:rsidR="00C72A69" w:rsidRPr="0037058C">
        <w:rPr>
          <w:spacing w:val="6"/>
        </w:rPr>
        <w:t xml:space="preserve">EPA is proposing phase-in flexibilities as well as credit and allowance programs.  The </w:t>
      </w:r>
      <w:r w:rsidR="003D3E47">
        <w:rPr>
          <w:spacing w:val="6"/>
        </w:rPr>
        <w:t>final</w:t>
      </w:r>
      <w:r w:rsidR="00C72A69" w:rsidRPr="0037058C">
        <w:rPr>
          <w:spacing w:val="6"/>
        </w:rPr>
        <w:t xml:space="preserve"> standards harmonized with California’s “zero </w:t>
      </w:r>
      <w:proofErr w:type="spellStart"/>
      <w:r w:rsidR="00C72A69" w:rsidRPr="0037058C">
        <w:rPr>
          <w:spacing w:val="6"/>
        </w:rPr>
        <w:t>evap</w:t>
      </w:r>
      <w:proofErr w:type="spellEnd"/>
      <w:r w:rsidR="00C72A69" w:rsidRPr="0037058C">
        <w:rPr>
          <w:spacing w:val="6"/>
        </w:rPr>
        <w:t xml:space="preserve">” standards. </w:t>
      </w:r>
      <w:r w:rsidR="0021109B">
        <w:rPr>
          <w:spacing w:val="6"/>
        </w:rPr>
        <w:t xml:space="preserve"> </w:t>
      </w:r>
      <w:r w:rsidR="00C72A69" w:rsidRPr="0037058C">
        <w:rPr>
          <w:spacing w:val="6"/>
        </w:rPr>
        <w:t xml:space="preserve">Evaporative emission regulations would phase-in over a six model year period. </w:t>
      </w:r>
      <w:r w:rsidR="0021109B">
        <w:rPr>
          <w:spacing w:val="6"/>
        </w:rPr>
        <w:t xml:space="preserve"> </w:t>
      </w:r>
      <w:r w:rsidR="00C72A69" w:rsidRPr="0037058C">
        <w:rPr>
          <w:spacing w:val="6"/>
        </w:rPr>
        <w:t xml:space="preserve">Manufacturers would be able to generate allowances through early certifications (basically before the 2017 model year) and to demonstrate compliance using averaging.  </w:t>
      </w:r>
    </w:p>
    <w:p w14:paraId="413D6BB5" w14:textId="77777777" w:rsidR="007F04E2" w:rsidRPr="0037058C" w:rsidRDefault="007F04E2" w:rsidP="00C72A69">
      <w:pPr>
        <w:pStyle w:val="Style6"/>
        <w:jc w:val="left"/>
        <w:rPr>
          <w:spacing w:val="6"/>
        </w:rPr>
      </w:pPr>
    </w:p>
    <w:p w14:paraId="6C59CFAD" w14:textId="41C01E67" w:rsidR="002B7951" w:rsidRPr="0037058C" w:rsidRDefault="00BC66A2" w:rsidP="00C72A69">
      <w:pPr>
        <w:pStyle w:val="Style6"/>
        <w:jc w:val="left"/>
        <w:rPr>
          <w:spacing w:val="6"/>
        </w:rPr>
      </w:pPr>
      <w:r w:rsidRPr="0037058C">
        <w:rPr>
          <w:spacing w:val="6"/>
        </w:rPr>
        <w:tab/>
        <w:t xml:space="preserve">The </w:t>
      </w:r>
      <w:r w:rsidR="003D3E47">
        <w:rPr>
          <w:spacing w:val="6"/>
        </w:rPr>
        <w:t>final</w:t>
      </w:r>
      <w:r w:rsidRPr="0037058C">
        <w:rPr>
          <w:spacing w:val="6"/>
        </w:rPr>
        <w:t xml:space="preserve"> new testing requirement is referred to as the bleed emission test. </w:t>
      </w:r>
      <w:r w:rsidR="00AE0A6A">
        <w:rPr>
          <w:spacing w:val="6"/>
        </w:rPr>
        <w:t xml:space="preserve"> </w:t>
      </w:r>
      <w:r w:rsidRPr="0037058C">
        <w:rPr>
          <w:spacing w:val="6"/>
        </w:rPr>
        <w:t xml:space="preserve">Manufacturers would be required to measure diurnal emissions over the 2-day diurnal test procedure from just the fuel tank and the evaporative emission canister to help ensure vehicles maintain zero fuel vapor emissions over their full useful life beginning in MY 2018.  </w:t>
      </w:r>
      <w:r w:rsidR="00C6262E" w:rsidRPr="0037058C">
        <w:rPr>
          <w:spacing w:val="6"/>
        </w:rPr>
        <w:t xml:space="preserve">As a practical matter, the leak emission standard would apply during </w:t>
      </w:r>
      <w:r w:rsidRPr="0037058C">
        <w:rPr>
          <w:spacing w:val="6"/>
        </w:rPr>
        <w:t>In-Use Verification Program (</w:t>
      </w:r>
      <w:proofErr w:type="spellStart"/>
      <w:r w:rsidRPr="0037058C">
        <w:rPr>
          <w:spacing w:val="6"/>
        </w:rPr>
        <w:t>IUVP</w:t>
      </w:r>
      <w:proofErr w:type="spellEnd"/>
      <w:r w:rsidRPr="0037058C">
        <w:rPr>
          <w:spacing w:val="6"/>
        </w:rPr>
        <w:t xml:space="preserve">) testing.  To streamline the </w:t>
      </w:r>
      <w:proofErr w:type="spellStart"/>
      <w:r w:rsidRPr="0037058C">
        <w:rPr>
          <w:spacing w:val="6"/>
        </w:rPr>
        <w:t>IUVP</w:t>
      </w:r>
      <w:proofErr w:type="spellEnd"/>
      <w:r w:rsidRPr="0037058C">
        <w:rPr>
          <w:spacing w:val="6"/>
        </w:rPr>
        <w:t xml:space="preserve"> testing, the manufacturers could use either the EPA leak emission certification test procedure or the </w:t>
      </w:r>
      <w:r w:rsidR="003D3E47">
        <w:rPr>
          <w:spacing w:val="6"/>
        </w:rPr>
        <w:t>final</w:t>
      </w:r>
      <w:r w:rsidRPr="0037058C">
        <w:rPr>
          <w:spacing w:val="6"/>
        </w:rPr>
        <w:t xml:space="preserve"> 0.020 inch OBD evaporative system leak detection and monitoring system.</w:t>
      </w:r>
      <w:r w:rsidR="002B7951" w:rsidRPr="0037058C">
        <w:rPr>
          <w:spacing w:val="6"/>
        </w:rPr>
        <w:t xml:space="preserve"> </w:t>
      </w:r>
    </w:p>
    <w:p w14:paraId="4C810048" w14:textId="77777777" w:rsidR="00C6262E" w:rsidRPr="0037058C" w:rsidRDefault="00C6262E" w:rsidP="00C72A69">
      <w:pPr>
        <w:pStyle w:val="Style6"/>
        <w:jc w:val="left"/>
        <w:rPr>
          <w:spacing w:val="6"/>
        </w:rPr>
      </w:pPr>
    </w:p>
    <w:p w14:paraId="0BF49B4F" w14:textId="025B3EB3" w:rsidR="00C6262E" w:rsidRPr="0037058C" w:rsidRDefault="007A697C" w:rsidP="007A697C">
      <w:pPr>
        <w:pStyle w:val="Style6"/>
        <w:jc w:val="left"/>
        <w:rPr>
          <w:spacing w:val="6"/>
        </w:rPr>
      </w:pPr>
      <w:r>
        <w:rPr>
          <w:spacing w:val="6"/>
        </w:rPr>
        <w:tab/>
      </w:r>
      <w:r w:rsidR="00C6262E" w:rsidRPr="0037058C">
        <w:rPr>
          <w:spacing w:val="6"/>
        </w:rPr>
        <w:t xml:space="preserve">There are a number of alternative phase-in provisions (alternative phase-in of the  FTP </w:t>
      </w:r>
      <w:proofErr w:type="spellStart"/>
      <w:r w:rsidR="00C6262E" w:rsidRPr="0037058C">
        <w:rPr>
          <w:spacing w:val="6"/>
        </w:rPr>
        <w:t>NMOG+NO</w:t>
      </w:r>
      <w:r w:rsidR="004A1D10" w:rsidRPr="0037058C">
        <w:rPr>
          <w:spacing w:val="6"/>
        </w:rPr>
        <w:t>x</w:t>
      </w:r>
      <w:proofErr w:type="spellEnd"/>
      <w:r w:rsidR="00C6262E" w:rsidRPr="0037058C">
        <w:rPr>
          <w:spacing w:val="6"/>
        </w:rPr>
        <w:t xml:space="preserve"> standard,</w:t>
      </w:r>
      <w:r w:rsidR="00C6262E" w:rsidRPr="0037058C">
        <w:t xml:space="preserve"> </w:t>
      </w:r>
      <w:r w:rsidR="00C6262E" w:rsidRPr="0037058C">
        <w:rPr>
          <w:spacing w:val="6"/>
        </w:rPr>
        <w:t>percent-of-sales phase-in</w:t>
      </w:r>
      <w:r w:rsidR="00FD4BB2" w:rsidRPr="0037058C">
        <w:rPr>
          <w:spacing w:val="6"/>
        </w:rPr>
        <w:t xml:space="preserve"> for the PM standard;</w:t>
      </w:r>
      <w:r w:rsidR="00FD4BB2" w:rsidRPr="0037058C">
        <w:t xml:space="preserve"> </w:t>
      </w:r>
      <w:r w:rsidR="00FD4BB2" w:rsidRPr="0037058C">
        <w:rPr>
          <w:spacing w:val="6"/>
        </w:rPr>
        <w:t>alternative phase-in of the FTP PM standard that would be available for vehicles above 6</w:t>
      </w:r>
      <w:r w:rsidR="0021109B">
        <w:rPr>
          <w:spacing w:val="6"/>
        </w:rPr>
        <w:t>,</w:t>
      </w:r>
      <w:r w:rsidR="00FD4BB2" w:rsidRPr="0037058C">
        <w:rPr>
          <w:spacing w:val="6"/>
        </w:rPr>
        <w:t xml:space="preserve">000 lbs GVWR, alternative phase-in of the SFTP </w:t>
      </w:r>
      <w:proofErr w:type="spellStart"/>
      <w:r w:rsidR="00FD4BB2" w:rsidRPr="0037058C">
        <w:rPr>
          <w:spacing w:val="6"/>
        </w:rPr>
        <w:t>NMOG+NO</w:t>
      </w:r>
      <w:r w:rsidR="004A1D10" w:rsidRPr="0037058C">
        <w:rPr>
          <w:spacing w:val="6"/>
        </w:rPr>
        <w:t>x</w:t>
      </w:r>
      <w:proofErr w:type="spellEnd"/>
      <w:r w:rsidR="00FD4BB2" w:rsidRPr="0037058C">
        <w:rPr>
          <w:spacing w:val="6"/>
        </w:rPr>
        <w:t xml:space="preserve"> standard that would be available for vehicles above 6</w:t>
      </w:r>
      <w:r w:rsidR="0021109B">
        <w:rPr>
          <w:spacing w:val="6"/>
        </w:rPr>
        <w:t>,</w:t>
      </w:r>
      <w:r w:rsidR="00FD4BB2" w:rsidRPr="0037058C">
        <w:rPr>
          <w:spacing w:val="6"/>
        </w:rPr>
        <w:t>000 lbs GVWR, etc.)</w:t>
      </w:r>
      <w:r w:rsidR="00C6262E" w:rsidRPr="0037058C">
        <w:rPr>
          <w:spacing w:val="6"/>
        </w:rPr>
        <w:t xml:space="preserve">, </w:t>
      </w:r>
      <w:r w:rsidR="003426E8" w:rsidRPr="0037058C">
        <w:rPr>
          <w:spacing w:val="6"/>
        </w:rPr>
        <w:t xml:space="preserve">special </w:t>
      </w:r>
      <w:r w:rsidR="00C6262E" w:rsidRPr="0037058C">
        <w:rPr>
          <w:spacing w:val="6"/>
        </w:rPr>
        <w:t>credit provisions (</w:t>
      </w:r>
      <w:proofErr w:type="spellStart"/>
      <w:r w:rsidR="00C6262E" w:rsidRPr="0037058C">
        <w:rPr>
          <w:spacing w:val="6"/>
        </w:rPr>
        <w:t>DOR</w:t>
      </w:r>
      <w:proofErr w:type="spellEnd"/>
      <w:r w:rsidR="00BE1370">
        <w:rPr>
          <w:spacing w:val="6"/>
        </w:rPr>
        <w:t xml:space="preserve">– </w:t>
      </w:r>
      <w:r w:rsidR="00BE1370">
        <w:rPr>
          <w:spacing w:val="6"/>
        </w:rPr>
        <w:lastRenderedPageBreak/>
        <w:t>Direct Ozone Reduction–</w:t>
      </w:r>
      <w:r w:rsidR="00C6262E" w:rsidRPr="0037058C">
        <w:rPr>
          <w:spacing w:val="6"/>
        </w:rPr>
        <w:t xml:space="preserve">credit, credit for extension of the </w:t>
      </w:r>
      <w:r w:rsidR="00AE0A6A">
        <w:rPr>
          <w:spacing w:val="6"/>
        </w:rPr>
        <w:t xml:space="preserve">emission </w:t>
      </w:r>
      <w:r w:rsidR="00C6262E" w:rsidRPr="0037058C">
        <w:rPr>
          <w:spacing w:val="6"/>
        </w:rPr>
        <w:t>control system warrant</w:t>
      </w:r>
      <w:r w:rsidR="00B739A0">
        <w:rPr>
          <w:spacing w:val="6"/>
        </w:rPr>
        <w:t>y</w:t>
      </w:r>
      <w:r w:rsidR="00C6262E" w:rsidRPr="0037058C">
        <w:rPr>
          <w:spacing w:val="6"/>
        </w:rPr>
        <w:t xml:space="preserve">), and regulatory fixes (updating the fuel economy label, for example) that do not alter the cost estimates generated for the major elements identified above but which add to the estimate for the startup costs and labor for understanding and implementing the new program for manufacturers. </w:t>
      </w:r>
    </w:p>
    <w:p w14:paraId="41F6CE50" w14:textId="77777777" w:rsidR="00C6262E" w:rsidRDefault="00C6262E" w:rsidP="00C72A69">
      <w:pPr>
        <w:pStyle w:val="Style6"/>
        <w:jc w:val="left"/>
        <w:rPr>
          <w:spacing w:val="6"/>
        </w:rPr>
      </w:pPr>
    </w:p>
    <w:p w14:paraId="345597C6" w14:textId="57F736AE" w:rsidR="00441938" w:rsidRDefault="00441938" w:rsidP="00D4628A">
      <w:pPr>
        <w:ind w:firstLine="720"/>
      </w:pPr>
      <w:r>
        <w:t>Lastly, as a result of the change in certification test fuel from 9</w:t>
      </w:r>
      <w:r w:rsidR="0021109B">
        <w:t xml:space="preserve"> </w:t>
      </w:r>
      <w:r>
        <w:t>RVP</w:t>
      </w:r>
      <w:r w:rsidR="0021109B">
        <w:t xml:space="preserve"> </w:t>
      </w:r>
      <w:r>
        <w:t>E0 to 9</w:t>
      </w:r>
      <w:r w:rsidR="0021109B">
        <w:t xml:space="preserve"> </w:t>
      </w:r>
      <w:r>
        <w:t>RVP</w:t>
      </w:r>
      <w:r w:rsidR="0021109B">
        <w:t xml:space="preserve"> </w:t>
      </w:r>
      <w:r>
        <w:t>E10</w:t>
      </w:r>
      <w:r w:rsidR="0021109B">
        <w:t>,</w:t>
      </w:r>
      <w:r>
        <w:t xml:space="preserve"> EPA must assess the need to make test procedure adjustments related to fuel economy testing such that the change in test fuel quality does not impact the stringency of the CAFE standards.  EPA recognized that this action was needed in the </w:t>
      </w:r>
      <w:proofErr w:type="spellStart"/>
      <w:r>
        <w:t>NPRM</w:t>
      </w:r>
      <w:proofErr w:type="spellEnd"/>
      <w:r>
        <w:t xml:space="preserve">, but deferred proposing a specific adjustment or set of adjustments because the data needed to determine the value(s) for the adjustments was not available. </w:t>
      </w:r>
      <w:r w:rsidR="0021109B">
        <w:t xml:space="preserve"> </w:t>
      </w:r>
      <w:r>
        <w:t xml:space="preserve">Historically, manufacturers have used criteria pollutant emission information from the exhaust emission testing for certification as part of the data needed to determine fuel economy values. </w:t>
      </w:r>
      <w:r w:rsidR="0021109B">
        <w:t xml:space="preserve"> </w:t>
      </w:r>
      <w:r>
        <w:t>The final rule sets a process in motion for EPA to gather the information need</w:t>
      </w:r>
      <w:r w:rsidR="005C6E22">
        <w:t>ed</w:t>
      </w:r>
      <w:r>
        <w:t xml:space="preserve"> to develop any test procedure adjustments.  While the basic data will </w:t>
      </w:r>
      <w:r w:rsidR="005C6E22">
        <w:t>likely be available in late 2016 or early 2017</w:t>
      </w:r>
      <w:r>
        <w:t xml:space="preserve">, any rule to enact potential test procedure adjustments will take additional time. </w:t>
      </w:r>
      <w:r w:rsidR="0021109B">
        <w:t xml:space="preserve"> </w:t>
      </w:r>
      <w:r>
        <w:t xml:space="preserve">During this interim period, any LEV III or early Tier 3 vehicles using E10 test fuel for exhaust emission certifications will have to be tested for fuel economy values on E0. </w:t>
      </w:r>
      <w:r w:rsidR="0021109B">
        <w:t xml:space="preserve"> </w:t>
      </w:r>
      <w:r>
        <w:t xml:space="preserve">EPA has studied the expected phase-in rates for these vehicles in LEV III and estimates that for the 2015-2017 model years there will an average </w:t>
      </w:r>
      <w:r w:rsidR="005C6E22">
        <w:t xml:space="preserve">of </w:t>
      </w:r>
      <w:r>
        <w:t xml:space="preserve">about 35 additional tests per year for the industry with an hour burden of about 30 hours </w:t>
      </w:r>
      <w:r w:rsidR="005C6E22">
        <w:t>per test.  Thus, over the three-</w:t>
      </w:r>
      <w:r>
        <w:t>year period the added hour burden is 1</w:t>
      </w:r>
      <w:r w:rsidR="005C6E22">
        <w:t>,</w:t>
      </w:r>
      <w:r>
        <w:t>050 hours and the sum of the cost of testing and the hour burden is $402,150.</w:t>
      </w:r>
    </w:p>
    <w:p w14:paraId="52AC500F" w14:textId="77777777" w:rsidR="00441938" w:rsidRPr="0037058C" w:rsidRDefault="00441938" w:rsidP="00C72A69">
      <w:pPr>
        <w:pStyle w:val="Style6"/>
        <w:jc w:val="left"/>
        <w:rPr>
          <w:spacing w:val="6"/>
        </w:rPr>
      </w:pPr>
    </w:p>
    <w:p w14:paraId="37883414" w14:textId="77777777" w:rsidR="00C72A69" w:rsidRPr="0037058C" w:rsidRDefault="002B7951" w:rsidP="00C72A69">
      <w:pPr>
        <w:pStyle w:val="Style6"/>
        <w:jc w:val="left"/>
        <w:rPr>
          <w:u w:val="single"/>
        </w:rPr>
      </w:pPr>
      <w:r w:rsidRPr="0037058C">
        <w:rPr>
          <w:spacing w:val="6"/>
        </w:rPr>
        <w:tab/>
      </w:r>
    </w:p>
    <w:p w14:paraId="7F42BAEE" w14:textId="77777777" w:rsidR="004C72D6" w:rsidRPr="0037058C" w:rsidRDefault="004C72D6" w:rsidP="004C72D6">
      <w:pPr>
        <w:pStyle w:val="Style6"/>
        <w:jc w:val="left"/>
        <w:outlineLvl w:val="0"/>
      </w:pPr>
      <w:r w:rsidRPr="0037058C">
        <w:rPr>
          <w:u w:val="single"/>
        </w:rPr>
        <w:t>Section 2: Need For And Use of the Collection</w:t>
      </w:r>
      <w:r w:rsidRPr="0037058C">
        <w:t xml:space="preserve"> </w:t>
      </w:r>
    </w:p>
    <w:p w14:paraId="3E0A2A3B" w14:textId="77777777" w:rsidR="004C72D6" w:rsidRPr="0037058C" w:rsidRDefault="004C72D6" w:rsidP="004C72D6">
      <w:pPr>
        <w:pStyle w:val="Style6"/>
        <w:jc w:val="left"/>
        <w:outlineLvl w:val="0"/>
      </w:pPr>
    </w:p>
    <w:p w14:paraId="2702F752" w14:textId="77777777" w:rsidR="004C72D6" w:rsidRPr="0037058C" w:rsidRDefault="004C72D6" w:rsidP="004C72D6">
      <w:pPr>
        <w:pStyle w:val="Style6"/>
        <w:jc w:val="left"/>
        <w:outlineLvl w:val="0"/>
        <w:rPr>
          <w:spacing w:val="6"/>
          <w:u w:val="single"/>
        </w:rPr>
      </w:pPr>
      <w:r w:rsidRPr="0037058C">
        <w:rPr>
          <w:spacing w:val="6"/>
        </w:rPr>
        <w:t xml:space="preserve">2(a) </w:t>
      </w:r>
      <w:r w:rsidRPr="0037058C">
        <w:rPr>
          <w:spacing w:val="6"/>
          <w:u w:val="single"/>
        </w:rPr>
        <w:t>Need/Authority For The Collection</w:t>
      </w:r>
    </w:p>
    <w:p w14:paraId="37D6CF1E" w14:textId="77777777" w:rsidR="004C72D6" w:rsidRPr="0037058C" w:rsidRDefault="004C72D6" w:rsidP="004C72D6">
      <w:pPr>
        <w:pStyle w:val="Style6"/>
        <w:jc w:val="left"/>
        <w:outlineLvl w:val="0"/>
        <w:rPr>
          <w:spacing w:val="6"/>
          <w:u w:val="single"/>
        </w:rPr>
      </w:pPr>
    </w:p>
    <w:p w14:paraId="46D492EE" w14:textId="5EB0FF1C" w:rsidR="00470F73" w:rsidRPr="0037058C" w:rsidRDefault="004C72D6" w:rsidP="00470F73">
      <w:r w:rsidRPr="0037058C">
        <w:rPr>
          <w:spacing w:val="6"/>
        </w:rPr>
        <w:tab/>
      </w:r>
      <w:r w:rsidR="00470F73" w:rsidRPr="0037058C">
        <w:t xml:space="preserve">Section 202(a) of the Clean Air Act provides EPA with general authority to prescribe vehicle standards, subject to any specific limitations elsewhere in the Act.  EPA is also setting standards for larger light-duty trucks and </w:t>
      </w:r>
      <w:proofErr w:type="spellStart"/>
      <w:r w:rsidR="00470F73" w:rsidRPr="0037058C">
        <w:t>MDPVs</w:t>
      </w:r>
      <w:proofErr w:type="spellEnd"/>
      <w:r w:rsidR="00470F73" w:rsidRPr="0037058C">
        <w:t xml:space="preserve"> under the general authority of section 202(a)(1) and under section 202(a)(3), which requires that standards applicable to emissions of hydrocarbons, NO</w:t>
      </w:r>
      <w:r w:rsidR="00470F73" w:rsidRPr="0037058C">
        <w:rPr>
          <w:vertAlign w:val="subscript"/>
        </w:rPr>
        <w:t>X</w:t>
      </w:r>
      <w:r w:rsidR="00470F73" w:rsidRPr="0037058C">
        <w:t xml:space="preserve">, CO and PM from heavy-duty vehicles reflect the greatest degree of emission reduction available for the model year to which such standards apply, giving appropriate consideration to cost, energy, and safety. </w:t>
      </w:r>
      <w:r w:rsidR="007A697C">
        <w:t xml:space="preserve"> </w:t>
      </w:r>
      <w:r w:rsidR="00470F73" w:rsidRPr="0037058C">
        <w:t xml:space="preserve">In addition, section </w:t>
      </w:r>
      <w:r w:rsidR="00470F73" w:rsidRPr="0037058C">
        <w:rPr>
          <w:bCs/>
        </w:rPr>
        <w:t>202(k)</w:t>
      </w:r>
      <w:r w:rsidR="00470F73" w:rsidRPr="0037058C">
        <w:rPr>
          <w:b/>
          <w:bCs/>
        </w:rPr>
        <w:t xml:space="preserve"> </w:t>
      </w:r>
      <w:r w:rsidR="00470F73" w:rsidRPr="0037058C">
        <w:rPr>
          <w:bCs/>
        </w:rPr>
        <w:t>provides EPA with authority to issue and revise</w:t>
      </w:r>
      <w:r w:rsidR="00470F73" w:rsidRPr="0037058C">
        <w:t xml:space="preserve"> regulations applicable to evaporative emissions of hydrocarbons from all gasoline-fueled motor vehicles during: (1) operation, and (2) over 2 or more days of nonuse; under ozone-prone summertime conditions. </w:t>
      </w:r>
      <w:r w:rsidR="007A697C">
        <w:t xml:space="preserve"> </w:t>
      </w:r>
      <w:r w:rsidR="00470F73" w:rsidRPr="0037058C">
        <w:t xml:space="preserve">Regulations under section 202(k) shall take effect as expeditiously as possible and shall require the greatest degree of emission reduction achievable </w:t>
      </w:r>
      <w:r w:rsidR="00470F73" w:rsidRPr="0037058C">
        <w:rPr>
          <w:bCs/>
        </w:rPr>
        <w:t>by</w:t>
      </w:r>
      <w:r w:rsidR="00470F73" w:rsidRPr="0037058C">
        <w:rPr>
          <w:b/>
          <w:bCs/>
        </w:rPr>
        <w:t xml:space="preserve"> </w:t>
      </w:r>
      <w:r w:rsidR="00470F73" w:rsidRPr="0037058C">
        <w:t xml:space="preserve">means reasonably expected to be available for production during any model year to which the regulations apply, giving appropriate consideration to fuel volatility, and to cost, energy, and safety factors associated with the application of the appropriate technology.  Further, section 206 and in particular section 206(d) of the Clean Air Act authorizes EPA to establish methods and procedures for testing whether a motor vehicle or motor vehicle engine conforms with section 202 </w:t>
      </w:r>
      <w:r w:rsidR="00470F73" w:rsidRPr="0037058C">
        <w:lastRenderedPageBreak/>
        <w:t>requirements.</w:t>
      </w:r>
    </w:p>
    <w:p w14:paraId="641596EA" w14:textId="77777777" w:rsidR="002F7B90" w:rsidRPr="0037058C" w:rsidRDefault="002F7B90" w:rsidP="004C72D6">
      <w:pPr>
        <w:pStyle w:val="Style6"/>
        <w:jc w:val="left"/>
        <w:rPr>
          <w:spacing w:val="6"/>
        </w:rPr>
      </w:pPr>
    </w:p>
    <w:p w14:paraId="2B4B82C6" w14:textId="4059B4C0" w:rsidR="004C72D6" w:rsidRPr="0037058C" w:rsidRDefault="002F7B90" w:rsidP="004C72D6">
      <w:pPr>
        <w:pStyle w:val="Style6"/>
        <w:jc w:val="left"/>
        <w:rPr>
          <w:spacing w:val="6"/>
        </w:rPr>
      </w:pPr>
      <w:r w:rsidRPr="0037058C">
        <w:rPr>
          <w:spacing w:val="6"/>
        </w:rPr>
        <w:tab/>
      </w:r>
      <w:r w:rsidR="004C72D6" w:rsidRPr="0037058C">
        <w:rPr>
          <w:spacing w:val="6"/>
        </w:rPr>
        <w:t xml:space="preserve">A manufacturer must have a certificate before vehicles may be legally introduced into commerce.  To insure compliance with the Act, EPA reviews product information and manufacturer test results; EPA also tests some vehicles to confirm manufacturer results.  Other elements of the legal and regulatory background relating to the need and authority for the </w:t>
      </w:r>
      <w:r w:rsidR="00B07B21" w:rsidRPr="0037058C">
        <w:rPr>
          <w:spacing w:val="6"/>
        </w:rPr>
        <w:t>rule</w:t>
      </w:r>
      <w:r w:rsidR="004C72D6" w:rsidRPr="0037058C">
        <w:rPr>
          <w:spacing w:val="6"/>
        </w:rPr>
        <w:t xml:space="preserve"> are discussed in the preamble to the </w:t>
      </w:r>
      <w:r w:rsidR="003D3E47">
        <w:rPr>
          <w:spacing w:val="6"/>
        </w:rPr>
        <w:t>final</w:t>
      </w:r>
      <w:r w:rsidR="00470F73" w:rsidRPr="0037058C">
        <w:rPr>
          <w:spacing w:val="6"/>
        </w:rPr>
        <w:t xml:space="preserve"> </w:t>
      </w:r>
      <w:r w:rsidR="004C72D6" w:rsidRPr="0037058C">
        <w:rPr>
          <w:spacing w:val="6"/>
        </w:rPr>
        <w:t xml:space="preserve">rule. </w:t>
      </w:r>
    </w:p>
    <w:p w14:paraId="0AE4B1C3" w14:textId="77777777" w:rsidR="004C72D6" w:rsidRPr="0037058C" w:rsidRDefault="004C72D6" w:rsidP="004C72D6">
      <w:pPr>
        <w:pStyle w:val="Style6"/>
        <w:jc w:val="left"/>
        <w:rPr>
          <w:spacing w:val="6"/>
        </w:rPr>
      </w:pPr>
    </w:p>
    <w:p w14:paraId="0284326D" w14:textId="77777777" w:rsidR="004C72D6" w:rsidRPr="0037058C" w:rsidRDefault="004C72D6" w:rsidP="004C72D6">
      <w:pPr>
        <w:pStyle w:val="Style6"/>
        <w:jc w:val="left"/>
        <w:rPr>
          <w:spacing w:val="6"/>
        </w:rPr>
      </w:pPr>
      <w:r w:rsidRPr="0037058C">
        <w:rPr>
          <w:spacing w:val="6"/>
        </w:rPr>
        <w:tab/>
        <w:t xml:space="preserve">The regulations dealing with LDV and LDT emission control can be found in 40 CFR Parts 85 and 86. The regulations are not attached to this statement due to their length and technical nature. </w:t>
      </w:r>
    </w:p>
    <w:p w14:paraId="248F35FF" w14:textId="77777777" w:rsidR="00C55924" w:rsidRPr="0037058C" w:rsidRDefault="00C55924" w:rsidP="004C72D6">
      <w:pPr>
        <w:pStyle w:val="Style6"/>
        <w:jc w:val="left"/>
        <w:rPr>
          <w:spacing w:val="6"/>
        </w:rPr>
      </w:pPr>
    </w:p>
    <w:p w14:paraId="25174C89" w14:textId="77777777" w:rsidR="00C55924" w:rsidRPr="0037058C" w:rsidRDefault="00C55924" w:rsidP="00C55924">
      <w:pPr>
        <w:pStyle w:val="Style6"/>
        <w:jc w:val="left"/>
        <w:rPr>
          <w:spacing w:val="6"/>
        </w:rPr>
      </w:pPr>
      <w:r w:rsidRPr="0037058C">
        <w:rPr>
          <w:spacing w:val="6"/>
        </w:rPr>
        <w:tab/>
        <w:t>Because of its specialized nature and the fact that product plans and emission performance information must be submitted to EPA prior to the start of production, this information is not available from any source other than the manufacturer.</w:t>
      </w:r>
    </w:p>
    <w:p w14:paraId="09DFE689" w14:textId="77777777" w:rsidR="00C55924" w:rsidRPr="0037058C" w:rsidRDefault="00C55924" w:rsidP="004C72D6">
      <w:pPr>
        <w:pStyle w:val="Style6"/>
        <w:jc w:val="left"/>
        <w:rPr>
          <w:spacing w:val="6"/>
        </w:rPr>
      </w:pPr>
    </w:p>
    <w:p w14:paraId="6D9BC32C" w14:textId="77777777" w:rsidR="004C72D6" w:rsidRPr="0037058C" w:rsidRDefault="004C72D6" w:rsidP="004C72D6">
      <w:pPr>
        <w:pStyle w:val="Style6"/>
        <w:jc w:val="left"/>
        <w:rPr>
          <w:u w:val="single"/>
        </w:rPr>
      </w:pPr>
      <w:r w:rsidRPr="0037058C">
        <w:t xml:space="preserve">2(b) </w:t>
      </w:r>
      <w:r w:rsidRPr="0037058C">
        <w:rPr>
          <w:u w:val="single"/>
        </w:rPr>
        <w:t>Practical Utility/Users of the Data</w:t>
      </w:r>
    </w:p>
    <w:p w14:paraId="0B9B720A" w14:textId="77777777" w:rsidR="004C72D6" w:rsidRPr="0037058C" w:rsidRDefault="004C72D6" w:rsidP="004C72D6">
      <w:pPr>
        <w:pStyle w:val="Style6"/>
        <w:jc w:val="left"/>
      </w:pPr>
    </w:p>
    <w:p w14:paraId="65729145" w14:textId="77777777" w:rsidR="004C72D6" w:rsidRPr="0037058C" w:rsidRDefault="004C72D6" w:rsidP="004C72D6">
      <w:pPr>
        <w:pStyle w:val="Style6"/>
        <w:jc w:val="left"/>
        <w:rPr>
          <w:spacing w:val="6"/>
        </w:rPr>
      </w:pPr>
      <w:r w:rsidRPr="0037058C">
        <w:rPr>
          <w:spacing w:val="6"/>
        </w:rPr>
        <w:tab/>
        <w:t xml:space="preserve">The information collection under the rule will be used to determine whether the new </w:t>
      </w:r>
      <w:r w:rsidR="005951FB" w:rsidRPr="0037058C">
        <w:rPr>
          <w:spacing w:val="6"/>
        </w:rPr>
        <w:t xml:space="preserve">Tier 3 </w:t>
      </w:r>
      <w:r w:rsidRPr="0037058C">
        <w:rPr>
          <w:spacing w:val="6"/>
        </w:rPr>
        <w:t xml:space="preserve">requirements have been complied with by means of the certification and in-use testing programs. </w:t>
      </w:r>
    </w:p>
    <w:p w14:paraId="773BE146" w14:textId="77777777" w:rsidR="004C72D6" w:rsidRDefault="004C72D6" w:rsidP="004C72D6">
      <w:pPr>
        <w:ind w:right="72"/>
        <w:rPr>
          <w:spacing w:val="6"/>
        </w:rPr>
      </w:pPr>
    </w:p>
    <w:p w14:paraId="4F3E3922" w14:textId="77777777" w:rsidR="001C6A02" w:rsidRPr="0037058C" w:rsidRDefault="001C6A02" w:rsidP="004C72D6">
      <w:pPr>
        <w:ind w:right="72"/>
        <w:rPr>
          <w:spacing w:val="6"/>
        </w:rPr>
      </w:pPr>
    </w:p>
    <w:p w14:paraId="2122AD30" w14:textId="77777777" w:rsidR="004C72D6" w:rsidRPr="0037058C" w:rsidRDefault="004C72D6" w:rsidP="004C72D6">
      <w:pPr>
        <w:ind w:right="72"/>
        <w:rPr>
          <w:spacing w:val="4"/>
        </w:rPr>
      </w:pPr>
      <w:r w:rsidRPr="0037058C">
        <w:rPr>
          <w:spacing w:val="4"/>
          <w:u w:val="single"/>
        </w:rPr>
        <w:t xml:space="preserve">Section 3: </w:t>
      </w:r>
      <w:proofErr w:type="spellStart"/>
      <w:r w:rsidRPr="0037058C">
        <w:rPr>
          <w:spacing w:val="4"/>
          <w:u w:val="single"/>
        </w:rPr>
        <w:t>Nonduplication</w:t>
      </w:r>
      <w:proofErr w:type="spellEnd"/>
      <w:r w:rsidRPr="0037058C">
        <w:rPr>
          <w:spacing w:val="4"/>
          <w:u w:val="single"/>
        </w:rPr>
        <w:t>, Consultations, and Other Collection Criteria</w:t>
      </w:r>
      <w:r w:rsidRPr="0037058C">
        <w:rPr>
          <w:spacing w:val="4"/>
        </w:rPr>
        <w:t xml:space="preserve"> </w:t>
      </w:r>
    </w:p>
    <w:p w14:paraId="4A5ACA20" w14:textId="77777777" w:rsidR="004C72D6" w:rsidRPr="0037058C" w:rsidRDefault="004C72D6" w:rsidP="004C72D6">
      <w:pPr>
        <w:ind w:right="72"/>
        <w:rPr>
          <w:spacing w:val="4"/>
        </w:rPr>
      </w:pPr>
    </w:p>
    <w:p w14:paraId="1809169A" w14:textId="77777777" w:rsidR="004C72D6" w:rsidRPr="0037058C" w:rsidRDefault="004C72D6" w:rsidP="004C72D6">
      <w:pPr>
        <w:spacing w:line="0" w:lineRule="atLeast"/>
        <w:ind w:right="2448"/>
        <w:rPr>
          <w:spacing w:val="6"/>
          <w:u w:val="single"/>
        </w:rPr>
      </w:pPr>
      <w:r w:rsidRPr="0037058C">
        <w:rPr>
          <w:spacing w:val="4"/>
        </w:rPr>
        <w:t>3</w:t>
      </w:r>
      <w:r w:rsidRPr="0037058C">
        <w:rPr>
          <w:spacing w:val="6"/>
        </w:rPr>
        <w:t xml:space="preserve">(a) </w:t>
      </w:r>
      <w:proofErr w:type="spellStart"/>
      <w:r w:rsidRPr="0037058C">
        <w:rPr>
          <w:spacing w:val="6"/>
          <w:u w:val="single"/>
        </w:rPr>
        <w:t>Nonduplication</w:t>
      </w:r>
      <w:proofErr w:type="spellEnd"/>
    </w:p>
    <w:p w14:paraId="2FB4D7C8" w14:textId="77777777" w:rsidR="008323AD" w:rsidRPr="0037058C" w:rsidRDefault="008323AD" w:rsidP="004C72D6">
      <w:pPr>
        <w:spacing w:line="0" w:lineRule="atLeast"/>
        <w:ind w:right="2448"/>
        <w:rPr>
          <w:spacing w:val="6"/>
          <w:u w:val="single"/>
        </w:rPr>
      </w:pPr>
    </w:p>
    <w:p w14:paraId="47C6D239" w14:textId="2BADFFE8" w:rsidR="008323AD" w:rsidRPr="0037058C" w:rsidRDefault="008323AD" w:rsidP="00555A91">
      <w:pPr>
        <w:spacing w:line="0" w:lineRule="atLeast"/>
        <w:rPr>
          <w:spacing w:val="6"/>
        </w:rPr>
      </w:pPr>
      <w:r w:rsidRPr="0037058C">
        <w:rPr>
          <w:spacing w:val="6"/>
        </w:rPr>
        <w:tab/>
        <w:t xml:space="preserve">These </w:t>
      </w:r>
      <w:r w:rsidR="003D3E47">
        <w:rPr>
          <w:spacing w:val="6"/>
        </w:rPr>
        <w:t>final</w:t>
      </w:r>
      <w:r w:rsidRPr="0037058C">
        <w:rPr>
          <w:spacing w:val="6"/>
        </w:rPr>
        <w:t xml:space="preserve"> vehicle standards are intended to harmonize with California’s </w:t>
      </w:r>
      <w:r w:rsidR="007A697C">
        <w:rPr>
          <w:spacing w:val="6"/>
        </w:rPr>
        <w:t>LEV III</w:t>
      </w:r>
      <w:r w:rsidRPr="0037058C">
        <w:rPr>
          <w:spacing w:val="6"/>
        </w:rPr>
        <w:t xml:space="preserve"> program, thus creating a federal vehicle emissions program that would allow automakers to sell the same vehicles in all 50 states.  The </w:t>
      </w:r>
      <w:r w:rsidR="003D3E47">
        <w:rPr>
          <w:spacing w:val="6"/>
        </w:rPr>
        <w:t>final</w:t>
      </w:r>
      <w:r w:rsidRPr="0037058C">
        <w:rPr>
          <w:spacing w:val="6"/>
        </w:rPr>
        <w:t xml:space="preserve"> vehicle standards would be implemented over the same timeframe as the greenhouse gas/fuel efficiency standards for light-duty vehicles, as part of a comprehensive approach toward regulating emissions from motor vehicles.</w:t>
      </w:r>
    </w:p>
    <w:p w14:paraId="317BA1E2" w14:textId="77777777" w:rsidR="004C72D6" w:rsidRPr="0037058C" w:rsidRDefault="004C72D6" w:rsidP="004C72D6">
      <w:pPr>
        <w:spacing w:line="0" w:lineRule="atLeast"/>
        <w:ind w:right="2448"/>
        <w:rPr>
          <w:spacing w:val="6"/>
        </w:rPr>
      </w:pPr>
    </w:p>
    <w:p w14:paraId="6EFE3862" w14:textId="0CD6241F" w:rsidR="00555A91" w:rsidRPr="0037058C" w:rsidRDefault="00555A91" w:rsidP="004C72D6">
      <w:pPr>
        <w:spacing w:line="0" w:lineRule="atLeast"/>
        <w:rPr>
          <w:spacing w:val="6"/>
        </w:rPr>
      </w:pPr>
      <w:r w:rsidRPr="0037058C">
        <w:rPr>
          <w:spacing w:val="6"/>
        </w:rPr>
        <w:tab/>
        <w:t xml:space="preserve">The Tier 3 </w:t>
      </w:r>
      <w:r w:rsidR="00227854">
        <w:rPr>
          <w:spacing w:val="6"/>
        </w:rPr>
        <w:t>final rule</w:t>
      </w:r>
      <w:r w:rsidRPr="0037058C">
        <w:rPr>
          <w:spacing w:val="6"/>
        </w:rPr>
        <w:t xml:space="preserve"> addresses interactions with the 2017 LD GHG rule in a manner that aligns implementation of the two actions, to achieve significant criteria pollutant and GHG emissions reductions while providing regulatory certainty and compliance efficiency.  As vehicle manufacturers introduce new vehicle platforms for compliance with the GHG standards, they will be able to design them for compliance with the Tier 3 standards at the same time.  The </w:t>
      </w:r>
      <w:r w:rsidR="003D3E47">
        <w:rPr>
          <w:spacing w:val="6"/>
        </w:rPr>
        <w:t>final</w:t>
      </w:r>
      <w:r w:rsidRPr="0037058C">
        <w:rPr>
          <w:spacing w:val="6"/>
        </w:rPr>
        <w:t xml:space="preserve"> Tier 3 standards are also closely coordinated with California’s LEV III program to create a vehicle emissions program that would allow automakers to sell the same vehicles in all 50 states.  We have worked closely with individual vehicle manufacturers and their trade associations, who have emphasized the importance of a harmonized national program.  </w:t>
      </w:r>
    </w:p>
    <w:p w14:paraId="29C60D46" w14:textId="77777777" w:rsidR="00555A91" w:rsidRPr="0037058C" w:rsidRDefault="003871F2" w:rsidP="004C72D6">
      <w:pPr>
        <w:spacing w:line="0" w:lineRule="atLeast"/>
        <w:rPr>
          <w:spacing w:val="6"/>
        </w:rPr>
      </w:pPr>
      <w:r w:rsidRPr="0037058C">
        <w:rPr>
          <w:spacing w:val="6"/>
        </w:rPr>
        <w:tab/>
      </w:r>
    </w:p>
    <w:p w14:paraId="2DF81212" w14:textId="77777777" w:rsidR="00C871BC" w:rsidRPr="0037058C" w:rsidRDefault="00555A91" w:rsidP="004C72D6">
      <w:pPr>
        <w:spacing w:line="0" w:lineRule="atLeast"/>
        <w:rPr>
          <w:spacing w:val="6"/>
        </w:rPr>
      </w:pPr>
      <w:r w:rsidRPr="0037058C">
        <w:rPr>
          <w:spacing w:val="6"/>
        </w:rPr>
        <w:tab/>
      </w:r>
      <w:r w:rsidR="00C871BC" w:rsidRPr="0037058C">
        <w:rPr>
          <w:spacing w:val="6"/>
        </w:rPr>
        <w:t xml:space="preserve">Auto manufacturers have stressed to us the importance of their being able to </w:t>
      </w:r>
      <w:r w:rsidR="00C871BC" w:rsidRPr="0037058C">
        <w:rPr>
          <w:spacing w:val="6"/>
        </w:rPr>
        <w:lastRenderedPageBreak/>
        <w:t xml:space="preserve">design and produce a single fleet of vehicles in all 50 states that would comply with requirements under the Tier 3 program and the LEV III program, as well as greenhouse gas/Corporate Average Fuel Economy (CAFE) requirements in the same timeframe.  Consistency among the federal and California programs means that special versions of vehicles with different emission control hardware and calibrations would not be necessary for different geographic areas.  This would allow manufacturers to avoid the additional costs of parallel design, development, calibration, and manufacturing.  In addition, because both programs include fleet-average standards, consistency among the programs means that manufacturers would not need to separately monitor the numbers of different vehicle versions that were sold in different parts of the country.  Consistency among programs would also eliminate the need to supply aftermarket parts for repair of multiple versions of a vehicle.  We believe that the most cost-effective national program will result from close coordination of CARB LEV III and federal Tier 3 program elements and their implementation.  To that end, we worked closely with CARB and with the vehicle manufacturers, both with individual companies and with their trade associations, to align the two programs in most respects.  </w:t>
      </w:r>
    </w:p>
    <w:p w14:paraId="20D9F5A3" w14:textId="77777777" w:rsidR="004C72D6" w:rsidRPr="0037058C" w:rsidRDefault="004C72D6" w:rsidP="004C72D6">
      <w:pPr>
        <w:spacing w:line="0" w:lineRule="atLeast"/>
        <w:rPr>
          <w:spacing w:val="6"/>
        </w:rPr>
      </w:pPr>
    </w:p>
    <w:p w14:paraId="64B1316C" w14:textId="77777777" w:rsidR="004C72D6" w:rsidRPr="0037058C" w:rsidRDefault="004C72D6" w:rsidP="004C72D6">
      <w:pPr>
        <w:rPr>
          <w:spacing w:val="6"/>
          <w:u w:val="single"/>
        </w:rPr>
      </w:pPr>
      <w:r w:rsidRPr="0037058C">
        <w:rPr>
          <w:spacing w:val="6"/>
        </w:rPr>
        <w:t xml:space="preserve">3(b) </w:t>
      </w:r>
      <w:r w:rsidRPr="0037058C">
        <w:rPr>
          <w:spacing w:val="6"/>
          <w:u w:val="single"/>
        </w:rPr>
        <w:t>Public Notice Prior to ICR Submission to OMB</w:t>
      </w:r>
    </w:p>
    <w:p w14:paraId="7CC1F9D0" w14:textId="77777777" w:rsidR="004C72D6" w:rsidRPr="0037058C" w:rsidRDefault="004C72D6" w:rsidP="004C72D6">
      <w:pPr>
        <w:rPr>
          <w:spacing w:val="6"/>
        </w:rPr>
      </w:pPr>
    </w:p>
    <w:p w14:paraId="38998AE3" w14:textId="77777777" w:rsidR="004C72D6" w:rsidRPr="0037058C" w:rsidRDefault="004C72D6" w:rsidP="004C72D6">
      <w:pPr>
        <w:pStyle w:val="Style6"/>
        <w:jc w:val="left"/>
      </w:pPr>
      <w:r w:rsidRPr="0037058C">
        <w:tab/>
        <w:t xml:space="preserve">EPA solicited public comment by means of </w:t>
      </w:r>
      <w:r w:rsidR="00C93956" w:rsidRPr="0037058C">
        <w:t>the</w:t>
      </w:r>
      <w:r w:rsidRPr="0037058C">
        <w:t xml:space="preserve"> Federal Register Notice </w:t>
      </w:r>
      <w:r w:rsidR="00C93956" w:rsidRPr="0037058C">
        <w:t>of the proposed rule</w:t>
      </w:r>
      <w:r w:rsidR="001A4796">
        <w:t>.</w:t>
      </w:r>
      <w:r w:rsidR="00AC207E" w:rsidRPr="0037058C">
        <w:t xml:space="preserve">  </w:t>
      </w:r>
      <w:r w:rsidRPr="0037058C">
        <w:t>Th</w:t>
      </w:r>
      <w:r w:rsidR="001A4796">
        <w:t>is</w:t>
      </w:r>
      <w:r w:rsidRPr="0037058C">
        <w:t xml:space="preserve"> ICR was placed in the docket. </w:t>
      </w:r>
      <w:r w:rsidR="003D3E47">
        <w:t xml:space="preserve">  No comments were received.</w:t>
      </w:r>
    </w:p>
    <w:p w14:paraId="7571F6B6" w14:textId="77777777" w:rsidR="004C72D6" w:rsidRPr="0037058C" w:rsidRDefault="004C72D6" w:rsidP="004C72D6">
      <w:pPr>
        <w:pStyle w:val="Style6"/>
        <w:jc w:val="left"/>
        <w:rPr>
          <w:spacing w:val="6"/>
        </w:rPr>
      </w:pPr>
    </w:p>
    <w:p w14:paraId="30129290" w14:textId="77777777" w:rsidR="004C72D6" w:rsidRPr="0037058C" w:rsidRDefault="004C72D6" w:rsidP="004C72D6">
      <w:pPr>
        <w:rPr>
          <w:spacing w:val="6"/>
          <w:u w:val="single"/>
        </w:rPr>
      </w:pPr>
      <w:r w:rsidRPr="0037058C">
        <w:rPr>
          <w:spacing w:val="6"/>
        </w:rPr>
        <w:t xml:space="preserve">3(c) </w:t>
      </w:r>
      <w:r w:rsidRPr="0037058C">
        <w:rPr>
          <w:spacing w:val="6"/>
          <w:u w:val="single"/>
        </w:rPr>
        <w:t>Consultations</w:t>
      </w:r>
    </w:p>
    <w:p w14:paraId="538D6E43" w14:textId="77777777" w:rsidR="004C72D6" w:rsidRPr="0037058C" w:rsidRDefault="004C72D6" w:rsidP="004C72D6">
      <w:pPr>
        <w:rPr>
          <w:spacing w:val="6"/>
        </w:rPr>
      </w:pPr>
    </w:p>
    <w:p w14:paraId="73CBD2E8" w14:textId="0E3473A2" w:rsidR="00D14AEF" w:rsidRPr="0037058C" w:rsidRDefault="004C72D6" w:rsidP="00D14AEF">
      <w:pPr>
        <w:pStyle w:val="Style6"/>
        <w:jc w:val="left"/>
        <w:rPr>
          <w:spacing w:val="6"/>
        </w:rPr>
      </w:pPr>
      <w:r w:rsidRPr="0037058C">
        <w:rPr>
          <w:spacing w:val="6"/>
        </w:rPr>
        <w:tab/>
        <w:t>The regulations, including the cost analysis that is reflected in this ICR, were developed based on experience with similar regulations developed in the past in close consultation with the affected industry.</w:t>
      </w:r>
      <w:r w:rsidR="00B30C0B" w:rsidRPr="0037058C">
        <w:rPr>
          <w:spacing w:val="6"/>
        </w:rPr>
        <w:t xml:space="preserve"> C</w:t>
      </w:r>
      <w:r w:rsidR="00572BF8" w:rsidRPr="0037058C">
        <w:t>ollaboration with California Air Resources Board (CARB) and with industry and other stakeholders has been a key element in developi</w:t>
      </w:r>
      <w:r w:rsidR="00CE3E2A" w:rsidRPr="0037058C">
        <w:t>ng the agencies’ rules.</w:t>
      </w:r>
      <w:r w:rsidR="00D14AEF" w:rsidRPr="0037058C">
        <w:t xml:space="preserve">  </w:t>
      </w:r>
      <w:r w:rsidR="00D14AEF" w:rsidRPr="0037058C">
        <w:rPr>
          <w:spacing w:val="6"/>
        </w:rPr>
        <w:t xml:space="preserve">Throughout the development of this </w:t>
      </w:r>
      <w:r w:rsidR="00227854">
        <w:rPr>
          <w:spacing w:val="6"/>
        </w:rPr>
        <w:t>final rule</w:t>
      </w:r>
      <w:r w:rsidR="00D14AEF" w:rsidRPr="0037058C">
        <w:rPr>
          <w:spacing w:val="6"/>
        </w:rPr>
        <w:t>, EPA met extensively with individual manufacturers, groups of manufacturers, industrial trade associations, industry professional organizations, and other stakeholders.</w:t>
      </w:r>
      <w:r w:rsidR="00CE3E2A" w:rsidRPr="0037058C">
        <w:t xml:space="preserve"> </w:t>
      </w:r>
      <w:r w:rsidR="00D14AEF" w:rsidRPr="0037058C">
        <w:rPr>
          <w:spacing w:val="6"/>
        </w:rPr>
        <w:t xml:space="preserve">Their comments have been reflected in the burden estimates discussed below. </w:t>
      </w:r>
    </w:p>
    <w:p w14:paraId="6D6714ED" w14:textId="77777777" w:rsidR="004C72D6" w:rsidRPr="0037058C" w:rsidRDefault="004C72D6" w:rsidP="00D14AEF">
      <w:pPr>
        <w:pStyle w:val="Style6"/>
        <w:rPr>
          <w:spacing w:val="6"/>
        </w:rPr>
      </w:pPr>
    </w:p>
    <w:p w14:paraId="269AB1AC" w14:textId="77777777" w:rsidR="004C72D6" w:rsidRPr="0037058C" w:rsidRDefault="004C72D6" w:rsidP="004C72D6">
      <w:pPr>
        <w:outlineLvl w:val="0"/>
        <w:rPr>
          <w:spacing w:val="6"/>
          <w:u w:val="single"/>
        </w:rPr>
      </w:pPr>
      <w:r w:rsidRPr="0037058C">
        <w:rPr>
          <w:spacing w:val="6"/>
        </w:rPr>
        <w:t xml:space="preserve">3(d) </w:t>
      </w:r>
      <w:r w:rsidRPr="0037058C">
        <w:rPr>
          <w:spacing w:val="6"/>
          <w:u w:val="single"/>
        </w:rPr>
        <w:t>Effects of Less Frequent Collection</w:t>
      </w:r>
    </w:p>
    <w:p w14:paraId="179EEAC7" w14:textId="77777777" w:rsidR="004C72D6" w:rsidRPr="0037058C" w:rsidRDefault="004C72D6" w:rsidP="004C72D6">
      <w:pPr>
        <w:outlineLvl w:val="0"/>
        <w:rPr>
          <w:spacing w:val="6"/>
          <w:u w:val="single"/>
        </w:rPr>
      </w:pPr>
    </w:p>
    <w:p w14:paraId="46A19F39" w14:textId="1A3AD15D" w:rsidR="004C72D6" w:rsidRPr="0037058C" w:rsidRDefault="004C72D6" w:rsidP="004C72D6">
      <w:pPr>
        <w:pStyle w:val="Style6"/>
        <w:jc w:val="left"/>
        <w:rPr>
          <w:spacing w:val="6"/>
        </w:rPr>
      </w:pPr>
      <w:r w:rsidRPr="0037058C">
        <w:rPr>
          <w:spacing w:val="6"/>
        </w:rPr>
        <w:tab/>
        <w:t xml:space="preserve">As required by the Clean Air Act (42 USC 7525(a)), emission and fuel economy information is submitted on a yearly basis coinciding with the manufacturer’s “model year.”  EPA allows applicants to define their own “model year”, thus granting some flexibility in this regard.  Major product changes typically occur at the start of a model year.  For these reasons, a collection frequency longer than a model year is not possible.  However, when a vehicle design is “carried over” to a subsequent model year, the amount of new information required is substantially reduced.  Some information is also to be submitted during the model year, </w:t>
      </w:r>
      <w:r w:rsidR="00D97FA8" w:rsidRPr="0037058C">
        <w:rPr>
          <w:spacing w:val="6"/>
        </w:rPr>
        <w:t>as with m</w:t>
      </w:r>
      <w:r w:rsidRPr="0037058C">
        <w:rPr>
          <w:spacing w:val="6"/>
        </w:rPr>
        <w:t xml:space="preserve">odel-level GHG testing results, analogous to model-level fuel economy results, which are necessary because certification data are collected on a test group basis which does not allow for fleet total emissions and fuel economy calculations on a model level basis. </w:t>
      </w:r>
      <w:r w:rsidR="00004060">
        <w:rPr>
          <w:spacing w:val="6"/>
        </w:rPr>
        <w:t xml:space="preserve"> </w:t>
      </w:r>
      <w:r w:rsidRPr="0037058C">
        <w:rPr>
          <w:spacing w:val="6"/>
        </w:rPr>
        <w:t xml:space="preserve">Likewise, existing </w:t>
      </w:r>
      <w:r w:rsidRPr="0037058C">
        <w:rPr>
          <w:spacing w:val="6"/>
        </w:rPr>
        <w:lastRenderedPageBreak/>
        <w:t xml:space="preserve">regulations require an end-of-year report, with final production numbers, and the new requirements would be conformed to this existing requirement as well. </w:t>
      </w:r>
      <w:r w:rsidR="00004060">
        <w:rPr>
          <w:spacing w:val="6"/>
        </w:rPr>
        <w:t xml:space="preserve"> </w:t>
      </w:r>
      <w:r w:rsidRPr="0037058C">
        <w:rPr>
          <w:spacing w:val="6"/>
        </w:rPr>
        <w:t xml:space="preserve">In-use testing is currently required at low- and high-mileage intervals after a model year vehicle has entered commerce, and the final rule's provisions bearing on in-use testing conform to the current program. </w:t>
      </w:r>
    </w:p>
    <w:p w14:paraId="416619C2" w14:textId="77777777" w:rsidR="004C72D6" w:rsidRPr="0037058C" w:rsidRDefault="004C72D6" w:rsidP="004C72D6">
      <w:pPr>
        <w:outlineLvl w:val="0"/>
        <w:rPr>
          <w:spacing w:val="6"/>
        </w:rPr>
      </w:pPr>
    </w:p>
    <w:p w14:paraId="04F70F55" w14:textId="77777777" w:rsidR="004C72D6" w:rsidRPr="0037058C" w:rsidRDefault="004C72D6" w:rsidP="004C72D6">
      <w:pPr>
        <w:spacing w:line="264" w:lineRule="atLeast"/>
        <w:rPr>
          <w:spacing w:val="6"/>
        </w:rPr>
      </w:pPr>
      <w:r w:rsidRPr="0037058C">
        <w:rPr>
          <w:spacing w:val="6"/>
        </w:rPr>
        <w:t xml:space="preserve">3(e) </w:t>
      </w:r>
      <w:r w:rsidRPr="0037058C">
        <w:rPr>
          <w:spacing w:val="6"/>
          <w:u w:val="single"/>
        </w:rPr>
        <w:t>General Guidelines</w:t>
      </w:r>
    </w:p>
    <w:p w14:paraId="1513D9EB" w14:textId="77777777" w:rsidR="004C72D6" w:rsidRPr="0037058C" w:rsidRDefault="004C72D6" w:rsidP="004C72D6">
      <w:pPr>
        <w:spacing w:line="264" w:lineRule="atLeast"/>
        <w:rPr>
          <w:spacing w:val="6"/>
        </w:rPr>
      </w:pPr>
    </w:p>
    <w:p w14:paraId="359BBC07" w14:textId="77777777" w:rsidR="004C72D6" w:rsidRPr="0037058C" w:rsidRDefault="004C72D6" w:rsidP="004C72D6">
      <w:pPr>
        <w:pStyle w:val="Style6"/>
        <w:jc w:val="left"/>
        <w:rPr>
          <w:spacing w:val="6"/>
        </w:rPr>
      </w:pPr>
      <w:r w:rsidRPr="0037058C">
        <w:rPr>
          <w:spacing w:val="6"/>
        </w:rPr>
        <w:tab/>
        <w:t>Manufacturers are required to keep some records for periods longer than three years</w:t>
      </w:r>
      <w:r w:rsidR="00BE700E" w:rsidRPr="0037058C">
        <w:rPr>
          <w:spacing w:val="6"/>
        </w:rPr>
        <w:t>.</w:t>
      </w:r>
      <w:r w:rsidRPr="0037058C">
        <w:rPr>
          <w:spacing w:val="6"/>
        </w:rPr>
        <w:t xml:space="preserve"> This requirement stems from the statutory requirement that manufacturers warrant some items for periods longer than 3 years. </w:t>
      </w:r>
    </w:p>
    <w:p w14:paraId="3289201A" w14:textId="77777777" w:rsidR="004C72D6" w:rsidRPr="0037058C" w:rsidRDefault="004C72D6" w:rsidP="004C72D6">
      <w:pPr>
        <w:pStyle w:val="Style6"/>
        <w:jc w:val="left"/>
        <w:rPr>
          <w:spacing w:val="6"/>
        </w:rPr>
      </w:pPr>
    </w:p>
    <w:p w14:paraId="51A14AD4" w14:textId="77777777" w:rsidR="004C72D6" w:rsidRPr="0037058C" w:rsidRDefault="004C72D6" w:rsidP="004C72D6">
      <w:pPr>
        <w:pStyle w:val="Style6"/>
        <w:jc w:val="left"/>
        <w:rPr>
          <w:spacing w:val="6"/>
        </w:rPr>
      </w:pPr>
      <w:r w:rsidRPr="0037058C">
        <w:rPr>
          <w:spacing w:val="6"/>
        </w:rPr>
        <w:tab/>
        <w:t>This information collection activity complies with the remaining guidelines in 5 CFR 1320.5.  The rule makes no changes in the reporting and recordkeeping provisions that impact any of the guidelines for information collections as approved in the existing approved collection.</w:t>
      </w:r>
    </w:p>
    <w:p w14:paraId="33C08880" w14:textId="77777777" w:rsidR="004C72D6" w:rsidRPr="0037058C" w:rsidRDefault="004C72D6" w:rsidP="004C72D6">
      <w:pPr>
        <w:rPr>
          <w:spacing w:val="6"/>
        </w:rPr>
      </w:pPr>
    </w:p>
    <w:p w14:paraId="7C415609" w14:textId="77777777" w:rsidR="004C72D6" w:rsidRPr="0037058C" w:rsidRDefault="004C72D6" w:rsidP="004C72D6">
      <w:pPr>
        <w:spacing w:line="264" w:lineRule="atLeast"/>
        <w:rPr>
          <w:spacing w:val="6"/>
          <w:u w:val="single"/>
        </w:rPr>
      </w:pPr>
      <w:r w:rsidRPr="0037058C">
        <w:rPr>
          <w:spacing w:val="6"/>
        </w:rPr>
        <w:t xml:space="preserve">3(f) </w:t>
      </w:r>
      <w:r w:rsidRPr="0037058C">
        <w:rPr>
          <w:spacing w:val="6"/>
          <w:u w:val="single"/>
        </w:rPr>
        <w:t>Confidentiality</w:t>
      </w:r>
    </w:p>
    <w:p w14:paraId="718E98AB" w14:textId="77777777" w:rsidR="004C72D6" w:rsidRPr="0037058C" w:rsidRDefault="004C72D6" w:rsidP="004C72D6">
      <w:pPr>
        <w:spacing w:line="264" w:lineRule="atLeast"/>
        <w:rPr>
          <w:spacing w:val="6"/>
        </w:rPr>
      </w:pPr>
    </w:p>
    <w:p w14:paraId="0683CCA3" w14:textId="77777777" w:rsidR="004C72D6" w:rsidRPr="0037058C" w:rsidRDefault="004C72D6" w:rsidP="004C72D6">
      <w:pPr>
        <w:pStyle w:val="Style6"/>
        <w:jc w:val="left"/>
        <w:rPr>
          <w:spacing w:val="6"/>
        </w:rPr>
      </w:pPr>
      <w:r w:rsidRPr="0037058C">
        <w:rPr>
          <w:spacing w:val="6"/>
        </w:rPr>
        <w:tab/>
        <w:t>Information submitted by manufacturers is held as confidential until the specific vehicle to which it pertains is available for purchase.  After vehicles are available, most information associated with the manufacturer’s application is available to the public.  Under section 208 of the Clean Air Act (42 USC 7542(c)) all information, other than trade secret processes or methods, must be publicly available.  Proprietary information is granted confidentiality in accordance with the Freedom of Information Act, EPA regulations at 40 CFR Part 2, and class determinations issued by EPA’s Office of General Counsel.</w:t>
      </w:r>
    </w:p>
    <w:p w14:paraId="094E4E14" w14:textId="77777777" w:rsidR="004C72D6" w:rsidRPr="0037058C" w:rsidRDefault="004C72D6" w:rsidP="004C72D6">
      <w:pPr>
        <w:rPr>
          <w:spacing w:val="6"/>
        </w:rPr>
      </w:pPr>
    </w:p>
    <w:p w14:paraId="1C1605F9" w14:textId="77777777" w:rsidR="004C72D6" w:rsidRPr="0037058C" w:rsidRDefault="004C72D6" w:rsidP="004C72D6">
      <w:pPr>
        <w:rPr>
          <w:spacing w:val="6"/>
          <w:u w:val="single"/>
        </w:rPr>
      </w:pPr>
      <w:r w:rsidRPr="0037058C">
        <w:rPr>
          <w:spacing w:val="6"/>
        </w:rPr>
        <w:t xml:space="preserve">3(g) </w:t>
      </w:r>
      <w:r w:rsidRPr="0037058C">
        <w:rPr>
          <w:spacing w:val="6"/>
          <w:u w:val="single"/>
        </w:rPr>
        <w:t>Sensitive Questions</w:t>
      </w:r>
    </w:p>
    <w:p w14:paraId="13EFD77C" w14:textId="77777777" w:rsidR="004C72D6" w:rsidRPr="0037058C" w:rsidRDefault="004C72D6" w:rsidP="004C72D6">
      <w:pPr>
        <w:rPr>
          <w:spacing w:val="6"/>
        </w:rPr>
      </w:pPr>
    </w:p>
    <w:p w14:paraId="732A6219" w14:textId="77777777" w:rsidR="004C72D6" w:rsidRPr="0037058C" w:rsidRDefault="004C72D6" w:rsidP="004C72D6">
      <w:pPr>
        <w:pStyle w:val="Style6"/>
        <w:jc w:val="left"/>
        <w:rPr>
          <w:spacing w:val="6"/>
        </w:rPr>
      </w:pPr>
      <w:r w:rsidRPr="0037058C">
        <w:rPr>
          <w:spacing w:val="6"/>
        </w:rPr>
        <w:tab/>
        <w:t>No sensitive questions are asked in this information collection.  This collection complies with the Privacy Act and OMB Circular A-108.</w:t>
      </w:r>
    </w:p>
    <w:p w14:paraId="3C023FCF" w14:textId="77777777" w:rsidR="004C72D6" w:rsidRDefault="004C72D6" w:rsidP="004C72D6">
      <w:pPr>
        <w:spacing w:line="264" w:lineRule="atLeast"/>
        <w:outlineLvl w:val="0"/>
        <w:rPr>
          <w:spacing w:val="6"/>
          <w:u w:val="single"/>
        </w:rPr>
      </w:pPr>
    </w:p>
    <w:p w14:paraId="3D56C33D" w14:textId="77777777" w:rsidR="001C6A02" w:rsidRPr="0037058C" w:rsidRDefault="001C6A02" w:rsidP="004C72D6">
      <w:pPr>
        <w:spacing w:line="264" w:lineRule="atLeast"/>
        <w:outlineLvl w:val="0"/>
        <w:rPr>
          <w:spacing w:val="6"/>
          <w:u w:val="single"/>
        </w:rPr>
      </w:pPr>
    </w:p>
    <w:p w14:paraId="448CC93C" w14:textId="77777777" w:rsidR="004C72D6" w:rsidRPr="0037058C" w:rsidRDefault="004C72D6" w:rsidP="004C72D6">
      <w:pPr>
        <w:spacing w:line="264" w:lineRule="atLeast"/>
        <w:outlineLvl w:val="0"/>
        <w:rPr>
          <w:spacing w:val="6"/>
          <w:u w:val="single"/>
        </w:rPr>
      </w:pPr>
      <w:r w:rsidRPr="0037058C">
        <w:rPr>
          <w:spacing w:val="6"/>
          <w:u w:val="single"/>
        </w:rPr>
        <w:t>Section 4: Respondents and Information Requested</w:t>
      </w:r>
    </w:p>
    <w:p w14:paraId="6810E6F9" w14:textId="77777777" w:rsidR="004C72D6" w:rsidRPr="0037058C" w:rsidRDefault="004C72D6" w:rsidP="004C72D6">
      <w:pPr>
        <w:spacing w:line="264" w:lineRule="atLeast"/>
        <w:outlineLvl w:val="0"/>
        <w:rPr>
          <w:spacing w:val="6"/>
        </w:rPr>
      </w:pPr>
    </w:p>
    <w:p w14:paraId="6B79D90A" w14:textId="77777777" w:rsidR="004C72D6" w:rsidRPr="0037058C" w:rsidRDefault="004C72D6" w:rsidP="004C72D6">
      <w:pPr>
        <w:rPr>
          <w:spacing w:val="6"/>
          <w:u w:val="single"/>
        </w:rPr>
      </w:pPr>
      <w:r w:rsidRPr="0037058C">
        <w:rPr>
          <w:spacing w:val="6"/>
        </w:rPr>
        <w:t xml:space="preserve">4(a) </w:t>
      </w:r>
      <w:r w:rsidRPr="0037058C">
        <w:rPr>
          <w:spacing w:val="6"/>
          <w:u w:val="single"/>
        </w:rPr>
        <w:t>Respondents/</w:t>
      </w:r>
      <w:proofErr w:type="spellStart"/>
      <w:r w:rsidRPr="0037058C">
        <w:rPr>
          <w:spacing w:val="6"/>
          <w:u w:val="single"/>
        </w:rPr>
        <w:t>NASIC</w:t>
      </w:r>
      <w:proofErr w:type="spellEnd"/>
      <w:r w:rsidRPr="0037058C">
        <w:rPr>
          <w:spacing w:val="6"/>
          <w:u w:val="single"/>
        </w:rPr>
        <w:t xml:space="preserve"> Codes</w:t>
      </w:r>
    </w:p>
    <w:p w14:paraId="3C8834C4" w14:textId="77777777" w:rsidR="004C72D6" w:rsidRPr="0037058C" w:rsidRDefault="004C72D6" w:rsidP="004C72D6">
      <w:pPr>
        <w:rPr>
          <w:spacing w:val="6"/>
          <w:u w:val="single"/>
        </w:rPr>
      </w:pPr>
    </w:p>
    <w:p w14:paraId="505D1ED7" w14:textId="77777777" w:rsidR="004C72D6" w:rsidRPr="0037058C" w:rsidRDefault="004C72D6" w:rsidP="004C72D6">
      <w:pPr>
        <w:pStyle w:val="Style6"/>
        <w:jc w:val="left"/>
        <w:rPr>
          <w:spacing w:val="6"/>
        </w:rPr>
      </w:pPr>
      <w:r w:rsidRPr="0037058C">
        <w:rPr>
          <w:spacing w:val="6"/>
        </w:rPr>
        <w:tab/>
        <w:t>The respondents are potentially involved in the industries shown in the following table:</w:t>
      </w:r>
    </w:p>
    <w:p w14:paraId="1F74FD91" w14:textId="77777777" w:rsidR="00F707CE" w:rsidRPr="0037058C" w:rsidRDefault="00F707CE" w:rsidP="004C72D6">
      <w:pPr>
        <w:pStyle w:val="Style6"/>
        <w:jc w:val="left"/>
        <w:rPr>
          <w:spacing w:val="6"/>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712"/>
        <w:gridCol w:w="1275"/>
        <w:gridCol w:w="4985"/>
      </w:tblGrid>
      <w:tr w:rsidR="00470F73" w:rsidRPr="0037058C" w14:paraId="112CD208" w14:textId="77777777" w:rsidTr="00860C0F">
        <w:trPr>
          <w:trHeight w:val="356"/>
        </w:trPr>
        <w:tc>
          <w:tcPr>
            <w:tcW w:w="1261" w:type="dxa"/>
            <w:shd w:val="clear" w:color="auto" w:fill="auto"/>
          </w:tcPr>
          <w:p w14:paraId="663066E2" w14:textId="77777777" w:rsidR="00470F73" w:rsidRPr="0037058C" w:rsidRDefault="00470F73" w:rsidP="00860C0F">
            <w:pPr>
              <w:pStyle w:val="TableTextforPreamble"/>
            </w:pPr>
            <w:r w:rsidRPr="0037058C">
              <w:t>Category</w:t>
            </w:r>
          </w:p>
        </w:tc>
        <w:tc>
          <w:tcPr>
            <w:tcW w:w="1712" w:type="dxa"/>
          </w:tcPr>
          <w:p w14:paraId="69E7E9AE" w14:textId="77777777" w:rsidR="00470F73" w:rsidRPr="0037058C" w:rsidRDefault="00470F73" w:rsidP="00860C0F">
            <w:pPr>
              <w:adjustRightInd w:val="0"/>
              <w:jc w:val="center"/>
              <w:rPr>
                <w:caps/>
              </w:rPr>
            </w:pPr>
            <w:proofErr w:type="spellStart"/>
            <w:r w:rsidRPr="0037058C">
              <w:rPr>
                <w:caps/>
              </w:rPr>
              <w:t>NAICS</w:t>
            </w:r>
            <w:r w:rsidRPr="0037058C">
              <w:rPr>
                <w:vertAlign w:val="superscript"/>
              </w:rPr>
              <w:t>a</w:t>
            </w:r>
            <w:proofErr w:type="spellEnd"/>
            <w:r w:rsidRPr="0037058C">
              <w:rPr>
                <w:caps/>
              </w:rPr>
              <w:t xml:space="preserve"> </w:t>
            </w:r>
            <w:r w:rsidRPr="0037058C">
              <w:t>Code</w:t>
            </w:r>
          </w:p>
        </w:tc>
        <w:tc>
          <w:tcPr>
            <w:tcW w:w="1275" w:type="dxa"/>
            <w:shd w:val="clear" w:color="auto" w:fill="auto"/>
          </w:tcPr>
          <w:p w14:paraId="00FCA28A" w14:textId="77777777" w:rsidR="00470F73" w:rsidRPr="0037058C" w:rsidRDefault="00470F73" w:rsidP="00860C0F">
            <w:pPr>
              <w:adjustRightInd w:val="0"/>
              <w:jc w:val="center"/>
              <w:rPr>
                <w:caps/>
              </w:rPr>
            </w:pPr>
            <w:proofErr w:type="spellStart"/>
            <w:r w:rsidRPr="0037058C">
              <w:rPr>
                <w:caps/>
              </w:rPr>
              <w:t>SIC</w:t>
            </w:r>
            <w:r w:rsidRPr="0037058C">
              <w:rPr>
                <w:vertAlign w:val="superscript"/>
              </w:rPr>
              <w:t>b</w:t>
            </w:r>
            <w:proofErr w:type="spellEnd"/>
            <w:r w:rsidRPr="0037058C">
              <w:rPr>
                <w:caps/>
              </w:rPr>
              <w:t xml:space="preserve"> </w:t>
            </w:r>
            <w:r w:rsidRPr="0037058C">
              <w:t>Code</w:t>
            </w:r>
          </w:p>
        </w:tc>
        <w:tc>
          <w:tcPr>
            <w:tcW w:w="4985" w:type="dxa"/>
            <w:shd w:val="clear" w:color="auto" w:fill="auto"/>
          </w:tcPr>
          <w:p w14:paraId="76F431F1" w14:textId="77777777" w:rsidR="00470F73" w:rsidRPr="0037058C" w:rsidRDefault="00470F73" w:rsidP="00860C0F">
            <w:pPr>
              <w:pStyle w:val="TableTextforPreamble"/>
            </w:pPr>
            <w:r w:rsidRPr="0037058C">
              <w:t>Examples of Potentially Affected Entities</w:t>
            </w:r>
          </w:p>
        </w:tc>
      </w:tr>
      <w:tr w:rsidR="00470F73" w:rsidRPr="0037058C" w14:paraId="5CA20087" w14:textId="77777777" w:rsidTr="00860C0F">
        <w:trPr>
          <w:trHeight w:val="223"/>
        </w:trPr>
        <w:tc>
          <w:tcPr>
            <w:tcW w:w="1261" w:type="dxa"/>
            <w:shd w:val="clear" w:color="auto" w:fill="auto"/>
          </w:tcPr>
          <w:p w14:paraId="7F823613" w14:textId="77777777" w:rsidR="00470F73" w:rsidRPr="0037058C" w:rsidRDefault="00470F73" w:rsidP="00860C0F">
            <w:pPr>
              <w:pStyle w:val="TableTextforPreamble"/>
            </w:pPr>
            <w:r w:rsidRPr="0037058C">
              <w:t>Industry</w:t>
            </w:r>
          </w:p>
        </w:tc>
        <w:tc>
          <w:tcPr>
            <w:tcW w:w="1712" w:type="dxa"/>
          </w:tcPr>
          <w:p w14:paraId="41616772" w14:textId="77777777" w:rsidR="00470F73" w:rsidRPr="0037058C" w:rsidRDefault="00470F73" w:rsidP="00860C0F">
            <w:pPr>
              <w:pStyle w:val="TableTextforPreamble"/>
            </w:pPr>
            <w:r w:rsidRPr="0037058C">
              <w:t>324110</w:t>
            </w:r>
          </w:p>
        </w:tc>
        <w:tc>
          <w:tcPr>
            <w:tcW w:w="1275" w:type="dxa"/>
            <w:shd w:val="clear" w:color="auto" w:fill="auto"/>
          </w:tcPr>
          <w:p w14:paraId="50CA53A9" w14:textId="77777777" w:rsidR="00470F73" w:rsidRPr="0037058C" w:rsidRDefault="00470F73" w:rsidP="00860C0F">
            <w:pPr>
              <w:pStyle w:val="TableTextforPreamble"/>
            </w:pPr>
            <w:r w:rsidRPr="0037058C">
              <w:t>2911</w:t>
            </w:r>
          </w:p>
        </w:tc>
        <w:tc>
          <w:tcPr>
            <w:tcW w:w="4985" w:type="dxa"/>
            <w:shd w:val="clear" w:color="auto" w:fill="auto"/>
          </w:tcPr>
          <w:p w14:paraId="7CF84CAA" w14:textId="77777777" w:rsidR="00470F73" w:rsidRPr="0037058C" w:rsidRDefault="00470F73" w:rsidP="00860C0F">
            <w:pPr>
              <w:pStyle w:val="TableTextforPreamble"/>
            </w:pPr>
            <w:r w:rsidRPr="0037058C">
              <w:t>Petroleum refineries (including importers)</w:t>
            </w:r>
          </w:p>
        </w:tc>
      </w:tr>
      <w:tr w:rsidR="00470F73" w:rsidRPr="0037058C" w14:paraId="2F2109E0" w14:textId="77777777" w:rsidTr="00860C0F">
        <w:trPr>
          <w:trHeight w:val="223"/>
        </w:trPr>
        <w:tc>
          <w:tcPr>
            <w:tcW w:w="1261" w:type="dxa"/>
            <w:shd w:val="clear" w:color="auto" w:fill="auto"/>
          </w:tcPr>
          <w:p w14:paraId="4DFB351A" w14:textId="77777777" w:rsidR="00470F73" w:rsidRPr="0037058C" w:rsidRDefault="00470F73" w:rsidP="00860C0F">
            <w:pPr>
              <w:pStyle w:val="TableTextforPreamble"/>
            </w:pPr>
            <w:r w:rsidRPr="0037058C">
              <w:t xml:space="preserve">Industry </w:t>
            </w:r>
          </w:p>
        </w:tc>
        <w:tc>
          <w:tcPr>
            <w:tcW w:w="1712" w:type="dxa"/>
          </w:tcPr>
          <w:p w14:paraId="3930FC2A" w14:textId="77777777" w:rsidR="00470F73" w:rsidRPr="0037058C" w:rsidRDefault="00470F73" w:rsidP="00860C0F">
            <w:pPr>
              <w:pStyle w:val="TableTextforPreamble"/>
            </w:pPr>
            <w:r w:rsidRPr="0037058C">
              <w:t>325110</w:t>
            </w:r>
          </w:p>
        </w:tc>
        <w:tc>
          <w:tcPr>
            <w:tcW w:w="1275" w:type="dxa"/>
            <w:shd w:val="clear" w:color="auto" w:fill="auto"/>
          </w:tcPr>
          <w:p w14:paraId="2746A94E" w14:textId="77777777" w:rsidR="00470F73" w:rsidRPr="0037058C" w:rsidRDefault="00470F73" w:rsidP="00860C0F">
            <w:pPr>
              <w:pStyle w:val="TableTextforPreamble"/>
            </w:pPr>
            <w:r w:rsidRPr="0037058C">
              <w:t>2869</w:t>
            </w:r>
          </w:p>
        </w:tc>
        <w:tc>
          <w:tcPr>
            <w:tcW w:w="4985" w:type="dxa"/>
            <w:shd w:val="clear" w:color="auto" w:fill="auto"/>
          </w:tcPr>
          <w:p w14:paraId="5CD9EB34" w14:textId="77777777" w:rsidR="00470F73" w:rsidRPr="0037058C" w:rsidRDefault="00470F73" w:rsidP="00860C0F">
            <w:pPr>
              <w:pStyle w:val="TableTextforPreamble"/>
            </w:pPr>
            <w:r w:rsidRPr="0037058C">
              <w:t>Butane manufacturers</w:t>
            </w:r>
          </w:p>
        </w:tc>
      </w:tr>
      <w:tr w:rsidR="00470F73" w:rsidRPr="0037058C" w14:paraId="728AEB44" w14:textId="77777777" w:rsidTr="00860C0F">
        <w:trPr>
          <w:trHeight w:val="168"/>
        </w:trPr>
        <w:tc>
          <w:tcPr>
            <w:tcW w:w="1261" w:type="dxa"/>
            <w:shd w:val="clear" w:color="auto" w:fill="auto"/>
          </w:tcPr>
          <w:p w14:paraId="2184A401" w14:textId="77777777" w:rsidR="00470F73" w:rsidRPr="0037058C" w:rsidRDefault="00470F73" w:rsidP="00860C0F">
            <w:pPr>
              <w:pStyle w:val="TableTextforPreamble"/>
            </w:pPr>
            <w:r w:rsidRPr="0037058C">
              <w:t>Industry</w:t>
            </w:r>
          </w:p>
        </w:tc>
        <w:tc>
          <w:tcPr>
            <w:tcW w:w="1712" w:type="dxa"/>
          </w:tcPr>
          <w:p w14:paraId="789474BB" w14:textId="77777777" w:rsidR="00470F73" w:rsidRPr="0037058C" w:rsidRDefault="00470F73" w:rsidP="00860C0F">
            <w:pPr>
              <w:pStyle w:val="TableTextforPreamble"/>
            </w:pPr>
            <w:r w:rsidRPr="0037058C">
              <w:t>325193</w:t>
            </w:r>
          </w:p>
        </w:tc>
        <w:tc>
          <w:tcPr>
            <w:tcW w:w="1275" w:type="dxa"/>
            <w:shd w:val="clear" w:color="auto" w:fill="auto"/>
          </w:tcPr>
          <w:p w14:paraId="724F16E0" w14:textId="77777777" w:rsidR="00470F73" w:rsidRPr="0037058C" w:rsidRDefault="00470F73" w:rsidP="00860C0F">
            <w:pPr>
              <w:pStyle w:val="TableTextforPreamble"/>
            </w:pPr>
            <w:r w:rsidRPr="0037058C">
              <w:t>2869</w:t>
            </w:r>
          </w:p>
        </w:tc>
        <w:tc>
          <w:tcPr>
            <w:tcW w:w="4985" w:type="dxa"/>
            <w:shd w:val="clear" w:color="auto" w:fill="auto"/>
          </w:tcPr>
          <w:p w14:paraId="5F2D93C6" w14:textId="77777777" w:rsidR="00470F73" w:rsidRPr="0037058C" w:rsidRDefault="00470F73" w:rsidP="00860C0F">
            <w:pPr>
              <w:pStyle w:val="TableTextforPreamble"/>
            </w:pPr>
            <w:r w:rsidRPr="0037058C">
              <w:t>Ethyl alcohol manufacturing</w:t>
            </w:r>
          </w:p>
        </w:tc>
      </w:tr>
      <w:tr w:rsidR="00470F73" w:rsidRPr="0037058C" w14:paraId="3F5B39A9" w14:textId="77777777" w:rsidTr="00860C0F">
        <w:trPr>
          <w:trHeight w:val="168"/>
        </w:trPr>
        <w:tc>
          <w:tcPr>
            <w:tcW w:w="1261" w:type="dxa"/>
            <w:shd w:val="clear" w:color="auto" w:fill="auto"/>
          </w:tcPr>
          <w:p w14:paraId="567095D3" w14:textId="77777777" w:rsidR="00470F73" w:rsidRPr="0037058C" w:rsidRDefault="00470F73" w:rsidP="00860C0F">
            <w:pPr>
              <w:pStyle w:val="TableTextforPreamble"/>
            </w:pPr>
            <w:r w:rsidRPr="0037058C">
              <w:t>Industry</w:t>
            </w:r>
          </w:p>
        </w:tc>
        <w:tc>
          <w:tcPr>
            <w:tcW w:w="1712" w:type="dxa"/>
          </w:tcPr>
          <w:p w14:paraId="38309EE3" w14:textId="77777777" w:rsidR="00470F73" w:rsidRPr="0037058C" w:rsidRDefault="00470F73" w:rsidP="00860C0F">
            <w:pPr>
              <w:pStyle w:val="TableTextforPreamble"/>
            </w:pPr>
            <w:r w:rsidRPr="0037058C">
              <w:t>211112</w:t>
            </w:r>
          </w:p>
        </w:tc>
        <w:tc>
          <w:tcPr>
            <w:tcW w:w="1275" w:type="dxa"/>
            <w:shd w:val="clear" w:color="auto" w:fill="auto"/>
          </w:tcPr>
          <w:p w14:paraId="3C4C3F22" w14:textId="77777777" w:rsidR="00470F73" w:rsidRPr="0037058C" w:rsidRDefault="00470F73" w:rsidP="00860C0F">
            <w:pPr>
              <w:pStyle w:val="TableTextforPreamble"/>
            </w:pPr>
            <w:r w:rsidRPr="0037058C">
              <w:t>1321</w:t>
            </w:r>
          </w:p>
        </w:tc>
        <w:tc>
          <w:tcPr>
            <w:tcW w:w="4985" w:type="dxa"/>
            <w:shd w:val="clear" w:color="auto" w:fill="auto"/>
          </w:tcPr>
          <w:p w14:paraId="541EDEEE" w14:textId="77777777" w:rsidR="00470F73" w:rsidRPr="0037058C" w:rsidRDefault="00470F73" w:rsidP="00860C0F">
            <w:pPr>
              <w:pStyle w:val="TableTextforPreamble"/>
            </w:pPr>
            <w:r w:rsidRPr="0037058C">
              <w:t>Natural gas liquids extraction and fractionation</w:t>
            </w:r>
          </w:p>
        </w:tc>
      </w:tr>
      <w:tr w:rsidR="00470F73" w:rsidRPr="0037058C" w14:paraId="3F0C3E1C" w14:textId="77777777" w:rsidTr="00860C0F">
        <w:trPr>
          <w:trHeight w:val="168"/>
        </w:trPr>
        <w:tc>
          <w:tcPr>
            <w:tcW w:w="1261" w:type="dxa"/>
            <w:shd w:val="clear" w:color="auto" w:fill="auto"/>
          </w:tcPr>
          <w:p w14:paraId="29BFE322" w14:textId="77777777" w:rsidR="00470F73" w:rsidRPr="0037058C" w:rsidRDefault="00470F73" w:rsidP="00860C0F">
            <w:pPr>
              <w:pStyle w:val="TableTextforPreamble"/>
            </w:pPr>
            <w:r w:rsidRPr="0037058C">
              <w:lastRenderedPageBreak/>
              <w:t>Industry</w:t>
            </w:r>
          </w:p>
        </w:tc>
        <w:tc>
          <w:tcPr>
            <w:tcW w:w="1712" w:type="dxa"/>
          </w:tcPr>
          <w:p w14:paraId="417967EB" w14:textId="77777777" w:rsidR="00470F73" w:rsidRPr="0037058C" w:rsidRDefault="00470F73" w:rsidP="00860C0F">
            <w:pPr>
              <w:pStyle w:val="TableTextforPreamble"/>
            </w:pPr>
            <w:r w:rsidRPr="0037058C">
              <w:t>325199</w:t>
            </w:r>
          </w:p>
        </w:tc>
        <w:tc>
          <w:tcPr>
            <w:tcW w:w="1275" w:type="dxa"/>
            <w:shd w:val="clear" w:color="auto" w:fill="auto"/>
          </w:tcPr>
          <w:p w14:paraId="699470AB" w14:textId="77777777" w:rsidR="00470F73" w:rsidRPr="0037058C" w:rsidRDefault="00470F73" w:rsidP="00860C0F">
            <w:pPr>
              <w:pStyle w:val="TableTextforPreamble"/>
            </w:pPr>
            <w:r w:rsidRPr="0037058C">
              <w:t>2869</w:t>
            </w:r>
          </w:p>
        </w:tc>
        <w:tc>
          <w:tcPr>
            <w:tcW w:w="4985" w:type="dxa"/>
            <w:shd w:val="clear" w:color="auto" w:fill="auto"/>
          </w:tcPr>
          <w:p w14:paraId="7EB34934" w14:textId="77777777" w:rsidR="00470F73" w:rsidRPr="0037058C" w:rsidRDefault="00470F73" w:rsidP="00860C0F">
            <w:pPr>
              <w:pStyle w:val="TableTextforPreamble"/>
            </w:pPr>
            <w:r w:rsidRPr="0037058C">
              <w:t>Other basic organic chemical manufacturing</w:t>
            </w:r>
          </w:p>
        </w:tc>
      </w:tr>
      <w:tr w:rsidR="00470F73" w:rsidRPr="0037058C" w14:paraId="75A5D90B" w14:textId="77777777" w:rsidTr="00860C0F">
        <w:trPr>
          <w:trHeight w:val="168"/>
        </w:trPr>
        <w:tc>
          <w:tcPr>
            <w:tcW w:w="1261" w:type="dxa"/>
            <w:shd w:val="clear" w:color="auto" w:fill="auto"/>
          </w:tcPr>
          <w:p w14:paraId="53B79981" w14:textId="77777777" w:rsidR="00470F73" w:rsidRPr="0037058C" w:rsidRDefault="00470F73" w:rsidP="00860C0F">
            <w:pPr>
              <w:pStyle w:val="TableTextforPreamble"/>
            </w:pPr>
            <w:r w:rsidRPr="0037058C">
              <w:t>Industry</w:t>
            </w:r>
          </w:p>
        </w:tc>
        <w:tc>
          <w:tcPr>
            <w:tcW w:w="1712" w:type="dxa"/>
          </w:tcPr>
          <w:p w14:paraId="4588C1D4" w14:textId="77777777" w:rsidR="00470F73" w:rsidRPr="0037058C" w:rsidRDefault="00470F73" w:rsidP="00860C0F">
            <w:pPr>
              <w:pStyle w:val="TableTextforPreamble"/>
            </w:pPr>
            <w:r w:rsidRPr="0037058C">
              <w:t>486910</w:t>
            </w:r>
          </w:p>
        </w:tc>
        <w:tc>
          <w:tcPr>
            <w:tcW w:w="1275" w:type="dxa"/>
            <w:shd w:val="clear" w:color="auto" w:fill="auto"/>
          </w:tcPr>
          <w:p w14:paraId="2A80C54C" w14:textId="77777777" w:rsidR="00470F73" w:rsidRPr="0037058C" w:rsidRDefault="00470F73" w:rsidP="00860C0F">
            <w:pPr>
              <w:pStyle w:val="TableTextforPreamble"/>
            </w:pPr>
            <w:r w:rsidRPr="0037058C">
              <w:t>4613</w:t>
            </w:r>
          </w:p>
        </w:tc>
        <w:tc>
          <w:tcPr>
            <w:tcW w:w="4985" w:type="dxa"/>
            <w:shd w:val="clear" w:color="auto" w:fill="auto"/>
          </w:tcPr>
          <w:p w14:paraId="291DC1F0" w14:textId="77777777" w:rsidR="00470F73" w:rsidRPr="0037058C" w:rsidRDefault="00470F73" w:rsidP="00860C0F">
            <w:pPr>
              <w:pStyle w:val="TableTextforPreamble"/>
            </w:pPr>
            <w:r w:rsidRPr="0037058C">
              <w:t>Natural gas liquids pipelines, refined petroleum products pipelines.</w:t>
            </w:r>
          </w:p>
        </w:tc>
      </w:tr>
      <w:tr w:rsidR="00470F73" w:rsidRPr="0037058C" w14:paraId="778E51FA" w14:textId="77777777" w:rsidTr="00860C0F">
        <w:trPr>
          <w:trHeight w:val="168"/>
        </w:trPr>
        <w:tc>
          <w:tcPr>
            <w:tcW w:w="1261" w:type="dxa"/>
            <w:shd w:val="clear" w:color="auto" w:fill="auto"/>
          </w:tcPr>
          <w:p w14:paraId="7684786C" w14:textId="77777777" w:rsidR="00470F73" w:rsidRPr="0037058C" w:rsidRDefault="00470F73" w:rsidP="00860C0F">
            <w:pPr>
              <w:pStyle w:val="TableTextforPreamble"/>
            </w:pPr>
            <w:r w:rsidRPr="0037058C">
              <w:t>Industry</w:t>
            </w:r>
          </w:p>
        </w:tc>
        <w:tc>
          <w:tcPr>
            <w:tcW w:w="1712" w:type="dxa"/>
          </w:tcPr>
          <w:p w14:paraId="530CCA22" w14:textId="77777777" w:rsidR="00470F73" w:rsidRPr="0037058C" w:rsidRDefault="00470F73" w:rsidP="00860C0F">
            <w:pPr>
              <w:pStyle w:val="TableTextforPreamble"/>
            </w:pPr>
            <w:r w:rsidRPr="0037058C">
              <w:t>424690</w:t>
            </w:r>
          </w:p>
        </w:tc>
        <w:tc>
          <w:tcPr>
            <w:tcW w:w="1275" w:type="dxa"/>
            <w:shd w:val="clear" w:color="auto" w:fill="auto"/>
          </w:tcPr>
          <w:p w14:paraId="2CB360C8" w14:textId="77777777" w:rsidR="00470F73" w:rsidRPr="0037058C" w:rsidRDefault="00470F73" w:rsidP="00860C0F">
            <w:pPr>
              <w:pStyle w:val="TableTextforPreamble"/>
            </w:pPr>
            <w:r w:rsidRPr="0037058C">
              <w:t>5169</w:t>
            </w:r>
          </w:p>
        </w:tc>
        <w:tc>
          <w:tcPr>
            <w:tcW w:w="4985" w:type="dxa"/>
            <w:shd w:val="clear" w:color="auto" w:fill="auto"/>
          </w:tcPr>
          <w:p w14:paraId="789497BE" w14:textId="77777777" w:rsidR="00470F73" w:rsidRPr="0037058C" w:rsidRDefault="00470F73" w:rsidP="00860C0F">
            <w:pPr>
              <w:pStyle w:val="TableTextforPreamble"/>
            </w:pPr>
            <w:r w:rsidRPr="0037058C">
              <w:t>Chemical and allied products merchant wholesalers</w:t>
            </w:r>
          </w:p>
        </w:tc>
      </w:tr>
      <w:tr w:rsidR="00470F73" w:rsidRPr="0037058C" w14:paraId="1957D715" w14:textId="77777777" w:rsidTr="00860C0F">
        <w:trPr>
          <w:trHeight w:val="168"/>
        </w:trPr>
        <w:tc>
          <w:tcPr>
            <w:tcW w:w="1261" w:type="dxa"/>
            <w:shd w:val="clear" w:color="auto" w:fill="auto"/>
          </w:tcPr>
          <w:p w14:paraId="29EBCAB3" w14:textId="77777777" w:rsidR="00470F73" w:rsidRPr="0037058C" w:rsidRDefault="00470F73" w:rsidP="00860C0F">
            <w:pPr>
              <w:pStyle w:val="TableTextforPreamble"/>
            </w:pPr>
            <w:r w:rsidRPr="0037058C">
              <w:t>Industry</w:t>
            </w:r>
          </w:p>
        </w:tc>
        <w:tc>
          <w:tcPr>
            <w:tcW w:w="1712" w:type="dxa"/>
          </w:tcPr>
          <w:p w14:paraId="55CBF7A3" w14:textId="77777777" w:rsidR="00470F73" w:rsidRPr="0037058C" w:rsidRDefault="00470F73" w:rsidP="00860C0F">
            <w:pPr>
              <w:pStyle w:val="TableTextforPreamble"/>
            </w:pPr>
            <w:r w:rsidRPr="0037058C">
              <w:t>325199</w:t>
            </w:r>
          </w:p>
        </w:tc>
        <w:tc>
          <w:tcPr>
            <w:tcW w:w="1275" w:type="dxa"/>
            <w:shd w:val="clear" w:color="auto" w:fill="auto"/>
          </w:tcPr>
          <w:p w14:paraId="0CE8146A" w14:textId="77777777" w:rsidR="00470F73" w:rsidRPr="0037058C" w:rsidRDefault="00470F73" w:rsidP="00860C0F">
            <w:pPr>
              <w:pStyle w:val="TableTextforPreamble"/>
            </w:pPr>
            <w:r w:rsidRPr="0037058C">
              <w:t>2869</w:t>
            </w:r>
          </w:p>
        </w:tc>
        <w:tc>
          <w:tcPr>
            <w:tcW w:w="4985" w:type="dxa"/>
            <w:shd w:val="clear" w:color="auto" w:fill="auto"/>
          </w:tcPr>
          <w:p w14:paraId="3E63E513" w14:textId="77777777" w:rsidR="00470F73" w:rsidRPr="0037058C" w:rsidRDefault="00470F73" w:rsidP="00860C0F">
            <w:pPr>
              <w:pStyle w:val="TableTextforPreamble"/>
            </w:pPr>
            <w:r w:rsidRPr="0037058C">
              <w:t>Manufacturers of gasoline additives</w:t>
            </w:r>
          </w:p>
        </w:tc>
      </w:tr>
      <w:tr w:rsidR="00470F73" w:rsidRPr="0037058C" w14:paraId="1C9E08AA" w14:textId="77777777" w:rsidTr="00860C0F">
        <w:trPr>
          <w:trHeight w:val="168"/>
        </w:trPr>
        <w:tc>
          <w:tcPr>
            <w:tcW w:w="1261" w:type="dxa"/>
            <w:shd w:val="clear" w:color="auto" w:fill="auto"/>
          </w:tcPr>
          <w:p w14:paraId="59E2F78D" w14:textId="77777777" w:rsidR="00470F73" w:rsidRPr="0037058C" w:rsidRDefault="00470F73" w:rsidP="00860C0F">
            <w:pPr>
              <w:pStyle w:val="TableTextforPreamble"/>
            </w:pPr>
            <w:r w:rsidRPr="0037058C">
              <w:t>Industry</w:t>
            </w:r>
          </w:p>
        </w:tc>
        <w:tc>
          <w:tcPr>
            <w:tcW w:w="1712" w:type="dxa"/>
          </w:tcPr>
          <w:p w14:paraId="733FBB87" w14:textId="77777777" w:rsidR="00470F73" w:rsidRPr="0037058C" w:rsidRDefault="00470F73" w:rsidP="00860C0F">
            <w:pPr>
              <w:pStyle w:val="TableTextforPreamble"/>
            </w:pPr>
            <w:r w:rsidRPr="0037058C">
              <w:t>424710</w:t>
            </w:r>
          </w:p>
        </w:tc>
        <w:tc>
          <w:tcPr>
            <w:tcW w:w="1275" w:type="dxa"/>
            <w:shd w:val="clear" w:color="auto" w:fill="auto"/>
          </w:tcPr>
          <w:p w14:paraId="6F0A2C0A" w14:textId="77777777" w:rsidR="00470F73" w:rsidRPr="0037058C" w:rsidRDefault="00470F73" w:rsidP="00860C0F">
            <w:pPr>
              <w:pStyle w:val="TableTextforPreamble"/>
            </w:pPr>
            <w:r w:rsidRPr="0037058C">
              <w:t>5171</w:t>
            </w:r>
          </w:p>
        </w:tc>
        <w:tc>
          <w:tcPr>
            <w:tcW w:w="4985" w:type="dxa"/>
            <w:shd w:val="clear" w:color="auto" w:fill="auto"/>
          </w:tcPr>
          <w:p w14:paraId="74488187" w14:textId="77777777" w:rsidR="00470F73" w:rsidRPr="0037058C" w:rsidRDefault="00470F73" w:rsidP="00860C0F">
            <w:pPr>
              <w:pStyle w:val="TableTextforPreamble"/>
            </w:pPr>
            <w:r w:rsidRPr="0037058C">
              <w:t>Petroleum bulk stations and terminals.  E51-83 manufacturers.</w:t>
            </w:r>
          </w:p>
        </w:tc>
      </w:tr>
      <w:tr w:rsidR="00470F73" w:rsidRPr="0037058C" w14:paraId="7F6FF9F0" w14:textId="77777777" w:rsidTr="00860C0F">
        <w:trPr>
          <w:trHeight w:val="168"/>
        </w:trPr>
        <w:tc>
          <w:tcPr>
            <w:tcW w:w="1261" w:type="dxa"/>
            <w:shd w:val="clear" w:color="auto" w:fill="auto"/>
          </w:tcPr>
          <w:p w14:paraId="75BF1588" w14:textId="77777777" w:rsidR="00470F73" w:rsidRPr="0037058C" w:rsidRDefault="00470F73" w:rsidP="00860C0F">
            <w:pPr>
              <w:pStyle w:val="TableTextforPreamble"/>
            </w:pPr>
            <w:r w:rsidRPr="0037058C">
              <w:t>Industry</w:t>
            </w:r>
          </w:p>
        </w:tc>
        <w:tc>
          <w:tcPr>
            <w:tcW w:w="1712" w:type="dxa"/>
          </w:tcPr>
          <w:p w14:paraId="3EA9EFF4" w14:textId="77777777" w:rsidR="00470F73" w:rsidRPr="0037058C" w:rsidRDefault="00470F73" w:rsidP="00860C0F">
            <w:pPr>
              <w:pStyle w:val="TableTextforPreamble"/>
            </w:pPr>
            <w:r w:rsidRPr="0037058C">
              <w:t>493190</w:t>
            </w:r>
          </w:p>
        </w:tc>
        <w:tc>
          <w:tcPr>
            <w:tcW w:w="1275" w:type="dxa"/>
            <w:shd w:val="clear" w:color="auto" w:fill="auto"/>
            <w:vAlign w:val="bottom"/>
          </w:tcPr>
          <w:p w14:paraId="18672CB3" w14:textId="77777777" w:rsidR="00470F73" w:rsidRPr="0037058C" w:rsidRDefault="00470F73" w:rsidP="00860C0F">
            <w:pPr>
              <w:pStyle w:val="TableTextforPreamble"/>
            </w:pPr>
            <w:r w:rsidRPr="0037058C">
              <w:t>4226</w:t>
            </w:r>
          </w:p>
        </w:tc>
        <w:tc>
          <w:tcPr>
            <w:tcW w:w="4985" w:type="dxa"/>
            <w:shd w:val="clear" w:color="auto" w:fill="auto"/>
            <w:vAlign w:val="bottom"/>
          </w:tcPr>
          <w:p w14:paraId="492A8653" w14:textId="77777777" w:rsidR="00470F73" w:rsidRPr="0037058C" w:rsidRDefault="00470F73" w:rsidP="00860C0F">
            <w:pPr>
              <w:pStyle w:val="TableTextforPreamble"/>
            </w:pPr>
            <w:r w:rsidRPr="0037058C">
              <w:t>Other warehousing and storage- bulk petroleum storage</w:t>
            </w:r>
          </w:p>
        </w:tc>
      </w:tr>
      <w:tr w:rsidR="00470F73" w:rsidRPr="0037058C" w14:paraId="565503F0" w14:textId="77777777" w:rsidTr="00860C0F">
        <w:trPr>
          <w:trHeight w:val="168"/>
        </w:trPr>
        <w:tc>
          <w:tcPr>
            <w:tcW w:w="1261" w:type="dxa"/>
            <w:shd w:val="clear" w:color="auto" w:fill="auto"/>
          </w:tcPr>
          <w:p w14:paraId="05D45996" w14:textId="77777777" w:rsidR="00470F73" w:rsidRPr="0037058C" w:rsidRDefault="00470F73" w:rsidP="00860C0F">
            <w:pPr>
              <w:pStyle w:val="TableTextforPreamble"/>
            </w:pPr>
            <w:r w:rsidRPr="0037058C">
              <w:t>Industry</w:t>
            </w:r>
          </w:p>
        </w:tc>
        <w:tc>
          <w:tcPr>
            <w:tcW w:w="1712" w:type="dxa"/>
          </w:tcPr>
          <w:p w14:paraId="3E7D8A76" w14:textId="77777777" w:rsidR="00470F73" w:rsidRPr="0037058C" w:rsidRDefault="00470F73" w:rsidP="00860C0F">
            <w:pPr>
              <w:pStyle w:val="TableTextforPreamble"/>
            </w:pPr>
            <w:r w:rsidRPr="0037058C">
              <w:t>336111,</w:t>
            </w:r>
          </w:p>
          <w:p w14:paraId="7135A8D5" w14:textId="77777777" w:rsidR="00470F73" w:rsidRPr="0037058C" w:rsidRDefault="00470F73" w:rsidP="00860C0F">
            <w:pPr>
              <w:pStyle w:val="TableTextforPreamble"/>
            </w:pPr>
            <w:r w:rsidRPr="0037058C">
              <w:t>336112</w:t>
            </w:r>
          </w:p>
        </w:tc>
        <w:tc>
          <w:tcPr>
            <w:tcW w:w="1275" w:type="dxa"/>
            <w:shd w:val="clear" w:color="auto" w:fill="auto"/>
            <w:vAlign w:val="bottom"/>
          </w:tcPr>
          <w:p w14:paraId="329AD6A9" w14:textId="77777777" w:rsidR="00470F73" w:rsidRPr="0037058C" w:rsidRDefault="00470F73" w:rsidP="00860C0F">
            <w:pPr>
              <w:pStyle w:val="TableTextforPreamble"/>
            </w:pPr>
            <w:r w:rsidRPr="0037058C">
              <w:t>3711</w:t>
            </w:r>
          </w:p>
        </w:tc>
        <w:tc>
          <w:tcPr>
            <w:tcW w:w="4985" w:type="dxa"/>
            <w:shd w:val="clear" w:color="auto" w:fill="auto"/>
            <w:vAlign w:val="bottom"/>
          </w:tcPr>
          <w:p w14:paraId="7929DECB" w14:textId="77777777" w:rsidR="00470F73" w:rsidRPr="0037058C" w:rsidRDefault="00470F73" w:rsidP="00860C0F">
            <w:pPr>
              <w:pStyle w:val="TableTextforPreamble"/>
            </w:pPr>
            <w:r w:rsidRPr="0037058C">
              <w:t>Light-duty vehicle and light-duty truck manufacturers</w:t>
            </w:r>
          </w:p>
        </w:tc>
      </w:tr>
      <w:tr w:rsidR="00470F73" w:rsidRPr="0037058C" w14:paraId="46C33E78" w14:textId="77777777" w:rsidTr="00860C0F">
        <w:trPr>
          <w:trHeight w:val="168"/>
        </w:trPr>
        <w:tc>
          <w:tcPr>
            <w:tcW w:w="1261" w:type="dxa"/>
            <w:shd w:val="clear" w:color="auto" w:fill="auto"/>
          </w:tcPr>
          <w:p w14:paraId="1684E123" w14:textId="77777777" w:rsidR="00470F73" w:rsidRPr="0037058C" w:rsidRDefault="00470F73" w:rsidP="00860C0F">
            <w:pPr>
              <w:pStyle w:val="TableTextforPreamble"/>
            </w:pPr>
            <w:r w:rsidRPr="0037058C">
              <w:t>Industry</w:t>
            </w:r>
          </w:p>
        </w:tc>
        <w:tc>
          <w:tcPr>
            <w:tcW w:w="1712" w:type="dxa"/>
          </w:tcPr>
          <w:p w14:paraId="02BDB21E" w14:textId="77777777" w:rsidR="00470F73" w:rsidRPr="0037058C" w:rsidRDefault="00470F73" w:rsidP="00860C0F">
            <w:pPr>
              <w:pStyle w:val="TableTextforPreamble"/>
            </w:pPr>
            <w:r w:rsidRPr="0037058C">
              <w:t>811111, 811112, 811198</w:t>
            </w:r>
          </w:p>
        </w:tc>
        <w:tc>
          <w:tcPr>
            <w:tcW w:w="1275" w:type="dxa"/>
            <w:shd w:val="clear" w:color="auto" w:fill="auto"/>
            <w:vAlign w:val="bottom"/>
          </w:tcPr>
          <w:p w14:paraId="4266D76E" w14:textId="77777777" w:rsidR="00470F73" w:rsidRPr="0037058C" w:rsidRDefault="00470F73" w:rsidP="00860C0F">
            <w:pPr>
              <w:pStyle w:val="TableTextforPreamble"/>
            </w:pPr>
            <w:r w:rsidRPr="0037058C">
              <w:t>7538, 7533, 7534</w:t>
            </w:r>
          </w:p>
        </w:tc>
        <w:tc>
          <w:tcPr>
            <w:tcW w:w="4985" w:type="dxa"/>
            <w:shd w:val="clear" w:color="auto" w:fill="auto"/>
            <w:vAlign w:val="bottom"/>
          </w:tcPr>
          <w:p w14:paraId="7E636915" w14:textId="77777777" w:rsidR="00470F73" w:rsidRPr="0037058C" w:rsidRDefault="00470F73" w:rsidP="00860C0F">
            <w:pPr>
              <w:pStyle w:val="TableTextforPreamble"/>
            </w:pPr>
            <w:r w:rsidRPr="0037058C">
              <w:t>Independent commercial importers</w:t>
            </w:r>
          </w:p>
        </w:tc>
      </w:tr>
      <w:tr w:rsidR="00470F73" w:rsidRPr="0037058C" w14:paraId="50449ABD" w14:textId="77777777" w:rsidTr="00860C0F">
        <w:trPr>
          <w:trHeight w:val="168"/>
        </w:trPr>
        <w:tc>
          <w:tcPr>
            <w:tcW w:w="1261" w:type="dxa"/>
            <w:shd w:val="clear" w:color="auto" w:fill="auto"/>
          </w:tcPr>
          <w:p w14:paraId="4B40548A" w14:textId="77777777" w:rsidR="00470F73" w:rsidRPr="0037058C" w:rsidRDefault="00470F73" w:rsidP="00860C0F">
            <w:pPr>
              <w:pStyle w:val="TableTextforPreamble"/>
            </w:pPr>
            <w:r w:rsidRPr="0037058C">
              <w:t>Industry</w:t>
            </w:r>
          </w:p>
        </w:tc>
        <w:tc>
          <w:tcPr>
            <w:tcW w:w="1712" w:type="dxa"/>
          </w:tcPr>
          <w:p w14:paraId="7DF80EE4" w14:textId="77777777" w:rsidR="00470F73" w:rsidRPr="0037058C" w:rsidRDefault="00470F73" w:rsidP="00860C0F">
            <w:pPr>
              <w:pStyle w:val="TableTextforPreamble"/>
            </w:pPr>
            <w:r w:rsidRPr="0037058C">
              <w:t>335312,</w:t>
            </w:r>
          </w:p>
          <w:p w14:paraId="30603C16" w14:textId="77777777" w:rsidR="00470F73" w:rsidRPr="0037058C" w:rsidRDefault="00470F73" w:rsidP="00860C0F">
            <w:pPr>
              <w:pStyle w:val="TableTextforPreamble"/>
            </w:pPr>
            <w:r w:rsidRPr="0037058C">
              <w:t>336312,</w:t>
            </w:r>
          </w:p>
          <w:p w14:paraId="76EDEA2F" w14:textId="77777777" w:rsidR="00470F73" w:rsidRPr="0037058C" w:rsidRDefault="00470F73" w:rsidP="00860C0F">
            <w:pPr>
              <w:pStyle w:val="TableTextforPreamble"/>
            </w:pPr>
            <w:r w:rsidRPr="0037058C">
              <w:t>336322,</w:t>
            </w:r>
          </w:p>
          <w:p w14:paraId="203E173F" w14:textId="77777777" w:rsidR="00470F73" w:rsidRPr="0037058C" w:rsidRDefault="00470F73" w:rsidP="00860C0F">
            <w:pPr>
              <w:pStyle w:val="TableTextforPreamble"/>
            </w:pPr>
            <w:r w:rsidRPr="0037058C">
              <w:t>336399,</w:t>
            </w:r>
          </w:p>
          <w:p w14:paraId="090E7D45" w14:textId="77777777" w:rsidR="00470F73" w:rsidRPr="0037058C" w:rsidRDefault="00470F73" w:rsidP="00860C0F">
            <w:pPr>
              <w:pStyle w:val="TableTextforPreamble"/>
            </w:pPr>
            <w:r w:rsidRPr="0037058C">
              <w:t>811198</w:t>
            </w:r>
          </w:p>
        </w:tc>
        <w:tc>
          <w:tcPr>
            <w:tcW w:w="1275" w:type="dxa"/>
            <w:shd w:val="clear" w:color="auto" w:fill="auto"/>
            <w:vAlign w:val="bottom"/>
          </w:tcPr>
          <w:p w14:paraId="0BE86815" w14:textId="77777777" w:rsidR="00470F73" w:rsidRPr="0037058C" w:rsidRDefault="00470F73" w:rsidP="00860C0F">
            <w:pPr>
              <w:pStyle w:val="TableTextforPreamble"/>
            </w:pPr>
            <w:r w:rsidRPr="0037058C">
              <w:t>3621, 3714, 3519, 3599, 7534</w:t>
            </w:r>
          </w:p>
        </w:tc>
        <w:tc>
          <w:tcPr>
            <w:tcW w:w="4985" w:type="dxa"/>
            <w:shd w:val="clear" w:color="auto" w:fill="auto"/>
            <w:vAlign w:val="bottom"/>
          </w:tcPr>
          <w:p w14:paraId="6DEDA0F4" w14:textId="77777777" w:rsidR="00470F73" w:rsidRPr="0037058C" w:rsidRDefault="00470F73" w:rsidP="00860C0F">
            <w:pPr>
              <w:pStyle w:val="TableTextforPreamble"/>
            </w:pPr>
            <w:r w:rsidRPr="0037058C">
              <w:t>Alternative fuel converters</w:t>
            </w:r>
          </w:p>
        </w:tc>
      </w:tr>
      <w:tr w:rsidR="00470F73" w:rsidRPr="0037058C" w14:paraId="6D925D9C" w14:textId="77777777" w:rsidTr="00860C0F">
        <w:trPr>
          <w:trHeight w:val="168"/>
        </w:trPr>
        <w:tc>
          <w:tcPr>
            <w:tcW w:w="1261" w:type="dxa"/>
            <w:shd w:val="clear" w:color="auto" w:fill="auto"/>
          </w:tcPr>
          <w:p w14:paraId="72F1264A" w14:textId="77777777" w:rsidR="00470F73" w:rsidRPr="0037058C" w:rsidRDefault="00470F73" w:rsidP="00860C0F">
            <w:pPr>
              <w:pStyle w:val="TableTextforPreamble"/>
            </w:pPr>
            <w:r w:rsidRPr="0037058C">
              <w:t>Industry</w:t>
            </w:r>
          </w:p>
        </w:tc>
        <w:tc>
          <w:tcPr>
            <w:tcW w:w="1712" w:type="dxa"/>
          </w:tcPr>
          <w:p w14:paraId="2856D8B9" w14:textId="77777777" w:rsidR="00470F73" w:rsidRPr="0037058C" w:rsidRDefault="00470F73" w:rsidP="00860C0F">
            <w:pPr>
              <w:pStyle w:val="TableTextforPreamble"/>
            </w:pPr>
            <w:r w:rsidRPr="0037058C">
              <w:t>333618,</w:t>
            </w:r>
          </w:p>
          <w:p w14:paraId="26C50428" w14:textId="77777777" w:rsidR="00470F73" w:rsidRPr="0037058C" w:rsidRDefault="00470F73" w:rsidP="00860C0F">
            <w:pPr>
              <w:pStyle w:val="TableTextforPreamble"/>
            </w:pPr>
            <w:r w:rsidRPr="0037058C">
              <w:t>336120,</w:t>
            </w:r>
          </w:p>
          <w:p w14:paraId="6F3D28ED" w14:textId="77777777" w:rsidR="00470F73" w:rsidRPr="0037058C" w:rsidRDefault="00470F73" w:rsidP="00860C0F">
            <w:pPr>
              <w:pStyle w:val="TableTextforPreamble"/>
            </w:pPr>
            <w:r w:rsidRPr="0037058C">
              <w:t>336211,</w:t>
            </w:r>
          </w:p>
          <w:p w14:paraId="1858075C" w14:textId="77777777" w:rsidR="00470F73" w:rsidRPr="0037058C" w:rsidRDefault="00470F73" w:rsidP="00860C0F">
            <w:pPr>
              <w:pStyle w:val="TableTextforPreamble"/>
            </w:pPr>
            <w:r w:rsidRPr="0037058C">
              <w:t>336312</w:t>
            </w:r>
          </w:p>
        </w:tc>
        <w:tc>
          <w:tcPr>
            <w:tcW w:w="1275" w:type="dxa"/>
            <w:shd w:val="clear" w:color="auto" w:fill="auto"/>
            <w:vAlign w:val="bottom"/>
          </w:tcPr>
          <w:p w14:paraId="041F0042" w14:textId="77777777" w:rsidR="00470F73" w:rsidRPr="0037058C" w:rsidRDefault="00470F73" w:rsidP="00860C0F">
            <w:pPr>
              <w:pStyle w:val="TableTextforPreamble"/>
            </w:pPr>
            <w:r w:rsidRPr="0037058C">
              <w:t>3699, 3711, 3713, 3714</w:t>
            </w:r>
          </w:p>
        </w:tc>
        <w:tc>
          <w:tcPr>
            <w:tcW w:w="4985" w:type="dxa"/>
            <w:shd w:val="clear" w:color="auto" w:fill="auto"/>
            <w:vAlign w:val="bottom"/>
          </w:tcPr>
          <w:p w14:paraId="3459A16B" w14:textId="77777777" w:rsidR="00470F73" w:rsidRPr="0037058C" w:rsidRDefault="00470F73" w:rsidP="00860C0F">
            <w:pPr>
              <w:pStyle w:val="TableTextforPreamble"/>
            </w:pPr>
            <w:r w:rsidRPr="0037058C">
              <w:t>On-highway heavy-duty engine &amp; vehicle (&gt;8,500 lbs GVWR) manufacturers</w:t>
            </w:r>
          </w:p>
        </w:tc>
      </w:tr>
    </w:tbl>
    <w:p w14:paraId="231E1E6A" w14:textId="77777777" w:rsidR="004C72D6" w:rsidRPr="0037058C" w:rsidRDefault="004C72D6" w:rsidP="004C72D6"/>
    <w:p w14:paraId="55817BFC" w14:textId="77777777" w:rsidR="004C72D6" w:rsidRPr="0037058C" w:rsidRDefault="00470F73" w:rsidP="004C72D6">
      <w:r w:rsidRPr="0037058C">
        <w:rPr>
          <w:vertAlign w:val="superscript"/>
        </w:rPr>
        <w:t>a</w:t>
      </w:r>
      <w:r w:rsidR="004C72D6" w:rsidRPr="0037058C">
        <w:rPr>
          <w:vertAlign w:val="superscript"/>
        </w:rPr>
        <w:t xml:space="preserve"> </w:t>
      </w:r>
      <w:r w:rsidR="004C72D6" w:rsidRPr="0037058C">
        <w:t>North American Industry Classification System (NAICS)</w:t>
      </w:r>
    </w:p>
    <w:p w14:paraId="637E4438" w14:textId="77777777" w:rsidR="00470F73" w:rsidRPr="0037058C" w:rsidRDefault="00470F73" w:rsidP="00470F73">
      <w:pPr>
        <w:pStyle w:val="TableNotesforPreamble"/>
      </w:pPr>
      <w:r w:rsidRPr="0037058C">
        <w:rPr>
          <w:vertAlign w:val="superscript"/>
        </w:rPr>
        <w:t>b</w:t>
      </w:r>
      <w:r w:rsidR="004C72D6" w:rsidRPr="0037058C">
        <w:t xml:space="preserve"> </w:t>
      </w:r>
      <w:r w:rsidR="004C72D6" w:rsidRPr="0037058C">
        <w:rPr>
          <w:rFonts w:ascii="Times" w:hAnsi="Times"/>
        </w:rPr>
        <w:t xml:space="preserve"> </w:t>
      </w:r>
      <w:r w:rsidRPr="0037058C">
        <w:rPr>
          <w:sz w:val="24"/>
        </w:rPr>
        <w:t>Standard Industrial Classification (SIC</w:t>
      </w:r>
      <w:r w:rsidRPr="0037058C">
        <w:t>).</w:t>
      </w:r>
    </w:p>
    <w:p w14:paraId="7E0BF1BB" w14:textId="77777777" w:rsidR="00470F73" w:rsidRPr="0037058C" w:rsidRDefault="00470F73" w:rsidP="004C72D6"/>
    <w:p w14:paraId="2B458786" w14:textId="77777777" w:rsidR="004C72D6" w:rsidRPr="0037058C" w:rsidRDefault="004C72D6" w:rsidP="004C72D6">
      <w:pPr>
        <w:rPr>
          <w:u w:val="single"/>
        </w:rPr>
      </w:pPr>
      <w:r w:rsidRPr="0037058C">
        <w:t xml:space="preserve">4(b) </w:t>
      </w:r>
      <w:r w:rsidRPr="0037058C">
        <w:rPr>
          <w:u w:val="single"/>
        </w:rPr>
        <w:t>Information Requested</w:t>
      </w:r>
    </w:p>
    <w:p w14:paraId="256CEB6F" w14:textId="77777777" w:rsidR="004C72D6" w:rsidRPr="0037058C" w:rsidRDefault="004C72D6" w:rsidP="004C72D6"/>
    <w:p w14:paraId="5E90CD4D" w14:textId="77777777" w:rsidR="004C72D6" w:rsidRPr="0037058C" w:rsidRDefault="004C72D6" w:rsidP="004C72D6">
      <w:pPr>
        <w:rPr>
          <w:spacing w:val="6"/>
        </w:rPr>
      </w:pPr>
      <w:r w:rsidRPr="0037058C">
        <w:rPr>
          <w:spacing w:val="6"/>
        </w:rPr>
        <w:t xml:space="preserve">(i) </w:t>
      </w:r>
      <w:r w:rsidRPr="0037058C">
        <w:rPr>
          <w:spacing w:val="6"/>
          <w:u w:val="single"/>
        </w:rPr>
        <w:t>Data items</w:t>
      </w:r>
    </w:p>
    <w:p w14:paraId="7420E3DA" w14:textId="77777777" w:rsidR="004C72D6" w:rsidRPr="0037058C" w:rsidRDefault="004C72D6" w:rsidP="004C72D6">
      <w:pPr>
        <w:rPr>
          <w:spacing w:val="6"/>
        </w:rPr>
      </w:pPr>
    </w:p>
    <w:p w14:paraId="2CD21D14" w14:textId="24968436" w:rsidR="004C72D6" w:rsidRPr="0037058C" w:rsidRDefault="004C72D6" w:rsidP="004C72D6">
      <w:pPr>
        <w:pStyle w:val="Style6"/>
        <w:jc w:val="left"/>
        <w:rPr>
          <w:spacing w:val="6"/>
        </w:rPr>
      </w:pPr>
      <w:r w:rsidRPr="0037058C">
        <w:rPr>
          <w:spacing w:val="6"/>
        </w:rPr>
        <w:tab/>
        <w:t xml:space="preserve">The information and reporting burden associated with this </w:t>
      </w:r>
      <w:r w:rsidR="00227854">
        <w:rPr>
          <w:spacing w:val="6"/>
        </w:rPr>
        <w:t>final rule</w:t>
      </w:r>
      <w:r w:rsidRPr="0037058C">
        <w:rPr>
          <w:spacing w:val="6"/>
        </w:rPr>
        <w:t xml:space="preserve"> occurs within the context of EPA’s motor vehicle certification program and the manufacturers’ in-use testing program (</w:t>
      </w:r>
      <w:proofErr w:type="spellStart"/>
      <w:r w:rsidRPr="0037058C">
        <w:rPr>
          <w:spacing w:val="6"/>
        </w:rPr>
        <w:t>IUVP</w:t>
      </w:r>
      <w:proofErr w:type="spellEnd"/>
      <w:r w:rsidRPr="0037058C">
        <w:rPr>
          <w:spacing w:val="6"/>
        </w:rPr>
        <w:t>).  Current regulations require manufacturers to submit emissions information to EPA in conjunction with these two programs (I</w:t>
      </w:r>
      <w:r w:rsidR="00C5321D" w:rsidRPr="0037058C">
        <w:rPr>
          <w:spacing w:val="6"/>
        </w:rPr>
        <w:t xml:space="preserve">nformation </w:t>
      </w:r>
      <w:r w:rsidRPr="0037058C">
        <w:rPr>
          <w:spacing w:val="6"/>
        </w:rPr>
        <w:t>C</w:t>
      </w:r>
      <w:r w:rsidR="00C5321D" w:rsidRPr="0037058C">
        <w:rPr>
          <w:spacing w:val="6"/>
        </w:rPr>
        <w:t>ollection</w:t>
      </w:r>
      <w:r w:rsidRPr="0037058C">
        <w:rPr>
          <w:spacing w:val="6"/>
        </w:rPr>
        <w:t xml:space="preserve">s).  Manufacturers must submit an application for emission certification prior to production.  The application describes the major aspects of the </w:t>
      </w:r>
      <w:r w:rsidR="003D3E47">
        <w:rPr>
          <w:spacing w:val="6"/>
        </w:rPr>
        <w:t>final</w:t>
      </w:r>
      <w:r w:rsidRPr="0037058C">
        <w:rPr>
          <w:spacing w:val="6"/>
        </w:rPr>
        <w:t xml:space="preserve"> product line, technical details of the emission control systems, and the results of tests to indicate compliance with the emissions</w:t>
      </w:r>
      <w:r w:rsidR="001B4CFB" w:rsidRPr="0037058C">
        <w:rPr>
          <w:spacing w:val="6"/>
        </w:rPr>
        <w:t xml:space="preserve">, greenhouse gases, and fuel economy </w:t>
      </w:r>
      <w:r w:rsidRPr="0037058C">
        <w:rPr>
          <w:spacing w:val="6"/>
        </w:rPr>
        <w:t xml:space="preserve">limitations.  The application and supporting test results are reviewed and, if appropriate, a certificate of conformity is issued.  Subsequently, low- and high-mileage vehicles in use are tested for emissions by manufacturers and the results of those tests reported to EPA. </w:t>
      </w:r>
    </w:p>
    <w:p w14:paraId="13B25DE9" w14:textId="77777777" w:rsidR="00CF18A8" w:rsidRPr="0037058C" w:rsidRDefault="00CF18A8" w:rsidP="004C72D6">
      <w:pPr>
        <w:pStyle w:val="Style6"/>
        <w:jc w:val="left"/>
        <w:rPr>
          <w:spacing w:val="6"/>
        </w:rPr>
      </w:pPr>
    </w:p>
    <w:p w14:paraId="3CC97EB9" w14:textId="3D5AD5F2" w:rsidR="00E3189C" w:rsidRPr="0037058C" w:rsidRDefault="00CF18A8" w:rsidP="004C72D6">
      <w:pPr>
        <w:pStyle w:val="Style6"/>
        <w:jc w:val="left"/>
        <w:rPr>
          <w:spacing w:val="6"/>
        </w:rPr>
      </w:pPr>
      <w:r w:rsidRPr="0037058C">
        <w:rPr>
          <w:spacing w:val="6"/>
        </w:rPr>
        <w:tab/>
        <w:t xml:space="preserve">The data items in the </w:t>
      </w:r>
      <w:r w:rsidR="001B4CFB" w:rsidRPr="0037058C">
        <w:rPr>
          <w:spacing w:val="6"/>
        </w:rPr>
        <w:t xml:space="preserve">Tier 3 </w:t>
      </w:r>
      <w:r w:rsidR="00227854">
        <w:rPr>
          <w:spacing w:val="6"/>
        </w:rPr>
        <w:t>final rule</w:t>
      </w:r>
      <w:r w:rsidRPr="0037058C">
        <w:rPr>
          <w:spacing w:val="6"/>
        </w:rPr>
        <w:t xml:space="preserve"> </w:t>
      </w:r>
      <w:r w:rsidR="001F1766" w:rsidRPr="0037058C">
        <w:rPr>
          <w:spacing w:val="6"/>
        </w:rPr>
        <w:t>are summarized below:</w:t>
      </w:r>
    </w:p>
    <w:p w14:paraId="190F5933" w14:textId="77777777" w:rsidR="00E3189C" w:rsidRPr="0037058C" w:rsidRDefault="00E3189C" w:rsidP="004C72D6">
      <w:pPr>
        <w:pStyle w:val="Style6"/>
        <w:jc w:val="left"/>
        <w:rPr>
          <w:spacing w:val="6"/>
        </w:rPr>
      </w:pPr>
    </w:p>
    <w:p w14:paraId="7CDDB2C5" w14:textId="77777777" w:rsidR="00E3189C" w:rsidRPr="0037058C" w:rsidRDefault="00E3189C" w:rsidP="00E3189C">
      <w:pPr>
        <w:pStyle w:val="Style6"/>
        <w:jc w:val="left"/>
        <w:rPr>
          <w:spacing w:val="6"/>
        </w:rPr>
      </w:pPr>
      <w:r w:rsidRPr="0037058C">
        <w:rPr>
          <w:spacing w:val="6"/>
        </w:rPr>
        <w:lastRenderedPageBreak/>
        <w:tab/>
        <w:t>Before the beginning of each model year:</w:t>
      </w:r>
    </w:p>
    <w:p w14:paraId="60202713" w14:textId="77777777" w:rsidR="00E3189C" w:rsidRPr="0037058C" w:rsidRDefault="00E3189C" w:rsidP="00E3189C">
      <w:pPr>
        <w:pStyle w:val="Style6"/>
        <w:ind w:left="1800"/>
        <w:jc w:val="left"/>
        <w:rPr>
          <w:spacing w:val="6"/>
        </w:rPr>
      </w:pPr>
    </w:p>
    <w:p w14:paraId="4C87F951" w14:textId="77777777" w:rsidR="00E3189C" w:rsidRPr="0037058C" w:rsidRDefault="001B4CFB" w:rsidP="00E3189C">
      <w:pPr>
        <w:pStyle w:val="Style6"/>
        <w:numPr>
          <w:ilvl w:val="0"/>
          <w:numId w:val="14"/>
        </w:numPr>
        <w:jc w:val="left"/>
        <w:rPr>
          <w:spacing w:val="6"/>
        </w:rPr>
      </w:pPr>
      <w:r w:rsidRPr="0037058C">
        <w:rPr>
          <w:spacing w:val="6"/>
        </w:rPr>
        <w:t>Tier 3</w:t>
      </w:r>
      <w:r w:rsidR="00E3189C" w:rsidRPr="0037058C">
        <w:rPr>
          <w:spacing w:val="6"/>
        </w:rPr>
        <w:t xml:space="preserve"> compliance plan</w:t>
      </w:r>
      <w:r w:rsidR="00A562DD" w:rsidRPr="0037058C">
        <w:rPr>
          <w:spacing w:val="6"/>
        </w:rPr>
        <w:t xml:space="preserve"> including projected use of credits </w:t>
      </w:r>
      <w:r w:rsidRPr="0037058C">
        <w:rPr>
          <w:spacing w:val="6"/>
        </w:rPr>
        <w:t>and alternative schedules</w:t>
      </w:r>
      <w:r w:rsidR="00E3189C" w:rsidRPr="0037058C">
        <w:rPr>
          <w:spacing w:val="6"/>
        </w:rPr>
        <w:t>.</w:t>
      </w:r>
    </w:p>
    <w:p w14:paraId="1774641B" w14:textId="77777777" w:rsidR="00E3189C" w:rsidRPr="0037058C" w:rsidRDefault="00E3189C" w:rsidP="00E3189C">
      <w:pPr>
        <w:pStyle w:val="Style6"/>
        <w:jc w:val="left"/>
        <w:rPr>
          <w:spacing w:val="6"/>
        </w:rPr>
      </w:pPr>
    </w:p>
    <w:p w14:paraId="673124D1" w14:textId="77777777" w:rsidR="00E3189C" w:rsidRPr="0037058C" w:rsidRDefault="00E3189C" w:rsidP="00E3189C">
      <w:pPr>
        <w:pStyle w:val="Style6"/>
        <w:jc w:val="left"/>
        <w:rPr>
          <w:spacing w:val="6"/>
        </w:rPr>
      </w:pPr>
      <w:r w:rsidRPr="0037058C">
        <w:rPr>
          <w:spacing w:val="6"/>
        </w:rPr>
        <w:tab/>
        <w:t>At the time of certification:</w:t>
      </w:r>
    </w:p>
    <w:p w14:paraId="635E4AED" w14:textId="77777777" w:rsidR="00E3189C" w:rsidRPr="0037058C" w:rsidRDefault="00E3189C" w:rsidP="00E3189C">
      <w:pPr>
        <w:pStyle w:val="Style6"/>
        <w:jc w:val="left"/>
        <w:rPr>
          <w:spacing w:val="6"/>
        </w:rPr>
      </w:pPr>
    </w:p>
    <w:p w14:paraId="336D609B" w14:textId="582FA44D" w:rsidR="00E3189C" w:rsidRPr="0037058C" w:rsidRDefault="001B4CFB" w:rsidP="00E3189C">
      <w:pPr>
        <w:pStyle w:val="Style6"/>
        <w:numPr>
          <w:ilvl w:val="0"/>
          <w:numId w:val="10"/>
        </w:numPr>
        <w:jc w:val="left"/>
        <w:rPr>
          <w:spacing w:val="6"/>
        </w:rPr>
      </w:pPr>
      <w:proofErr w:type="spellStart"/>
      <w:r w:rsidRPr="0037058C">
        <w:rPr>
          <w:spacing w:val="6"/>
        </w:rPr>
        <w:t>NM</w:t>
      </w:r>
      <w:r w:rsidR="00AC71F4">
        <w:rPr>
          <w:spacing w:val="6"/>
        </w:rPr>
        <w:t>OG+</w:t>
      </w:r>
      <w:r w:rsidR="001609D5" w:rsidRPr="0037058C">
        <w:rPr>
          <w:spacing w:val="6"/>
        </w:rPr>
        <w:t>NOx</w:t>
      </w:r>
      <w:proofErr w:type="spellEnd"/>
      <w:r w:rsidR="00B046D9">
        <w:rPr>
          <w:spacing w:val="6"/>
        </w:rPr>
        <w:t>, CO, formaldehyde</w:t>
      </w:r>
      <w:r w:rsidRPr="0037058C">
        <w:rPr>
          <w:spacing w:val="6"/>
        </w:rPr>
        <w:t xml:space="preserve"> and PM</w:t>
      </w:r>
      <w:r w:rsidR="00E3189C" w:rsidRPr="0037058C">
        <w:rPr>
          <w:spacing w:val="6"/>
          <w:vertAlign w:val="subscript"/>
        </w:rPr>
        <w:t xml:space="preserve"> </w:t>
      </w:r>
      <w:r w:rsidR="00E3189C" w:rsidRPr="0037058C">
        <w:rPr>
          <w:spacing w:val="6"/>
        </w:rPr>
        <w:t xml:space="preserve">emissions test results for </w:t>
      </w:r>
      <w:r w:rsidRPr="0037058C">
        <w:rPr>
          <w:spacing w:val="6"/>
        </w:rPr>
        <w:t>each test group being certified as specified in the rule.</w:t>
      </w:r>
    </w:p>
    <w:p w14:paraId="061FF37A" w14:textId="77777777" w:rsidR="00E3189C" w:rsidRPr="0037058C" w:rsidRDefault="00E3189C" w:rsidP="00E3189C">
      <w:pPr>
        <w:pStyle w:val="Style6"/>
        <w:ind w:left="720"/>
        <w:jc w:val="left"/>
        <w:rPr>
          <w:spacing w:val="6"/>
        </w:rPr>
      </w:pPr>
    </w:p>
    <w:p w14:paraId="12CC48A5" w14:textId="77777777" w:rsidR="00E3189C" w:rsidRPr="0037058C" w:rsidRDefault="00E3189C" w:rsidP="00E3189C">
      <w:pPr>
        <w:pStyle w:val="Style6"/>
        <w:ind w:left="720"/>
        <w:jc w:val="left"/>
        <w:rPr>
          <w:spacing w:val="6"/>
        </w:rPr>
      </w:pPr>
      <w:r w:rsidRPr="0037058C">
        <w:rPr>
          <w:spacing w:val="6"/>
        </w:rPr>
        <w:t xml:space="preserve">After the model year: </w:t>
      </w:r>
    </w:p>
    <w:p w14:paraId="420B93B2" w14:textId="77777777" w:rsidR="00E3189C" w:rsidRPr="0037058C" w:rsidRDefault="00E3189C" w:rsidP="00E3189C">
      <w:pPr>
        <w:pStyle w:val="Style6"/>
        <w:ind w:left="720"/>
        <w:jc w:val="left"/>
        <w:rPr>
          <w:spacing w:val="6"/>
        </w:rPr>
      </w:pPr>
    </w:p>
    <w:p w14:paraId="512DDE84" w14:textId="067298F2" w:rsidR="00E3189C" w:rsidRPr="0037058C" w:rsidRDefault="00E3189C" w:rsidP="00E3189C">
      <w:pPr>
        <w:pStyle w:val="Style6"/>
        <w:numPr>
          <w:ilvl w:val="0"/>
          <w:numId w:val="10"/>
        </w:numPr>
        <w:jc w:val="left"/>
        <w:rPr>
          <w:spacing w:val="6"/>
        </w:rPr>
      </w:pPr>
      <w:r w:rsidRPr="0037058C">
        <w:rPr>
          <w:spacing w:val="6"/>
        </w:rPr>
        <w:t xml:space="preserve">End of model year emissions report for </w:t>
      </w:r>
      <w:proofErr w:type="spellStart"/>
      <w:r w:rsidR="004A1D10" w:rsidRPr="0037058C">
        <w:rPr>
          <w:spacing w:val="6"/>
        </w:rPr>
        <w:t>N</w:t>
      </w:r>
      <w:r w:rsidR="001609D5" w:rsidRPr="0037058C">
        <w:rPr>
          <w:spacing w:val="6"/>
        </w:rPr>
        <w:t>MOG</w:t>
      </w:r>
      <w:r w:rsidR="00AC71F4">
        <w:rPr>
          <w:spacing w:val="6"/>
        </w:rPr>
        <w:t>+</w:t>
      </w:r>
      <w:r w:rsidR="004A1D10" w:rsidRPr="0037058C">
        <w:rPr>
          <w:spacing w:val="6"/>
        </w:rPr>
        <w:t>NOx</w:t>
      </w:r>
      <w:proofErr w:type="spellEnd"/>
      <w:r w:rsidR="004A1D10" w:rsidRPr="0037058C">
        <w:rPr>
          <w:spacing w:val="6"/>
        </w:rPr>
        <w:t xml:space="preserve"> and PM</w:t>
      </w:r>
      <w:r w:rsidRPr="0037058C">
        <w:rPr>
          <w:spacing w:val="6"/>
        </w:rPr>
        <w:t>, including t</w:t>
      </w:r>
      <w:r w:rsidR="001609D5" w:rsidRPr="0037058C">
        <w:rPr>
          <w:color w:val="000000"/>
        </w:rPr>
        <w:t>he final fleet average,</w:t>
      </w:r>
      <w:r w:rsidRPr="0037058C">
        <w:rPr>
          <w:color w:val="000000"/>
        </w:rPr>
        <w:t xml:space="preserve"> all values required</w:t>
      </w:r>
      <w:r w:rsidR="001609D5" w:rsidRPr="0037058C">
        <w:rPr>
          <w:color w:val="000000"/>
        </w:rPr>
        <w:t xml:space="preserve"> to calculate the fleet average</w:t>
      </w:r>
      <w:r w:rsidRPr="0037058C">
        <w:rPr>
          <w:color w:val="000000"/>
        </w:rPr>
        <w:t>, the actual fleet average that was achieved, all values required to calculate the actual fleet average, the number of credits generated or debits incurred, all the values required to calcu</w:t>
      </w:r>
      <w:r w:rsidR="00AC71F4">
        <w:rPr>
          <w:color w:val="000000"/>
        </w:rPr>
        <w:t xml:space="preserve">late the credits or debits, and </w:t>
      </w:r>
      <w:r w:rsidRPr="0037058C">
        <w:rPr>
          <w:color w:val="000000"/>
        </w:rPr>
        <w:t xml:space="preserve">the resulting balance of credits or debits.  </w:t>
      </w:r>
    </w:p>
    <w:p w14:paraId="67BE5966" w14:textId="77777777" w:rsidR="00E3189C" w:rsidRPr="0037058C" w:rsidRDefault="00E3189C" w:rsidP="00E3189C">
      <w:pPr>
        <w:pStyle w:val="Style6"/>
        <w:numPr>
          <w:ilvl w:val="0"/>
          <w:numId w:val="10"/>
        </w:numPr>
        <w:jc w:val="left"/>
        <w:rPr>
          <w:spacing w:val="6"/>
        </w:rPr>
      </w:pPr>
      <w:r w:rsidRPr="0037058C">
        <w:rPr>
          <w:spacing w:val="6"/>
        </w:rPr>
        <w:t xml:space="preserve">Report of credit transactions. </w:t>
      </w:r>
    </w:p>
    <w:p w14:paraId="0C788A08" w14:textId="77777777" w:rsidR="00E3189C" w:rsidRPr="0037058C" w:rsidRDefault="00E3189C" w:rsidP="00E3189C">
      <w:pPr>
        <w:pStyle w:val="Style6"/>
        <w:ind w:left="720"/>
        <w:jc w:val="left"/>
        <w:rPr>
          <w:spacing w:val="6"/>
        </w:rPr>
      </w:pPr>
    </w:p>
    <w:p w14:paraId="0753FE92" w14:textId="77777777" w:rsidR="00E3189C" w:rsidRPr="0037058C" w:rsidRDefault="00E3189C" w:rsidP="00E3189C">
      <w:pPr>
        <w:pStyle w:val="Style6"/>
        <w:ind w:left="720"/>
        <w:jc w:val="left"/>
        <w:rPr>
          <w:spacing w:val="6"/>
        </w:rPr>
      </w:pPr>
      <w:r w:rsidRPr="0037058C">
        <w:rPr>
          <w:spacing w:val="6"/>
        </w:rPr>
        <w:t>During in-use testing:</w:t>
      </w:r>
    </w:p>
    <w:p w14:paraId="3C59DA37" w14:textId="77777777" w:rsidR="00E3189C" w:rsidRPr="0037058C" w:rsidRDefault="00E3189C" w:rsidP="00E3189C">
      <w:pPr>
        <w:pStyle w:val="Style6"/>
        <w:ind w:left="720"/>
        <w:jc w:val="left"/>
        <w:rPr>
          <w:spacing w:val="6"/>
        </w:rPr>
      </w:pPr>
    </w:p>
    <w:p w14:paraId="5E154C24" w14:textId="77777777" w:rsidR="00E3189C" w:rsidRPr="0037058C" w:rsidRDefault="00E3189C" w:rsidP="00E3189C">
      <w:pPr>
        <w:pStyle w:val="Style6"/>
        <w:numPr>
          <w:ilvl w:val="0"/>
          <w:numId w:val="10"/>
        </w:numPr>
        <w:jc w:val="left"/>
        <w:rPr>
          <w:spacing w:val="6"/>
        </w:rPr>
      </w:pPr>
      <w:r w:rsidRPr="0037058C">
        <w:rPr>
          <w:spacing w:val="6"/>
        </w:rPr>
        <w:t xml:space="preserve">Results of </w:t>
      </w:r>
      <w:r w:rsidR="007D686A" w:rsidRPr="0037058C">
        <w:rPr>
          <w:spacing w:val="6"/>
        </w:rPr>
        <w:t>FTP</w:t>
      </w:r>
      <w:r w:rsidR="00580103">
        <w:rPr>
          <w:spacing w:val="6"/>
        </w:rPr>
        <w:t xml:space="preserve"> and SFTP</w:t>
      </w:r>
      <w:r w:rsidR="007D686A" w:rsidRPr="0037058C">
        <w:rPr>
          <w:spacing w:val="6"/>
        </w:rPr>
        <w:t xml:space="preserve"> </w:t>
      </w:r>
      <w:r w:rsidR="00FA7C39" w:rsidRPr="0037058C">
        <w:rPr>
          <w:spacing w:val="6"/>
        </w:rPr>
        <w:t>PM and evaporative emissions tests as specified in the regulations.</w:t>
      </w:r>
    </w:p>
    <w:p w14:paraId="7216EAF3" w14:textId="77777777" w:rsidR="005E137A" w:rsidRPr="0037058C" w:rsidRDefault="005E137A" w:rsidP="005E137A">
      <w:pPr>
        <w:pStyle w:val="Style6"/>
        <w:ind w:left="2160"/>
        <w:jc w:val="left"/>
        <w:rPr>
          <w:spacing w:val="6"/>
        </w:rPr>
      </w:pPr>
    </w:p>
    <w:p w14:paraId="74405F5D" w14:textId="77777777" w:rsidR="004C72D6" w:rsidRPr="0037058C" w:rsidRDefault="000062EF" w:rsidP="004C72D6">
      <w:pPr>
        <w:rPr>
          <w:spacing w:val="6"/>
          <w:u w:val="single"/>
        </w:rPr>
      </w:pPr>
      <w:r w:rsidRPr="0037058C">
        <w:rPr>
          <w:spacing w:val="6"/>
        </w:rPr>
        <w:t xml:space="preserve"> </w:t>
      </w:r>
      <w:r w:rsidR="004C72D6" w:rsidRPr="0037058C">
        <w:rPr>
          <w:spacing w:val="6"/>
        </w:rPr>
        <w:t xml:space="preserve">(ii) </w:t>
      </w:r>
      <w:r w:rsidR="004C72D6" w:rsidRPr="0037058C">
        <w:rPr>
          <w:spacing w:val="6"/>
          <w:u w:val="single"/>
        </w:rPr>
        <w:t>Respondent Activities</w:t>
      </w:r>
    </w:p>
    <w:p w14:paraId="649772FC" w14:textId="77777777" w:rsidR="004C72D6" w:rsidRPr="0037058C" w:rsidRDefault="004C72D6" w:rsidP="004C72D6">
      <w:pPr>
        <w:rPr>
          <w:spacing w:val="6"/>
        </w:rPr>
      </w:pPr>
    </w:p>
    <w:p w14:paraId="212325A9" w14:textId="2F86B0EF" w:rsidR="004C72D6" w:rsidRPr="0037058C" w:rsidRDefault="004C72D6" w:rsidP="004C72D6">
      <w:pPr>
        <w:pStyle w:val="Style6"/>
        <w:jc w:val="left"/>
        <w:rPr>
          <w:spacing w:val="6"/>
        </w:rPr>
      </w:pPr>
      <w:r w:rsidRPr="0037058C">
        <w:rPr>
          <w:spacing w:val="6"/>
        </w:rPr>
        <w:tab/>
        <w:t xml:space="preserve">While there is no “typical” respondent, all manufacturers must describe their product and supply test data and other information to verify compliance, including the test data and reports added by this </w:t>
      </w:r>
      <w:r w:rsidR="00441BD8" w:rsidRPr="0037058C">
        <w:rPr>
          <w:spacing w:val="6"/>
        </w:rPr>
        <w:t>rule</w:t>
      </w:r>
      <w:r w:rsidRPr="0037058C">
        <w:rPr>
          <w:spacing w:val="6"/>
        </w:rPr>
        <w:t xml:space="preserve">. </w:t>
      </w:r>
      <w:r w:rsidR="00AC71F4">
        <w:rPr>
          <w:spacing w:val="6"/>
        </w:rPr>
        <w:t xml:space="preserve"> </w:t>
      </w:r>
      <w:r w:rsidRPr="0037058C">
        <w:rPr>
          <w:spacing w:val="6"/>
        </w:rPr>
        <w:t xml:space="preserve">After certification, additional tests are conducted and the results reported to EPA. </w:t>
      </w:r>
      <w:r w:rsidR="00D62A8A">
        <w:rPr>
          <w:spacing w:val="6"/>
        </w:rPr>
        <w:t xml:space="preserve"> </w:t>
      </w:r>
      <w:r w:rsidRPr="0037058C">
        <w:rPr>
          <w:spacing w:val="6"/>
        </w:rPr>
        <w:t xml:space="preserve">After the end of the model year fleet average </w:t>
      </w:r>
      <w:r w:rsidR="000E4343" w:rsidRPr="0037058C">
        <w:rPr>
          <w:spacing w:val="6"/>
        </w:rPr>
        <w:t xml:space="preserve">Tier 3, fuel economy and </w:t>
      </w:r>
      <w:r w:rsidRPr="0037058C">
        <w:rPr>
          <w:spacing w:val="6"/>
        </w:rPr>
        <w:t>greenhouse gas emissions will be calculated and reported and credits, debits, and trades described.</w:t>
      </w:r>
      <w:r w:rsidR="00AC71F4">
        <w:rPr>
          <w:spacing w:val="6"/>
        </w:rPr>
        <w:t xml:space="preserve"> </w:t>
      </w:r>
      <w:r w:rsidRPr="0037058C">
        <w:rPr>
          <w:spacing w:val="6"/>
        </w:rPr>
        <w:t xml:space="preserve"> As now, high mileage and low mileage in-use vehicles are procured by manufacturers and tested for emissions</w:t>
      </w:r>
      <w:r w:rsidR="000E4343" w:rsidRPr="0037058C">
        <w:rPr>
          <w:spacing w:val="6"/>
        </w:rPr>
        <w:t xml:space="preserve"> in the </w:t>
      </w:r>
      <w:proofErr w:type="spellStart"/>
      <w:r w:rsidR="000E4343" w:rsidRPr="0037058C">
        <w:rPr>
          <w:spacing w:val="6"/>
        </w:rPr>
        <w:t>IUVP</w:t>
      </w:r>
      <w:proofErr w:type="spellEnd"/>
      <w:r w:rsidR="000E4343" w:rsidRPr="0037058C">
        <w:rPr>
          <w:spacing w:val="6"/>
        </w:rPr>
        <w:t xml:space="preserve"> program.</w:t>
      </w:r>
      <w:r w:rsidRPr="0037058C">
        <w:rPr>
          <w:spacing w:val="6"/>
        </w:rPr>
        <w:t xml:space="preserve"> </w:t>
      </w:r>
      <w:r w:rsidR="00D62A8A">
        <w:rPr>
          <w:spacing w:val="6"/>
        </w:rPr>
        <w:t xml:space="preserve"> </w:t>
      </w:r>
      <w:r w:rsidRPr="0037058C">
        <w:rPr>
          <w:spacing w:val="6"/>
        </w:rPr>
        <w:t>EPA also conducts a limited number of “confirmatory tests” to monitor manufacturer results, and this will continue as before</w:t>
      </w:r>
      <w:r w:rsidR="000E4343" w:rsidRPr="0037058C">
        <w:rPr>
          <w:spacing w:val="6"/>
        </w:rPr>
        <w:t>.</w:t>
      </w:r>
      <w:r w:rsidR="00AC71F4">
        <w:rPr>
          <w:spacing w:val="6"/>
        </w:rPr>
        <w:t xml:space="preserve"> </w:t>
      </w:r>
      <w:r w:rsidRPr="0037058C">
        <w:rPr>
          <w:spacing w:val="6"/>
        </w:rPr>
        <w:t xml:space="preserve"> This requires test vehicles to be shipped to EPA’s laboratory. </w:t>
      </w:r>
      <w:r w:rsidR="00D62A8A">
        <w:rPr>
          <w:spacing w:val="6"/>
        </w:rPr>
        <w:t xml:space="preserve"> </w:t>
      </w:r>
      <w:r w:rsidRPr="0037058C">
        <w:rPr>
          <w:spacing w:val="6"/>
        </w:rPr>
        <w:t xml:space="preserve">Manufacturers must also retain records.  These tasks are repeated for each model year, although typically previous data and information can be “carried over” when no significant changes have occurred.  If, during the course of a model year a product change is made (a “running change”), EPA must be notified.  Under some circumstances additional test data may be required. </w:t>
      </w:r>
    </w:p>
    <w:p w14:paraId="5C687E63" w14:textId="77777777" w:rsidR="000E4343" w:rsidRDefault="000E4343" w:rsidP="004C72D6">
      <w:pPr>
        <w:pStyle w:val="Style6"/>
        <w:jc w:val="left"/>
        <w:rPr>
          <w:spacing w:val="6"/>
        </w:rPr>
      </w:pPr>
    </w:p>
    <w:p w14:paraId="2FC58C6F" w14:textId="77777777" w:rsidR="001C6A02" w:rsidRPr="0037058C" w:rsidRDefault="001C6A02" w:rsidP="004C72D6">
      <w:pPr>
        <w:pStyle w:val="Style6"/>
        <w:jc w:val="left"/>
        <w:rPr>
          <w:spacing w:val="6"/>
        </w:rPr>
      </w:pPr>
    </w:p>
    <w:p w14:paraId="48A94A73" w14:textId="77777777" w:rsidR="004C72D6" w:rsidRPr="0037058C" w:rsidRDefault="004C72D6" w:rsidP="004C72D6">
      <w:pPr>
        <w:pStyle w:val="Style6"/>
        <w:jc w:val="left"/>
        <w:rPr>
          <w:spacing w:val="6"/>
          <w:u w:val="single"/>
        </w:rPr>
      </w:pPr>
      <w:r w:rsidRPr="0037058C">
        <w:rPr>
          <w:spacing w:val="4"/>
          <w:u w:val="single"/>
        </w:rPr>
        <w:t xml:space="preserve">Section 5: The Information Collected—Agency Activities, Collection Methodology, and Information </w:t>
      </w:r>
      <w:r w:rsidRPr="0037058C">
        <w:rPr>
          <w:spacing w:val="6"/>
          <w:u w:val="single"/>
        </w:rPr>
        <w:t>Management</w:t>
      </w:r>
    </w:p>
    <w:p w14:paraId="219A0C99" w14:textId="77777777" w:rsidR="004C72D6" w:rsidRPr="0037058C" w:rsidRDefault="004C72D6" w:rsidP="004C72D6">
      <w:pPr>
        <w:pStyle w:val="Style5"/>
        <w:adjustRightInd/>
        <w:rPr>
          <w:spacing w:val="6"/>
        </w:rPr>
      </w:pPr>
    </w:p>
    <w:p w14:paraId="2DE215DC" w14:textId="77777777" w:rsidR="000062EF" w:rsidRPr="0037058C" w:rsidRDefault="004C72D6" w:rsidP="000062EF">
      <w:pPr>
        <w:numPr>
          <w:ilvl w:val="0"/>
          <w:numId w:val="3"/>
        </w:numPr>
        <w:rPr>
          <w:spacing w:val="6"/>
        </w:rPr>
      </w:pPr>
      <w:r w:rsidRPr="0037058C">
        <w:rPr>
          <w:spacing w:val="6"/>
          <w:u w:val="single"/>
        </w:rPr>
        <w:lastRenderedPageBreak/>
        <w:t>Agency Activities</w:t>
      </w:r>
      <w:r w:rsidR="000062EF" w:rsidRPr="0037058C">
        <w:rPr>
          <w:spacing w:val="6"/>
        </w:rPr>
        <w:t xml:space="preserve"> </w:t>
      </w:r>
    </w:p>
    <w:p w14:paraId="556D6F50" w14:textId="77777777" w:rsidR="000062EF" w:rsidRPr="0037058C" w:rsidRDefault="000062EF" w:rsidP="000062EF">
      <w:pPr>
        <w:rPr>
          <w:spacing w:val="6"/>
        </w:rPr>
      </w:pPr>
    </w:p>
    <w:p w14:paraId="62543A75" w14:textId="31FD7A1E" w:rsidR="004C72D6" w:rsidRPr="0037058C" w:rsidRDefault="004C72D6" w:rsidP="00AC44E1">
      <w:pPr>
        <w:pStyle w:val="Style6"/>
        <w:jc w:val="left"/>
        <w:rPr>
          <w:spacing w:val="6"/>
        </w:rPr>
      </w:pPr>
      <w:r w:rsidRPr="0037058C">
        <w:rPr>
          <w:spacing w:val="6"/>
        </w:rPr>
        <w:tab/>
      </w:r>
      <w:r w:rsidR="00AC44E1" w:rsidRPr="0037058C">
        <w:rPr>
          <w:spacing w:val="6"/>
        </w:rPr>
        <w:t xml:space="preserve">The test data used by EPA to determine compliance with Tier 3 and other emissions and fuel economy standards are derived from vehicle testing done by vehicle manufacturers who report their own test data to EPA. </w:t>
      </w:r>
      <w:r w:rsidR="00D62A8A">
        <w:rPr>
          <w:spacing w:val="6"/>
        </w:rPr>
        <w:t xml:space="preserve"> </w:t>
      </w:r>
      <w:r w:rsidR="00AC44E1" w:rsidRPr="0037058C">
        <w:rPr>
          <w:spacing w:val="6"/>
        </w:rPr>
        <w:t xml:space="preserve">A significant portion of EPA’s emission and fuel economy compliance activity is spent reviewing such applications to verify that the correct vehicle tests have been conducted and necessary information submitted. </w:t>
      </w:r>
      <w:r w:rsidR="00D62A8A">
        <w:rPr>
          <w:spacing w:val="6"/>
        </w:rPr>
        <w:t xml:space="preserve"> </w:t>
      </w:r>
      <w:r w:rsidR="00AC44E1" w:rsidRPr="0037058C">
        <w:rPr>
          <w:spacing w:val="6"/>
        </w:rPr>
        <w:t xml:space="preserve">Running change submissions must also be selectively reviewed for possible emissions impacts and manufacturers’ evaluations thereof. </w:t>
      </w:r>
      <w:r w:rsidR="00D62A8A">
        <w:rPr>
          <w:spacing w:val="6"/>
        </w:rPr>
        <w:t xml:space="preserve"> </w:t>
      </w:r>
      <w:r w:rsidR="00AC44E1" w:rsidRPr="0037058C">
        <w:rPr>
          <w:spacing w:val="6"/>
        </w:rPr>
        <w:t xml:space="preserve">A part of this process involves determining if “carry over” of data from a previous model year or “carry-across” data from testing of similar vehicles and engines is appropriate or if new testing will be required. </w:t>
      </w:r>
      <w:r w:rsidR="00D62A8A">
        <w:rPr>
          <w:spacing w:val="6"/>
        </w:rPr>
        <w:t xml:space="preserve"> </w:t>
      </w:r>
      <w:r w:rsidR="00AC44E1" w:rsidRPr="0037058C">
        <w:rPr>
          <w:spacing w:val="6"/>
        </w:rPr>
        <w:t xml:space="preserve">EPA will also select a number of tests for confirmation at EPA’s own laboratory.  EPA maintains the relevant reporting systems and records and analyzes relevant data for regulatory and oversight purposes. </w:t>
      </w:r>
      <w:r w:rsidR="00D62A8A">
        <w:rPr>
          <w:spacing w:val="6"/>
        </w:rPr>
        <w:t xml:space="preserve"> </w:t>
      </w:r>
      <w:r w:rsidR="00AC44E1" w:rsidRPr="0037058C">
        <w:rPr>
          <w:spacing w:val="6"/>
        </w:rPr>
        <w:t>EPA</w:t>
      </w:r>
      <w:r w:rsidR="00AC71F4">
        <w:rPr>
          <w:spacing w:val="6"/>
        </w:rPr>
        <w:t xml:space="preserve"> also prepares an annual report</w:t>
      </w:r>
      <w:r w:rsidR="00AC44E1" w:rsidRPr="0037058C">
        <w:rPr>
          <w:spacing w:val="6"/>
        </w:rPr>
        <w:t xml:space="preserve"> of emission test results. </w:t>
      </w:r>
      <w:r w:rsidR="00D62A8A">
        <w:rPr>
          <w:spacing w:val="6"/>
        </w:rPr>
        <w:t xml:space="preserve"> </w:t>
      </w:r>
      <w:r w:rsidR="00746F85" w:rsidRPr="0037058C">
        <w:rPr>
          <w:spacing w:val="6"/>
        </w:rPr>
        <w:t>Applications for certification of compliance with the Clean Air Act, along with associated reports, such as end-of-year annual sales-weighted fleet emissions data, are received and processed</w:t>
      </w:r>
      <w:r w:rsidR="00AC44E1" w:rsidRPr="0037058C">
        <w:rPr>
          <w:spacing w:val="6"/>
        </w:rPr>
        <w:t xml:space="preserve"> at EPA's National Vehicle and Fuel Emissions Laboratory in Ann Arbor, Michigan where the "confirmatory" tests are also conducted</w:t>
      </w:r>
      <w:r w:rsidR="00746F85" w:rsidRPr="0037058C">
        <w:rPr>
          <w:spacing w:val="6"/>
        </w:rPr>
        <w:t>.</w:t>
      </w:r>
    </w:p>
    <w:p w14:paraId="54539802" w14:textId="77777777" w:rsidR="004C72D6" w:rsidRPr="0037058C" w:rsidRDefault="004C72D6" w:rsidP="004C72D6">
      <w:pPr>
        <w:pStyle w:val="Style6"/>
        <w:jc w:val="left"/>
        <w:rPr>
          <w:spacing w:val="6"/>
        </w:rPr>
      </w:pPr>
    </w:p>
    <w:p w14:paraId="25FB6815" w14:textId="77777777" w:rsidR="004C72D6" w:rsidRPr="0037058C" w:rsidRDefault="004C72D6" w:rsidP="004C72D6">
      <w:pPr>
        <w:pStyle w:val="Style6"/>
        <w:jc w:val="left"/>
        <w:rPr>
          <w:u w:val="single"/>
        </w:rPr>
      </w:pPr>
      <w:r w:rsidRPr="0037058C">
        <w:t xml:space="preserve">5(b) </w:t>
      </w:r>
      <w:r w:rsidRPr="0037058C">
        <w:rPr>
          <w:u w:val="single"/>
        </w:rPr>
        <w:t>Collection Methodology and Management</w:t>
      </w:r>
    </w:p>
    <w:p w14:paraId="38D4C1ED" w14:textId="77777777" w:rsidR="004C72D6" w:rsidRPr="0037058C" w:rsidRDefault="004C72D6" w:rsidP="004C72D6">
      <w:pPr>
        <w:pStyle w:val="Style6"/>
        <w:jc w:val="left"/>
        <w:rPr>
          <w:u w:val="single"/>
        </w:rPr>
      </w:pPr>
    </w:p>
    <w:p w14:paraId="552061D6" w14:textId="0ADD14A3" w:rsidR="004C72D6" w:rsidRPr="0037058C" w:rsidRDefault="004C72D6" w:rsidP="004C72D6">
      <w:pPr>
        <w:pStyle w:val="Style6"/>
        <w:jc w:val="left"/>
        <w:rPr>
          <w:spacing w:val="6"/>
        </w:rPr>
      </w:pPr>
      <w:r w:rsidRPr="0037058C">
        <w:rPr>
          <w:spacing w:val="6"/>
        </w:rPr>
        <w:tab/>
        <w:t>EPA currently makes extensive use of computers in collecting information from vehicle manufacturers.  Essentially all routine information (test results and vehicle descriptions in applications for certification and subsequ</w:t>
      </w:r>
      <w:r w:rsidR="000062EF" w:rsidRPr="0037058C">
        <w:rPr>
          <w:spacing w:val="6"/>
        </w:rPr>
        <w:t xml:space="preserve">ent model tests, </w:t>
      </w:r>
      <w:proofErr w:type="spellStart"/>
      <w:r w:rsidR="000062EF" w:rsidRPr="0037058C">
        <w:rPr>
          <w:spacing w:val="6"/>
        </w:rPr>
        <w:t>IUVP</w:t>
      </w:r>
      <w:proofErr w:type="spellEnd"/>
      <w:r w:rsidR="000062EF" w:rsidRPr="0037058C">
        <w:rPr>
          <w:spacing w:val="6"/>
        </w:rPr>
        <w:t xml:space="preserve"> data, end-of-</w:t>
      </w:r>
      <w:r w:rsidRPr="0037058C">
        <w:rPr>
          <w:spacing w:val="6"/>
        </w:rPr>
        <w:t xml:space="preserve">year reports, </w:t>
      </w:r>
      <w:r w:rsidR="00EB201D" w:rsidRPr="0037058C">
        <w:rPr>
          <w:spacing w:val="6"/>
        </w:rPr>
        <w:t xml:space="preserve">credits and </w:t>
      </w:r>
      <w:r w:rsidRPr="0037058C">
        <w:rPr>
          <w:spacing w:val="6"/>
        </w:rPr>
        <w:t xml:space="preserve">ABT reports, deterioration determinations, etc.) is electronically transmitted directly from the manufacturers through the Verify system.  The rule makes no changes in this reporting system, only changing the format and content of some of the information reported within it. </w:t>
      </w:r>
    </w:p>
    <w:p w14:paraId="5656262F" w14:textId="77777777" w:rsidR="004C72D6" w:rsidRPr="0037058C" w:rsidRDefault="004C72D6" w:rsidP="004C72D6">
      <w:pPr>
        <w:pStyle w:val="Style6"/>
        <w:jc w:val="left"/>
        <w:rPr>
          <w:spacing w:val="6"/>
        </w:rPr>
      </w:pPr>
    </w:p>
    <w:p w14:paraId="4203B1F0" w14:textId="5E6D6A75" w:rsidR="004C72D6" w:rsidRPr="0037058C" w:rsidRDefault="004C72D6" w:rsidP="004C72D6">
      <w:pPr>
        <w:pStyle w:val="Style6"/>
        <w:jc w:val="left"/>
        <w:rPr>
          <w:spacing w:val="6"/>
        </w:rPr>
      </w:pPr>
      <w:r w:rsidRPr="0037058C">
        <w:rPr>
          <w:spacing w:val="6"/>
        </w:rPr>
        <w:tab/>
        <w:t xml:space="preserve">All information received by EPA is subject to review.  Data submitted electronically are automatically screened; test results that are close to emission and fuel economy standards are reviewed in more detail.  Narrative descriptions of the </w:t>
      </w:r>
      <w:r w:rsidR="003D3E47">
        <w:rPr>
          <w:spacing w:val="6"/>
        </w:rPr>
        <w:t>final</w:t>
      </w:r>
      <w:r w:rsidRPr="0037058C">
        <w:rPr>
          <w:spacing w:val="6"/>
        </w:rPr>
        <w:t xml:space="preserve"> product line are checked to verify that the appropriate vehicles have been tested.  (The emission and fuel economy programs rely on a combination of “worst case” and representative data to accomplish their goals.)  Except for projected sales and a limited amount of </w:t>
      </w:r>
      <w:r w:rsidR="00FD3805" w:rsidRPr="0037058C">
        <w:rPr>
          <w:spacing w:val="6"/>
        </w:rPr>
        <w:t>proprietary product information</w:t>
      </w:r>
      <w:r w:rsidRPr="0037058C">
        <w:rPr>
          <w:spacing w:val="6"/>
        </w:rPr>
        <w:t>, all information is available to the public as soon as the vehicle is offered for sale.  Emission and fuel economy data are available on the internet; other information is available upon request under the Freedom of Information Act.</w:t>
      </w:r>
    </w:p>
    <w:p w14:paraId="22CE2E5D" w14:textId="77777777" w:rsidR="004C72D6" w:rsidRPr="0037058C" w:rsidRDefault="004C72D6" w:rsidP="004C72D6">
      <w:pPr>
        <w:pStyle w:val="Style6"/>
        <w:jc w:val="left"/>
      </w:pPr>
    </w:p>
    <w:p w14:paraId="5AD56805" w14:textId="77777777" w:rsidR="004C72D6" w:rsidRPr="0037058C" w:rsidRDefault="004C72D6" w:rsidP="004C72D6">
      <w:pPr>
        <w:pStyle w:val="Style6"/>
        <w:jc w:val="left"/>
        <w:rPr>
          <w:u w:val="single"/>
        </w:rPr>
      </w:pPr>
      <w:r w:rsidRPr="0037058C">
        <w:t xml:space="preserve">5(c) </w:t>
      </w:r>
      <w:r w:rsidRPr="0037058C">
        <w:rPr>
          <w:u w:val="single"/>
        </w:rPr>
        <w:t>Small Entity Flexibility</w:t>
      </w:r>
    </w:p>
    <w:p w14:paraId="48047789" w14:textId="77777777" w:rsidR="004C72D6" w:rsidRPr="0037058C" w:rsidRDefault="004C72D6" w:rsidP="004C72D6">
      <w:pPr>
        <w:pStyle w:val="Style6"/>
        <w:jc w:val="left"/>
      </w:pPr>
    </w:p>
    <w:p w14:paraId="6E6A95F0" w14:textId="269A0204" w:rsidR="00EB201D" w:rsidRPr="0037058C" w:rsidRDefault="008A6070" w:rsidP="004C72D6">
      <w:pPr>
        <w:pStyle w:val="Style6"/>
        <w:jc w:val="left"/>
      </w:pPr>
      <w:r w:rsidRPr="0037058C">
        <w:rPr>
          <w:spacing w:val="6"/>
        </w:rPr>
        <w:tab/>
      </w:r>
      <w:r w:rsidR="00775661" w:rsidRPr="0037058C">
        <w:rPr>
          <w:spacing w:val="6"/>
        </w:rPr>
        <w:t xml:space="preserve">The preamble to the </w:t>
      </w:r>
      <w:r w:rsidR="00227854">
        <w:rPr>
          <w:spacing w:val="6"/>
        </w:rPr>
        <w:t>final rule</w:t>
      </w:r>
      <w:r w:rsidR="00775661" w:rsidRPr="0037058C">
        <w:rPr>
          <w:spacing w:val="6"/>
        </w:rPr>
        <w:t xml:space="preserve"> discusses </w:t>
      </w:r>
      <w:r w:rsidR="00303D83" w:rsidRPr="0037058C">
        <w:rPr>
          <w:spacing w:val="6"/>
        </w:rPr>
        <w:t xml:space="preserve">several new and extended existing </w:t>
      </w:r>
      <w:r w:rsidR="00775661" w:rsidRPr="0037058C">
        <w:rPr>
          <w:spacing w:val="6"/>
        </w:rPr>
        <w:t>provisions specifically designed to give flexibility and relief to small manufactu</w:t>
      </w:r>
      <w:r w:rsidR="002F5E89" w:rsidRPr="0037058C">
        <w:rPr>
          <w:spacing w:val="6"/>
        </w:rPr>
        <w:t xml:space="preserve">rers </w:t>
      </w:r>
      <w:r w:rsidR="002B1D30" w:rsidRPr="0037058C">
        <w:rPr>
          <w:spacing w:val="6"/>
        </w:rPr>
        <w:t>(</w:t>
      </w:r>
      <w:r w:rsidR="007F04E2" w:rsidRPr="0037058C">
        <w:rPr>
          <w:spacing w:val="6"/>
        </w:rPr>
        <w:t xml:space="preserve">generally </w:t>
      </w:r>
      <w:r w:rsidR="002B1D30" w:rsidRPr="0037058C">
        <w:rPr>
          <w:spacing w:val="6"/>
        </w:rPr>
        <w:t xml:space="preserve">those who qualify as small businesses under the Small Business </w:t>
      </w:r>
      <w:r w:rsidR="002B1D30" w:rsidRPr="0037058C">
        <w:rPr>
          <w:spacing w:val="6"/>
        </w:rPr>
        <w:lastRenderedPageBreak/>
        <w:t>Administration definition)</w:t>
      </w:r>
      <w:r w:rsidR="002F5E89" w:rsidRPr="0037058C">
        <w:rPr>
          <w:spacing w:val="6"/>
        </w:rPr>
        <w:t xml:space="preserve">: postponed compliance with the standards and other Tier 3 requirements otherwise applicable to earlier model years until model year 2022; extension of existing reduced testing requirements for </w:t>
      </w:r>
      <w:r w:rsidR="007F04E2" w:rsidRPr="0037058C">
        <w:rPr>
          <w:spacing w:val="6"/>
        </w:rPr>
        <w:t>"</w:t>
      </w:r>
      <w:r w:rsidR="002F5E89" w:rsidRPr="0037058C">
        <w:rPr>
          <w:spacing w:val="6"/>
        </w:rPr>
        <w:t>small manufacturers</w:t>
      </w:r>
      <w:r w:rsidR="007F04E2" w:rsidRPr="0037058C">
        <w:rPr>
          <w:spacing w:val="6"/>
        </w:rPr>
        <w:t>"</w:t>
      </w:r>
      <w:r w:rsidR="002F5E89" w:rsidRPr="0037058C">
        <w:rPr>
          <w:spacing w:val="6"/>
        </w:rPr>
        <w:t xml:space="preserve"> in </w:t>
      </w:r>
      <w:proofErr w:type="spellStart"/>
      <w:r w:rsidR="002F5E89" w:rsidRPr="0037058C">
        <w:rPr>
          <w:spacing w:val="6"/>
        </w:rPr>
        <w:t>IUVP</w:t>
      </w:r>
      <w:proofErr w:type="spellEnd"/>
      <w:r w:rsidR="002F5E89" w:rsidRPr="0037058C">
        <w:rPr>
          <w:spacing w:val="6"/>
        </w:rPr>
        <w:t xml:space="preserve"> testing; </w:t>
      </w:r>
      <w:r w:rsidR="00917F90" w:rsidRPr="0037058C">
        <w:rPr>
          <w:spacing w:val="6"/>
        </w:rPr>
        <w:t>allowing a statement of compliance in lieu of the new PM testing</w:t>
      </w:r>
      <w:r w:rsidR="00303D83" w:rsidRPr="0037058C">
        <w:rPr>
          <w:spacing w:val="6"/>
        </w:rPr>
        <w:t>;</w:t>
      </w:r>
      <w:r w:rsidR="002F5E89" w:rsidRPr="0037058C">
        <w:rPr>
          <w:spacing w:val="6"/>
        </w:rPr>
        <w:t xml:space="preserve"> extending availability </w:t>
      </w:r>
      <w:r w:rsidR="00303D83" w:rsidRPr="0037058C">
        <w:rPr>
          <w:spacing w:val="6"/>
        </w:rPr>
        <w:t xml:space="preserve">to Tier 3 </w:t>
      </w:r>
      <w:r w:rsidR="002F5E89" w:rsidRPr="0037058C">
        <w:rPr>
          <w:spacing w:val="6"/>
        </w:rPr>
        <w:t xml:space="preserve">of assigned deterioration factors, used for determining the emissions levels necessary to insure compliance over the useful life of the vehicle; </w:t>
      </w:r>
      <w:r w:rsidR="00303D83" w:rsidRPr="0037058C">
        <w:rPr>
          <w:spacing w:val="6"/>
        </w:rPr>
        <w:t xml:space="preserve">small business alternative-fuel converters may continue to comply with EPA’s existing OBD requirements when the Tier 3 standards become effective rather than California's OBD requirements; availability of the </w:t>
      </w:r>
      <w:r w:rsidR="002B1D30" w:rsidRPr="0037058C">
        <w:rPr>
          <w:spacing w:val="6"/>
        </w:rPr>
        <w:t xml:space="preserve">substitution of FTP for new SFTP testing; and </w:t>
      </w:r>
      <w:r w:rsidR="00262707" w:rsidRPr="0037058C">
        <w:rPr>
          <w:spacing w:val="6"/>
        </w:rPr>
        <w:t>upon a "hardship" showing, additional time to meet the 100 percent phase-in requirements for exhaust and evaporative emissions, not limited to one year as in existing regulations</w:t>
      </w:r>
      <w:r w:rsidR="002B1D30" w:rsidRPr="0037058C">
        <w:rPr>
          <w:spacing w:val="6"/>
        </w:rPr>
        <w:t xml:space="preserve">. </w:t>
      </w:r>
    </w:p>
    <w:p w14:paraId="0A0709DB" w14:textId="77777777" w:rsidR="004C72D6" w:rsidRPr="0037058C" w:rsidRDefault="004C72D6" w:rsidP="004C72D6">
      <w:pPr>
        <w:pStyle w:val="Style6"/>
        <w:jc w:val="left"/>
        <w:rPr>
          <w:spacing w:val="6"/>
        </w:rPr>
      </w:pPr>
    </w:p>
    <w:p w14:paraId="4B11DF2A" w14:textId="77777777" w:rsidR="004C72D6" w:rsidRPr="0037058C" w:rsidRDefault="004C72D6" w:rsidP="004C72D6">
      <w:pPr>
        <w:pStyle w:val="Style6"/>
        <w:jc w:val="left"/>
      </w:pPr>
      <w:r w:rsidRPr="0037058C">
        <w:t xml:space="preserve">5(d) </w:t>
      </w:r>
      <w:r w:rsidRPr="0037058C">
        <w:rPr>
          <w:u w:val="single"/>
        </w:rPr>
        <w:t>Collection Schedule</w:t>
      </w:r>
    </w:p>
    <w:p w14:paraId="07AB287A" w14:textId="77777777" w:rsidR="004C72D6" w:rsidRPr="0037058C" w:rsidRDefault="004C72D6" w:rsidP="004C72D6">
      <w:pPr>
        <w:pStyle w:val="Style5"/>
        <w:adjustRightInd/>
        <w:rPr>
          <w:spacing w:val="6"/>
        </w:rPr>
      </w:pPr>
    </w:p>
    <w:p w14:paraId="4C3C781B" w14:textId="209DCBCD" w:rsidR="004C72D6" w:rsidRPr="0037058C" w:rsidRDefault="004C72D6" w:rsidP="004C72D6">
      <w:pPr>
        <w:pStyle w:val="Style6"/>
        <w:jc w:val="left"/>
        <w:rPr>
          <w:spacing w:val="6"/>
        </w:rPr>
      </w:pPr>
      <w:r w:rsidRPr="0037058C">
        <w:rPr>
          <w:spacing w:val="6"/>
        </w:rPr>
        <w:tab/>
        <w:t xml:space="preserve">See the description in Part 4(b)(i). </w:t>
      </w:r>
      <w:r w:rsidR="00AC71F4">
        <w:rPr>
          <w:spacing w:val="6"/>
        </w:rPr>
        <w:t xml:space="preserve"> </w:t>
      </w:r>
      <w:r w:rsidRPr="0037058C">
        <w:rPr>
          <w:spacing w:val="6"/>
        </w:rPr>
        <w:t>Information must be submitted for each model year that a manufacturer intends to build (or import) vehicles.  For emissions purposes, a “model year” is statutorily defined as the annual production period of a manufacturer, as decided by the Administrator, that includes January 1 of that calendar year; or</w:t>
      </w:r>
      <w:r w:rsidR="00D62A8A">
        <w:rPr>
          <w:spacing w:val="6"/>
        </w:rPr>
        <w:t>,</w:t>
      </w:r>
      <w:r w:rsidRPr="0037058C">
        <w:rPr>
          <w:spacing w:val="6"/>
        </w:rPr>
        <w:t xml:space="preserve"> that calendar year if the manufacturer does not have an annual production period.  During the model year, the results of such additional tests as the manufacturer conducts are also reported to EPA. </w:t>
      </w:r>
      <w:r w:rsidR="00C27F0A">
        <w:rPr>
          <w:spacing w:val="6"/>
        </w:rPr>
        <w:t xml:space="preserve"> </w:t>
      </w:r>
      <w:r w:rsidRPr="0037058C">
        <w:rPr>
          <w:spacing w:val="6"/>
        </w:rPr>
        <w:t xml:space="preserve">After the end of the model year fleet-wide </w:t>
      </w:r>
      <w:r w:rsidR="000E4343" w:rsidRPr="0037058C">
        <w:rPr>
          <w:spacing w:val="6"/>
        </w:rPr>
        <w:t xml:space="preserve">sales-weighted Tier 3, fuel economy, and </w:t>
      </w:r>
      <w:r w:rsidRPr="0037058C">
        <w:rPr>
          <w:spacing w:val="6"/>
        </w:rPr>
        <w:t xml:space="preserve">GHG emissions </w:t>
      </w:r>
      <w:r w:rsidR="000E4343" w:rsidRPr="0037058C">
        <w:rPr>
          <w:spacing w:val="6"/>
        </w:rPr>
        <w:t xml:space="preserve">levels </w:t>
      </w:r>
      <w:r w:rsidRPr="0037058C">
        <w:rPr>
          <w:spacing w:val="6"/>
        </w:rPr>
        <w:t>are calculated and reported. If a product is unchanged between model years, much of the information can be “carried over”</w:t>
      </w:r>
      <w:r w:rsidR="000E4343" w:rsidRPr="0037058C">
        <w:rPr>
          <w:spacing w:val="6"/>
        </w:rPr>
        <w:t xml:space="preserve"> in the certification application</w:t>
      </w:r>
      <w:r w:rsidR="00763D4A">
        <w:rPr>
          <w:spacing w:val="6"/>
        </w:rPr>
        <w:t>.</w:t>
      </w:r>
      <w:r w:rsidRPr="0037058C">
        <w:rPr>
          <w:spacing w:val="6"/>
        </w:rPr>
        <w:t xml:space="preserve">  </w:t>
      </w:r>
      <w:r w:rsidR="00763D4A">
        <w:rPr>
          <w:spacing w:val="6"/>
        </w:rPr>
        <w:t>C</w:t>
      </w:r>
      <w:r w:rsidRPr="0037058C">
        <w:rPr>
          <w:spacing w:val="6"/>
        </w:rPr>
        <w:t xml:space="preserve">ollection frequency and burden are determined to a large extent by the manufacturer’s marketing and production plans.  However, as required by law, some submission is required for each model year’s production. </w:t>
      </w:r>
    </w:p>
    <w:p w14:paraId="46D88EF5" w14:textId="77777777" w:rsidR="004C72D6" w:rsidRDefault="004C72D6" w:rsidP="004C72D6">
      <w:pPr>
        <w:pStyle w:val="Style5"/>
        <w:adjustRightInd/>
        <w:rPr>
          <w:spacing w:val="6"/>
        </w:rPr>
      </w:pPr>
    </w:p>
    <w:p w14:paraId="7CF11D19" w14:textId="77777777" w:rsidR="001C6A02" w:rsidRPr="0037058C" w:rsidRDefault="001C6A02" w:rsidP="004C72D6">
      <w:pPr>
        <w:pStyle w:val="Style5"/>
        <w:adjustRightInd/>
        <w:rPr>
          <w:spacing w:val="6"/>
        </w:rPr>
      </w:pPr>
    </w:p>
    <w:p w14:paraId="48F64EF4" w14:textId="77777777" w:rsidR="004C72D6" w:rsidRPr="0037058C" w:rsidRDefault="004C72D6" w:rsidP="004C72D6">
      <w:pPr>
        <w:spacing w:line="480" w:lineRule="auto"/>
        <w:rPr>
          <w:spacing w:val="6"/>
        </w:rPr>
      </w:pPr>
      <w:r w:rsidRPr="0037058C">
        <w:rPr>
          <w:spacing w:val="6"/>
          <w:u w:val="single"/>
        </w:rPr>
        <w:t>Section 6: Estimating the Burden and Cost of the Collection</w:t>
      </w:r>
    </w:p>
    <w:p w14:paraId="2C3FBEAF" w14:textId="1DD5B3F3" w:rsidR="004C72D6" w:rsidRPr="0037058C" w:rsidRDefault="004C72D6" w:rsidP="004C72D6">
      <w:pPr>
        <w:pStyle w:val="Style6"/>
        <w:jc w:val="left"/>
        <w:rPr>
          <w:spacing w:val="6"/>
        </w:rPr>
      </w:pPr>
      <w:r w:rsidRPr="0037058C">
        <w:rPr>
          <w:spacing w:val="6"/>
        </w:rPr>
        <w:tab/>
        <w:t xml:space="preserve">The following estimates of </w:t>
      </w:r>
      <w:r w:rsidR="005E137A" w:rsidRPr="0037058C">
        <w:rPr>
          <w:spacing w:val="6"/>
        </w:rPr>
        <w:t>changes in</w:t>
      </w:r>
      <w:r w:rsidRPr="0037058C">
        <w:rPr>
          <w:spacing w:val="6"/>
        </w:rPr>
        <w:t xml:space="preserve"> burden use baselines and methodologies developed in the process of continuing updates of the 0783 ICR series, including the last renewal (ICR 0783.54, OMB 2060-0104, approved August 31, 2009), the prior disaggregation of that ICR into five ICs, the cold hydrocarbon emissions standards rule (ICR 0783.52), the </w:t>
      </w:r>
      <w:r w:rsidR="005E137A" w:rsidRPr="0037058C">
        <w:rPr>
          <w:spacing w:val="6"/>
        </w:rPr>
        <w:t xml:space="preserve">latest vehicle </w:t>
      </w:r>
      <w:r w:rsidRPr="0037058C">
        <w:rPr>
          <w:spacing w:val="6"/>
        </w:rPr>
        <w:t>fuel-economy labeling rule (ICR 0783.</w:t>
      </w:r>
      <w:r w:rsidR="005E137A" w:rsidRPr="0037058C">
        <w:rPr>
          <w:spacing w:val="6"/>
        </w:rPr>
        <w:t>60</w:t>
      </w:r>
      <w:r w:rsidRPr="0037058C">
        <w:rPr>
          <w:spacing w:val="6"/>
        </w:rPr>
        <w:t>)</w:t>
      </w:r>
      <w:r w:rsidR="00F432AC" w:rsidRPr="0037058C">
        <w:rPr>
          <w:spacing w:val="6"/>
        </w:rPr>
        <w:t xml:space="preserve">, and the </w:t>
      </w:r>
      <w:r w:rsidR="00231BDB" w:rsidRPr="0037058C">
        <w:rPr>
          <w:spacing w:val="6"/>
        </w:rPr>
        <w:t xml:space="preserve">second </w:t>
      </w:r>
      <w:r w:rsidR="00F432AC" w:rsidRPr="0037058C">
        <w:rPr>
          <w:spacing w:val="6"/>
        </w:rPr>
        <w:t>GHG rule (ICR 0783.</w:t>
      </w:r>
      <w:r w:rsidR="00231BDB" w:rsidRPr="0037058C">
        <w:rPr>
          <w:spacing w:val="6"/>
        </w:rPr>
        <w:t>62</w:t>
      </w:r>
      <w:r w:rsidR="00F432AC" w:rsidRPr="0037058C">
        <w:rPr>
          <w:spacing w:val="6"/>
        </w:rPr>
        <w:t>)</w:t>
      </w:r>
      <w:r w:rsidRPr="0037058C">
        <w:rPr>
          <w:spacing w:val="6"/>
        </w:rPr>
        <w:t>.  The reasoning behind estimates of increased burden from the current baseline are given below and summarized in Section 6(f)</w:t>
      </w:r>
      <w:r w:rsidR="00F406CD" w:rsidRPr="0037058C">
        <w:rPr>
          <w:spacing w:val="6"/>
        </w:rPr>
        <w:t xml:space="preserve"> based on provisions of the </w:t>
      </w:r>
      <w:r w:rsidR="00550F2C" w:rsidRPr="0037058C">
        <w:rPr>
          <w:spacing w:val="6"/>
        </w:rPr>
        <w:t xml:space="preserve">rule </w:t>
      </w:r>
      <w:r w:rsidR="00F406CD" w:rsidRPr="0037058C">
        <w:rPr>
          <w:spacing w:val="6"/>
        </w:rPr>
        <w:t>that are summarized in Section 1(b)</w:t>
      </w:r>
      <w:r w:rsidRPr="0037058C">
        <w:rPr>
          <w:spacing w:val="6"/>
        </w:rPr>
        <w:t xml:space="preserve">. </w:t>
      </w:r>
      <w:r w:rsidR="00F54099">
        <w:rPr>
          <w:spacing w:val="6"/>
        </w:rPr>
        <w:t xml:space="preserve"> </w:t>
      </w:r>
      <w:r w:rsidR="000062EF" w:rsidRPr="0037058C">
        <w:rPr>
          <w:spacing w:val="6"/>
        </w:rPr>
        <w:t xml:space="preserve">Most of the burden is included in the underlying certification authorization baseline; the numbers below are only </w:t>
      </w:r>
      <w:r w:rsidR="00242420" w:rsidRPr="0037058C">
        <w:rPr>
          <w:spacing w:val="6"/>
        </w:rPr>
        <w:t>changes</w:t>
      </w:r>
      <w:r w:rsidR="000062EF" w:rsidRPr="0037058C">
        <w:rPr>
          <w:spacing w:val="6"/>
        </w:rPr>
        <w:t xml:space="preserve"> to the baseline. </w:t>
      </w:r>
      <w:r w:rsidRPr="0037058C">
        <w:rPr>
          <w:spacing w:val="6"/>
        </w:rPr>
        <w:t xml:space="preserve">"Respondent Burden" is taken to refer to hours, while "Respondent Costs" are taken to refer to non-labor capital and O&amp;M costs. </w:t>
      </w:r>
      <w:r w:rsidR="00F54099">
        <w:rPr>
          <w:spacing w:val="6"/>
        </w:rPr>
        <w:t xml:space="preserve"> </w:t>
      </w:r>
      <w:r w:rsidRPr="0037058C">
        <w:rPr>
          <w:spacing w:val="6"/>
        </w:rPr>
        <w:t xml:space="preserve">Hours or costs are reported to the hour or dollar without intending to imply that the totals are significant to the last digit. </w:t>
      </w:r>
    </w:p>
    <w:p w14:paraId="24830376" w14:textId="77777777" w:rsidR="00124826" w:rsidRPr="0037058C" w:rsidRDefault="00124826" w:rsidP="004C72D6">
      <w:pPr>
        <w:pStyle w:val="Style6"/>
        <w:jc w:val="left"/>
        <w:rPr>
          <w:spacing w:val="6"/>
        </w:rPr>
      </w:pPr>
    </w:p>
    <w:p w14:paraId="51288F12" w14:textId="77777777" w:rsidR="00124826" w:rsidRPr="0037058C" w:rsidRDefault="00124826" w:rsidP="004C72D6">
      <w:pPr>
        <w:pStyle w:val="Style6"/>
        <w:jc w:val="left"/>
        <w:rPr>
          <w:spacing w:val="6"/>
        </w:rPr>
      </w:pPr>
      <w:r w:rsidRPr="0037058C">
        <w:rPr>
          <w:spacing w:val="6"/>
        </w:rPr>
        <w:lastRenderedPageBreak/>
        <w:tab/>
        <w:t xml:space="preserve">For both Respondent Burden and Respondent Costs, new and corrected estimates </w:t>
      </w:r>
      <w:r w:rsidR="00CB3EBE" w:rsidRPr="0037058C">
        <w:rPr>
          <w:spacing w:val="6"/>
        </w:rPr>
        <w:t xml:space="preserve">will be updated in subsequent </w:t>
      </w:r>
      <w:proofErr w:type="spellStart"/>
      <w:r w:rsidR="00CB3EBE" w:rsidRPr="0037058C">
        <w:rPr>
          <w:spacing w:val="6"/>
        </w:rPr>
        <w:t>ICRs</w:t>
      </w:r>
      <w:proofErr w:type="spellEnd"/>
      <w:r w:rsidR="000062EF" w:rsidRPr="0037058C">
        <w:rPr>
          <w:spacing w:val="6"/>
        </w:rPr>
        <w:t>, which should benefit from</w:t>
      </w:r>
      <w:r w:rsidRPr="0037058C">
        <w:rPr>
          <w:spacing w:val="6"/>
        </w:rPr>
        <w:t xml:space="preserve"> the most recent information available about </w:t>
      </w:r>
      <w:r w:rsidR="00CB3EBE" w:rsidRPr="0037058C">
        <w:rPr>
          <w:spacing w:val="6"/>
        </w:rPr>
        <w:t xml:space="preserve">real </w:t>
      </w:r>
      <w:r w:rsidRPr="0037058C">
        <w:rPr>
          <w:spacing w:val="6"/>
        </w:rPr>
        <w:t>testing and reporting costs</w:t>
      </w:r>
      <w:r w:rsidR="00231BDB" w:rsidRPr="0037058C">
        <w:rPr>
          <w:spacing w:val="6"/>
        </w:rPr>
        <w:t>,</w:t>
      </w:r>
      <w:r w:rsidRPr="0037058C">
        <w:rPr>
          <w:spacing w:val="6"/>
        </w:rPr>
        <w:t xml:space="preserve"> gathered </w:t>
      </w:r>
      <w:r w:rsidR="00CB3EBE" w:rsidRPr="0037058C">
        <w:rPr>
          <w:spacing w:val="6"/>
        </w:rPr>
        <w:t>through</w:t>
      </w:r>
      <w:r w:rsidRPr="0037058C">
        <w:rPr>
          <w:spacing w:val="6"/>
        </w:rPr>
        <w:t xml:space="preserve"> Verify queries </w:t>
      </w:r>
      <w:r w:rsidR="00CB3EBE" w:rsidRPr="0037058C">
        <w:rPr>
          <w:spacing w:val="6"/>
        </w:rPr>
        <w:t xml:space="preserve">based upon </w:t>
      </w:r>
      <w:r w:rsidRPr="0037058C">
        <w:rPr>
          <w:spacing w:val="6"/>
        </w:rPr>
        <w:t xml:space="preserve">actual </w:t>
      </w:r>
      <w:r w:rsidR="00242420" w:rsidRPr="0037058C">
        <w:rPr>
          <w:spacing w:val="6"/>
        </w:rPr>
        <w:t xml:space="preserve">rather than projected </w:t>
      </w:r>
      <w:r w:rsidRPr="0037058C">
        <w:rPr>
          <w:spacing w:val="6"/>
        </w:rPr>
        <w:t>certification</w:t>
      </w:r>
      <w:r w:rsidR="00231BDB" w:rsidRPr="0037058C">
        <w:rPr>
          <w:spacing w:val="6"/>
        </w:rPr>
        <w:t xml:space="preserve"> and </w:t>
      </w:r>
      <w:proofErr w:type="spellStart"/>
      <w:r w:rsidR="00231BDB" w:rsidRPr="0037058C">
        <w:rPr>
          <w:spacing w:val="6"/>
        </w:rPr>
        <w:t>IUVP</w:t>
      </w:r>
      <w:proofErr w:type="spellEnd"/>
      <w:r w:rsidR="00231BDB" w:rsidRPr="0037058C">
        <w:rPr>
          <w:spacing w:val="6"/>
        </w:rPr>
        <w:t xml:space="preserve"> test volumes. </w:t>
      </w:r>
      <w:r w:rsidRPr="0037058C">
        <w:rPr>
          <w:spacing w:val="6"/>
        </w:rPr>
        <w:t xml:space="preserve"> </w:t>
      </w:r>
    </w:p>
    <w:p w14:paraId="1C059123" w14:textId="77777777" w:rsidR="004C72D6" w:rsidRPr="0037058C" w:rsidRDefault="004C72D6" w:rsidP="004C72D6">
      <w:r w:rsidRPr="0037058C">
        <w:t xml:space="preserve"> </w:t>
      </w:r>
    </w:p>
    <w:p w14:paraId="1C9DBF43" w14:textId="77777777" w:rsidR="00C3672B" w:rsidRPr="0037058C" w:rsidRDefault="004C72D6" w:rsidP="004C72D6">
      <w:pPr>
        <w:spacing w:line="480" w:lineRule="auto"/>
        <w:rPr>
          <w:spacing w:val="6"/>
        </w:rPr>
      </w:pPr>
      <w:r w:rsidRPr="0037058C">
        <w:rPr>
          <w:spacing w:val="6"/>
        </w:rPr>
        <w:t xml:space="preserve">6(a) </w:t>
      </w:r>
      <w:r w:rsidRPr="0037058C">
        <w:rPr>
          <w:spacing w:val="6"/>
          <w:u w:val="single"/>
        </w:rPr>
        <w:t>Estimating Respondent Burden</w:t>
      </w:r>
    </w:p>
    <w:p w14:paraId="6ABF351E" w14:textId="6B871492" w:rsidR="001F1766" w:rsidRPr="0037058C" w:rsidRDefault="009208B6" w:rsidP="001F1766">
      <w:pPr>
        <w:pStyle w:val="Style6"/>
        <w:jc w:val="left"/>
      </w:pPr>
      <w:r w:rsidRPr="0037058C">
        <w:rPr>
          <w:spacing w:val="6"/>
        </w:rPr>
        <w:tab/>
      </w:r>
      <w:r w:rsidR="0078183E" w:rsidRPr="0037058C">
        <w:rPr>
          <w:spacing w:val="6"/>
        </w:rPr>
        <w:t xml:space="preserve">As described in Part 1b, this ICR presents both high-cost and low-cost estimates. </w:t>
      </w:r>
      <w:r w:rsidR="001504BB" w:rsidRPr="0037058C">
        <w:rPr>
          <w:spacing w:val="6"/>
        </w:rPr>
        <w:t>B</w:t>
      </w:r>
      <w:r w:rsidR="00F54099">
        <w:rPr>
          <w:spacing w:val="6"/>
        </w:rPr>
        <w:t xml:space="preserve">urden </w:t>
      </w:r>
      <w:r w:rsidR="0078183E" w:rsidRPr="0037058C">
        <w:rPr>
          <w:spacing w:val="6"/>
        </w:rPr>
        <w:t>hours estimates</w:t>
      </w:r>
      <w:r w:rsidR="001504BB" w:rsidRPr="0037058C">
        <w:rPr>
          <w:spacing w:val="6"/>
        </w:rPr>
        <w:t xml:space="preserve"> are treated likewise</w:t>
      </w:r>
      <w:r w:rsidR="001F1766" w:rsidRPr="0037058C">
        <w:rPr>
          <w:spacing w:val="6"/>
        </w:rPr>
        <w:t xml:space="preserve">. </w:t>
      </w:r>
      <w:r w:rsidR="00F54099">
        <w:rPr>
          <w:spacing w:val="6"/>
        </w:rPr>
        <w:t xml:space="preserve"> </w:t>
      </w:r>
      <w:r w:rsidR="001F1766" w:rsidRPr="0037058C">
        <w:rPr>
          <w:spacing w:val="6"/>
        </w:rPr>
        <w:t xml:space="preserve">The analysis of labor hours fell into two categories: labor associated with new testing requirements, and labor for new reporting and recordkeeping. </w:t>
      </w:r>
      <w:r w:rsidR="00C27F0A">
        <w:rPr>
          <w:spacing w:val="6"/>
        </w:rPr>
        <w:t xml:space="preserve"> </w:t>
      </w:r>
      <w:r w:rsidR="001F1766" w:rsidRPr="0037058C">
        <w:rPr>
          <w:spacing w:val="6"/>
        </w:rPr>
        <w:t xml:space="preserve">All labor associated with startup costs for familiarization with the </w:t>
      </w:r>
      <w:r w:rsidR="00D1307D" w:rsidRPr="0037058C">
        <w:rPr>
          <w:spacing w:val="6"/>
        </w:rPr>
        <w:t xml:space="preserve">new </w:t>
      </w:r>
      <w:r w:rsidR="001F1766" w:rsidRPr="0037058C">
        <w:rPr>
          <w:spacing w:val="6"/>
        </w:rPr>
        <w:t xml:space="preserve">regulations and for installing (updating) information technology systems to incorporate the new information to be reported, </w:t>
      </w:r>
      <w:r w:rsidR="001F1766" w:rsidRPr="0037058C">
        <w:t xml:space="preserve">are associated with </w:t>
      </w:r>
      <w:r w:rsidR="00D1307D" w:rsidRPr="0037058C">
        <w:t>the accounting category "</w:t>
      </w:r>
      <w:r w:rsidR="001F1766" w:rsidRPr="0037058C">
        <w:t>capital/startup costs</w:t>
      </w:r>
      <w:r w:rsidR="00D1307D" w:rsidRPr="0037058C">
        <w:t>"</w:t>
      </w:r>
      <w:r w:rsidR="001F1766" w:rsidRPr="0037058C">
        <w:t>, so they are included under that heading</w:t>
      </w:r>
      <w:r w:rsidR="00D1307D" w:rsidRPr="0037058C">
        <w:t xml:space="preserve"> without hour burdens</w:t>
      </w:r>
      <w:r w:rsidR="001F1766" w:rsidRPr="0037058C">
        <w:t xml:space="preserve">.  </w:t>
      </w:r>
    </w:p>
    <w:p w14:paraId="4465C08D" w14:textId="77777777" w:rsidR="001F1766" w:rsidRPr="0037058C" w:rsidRDefault="001F1766" w:rsidP="004C72D6">
      <w:pPr>
        <w:pStyle w:val="Style6"/>
        <w:jc w:val="left"/>
        <w:rPr>
          <w:spacing w:val="6"/>
        </w:rPr>
      </w:pPr>
    </w:p>
    <w:p w14:paraId="0E98B658" w14:textId="2E992B88" w:rsidR="001F1766" w:rsidRPr="0037058C" w:rsidRDefault="008021E6" w:rsidP="004C72D6">
      <w:pPr>
        <w:pStyle w:val="Style6"/>
        <w:jc w:val="left"/>
        <w:rPr>
          <w:spacing w:val="6"/>
        </w:rPr>
      </w:pPr>
      <w:r w:rsidRPr="0037058C">
        <w:rPr>
          <w:spacing w:val="6"/>
        </w:rPr>
        <w:tab/>
        <w:t xml:space="preserve">The largest increase in labor hours is associated with the new PM testing. </w:t>
      </w:r>
      <w:r w:rsidR="00C27F0A">
        <w:rPr>
          <w:spacing w:val="6"/>
        </w:rPr>
        <w:t xml:space="preserve"> </w:t>
      </w:r>
      <w:r w:rsidRPr="0037058C">
        <w:rPr>
          <w:spacing w:val="6"/>
        </w:rPr>
        <w:t>We estimated the time per PM test to be from 20 to 25 hour</w:t>
      </w:r>
      <w:r w:rsidR="006054FB">
        <w:rPr>
          <w:spacing w:val="6"/>
        </w:rPr>
        <w:t>s</w:t>
      </w:r>
      <w:r w:rsidRPr="0037058C">
        <w:rPr>
          <w:spacing w:val="6"/>
        </w:rPr>
        <w:t xml:space="preserve">. </w:t>
      </w:r>
      <w:r w:rsidR="00C27F0A">
        <w:rPr>
          <w:spacing w:val="6"/>
        </w:rPr>
        <w:t xml:space="preserve"> </w:t>
      </w:r>
      <w:r w:rsidRPr="0037058C">
        <w:rPr>
          <w:spacing w:val="6"/>
        </w:rPr>
        <w:t xml:space="preserve">Only about a quarter of an hour of this sum is during the actual test itself, since it is an add-on to the FTP or SFTP test previously conducted (thus the facility capital cost impact is de minimis); the rest is for the metrology and analytics involved in processing the sample. </w:t>
      </w:r>
      <w:r w:rsidR="00C27F0A">
        <w:rPr>
          <w:spacing w:val="6"/>
        </w:rPr>
        <w:t xml:space="preserve"> </w:t>
      </w:r>
      <w:r w:rsidRPr="0037058C">
        <w:rPr>
          <w:spacing w:val="6"/>
        </w:rPr>
        <w:t xml:space="preserve">For the high estimate, this is allocated at the ratio of 5.34 : 1 to the </w:t>
      </w:r>
      <w:proofErr w:type="spellStart"/>
      <w:r w:rsidRPr="0037058C">
        <w:rPr>
          <w:spacing w:val="6"/>
        </w:rPr>
        <w:t>IUVP</w:t>
      </w:r>
      <w:proofErr w:type="spellEnd"/>
      <w:r w:rsidRPr="0037058C">
        <w:rPr>
          <w:spacing w:val="6"/>
        </w:rPr>
        <w:t xml:space="preserve"> and Certification ICs respectively</w:t>
      </w:r>
      <w:r w:rsidR="00640272" w:rsidRPr="0037058C">
        <w:rPr>
          <w:spacing w:val="6"/>
        </w:rPr>
        <w:t xml:space="preserve">, based on the most recent actual </w:t>
      </w:r>
      <w:proofErr w:type="spellStart"/>
      <w:r w:rsidR="00640272" w:rsidRPr="0037058C">
        <w:rPr>
          <w:spacing w:val="6"/>
        </w:rPr>
        <w:t>IUVP</w:t>
      </w:r>
      <w:proofErr w:type="spellEnd"/>
      <w:r w:rsidR="00640272" w:rsidRPr="0037058C">
        <w:rPr>
          <w:spacing w:val="6"/>
        </w:rPr>
        <w:t xml:space="preserve"> testing counts and estimated high durability group certification testing numbers.</w:t>
      </w:r>
      <w:r w:rsidR="00C27F0A">
        <w:rPr>
          <w:spacing w:val="6"/>
        </w:rPr>
        <w:t xml:space="preserve"> </w:t>
      </w:r>
      <w:r w:rsidR="00640272" w:rsidRPr="0037058C">
        <w:rPr>
          <w:spacing w:val="6"/>
        </w:rPr>
        <w:t xml:space="preserve"> This allocation between the two programs is mandated by OMB, even though in most cases the testing is conducted in the same facilities. The total for both is 51,555 hours. This is in reasonable agreement with the estimate contained in Chapter 2 of the draft Regulatory Impact Analysis, although our labor cost estimate is somewhat lower.  </w:t>
      </w:r>
      <w:r w:rsidRPr="0037058C">
        <w:rPr>
          <w:spacing w:val="6"/>
        </w:rPr>
        <w:t xml:space="preserve">  </w:t>
      </w:r>
    </w:p>
    <w:p w14:paraId="13980EA3" w14:textId="77777777" w:rsidR="008021E6" w:rsidRPr="0037058C" w:rsidRDefault="008021E6" w:rsidP="004C72D6">
      <w:pPr>
        <w:pStyle w:val="Style6"/>
        <w:jc w:val="left"/>
        <w:rPr>
          <w:spacing w:val="6"/>
        </w:rPr>
      </w:pPr>
    </w:p>
    <w:p w14:paraId="4B762D53" w14:textId="46A7289C" w:rsidR="00D77B72" w:rsidRPr="0037058C" w:rsidRDefault="001F1766" w:rsidP="004C72D6">
      <w:pPr>
        <w:pStyle w:val="Style6"/>
        <w:jc w:val="left"/>
        <w:rPr>
          <w:spacing w:val="6"/>
        </w:rPr>
      </w:pPr>
      <w:r w:rsidRPr="0037058C">
        <w:rPr>
          <w:spacing w:val="6"/>
        </w:rPr>
        <w:tab/>
      </w:r>
      <w:r w:rsidR="0078183E" w:rsidRPr="0037058C">
        <w:rPr>
          <w:spacing w:val="6"/>
        </w:rPr>
        <w:t xml:space="preserve">The per-test burden for </w:t>
      </w:r>
      <w:r w:rsidR="00640272" w:rsidRPr="0037058C">
        <w:rPr>
          <w:spacing w:val="6"/>
        </w:rPr>
        <w:t>US</w:t>
      </w:r>
      <w:r w:rsidR="00B163FF">
        <w:rPr>
          <w:spacing w:val="6"/>
        </w:rPr>
        <w:t>0</w:t>
      </w:r>
      <w:r w:rsidR="00640272" w:rsidRPr="0037058C">
        <w:rPr>
          <w:spacing w:val="6"/>
        </w:rPr>
        <w:t>6 tests</w:t>
      </w:r>
      <w:r w:rsidR="0078183E" w:rsidRPr="0037058C">
        <w:rPr>
          <w:spacing w:val="6"/>
        </w:rPr>
        <w:t xml:space="preserve"> follows the assumptions of prior </w:t>
      </w:r>
      <w:proofErr w:type="spellStart"/>
      <w:r w:rsidR="0078183E" w:rsidRPr="0037058C">
        <w:rPr>
          <w:spacing w:val="6"/>
        </w:rPr>
        <w:t>ICRs</w:t>
      </w:r>
      <w:proofErr w:type="spellEnd"/>
      <w:r w:rsidR="0078183E" w:rsidRPr="0037058C">
        <w:rPr>
          <w:spacing w:val="6"/>
        </w:rPr>
        <w:t>; the per hour burden of the "highway" US</w:t>
      </w:r>
      <w:r w:rsidR="00B163FF">
        <w:rPr>
          <w:spacing w:val="6"/>
        </w:rPr>
        <w:t>0</w:t>
      </w:r>
      <w:r w:rsidR="0078183E" w:rsidRPr="0037058C">
        <w:rPr>
          <w:spacing w:val="6"/>
        </w:rPr>
        <w:t xml:space="preserve">6 and LA 92 tests added for </w:t>
      </w:r>
      <w:proofErr w:type="spellStart"/>
      <w:r w:rsidR="0078183E" w:rsidRPr="0037058C">
        <w:rPr>
          <w:spacing w:val="6"/>
        </w:rPr>
        <w:t>HDVs</w:t>
      </w:r>
      <w:proofErr w:type="spellEnd"/>
      <w:r w:rsidR="0078183E" w:rsidRPr="0037058C">
        <w:rPr>
          <w:spacing w:val="6"/>
        </w:rPr>
        <w:t xml:space="preserve"> is estimated </w:t>
      </w:r>
      <w:r w:rsidR="001504BB" w:rsidRPr="0037058C">
        <w:rPr>
          <w:spacing w:val="6"/>
        </w:rPr>
        <w:t>to be</w:t>
      </w:r>
      <w:r w:rsidR="0078183E" w:rsidRPr="0037058C">
        <w:rPr>
          <w:spacing w:val="6"/>
        </w:rPr>
        <w:t xml:space="preserve"> equivalent.</w:t>
      </w:r>
      <w:r w:rsidR="000100BB">
        <w:rPr>
          <w:spacing w:val="6"/>
        </w:rPr>
        <w:t xml:space="preserve"> </w:t>
      </w:r>
      <w:r w:rsidR="0078183E" w:rsidRPr="0037058C">
        <w:rPr>
          <w:spacing w:val="6"/>
        </w:rPr>
        <w:t xml:space="preserve"> </w:t>
      </w:r>
      <w:r w:rsidR="00640272" w:rsidRPr="0037058C">
        <w:rPr>
          <w:spacing w:val="6"/>
        </w:rPr>
        <w:t xml:space="preserve">Only </w:t>
      </w:r>
      <w:r w:rsidR="004300CE">
        <w:rPr>
          <w:spacing w:val="6"/>
        </w:rPr>
        <w:t>seventeen</w:t>
      </w:r>
      <w:r w:rsidR="00640272" w:rsidRPr="0037058C">
        <w:rPr>
          <w:spacing w:val="6"/>
        </w:rPr>
        <w:t xml:space="preserve"> 2b and Class 3 </w:t>
      </w:r>
      <w:proofErr w:type="spellStart"/>
      <w:r w:rsidR="00640272" w:rsidRPr="0037058C">
        <w:rPr>
          <w:spacing w:val="6"/>
        </w:rPr>
        <w:t>HDVs</w:t>
      </w:r>
      <w:proofErr w:type="spellEnd"/>
      <w:r w:rsidR="00640272" w:rsidRPr="0037058C">
        <w:rPr>
          <w:spacing w:val="6"/>
        </w:rPr>
        <w:t xml:space="preserve"> were certified in model year 2012</w:t>
      </w:r>
      <w:r w:rsidR="00C02E08" w:rsidRPr="0037058C">
        <w:rPr>
          <w:spacing w:val="6"/>
        </w:rPr>
        <w:t>, and all of them were fifty-state vehicles.</w:t>
      </w:r>
      <w:r w:rsidR="00640272" w:rsidRPr="0037058C">
        <w:rPr>
          <w:spacing w:val="6"/>
        </w:rPr>
        <w:t xml:space="preserve"> </w:t>
      </w:r>
      <w:r w:rsidR="0078183E" w:rsidRPr="0037058C">
        <w:rPr>
          <w:spacing w:val="6"/>
        </w:rPr>
        <w:t xml:space="preserve">The bleed test is considered an </w:t>
      </w:r>
      <w:proofErr w:type="spellStart"/>
      <w:r w:rsidR="0078183E" w:rsidRPr="0037058C">
        <w:rPr>
          <w:spacing w:val="6"/>
        </w:rPr>
        <w:t>IUVP</w:t>
      </w:r>
      <w:proofErr w:type="spellEnd"/>
      <w:r w:rsidR="0078183E" w:rsidRPr="0037058C">
        <w:rPr>
          <w:spacing w:val="6"/>
        </w:rPr>
        <w:t xml:space="preserve"> burden and estimated at one hour per test</w:t>
      </w:r>
      <w:r w:rsidR="00640272" w:rsidRPr="0037058C">
        <w:rPr>
          <w:spacing w:val="6"/>
        </w:rPr>
        <w:t xml:space="preserve"> for the estimated maximum of 5% that will not opt for the OBD alternative</w:t>
      </w:r>
      <w:r w:rsidR="0078183E" w:rsidRPr="0037058C">
        <w:rPr>
          <w:spacing w:val="6"/>
        </w:rPr>
        <w:t>.</w:t>
      </w:r>
      <w:r w:rsidR="00C02E08" w:rsidRPr="0037058C">
        <w:rPr>
          <w:spacing w:val="6"/>
        </w:rPr>
        <w:t xml:space="preserve"> </w:t>
      </w:r>
      <w:r w:rsidR="00B163FF">
        <w:rPr>
          <w:spacing w:val="6"/>
        </w:rPr>
        <w:t xml:space="preserve"> </w:t>
      </w:r>
      <w:r w:rsidR="00C02E08" w:rsidRPr="0037058C">
        <w:rPr>
          <w:spacing w:val="6"/>
        </w:rPr>
        <w:t>All these add 4,005 hours to the burden total.</w:t>
      </w:r>
      <w:r w:rsidR="0078183E" w:rsidRPr="0037058C">
        <w:rPr>
          <w:spacing w:val="6"/>
        </w:rPr>
        <w:t xml:space="preserve"> </w:t>
      </w:r>
    </w:p>
    <w:p w14:paraId="0FB5A624" w14:textId="77777777" w:rsidR="00C02E08" w:rsidRPr="0037058C" w:rsidRDefault="00C02E08" w:rsidP="004C72D6">
      <w:pPr>
        <w:pStyle w:val="Style6"/>
        <w:jc w:val="left"/>
        <w:rPr>
          <w:spacing w:val="6"/>
        </w:rPr>
      </w:pPr>
    </w:p>
    <w:p w14:paraId="46B37683" w14:textId="2AABAF9B" w:rsidR="00C02E08" w:rsidRPr="0037058C" w:rsidRDefault="00C02E08" w:rsidP="004C72D6">
      <w:pPr>
        <w:pStyle w:val="Style6"/>
        <w:jc w:val="left"/>
        <w:rPr>
          <w:spacing w:val="6"/>
        </w:rPr>
      </w:pPr>
      <w:r w:rsidRPr="0037058C">
        <w:rPr>
          <w:spacing w:val="6"/>
        </w:rPr>
        <w:tab/>
        <w:t>The estimate also includes a total of 21,502 hours for the paperwork burden of reporting and recordkeeping (distinct from the startup costs of computer programming and familiarization).</w:t>
      </w:r>
      <w:r w:rsidR="000100BB">
        <w:rPr>
          <w:spacing w:val="6"/>
        </w:rPr>
        <w:t xml:space="preserve"> </w:t>
      </w:r>
      <w:r w:rsidRPr="0037058C">
        <w:rPr>
          <w:spacing w:val="6"/>
        </w:rPr>
        <w:t xml:space="preserve"> This is intended to account for the need </w:t>
      </w:r>
      <w:r w:rsidR="00E8220C">
        <w:rPr>
          <w:spacing w:val="6"/>
        </w:rPr>
        <w:t xml:space="preserve">at the beginning of the year </w:t>
      </w:r>
      <w:r w:rsidRPr="0037058C">
        <w:rPr>
          <w:spacing w:val="6"/>
        </w:rPr>
        <w:t>to figure out before certification for a model year which bin to certify families to and how to meet the fle</w:t>
      </w:r>
      <w:r w:rsidR="00F54099">
        <w:rPr>
          <w:spacing w:val="6"/>
        </w:rPr>
        <w:t xml:space="preserve">et-average standards for </w:t>
      </w:r>
      <w:proofErr w:type="spellStart"/>
      <w:r w:rsidR="00F54099">
        <w:rPr>
          <w:spacing w:val="6"/>
        </w:rPr>
        <w:t>NMOG+</w:t>
      </w:r>
      <w:r w:rsidRPr="0037058C">
        <w:rPr>
          <w:spacing w:val="6"/>
        </w:rPr>
        <w:t>NOx</w:t>
      </w:r>
      <w:proofErr w:type="spellEnd"/>
      <w:r w:rsidRPr="0037058C">
        <w:rPr>
          <w:spacing w:val="6"/>
        </w:rPr>
        <w:t xml:space="preserve"> based on projected sales, as well as projections on how to meet the declining standards applicable to later years, and separately for lighter and heavier vehicles. </w:t>
      </w:r>
      <w:r w:rsidR="000100BB">
        <w:rPr>
          <w:spacing w:val="6"/>
        </w:rPr>
        <w:t xml:space="preserve"> </w:t>
      </w:r>
      <w:r w:rsidRPr="0037058C">
        <w:rPr>
          <w:spacing w:val="6"/>
        </w:rPr>
        <w:t xml:space="preserve">It also includes planning for credits, banking and trading. </w:t>
      </w:r>
      <w:r w:rsidR="00F54099">
        <w:rPr>
          <w:spacing w:val="6"/>
        </w:rPr>
        <w:t xml:space="preserve"> </w:t>
      </w:r>
      <w:r w:rsidRPr="0037058C">
        <w:rPr>
          <w:spacing w:val="6"/>
        </w:rPr>
        <w:t>And it includes planning for which models to phase in for the PM requirements.</w:t>
      </w:r>
      <w:r w:rsidR="000100BB">
        <w:rPr>
          <w:spacing w:val="6"/>
        </w:rPr>
        <w:t xml:space="preserve"> </w:t>
      </w:r>
      <w:r w:rsidRPr="0037058C">
        <w:rPr>
          <w:spacing w:val="6"/>
        </w:rPr>
        <w:t xml:space="preserve"> During the year it includes submission of model vehicle emissions, and at the end of the year the reporting of compliance with fleet average Tier 3 </w:t>
      </w:r>
      <w:r w:rsidRPr="0037058C">
        <w:rPr>
          <w:spacing w:val="6"/>
        </w:rPr>
        <w:lastRenderedPageBreak/>
        <w:t xml:space="preserve">requirements. </w:t>
      </w:r>
      <w:r w:rsidR="000100BB">
        <w:rPr>
          <w:spacing w:val="6"/>
        </w:rPr>
        <w:t xml:space="preserve"> </w:t>
      </w:r>
      <w:r w:rsidR="00407A4A" w:rsidRPr="0037058C">
        <w:rPr>
          <w:spacing w:val="6"/>
        </w:rPr>
        <w:t>At all times there is a small increment in recordkeeping, although this is considered mostly to be achieved by the architecture of the computer systems that are addressed in capital costs.</w:t>
      </w:r>
      <w:r w:rsidR="000100BB">
        <w:rPr>
          <w:spacing w:val="6"/>
        </w:rPr>
        <w:t xml:space="preserve"> </w:t>
      </w:r>
      <w:r w:rsidR="00407A4A" w:rsidRPr="0037058C">
        <w:rPr>
          <w:spacing w:val="6"/>
        </w:rPr>
        <w:t xml:space="preserve"> </w:t>
      </w:r>
      <w:r w:rsidRPr="0037058C">
        <w:rPr>
          <w:spacing w:val="6"/>
        </w:rPr>
        <w:t xml:space="preserve">These </w:t>
      </w:r>
      <w:r w:rsidR="001A4796" w:rsidRPr="0037058C">
        <w:rPr>
          <w:spacing w:val="6"/>
        </w:rPr>
        <w:t>paperwork burdens</w:t>
      </w:r>
      <w:r w:rsidR="00407A4A" w:rsidRPr="0037058C">
        <w:rPr>
          <w:spacing w:val="6"/>
        </w:rPr>
        <w:t xml:space="preserve"> </w:t>
      </w:r>
      <w:r w:rsidR="001A4796" w:rsidRPr="0037058C">
        <w:rPr>
          <w:spacing w:val="6"/>
        </w:rPr>
        <w:t>are largely</w:t>
      </w:r>
      <w:r w:rsidRPr="0037058C">
        <w:rPr>
          <w:spacing w:val="6"/>
        </w:rPr>
        <w:t xml:space="preserve"> add-ons to existing reports</w:t>
      </w:r>
      <w:r w:rsidR="00407A4A" w:rsidRPr="0037058C">
        <w:rPr>
          <w:spacing w:val="6"/>
        </w:rPr>
        <w:t xml:space="preserve"> in format: manufacturers already submit pre-model year plans for GHG compliance and Tier 2 NOx, </w:t>
      </w:r>
      <w:proofErr w:type="spellStart"/>
      <w:r w:rsidR="00407A4A" w:rsidRPr="0037058C">
        <w:rPr>
          <w:spacing w:val="6"/>
        </w:rPr>
        <w:t>MSAT</w:t>
      </w:r>
      <w:proofErr w:type="spellEnd"/>
      <w:r w:rsidR="00407A4A" w:rsidRPr="0037058C">
        <w:rPr>
          <w:spacing w:val="6"/>
        </w:rPr>
        <w:t xml:space="preserve">, </w:t>
      </w:r>
      <w:r w:rsidR="004300CE">
        <w:rPr>
          <w:spacing w:val="6"/>
        </w:rPr>
        <w:t xml:space="preserve">and </w:t>
      </w:r>
      <w:r w:rsidR="00407A4A" w:rsidRPr="0037058C">
        <w:rPr>
          <w:spacing w:val="6"/>
        </w:rPr>
        <w:t>NMHC; certification test results during the year</w:t>
      </w:r>
      <w:r w:rsidR="004300CE">
        <w:rPr>
          <w:spacing w:val="6"/>
        </w:rPr>
        <w:t>;</w:t>
      </w:r>
      <w:r w:rsidR="00407A4A" w:rsidRPr="0037058C">
        <w:rPr>
          <w:spacing w:val="6"/>
        </w:rPr>
        <w:t xml:space="preserve"> and end-of-year fleet-average GHG and fuel economy reports that incorporate sales figures for the model year. </w:t>
      </w:r>
      <w:r w:rsidR="00F54099">
        <w:rPr>
          <w:spacing w:val="6"/>
        </w:rPr>
        <w:t xml:space="preserve"> </w:t>
      </w:r>
      <w:r w:rsidR="00407A4A" w:rsidRPr="0037058C">
        <w:rPr>
          <w:spacing w:val="6"/>
        </w:rPr>
        <w:t xml:space="preserve">Once the startup costs, primarily IT costs, are incurred, and management has determined the schedules of compliance, the reporting should be routine. </w:t>
      </w:r>
    </w:p>
    <w:p w14:paraId="55EF0314" w14:textId="77777777" w:rsidR="001C6A02" w:rsidRDefault="00D77B72" w:rsidP="004C72D6">
      <w:pPr>
        <w:pStyle w:val="Style6"/>
        <w:jc w:val="left"/>
        <w:rPr>
          <w:spacing w:val="6"/>
        </w:rPr>
      </w:pPr>
      <w:r w:rsidRPr="0037058C">
        <w:rPr>
          <w:spacing w:val="6"/>
        </w:rPr>
        <w:tab/>
      </w:r>
      <w:r w:rsidR="001F1766" w:rsidRPr="0037058C">
        <w:rPr>
          <w:spacing w:val="6"/>
        </w:rPr>
        <w:tab/>
      </w:r>
    </w:p>
    <w:p w14:paraId="4D55E7B6" w14:textId="77777777" w:rsidR="004C72D6" w:rsidRPr="0037058C" w:rsidRDefault="001C6A02" w:rsidP="004C72D6">
      <w:pPr>
        <w:pStyle w:val="Style6"/>
        <w:jc w:val="left"/>
        <w:rPr>
          <w:spacing w:val="6"/>
        </w:rPr>
      </w:pPr>
      <w:r>
        <w:rPr>
          <w:spacing w:val="6"/>
        </w:rPr>
        <w:tab/>
      </w:r>
      <w:r w:rsidR="00407A4A" w:rsidRPr="0037058C">
        <w:rPr>
          <w:spacing w:val="6"/>
        </w:rPr>
        <w:t>In sum, t</w:t>
      </w:r>
      <w:r w:rsidR="00FF55E6" w:rsidRPr="0037058C">
        <w:rPr>
          <w:spacing w:val="6"/>
        </w:rPr>
        <w:t xml:space="preserve">hese </w:t>
      </w:r>
      <w:r w:rsidR="004F5B2E" w:rsidRPr="0037058C">
        <w:rPr>
          <w:spacing w:val="6"/>
        </w:rPr>
        <w:t>changes increase</w:t>
      </w:r>
      <w:r w:rsidR="00407A4A" w:rsidRPr="0037058C">
        <w:rPr>
          <w:spacing w:val="6"/>
        </w:rPr>
        <w:t xml:space="preserve"> the baseline, under </w:t>
      </w:r>
      <w:r w:rsidR="00FF55E6" w:rsidRPr="0037058C">
        <w:rPr>
          <w:spacing w:val="6"/>
        </w:rPr>
        <w:t>the low estimate</w:t>
      </w:r>
      <w:r w:rsidR="00407A4A" w:rsidRPr="0037058C">
        <w:rPr>
          <w:spacing w:val="6"/>
        </w:rPr>
        <w:t>,</w:t>
      </w:r>
      <w:r w:rsidR="00FF55E6" w:rsidRPr="0037058C">
        <w:rPr>
          <w:spacing w:val="6"/>
        </w:rPr>
        <w:t xml:space="preserve"> </w:t>
      </w:r>
      <w:r w:rsidR="00AE0198" w:rsidRPr="0037058C">
        <w:rPr>
          <w:spacing w:val="6"/>
        </w:rPr>
        <w:t xml:space="preserve">by </w:t>
      </w:r>
      <w:r w:rsidR="00407A4A" w:rsidRPr="0037058C">
        <w:rPr>
          <w:spacing w:val="6"/>
        </w:rPr>
        <w:t>48,813</w:t>
      </w:r>
      <w:r w:rsidR="00FF55E6" w:rsidRPr="0037058C">
        <w:rPr>
          <w:spacing w:val="6"/>
        </w:rPr>
        <w:t xml:space="preserve"> </w:t>
      </w:r>
      <w:r w:rsidR="00F23E22" w:rsidRPr="0037058C">
        <w:rPr>
          <w:spacing w:val="6"/>
        </w:rPr>
        <w:t xml:space="preserve">hours </w:t>
      </w:r>
      <w:r w:rsidR="00FF55E6" w:rsidRPr="0037058C">
        <w:rPr>
          <w:spacing w:val="6"/>
        </w:rPr>
        <w:t xml:space="preserve">and increase the high </w:t>
      </w:r>
      <w:r w:rsidR="004F5B2E" w:rsidRPr="0037058C">
        <w:rPr>
          <w:spacing w:val="6"/>
        </w:rPr>
        <w:t xml:space="preserve">estimate </w:t>
      </w:r>
      <w:r w:rsidR="00FF55E6" w:rsidRPr="0037058C">
        <w:rPr>
          <w:spacing w:val="6"/>
        </w:rPr>
        <w:t xml:space="preserve">(which is used for the authorization request) </w:t>
      </w:r>
      <w:r w:rsidR="00AE0198" w:rsidRPr="0037058C">
        <w:rPr>
          <w:spacing w:val="6"/>
        </w:rPr>
        <w:t xml:space="preserve">by </w:t>
      </w:r>
      <w:r w:rsidR="00407A4A" w:rsidRPr="0037058C">
        <w:rPr>
          <w:spacing w:val="6"/>
        </w:rPr>
        <w:t>73,567</w:t>
      </w:r>
      <w:r w:rsidR="00F23E22" w:rsidRPr="0037058C">
        <w:rPr>
          <w:spacing w:val="6"/>
        </w:rPr>
        <w:t xml:space="preserve"> </w:t>
      </w:r>
      <w:r w:rsidR="00FF55E6" w:rsidRPr="0037058C">
        <w:rPr>
          <w:spacing w:val="6"/>
        </w:rPr>
        <w:t>hours.</w:t>
      </w:r>
      <w:r w:rsidR="00CB3EBE" w:rsidRPr="0037058C">
        <w:rPr>
          <w:spacing w:val="6"/>
        </w:rPr>
        <w:t xml:space="preserve"> </w:t>
      </w:r>
      <w:r w:rsidR="000575CD" w:rsidRPr="0037058C">
        <w:rPr>
          <w:spacing w:val="6"/>
        </w:rPr>
        <w:t xml:space="preserve"> </w:t>
      </w:r>
    </w:p>
    <w:p w14:paraId="73A71BF6" w14:textId="77777777" w:rsidR="004C72D6" w:rsidRPr="0037058C" w:rsidRDefault="004C72D6" w:rsidP="004C72D6">
      <w:pPr>
        <w:pStyle w:val="Style6"/>
        <w:jc w:val="left"/>
      </w:pPr>
      <w:r w:rsidRPr="0037058C">
        <w:rPr>
          <w:spacing w:val="6"/>
        </w:rPr>
        <w:tab/>
      </w:r>
    </w:p>
    <w:p w14:paraId="6CE8AD51" w14:textId="77777777" w:rsidR="004C72D6" w:rsidRPr="0037058C" w:rsidRDefault="004C72D6" w:rsidP="004C72D6">
      <w:pPr>
        <w:pStyle w:val="Style6"/>
        <w:jc w:val="left"/>
      </w:pPr>
      <w:r w:rsidRPr="0037058C">
        <w:t xml:space="preserve">6(b) </w:t>
      </w:r>
      <w:r w:rsidRPr="0037058C">
        <w:rPr>
          <w:u w:val="single"/>
        </w:rPr>
        <w:t>Estimating Respondent Costs</w:t>
      </w:r>
    </w:p>
    <w:p w14:paraId="354DED7E" w14:textId="77777777" w:rsidR="004C72D6" w:rsidRPr="0037058C" w:rsidRDefault="004C72D6" w:rsidP="004C72D6">
      <w:pPr>
        <w:numPr>
          <w:ilvl w:val="0"/>
          <w:numId w:val="5"/>
        </w:numPr>
        <w:spacing w:before="216"/>
      </w:pPr>
      <w:r w:rsidRPr="0037058C">
        <w:rPr>
          <w:u w:val="single"/>
        </w:rPr>
        <w:t>Estimating labor costs</w:t>
      </w:r>
    </w:p>
    <w:p w14:paraId="099CD85D" w14:textId="77777777" w:rsidR="004C72D6" w:rsidRPr="0037058C" w:rsidRDefault="004C72D6" w:rsidP="004C72D6">
      <w:pPr>
        <w:pStyle w:val="Style6"/>
        <w:jc w:val="left"/>
        <w:rPr>
          <w:spacing w:val="6"/>
        </w:rPr>
      </w:pPr>
    </w:p>
    <w:p w14:paraId="6125163D" w14:textId="77777777" w:rsidR="00EB3EAF" w:rsidRPr="0037058C" w:rsidRDefault="004C72D6" w:rsidP="00EB3EAF">
      <w:r w:rsidRPr="0037058C">
        <w:tab/>
      </w:r>
      <w:r w:rsidR="00EB3EAF" w:rsidRPr="0037058C">
        <w:t>Testing labor costs are based on the EPA average of $55.82 per hour from ICR 0783.54 adjusted from late 2008 to 2012 using the CPI Inflation Calculator (http://www.bls.gov/data/inflation_calculator.htm) to 2012 as $60.81 per hour.</w:t>
      </w:r>
    </w:p>
    <w:p w14:paraId="66D313AD" w14:textId="15CDC330" w:rsidR="00242420" w:rsidRPr="0037058C" w:rsidRDefault="00EB3EAF" w:rsidP="004C72D6">
      <w:pPr>
        <w:pStyle w:val="Style6"/>
        <w:jc w:val="left"/>
      </w:pPr>
      <w:r w:rsidRPr="0037058C">
        <w:t>Other non-testing l</w:t>
      </w:r>
      <w:r w:rsidR="00231BDB" w:rsidRPr="0037058C">
        <w:t>abor costs are considered to be approximated by the motor vehicle manufacturing industry, NAICS 336100.  Rates for managers, mechanical engineers, and secretaries (except legal, medical, and executive) are from the May 2011 National Industry-Specific Occupational Employment and Wage Estimates (http://www.bls.gov/oes/current/naics4_336100.htm, accessed January 10, 2013).</w:t>
      </w:r>
      <w:r w:rsidR="000100BB">
        <w:t xml:space="preserve"> </w:t>
      </w:r>
      <w:r w:rsidR="00231BDB" w:rsidRPr="0037058C">
        <w:t xml:space="preserve"> With a 160% overhead multiplier, these are $95.28, $73.14, and $32.74, respectively. </w:t>
      </w:r>
      <w:r w:rsidR="000100BB">
        <w:t xml:space="preserve"> </w:t>
      </w:r>
      <w:r w:rsidR="00F23E22" w:rsidRPr="0037058C">
        <w:t xml:space="preserve">Information technology specialists for analysis and coding and label redesign are priced at $100 per hour.  </w:t>
      </w:r>
    </w:p>
    <w:p w14:paraId="4AA6B4CE" w14:textId="77777777" w:rsidR="00231BDB" w:rsidRPr="0037058C" w:rsidRDefault="00231BDB" w:rsidP="004C72D6">
      <w:pPr>
        <w:pStyle w:val="Style6"/>
        <w:jc w:val="left"/>
        <w:rPr>
          <w:szCs w:val="20"/>
        </w:rPr>
      </w:pPr>
    </w:p>
    <w:p w14:paraId="78731E52" w14:textId="77777777" w:rsidR="004C72D6" w:rsidRPr="0037058C" w:rsidRDefault="004C72D6" w:rsidP="004C72D6">
      <w:pPr>
        <w:rPr>
          <w:spacing w:val="6"/>
          <w:u w:val="single"/>
        </w:rPr>
      </w:pPr>
      <w:r w:rsidRPr="0037058C">
        <w:rPr>
          <w:spacing w:val="6"/>
        </w:rPr>
        <w:t xml:space="preserve">(ii) </w:t>
      </w:r>
      <w:r w:rsidRPr="0037058C">
        <w:rPr>
          <w:spacing w:val="6"/>
          <w:u w:val="single"/>
        </w:rPr>
        <w:t>Estimating Operations and Maintenance Costs</w:t>
      </w:r>
    </w:p>
    <w:p w14:paraId="735F27AC" w14:textId="77777777" w:rsidR="004C72D6" w:rsidRPr="0037058C" w:rsidRDefault="004C72D6" w:rsidP="004C72D6">
      <w:pPr>
        <w:rPr>
          <w:spacing w:val="6"/>
          <w:u w:val="single"/>
        </w:rPr>
      </w:pPr>
    </w:p>
    <w:p w14:paraId="2481E34D" w14:textId="11C5CC1A" w:rsidR="00F23E22" w:rsidRPr="0037058C" w:rsidRDefault="00F23E22" w:rsidP="00A92FDD">
      <w:pPr>
        <w:rPr>
          <w:spacing w:val="6"/>
        </w:rPr>
      </w:pPr>
      <w:r w:rsidRPr="0037058C">
        <w:rPr>
          <w:spacing w:val="6"/>
        </w:rPr>
        <w:tab/>
      </w:r>
      <w:r w:rsidR="004C72D6" w:rsidRPr="0037058C">
        <w:rPr>
          <w:spacing w:val="6"/>
        </w:rPr>
        <w:t xml:space="preserve">Operation and Maintenance costs </w:t>
      </w:r>
      <w:r w:rsidRPr="0037058C">
        <w:rPr>
          <w:spacing w:val="6"/>
        </w:rPr>
        <w:t xml:space="preserve">fall into the same categories as the labor burden: </w:t>
      </w:r>
      <w:r w:rsidR="004C72D6" w:rsidRPr="0037058C">
        <w:rPr>
          <w:spacing w:val="6"/>
        </w:rPr>
        <w:t xml:space="preserve">the non-labor </w:t>
      </w:r>
      <w:r w:rsidR="00212760" w:rsidRPr="0037058C">
        <w:rPr>
          <w:spacing w:val="6"/>
        </w:rPr>
        <w:t xml:space="preserve">and non-capital </w:t>
      </w:r>
      <w:r w:rsidR="004C72D6" w:rsidRPr="0037058C">
        <w:rPr>
          <w:spacing w:val="6"/>
        </w:rPr>
        <w:t xml:space="preserve">costs associated with conducting the new tests that are anticipated </w:t>
      </w:r>
      <w:r w:rsidR="0027660E" w:rsidRPr="0037058C">
        <w:rPr>
          <w:spacing w:val="6"/>
        </w:rPr>
        <w:t xml:space="preserve">under the </w:t>
      </w:r>
      <w:r w:rsidR="00227854">
        <w:rPr>
          <w:spacing w:val="6"/>
        </w:rPr>
        <w:t>final rule</w:t>
      </w:r>
      <w:r w:rsidRPr="0037058C">
        <w:rPr>
          <w:spacing w:val="6"/>
        </w:rPr>
        <w:t xml:space="preserve"> and the paperwork and record storage costs of reporting to EPA</w:t>
      </w:r>
      <w:r w:rsidR="0027660E" w:rsidRPr="0037058C">
        <w:rPr>
          <w:spacing w:val="6"/>
        </w:rPr>
        <w:t xml:space="preserve">.  </w:t>
      </w:r>
    </w:p>
    <w:p w14:paraId="25F9D784" w14:textId="77777777" w:rsidR="00F23E22" w:rsidRPr="0037058C" w:rsidRDefault="00F23E22" w:rsidP="00A92FDD">
      <w:pPr>
        <w:rPr>
          <w:spacing w:val="6"/>
        </w:rPr>
      </w:pPr>
    </w:p>
    <w:p w14:paraId="7CCDB4EC" w14:textId="0154BA90" w:rsidR="004300CE" w:rsidRDefault="00F23E22" w:rsidP="00A92FDD">
      <w:pPr>
        <w:rPr>
          <w:spacing w:val="6"/>
        </w:rPr>
      </w:pPr>
      <w:r w:rsidRPr="0037058C">
        <w:rPr>
          <w:spacing w:val="6"/>
        </w:rPr>
        <w:tab/>
      </w:r>
      <w:r w:rsidR="0027660E" w:rsidRPr="0037058C">
        <w:rPr>
          <w:spacing w:val="6"/>
        </w:rPr>
        <w:t xml:space="preserve">For the </w:t>
      </w:r>
      <w:r w:rsidR="00B5319B" w:rsidRPr="0037058C">
        <w:rPr>
          <w:spacing w:val="6"/>
        </w:rPr>
        <w:t>Certification</w:t>
      </w:r>
      <w:r w:rsidR="0027660E" w:rsidRPr="0037058C">
        <w:rPr>
          <w:spacing w:val="6"/>
        </w:rPr>
        <w:t xml:space="preserve"> IC, the "Highway" US</w:t>
      </w:r>
      <w:r w:rsidR="00556A30">
        <w:rPr>
          <w:spacing w:val="6"/>
        </w:rPr>
        <w:t>0</w:t>
      </w:r>
      <w:r w:rsidR="0027660E" w:rsidRPr="0037058C">
        <w:rPr>
          <w:spacing w:val="6"/>
        </w:rPr>
        <w:t xml:space="preserve">6 </w:t>
      </w:r>
      <w:r w:rsidR="004300CE">
        <w:rPr>
          <w:spacing w:val="6"/>
        </w:rPr>
        <w:t xml:space="preserve">test </w:t>
      </w:r>
      <w:r w:rsidR="0027660E" w:rsidRPr="0037058C">
        <w:rPr>
          <w:spacing w:val="6"/>
        </w:rPr>
        <w:t xml:space="preserve">and LA 92 tests are estimated to cost $1,860 per test and the new PM test is </w:t>
      </w:r>
      <w:r w:rsidR="004C72D6" w:rsidRPr="0037058C">
        <w:rPr>
          <w:spacing w:val="6"/>
        </w:rPr>
        <w:t>estimated to involve $2</w:t>
      </w:r>
      <w:r w:rsidR="0027660E" w:rsidRPr="0037058C">
        <w:rPr>
          <w:spacing w:val="6"/>
        </w:rPr>
        <w:t xml:space="preserve">50 </w:t>
      </w:r>
      <w:r w:rsidR="004C72D6" w:rsidRPr="0037058C">
        <w:rPr>
          <w:spacing w:val="6"/>
        </w:rPr>
        <w:t>to $4</w:t>
      </w:r>
      <w:r w:rsidR="0027660E" w:rsidRPr="0037058C">
        <w:rPr>
          <w:spacing w:val="6"/>
        </w:rPr>
        <w:t>00</w:t>
      </w:r>
      <w:r w:rsidR="004C72D6" w:rsidRPr="0037058C">
        <w:rPr>
          <w:spacing w:val="6"/>
        </w:rPr>
        <w:t xml:space="preserve"> per test (low and high estimates); </w:t>
      </w:r>
      <w:r w:rsidR="0027660E" w:rsidRPr="0037058C">
        <w:rPr>
          <w:spacing w:val="6"/>
        </w:rPr>
        <w:t>I</w:t>
      </w:r>
      <w:r w:rsidR="00811A60" w:rsidRPr="0037058C">
        <w:rPr>
          <w:spacing w:val="6"/>
        </w:rPr>
        <w:t xml:space="preserve">n </w:t>
      </w:r>
      <w:r w:rsidR="0027660E" w:rsidRPr="0037058C">
        <w:rPr>
          <w:spacing w:val="6"/>
        </w:rPr>
        <w:t>this</w:t>
      </w:r>
      <w:r w:rsidR="00811A60" w:rsidRPr="0037058C">
        <w:rPr>
          <w:spacing w:val="6"/>
        </w:rPr>
        <w:t xml:space="preserve"> ICR </w:t>
      </w:r>
      <w:r w:rsidR="004C72D6" w:rsidRPr="0037058C">
        <w:rPr>
          <w:spacing w:val="6"/>
        </w:rPr>
        <w:t xml:space="preserve">these </w:t>
      </w:r>
      <w:r w:rsidR="0027660E" w:rsidRPr="0037058C">
        <w:rPr>
          <w:spacing w:val="6"/>
        </w:rPr>
        <w:t>are</w:t>
      </w:r>
      <w:r w:rsidR="004C72D6" w:rsidRPr="0037058C">
        <w:rPr>
          <w:spacing w:val="6"/>
        </w:rPr>
        <w:t xml:space="preserve"> applied to the number of such tests </w:t>
      </w:r>
      <w:r w:rsidR="0027660E" w:rsidRPr="0037058C">
        <w:rPr>
          <w:spacing w:val="6"/>
        </w:rPr>
        <w:t>estimated from test groups or durability groups in model year 2012.</w:t>
      </w:r>
      <w:r w:rsidR="00556A30">
        <w:rPr>
          <w:spacing w:val="6"/>
        </w:rPr>
        <w:t xml:space="preserve"> </w:t>
      </w:r>
      <w:r w:rsidR="0027660E" w:rsidRPr="0037058C">
        <w:rPr>
          <w:spacing w:val="6"/>
        </w:rPr>
        <w:t xml:space="preserve"> </w:t>
      </w:r>
      <w:r w:rsidR="004300CE">
        <w:rPr>
          <w:spacing w:val="6"/>
        </w:rPr>
        <w:t>For t</w:t>
      </w:r>
      <w:r w:rsidR="0027660E" w:rsidRPr="0037058C">
        <w:rPr>
          <w:spacing w:val="6"/>
        </w:rPr>
        <w:t>he LA92 and Highway US</w:t>
      </w:r>
      <w:r w:rsidR="00F54099">
        <w:rPr>
          <w:spacing w:val="6"/>
        </w:rPr>
        <w:t>0</w:t>
      </w:r>
      <w:r w:rsidR="0027660E" w:rsidRPr="0037058C">
        <w:rPr>
          <w:spacing w:val="6"/>
        </w:rPr>
        <w:t>6 tests, the low number</w:t>
      </w:r>
      <w:r w:rsidR="004300CE">
        <w:rPr>
          <w:spacing w:val="6"/>
        </w:rPr>
        <w:t xml:space="preserve"> reflects the absence of any 49-</w:t>
      </w:r>
      <w:r w:rsidR="0027660E" w:rsidRPr="0037058C">
        <w:rPr>
          <w:spacing w:val="6"/>
        </w:rPr>
        <w:t>state heavy duty test groups while the high est</w:t>
      </w:r>
      <w:r w:rsidR="00C80999" w:rsidRPr="0037058C">
        <w:rPr>
          <w:spacing w:val="6"/>
        </w:rPr>
        <w:t xml:space="preserve">imate reflects </w:t>
      </w:r>
      <w:r w:rsidR="00212760" w:rsidRPr="0037058C">
        <w:rPr>
          <w:spacing w:val="6"/>
        </w:rPr>
        <w:t xml:space="preserve">eleven </w:t>
      </w:r>
      <w:r w:rsidR="00C80999" w:rsidRPr="0037058C">
        <w:rPr>
          <w:spacing w:val="6"/>
        </w:rPr>
        <w:t xml:space="preserve">and </w:t>
      </w:r>
      <w:r w:rsidR="00212760" w:rsidRPr="0037058C">
        <w:rPr>
          <w:spacing w:val="6"/>
        </w:rPr>
        <w:t>six</w:t>
      </w:r>
      <w:r w:rsidR="00C80999" w:rsidRPr="0037058C">
        <w:rPr>
          <w:spacing w:val="6"/>
        </w:rPr>
        <w:t xml:space="preserve"> fifty-</w:t>
      </w:r>
      <w:r w:rsidR="0027660E" w:rsidRPr="0037058C">
        <w:rPr>
          <w:spacing w:val="6"/>
        </w:rPr>
        <w:t>state test groups respec</w:t>
      </w:r>
      <w:r w:rsidR="00212760" w:rsidRPr="0037058C">
        <w:rPr>
          <w:spacing w:val="6"/>
        </w:rPr>
        <w:t xml:space="preserve">tively. </w:t>
      </w:r>
      <w:r w:rsidR="00556A30">
        <w:rPr>
          <w:spacing w:val="6"/>
        </w:rPr>
        <w:t xml:space="preserve"> </w:t>
      </w:r>
      <w:r w:rsidR="00212760" w:rsidRPr="0037058C">
        <w:rPr>
          <w:spacing w:val="6"/>
        </w:rPr>
        <w:t xml:space="preserve">The total is </w:t>
      </w:r>
      <w:r w:rsidR="004300CE">
        <w:rPr>
          <w:spacing w:val="6"/>
        </w:rPr>
        <w:t xml:space="preserve">$0 </w:t>
      </w:r>
      <w:r w:rsidR="00212760" w:rsidRPr="0037058C">
        <w:rPr>
          <w:spacing w:val="6"/>
        </w:rPr>
        <w:t>to $1</w:t>
      </w:r>
      <w:r w:rsidR="004300CE">
        <w:rPr>
          <w:spacing w:val="6"/>
        </w:rPr>
        <w:t>31,160</w:t>
      </w:r>
      <w:r w:rsidR="00212760" w:rsidRPr="0037058C">
        <w:rPr>
          <w:spacing w:val="6"/>
        </w:rPr>
        <w:t xml:space="preserve"> per year.</w:t>
      </w:r>
      <w:r w:rsidR="00556A30">
        <w:rPr>
          <w:spacing w:val="6"/>
        </w:rPr>
        <w:t xml:space="preserve"> </w:t>
      </w:r>
      <w:r w:rsidR="00212760" w:rsidRPr="0037058C">
        <w:rPr>
          <w:spacing w:val="6"/>
        </w:rPr>
        <w:t xml:space="preserve"> The number of PM tests is based on two tests per durability group times 25% tested each year.</w:t>
      </w:r>
      <w:r w:rsidR="0027660E" w:rsidRPr="0037058C">
        <w:rPr>
          <w:spacing w:val="6"/>
        </w:rPr>
        <w:t xml:space="preserve"> </w:t>
      </w:r>
      <w:r w:rsidR="00556A30">
        <w:rPr>
          <w:spacing w:val="6"/>
        </w:rPr>
        <w:t xml:space="preserve"> </w:t>
      </w:r>
      <w:r w:rsidR="00212760" w:rsidRPr="0037058C">
        <w:rPr>
          <w:spacing w:val="6"/>
        </w:rPr>
        <w:t xml:space="preserve">The low estimate of 20 tests reflects that only forty test groups were certified in MY 2012 that were not small businesses and were Federal-only. </w:t>
      </w:r>
      <w:r w:rsidR="00556A30">
        <w:rPr>
          <w:spacing w:val="6"/>
        </w:rPr>
        <w:t xml:space="preserve"> </w:t>
      </w:r>
      <w:r w:rsidR="00212760" w:rsidRPr="0037058C">
        <w:rPr>
          <w:spacing w:val="6"/>
        </w:rPr>
        <w:t xml:space="preserve">The high estimate a total of 404 unique durability groups, Federal, California-only, or 50-state, with </w:t>
      </w:r>
      <w:r w:rsidR="0027660E" w:rsidRPr="0037058C">
        <w:rPr>
          <w:spacing w:val="6"/>
        </w:rPr>
        <w:t>two tests for each group</w:t>
      </w:r>
      <w:r w:rsidR="00212760" w:rsidRPr="0037058C">
        <w:rPr>
          <w:spacing w:val="6"/>
        </w:rPr>
        <w:t xml:space="preserve">, a quarter </w:t>
      </w:r>
      <w:r w:rsidR="00212760" w:rsidRPr="0037058C">
        <w:rPr>
          <w:spacing w:val="6"/>
        </w:rPr>
        <w:lastRenderedPageBreak/>
        <w:t>tested each year, and allowance for those manufacturers who may be too small to benefit fully from the 25% rule.</w:t>
      </w:r>
      <w:r w:rsidR="00556A30">
        <w:rPr>
          <w:spacing w:val="6"/>
        </w:rPr>
        <w:t xml:space="preserve"> </w:t>
      </w:r>
      <w:r w:rsidR="00212760" w:rsidRPr="0037058C">
        <w:rPr>
          <w:spacing w:val="6"/>
        </w:rPr>
        <w:t xml:space="preserve"> </w:t>
      </w:r>
      <w:r w:rsidR="0027660E" w:rsidRPr="0037058C">
        <w:rPr>
          <w:spacing w:val="6"/>
        </w:rPr>
        <w:t xml:space="preserve">The </w:t>
      </w:r>
      <w:r w:rsidR="004C72D6" w:rsidRPr="0037058C">
        <w:rPr>
          <w:spacing w:val="6"/>
        </w:rPr>
        <w:t xml:space="preserve">total </w:t>
      </w:r>
      <w:r w:rsidR="004300CE">
        <w:rPr>
          <w:spacing w:val="6"/>
        </w:rPr>
        <w:t xml:space="preserve">for all new tests </w:t>
      </w:r>
      <w:r w:rsidR="0027660E" w:rsidRPr="0037058C">
        <w:rPr>
          <w:spacing w:val="6"/>
        </w:rPr>
        <w:t>comes to</w:t>
      </w:r>
      <w:r w:rsidR="004C72D6" w:rsidRPr="0037058C">
        <w:rPr>
          <w:spacing w:val="6"/>
        </w:rPr>
        <w:t xml:space="preserve"> $</w:t>
      </w:r>
      <w:r w:rsidR="00212760" w:rsidRPr="0037058C">
        <w:rPr>
          <w:spacing w:val="6"/>
        </w:rPr>
        <w:t>5,000</w:t>
      </w:r>
      <w:r w:rsidR="004C72D6" w:rsidRPr="0037058C">
        <w:rPr>
          <w:spacing w:val="6"/>
        </w:rPr>
        <w:t xml:space="preserve"> to $</w:t>
      </w:r>
      <w:r w:rsidR="00212760" w:rsidRPr="0037058C">
        <w:rPr>
          <w:spacing w:val="6"/>
        </w:rPr>
        <w:t>151</w:t>
      </w:r>
      <w:r w:rsidR="0027660E" w:rsidRPr="0037058C">
        <w:rPr>
          <w:spacing w:val="6"/>
        </w:rPr>
        <w:t>,620</w:t>
      </w:r>
      <w:r w:rsidR="004C72D6" w:rsidRPr="0037058C">
        <w:rPr>
          <w:spacing w:val="6"/>
        </w:rPr>
        <w:t xml:space="preserve"> per year. </w:t>
      </w:r>
    </w:p>
    <w:p w14:paraId="7AA2B6FE" w14:textId="77777777" w:rsidR="004300CE" w:rsidRDefault="004300CE" w:rsidP="00A92FDD">
      <w:pPr>
        <w:rPr>
          <w:spacing w:val="6"/>
        </w:rPr>
      </w:pPr>
    </w:p>
    <w:p w14:paraId="4F5338D1" w14:textId="670EEA42" w:rsidR="00384455" w:rsidRPr="0037058C" w:rsidRDefault="004300CE" w:rsidP="00A92FDD">
      <w:pPr>
        <w:rPr>
          <w:spacing w:val="6"/>
        </w:rPr>
      </w:pPr>
      <w:r>
        <w:rPr>
          <w:spacing w:val="6"/>
        </w:rPr>
        <w:tab/>
      </w:r>
      <w:r w:rsidR="00212760" w:rsidRPr="0037058C">
        <w:rPr>
          <w:spacing w:val="6"/>
        </w:rPr>
        <w:t xml:space="preserve">A much larger number of vehicles are tested in the </w:t>
      </w:r>
      <w:proofErr w:type="spellStart"/>
      <w:r w:rsidR="00212760" w:rsidRPr="0037058C">
        <w:rPr>
          <w:spacing w:val="6"/>
        </w:rPr>
        <w:t>IUVP</w:t>
      </w:r>
      <w:proofErr w:type="spellEnd"/>
      <w:r w:rsidR="00CB4635" w:rsidRPr="0037058C">
        <w:rPr>
          <w:spacing w:val="6"/>
        </w:rPr>
        <w:t>, 1</w:t>
      </w:r>
      <w:r w:rsidR="00F54099">
        <w:rPr>
          <w:spacing w:val="6"/>
        </w:rPr>
        <w:t>,</w:t>
      </w:r>
      <w:r w:rsidR="00CB4635" w:rsidRPr="0037058C">
        <w:rPr>
          <w:spacing w:val="6"/>
        </w:rPr>
        <w:t xml:space="preserve">602 </w:t>
      </w:r>
      <w:proofErr w:type="spellStart"/>
      <w:r w:rsidR="00CB4635" w:rsidRPr="0037058C">
        <w:rPr>
          <w:spacing w:val="6"/>
        </w:rPr>
        <w:t>VINs</w:t>
      </w:r>
      <w:proofErr w:type="spellEnd"/>
      <w:r w:rsidR="00CB4635" w:rsidRPr="0037058C">
        <w:rPr>
          <w:spacing w:val="6"/>
        </w:rPr>
        <w:t xml:space="preserve"> from February, 2012 through January, 2013. </w:t>
      </w:r>
      <w:r w:rsidR="00556A30">
        <w:rPr>
          <w:spacing w:val="6"/>
        </w:rPr>
        <w:t xml:space="preserve"> </w:t>
      </w:r>
      <w:r w:rsidR="00CB4635" w:rsidRPr="0037058C">
        <w:rPr>
          <w:spacing w:val="6"/>
        </w:rPr>
        <w:t>The estimate assumes two tests per vehicle but half the vehicles tested.</w:t>
      </w:r>
      <w:r w:rsidR="00556A30">
        <w:rPr>
          <w:spacing w:val="6"/>
        </w:rPr>
        <w:t xml:space="preserve"> </w:t>
      </w:r>
      <w:r w:rsidR="00CB4635" w:rsidRPr="0037058C">
        <w:rPr>
          <w:spacing w:val="6"/>
        </w:rPr>
        <w:t xml:space="preserve"> The resulting cost is $400,500 to $640,800. The </w:t>
      </w:r>
      <w:proofErr w:type="spellStart"/>
      <w:r w:rsidR="00CB4635" w:rsidRPr="0037058C">
        <w:rPr>
          <w:spacing w:val="6"/>
        </w:rPr>
        <w:t>IUVP</w:t>
      </w:r>
      <w:proofErr w:type="spellEnd"/>
      <w:r w:rsidR="00CB4635" w:rsidRPr="0037058C">
        <w:rPr>
          <w:spacing w:val="6"/>
        </w:rPr>
        <w:t xml:space="preserve"> bleed test was estimated at a maximum of 80 tests at $50 per test and based on contractor estimates. </w:t>
      </w:r>
    </w:p>
    <w:p w14:paraId="46B77E38" w14:textId="77777777" w:rsidR="0027660E" w:rsidRPr="0037058C" w:rsidRDefault="0027660E" w:rsidP="00A92FDD">
      <w:pPr>
        <w:rPr>
          <w:spacing w:val="6"/>
        </w:rPr>
      </w:pPr>
    </w:p>
    <w:p w14:paraId="08721173" w14:textId="6F716842" w:rsidR="00F23E22" w:rsidRPr="0037058C" w:rsidRDefault="00F23E22" w:rsidP="00A92FDD">
      <w:pPr>
        <w:rPr>
          <w:spacing w:val="6"/>
        </w:rPr>
      </w:pPr>
      <w:r w:rsidRPr="0037058C">
        <w:rPr>
          <w:spacing w:val="6"/>
        </w:rPr>
        <w:tab/>
        <w:t>The best testing cost information frequently comes from contractors, who quote a single price that comprises labor, overhead, O&amp;M, startup, facility costs, and profit, as well as varying amounts of the direct application and paperwork filing burdens.</w:t>
      </w:r>
      <w:r w:rsidR="00556A30">
        <w:rPr>
          <w:spacing w:val="6"/>
        </w:rPr>
        <w:t xml:space="preserve"> </w:t>
      </w:r>
      <w:r w:rsidRPr="0037058C">
        <w:rPr>
          <w:spacing w:val="6"/>
        </w:rPr>
        <w:t xml:space="preserve"> It is difficult to allocate these global estimates to the accounting categories mandated by the ICR</w:t>
      </w:r>
      <w:r w:rsidR="00CB4635" w:rsidRPr="0037058C">
        <w:rPr>
          <w:spacing w:val="6"/>
        </w:rPr>
        <w:t xml:space="preserve"> formalism</w:t>
      </w:r>
      <w:r w:rsidRPr="0037058C">
        <w:rPr>
          <w:spacing w:val="6"/>
        </w:rPr>
        <w:t xml:space="preserve">. </w:t>
      </w:r>
      <w:r w:rsidR="00556A30">
        <w:rPr>
          <w:spacing w:val="6"/>
        </w:rPr>
        <w:t xml:space="preserve"> </w:t>
      </w:r>
      <w:r w:rsidRPr="0037058C">
        <w:rPr>
          <w:spacing w:val="6"/>
        </w:rPr>
        <w:t>This is compounded by the wide variety of different manufacturers covered, with, for example, differing facility construction needs, different availability of testing bays and contractor arrangements.</w:t>
      </w:r>
      <w:r w:rsidR="00556A30">
        <w:rPr>
          <w:spacing w:val="6"/>
        </w:rPr>
        <w:t xml:space="preserve"> </w:t>
      </w:r>
      <w:r w:rsidRPr="0037058C">
        <w:rPr>
          <w:spacing w:val="6"/>
        </w:rPr>
        <w:t xml:space="preserve"> Combined ICR labor, O&amp;M, and capital costs are consequently the m</w:t>
      </w:r>
      <w:r w:rsidR="00CB4635" w:rsidRPr="0037058C">
        <w:rPr>
          <w:spacing w:val="6"/>
        </w:rPr>
        <w:t>ore</w:t>
      </w:r>
      <w:r w:rsidRPr="0037058C">
        <w:rPr>
          <w:spacing w:val="6"/>
        </w:rPr>
        <w:t xml:space="preserve"> robust</w:t>
      </w:r>
      <w:r w:rsidR="00CB4635" w:rsidRPr="0037058C">
        <w:rPr>
          <w:spacing w:val="6"/>
        </w:rPr>
        <w:t xml:space="preserve"> than these disaggregated estimates</w:t>
      </w:r>
      <w:r w:rsidRPr="0037058C">
        <w:rPr>
          <w:spacing w:val="6"/>
        </w:rPr>
        <w:t>.</w:t>
      </w:r>
    </w:p>
    <w:p w14:paraId="1B1419DC" w14:textId="77777777" w:rsidR="00F23E22" w:rsidRPr="0037058C" w:rsidRDefault="00F23E22" w:rsidP="00A92FDD">
      <w:pPr>
        <w:rPr>
          <w:spacing w:val="6"/>
        </w:rPr>
      </w:pPr>
    </w:p>
    <w:p w14:paraId="6D30BF6C" w14:textId="77777777" w:rsidR="004C72D6" w:rsidRPr="0037058C" w:rsidRDefault="004C72D6" w:rsidP="004C72D6">
      <w:pPr>
        <w:rPr>
          <w:spacing w:val="6"/>
          <w:u w:val="single"/>
        </w:rPr>
      </w:pPr>
      <w:r w:rsidRPr="0037058C">
        <w:rPr>
          <w:spacing w:val="6"/>
        </w:rPr>
        <w:t xml:space="preserve">(iii)  </w:t>
      </w:r>
      <w:r w:rsidRPr="0037058C">
        <w:rPr>
          <w:spacing w:val="6"/>
          <w:u w:val="single"/>
        </w:rPr>
        <w:t>Start-up Capital Costs</w:t>
      </w:r>
    </w:p>
    <w:p w14:paraId="022C7C69" w14:textId="77777777" w:rsidR="004C72D6" w:rsidRPr="0037058C" w:rsidRDefault="004C72D6" w:rsidP="004C72D6">
      <w:pPr>
        <w:rPr>
          <w:spacing w:val="6"/>
        </w:rPr>
      </w:pPr>
    </w:p>
    <w:p w14:paraId="7FAD8A74" w14:textId="77777777" w:rsidR="004C72D6" w:rsidRPr="0037058C" w:rsidRDefault="004C72D6" w:rsidP="004C72D6">
      <w:r w:rsidRPr="0037058C">
        <w:tab/>
        <w:t xml:space="preserve">“Startup” costs are one-time costs to implement the new requirements in the </w:t>
      </w:r>
      <w:r w:rsidR="00545640" w:rsidRPr="0037058C">
        <w:t>rule</w:t>
      </w:r>
      <w:r w:rsidRPr="0037058C">
        <w:t xml:space="preserve"> that are applicable to </w:t>
      </w:r>
      <w:r w:rsidR="00E8220C">
        <w:t>v</w:t>
      </w:r>
      <w:r w:rsidRPr="0037058C">
        <w:t>ehicles being certified or in-use tested by the respondent manufacturers. These startup burd</w:t>
      </w:r>
      <w:r w:rsidR="00C934F8" w:rsidRPr="0037058C">
        <w:t xml:space="preserve">ens fall into three categories: Familiarization and information technology, testing, and facility costs. </w:t>
      </w:r>
    </w:p>
    <w:p w14:paraId="3FA57AD4" w14:textId="77777777" w:rsidR="00EF3D08" w:rsidRPr="0037058C" w:rsidRDefault="00EF3D08" w:rsidP="004C72D6"/>
    <w:p w14:paraId="4A65FD24" w14:textId="2F05A252" w:rsidR="00EF3D08" w:rsidRPr="0037058C" w:rsidRDefault="00EF3D08" w:rsidP="004C72D6">
      <w:r w:rsidRPr="0037058C">
        <w:tab/>
        <w:t>The estimates give</w:t>
      </w:r>
      <w:r w:rsidR="00556A30">
        <w:t>n</w:t>
      </w:r>
      <w:r w:rsidRPr="0037058C">
        <w:t xml:space="preserve"> below are after spreading the costs over ten years assuming an APR of 7% until the final value of the payment is zero, except for facility costs as explained below. </w:t>
      </w:r>
    </w:p>
    <w:p w14:paraId="45AD3E05" w14:textId="77777777" w:rsidR="004C72D6" w:rsidRPr="0037058C" w:rsidRDefault="004C72D6" w:rsidP="004C72D6"/>
    <w:p w14:paraId="22312DE5" w14:textId="113AB507" w:rsidR="00CB4635" w:rsidRPr="0037058C" w:rsidRDefault="004C72D6" w:rsidP="004C72D6">
      <w:r w:rsidRPr="0037058C">
        <w:tab/>
      </w:r>
      <w:r w:rsidR="005D0455" w:rsidRPr="0037058C">
        <w:t xml:space="preserve">For the </w:t>
      </w:r>
      <w:r w:rsidR="00B5319B" w:rsidRPr="0037058C">
        <w:t>Certification</w:t>
      </w:r>
      <w:r w:rsidR="005D0455" w:rsidRPr="0037058C">
        <w:t xml:space="preserve"> IC, </w:t>
      </w:r>
      <w:r w:rsidR="00EF3D08" w:rsidRPr="0037058C">
        <w:t>the largest item is</w:t>
      </w:r>
      <w:r w:rsidRPr="0037058C">
        <w:t xml:space="preserve"> information technology costs involving familiarization with the new data reporting requirements and installation of reformatted management information systems to carry out and report the necessary data and calculations.  </w:t>
      </w:r>
      <w:r w:rsidR="00CB4635" w:rsidRPr="0037058C">
        <w:t xml:space="preserve">This estimate is based on EPA estimates of the cost of updating Verify, extended to the nine major marketing groups and </w:t>
      </w:r>
      <w:r w:rsidR="00EF3D08" w:rsidRPr="0037058C">
        <w:t xml:space="preserve">to </w:t>
      </w:r>
      <w:r w:rsidR="00CB4635" w:rsidRPr="0037058C">
        <w:t>other manufacturers.</w:t>
      </w:r>
      <w:r w:rsidR="00556A30">
        <w:t xml:space="preserve"> </w:t>
      </w:r>
      <w:r w:rsidR="00CB4635" w:rsidRPr="0037058C">
        <w:t xml:space="preserve"> </w:t>
      </w:r>
      <w:r w:rsidRPr="0037058C">
        <w:t xml:space="preserve">All these burdens are add-ons to well established reporting requirements: manufacturers already submit similar data to EPA. </w:t>
      </w:r>
      <w:r w:rsidR="00EF3D08" w:rsidRPr="0037058C">
        <w:t xml:space="preserve">This estimate is highly imprecise because it is difficult for EPA to allocate information upgrade costs for an integrated system to a particular rulemaking. </w:t>
      </w:r>
      <w:r w:rsidR="00556A30">
        <w:t xml:space="preserve"> </w:t>
      </w:r>
      <w:r w:rsidR="00EF3D08" w:rsidRPr="0037058C">
        <w:t xml:space="preserve">There is also a minor line item for programming the extension of existing Average, Banking and Trading systems to accommodate Tier 3. The subtotal for </w:t>
      </w:r>
      <w:r w:rsidR="004300CE">
        <w:t xml:space="preserve">information technology </w:t>
      </w:r>
      <w:r w:rsidR="00EF3D08" w:rsidRPr="0037058C">
        <w:t xml:space="preserve">is $2,334,563. </w:t>
      </w:r>
    </w:p>
    <w:p w14:paraId="53BA6921" w14:textId="77777777" w:rsidR="00CB4635" w:rsidRPr="0037058C" w:rsidRDefault="00CB4635" w:rsidP="004C72D6"/>
    <w:p w14:paraId="31600702" w14:textId="556C5A08" w:rsidR="004C72D6" w:rsidRPr="0037058C" w:rsidRDefault="00CB4635" w:rsidP="004C72D6">
      <w:r w:rsidRPr="0037058C">
        <w:tab/>
        <w:t>B</w:t>
      </w:r>
      <w:r w:rsidR="006013AD" w:rsidRPr="0037058C">
        <w:t>ecause manufacturers must not only program the reporting requirements, but also make management decisions about which of the compliance pathways to follow, this ICR adds a</w:t>
      </w:r>
      <w:r w:rsidRPr="0037058C">
        <w:t xml:space="preserve"> line item</w:t>
      </w:r>
      <w:r w:rsidR="00556A30">
        <w:t>,</w:t>
      </w:r>
      <w:r w:rsidRPr="0037058C">
        <w:t xml:space="preserve"> familiarization cost</w:t>
      </w:r>
      <w:r w:rsidR="006013AD" w:rsidRPr="0037058C">
        <w:t>.</w:t>
      </w:r>
      <w:r w:rsidRPr="0037058C">
        <w:t xml:space="preserve"> </w:t>
      </w:r>
      <w:r w:rsidR="00EF3D08" w:rsidRPr="0037058C">
        <w:t>This item</w:t>
      </w:r>
      <w:r w:rsidR="006013AD" w:rsidRPr="0037058C">
        <w:t xml:space="preserve"> add</w:t>
      </w:r>
      <w:r w:rsidR="00E8220C">
        <w:t>s</w:t>
      </w:r>
      <w:r w:rsidR="006013AD" w:rsidRPr="0037058C">
        <w:t xml:space="preserve"> $</w:t>
      </w:r>
      <w:r w:rsidR="0093391B" w:rsidRPr="0037058C">
        <w:t>160,</w:t>
      </w:r>
      <w:r w:rsidR="00EF3D08" w:rsidRPr="0037058C">
        <w:t>497</w:t>
      </w:r>
      <w:r w:rsidR="006013AD" w:rsidRPr="0037058C">
        <w:t xml:space="preserve"> to the baseline for</w:t>
      </w:r>
      <w:r w:rsidR="00245C03" w:rsidRPr="0037058C">
        <w:t xml:space="preserve"> this category of startup costs.</w:t>
      </w:r>
      <w:r w:rsidR="006013AD" w:rsidRPr="0037058C">
        <w:t xml:space="preserve">  </w:t>
      </w:r>
    </w:p>
    <w:p w14:paraId="4BF9A068" w14:textId="77777777" w:rsidR="005D0455" w:rsidRPr="0037058C" w:rsidRDefault="005D0455" w:rsidP="004C72D6"/>
    <w:p w14:paraId="428B96F7" w14:textId="627F7C90" w:rsidR="00E31490" w:rsidRPr="0037058C" w:rsidRDefault="00EF3D08" w:rsidP="004C72D6">
      <w:pPr>
        <w:ind w:firstLine="720"/>
        <w:rPr>
          <w:rFonts w:eastAsia="MS Mincho"/>
          <w:color w:val="000000"/>
          <w:lang w:eastAsia="ja-JP"/>
        </w:rPr>
      </w:pPr>
      <w:r w:rsidRPr="0037058C">
        <w:rPr>
          <w:rFonts w:eastAsia="MS Mincho"/>
          <w:color w:val="000000"/>
          <w:lang w:eastAsia="ja-JP"/>
        </w:rPr>
        <w:lastRenderedPageBreak/>
        <w:t>The other major item in Certification IC startup costs is installation of equipment for PM testing.</w:t>
      </w:r>
      <w:r w:rsidR="00556A30">
        <w:rPr>
          <w:rFonts w:eastAsia="MS Mincho"/>
          <w:color w:val="000000"/>
          <w:lang w:eastAsia="ja-JP"/>
        </w:rPr>
        <w:t xml:space="preserve"> </w:t>
      </w:r>
      <w:r w:rsidRPr="0037058C">
        <w:rPr>
          <w:rFonts w:eastAsia="MS Mincho"/>
          <w:color w:val="000000"/>
          <w:lang w:eastAsia="ja-JP"/>
        </w:rPr>
        <w:t xml:space="preserve"> For purposes of this ICR, we follow the estimate in the draft RIA of 55 to 60 upgrades costing $250,000 to $500,000 each, resulting in a</w:t>
      </w:r>
      <w:r w:rsidR="00AC263E" w:rsidRPr="0037058C">
        <w:rPr>
          <w:rFonts w:eastAsia="MS Mincho"/>
          <w:color w:val="000000"/>
          <w:lang w:eastAsia="ja-JP"/>
        </w:rPr>
        <w:t xml:space="preserve"> (discounted) yearly cost of $629,636. </w:t>
      </w:r>
    </w:p>
    <w:p w14:paraId="002B4BC4" w14:textId="77777777" w:rsidR="00AC263E" w:rsidRPr="0037058C" w:rsidRDefault="00AC263E" w:rsidP="004C72D6">
      <w:pPr>
        <w:ind w:firstLine="720"/>
        <w:rPr>
          <w:rFonts w:eastAsia="MS Mincho"/>
          <w:color w:val="000000"/>
          <w:lang w:eastAsia="ja-JP"/>
        </w:rPr>
      </w:pPr>
    </w:p>
    <w:p w14:paraId="18063D00" w14:textId="77777777" w:rsidR="00AC263E" w:rsidRPr="0037058C" w:rsidRDefault="00AC263E" w:rsidP="004C72D6">
      <w:pPr>
        <w:ind w:firstLine="720"/>
        <w:rPr>
          <w:rFonts w:eastAsia="MS Mincho"/>
          <w:color w:val="000000"/>
          <w:lang w:eastAsia="ja-JP"/>
        </w:rPr>
      </w:pPr>
      <w:r w:rsidRPr="0037058C">
        <w:rPr>
          <w:rFonts w:eastAsia="MS Mincho"/>
          <w:color w:val="000000"/>
          <w:lang w:eastAsia="ja-JP"/>
        </w:rPr>
        <w:t xml:space="preserve">The total startup capital estimate for the Certification IC is consequently $3,070,696 per year. </w:t>
      </w:r>
    </w:p>
    <w:p w14:paraId="425EF594" w14:textId="77777777" w:rsidR="00EF3D08" w:rsidRPr="0037058C" w:rsidRDefault="00EF3D08" w:rsidP="004C72D6">
      <w:pPr>
        <w:ind w:firstLine="720"/>
        <w:rPr>
          <w:rFonts w:eastAsia="MS Mincho"/>
          <w:color w:val="000000"/>
          <w:lang w:eastAsia="ja-JP"/>
        </w:rPr>
      </w:pPr>
    </w:p>
    <w:p w14:paraId="50000909" w14:textId="685FEB13" w:rsidR="00704F0B" w:rsidRPr="0037058C" w:rsidRDefault="00704F0B" w:rsidP="00704F0B">
      <w:r w:rsidRPr="0037058C">
        <w:tab/>
        <w:t xml:space="preserve">For the </w:t>
      </w:r>
      <w:proofErr w:type="spellStart"/>
      <w:r w:rsidRPr="0037058C">
        <w:t>IUVP</w:t>
      </w:r>
      <w:proofErr w:type="spellEnd"/>
      <w:r w:rsidRPr="0037058C">
        <w:t xml:space="preserve"> IC</w:t>
      </w:r>
      <w:r w:rsidRPr="0037058C">
        <w:rPr>
          <w:spacing w:val="6"/>
        </w:rPr>
        <w:t xml:space="preserve">, </w:t>
      </w:r>
      <w:r w:rsidR="00AC263E" w:rsidRPr="0037058C">
        <w:rPr>
          <w:spacing w:val="6"/>
        </w:rPr>
        <w:t xml:space="preserve">startup capital costs are for bleed testing and PM testing. Startup costs for the bleed test are estimated at $2,500 per rig applied to 20 to 30 manufacturers for a minor cost of $10,678 per year. </w:t>
      </w:r>
      <w:r w:rsidR="006B608C">
        <w:rPr>
          <w:spacing w:val="6"/>
        </w:rPr>
        <w:t xml:space="preserve"> </w:t>
      </w:r>
      <w:r w:rsidR="00AC263E" w:rsidRPr="0037058C">
        <w:rPr>
          <w:spacing w:val="6"/>
        </w:rPr>
        <w:t>The PM analysis is similar to that given for the Certification ICR, but because of the greater number of tests the figure is 5.34 times higher: $3,362,257.</w:t>
      </w:r>
      <w:r w:rsidR="006B608C">
        <w:rPr>
          <w:spacing w:val="6"/>
        </w:rPr>
        <w:t xml:space="preserve"> </w:t>
      </w:r>
      <w:r w:rsidR="00AC263E" w:rsidRPr="0037058C">
        <w:rPr>
          <w:spacing w:val="6"/>
        </w:rPr>
        <w:t xml:space="preserve"> The total for the </w:t>
      </w:r>
      <w:proofErr w:type="spellStart"/>
      <w:r w:rsidR="00AC263E" w:rsidRPr="0037058C">
        <w:rPr>
          <w:spacing w:val="6"/>
        </w:rPr>
        <w:t>IUVP</w:t>
      </w:r>
      <w:proofErr w:type="spellEnd"/>
      <w:r w:rsidR="00AC263E" w:rsidRPr="0037058C">
        <w:rPr>
          <w:spacing w:val="6"/>
        </w:rPr>
        <w:t xml:space="preserve"> IC is consequently $3,372,935. The total for non-facility startup costs for both ICs is consequently $6,443,631 per year for ten years.</w:t>
      </w:r>
      <w:r w:rsidRPr="0037058C">
        <w:rPr>
          <w:spacing w:val="6"/>
        </w:rPr>
        <w:t xml:space="preserve"> </w:t>
      </w:r>
    </w:p>
    <w:p w14:paraId="2C677B42" w14:textId="77777777" w:rsidR="00704F0B" w:rsidRPr="0037058C" w:rsidRDefault="00704F0B" w:rsidP="004C72D6">
      <w:pPr>
        <w:ind w:firstLine="720"/>
        <w:rPr>
          <w:rFonts w:eastAsia="MS Mincho"/>
          <w:color w:val="000000"/>
          <w:lang w:eastAsia="ja-JP"/>
        </w:rPr>
      </w:pPr>
    </w:p>
    <w:p w14:paraId="18F0566A" w14:textId="5A27B71C" w:rsidR="00E31490" w:rsidRPr="0037058C" w:rsidRDefault="004C72D6" w:rsidP="004C72D6">
      <w:r w:rsidRPr="0037058C">
        <w:tab/>
      </w:r>
      <w:r w:rsidR="00C934F8" w:rsidRPr="0037058C">
        <w:t>Finally, this ICR includes a separate accounting of "facility capital" costs.</w:t>
      </w:r>
      <w:r w:rsidR="002D2F98" w:rsidRPr="0037058C">
        <w:t xml:space="preserve">  Because manufacturers vary widely in their existing testing facilities, their excess capacities, their work shift arrangements and availabilities, the real estate cost and land availabilities for hypothetical expansions, and their contractual arrangements with other testing facilities, the Compliance Division has for many year</w:t>
      </w:r>
      <w:r w:rsidR="006B608C">
        <w:t>s</w:t>
      </w:r>
      <w:r w:rsidR="002D2F98" w:rsidRPr="0037058C">
        <w:t xml:space="preserve"> now used the approximation that a facility capable of performing 750 FTP/</w:t>
      </w:r>
      <w:proofErr w:type="spellStart"/>
      <w:r w:rsidR="002D2F98" w:rsidRPr="0037058C">
        <w:t>HFET</w:t>
      </w:r>
      <w:proofErr w:type="spellEnd"/>
      <w:r w:rsidR="002D2F98" w:rsidRPr="0037058C">
        <w:t xml:space="preserve"> tests per year costs $4,000,000 and allocated this cost to each testing increment.</w:t>
      </w:r>
      <w:r w:rsidR="006B608C">
        <w:t xml:space="preserve"> </w:t>
      </w:r>
      <w:r w:rsidR="002D2F98" w:rsidRPr="0037058C">
        <w:t xml:space="preserve"> This cost is then </w:t>
      </w:r>
      <w:r w:rsidR="00C934F8" w:rsidRPr="0037058C">
        <w:t>amortized to zero</w:t>
      </w:r>
      <w:r w:rsidR="002D2F98" w:rsidRPr="0037058C">
        <w:t xml:space="preserve"> over ten years </w:t>
      </w:r>
      <w:r w:rsidR="00C934F8" w:rsidRPr="0037058C">
        <w:t xml:space="preserve">assuming an interest cost of 7%. </w:t>
      </w:r>
      <w:r w:rsidR="002D2F98" w:rsidRPr="0037058C">
        <w:t xml:space="preserve"> </w:t>
      </w:r>
      <w:r w:rsidR="004300CE">
        <w:t xml:space="preserve">It is assumed that after ten years the investment has to be renewed, so that the "facility capital cost" item is continuous. </w:t>
      </w:r>
      <w:r w:rsidR="006B608C">
        <w:t xml:space="preserve"> </w:t>
      </w:r>
      <w:r w:rsidR="002D2F98" w:rsidRPr="0037058C">
        <w:t>This methodology is considered conservative, because it assumes no excess capacity.</w:t>
      </w:r>
      <w:r w:rsidR="006B608C">
        <w:t xml:space="preserve"> </w:t>
      </w:r>
      <w:r w:rsidR="002D2F98" w:rsidRPr="0037058C">
        <w:t xml:space="preserve"> </w:t>
      </w:r>
      <w:r w:rsidR="00C934F8" w:rsidRPr="0037058C">
        <w:t xml:space="preserve">The only cost in this category is to accommodate the increase in testing facilities required to meet the new HDV testing in the Certification IC, and totals $12,064 per year over ten years. </w:t>
      </w:r>
    </w:p>
    <w:p w14:paraId="572FE644" w14:textId="77777777" w:rsidR="00C934F8" w:rsidRPr="0037058C" w:rsidRDefault="00704F0B" w:rsidP="004C72D6">
      <w:r w:rsidRPr="0037058C">
        <w:tab/>
      </w:r>
    </w:p>
    <w:p w14:paraId="63A19CA9" w14:textId="77777777" w:rsidR="004C72D6" w:rsidRPr="0037058C" w:rsidRDefault="004C72D6" w:rsidP="004C72D6">
      <w:pPr>
        <w:rPr>
          <w:spacing w:val="6"/>
        </w:rPr>
      </w:pPr>
      <w:r w:rsidRPr="0037058C">
        <w:rPr>
          <w:spacing w:val="6"/>
        </w:rPr>
        <w:t xml:space="preserve">6(c) </w:t>
      </w:r>
      <w:r w:rsidRPr="0037058C">
        <w:rPr>
          <w:spacing w:val="6"/>
          <w:u w:val="single"/>
        </w:rPr>
        <w:t>Estimating Agency Burden</w:t>
      </w:r>
    </w:p>
    <w:p w14:paraId="4A03F70E" w14:textId="77777777" w:rsidR="004C72D6" w:rsidRPr="0037058C" w:rsidRDefault="004C72D6" w:rsidP="004C72D6">
      <w:pPr>
        <w:pStyle w:val="Style5"/>
        <w:adjustRightInd/>
        <w:rPr>
          <w:spacing w:val="6"/>
        </w:rPr>
      </w:pPr>
    </w:p>
    <w:p w14:paraId="1529B100" w14:textId="2862B579" w:rsidR="001700B2" w:rsidRPr="0037058C" w:rsidRDefault="004C72D6" w:rsidP="001700B2">
      <w:pPr>
        <w:rPr>
          <w:color w:val="000000"/>
        </w:rPr>
      </w:pPr>
      <w:r w:rsidRPr="0037058C">
        <w:rPr>
          <w:spacing w:val="6"/>
        </w:rPr>
        <w:tab/>
      </w:r>
      <w:r w:rsidR="001700B2" w:rsidRPr="0037058C">
        <w:rPr>
          <w:color w:val="000000"/>
        </w:rPr>
        <w:t xml:space="preserve">The emissions certification and </w:t>
      </w:r>
      <w:proofErr w:type="spellStart"/>
      <w:r w:rsidR="001700B2" w:rsidRPr="0037058C">
        <w:rPr>
          <w:color w:val="000000"/>
        </w:rPr>
        <w:t>IUVP</w:t>
      </w:r>
      <w:proofErr w:type="spellEnd"/>
      <w:r w:rsidR="001700B2" w:rsidRPr="0037058C">
        <w:rPr>
          <w:color w:val="000000"/>
        </w:rPr>
        <w:t xml:space="preserve"> programs are administered by EPA’s Compliance Division.  Testing for several categories of vehicles and engines is conducted by EPA’s Testing and Advanced Technology Division </w:t>
      </w:r>
      <w:r w:rsidR="006B608C">
        <w:rPr>
          <w:color w:val="000000"/>
        </w:rPr>
        <w:t>(</w:t>
      </w:r>
      <w:proofErr w:type="spellStart"/>
      <w:r w:rsidR="006B608C">
        <w:rPr>
          <w:color w:val="000000"/>
        </w:rPr>
        <w:t>TATD</w:t>
      </w:r>
      <w:proofErr w:type="spellEnd"/>
      <w:r w:rsidR="006B608C">
        <w:rPr>
          <w:color w:val="000000"/>
        </w:rPr>
        <w:t xml:space="preserve">) </w:t>
      </w:r>
      <w:r w:rsidR="001700B2" w:rsidRPr="0037058C">
        <w:rPr>
          <w:color w:val="000000"/>
        </w:rPr>
        <w:t xml:space="preserve">at the National Vehicle and Fuel Emissions Laboratory in Ann Arbor, Michigan.  Approximately 75 fulltime employee equivalents from both divisions are either directly involved in the combined emission and fuel economy programs or support the programs indirectly.  The EPA employee labor cost is approximately $10.5 million.  EPA’s direct program costs include funding for contractors or equipment that directly supports the motor vehicle and emissions compliance programs.  Included are the funds used for supporting EPA’s Verify database and support for EPA’s in-use testing programs.  The direct program costs for the CD and </w:t>
      </w:r>
      <w:proofErr w:type="spellStart"/>
      <w:r w:rsidR="001700B2" w:rsidRPr="0037058C">
        <w:rPr>
          <w:color w:val="000000"/>
        </w:rPr>
        <w:t>TATD</w:t>
      </w:r>
      <w:proofErr w:type="spellEnd"/>
      <w:r w:rsidR="001700B2" w:rsidRPr="0037058C">
        <w:rPr>
          <w:color w:val="000000"/>
        </w:rPr>
        <w:t xml:space="preserve"> divisions is approximately $7.1 million</w:t>
      </w:r>
      <w:r w:rsidR="00862482" w:rsidRPr="0037058C">
        <w:rPr>
          <w:color w:val="000000"/>
        </w:rPr>
        <w:t xml:space="preserve">. </w:t>
      </w:r>
      <w:r w:rsidR="006B608C">
        <w:rPr>
          <w:color w:val="000000"/>
        </w:rPr>
        <w:t xml:space="preserve"> </w:t>
      </w:r>
      <w:r w:rsidR="001700B2" w:rsidRPr="0037058C">
        <w:rPr>
          <w:color w:val="000000"/>
        </w:rPr>
        <w:t xml:space="preserve">Indirect costs of the certification and </w:t>
      </w:r>
      <w:proofErr w:type="spellStart"/>
      <w:r w:rsidR="001700B2" w:rsidRPr="0037058C">
        <w:rPr>
          <w:color w:val="000000"/>
        </w:rPr>
        <w:t>IUVP</w:t>
      </w:r>
      <w:proofErr w:type="spellEnd"/>
      <w:r w:rsidR="001700B2" w:rsidRPr="0037058C">
        <w:rPr>
          <w:color w:val="000000"/>
        </w:rPr>
        <w:t xml:space="preserve"> programs include cost for facilities, communications and employee training.  The indirect costs total is approximately $3.1 million.</w:t>
      </w:r>
    </w:p>
    <w:p w14:paraId="7B780977" w14:textId="77777777" w:rsidR="00862482" w:rsidRPr="0037058C" w:rsidRDefault="00862482" w:rsidP="001700B2">
      <w:pPr>
        <w:rPr>
          <w:color w:val="000000"/>
        </w:rPr>
      </w:pPr>
    </w:p>
    <w:p w14:paraId="47100A79" w14:textId="77777777" w:rsidR="001700B2" w:rsidRPr="0037058C" w:rsidRDefault="00862482" w:rsidP="001700B2">
      <w:pPr>
        <w:rPr>
          <w:color w:val="000000"/>
        </w:rPr>
      </w:pPr>
      <w:r w:rsidRPr="0037058C">
        <w:rPr>
          <w:color w:val="000000"/>
        </w:rPr>
        <w:tab/>
      </w:r>
      <w:r w:rsidR="001700B2" w:rsidRPr="0037058C">
        <w:rPr>
          <w:color w:val="000000"/>
        </w:rPr>
        <w:t xml:space="preserve">EPA’s incurred costs incorporate the cost of equipment acquired for modernizing </w:t>
      </w:r>
      <w:r w:rsidR="001700B2" w:rsidRPr="0037058C">
        <w:rPr>
          <w:color w:val="000000"/>
        </w:rPr>
        <w:lastRenderedPageBreak/>
        <w:t>EPA’s emissions laboratory, NVFEL, and buildings and facilities purchases and repairs.  As new standards and regulations are developed, the NVFEL is updated so that EPA can do the testing necessary to confirm manufacturers’ certification test results.  Incurred costs are approximately $3.2 million.</w:t>
      </w:r>
    </w:p>
    <w:p w14:paraId="4D6EA1B1" w14:textId="77777777" w:rsidR="00862482" w:rsidRPr="0037058C" w:rsidRDefault="00862482" w:rsidP="001700B2">
      <w:pPr>
        <w:rPr>
          <w:color w:val="000000"/>
        </w:rPr>
      </w:pPr>
    </w:p>
    <w:p w14:paraId="283DE60F" w14:textId="77777777" w:rsidR="001700B2" w:rsidRPr="0037058C" w:rsidRDefault="00862482" w:rsidP="001700B2">
      <w:r w:rsidRPr="0037058C">
        <w:rPr>
          <w:color w:val="000000"/>
        </w:rPr>
        <w:tab/>
      </w:r>
      <w:r w:rsidR="001700B2" w:rsidRPr="0037058C">
        <w:rPr>
          <w:color w:val="000000"/>
        </w:rPr>
        <w:t xml:space="preserve">The overhead percentage for the Office of Transportation and Air Quality has historically been estimated to be 16.9%.  This may change in the future but will be used for the purposes of this ICR.  Using 16.9% as overhead, the overhead cost for the emissions certification and </w:t>
      </w:r>
      <w:proofErr w:type="spellStart"/>
      <w:r w:rsidR="001700B2" w:rsidRPr="0037058C">
        <w:rPr>
          <w:color w:val="000000"/>
        </w:rPr>
        <w:t>IUVP</w:t>
      </w:r>
      <w:proofErr w:type="spellEnd"/>
      <w:r w:rsidR="001700B2" w:rsidRPr="0037058C">
        <w:rPr>
          <w:color w:val="000000"/>
        </w:rPr>
        <w:t xml:space="preserve"> programs is about $4 million.  The approximate total for the certification and </w:t>
      </w:r>
      <w:proofErr w:type="spellStart"/>
      <w:r w:rsidR="001700B2" w:rsidRPr="0037058C">
        <w:rPr>
          <w:color w:val="000000"/>
        </w:rPr>
        <w:t>IUVP</w:t>
      </w:r>
      <w:proofErr w:type="spellEnd"/>
      <w:r w:rsidR="001700B2" w:rsidRPr="0037058C">
        <w:rPr>
          <w:color w:val="000000"/>
        </w:rPr>
        <w:t xml:space="preserve"> programs for FY 2011 is $28 million.</w:t>
      </w:r>
    </w:p>
    <w:p w14:paraId="69AF905C" w14:textId="77777777" w:rsidR="004C72D6" w:rsidRPr="0037058C" w:rsidRDefault="004C72D6" w:rsidP="004C72D6">
      <w:pPr>
        <w:pStyle w:val="Style6"/>
        <w:jc w:val="left"/>
        <w:rPr>
          <w:spacing w:val="6"/>
        </w:rPr>
      </w:pPr>
    </w:p>
    <w:p w14:paraId="0F41FB22" w14:textId="4803A384" w:rsidR="004C72D6" w:rsidRPr="0037058C" w:rsidRDefault="004C72D6" w:rsidP="004C72D6">
      <w:pPr>
        <w:pStyle w:val="Style6"/>
        <w:jc w:val="left"/>
        <w:rPr>
          <w:spacing w:val="6"/>
        </w:rPr>
      </w:pPr>
      <w:r w:rsidRPr="0037058C">
        <w:rPr>
          <w:spacing w:val="6"/>
        </w:rPr>
        <w:tab/>
        <w:t xml:space="preserve">Implementation of the new </w:t>
      </w:r>
      <w:r w:rsidR="00193076" w:rsidRPr="0037058C">
        <w:rPr>
          <w:spacing w:val="6"/>
        </w:rPr>
        <w:t xml:space="preserve">Tier 3 </w:t>
      </w:r>
      <w:r w:rsidR="00D8571E" w:rsidRPr="0037058C">
        <w:rPr>
          <w:spacing w:val="6"/>
        </w:rPr>
        <w:t xml:space="preserve">rule </w:t>
      </w:r>
      <w:r w:rsidRPr="0037058C">
        <w:rPr>
          <w:spacing w:val="6"/>
        </w:rPr>
        <w:t xml:space="preserve">will be carried out by </w:t>
      </w:r>
      <w:r w:rsidR="00862482" w:rsidRPr="0037058C">
        <w:rPr>
          <w:spacing w:val="6"/>
        </w:rPr>
        <w:t xml:space="preserve">this </w:t>
      </w:r>
      <w:r w:rsidRPr="0037058C">
        <w:rPr>
          <w:spacing w:val="6"/>
        </w:rPr>
        <w:t>existing staff</w:t>
      </w:r>
      <w:r w:rsidR="0017264A" w:rsidRPr="0037058C">
        <w:rPr>
          <w:spacing w:val="6"/>
        </w:rPr>
        <w:t xml:space="preserve">. The </w:t>
      </w:r>
      <w:r w:rsidR="00193076" w:rsidRPr="0037058C">
        <w:rPr>
          <w:spacing w:val="6"/>
        </w:rPr>
        <w:t xml:space="preserve">2017 greenhouse gases rule </w:t>
      </w:r>
      <w:r w:rsidR="0017264A" w:rsidRPr="0037058C">
        <w:rPr>
          <w:spacing w:val="6"/>
        </w:rPr>
        <w:t xml:space="preserve">included startup costs for information systems and programming, including </w:t>
      </w:r>
      <w:r w:rsidR="00193076" w:rsidRPr="0037058C">
        <w:rPr>
          <w:spacing w:val="6"/>
        </w:rPr>
        <w:t xml:space="preserve">an estimate of $1,333,333 in startup capital costs with a yearly discounted value of $189,837, and $160,000 a year including overhead in ongoing maintenance and management of the database, </w:t>
      </w:r>
      <w:r w:rsidR="00314AFA" w:rsidRPr="0037058C">
        <w:rPr>
          <w:spacing w:val="6"/>
        </w:rPr>
        <w:t xml:space="preserve">for a total of $349,837 per year, </w:t>
      </w:r>
      <w:r w:rsidR="00193076" w:rsidRPr="0037058C">
        <w:rPr>
          <w:spacing w:val="6"/>
        </w:rPr>
        <w:t>with an associated 2</w:t>
      </w:r>
      <w:r w:rsidR="006673E1">
        <w:rPr>
          <w:spacing w:val="6"/>
        </w:rPr>
        <w:t>,</w:t>
      </w:r>
      <w:r w:rsidR="00193076" w:rsidRPr="0037058C">
        <w:rPr>
          <w:spacing w:val="6"/>
        </w:rPr>
        <w:t xml:space="preserve">094 labor hours. </w:t>
      </w:r>
      <w:r w:rsidR="006B608C">
        <w:rPr>
          <w:spacing w:val="6"/>
        </w:rPr>
        <w:t>T</w:t>
      </w:r>
      <w:r w:rsidRPr="0037058C">
        <w:rPr>
          <w:spacing w:val="6"/>
        </w:rPr>
        <w:t xml:space="preserve">he Agency has determined </w:t>
      </w:r>
      <w:r w:rsidR="009A5FB2" w:rsidRPr="0037058C">
        <w:rPr>
          <w:spacing w:val="6"/>
        </w:rPr>
        <w:t>th</w:t>
      </w:r>
      <w:r w:rsidR="00193076" w:rsidRPr="0037058C">
        <w:rPr>
          <w:spacing w:val="6"/>
        </w:rPr>
        <w:t>e</w:t>
      </w:r>
      <w:r w:rsidR="009A5FB2" w:rsidRPr="0037058C">
        <w:rPr>
          <w:spacing w:val="6"/>
        </w:rPr>
        <w:t xml:space="preserve"> level of effort</w:t>
      </w:r>
      <w:r w:rsidR="00193076" w:rsidRPr="0037058C">
        <w:rPr>
          <w:spacing w:val="6"/>
        </w:rPr>
        <w:t xml:space="preserve"> for this rule</w:t>
      </w:r>
      <w:r w:rsidR="006B608C">
        <w:rPr>
          <w:spacing w:val="6"/>
        </w:rPr>
        <w:t xml:space="preserve"> is roughly comparable to the 2017 GHG rule</w:t>
      </w:r>
      <w:r w:rsidR="009A5FB2" w:rsidRPr="0037058C">
        <w:rPr>
          <w:spacing w:val="6"/>
        </w:rPr>
        <w:t xml:space="preserve">, </w:t>
      </w:r>
      <w:r w:rsidR="006B608C">
        <w:rPr>
          <w:spacing w:val="6"/>
        </w:rPr>
        <w:t xml:space="preserve">therefore </w:t>
      </w:r>
      <w:r w:rsidR="004E5ACF" w:rsidRPr="0037058C">
        <w:rPr>
          <w:spacing w:val="6"/>
        </w:rPr>
        <w:t xml:space="preserve">this ICR will use </w:t>
      </w:r>
      <w:r w:rsidR="00193076" w:rsidRPr="0037058C">
        <w:rPr>
          <w:spacing w:val="6"/>
        </w:rPr>
        <w:t>the same estimate.</w:t>
      </w:r>
      <w:r w:rsidRPr="0037058C">
        <w:rPr>
          <w:spacing w:val="6"/>
        </w:rPr>
        <w:t xml:space="preserve">  This estimate includes costs associated with developing formats and collecting information within the Verify system for the new reporting elements summarized in 4(b)(i).  Other ongoing database management, oversight, and certification activities are part of the fuel economy and emissions program Agency baseline</w:t>
      </w:r>
      <w:r w:rsidR="001700B2" w:rsidRPr="0037058C">
        <w:rPr>
          <w:spacing w:val="6"/>
        </w:rPr>
        <w:t xml:space="preserve"> (see above)</w:t>
      </w:r>
      <w:r w:rsidRPr="0037058C">
        <w:rPr>
          <w:spacing w:val="6"/>
        </w:rPr>
        <w:t xml:space="preserve">.  This estimate does not include Agency burdens incurred prior to the effective date of the rule, such as costs of developing the rule and preliminary consultations with manufacturers on database issues. </w:t>
      </w:r>
    </w:p>
    <w:p w14:paraId="714BF56E" w14:textId="77777777" w:rsidR="004C72D6" w:rsidRPr="0037058C" w:rsidRDefault="004C72D6" w:rsidP="004C72D6">
      <w:pPr>
        <w:pStyle w:val="Style6"/>
        <w:jc w:val="left"/>
        <w:rPr>
          <w:spacing w:val="6"/>
        </w:rPr>
      </w:pPr>
    </w:p>
    <w:p w14:paraId="0A137201" w14:textId="77777777" w:rsidR="004C72D6" w:rsidRPr="0037058C" w:rsidRDefault="004C72D6" w:rsidP="004C72D6">
      <w:pPr>
        <w:spacing w:line="264" w:lineRule="atLeast"/>
        <w:rPr>
          <w:spacing w:val="6"/>
        </w:rPr>
      </w:pPr>
      <w:r w:rsidRPr="0037058C">
        <w:rPr>
          <w:spacing w:val="6"/>
        </w:rPr>
        <w:t xml:space="preserve">6(d) </w:t>
      </w:r>
      <w:r w:rsidRPr="0037058C">
        <w:rPr>
          <w:spacing w:val="6"/>
          <w:u w:val="single"/>
        </w:rPr>
        <w:t>Estimating the Respondent Universe and Total Burden and Costs</w:t>
      </w:r>
    </w:p>
    <w:p w14:paraId="2709395A" w14:textId="77777777" w:rsidR="004C72D6" w:rsidRPr="0037058C" w:rsidRDefault="004C72D6" w:rsidP="004C72D6">
      <w:pPr>
        <w:pStyle w:val="Style5"/>
        <w:adjustRightInd/>
        <w:rPr>
          <w:spacing w:val="6"/>
        </w:rPr>
      </w:pPr>
    </w:p>
    <w:p w14:paraId="27E9F2E2" w14:textId="3A4122AE" w:rsidR="00431615" w:rsidRPr="0037058C" w:rsidRDefault="004C72D6" w:rsidP="004C72D6">
      <w:pPr>
        <w:pStyle w:val="Style6"/>
        <w:jc w:val="left"/>
        <w:rPr>
          <w:spacing w:val="6"/>
        </w:rPr>
      </w:pPr>
      <w:r w:rsidRPr="0037058C">
        <w:rPr>
          <w:spacing w:val="6"/>
        </w:rPr>
        <w:tab/>
      </w:r>
      <w:r w:rsidR="00431615" w:rsidRPr="0037058C">
        <w:rPr>
          <w:spacing w:val="6"/>
        </w:rPr>
        <w:t xml:space="preserve">For a large portion of the burden and costs, that arising from new testing, the most accurate estimation method was to derive the burden on the industry as a whole from recent testing costs, rather than estimating a cost per respondent </w:t>
      </w:r>
      <w:r w:rsidR="00700EA9">
        <w:rPr>
          <w:spacing w:val="6"/>
        </w:rPr>
        <w:t xml:space="preserve">for the </w:t>
      </w:r>
      <w:r w:rsidR="00431615" w:rsidRPr="0037058C">
        <w:rPr>
          <w:spacing w:val="6"/>
        </w:rPr>
        <w:t>industry and applying it to various categories of a very diverse respondent universe.</w:t>
      </w:r>
      <w:r w:rsidR="00703429">
        <w:rPr>
          <w:spacing w:val="6"/>
        </w:rPr>
        <w:t xml:space="preserve"> </w:t>
      </w:r>
      <w:r w:rsidR="00431615" w:rsidRPr="0037058C">
        <w:rPr>
          <w:spacing w:val="6"/>
        </w:rPr>
        <w:t xml:space="preserve"> This was done by counting the number of durability groups or vehicles that were tested in the most recent model year or </w:t>
      </w:r>
      <w:r w:rsidR="00D4628A" w:rsidRPr="0037058C">
        <w:rPr>
          <w:spacing w:val="6"/>
        </w:rPr>
        <w:t>twelve-month</w:t>
      </w:r>
      <w:r w:rsidR="00431615" w:rsidRPr="0037058C">
        <w:rPr>
          <w:spacing w:val="6"/>
        </w:rPr>
        <w:t xml:space="preserve"> period, wh</w:t>
      </w:r>
      <w:r w:rsidR="007E42C3" w:rsidRPr="0037058C">
        <w:rPr>
          <w:spacing w:val="6"/>
        </w:rPr>
        <w:t>en</w:t>
      </w:r>
      <w:r w:rsidR="00431615" w:rsidRPr="0037058C">
        <w:rPr>
          <w:spacing w:val="6"/>
        </w:rPr>
        <w:t xml:space="preserve"> this figure</w:t>
      </w:r>
      <w:r w:rsidR="00703429">
        <w:rPr>
          <w:spacing w:val="6"/>
        </w:rPr>
        <w:t xml:space="preserve"> </w:t>
      </w:r>
      <w:r w:rsidR="00431615" w:rsidRPr="0037058C">
        <w:rPr>
          <w:spacing w:val="6"/>
        </w:rPr>
        <w:t>could provi</w:t>
      </w:r>
      <w:r w:rsidR="007E42C3" w:rsidRPr="0037058C">
        <w:rPr>
          <w:spacing w:val="6"/>
        </w:rPr>
        <w:t xml:space="preserve">de a baseline for the estimate. </w:t>
      </w:r>
      <w:r w:rsidR="00703429">
        <w:rPr>
          <w:spacing w:val="6"/>
        </w:rPr>
        <w:t xml:space="preserve"> </w:t>
      </w:r>
      <w:r w:rsidR="007E42C3" w:rsidRPr="0037058C">
        <w:rPr>
          <w:spacing w:val="6"/>
        </w:rPr>
        <w:t>Thus, for the Certification IC, the high estimate for the burden of new SFTP testing for heavy-duty vehicles was estimated</w:t>
      </w:r>
      <w:r w:rsidR="00700EA9">
        <w:rPr>
          <w:spacing w:val="6"/>
        </w:rPr>
        <w:t xml:space="preserve"> </w:t>
      </w:r>
      <w:r w:rsidR="007E42C3" w:rsidRPr="0037058C">
        <w:rPr>
          <w:spacing w:val="6"/>
        </w:rPr>
        <w:t xml:space="preserve">from the count of </w:t>
      </w:r>
      <w:r w:rsidR="00700EA9">
        <w:rPr>
          <w:spacing w:val="6"/>
        </w:rPr>
        <w:t>eleven</w:t>
      </w:r>
      <w:r w:rsidR="007E42C3" w:rsidRPr="0037058C">
        <w:rPr>
          <w:spacing w:val="6"/>
        </w:rPr>
        <w:t xml:space="preserve"> 2b and </w:t>
      </w:r>
      <w:r w:rsidR="00700EA9">
        <w:rPr>
          <w:spacing w:val="6"/>
        </w:rPr>
        <w:t>six</w:t>
      </w:r>
      <w:r w:rsidR="007E42C3" w:rsidRPr="0037058C">
        <w:rPr>
          <w:spacing w:val="6"/>
        </w:rPr>
        <w:t xml:space="preserve"> class 3 vehicles certified in model year 2012, and the per-test estimate applied to these numbers; for the low cost estimate the fact that all of these certificates were fifty-state was used.</w:t>
      </w:r>
      <w:r w:rsidR="00703429">
        <w:rPr>
          <w:spacing w:val="6"/>
        </w:rPr>
        <w:t xml:space="preserve"> </w:t>
      </w:r>
      <w:r w:rsidR="007E42C3" w:rsidRPr="0037058C">
        <w:rPr>
          <w:spacing w:val="6"/>
        </w:rPr>
        <w:t xml:space="preserve"> For PM testing, there were 40 Federal-only certificates, and with two tests per group and 25% tested each year the low figure was 20 tests. </w:t>
      </w:r>
      <w:r w:rsidR="00703429">
        <w:rPr>
          <w:spacing w:val="6"/>
        </w:rPr>
        <w:t xml:space="preserve"> </w:t>
      </w:r>
      <w:r w:rsidR="007E42C3" w:rsidRPr="0037058C">
        <w:rPr>
          <w:spacing w:val="6"/>
        </w:rPr>
        <w:t xml:space="preserve">The high figure was from a count of 404 durability groups, two tests per group, and 25% tested each year, with an allowance for new HDV testing and for manufacturers potentially too small to benefit from the minimum in the </w:t>
      </w:r>
      <w:r w:rsidR="00227854">
        <w:rPr>
          <w:spacing w:val="6"/>
        </w:rPr>
        <w:t>final rule</w:t>
      </w:r>
      <w:r w:rsidR="007E42C3" w:rsidRPr="0037058C">
        <w:rPr>
          <w:spacing w:val="6"/>
        </w:rPr>
        <w:t xml:space="preserve"> of two durability groups per manufacturer, for a high estimate of 300 tests. </w:t>
      </w:r>
    </w:p>
    <w:p w14:paraId="5517A2FD" w14:textId="77777777" w:rsidR="007E42C3" w:rsidRPr="0037058C" w:rsidRDefault="007E42C3" w:rsidP="004C72D6">
      <w:pPr>
        <w:pStyle w:val="Style6"/>
        <w:jc w:val="left"/>
        <w:rPr>
          <w:spacing w:val="6"/>
        </w:rPr>
      </w:pPr>
    </w:p>
    <w:p w14:paraId="06D4AA6A" w14:textId="642E7D45" w:rsidR="007E42C3" w:rsidRPr="0037058C" w:rsidRDefault="007E42C3" w:rsidP="004C72D6">
      <w:pPr>
        <w:pStyle w:val="Style6"/>
        <w:jc w:val="left"/>
        <w:rPr>
          <w:spacing w:val="6"/>
        </w:rPr>
      </w:pPr>
      <w:r w:rsidRPr="0037058C">
        <w:rPr>
          <w:spacing w:val="6"/>
        </w:rPr>
        <w:tab/>
        <w:t xml:space="preserve">Similarly, for the </w:t>
      </w:r>
      <w:proofErr w:type="spellStart"/>
      <w:r w:rsidRPr="0037058C">
        <w:rPr>
          <w:spacing w:val="6"/>
        </w:rPr>
        <w:t>IUVP</w:t>
      </w:r>
      <w:proofErr w:type="spellEnd"/>
      <w:r w:rsidRPr="0037058C">
        <w:rPr>
          <w:spacing w:val="6"/>
        </w:rPr>
        <w:t xml:space="preserve"> IC, the figure of 1</w:t>
      </w:r>
      <w:r w:rsidR="006673E1">
        <w:rPr>
          <w:spacing w:val="6"/>
        </w:rPr>
        <w:t>,</w:t>
      </w:r>
      <w:r w:rsidRPr="0037058C">
        <w:rPr>
          <w:spacing w:val="6"/>
        </w:rPr>
        <w:t xml:space="preserve">602 </w:t>
      </w:r>
      <w:proofErr w:type="spellStart"/>
      <w:r w:rsidRPr="0037058C">
        <w:rPr>
          <w:spacing w:val="6"/>
        </w:rPr>
        <w:t>IUVP</w:t>
      </w:r>
      <w:proofErr w:type="spellEnd"/>
      <w:r w:rsidRPr="0037058C">
        <w:rPr>
          <w:spacing w:val="6"/>
        </w:rPr>
        <w:t xml:space="preserve"> vehicles (counted by </w:t>
      </w:r>
      <w:r w:rsidRPr="0037058C">
        <w:rPr>
          <w:spacing w:val="6"/>
        </w:rPr>
        <w:lastRenderedPageBreak/>
        <w:t xml:space="preserve">unique </w:t>
      </w:r>
      <w:proofErr w:type="spellStart"/>
      <w:r w:rsidRPr="0037058C">
        <w:rPr>
          <w:spacing w:val="6"/>
        </w:rPr>
        <w:t>VINs</w:t>
      </w:r>
      <w:proofErr w:type="spellEnd"/>
      <w:r w:rsidRPr="0037058C">
        <w:rPr>
          <w:spacing w:val="6"/>
        </w:rPr>
        <w:t>, Vehicle Identification Numbers) from February, 2012, through January, 2013, was used.</w:t>
      </w:r>
      <w:r w:rsidR="00703429">
        <w:rPr>
          <w:spacing w:val="6"/>
        </w:rPr>
        <w:t xml:space="preserve"> </w:t>
      </w:r>
      <w:r w:rsidR="00E27E65" w:rsidRPr="0037058C">
        <w:rPr>
          <w:spacing w:val="6"/>
        </w:rPr>
        <w:t xml:space="preserve"> The </w:t>
      </w:r>
      <w:r w:rsidR="00227854">
        <w:rPr>
          <w:spacing w:val="6"/>
        </w:rPr>
        <w:t>final rule</w:t>
      </w:r>
      <w:r w:rsidR="00E27E65" w:rsidRPr="0037058C">
        <w:rPr>
          <w:spacing w:val="6"/>
        </w:rPr>
        <w:t xml:space="preserve"> calls for two PM tests per vehicle but only half the vehicles are tested, for a total of 1</w:t>
      </w:r>
      <w:r w:rsidR="006673E1">
        <w:rPr>
          <w:spacing w:val="6"/>
        </w:rPr>
        <w:t>,</w:t>
      </w:r>
      <w:r w:rsidR="00E27E65" w:rsidRPr="0037058C">
        <w:rPr>
          <w:spacing w:val="6"/>
        </w:rPr>
        <w:t xml:space="preserve">602 tests. </w:t>
      </w:r>
      <w:r w:rsidR="00703429">
        <w:rPr>
          <w:spacing w:val="6"/>
        </w:rPr>
        <w:t xml:space="preserve"> </w:t>
      </w:r>
      <w:r w:rsidR="00E27E65" w:rsidRPr="0037058C">
        <w:rPr>
          <w:spacing w:val="6"/>
        </w:rPr>
        <w:t xml:space="preserve">For the bleed test, the low estimate assumes no tests on the grounds that all manufacturers will opt for the OBD compliance option in the </w:t>
      </w:r>
      <w:r w:rsidR="00227854">
        <w:rPr>
          <w:spacing w:val="6"/>
        </w:rPr>
        <w:t>final rule</w:t>
      </w:r>
      <w:r w:rsidR="00E27E65" w:rsidRPr="0037058C">
        <w:rPr>
          <w:spacing w:val="6"/>
        </w:rPr>
        <w:t xml:space="preserve">, while the high estimate assumes that 5% will undergo the testing instead. </w:t>
      </w:r>
    </w:p>
    <w:p w14:paraId="279A6A91" w14:textId="77777777" w:rsidR="00EB4A3C" w:rsidRPr="0037058C" w:rsidRDefault="00EB4A3C" w:rsidP="004C72D6">
      <w:pPr>
        <w:pStyle w:val="Style6"/>
        <w:jc w:val="left"/>
        <w:rPr>
          <w:spacing w:val="6"/>
        </w:rPr>
      </w:pPr>
    </w:p>
    <w:p w14:paraId="69F71025" w14:textId="5E141145" w:rsidR="00EB4A3C" w:rsidRPr="0037058C" w:rsidRDefault="00EB4A3C" w:rsidP="004C72D6">
      <w:pPr>
        <w:pStyle w:val="Style6"/>
        <w:jc w:val="left"/>
        <w:rPr>
          <w:spacing w:val="6"/>
        </w:rPr>
      </w:pPr>
      <w:r w:rsidRPr="0037058C">
        <w:rPr>
          <w:spacing w:val="6"/>
        </w:rPr>
        <w:tab/>
        <w:t>A separate cost and burden estimate was made for the category of "reporting and recordkeeping" separate from the cost and burden of tests.</w:t>
      </w:r>
      <w:r w:rsidR="00703429">
        <w:rPr>
          <w:spacing w:val="6"/>
        </w:rPr>
        <w:t xml:space="preserve"> </w:t>
      </w:r>
      <w:r w:rsidRPr="0037058C">
        <w:rPr>
          <w:spacing w:val="6"/>
        </w:rPr>
        <w:t xml:space="preserve"> This included beginning of the year and end of the year reporting, as well as credits</w:t>
      </w:r>
      <w:r w:rsidR="00700EA9">
        <w:rPr>
          <w:spacing w:val="6"/>
        </w:rPr>
        <w:t>,</w:t>
      </w:r>
      <w:r w:rsidRPr="0037058C">
        <w:rPr>
          <w:spacing w:val="6"/>
        </w:rPr>
        <w:t xml:space="preserve"> banking</w:t>
      </w:r>
      <w:r w:rsidR="00700EA9">
        <w:rPr>
          <w:spacing w:val="6"/>
        </w:rPr>
        <w:t xml:space="preserve">, </w:t>
      </w:r>
      <w:r w:rsidRPr="0037058C">
        <w:rPr>
          <w:spacing w:val="6"/>
        </w:rPr>
        <w:t xml:space="preserve">and trading, applied to 25 respondents, a small business item applied to 30 respondents, a submission item during the year applied to 336 certification applications, submission of new model-level emissions for 648 vehicles, and </w:t>
      </w:r>
      <w:proofErr w:type="spellStart"/>
      <w:r w:rsidRPr="0037058C">
        <w:rPr>
          <w:spacing w:val="6"/>
        </w:rPr>
        <w:t>IUVP</w:t>
      </w:r>
      <w:proofErr w:type="spellEnd"/>
      <w:r w:rsidRPr="0037058C">
        <w:rPr>
          <w:spacing w:val="6"/>
        </w:rPr>
        <w:t xml:space="preserve"> and Certification recordkeeping for 25 manufacturers.</w:t>
      </w:r>
      <w:r w:rsidR="00703429">
        <w:rPr>
          <w:spacing w:val="6"/>
        </w:rPr>
        <w:t xml:space="preserve"> </w:t>
      </w:r>
      <w:r w:rsidRPr="0037058C">
        <w:rPr>
          <w:spacing w:val="6"/>
        </w:rPr>
        <w:t xml:space="preserve"> </w:t>
      </w:r>
      <w:r w:rsidR="00700EA9">
        <w:rPr>
          <w:spacing w:val="6"/>
        </w:rPr>
        <w:t xml:space="preserve">For reporting purposes, we used 55 respondents and 648 responses, although from the foregoing it can be seen that with this diversity of reports and categories to which they apply, this is an approximation. </w:t>
      </w:r>
    </w:p>
    <w:p w14:paraId="4633429E" w14:textId="77777777" w:rsidR="00E27E65" w:rsidRPr="0037058C" w:rsidRDefault="00E27E65" w:rsidP="004C72D6">
      <w:pPr>
        <w:pStyle w:val="Style6"/>
        <w:jc w:val="left"/>
        <w:rPr>
          <w:spacing w:val="6"/>
        </w:rPr>
      </w:pPr>
    </w:p>
    <w:p w14:paraId="378F85CF" w14:textId="77777777" w:rsidR="004C72D6" w:rsidRPr="0037058C" w:rsidRDefault="00E27E65" w:rsidP="004C72D6">
      <w:pPr>
        <w:pStyle w:val="Style6"/>
        <w:jc w:val="left"/>
        <w:rPr>
          <w:spacing w:val="6"/>
        </w:rPr>
      </w:pPr>
      <w:r w:rsidRPr="0037058C">
        <w:rPr>
          <w:spacing w:val="6"/>
        </w:rPr>
        <w:tab/>
      </w:r>
      <w:r w:rsidR="004C72D6" w:rsidRPr="0037058C">
        <w:rPr>
          <w:spacing w:val="6"/>
        </w:rPr>
        <w:t>From the above discussion the following total burden and cost estimates can be calculated.  Due to the diverse nature of the motor vehicle industry, there is n</w:t>
      </w:r>
      <w:r w:rsidR="000F595E" w:rsidRPr="0037058C">
        <w:rPr>
          <w:spacing w:val="6"/>
        </w:rPr>
        <w:t>o typical or average respondent, and this estimate makes many assumptions in an attempt to acc</w:t>
      </w:r>
      <w:r w:rsidR="00EB4A3C" w:rsidRPr="0037058C">
        <w:rPr>
          <w:spacing w:val="6"/>
        </w:rPr>
        <w:t>ommodate this diversity.</w:t>
      </w:r>
      <w:r w:rsidR="004C72D6" w:rsidRPr="0037058C">
        <w:rPr>
          <w:spacing w:val="6"/>
        </w:rPr>
        <w:t xml:space="preserve">  </w:t>
      </w:r>
    </w:p>
    <w:p w14:paraId="180D2AF2" w14:textId="77777777" w:rsidR="004C72D6" w:rsidRPr="0037058C" w:rsidRDefault="004C72D6" w:rsidP="004C72D6"/>
    <w:p w14:paraId="4C354A19" w14:textId="77777777" w:rsidR="004C72D6" w:rsidRPr="0037058C" w:rsidRDefault="004C72D6" w:rsidP="004C72D6">
      <w:pPr>
        <w:rPr>
          <w:u w:val="single"/>
        </w:rPr>
      </w:pPr>
      <w:r w:rsidRPr="0037058C">
        <w:t xml:space="preserve">6(e) </w:t>
      </w:r>
      <w:r w:rsidRPr="0037058C">
        <w:rPr>
          <w:u w:val="single"/>
        </w:rPr>
        <w:t>Bottom Line Burden Hours and Cost</w:t>
      </w:r>
    </w:p>
    <w:p w14:paraId="33688629" w14:textId="77777777" w:rsidR="004C72D6" w:rsidRPr="0037058C" w:rsidRDefault="004C72D6" w:rsidP="004C72D6">
      <w:pPr>
        <w:rPr>
          <w:u w:val="single"/>
        </w:rPr>
      </w:pPr>
    </w:p>
    <w:p w14:paraId="4BEFAE02" w14:textId="77777777" w:rsidR="004C72D6" w:rsidRPr="0037058C" w:rsidRDefault="004C72D6" w:rsidP="004C72D6">
      <w:r w:rsidRPr="0037058C">
        <w:t xml:space="preserve">(i)  </w:t>
      </w:r>
      <w:r w:rsidRPr="0037058C">
        <w:rPr>
          <w:u w:val="single"/>
        </w:rPr>
        <w:t>Respondent Tally</w:t>
      </w:r>
    </w:p>
    <w:p w14:paraId="44F357C5" w14:textId="77777777" w:rsidR="004C72D6" w:rsidRPr="0037058C" w:rsidRDefault="004C72D6" w:rsidP="004C72D6"/>
    <w:p w14:paraId="467B00A0" w14:textId="77777777" w:rsidR="004C72D6" w:rsidRPr="0037058C" w:rsidRDefault="004C72D6" w:rsidP="004C72D6">
      <w:pPr>
        <w:tabs>
          <w:tab w:val="right" w:pos="4680"/>
        </w:tabs>
      </w:pPr>
      <w:r w:rsidRPr="0037058C">
        <w:t>RESPONDENTS</w:t>
      </w:r>
      <w:r w:rsidRPr="0037058C">
        <w:tab/>
      </w:r>
      <w:r w:rsidR="00EB4A3C" w:rsidRPr="0037058C">
        <w:t>55</w:t>
      </w:r>
    </w:p>
    <w:p w14:paraId="77D3CEB7" w14:textId="77777777" w:rsidR="004C72D6" w:rsidRPr="0037058C" w:rsidRDefault="004C72D6" w:rsidP="004C72D6">
      <w:pPr>
        <w:tabs>
          <w:tab w:val="right" w:pos="4680"/>
        </w:tabs>
      </w:pPr>
      <w:r w:rsidRPr="0037058C">
        <w:t>BURDEN HOURS</w:t>
      </w:r>
      <w:r w:rsidRPr="0037058C">
        <w:tab/>
      </w:r>
      <w:r w:rsidR="00EB4A3C" w:rsidRPr="0037058C">
        <w:t>73,567</w:t>
      </w:r>
    </w:p>
    <w:p w14:paraId="13AE4575" w14:textId="77777777" w:rsidR="004C72D6" w:rsidRPr="0037058C" w:rsidRDefault="004C72D6" w:rsidP="004C72D6">
      <w:pPr>
        <w:tabs>
          <w:tab w:val="right" w:pos="4680"/>
        </w:tabs>
        <w:rPr>
          <w:spacing w:val="6"/>
        </w:rPr>
      </w:pPr>
      <w:r w:rsidRPr="0037058C">
        <w:t>OPERATING COST</w:t>
      </w:r>
      <w:r w:rsidRPr="0037058C">
        <w:tab/>
        <w:t xml:space="preserve">     </w:t>
      </w:r>
      <w:r w:rsidR="004F7E05" w:rsidRPr="0037058C">
        <w:t>$</w:t>
      </w:r>
      <w:r w:rsidR="00EB4A3C" w:rsidRPr="0037058C">
        <w:t>1,235,239</w:t>
      </w:r>
    </w:p>
    <w:p w14:paraId="1FAB6077" w14:textId="77777777" w:rsidR="004C72D6" w:rsidRPr="0037058C" w:rsidRDefault="004C72D6" w:rsidP="004C72D6">
      <w:pPr>
        <w:tabs>
          <w:tab w:val="right" w:pos="4680"/>
        </w:tabs>
      </w:pPr>
      <w:r w:rsidRPr="0037058C">
        <w:t>CAPITALIZED COST</w:t>
      </w:r>
      <w:r w:rsidRPr="0037058C">
        <w:tab/>
        <w:t>$</w:t>
      </w:r>
      <w:r w:rsidR="00EB4A3C" w:rsidRPr="0037058C">
        <w:t>6,455,695</w:t>
      </w:r>
    </w:p>
    <w:p w14:paraId="0CA0693C" w14:textId="77777777" w:rsidR="004C72D6" w:rsidRPr="0037058C" w:rsidRDefault="004C72D6" w:rsidP="004C72D6">
      <w:pPr>
        <w:tabs>
          <w:tab w:val="right" w:pos="4680"/>
        </w:tabs>
      </w:pPr>
    </w:p>
    <w:p w14:paraId="00F1D886" w14:textId="77777777" w:rsidR="004C72D6" w:rsidRPr="0037058C" w:rsidRDefault="004C72D6" w:rsidP="004C72D6">
      <w:pPr>
        <w:tabs>
          <w:tab w:val="right" w:pos="4680"/>
        </w:tabs>
      </w:pPr>
      <w:r w:rsidRPr="0037058C">
        <w:t>A more detailed summary can be seen in the tables below:</w:t>
      </w:r>
    </w:p>
    <w:p w14:paraId="590C4938" w14:textId="77777777" w:rsidR="004C72D6" w:rsidRPr="0037058C" w:rsidRDefault="004C72D6" w:rsidP="004C72D6">
      <w:pPr>
        <w:tabs>
          <w:tab w:val="right" w:pos="4680"/>
        </w:tabs>
      </w:pPr>
    </w:p>
    <w:p w14:paraId="4761E08E" w14:textId="77777777" w:rsidR="00602053" w:rsidRPr="0037058C" w:rsidRDefault="00602053" w:rsidP="004C72D6">
      <w:pPr>
        <w:tabs>
          <w:tab w:val="right" w:pos="4680"/>
        </w:tabs>
      </w:pPr>
    </w:p>
    <w:p w14:paraId="10F08C84" w14:textId="77777777" w:rsidR="00831270" w:rsidRPr="0037058C" w:rsidRDefault="00831270" w:rsidP="004C72D6">
      <w:pPr>
        <w:tabs>
          <w:tab w:val="right" w:pos="4680"/>
        </w:tabs>
      </w:pPr>
    </w:p>
    <w:p w14:paraId="774B7120" w14:textId="77777777" w:rsidR="00831270" w:rsidRPr="0037058C" w:rsidRDefault="00831270" w:rsidP="004C72D6">
      <w:pPr>
        <w:tabs>
          <w:tab w:val="right" w:pos="4680"/>
        </w:tabs>
      </w:pPr>
    </w:p>
    <w:p w14:paraId="243FDC47" w14:textId="77777777" w:rsidR="00831270" w:rsidRPr="0037058C" w:rsidRDefault="00831270" w:rsidP="004C72D6">
      <w:pPr>
        <w:tabs>
          <w:tab w:val="right" w:pos="4680"/>
        </w:tabs>
      </w:pPr>
    </w:p>
    <w:p w14:paraId="40F248D0" w14:textId="77777777" w:rsidR="00831270" w:rsidRPr="0037058C" w:rsidRDefault="00831270" w:rsidP="004C72D6">
      <w:pPr>
        <w:tabs>
          <w:tab w:val="right" w:pos="4680"/>
        </w:tabs>
      </w:pPr>
    </w:p>
    <w:p w14:paraId="29E0362B" w14:textId="77777777" w:rsidR="00A71CFB" w:rsidRPr="0037058C" w:rsidRDefault="00A71CFB" w:rsidP="004C72D6">
      <w:pPr>
        <w:tabs>
          <w:tab w:val="right" w:pos="4680"/>
        </w:tabs>
      </w:pPr>
    </w:p>
    <w:p w14:paraId="198AEAF6" w14:textId="77777777" w:rsidR="00A71CFB" w:rsidRPr="0037058C" w:rsidRDefault="00A71CFB" w:rsidP="004C72D6">
      <w:pPr>
        <w:tabs>
          <w:tab w:val="right" w:pos="4680"/>
        </w:tabs>
      </w:pPr>
    </w:p>
    <w:p w14:paraId="0164A2F5" w14:textId="77777777" w:rsidR="00A71CFB" w:rsidRPr="0037058C" w:rsidRDefault="00A71CFB" w:rsidP="004C72D6">
      <w:pPr>
        <w:tabs>
          <w:tab w:val="right" w:pos="4680"/>
        </w:tabs>
      </w:pPr>
    </w:p>
    <w:p w14:paraId="0CCC3E57" w14:textId="77777777" w:rsidR="00A71CFB" w:rsidRPr="0037058C" w:rsidRDefault="00A71CFB" w:rsidP="004C72D6">
      <w:pPr>
        <w:tabs>
          <w:tab w:val="right" w:pos="4680"/>
        </w:tabs>
      </w:pPr>
    </w:p>
    <w:p w14:paraId="12803EF7" w14:textId="77777777" w:rsidR="00A71CFB" w:rsidRPr="0037058C" w:rsidRDefault="00A71CFB" w:rsidP="004C72D6">
      <w:pPr>
        <w:tabs>
          <w:tab w:val="right" w:pos="4680"/>
        </w:tabs>
      </w:pPr>
    </w:p>
    <w:p w14:paraId="5CFC40EA" w14:textId="77777777" w:rsidR="00A71CFB" w:rsidRPr="0037058C" w:rsidRDefault="00A71CFB" w:rsidP="004C72D6">
      <w:pPr>
        <w:tabs>
          <w:tab w:val="right" w:pos="4680"/>
        </w:tabs>
      </w:pPr>
    </w:p>
    <w:p w14:paraId="54533586" w14:textId="77777777" w:rsidR="00A71CFB" w:rsidRPr="0037058C" w:rsidRDefault="00A71CFB" w:rsidP="004C72D6">
      <w:pPr>
        <w:tabs>
          <w:tab w:val="right" w:pos="4680"/>
        </w:tabs>
      </w:pPr>
    </w:p>
    <w:p w14:paraId="1739360A" w14:textId="77777777" w:rsidR="00A71CFB" w:rsidRPr="0037058C" w:rsidRDefault="00A71CFB" w:rsidP="004C72D6">
      <w:pPr>
        <w:tabs>
          <w:tab w:val="right" w:pos="4680"/>
        </w:tabs>
      </w:pPr>
    </w:p>
    <w:p w14:paraId="08DAE7BE" w14:textId="77777777" w:rsidR="00A71CFB" w:rsidRPr="0037058C" w:rsidRDefault="00A71CFB" w:rsidP="004C72D6">
      <w:pPr>
        <w:tabs>
          <w:tab w:val="right" w:pos="4680"/>
        </w:tabs>
      </w:pPr>
    </w:p>
    <w:p w14:paraId="50F909C9" w14:textId="77777777" w:rsidR="00A71CFB" w:rsidRPr="0037058C" w:rsidRDefault="00A71CFB" w:rsidP="004C72D6">
      <w:pPr>
        <w:tabs>
          <w:tab w:val="right" w:pos="4680"/>
        </w:tabs>
      </w:pPr>
    </w:p>
    <w:p w14:paraId="7CF952D6" w14:textId="77777777" w:rsidR="00A71CFB" w:rsidRPr="0037058C" w:rsidRDefault="00A71CFB" w:rsidP="004C72D6">
      <w:pPr>
        <w:tabs>
          <w:tab w:val="right" w:pos="4680"/>
        </w:tabs>
      </w:pPr>
    </w:p>
    <w:p w14:paraId="03EBCE63" w14:textId="77777777" w:rsidR="00A71CFB" w:rsidRPr="0037058C" w:rsidRDefault="00A71CFB" w:rsidP="004C72D6">
      <w:pPr>
        <w:tabs>
          <w:tab w:val="right" w:pos="4680"/>
        </w:tabs>
      </w:pPr>
    </w:p>
    <w:p w14:paraId="08595C26" w14:textId="77777777" w:rsidR="00A71CFB" w:rsidRPr="0037058C" w:rsidRDefault="00A71CFB" w:rsidP="004C72D6">
      <w:pPr>
        <w:tabs>
          <w:tab w:val="right" w:pos="4680"/>
        </w:tabs>
      </w:pPr>
    </w:p>
    <w:p w14:paraId="6730C969" w14:textId="77777777" w:rsidR="00A71CFB" w:rsidRPr="0037058C" w:rsidRDefault="00A71CFB" w:rsidP="004C72D6">
      <w:pPr>
        <w:tabs>
          <w:tab w:val="right" w:pos="4680"/>
        </w:tabs>
      </w:pPr>
    </w:p>
    <w:p w14:paraId="55ABB668" w14:textId="77777777" w:rsidR="00A71CFB" w:rsidRPr="0037058C" w:rsidRDefault="00A71CFB" w:rsidP="004C72D6">
      <w:pPr>
        <w:tabs>
          <w:tab w:val="right" w:pos="4680"/>
        </w:tabs>
      </w:pPr>
    </w:p>
    <w:p w14:paraId="378197E3" w14:textId="77777777" w:rsidR="00A71CFB" w:rsidRPr="0037058C" w:rsidRDefault="00A71CFB" w:rsidP="004C72D6">
      <w:pPr>
        <w:tabs>
          <w:tab w:val="right" w:pos="4680"/>
        </w:tabs>
      </w:pPr>
    </w:p>
    <w:p w14:paraId="01ACACB8" w14:textId="77777777" w:rsidR="00A71CFB" w:rsidRPr="0037058C" w:rsidRDefault="00A71CFB" w:rsidP="004C72D6">
      <w:pPr>
        <w:tabs>
          <w:tab w:val="right" w:pos="4680"/>
        </w:tabs>
      </w:pPr>
    </w:p>
    <w:p w14:paraId="586ACCBC" w14:textId="77777777" w:rsidR="00A71CFB" w:rsidRPr="0037058C" w:rsidRDefault="00A71CFB" w:rsidP="004C72D6">
      <w:pPr>
        <w:tabs>
          <w:tab w:val="right" w:pos="4680"/>
        </w:tabs>
      </w:pPr>
    </w:p>
    <w:p w14:paraId="143D237D" w14:textId="77777777" w:rsidR="00A71CFB" w:rsidRDefault="00A71CFB" w:rsidP="004C72D6">
      <w:pPr>
        <w:tabs>
          <w:tab w:val="right" w:pos="4680"/>
        </w:tabs>
      </w:pPr>
    </w:p>
    <w:tbl>
      <w:tblPr>
        <w:tblW w:w="9687" w:type="dxa"/>
        <w:tblInd w:w="108" w:type="dxa"/>
        <w:tblLook w:val="04A0" w:firstRow="1" w:lastRow="0" w:firstColumn="1" w:lastColumn="0" w:noHBand="0" w:noVBand="1"/>
      </w:tblPr>
      <w:tblGrid>
        <w:gridCol w:w="315"/>
        <w:gridCol w:w="2666"/>
        <w:gridCol w:w="308"/>
        <w:gridCol w:w="310"/>
        <w:gridCol w:w="272"/>
        <w:gridCol w:w="2622"/>
        <w:gridCol w:w="2622"/>
        <w:gridCol w:w="572"/>
      </w:tblGrid>
      <w:tr w:rsidR="00A71CFB" w:rsidRPr="0037058C" w14:paraId="6DF95F4F" w14:textId="77777777" w:rsidTr="001C6A02">
        <w:trPr>
          <w:trHeight w:val="255"/>
        </w:trPr>
        <w:tc>
          <w:tcPr>
            <w:tcW w:w="315" w:type="dxa"/>
            <w:tcBorders>
              <w:top w:val="nil"/>
              <w:left w:val="nil"/>
              <w:bottom w:val="nil"/>
              <w:right w:val="nil"/>
            </w:tcBorders>
            <w:shd w:val="clear" w:color="000000" w:fill="FFFFFF"/>
            <w:noWrap/>
            <w:vAlign w:val="bottom"/>
            <w:hideMark/>
          </w:tcPr>
          <w:p w14:paraId="08873F11" w14:textId="77777777" w:rsidR="001C6A02" w:rsidRDefault="001C6A02" w:rsidP="00A71CFB">
            <w:pPr>
              <w:widowControl/>
              <w:autoSpaceDE/>
              <w:autoSpaceDN/>
              <w:rPr>
                <w:rFonts w:ascii="Arial" w:hAnsi="Arial" w:cs="Arial"/>
                <w:sz w:val="20"/>
                <w:szCs w:val="20"/>
              </w:rPr>
            </w:pPr>
          </w:p>
          <w:p w14:paraId="478B1BA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8800" w:type="dxa"/>
            <w:gridSpan w:val="6"/>
            <w:tcBorders>
              <w:top w:val="nil"/>
              <w:left w:val="nil"/>
              <w:bottom w:val="nil"/>
              <w:right w:val="nil"/>
            </w:tcBorders>
            <w:shd w:val="clear" w:color="000000" w:fill="FFFFFF"/>
            <w:noWrap/>
            <w:vAlign w:val="bottom"/>
            <w:hideMark/>
          </w:tcPr>
          <w:p w14:paraId="3EB1DE5E" w14:textId="77777777" w:rsidR="00A71CFB" w:rsidRPr="0037058C" w:rsidRDefault="00A71CFB" w:rsidP="00A71CFB">
            <w:pPr>
              <w:widowControl/>
              <w:autoSpaceDE/>
              <w:autoSpaceDN/>
              <w:jc w:val="center"/>
              <w:rPr>
                <w:rFonts w:ascii="Arial" w:hAnsi="Arial" w:cs="Arial"/>
                <w:b/>
                <w:bCs/>
                <w:sz w:val="20"/>
                <w:szCs w:val="20"/>
              </w:rPr>
            </w:pPr>
          </w:p>
          <w:p w14:paraId="48AC952A" w14:textId="77777777" w:rsidR="00E8220C" w:rsidRDefault="00E8220C" w:rsidP="00A71CFB">
            <w:pPr>
              <w:widowControl/>
              <w:autoSpaceDE/>
              <w:autoSpaceDN/>
              <w:jc w:val="center"/>
              <w:rPr>
                <w:rFonts w:ascii="Arial" w:hAnsi="Arial" w:cs="Arial"/>
                <w:b/>
                <w:bCs/>
                <w:sz w:val="20"/>
                <w:szCs w:val="20"/>
              </w:rPr>
            </w:pPr>
          </w:p>
          <w:p w14:paraId="1FE33E02" w14:textId="6981CBF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TOTAL ANNUAL COST AND HOURS INCREASE: </w:t>
            </w:r>
            <w:r w:rsidR="00227854">
              <w:rPr>
                <w:rFonts w:ascii="Arial" w:hAnsi="Arial" w:cs="Arial"/>
                <w:b/>
                <w:bCs/>
                <w:sz w:val="20"/>
                <w:szCs w:val="20"/>
              </w:rPr>
              <w:t>FINAL RULE</w:t>
            </w:r>
          </w:p>
        </w:tc>
        <w:tc>
          <w:tcPr>
            <w:tcW w:w="572" w:type="dxa"/>
            <w:tcBorders>
              <w:top w:val="nil"/>
              <w:left w:val="nil"/>
              <w:bottom w:val="nil"/>
              <w:right w:val="nil"/>
            </w:tcBorders>
            <w:shd w:val="clear" w:color="000000" w:fill="FFFFFF"/>
            <w:noWrap/>
            <w:vAlign w:val="bottom"/>
            <w:hideMark/>
          </w:tcPr>
          <w:p w14:paraId="6BCE8CB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2E7B847F" w14:textId="77777777" w:rsidTr="001C6A02">
        <w:trPr>
          <w:trHeight w:val="255"/>
        </w:trPr>
        <w:tc>
          <w:tcPr>
            <w:tcW w:w="315" w:type="dxa"/>
            <w:tcBorders>
              <w:top w:val="nil"/>
              <w:left w:val="nil"/>
              <w:bottom w:val="nil"/>
              <w:right w:val="nil"/>
            </w:tcBorders>
            <w:shd w:val="clear" w:color="000000" w:fill="FFFFFF"/>
            <w:noWrap/>
            <w:vAlign w:val="bottom"/>
            <w:hideMark/>
          </w:tcPr>
          <w:p w14:paraId="12CA4C4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14:paraId="75DC9C33"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14:paraId="2B614604"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14:paraId="4DC7DA19"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14:paraId="0706D856"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2CA61A42"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7B4A2699"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14:paraId="66B7A68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67404C78" w14:textId="77777777" w:rsidTr="001C6A02">
        <w:trPr>
          <w:trHeight w:val="255"/>
        </w:trPr>
        <w:tc>
          <w:tcPr>
            <w:tcW w:w="315" w:type="dxa"/>
            <w:tcBorders>
              <w:top w:val="nil"/>
              <w:left w:val="nil"/>
              <w:bottom w:val="nil"/>
              <w:right w:val="nil"/>
            </w:tcBorders>
            <w:shd w:val="clear" w:color="000000" w:fill="FFFFFF"/>
            <w:noWrap/>
            <w:vAlign w:val="bottom"/>
            <w:hideMark/>
          </w:tcPr>
          <w:p w14:paraId="5396C99D"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974" w:type="dxa"/>
            <w:gridSpan w:val="2"/>
            <w:tcBorders>
              <w:top w:val="nil"/>
              <w:left w:val="nil"/>
              <w:bottom w:val="nil"/>
              <w:right w:val="nil"/>
            </w:tcBorders>
            <w:shd w:val="clear" w:color="000000" w:fill="FFFFFF"/>
            <w:noWrap/>
            <w:vAlign w:val="bottom"/>
            <w:hideMark/>
          </w:tcPr>
          <w:p w14:paraId="5AC15ED4"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 COST BURDEN</w:t>
            </w:r>
          </w:p>
        </w:tc>
        <w:tc>
          <w:tcPr>
            <w:tcW w:w="310" w:type="dxa"/>
            <w:tcBorders>
              <w:top w:val="nil"/>
              <w:left w:val="nil"/>
              <w:bottom w:val="nil"/>
              <w:right w:val="nil"/>
            </w:tcBorders>
            <w:shd w:val="clear" w:color="000000" w:fill="FFFFFF"/>
            <w:noWrap/>
            <w:vAlign w:val="bottom"/>
            <w:hideMark/>
          </w:tcPr>
          <w:p w14:paraId="475FE034"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14:paraId="44290807"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7525C5EA"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452685E3"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14:paraId="71EB343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478DAE3C" w14:textId="77777777" w:rsidTr="001C6A02">
        <w:trPr>
          <w:trHeight w:val="255"/>
        </w:trPr>
        <w:tc>
          <w:tcPr>
            <w:tcW w:w="315" w:type="dxa"/>
            <w:tcBorders>
              <w:top w:val="nil"/>
              <w:left w:val="nil"/>
              <w:bottom w:val="nil"/>
              <w:right w:val="nil"/>
            </w:tcBorders>
            <w:shd w:val="clear" w:color="000000" w:fill="FFFFFF"/>
            <w:noWrap/>
            <w:vAlign w:val="bottom"/>
            <w:hideMark/>
          </w:tcPr>
          <w:p w14:paraId="28C293E7"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14:paraId="4BB0C58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08" w:type="dxa"/>
            <w:tcBorders>
              <w:top w:val="nil"/>
              <w:left w:val="nil"/>
              <w:bottom w:val="single" w:sz="4" w:space="0" w:color="auto"/>
              <w:right w:val="nil"/>
            </w:tcBorders>
            <w:shd w:val="clear" w:color="000000" w:fill="FFFFFF"/>
            <w:noWrap/>
            <w:vAlign w:val="bottom"/>
            <w:hideMark/>
          </w:tcPr>
          <w:p w14:paraId="5795D5B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single" w:sz="4" w:space="0" w:color="auto"/>
              <w:right w:val="nil"/>
            </w:tcBorders>
            <w:shd w:val="clear" w:color="000000" w:fill="FFFFFF"/>
            <w:noWrap/>
            <w:vAlign w:val="bottom"/>
            <w:hideMark/>
          </w:tcPr>
          <w:p w14:paraId="2A35480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single" w:sz="4" w:space="0" w:color="auto"/>
              <w:right w:val="nil"/>
            </w:tcBorders>
            <w:shd w:val="clear" w:color="000000" w:fill="FFFFFF"/>
            <w:noWrap/>
            <w:vAlign w:val="bottom"/>
            <w:hideMark/>
          </w:tcPr>
          <w:p w14:paraId="5919910E"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single" w:sz="4" w:space="0" w:color="auto"/>
              <w:right w:val="nil"/>
            </w:tcBorders>
            <w:shd w:val="clear" w:color="000000" w:fill="FFFFFF"/>
            <w:noWrap/>
            <w:vAlign w:val="bottom"/>
            <w:hideMark/>
          </w:tcPr>
          <w:p w14:paraId="44DEB5BB"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Min</w:t>
            </w:r>
          </w:p>
        </w:tc>
        <w:tc>
          <w:tcPr>
            <w:tcW w:w="2622" w:type="dxa"/>
            <w:tcBorders>
              <w:top w:val="nil"/>
              <w:left w:val="nil"/>
              <w:bottom w:val="single" w:sz="4" w:space="0" w:color="auto"/>
              <w:right w:val="nil"/>
            </w:tcBorders>
            <w:shd w:val="clear" w:color="000000" w:fill="FFFFFF"/>
            <w:noWrap/>
            <w:vAlign w:val="bottom"/>
            <w:hideMark/>
          </w:tcPr>
          <w:p w14:paraId="2EEE9323"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Max</w:t>
            </w:r>
          </w:p>
        </w:tc>
        <w:tc>
          <w:tcPr>
            <w:tcW w:w="572" w:type="dxa"/>
            <w:tcBorders>
              <w:top w:val="nil"/>
              <w:left w:val="nil"/>
              <w:bottom w:val="nil"/>
              <w:right w:val="nil"/>
            </w:tcBorders>
            <w:shd w:val="clear" w:color="000000" w:fill="FFFFFF"/>
            <w:noWrap/>
            <w:vAlign w:val="bottom"/>
            <w:hideMark/>
          </w:tcPr>
          <w:p w14:paraId="118F752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5CDCC692" w14:textId="77777777" w:rsidTr="001C6A02">
        <w:trPr>
          <w:trHeight w:val="255"/>
        </w:trPr>
        <w:tc>
          <w:tcPr>
            <w:tcW w:w="315" w:type="dxa"/>
            <w:tcBorders>
              <w:top w:val="nil"/>
              <w:left w:val="nil"/>
              <w:bottom w:val="nil"/>
              <w:right w:val="nil"/>
            </w:tcBorders>
            <w:shd w:val="clear" w:color="000000" w:fill="FFFFFF"/>
            <w:noWrap/>
            <w:vAlign w:val="bottom"/>
            <w:hideMark/>
          </w:tcPr>
          <w:p w14:paraId="21620A9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93C1D30"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Certification IC</w:t>
            </w:r>
          </w:p>
        </w:tc>
        <w:tc>
          <w:tcPr>
            <w:tcW w:w="272" w:type="dxa"/>
            <w:tcBorders>
              <w:top w:val="nil"/>
              <w:left w:val="nil"/>
              <w:bottom w:val="single" w:sz="4" w:space="0" w:color="auto"/>
              <w:right w:val="single" w:sz="4" w:space="0" w:color="auto"/>
            </w:tcBorders>
            <w:shd w:val="clear" w:color="000000" w:fill="C0C0C0"/>
            <w:noWrap/>
            <w:vAlign w:val="bottom"/>
            <w:hideMark/>
          </w:tcPr>
          <w:p w14:paraId="2238A357"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nil"/>
              <w:left w:val="nil"/>
              <w:bottom w:val="single" w:sz="4" w:space="0" w:color="auto"/>
              <w:right w:val="single" w:sz="4" w:space="0" w:color="auto"/>
            </w:tcBorders>
            <w:shd w:val="clear" w:color="000000" w:fill="C0C0C0"/>
            <w:noWrap/>
            <w:vAlign w:val="bottom"/>
            <w:hideMark/>
          </w:tcPr>
          <w:p w14:paraId="71DEFF78"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nil"/>
              <w:left w:val="nil"/>
              <w:bottom w:val="single" w:sz="4" w:space="0" w:color="auto"/>
              <w:right w:val="single" w:sz="4" w:space="0" w:color="auto"/>
            </w:tcBorders>
            <w:shd w:val="clear" w:color="000000" w:fill="C0C0C0"/>
            <w:noWrap/>
            <w:vAlign w:val="bottom"/>
            <w:hideMark/>
          </w:tcPr>
          <w:p w14:paraId="12FB87A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2" w:type="dxa"/>
            <w:tcBorders>
              <w:top w:val="nil"/>
              <w:left w:val="nil"/>
              <w:bottom w:val="nil"/>
              <w:right w:val="nil"/>
            </w:tcBorders>
            <w:shd w:val="clear" w:color="000000" w:fill="FFFFFF"/>
            <w:noWrap/>
            <w:vAlign w:val="bottom"/>
            <w:hideMark/>
          </w:tcPr>
          <w:p w14:paraId="568F91E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1973FAFB" w14:textId="77777777" w:rsidTr="001C6A02">
        <w:trPr>
          <w:trHeight w:val="825"/>
        </w:trPr>
        <w:tc>
          <w:tcPr>
            <w:tcW w:w="315" w:type="dxa"/>
            <w:tcBorders>
              <w:top w:val="nil"/>
              <w:left w:val="nil"/>
              <w:bottom w:val="nil"/>
              <w:right w:val="nil"/>
            </w:tcBorders>
            <w:shd w:val="clear" w:color="000000" w:fill="FFFFFF"/>
            <w:noWrap/>
            <w:vAlign w:val="bottom"/>
            <w:hideMark/>
          </w:tcPr>
          <w:p w14:paraId="1CBABAB7"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nil"/>
              <w:right w:val="single" w:sz="4" w:space="0" w:color="000000"/>
            </w:tcBorders>
            <w:shd w:val="clear" w:color="000000" w:fill="FFFFFF"/>
            <w:vAlign w:val="bottom"/>
            <w:hideMark/>
          </w:tcPr>
          <w:p w14:paraId="4299B2A1"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Capital one-time IT/Paperwork/Familiarization/PM  (annualized 10yrs/7%)</w:t>
            </w:r>
          </w:p>
        </w:tc>
        <w:tc>
          <w:tcPr>
            <w:tcW w:w="272" w:type="dxa"/>
            <w:tcBorders>
              <w:top w:val="nil"/>
              <w:left w:val="nil"/>
              <w:bottom w:val="single" w:sz="4" w:space="0" w:color="auto"/>
              <w:right w:val="single" w:sz="4" w:space="0" w:color="auto"/>
            </w:tcBorders>
            <w:shd w:val="clear" w:color="000000" w:fill="C0C0C0"/>
            <w:noWrap/>
            <w:vAlign w:val="bottom"/>
            <w:hideMark/>
          </w:tcPr>
          <w:p w14:paraId="1D66B484"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0827E042"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$2,664,581</w:t>
            </w:r>
          </w:p>
        </w:tc>
        <w:tc>
          <w:tcPr>
            <w:tcW w:w="2622" w:type="dxa"/>
            <w:tcBorders>
              <w:top w:val="nil"/>
              <w:left w:val="nil"/>
              <w:bottom w:val="single" w:sz="4" w:space="0" w:color="auto"/>
              <w:right w:val="single" w:sz="4" w:space="0" w:color="auto"/>
            </w:tcBorders>
            <w:shd w:val="clear" w:color="000000" w:fill="FFFFFF"/>
            <w:noWrap/>
            <w:vAlign w:val="bottom"/>
            <w:hideMark/>
          </w:tcPr>
          <w:p w14:paraId="7CD2EF3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$3,070,696</w:t>
            </w:r>
          </w:p>
        </w:tc>
        <w:tc>
          <w:tcPr>
            <w:tcW w:w="572" w:type="dxa"/>
            <w:tcBorders>
              <w:top w:val="nil"/>
              <w:left w:val="nil"/>
              <w:bottom w:val="nil"/>
              <w:right w:val="nil"/>
            </w:tcBorders>
            <w:shd w:val="clear" w:color="000000" w:fill="FFFFFF"/>
            <w:noWrap/>
            <w:vAlign w:val="bottom"/>
            <w:hideMark/>
          </w:tcPr>
          <w:p w14:paraId="432FBD0A"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08982C06" w14:textId="77777777" w:rsidTr="001C6A02">
        <w:trPr>
          <w:trHeight w:val="600"/>
        </w:trPr>
        <w:tc>
          <w:tcPr>
            <w:tcW w:w="315" w:type="dxa"/>
            <w:tcBorders>
              <w:top w:val="nil"/>
              <w:left w:val="nil"/>
              <w:bottom w:val="nil"/>
              <w:right w:val="nil"/>
            </w:tcBorders>
            <w:shd w:val="clear" w:color="000000" w:fill="FFFFFF"/>
            <w:noWrap/>
            <w:vAlign w:val="bottom"/>
            <w:hideMark/>
          </w:tcPr>
          <w:p w14:paraId="11703A9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98375D0"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Facilities: Ongoing Capital (annualized 10yrs/7%)</w:t>
            </w:r>
          </w:p>
        </w:tc>
        <w:tc>
          <w:tcPr>
            <w:tcW w:w="272" w:type="dxa"/>
            <w:tcBorders>
              <w:top w:val="nil"/>
              <w:left w:val="nil"/>
              <w:bottom w:val="single" w:sz="4" w:space="0" w:color="auto"/>
              <w:right w:val="single" w:sz="4" w:space="0" w:color="auto"/>
            </w:tcBorders>
            <w:shd w:val="clear" w:color="000000" w:fill="C0C0C0"/>
            <w:noWrap/>
            <w:vAlign w:val="bottom"/>
            <w:hideMark/>
          </w:tcPr>
          <w:p w14:paraId="634B7BAF"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61D4E19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2622" w:type="dxa"/>
            <w:tcBorders>
              <w:top w:val="nil"/>
              <w:left w:val="nil"/>
              <w:bottom w:val="single" w:sz="4" w:space="0" w:color="auto"/>
              <w:right w:val="single" w:sz="4" w:space="0" w:color="auto"/>
            </w:tcBorders>
            <w:shd w:val="clear" w:color="000000" w:fill="FFFFFF"/>
            <w:noWrap/>
            <w:vAlign w:val="bottom"/>
            <w:hideMark/>
          </w:tcPr>
          <w:p w14:paraId="3EDEF861"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$12,064 </w:t>
            </w:r>
          </w:p>
        </w:tc>
        <w:tc>
          <w:tcPr>
            <w:tcW w:w="572" w:type="dxa"/>
            <w:tcBorders>
              <w:top w:val="nil"/>
              <w:left w:val="nil"/>
              <w:bottom w:val="nil"/>
              <w:right w:val="nil"/>
            </w:tcBorders>
            <w:shd w:val="clear" w:color="000000" w:fill="FFFFFF"/>
            <w:noWrap/>
            <w:vAlign w:val="bottom"/>
            <w:hideMark/>
          </w:tcPr>
          <w:p w14:paraId="0AEB869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59D24904" w14:textId="77777777" w:rsidTr="001C6A02">
        <w:trPr>
          <w:trHeight w:val="600"/>
        </w:trPr>
        <w:tc>
          <w:tcPr>
            <w:tcW w:w="315" w:type="dxa"/>
            <w:tcBorders>
              <w:top w:val="nil"/>
              <w:left w:val="nil"/>
              <w:bottom w:val="nil"/>
              <w:right w:val="nil"/>
            </w:tcBorders>
            <w:shd w:val="clear" w:color="000000" w:fill="FFFFFF"/>
            <w:noWrap/>
            <w:vAlign w:val="bottom"/>
            <w:hideMark/>
          </w:tcPr>
          <w:p w14:paraId="50DDA6BD"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62528237"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Capital Subtotal</w:t>
            </w:r>
          </w:p>
        </w:tc>
        <w:tc>
          <w:tcPr>
            <w:tcW w:w="272" w:type="dxa"/>
            <w:tcBorders>
              <w:top w:val="nil"/>
              <w:left w:val="nil"/>
              <w:bottom w:val="single" w:sz="4" w:space="0" w:color="auto"/>
              <w:right w:val="single" w:sz="4" w:space="0" w:color="auto"/>
            </w:tcBorders>
            <w:shd w:val="clear" w:color="000000" w:fill="C0C0C0"/>
            <w:noWrap/>
            <w:vAlign w:val="bottom"/>
            <w:hideMark/>
          </w:tcPr>
          <w:p w14:paraId="125A64D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30DBD61D"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$2,664,581 </w:t>
            </w:r>
          </w:p>
        </w:tc>
        <w:tc>
          <w:tcPr>
            <w:tcW w:w="2622" w:type="dxa"/>
            <w:tcBorders>
              <w:top w:val="nil"/>
              <w:left w:val="nil"/>
              <w:bottom w:val="single" w:sz="4" w:space="0" w:color="auto"/>
              <w:right w:val="single" w:sz="4" w:space="0" w:color="auto"/>
            </w:tcBorders>
            <w:shd w:val="clear" w:color="000000" w:fill="FFFFFF"/>
            <w:noWrap/>
            <w:vAlign w:val="bottom"/>
            <w:hideMark/>
          </w:tcPr>
          <w:p w14:paraId="7CB1E4F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$3,082,760 </w:t>
            </w:r>
          </w:p>
        </w:tc>
        <w:tc>
          <w:tcPr>
            <w:tcW w:w="572" w:type="dxa"/>
            <w:tcBorders>
              <w:top w:val="nil"/>
              <w:left w:val="nil"/>
              <w:bottom w:val="nil"/>
              <w:right w:val="nil"/>
            </w:tcBorders>
            <w:shd w:val="clear" w:color="000000" w:fill="FFFFFF"/>
            <w:noWrap/>
            <w:vAlign w:val="bottom"/>
            <w:hideMark/>
          </w:tcPr>
          <w:p w14:paraId="4FAA783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06187CA8" w14:textId="77777777" w:rsidTr="001C6A02">
        <w:trPr>
          <w:trHeight w:val="390"/>
        </w:trPr>
        <w:tc>
          <w:tcPr>
            <w:tcW w:w="315" w:type="dxa"/>
            <w:tcBorders>
              <w:top w:val="nil"/>
              <w:left w:val="nil"/>
              <w:bottom w:val="nil"/>
              <w:right w:val="nil"/>
            </w:tcBorders>
            <w:shd w:val="clear" w:color="000000" w:fill="FFFFFF"/>
            <w:noWrap/>
            <w:vAlign w:val="bottom"/>
            <w:hideMark/>
          </w:tcPr>
          <w:p w14:paraId="73480E6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nil"/>
              <w:left w:val="single" w:sz="4" w:space="0" w:color="auto"/>
              <w:bottom w:val="single" w:sz="4" w:space="0" w:color="auto"/>
              <w:right w:val="single" w:sz="4" w:space="0" w:color="000000"/>
            </w:tcBorders>
            <w:shd w:val="clear" w:color="000000" w:fill="FFFFFF"/>
            <w:vAlign w:val="bottom"/>
            <w:hideMark/>
          </w:tcPr>
          <w:p w14:paraId="2E5D20C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Testing (O&amp;M)</w:t>
            </w:r>
          </w:p>
        </w:tc>
        <w:tc>
          <w:tcPr>
            <w:tcW w:w="272" w:type="dxa"/>
            <w:tcBorders>
              <w:top w:val="nil"/>
              <w:left w:val="nil"/>
              <w:bottom w:val="single" w:sz="4" w:space="0" w:color="auto"/>
              <w:right w:val="single" w:sz="4" w:space="0" w:color="auto"/>
            </w:tcBorders>
            <w:shd w:val="clear" w:color="000000" w:fill="C0C0C0"/>
            <w:noWrap/>
            <w:vAlign w:val="bottom"/>
            <w:hideMark/>
          </w:tcPr>
          <w:p w14:paraId="45BEE49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4753F8C0"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$5,000</w:t>
            </w:r>
          </w:p>
        </w:tc>
        <w:tc>
          <w:tcPr>
            <w:tcW w:w="2622" w:type="dxa"/>
            <w:tcBorders>
              <w:top w:val="nil"/>
              <w:left w:val="nil"/>
              <w:bottom w:val="single" w:sz="4" w:space="0" w:color="auto"/>
              <w:right w:val="single" w:sz="4" w:space="0" w:color="auto"/>
            </w:tcBorders>
            <w:shd w:val="clear" w:color="000000" w:fill="FFFFFF"/>
            <w:noWrap/>
            <w:vAlign w:val="bottom"/>
            <w:hideMark/>
          </w:tcPr>
          <w:p w14:paraId="7B7AC8A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$151,620</w:t>
            </w:r>
          </w:p>
        </w:tc>
        <w:tc>
          <w:tcPr>
            <w:tcW w:w="572" w:type="dxa"/>
            <w:tcBorders>
              <w:top w:val="nil"/>
              <w:left w:val="nil"/>
              <w:bottom w:val="nil"/>
              <w:right w:val="nil"/>
            </w:tcBorders>
            <w:shd w:val="clear" w:color="000000" w:fill="FFFFFF"/>
            <w:noWrap/>
            <w:vAlign w:val="bottom"/>
            <w:hideMark/>
          </w:tcPr>
          <w:p w14:paraId="3071500B"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07DDA91D" w14:textId="77777777" w:rsidTr="001C6A02">
        <w:trPr>
          <w:trHeight w:val="495"/>
        </w:trPr>
        <w:tc>
          <w:tcPr>
            <w:tcW w:w="315" w:type="dxa"/>
            <w:tcBorders>
              <w:top w:val="nil"/>
              <w:left w:val="nil"/>
              <w:bottom w:val="nil"/>
              <w:right w:val="nil"/>
            </w:tcBorders>
            <w:shd w:val="clear" w:color="000000" w:fill="FFFFFF"/>
            <w:noWrap/>
            <w:vAlign w:val="bottom"/>
            <w:hideMark/>
          </w:tcPr>
          <w:p w14:paraId="7472F78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98E95E2"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Reporting &amp; Recordkeeping</w:t>
            </w:r>
          </w:p>
        </w:tc>
        <w:tc>
          <w:tcPr>
            <w:tcW w:w="272" w:type="dxa"/>
            <w:tcBorders>
              <w:top w:val="nil"/>
              <w:left w:val="nil"/>
              <w:bottom w:val="nil"/>
              <w:right w:val="single" w:sz="4" w:space="0" w:color="auto"/>
            </w:tcBorders>
            <w:shd w:val="clear" w:color="000000" w:fill="C0C0C0"/>
            <w:noWrap/>
            <w:vAlign w:val="bottom"/>
            <w:hideMark/>
          </w:tcPr>
          <w:p w14:paraId="6E1906F2"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512C57E4"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$115,753</w:t>
            </w:r>
          </w:p>
        </w:tc>
        <w:tc>
          <w:tcPr>
            <w:tcW w:w="2622" w:type="dxa"/>
            <w:tcBorders>
              <w:top w:val="nil"/>
              <w:left w:val="nil"/>
              <w:bottom w:val="single" w:sz="4" w:space="0" w:color="auto"/>
              <w:right w:val="single" w:sz="4" w:space="0" w:color="auto"/>
            </w:tcBorders>
            <w:shd w:val="clear" w:color="000000" w:fill="FFFFFF"/>
            <w:noWrap/>
            <w:vAlign w:val="bottom"/>
            <w:hideMark/>
          </w:tcPr>
          <w:p w14:paraId="2D34A7E9"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$409,842</w:t>
            </w:r>
          </w:p>
        </w:tc>
        <w:tc>
          <w:tcPr>
            <w:tcW w:w="572" w:type="dxa"/>
            <w:tcBorders>
              <w:top w:val="nil"/>
              <w:left w:val="nil"/>
              <w:bottom w:val="nil"/>
              <w:right w:val="nil"/>
            </w:tcBorders>
            <w:shd w:val="clear" w:color="000000" w:fill="FFFFFF"/>
            <w:noWrap/>
            <w:vAlign w:val="bottom"/>
            <w:hideMark/>
          </w:tcPr>
          <w:p w14:paraId="581A669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3AADB91D" w14:textId="77777777" w:rsidTr="001C6A02">
        <w:trPr>
          <w:trHeight w:val="255"/>
        </w:trPr>
        <w:tc>
          <w:tcPr>
            <w:tcW w:w="315" w:type="dxa"/>
            <w:tcBorders>
              <w:top w:val="nil"/>
              <w:left w:val="nil"/>
              <w:bottom w:val="nil"/>
              <w:right w:val="nil"/>
            </w:tcBorders>
            <w:shd w:val="clear" w:color="000000" w:fill="FFFFFF"/>
            <w:noWrap/>
            <w:vAlign w:val="bottom"/>
            <w:hideMark/>
          </w:tcPr>
          <w:p w14:paraId="5DAD683E"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single" w:sz="4" w:space="0" w:color="auto"/>
              <w:bottom w:val="single" w:sz="4" w:space="0" w:color="auto"/>
              <w:right w:val="nil"/>
            </w:tcBorders>
            <w:shd w:val="clear" w:color="000000" w:fill="FFFFFF"/>
            <w:noWrap/>
            <w:vAlign w:val="bottom"/>
            <w:hideMark/>
          </w:tcPr>
          <w:p w14:paraId="608500E4"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308" w:type="dxa"/>
            <w:tcBorders>
              <w:top w:val="nil"/>
              <w:left w:val="nil"/>
              <w:bottom w:val="single" w:sz="4" w:space="0" w:color="auto"/>
              <w:right w:val="nil"/>
            </w:tcBorders>
            <w:shd w:val="clear" w:color="000000" w:fill="FFFFFF"/>
            <w:noWrap/>
            <w:vAlign w:val="bottom"/>
            <w:hideMark/>
          </w:tcPr>
          <w:p w14:paraId="69801A0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single" w:sz="4" w:space="0" w:color="auto"/>
              <w:right w:val="single" w:sz="4" w:space="0" w:color="auto"/>
            </w:tcBorders>
            <w:shd w:val="clear" w:color="000000" w:fill="FFFFFF"/>
            <w:noWrap/>
            <w:vAlign w:val="bottom"/>
            <w:hideMark/>
          </w:tcPr>
          <w:p w14:paraId="727320EF"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single" w:sz="4" w:space="0" w:color="auto"/>
              <w:left w:val="nil"/>
              <w:bottom w:val="nil"/>
              <w:right w:val="single" w:sz="4" w:space="0" w:color="auto"/>
            </w:tcBorders>
            <w:shd w:val="clear" w:color="000000" w:fill="C0C0C0"/>
            <w:noWrap/>
            <w:vAlign w:val="bottom"/>
            <w:hideMark/>
          </w:tcPr>
          <w:p w14:paraId="45C358F9"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nil"/>
              <w:left w:val="nil"/>
              <w:bottom w:val="single" w:sz="4" w:space="0" w:color="auto"/>
              <w:right w:val="single" w:sz="4" w:space="0" w:color="auto"/>
            </w:tcBorders>
            <w:shd w:val="clear" w:color="000000" w:fill="FFFFFF"/>
            <w:noWrap/>
            <w:vAlign w:val="bottom"/>
            <w:hideMark/>
          </w:tcPr>
          <w:p w14:paraId="723934E0"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$2,785,334 </w:t>
            </w:r>
          </w:p>
        </w:tc>
        <w:tc>
          <w:tcPr>
            <w:tcW w:w="2622" w:type="dxa"/>
            <w:tcBorders>
              <w:top w:val="nil"/>
              <w:left w:val="nil"/>
              <w:bottom w:val="single" w:sz="4" w:space="0" w:color="auto"/>
              <w:right w:val="single" w:sz="4" w:space="0" w:color="auto"/>
            </w:tcBorders>
            <w:shd w:val="clear" w:color="000000" w:fill="FFFFFF"/>
            <w:noWrap/>
            <w:vAlign w:val="bottom"/>
            <w:hideMark/>
          </w:tcPr>
          <w:p w14:paraId="17AE6F36"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$3,644,222 </w:t>
            </w:r>
          </w:p>
        </w:tc>
        <w:tc>
          <w:tcPr>
            <w:tcW w:w="572" w:type="dxa"/>
            <w:tcBorders>
              <w:top w:val="nil"/>
              <w:left w:val="nil"/>
              <w:bottom w:val="nil"/>
              <w:right w:val="nil"/>
            </w:tcBorders>
            <w:shd w:val="clear" w:color="000000" w:fill="FFFFFF"/>
            <w:noWrap/>
            <w:vAlign w:val="bottom"/>
            <w:hideMark/>
          </w:tcPr>
          <w:p w14:paraId="19ED2B9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2C1C4FFD" w14:textId="77777777" w:rsidTr="001C6A02">
        <w:trPr>
          <w:trHeight w:val="255"/>
        </w:trPr>
        <w:tc>
          <w:tcPr>
            <w:tcW w:w="315" w:type="dxa"/>
            <w:tcBorders>
              <w:top w:val="nil"/>
              <w:left w:val="nil"/>
              <w:bottom w:val="nil"/>
              <w:right w:val="nil"/>
            </w:tcBorders>
            <w:shd w:val="clear" w:color="000000" w:fill="FFFFFF"/>
            <w:noWrap/>
            <w:vAlign w:val="bottom"/>
            <w:hideMark/>
          </w:tcPr>
          <w:p w14:paraId="35A35A0A"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14:paraId="56C1F691"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14:paraId="6A1CF6B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14:paraId="74317C61"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single" w:sz="4" w:space="0" w:color="auto"/>
              <w:left w:val="nil"/>
              <w:bottom w:val="single" w:sz="4" w:space="0" w:color="auto"/>
              <w:right w:val="nil"/>
            </w:tcBorders>
            <w:shd w:val="clear" w:color="000000" w:fill="FFFFFF"/>
            <w:noWrap/>
            <w:vAlign w:val="bottom"/>
            <w:hideMark/>
          </w:tcPr>
          <w:p w14:paraId="297D9465"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51B2A39B"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4D3B64FF"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14:paraId="7A9E75DB"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727EF6C2" w14:textId="77777777" w:rsidTr="001C6A02">
        <w:trPr>
          <w:trHeight w:val="255"/>
        </w:trPr>
        <w:tc>
          <w:tcPr>
            <w:tcW w:w="315" w:type="dxa"/>
            <w:tcBorders>
              <w:top w:val="nil"/>
              <w:left w:val="nil"/>
              <w:bottom w:val="nil"/>
              <w:right w:val="nil"/>
            </w:tcBorders>
            <w:shd w:val="clear" w:color="000000" w:fill="FFFFFF"/>
            <w:noWrap/>
            <w:vAlign w:val="bottom"/>
            <w:hideMark/>
          </w:tcPr>
          <w:p w14:paraId="55357972"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F80F0C3" w14:textId="77777777" w:rsidR="00A71CFB" w:rsidRPr="0037058C" w:rsidRDefault="00A71CFB" w:rsidP="00A71CFB">
            <w:pPr>
              <w:widowControl/>
              <w:autoSpaceDE/>
              <w:autoSpaceDN/>
              <w:rPr>
                <w:rFonts w:ascii="Arial" w:hAnsi="Arial" w:cs="Arial"/>
                <w:b/>
                <w:bCs/>
                <w:sz w:val="20"/>
                <w:szCs w:val="20"/>
              </w:rPr>
            </w:pPr>
            <w:proofErr w:type="spellStart"/>
            <w:r w:rsidRPr="0037058C">
              <w:rPr>
                <w:rFonts w:ascii="Arial" w:hAnsi="Arial" w:cs="Arial"/>
                <w:b/>
                <w:bCs/>
                <w:sz w:val="20"/>
                <w:szCs w:val="20"/>
              </w:rPr>
              <w:t>IUVP</w:t>
            </w:r>
            <w:proofErr w:type="spellEnd"/>
            <w:r w:rsidRPr="0037058C">
              <w:rPr>
                <w:rFonts w:ascii="Arial" w:hAnsi="Arial" w:cs="Arial"/>
                <w:b/>
                <w:bCs/>
                <w:sz w:val="20"/>
                <w:szCs w:val="20"/>
              </w:rPr>
              <w:t xml:space="preserve"> IC</w:t>
            </w:r>
          </w:p>
        </w:tc>
        <w:tc>
          <w:tcPr>
            <w:tcW w:w="272" w:type="dxa"/>
            <w:tcBorders>
              <w:top w:val="nil"/>
              <w:left w:val="nil"/>
              <w:bottom w:val="single" w:sz="4" w:space="0" w:color="auto"/>
              <w:right w:val="single" w:sz="4" w:space="0" w:color="auto"/>
            </w:tcBorders>
            <w:shd w:val="clear" w:color="000000" w:fill="C0C0C0"/>
            <w:noWrap/>
            <w:vAlign w:val="bottom"/>
            <w:hideMark/>
          </w:tcPr>
          <w:p w14:paraId="10A16DB1"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single" w:sz="4" w:space="0" w:color="auto"/>
              <w:left w:val="nil"/>
              <w:bottom w:val="single" w:sz="4" w:space="0" w:color="auto"/>
              <w:right w:val="single" w:sz="4" w:space="0" w:color="auto"/>
            </w:tcBorders>
            <w:shd w:val="clear" w:color="000000" w:fill="C0C0C0"/>
            <w:noWrap/>
            <w:vAlign w:val="bottom"/>
            <w:hideMark/>
          </w:tcPr>
          <w:p w14:paraId="1BF9D4B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2622" w:type="dxa"/>
            <w:tcBorders>
              <w:top w:val="single" w:sz="4" w:space="0" w:color="auto"/>
              <w:left w:val="nil"/>
              <w:bottom w:val="single" w:sz="4" w:space="0" w:color="auto"/>
              <w:right w:val="single" w:sz="4" w:space="0" w:color="auto"/>
            </w:tcBorders>
            <w:shd w:val="clear" w:color="000000" w:fill="C0C0C0"/>
            <w:noWrap/>
            <w:vAlign w:val="bottom"/>
            <w:hideMark/>
          </w:tcPr>
          <w:p w14:paraId="5A62AA9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2" w:type="dxa"/>
            <w:tcBorders>
              <w:top w:val="nil"/>
              <w:left w:val="nil"/>
              <w:bottom w:val="nil"/>
              <w:right w:val="nil"/>
            </w:tcBorders>
            <w:shd w:val="clear" w:color="000000" w:fill="FFFFFF"/>
            <w:noWrap/>
            <w:vAlign w:val="bottom"/>
            <w:hideMark/>
          </w:tcPr>
          <w:p w14:paraId="1637B74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12395A6B" w14:textId="77777777" w:rsidTr="001C6A02">
        <w:trPr>
          <w:trHeight w:val="825"/>
        </w:trPr>
        <w:tc>
          <w:tcPr>
            <w:tcW w:w="315" w:type="dxa"/>
            <w:tcBorders>
              <w:top w:val="nil"/>
              <w:left w:val="nil"/>
              <w:bottom w:val="nil"/>
              <w:right w:val="nil"/>
            </w:tcBorders>
            <w:shd w:val="clear" w:color="000000" w:fill="FFFFFF"/>
            <w:noWrap/>
            <w:vAlign w:val="bottom"/>
            <w:hideMark/>
          </w:tcPr>
          <w:p w14:paraId="0BCD53C3"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F1306E0"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one-time: Bleed, PM testing (10yrs/7%)</w:t>
            </w:r>
          </w:p>
        </w:tc>
        <w:tc>
          <w:tcPr>
            <w:tcW w:w="272" w:type="dxa"/>
            <w:tcBorders>
              <w:top w:val="nil"/>
              <w:left w:val="nil"/>
              <w:bottom w:val="single" w:sz="4" w:space="0" w:color="auto"/>
              <w:right w:val="single" w:sz="4" w:space="0" w:color="auto"/>
            </w:tcBorders>
            <w:shd w:val="clear" w:color="000000" w:fill="C0C0C0"/>
            <w:noWrap/>
            <w:vAlign w:val="bottom"/>
            <w:hideMark/>
          </w:tcPr>
          <w:p w14:paraId="77FBB190"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0DD7DAA0"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$1,548,153</w:t>
            </w:r>
          </w:p>
        </w:tc>
        <w:tc>
          <w:tcPr>
            <w:tcW w:w="2622" w:type="dxa"/>
            <w:tcBorders>
              <w:top w:val="nil"/>
              <w:left w:val="nil"/>
              <w:bottom w:val="single" w:sz="4" w:space="0" w:color="auto"/>
              <w:right w:val="single" w:sz="4" w:space="0" w:color="auto"/>
            </w:tcBorders>
            <w:shd w:val="clear" w:color="000000" w:fill="FFFFFF"/>
            <w:noWrap/>
            <w:vAlign w:val="bottom"/>
            <w:hideMark/>
          </w:tcPr>
          <w:p w14:paraId="2CEAE299"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$3,372,935</w:t>
            </w:r>
          </w:p>
        </w:tc>
        <w:tc>
          <w:tcPr>
            <w:tcW w:w="572" w:type="dxa"/>
            <w:tcBorders>
              <w:top w:val="nil"/>
              <w:left w:val="nil"/>
              <w:bottom w:val="nil"/>
              <w:right w:val="nil"/>
            </w:tcBorders>
            <w:shd w:val="clear" w:color="000000" w:fill="FFFFFF"/>
            <w:noWrap/>
            <w:vAlign w:val="bottom"/>
            <w:hideMark/>
          </w:tcPr>
          <w:p w14:paraId="4A03E372"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4506FCE4" w14:textId="77777777" w:rsidTr="001C6A02">
        <w:trPr>
          <w:trHeight w:val="540"/>
        </w:trPr>
        <w:tc>
          <w:tcPr>
            <w:tcW w:w="315" w:type="dxa"/>
            <w:tcBorders>
              <w:top w:val="nil"/>
              <w:left w:val="nil"/>
              <w:bottom w:val="nil"/>
              <w:right w:val="nil"/>
            </w:tcBorders>
            <w:shd w:val="clear" w:color="000000" w:fill="FFFFFF"/>
            <w:noWrap/>
            <w:vAlign w:val="bottom"/>
            <w:hideMark/>
          </w:tcPr>
          <w:p w14:paraId="3D4E71B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056D7830"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New Facilities: Ongoing Capital, annualized 10 </w:t>
            </w:r>
            <w:proofErr w:type="spellStart"/>
            <w:r w:rsidRPr="0037058C">
              <w:rPr>
                <w:rFonts w:ascii="Arial" w:hAnsi="Arial" w:cs="Arial"/>
                <w:b/>
                <w:bCs/>
                <w:sz w:val="20"/>
                <w:szCs w:val="20"/>
              </w:rPr>
              <w:t>yrs</w:t>
            </w:r>
            <w:proofErr w:type="spellEnd"/>
            <w:r w:rsidRPr="0037058C">
              <w:rPr>
                <w:rFonts w:ascii="Arial" w:hAnsi="Arial" w:cs="Arial"/>
                <w:b/>
                <w:bCs/>
                <w:sz w:val="20"/>
                <w:szCs w:val="20"/>
              </w:rPr>
              <w:t>/7%)</w:t>
            </w:r>
          </w:p>
        </w:tc>
        <w:tc>
          <w:tcPr>
            <w:tcW w:w="272" w:type="dxa"/>
            <w:tcBorders>
              <w:top w:val="nil"/>
              <w:left w:val="nil"/>
              <w:bottom w:val="single" w:sz="4" w:space="0" w:color="auto"/>
              <w:right w:val="single" w:sz="4" w:space="0" w:color="auto"/>
            </w:tcBorders>
            <w:shd w:val="clear" w:color="000000" w:fill="C0C0C0"/>
            <w:noWrap/>
            <w:vAlign w:val="bottom"/>
            <w:hideMark/>
          </w:tcPr>
          <w:p w14:paraId="53A882D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02B00478"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2622" w:type="dxa"/>
            <w:tcBorders>
              <w:top w:val="nil"/>
              <w:left w:val="nil"/>
              <w:bottom w:val="single" w:sz="4" w:space="0" w:color="auto"/>
              <w:right w:val="single" w:sz="4" w:space="0" w:color="auto"/>
            </w:tcBorders>
            <w:shd w:val="clear" w:color="000000" w:fill="FFFFFF"/>
            <w:noWrap/>
            <w:vAlign w:val="bottom"/>
            <w:hideMark/>
          </w:tcPr>
          <w:p w14:paraId="35A80FF7"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2" w:type="dxa"/>
            <w:tcBorders>
              <w:top w:val="nil"/>
              <w:left w:val="nil"/>
              <w:bottom w:val="nil"/>
              <w:right w:val="nil"/>
            </w:tcBorders>
            <w:shd w:val="clear" w:color="000000" w:fill="FFFFFF"/>
            <w:noWrap/>
            <w:vAlign w:val="bottom"/>
            <w:hideMark/>
          </w:tcPr>
          <w:p w14:paraId="0B793C32"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532BD6A1" w14:textId="77777777" w:rsidTr="001C6A02">
        <w:trPr>
          <w:trHeight w:val="540"/>
        </w:trPr>
        <w:tc>
          <w:tcPr>
            <w:tcW w:w="315" w:type="dxa"/>
            <w:tcBorders>
              <w:top w:val="nil"/>
              <w:left w:val="nil"/>
              <w:bottom w:val="nil"/>
              <w:right w:val="nil"/>
            </w:tcBorders>
            <w:shd w:val="clear" w:color="000000" w:fill="FFFFFF"/>
            <w:noWrap/>
            <w:vAlign w:val="bottom"/>
            <w:hideMark/>
          </w:tcPr>
          <w:p w14:paraId="38208F8B"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42FA3B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Capital Subtotal</w:t>
            </w:r>
          </w:p>
        </w:tc>
        <w:tc>
          <w:tcPr>
            <w:tcW w:w="272" w:type="dxa"/>
            <w:tcBorders>
              <w:top w:val="nil"/>
              <w:left w:val="nil"/>
              <w:bottom w:val="single" w:sz="4" w:space="0" w:color="auto"/>
              <w:right w:val="single" w:sz="4" w:space="0" w:color="auto"/>
            </w:tcBorders>
            <w:shd w:val="clear" w:color="000000" w:fill="C0C0C0"/>
            <w:noWrap/>
            <w:vAlign w:val="bottom"/>
            <w:hideMark/>
          </w:tcPr>
          <w:p w14:paraId="42A92DC7"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6F4DF3E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$1,548,153</w:t>
            </w:r>
          </w:p>
        </w:tc>
        <w:tc>
          <w:tcPr>
            <w:tcW w:w="2622" w:type="dxa"/>
            <w:tcBorders>
              <w:top w:val="nil"/>
              <w:left w:val="nil"/>
              <w:bottom w:val="single" w:sz="4" w:space="0" w:color="auto"/>
              <w:right w:val="single" w:sz="4" w:space="0" w:color="auto"/>
            </w:tcBorders>
            <w:shd w:val="clear" w:color="000000" w:fill="FFFFFF"/>
            <w:noWrap/>
            <w:vAlign w:val="bottom"/>
            <w:hideMark/>
          </w:tcPr>
          <w:p w14:paraId="1C9298C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$3,372,935</w:t>
            </w:r>
          </w:p>
        </w:tc>
        <w:tc>
          <w:tcPr>
            <w:tcW w:w="572" w:type="dxa"/>
            <w:tcBorders>
              <w:top w:val="nil"/>
              <w:left w:val="nil"/>
              <w:bottom w:val="nil"/>
              <w:right w:val="nil"/>
            </w:tcBorders>
            <w:shd w:val="clear" w:color="000000" w:fill="FFFFFF"/>
            <w:noWrap/>
            <w:vAlign w:val="bottom"/>
            <w:hideMark/>
          </w:tcPr>
          <w:p w14:paraId="3EFB8BB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3490B45F" w14:textId="77777777" w:rsidTr="001C6A02">
        <w:trPr>
          <w:trHeight w:val="390"/>
        </w:trPr>
        <w:tc>
          <w:tcPr>
            <w:tcW w:w="315" w:type="dxa"/>
            <w:tcBorders>
              <w:top w:val="nil"/>
              <w:left w:val="nil"/>
              <w:bottom w:val="nil"/>
              <w:right w:val="nil"/>
            </w:tcBorders>
            <w:shd w:val="clear" w:color="000000" w:fill="FFFFFF"/>
            <w:noWrap/>
            <w:vAlign w:val="bottom"/>
            <w:hideMark/>
          </w:tcPr>
          <w:p w14:paraId="53D5AE96"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47979100"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Testing (O&amp;M)</w:t>
            </w:r>
          </w:p>
        </w:tc>
        <w:tc>
          <w:tcPr>
            <w:tcW w:w="272" w:type="dxa"/>
            <w:tcBorders>
              <w:top w:val="nil"/>
              <w:left w:val="nil"/>
              <w:bottom w:val="single" w:sz="4" w:space="0" w:color="auto"/>
              <w:right w:val="single" w:sz="4" w:space="0" w:color="auto"/>
            </w:tcBorders>
            <w:shd w:val="clear" w:color="000000" w:fill="C0C0C0"/>
            <w:noWrap/>
            <w:vAlign w:val="bottom"/>
            <w:hideMark/>
          </w:tcPr>
          <w:p w14:paraId="1CA2850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21D6BAE2"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$400,500</w:t>
            </w:r>
          </w:p>
        </w:tc>
        <w:tc>
          <w:tcPr>
            <w:tcW w:w="2622" w:type="dxa"/>
            <w:tcBorders>
              <w:top w:val="nil"/>
              <w:left w:val="nil"/>
              <w:bottom w:val="single" w:sz="4" w:space="0" w:color="auto"/>
              <w:right w:val="single" w:sz="4" w:space="0" w:color="auto"/>
            </w:tcBorders>
            <w:shd w:val="clear" w:color="000000" w:fill="FFFFFF"/>
            <w:noWrap/>
            <w:vAlign w:val="bottom"/>
            <w:hideMark/>
          </w:tcPr>
          <w:p w14:paraId="45CC394E"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$644,805</w:t>
            </w:r>
          </w:p>
        </w:tc>
        <w:tc>
          <w:tcPr>
            <w:tcW w:w="572" w:type="dxa"/>
            <w:tcBorders>
              <w:top w:val="nil"/>
              <w:left w:val="nil"/>
              <w:bottom w:val="nil"/>
              <w:right w:val="nil"/>
            </w:tcBorders>
            <w:shd w:val="clear" w:color="000000" w:fill="FFFFFF"/>
            <w:noWrap/>
            <w:vAlign w:val="bottom"/>
            <w:hideMark/>
          </w:tcPr>
          <w:p w14:paraId="46BF50E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414535D0" w14:textId="77777777" w:rsidTr="001C6A02">
        <w:trPr>
          <w:trHeight w:val="600"/>
        </w:trPr>
        <w:tc>
          <w:tcPr>
            <w:tcW w:w="315" w:type="dxa"/>
            <w:tcBorders>
              <w:top w:val="nil"/>
              <w:left w:val="nil"/>
              <w:bottom w:val="nil"/>
              <w:right w:val="nil"/>
            </w:tcBorders>
            <w:shd w:val="clear" w:color="000000" w:fill="FFFFFF"/>
            <w:noWrap/>
            <w:vAlign w:val="bottom"/>
            <w:hideMark/>
          </w:tcPr>
          <w:p w14:paraId="2E64684B"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D01DF89"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Reporting &amp; Recordkeeping</w:t>
            </w:r>
          </w:p>
        </w:tc>
        <w:tc>
          <w:tcPr>
            <w:tcW w:w="272" w:type="dxa"/>
            <w:tcBorders>
              <w:top w:val="nil"/>
              <w:left w:val="nil"/>
              <w:bottom w:val="single" w:sz="4" w:space="0" w:color="auto"/>
              <w:right w:val="single" w:sz="4" w:space="0" w:color="auto"/>
            </w:tcBorders>
            <w:shd w:val="clear" w:color="000000" w:fill="C0C0C0"/>
            <w:noWrap/>
            <w:vAlign w:val="bottom"/>
            <w:hideMark/>
          </w:tcPr>
          <w:p w14:paraId="2BE95FE4"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33106E7E"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$20,552</w:t>
            </w:r>
          </w:p>
        </w:tc>
        <w:tc>
          <w:tcPr>
            <w:tcW w:w="2622" w:type="dxa"/>
            <w:tcBorders>
              <w:top w:val="nil"/>
              <w:left w:val="nil"/>
              <w:bottom w:val="single" w:sz="4" w:space="0" w:color="auto"/>
              <w:right w:val="single" w:sz="4" w:space="0" w:color="auto"/>
            </w:tcBorders>
            <w:shd w:val="clear" w:color="000000" w:fill="FFFFFF"/>
            <w:noWrap/>
            <w:vAlign w:val="bottom"/>
            <w:hideMark/>
          </w:tcPr>
          <w:p w14:paraId="186BA840"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$28,973</w:t>
            </w:r>
          </w:p>
        </w:tc>
        <w:tc>
          <w:tcPr>
            <w:tcW w:w="572" w:type="dxa"/>
            <w:tcBorders>
              <w:top w:val="nil"/>
              <w:left w:val="nil"/>
              <w:bottom w:val="nil"/>
              <w:right w:val="nil"/>
            </w:tcBorders>
            <w:shd w:val="clear" w:color="000000" w:fill="FFFFFF"/>
            <w:noWrap/>
            <w:vAlign w:val="bottom"/>
            <w:hideMark/>
          </w:tcPr>
          <w:p w14:paraId="752255D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7F1A6161" w14:textId="77777777" w:rsidTr="001C6A02">
        <w:trPr>
          <w:trHeight w:val="255"/>
        </w:trPr>
        <w:tc>
          <w:tcPr>
            <w:tcW w:w="315" w:type="dxa"/>
            <w:tcBorders>
              <w:top w:val="nil"/>
              <w:left w:val="nil"/>
              <w:bottom w:val="nil"/>
              <w:right w:val="nil"/>
            </w:tcBorders>
            <w:shd w:val="clear" w:color="000000" w:fill="FFFFFF"/>
            <w:noWrap/>
            <w:vAlign w:val="bottom"/>
            <w:hideMark/>
          </w:tcPr>
          <w:p w14:paraId="172E3253"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single" w:sz="4" w:space="0" w:color="auto"/>
              <w:bottom w:val="single" w:sz="4" w:space="0" w:color="auto"/>
              <w:right w:val="nil"/>
            </w:tcBorders>
            <w:shd w:val="clear" w:color="000000" w:fill="FFFFFF"/>
            <w:noWrap/>
            <w:vAlign w:val="bottom"/>
            <w:hideMark/>
          </w:tcPr>
          <w:p w14:paraId="624D51BF"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308" w:type="dxa"/>
            <w:tcBorders>
              <w:top w:val="nil"/>
              <w:left w:val="nil"/>
              <w:bottom w:val="single" w:sz="4" w:space="0" w:color="auto"/>
              <w:right w:val="nil"/>
            </w:tcBorders>
            <w:shd w:val="clear" w:color="000000" w:fill="FFFFFF"/>
            <w:noWrap/>
            <w:vAlign w:val="bottom"/>
            <w:hideMark/>
          </w:tcPr>
          <w:p w14:paraId="4B46040C"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single" w:sz="4" w:space="0" w:color="auto"/>
              <w:right w:val="single" w:sz="4" w:space="0" w:color="auto"/>
            </w:tcBorders>
            <w:shd w:val="clear" w:color="000000" w:fill="FFFFFF"/>
            <w:noWrap/>
            <w:vAlign w:val="bottom"/>
            <w:hideMark/>
          </w:tcPr>
          <w:p w14:paraId="58161D4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single" w:sz="4" w:space="0" w:color="auto"/>
              <w:right w:val="single" w:sz="4" w:space="0" w:color="auto"/>
            </w:tcBorders>
            <w:shd w:val="clear" w:color="000000" w:fill="C0C0C0"/>
            <w:noWrap/>
            <w:vAlign w:val="bottom"/>
            <w:hideMark/>
          </w:tcPr>
          <w:p w14:paraId="636DC2E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single" w:sz="4" w:space="0" w:color="auto"/>
              <w:right w:val="single" w:sz="4" w:space="0" w:color="auto"/>
            </w:tcBorders>
            <w:shd w:val="clear" w:color="000000" w:fill="FFFFFF"/>
            <w:noWrap/>
            <w:vAlign w:val="bottom"/>
            <w:hideMark/>
          </w:tcPr>
          <w:p w14:paraId="04DABB70"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$1,969,205 </w:t>
            </w:r>
          </w:p>
        </w:tc>
        <w:tc>
          <w:tcPr>
            <w:tcW w:w="2622" w:type="dxa"/>
            <w:tcBorders>
              <w:top w:val="nil"/>
              <w:left w:val="nil"/>
              <w:bottom w:val="single" w:sz="4" w:space="0" w:color="auto"/>
              <w:right w:val="single" w:sz="4" w:space="0" w:color="auto"/>
            </w:tcBorders>
            <w:shd w:val="clear" w:color="000000" w:fill="FFFFFF"/>
            <w:noWrap/>
            <w:vAlign w:val="bottom"/>
            <w:hideMark/>
          </w:tcPr>
          <w:p w14:paraId="56556EE9"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$4,046,713 </w:t>
            </w:r>
          </w:p>
        </w:tc>
        <w:tc>
          <w:tcPr>
            <w:tcW w:w="572" w:type="dxa"/>
            <w:tcBorders>
              <w:top w:val="nil"/>
              <w:left w:val="nil"/>
              <w:bottom w:val="nil"/>
              <w:right w:val="nil"/>
            </w:tcBorders>
            <w:shd w:val="clear" w:color="000000" w:fill="FFFFFF"/>
            <w:noWrap/>
            <w:vAlign w:val="bottom"/>
            <w:hideMark/>
          </w:tcPr>
          <w:p w14:paraId="268CB577"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72B449F2" w14:textId="77777777" w:rsidTr="001C6A02">
        <w:trPr>
          <w:trHeight w:val="255"/>
        </w:trPr>
        <w:tc>
          <w:tcPr>
            <w:tcW w:w="315" w:type="dxa"/>
            <w:tcBorders>
              <w:top w:val="nil"/>
              <w:left w:val="nil"/>
              <w:bottom w:val="nil"/>
              <w:right w:val="nil"/>
            </w:tcBorders>
            <w:shd w:val="clear" w:color="000000" w:fill="FFFFFF"/>
            <w:noWrap/>
            <w:vAlign w:val="bottom"/>
            <w:hideMark/>
          </w:tcPr>
          <w:p w14:paraId="3216CD8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66" w:type="dxa"/>
            <w:tcBorders>
              <w:top w:val="nil"/>
              <w:left w:val="nil"/>
              <w:bottom w:val="nil"/>
              <w:right w:val="nil"/>
            </w:tcBorders>
            <w:shd w:val="clear" w:color="000000" w:fill="FFFFFF"/>
            <w:noWrap/>
            <w:vAlign w:val="bottom"/>
            <w:hideMark/>
          </w:tcPr>
          <w:p w14:paraId="2FD8C296"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14:paraId="29ADD3F4"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14:paraId="0CA8FAD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14:paraId="49AC5469"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14:paraId="732F2A77"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737D0DC4"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14:paraId="1F85FFD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507669A1" w14:textId="77777777" w:rsidTr="001C6A02">
        <w:trPr>
          <w:trHeight w:val="255"/>
        </w:trPr>
        <w:tc>
          <w:tcPr>
            <w:tcW w:w="315" w:type="dxa"/>
            <w:tcBorders>
              <w:top w:val="nil"/>
              <w:left w:val="nil"/>
              <w:bottom w:val="nil"/>
              <w:right w:val="nil"/>
            </w:tcBorders>
            <w:shd w:val="clear" w:color="000000" w:fill="FFFFFF"/>
            <w:noWrap/>
            <w:vAlign w:val="bottom"/>
            <w:hideMark/>
          </w:tcPr>
          <w:p w14:paraId="0985B24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974" w:type="dxa"/>
            <w:gridSpan w:val="2"/>
            <w:tcBorders>
              <w:top w:val="nil"/>
              <w:left w:val="nil"/>
              <w:bottom w:val="nil"/>
              <w:right w:val="nil"/>
            </w:tcBorders>
            <w:shd w:val="clear" w:color="000000" w:fill="FFFFFF"/>
            <w:noWrap/>
            <w:vAlign w:val="bottom"/>
            <w:hideMark/>
          </w:tcPr>
          <w:p w14:paraId="69149D2A"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TOTAL CAPITAL</w:t>
            </w:r>
          </w:p>
        </w:tc>
        <w:tc>
          <w:tcPr>
            <w:tcW w:w="310" w:type="dxa"/>
            <w:tcBorders>
              <w:top w:val="nil"/>
              <w:left w:val="nil"/>
              <w:bottom w:val="nil"/>
              <w:right w:val="nil"/>
            </w:tcBorders>
            <w:shd w:val="clear" w:color="000000" w:fill="FFFFFF"/>
            <w:noWrap/>
            <w:vAlign w:val="bottom"/>
            <w:hideMark/>
          </w:tcPr>
          <w:p w14:paraId="56DE328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14:paraId="2544DF20"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14:paraId="5E309B0D"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$4,212,734 </w:t>
            </w:r>
          </w:p>
        </w:tc>
        <w:tc>
          <w:tcPr>
            <w:tcW w:w="2622" w:type="dxa"/>
            <w:tcBorders>
              <w:top w:val="nil"/>
              <w:left w:val="nil"/>
              <w:bottom w:val="nil"/>
              <w:right w:val="nil"/>
            </w:tcBorders>
            <w:shd w:val="clear" w:color="000000" w:fill="FFFFFF"/>
            <w:noWrap/>
            <w:vAlign w:val="bottom"/>
            <w:hideMark/>
          </w:tcPr>
          <w:p w14:paraId="09B9260E"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$6,455,695 </w:t>
            </w:r>
          </w:p>
        </w:tc>
        <w:tc>
          <w:tcPr>
            <w:tcW w:w="572" w:type="dxa"/>
            <w:tcBorders>
              <w:top w:val="nil"/>
              <w:left w:val="nil"/>
              <w:bottom w:val="nil"/>
              <w:right w:val="nil"/>
            </w:tcBorders>
            <w:shd w:val="clear" w:color="000000" w:fill="FFFFFF"/>
            <w:noWrap/>
            <w:vAlign w:val="bottom"/>
            <w:hideMark/>
          </w:tcPr>
          <w:p w14:paraId="1EF5A2E2"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4C4DF5C2" w14:textId="77777777" w:rsidTr="001C6A02">
        <w:trPr>
          <w:trHeight w:val="255"/>
        </w:trPr>
        <w:tc>
          <w:tcPr>
            <w:tcW w:w="315" w:type="dxa"/>
            <w:tcBorders>
              <w:top w:val="nil"/>
              <w:left w:val="nil"/>
              <w:bottom w:val="nil"/>
              <w:right w:val="nil"/>
            </w:tcBorders>
            <w:shd w:val="clear" w:color="000000" w:fill="FFFFFF"/>
            <w:noWrap/>
            <w:vAlign w:val="bottom"/>
            <w:hideMark/>
          </w:tcPr>
          <w:p w14:paraId="69BF21CC"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974" w:type="dxa"/>
            <w:gridSpan w:val="2"/>
            <w:tcBorders>
              <w:top w:val="nil"/>
              <w:left w:val="nil"/>
              <w:bottom w:val="nil"/>
              <w:right w:val="nil"/>
            </w:tcBorders>
            <w:shd w:val="clear" w:color="000000" w:fill="FFFFFF"/>
            <w:noWrap/>
            <w:vAlign w:val="bottom"/>
            <w:hideMark/>
          </w:tcPr>
          <w:p w14:paraId="648086E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TOTAL O&amp;M</w:t>
            </w:r>
          </w:p>
        </w:tc>
        <w:tc>
          <w:tcPr>
            <w:tcW w:w="310" w:type="dxa"/>
            <w:tcBorders>
              <w:top w:val="nil"/>
              <w:left w:val="nil"/>
              <w:bottom w:val="nil"/>
              <w:right w:val="nil"/>
            </w:tcBorders>
            <w:shd w:val="clear" w:color="000000" w:fill="FFFFFF"/>
            <w:noWrap/>
            <w:vAlign w:val="bottom"/>
            <w:hideMark/>
          </w:tcPr>
          <w:p w14:paraId="31C4D03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14:paraId="6674CEEE"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14:paraId="2A337174"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$541,805 </w:t>
            </w:r>
          </w:p>
        </w:tc>
        <w:tc>
          <w:tcPr>
            <w:tcW w:w="2622" w:type="dxa"/>
            <w:tcBorders>
              <w:top w:val="nil"/>
              <w:left w:val="nil"/>
              <w:bottom w:val="nil"/>
              <w:right w:val="nil"/>
            </w:tcBorders>
            <w:shd w:val="clear" w:color="000000" w:fill="FFFFFF"/>
            <w:noWrap/>
            <w:vAlign w:val="bottom"/>
            <w:hideMark/>
          </w:tcPr>
          <w:p w14:paraId="129445B0"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$1,235,239 </w:t>
            </w:r>
          </w:p>
        </w:tc>
        <w:tc>
          <w:tcPr>
            <w:tcW w:w="572" w:type="dxa"/>
            <w:tcBorders>
              <w:top w:val="nil"/>
              <w:left w:val="nil"/>
              <w:bottom w:val="nil"/>
              <w:right w:val="nil"/>
            </w:tcBorders>
            <w:shd w:val="clear" w:color="000000" w:fill="FFFFFF"/>
            <w:noWrap/>
            <w:vAlign w:val="bottom"/>
            <w:hideMark/>
          </w:tcPr>
          <w:p w14:paraId="5D421C8B"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6AB57ACB" w14:textId="77777777" w:rsidTr="001C6A02">
        <w:trPr>
          <w:trHeight w:val="270"/>
        </w:trPr>
        <w:tc>
          <w:tcPr>
            <w:tcW w:w="315" w:type="dxa"/>
            <w:tcBorders>
              <w:top w:val="nil"/>
              <w:left w:val="nil"/>
              <w:bottom w:val="nil"/>
              <w:right w:val="nil"/>
            </w:tcBorders>
            <w:shd w:val="clear" w:color="000000" w:fill="FFFFFF"/>
            <w:noWrap/>
            <w:vAlign w:val="bottom"/>
            <w:hideMark/>
          </w:tcPr>
          <w:p w14:paraId="65D9F79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284" w:type="dxa"/>
            <w:gridSpan w:val="3"/>
            <w:tcBorders>
              <w:top w:val="nil"/>
              <w:left w:val="nil"/>
              <w:bottom w:val="nil"/>
              <w:right w:val="nil"/>
            </w:tcBorders>
            <w:shd w:val="clear" w:color="000000" w:fill="FFFFFF"/>
            <w:noWrap/>
            <w:vAlign w:val="bottom"/>
            <w:hideMark/>
          </w:tcPr>
          <w:p w14:paraId="75FBDC61"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LDV &amp; </w:t>
            </w:r>
            <w:proofErr w:type="spellStart"/>
            <w:r w:rsidRPr="0037058C">
              <w:rPr>
                <w:rFonts w:ascii="Arial" w:hAnsi="Arial" w:cs="Arial"/>
                <w:b/>
                <w:bCs/>
                <w:sz w:val="20"/>
                <w:szCs w:val="20"/>
              </w:rPr>
              <w:t>IUVP</w:t>
            </w:r>
            <w:proofErr w:type="spellEnd"/>
          </w:p>
        </w:tc>
        <w:tc>
          <w:tcPr>
            <w:tcW w:w="272" w:type="dxa"/>
            <w:tcBorders>
              <w:top w:val="nil"/>
              <w:left w:val="nil"/>
              <w:bottom w:val="nil"/>
              <w:right w:val="nil"/>
            </w:tcBorders>
            <w:shd w:val="clear" w:color="000000" w:fill="FFFFFF"/>
            <w:noWrap/>
            <w:vAlign w:val="bottom"/>
            <w:hideMark/>
          </w:tcPr>
          <w:p w14:paraId="5A42597E"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14:paraId="3E70121D"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$4,754,539 </w:t>
            </w:r>
          </w:p>
        </w:tc>
        <w:tc>
          <w:tcPr>
            <w:tcW w:w="2622" w:type="dxa"/>
            <w:tcBorders>
              <w:top w:val="nil"/>
              <w:left w:val="nil"/>
              <w:bottom w:val="nil"/>
              <w:right w:val="nil"/>
            </w:tcBorders>
            <w:shd w:val="clear" w:color="000000" w:fill="FFFFFF"/>
            <w:noWrap/>
            <w:vAlign w:val="bottom"/>
            <w:hideMark/>
          </w:tcPr>
          <w:p w14:paraId="6C73A61E"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$7,690,934 </w:t>
            </w:r>
          </w:p>
        </w:tc>
        <w:tc>
          <w:tcPr>
            <w:tcW w:w="572" w:type="dxa"/>
            <w:tcBorders>
              <w:top w:val="nil"/>
              <w:left w:val="nil"/>
              <w:bottom w:val="nil"/>
              <w:right w:val="nil"/>
            </w:tcBorders>
            <w:shd w:val="clear" w:color="000000" w:fill="FFFFFF"/>
            <w:noWrap/>
            <w:vAlign w:val="bottom"/>
            <w:hideMark/>
          </w:tcPr>
          <w:p w14:paraId="2BB8C6F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28F86279" w14:textId="77777777" w:rsidTr="001C6A02">
        <w:trPr>
          <w:trHeight w:val="270"/>
        </w:trPr>
        <w:tc>
          <w:tcPr>
            <w:tcW w:w="315" w:type="dxa"/>
            <w:tcBorders>
              <w:top w:val="nil"/>
              <w:left w:val="nil"/>
              <w:bottom w:val="nil"/>
              <w:right w:val="nil"/>
            </w:tcBorders>
            <w:shd w:val="clear" w:color="000000" w:fill="FFFFFF"/>
            <w:noWrap/>
            <w:vAlign w:val="bottom"/>
            <w:hideMark/>
          </w:tcPr>
          <w:p w14:paraId="4F34BD20"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lastRenderedPageBreak/>
              <w:t> </w:t>
            </w:r>
          </w:p>
        </w:tc>
        <w:tc>
          <w:tcPr>
            <w:tcW w:w="2666" w:type="dxa"/>
            <w:tcBorders>
              <w:top w:val="nil"/>
              <w:left w:val="nil"/>
              <w:bottom w:val="nil"/>
              <w:right w:val="nil"/>
            </w:tcBorders>
            <w:shd w:val="clear" w:color="000000" w:fill="FFFFFF"/>
            <w:noWrap/>
            <w:vAlign w:val="bottom"/>
            <w:hideMark/>
          </w:tcPr>
          <w:p w14:paraId="3548465F"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08" w:type="dxa"/>
            <w:tcBorders>
              <w:top w:val="nil"/>
              <w:left w:val="nil"/>
              <w:bottom w:val="nil"/>
              <w:right w:val="nil"/>
            </w:tcBorders>
            <w:shd w:val="clear" w:color="000000" w:fill="FFFFFF"/>
            <w:noWrap/>
            <w:vAlign w:val="bottom"/>
            <w:hideMark/>
          </w:tcPr>
          <w:p w14:paraId="30C08ADF"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310" w:type="dxa"/>
            <w:tcBorders>
              <w:top w:val="nil"/>
              <w:left w:val="nil"/>
              <w:bottom w:val="nil"/>
              <w:right w:val="nil"/>
            </w:tcBorders>
            <w:shd w:val="clear" w:color="000000" w:fill="FFFFFF"/>
            <w:noWrap/>
            <w:vAlign w:val="bottom"/>
            <w:hideMark/>
          </w:tcPr>
          <w:p w14:paraId="659C571D"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14:paraId="39C6E607"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2622" w:type="dxa"/>
            <w:tcBorders>
              <w:top w:val="nil"/>
              <w:left w:val="nil"/>
              <w:bottom w:val="nil"/>
              <w:right w:val="nil"/>
            </w:tcBorders>
            <w:shd w:val="clear" w:color="000000" w:fill="FFFFFF"/>
            <w:noWrap/>
            <w:vAlign w:val="bottom"/>
            <w:hideMark/>
          </w:tcPr>
          <w:p w14:paraId="1E736300"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2622" w:type="dxa"/>
            <w:tcBorders>
              <w:top w:val="nil"/>
              <w:left w:val="nil"/>
              <w:bottom w:val="nil"/>
              <w:right w:val="nil"/>
            </w:tcBorders>
            <w:shd w:val="clear" w:color="000000" w:fill="FFFFFF"/>
            <w:noWrap/>
            <w:vAlign w:val="bottom"/>
            <w:hideMark/>
          </w:tcPr>
          <w:p w14:paraId="4BA9C347"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2" w:type="dxa"/>
            <w:tcBorders>
              <w:top w:val="nil"/>
              <w:left w:val="nil"/>
              <w:bottom w:val="nil"/>
              <w:right w:val="nil"/>
            </w:tcBorders>
            <w:shd w:val="clear" w:color="000000" w:fill="FFFFFF"/>
            <w:noWrap/>
            <w:vAlign w:val="bottom"/>
            <w:hideMark/>
          </w:tcPr>
          <w:p w14:paraId="4AB5512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bl>
    <w:p w14:paraId="5BE69319" w14:textId="77777777" w:rsidR="00A71CFB" w:rsidRPr="0037058C" w:rsidRDefault="00A71CFB" w:rsidP="004C72D6">
      <w:pPr>
        <w:tabs>
          <w:tab w:val="right" w:pos="4680"/>
        </w:tabs>
      </w:pPr>
    </w:p>
    <w:p w14:paraId="37A60970" w14:textId="77777777" w:rsidR="00A71CFB" w:rsidRPr="0037058C" w:rsidRDefault="00A71CFB" w:rsidP="004C72D6">
      <w:pPr>
        <w:tabs>
          <w:tab w:val="right" w:pos="4680"/>
        </w:tabs>
      </w:pPr>
    </w:p>
    <w:p w14:paraId="77C4E1FB" w14:textId="77777777" w:rsidR="00A71CFB" w:rsidRPr="0037058C" w:rsidRDefault="00A71CFB" w:rsidP="004C72D6">
      <w:pPr>
        <w:tabs>
          <w:tab w:val="right" w:pos="4680"/>
        </w:tabs>
      </w:pPr>
    </w:p>
    <w:p w14:paraId="571E4149" w14:textId="77777777" w:rsidR="00A71CFB" w:rsidRPr="0037058C" w:rsidRDefault="00A71CFB" w:rsidP="004C72D6">
      <w:pPr>
        <w:tabs>
          <w:tab w:val="right" w:pos="4680"/>
        </w:tabs>
      </w:pPr>
    </w:p>
    <w:p w14:paraId="3EBB64F6" w14:textId="77777777" w:rsidR="00A71CFB" w:rsidRPr="0037058C" w:rsidRDefault="00A71CFB" w:rsidP="004C72D6">
      <w:pPr>
        <w:tabs>
          <w:tab w:val="right" w:pos="4680"/>
        </w:tabs>
      </w:pPr>
    </w:p>
    <w:p w14:paraId="361D0A3C" w14:textId="77777777" w:rsidR="00A71CFB" w:rsidRPr="0037058C" w:rsidRDefault="00A71CFB" w:rsidP="004C72D6">
      <w:pPr>
        <w:tabs>
          <w:tab w:val="right" w:pos="4680"/>
        </w:tabs>
      </w:pPr>
    </w:p>
    <w:p w14:paraId="131E639C" w14:textId="77777777" w:rsidR="00A71CFB" w:rsidRPr="0037058C" w:rsidRDefault="00A71CFB" w:rsidP="004C72D6">
      <w:pPr>
        <w:tabs>
          <w:tab w:val="right" w:pos="4680"/>
        </w:tabs>
      </w:pPr>
    </w:p>
    <w:p w14:paraId="0FE019E9" w14:textId="77777777" w:rsidR="00A71CFB" w:rsidRPr="0037058C" w:rsidRDefault="00A71CFB" w:rsidP="004C72D6">
      <w:pPr>
        <w:tabs>
          <w:tab w:val="right" w:pos="4680"/>
        </w:tabs>
      </w:pPr>
    </w:p>
    <w:p w14:paraId="234EC900" w14:textId="77777777" w:rsidR="00A71CFB" w:rsidRPr="0037058C" w:rsidRDefault="00A71CFB" w:rsidP="004C72D6">
      <w:pPr>
        <w:tabs>
          <w:tab w:val="right" w:pos="4680"/>
        </w:tabs>
      </w:pPr>
    </w:p>
    <w:tbl>
      <w:tblPr>
        <w:tblW w:w="8049" w:type="dxa"/>
        <w:tblInd w:w="108" w:type="dxa"/>
        <w:tblLook w:val="04A0" w:firstRow="1" w:lastRow="0" w:firstColumn="1" w:lastColumn="0" w:noHBand="0" w:noVBand="1"/>
      </w:tblPr>
      <w:tblGrid>
        <w:gridCol w:w="316"/>
        <w:gridCol w:w="1681"/>
        <w:gridCol w:w="272"/>
        <w:gridCol w:w="1796"/>
        <w:gridCol w:w="416"/>
        <w:gridCol w:w="1336"/>
        <w:gridCol w:w="1656"/>
        <w:gridCol w:w="576"/>
      </w:tblGrid>
      <w:tr w:rsidR="00A71CFB" w:rsidRPr="0037058C" w14:paraId="583BD48C" w14:textId="77777777" w:rsidTr="00A9786F">
        <w:trPr>
          <w:trHeight w:val="255"/>
        </w:trPr>
        <w:tc>
          <w:tcPr>
            <w:tcW w:w="316" w:type="dxa"/>
            <w:tcBorders>
              <w:top w:val="nil"/>
              <w:left w:val="nil"/>
              <w:bottom w:val="nil"/>
              <w:right w:val="nil"/>
            </w:tcBorders>
            <w:shd w:val="clear" w:color="000000" w:fill="FFFFFF"/>
            <w:noWrap/>
            <w:vAlign w:val="bottom"/>
            <w:hideMark/>
          </w:tcPr>
          <w:p w14:paraId="2081D82C"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953" w:type="dxa"/>
            <w:gridSpan w:val="2"/>
            <w:tcBorders>
              <w:top w:val="nil"/>
              <w:left w:val="nil"/>
              <w:bottom w:val="nil"/>
              <w:right w:val="nil"/>
            </w:tcBorders>
            <w:shd w:val="clear" w:color="000000" w:fill="FFFFFF"/>
            <w:noWrap/>
            <w:vAlign w:val="bottom"/>
            <w:hideMark/>
          </w:tcPr>
          <w:p w14:paraId="304EDB4A" w14:textId="77777777" w:rsidR="001C6A02"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xml:space="preserve"> </w:t>
            </w:r>
          </w:p>
          <w:p w14:paraId="5C3F6E69" w14:textId="77777777" w:rsidR="001C6A02" w:rsidRDefault="001C6A02" w:rsidP="00A71CFB">
            <w:pPr>
              <w:widowControl/>
              <w:autoSpaceDE/>
              <w:autoSpaceDN/>
              <w:jc w:val="center"/>
              <w:rPr>
                <w:rFonts w:ascii="Arial" w:hAnsi="Arial" w:cs="Arial"/>
                <w:b/>
                <w:bCs/>
                <w:sz w:val="20"/>
                <w:szCs w:val="20"/>
              </w:rPr>
            </w:pPr>
          </w:p>
          <w:p w14:paraId="087BABC2" w14:textId="77777777" w:rsidR="001C6A02" w:rsidRDefault="001C6A02" w:rsidP="00A71CFB">
            <w:pPr>
              <w:widowControl/>
              <w:autoSpaceDE/>
              <w:autoSpaceDN/>
              <w:jc w:val="center"/>
              <w:rPr>
                <w:rFonts w:ascii="Arial" w:hAnsi="Arial" w:cs="Arial"/>
                <w:b/>
                <w:bCs/>
                <w:sz w:val="20"/>
                <w:szCs w:val="20"/>
              </w:rPr>
            </w:pPr>
          </w:p>
          <w:p w14:paraId="0B78DD63"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HOURS BURDEN</w:t>
            </w:r>
          </w:p>
        </w:tc>
        <w:tc>
          <w:tcPr>
            <w:tcW w:w="1796" w:type="dxa"/>
            <w:tcBorders>
              <w:top w:val="nil"/>
              <w:left w:val="nil"/>
              <w:bottom w:val="nil"/>
              <w:right w:val="nil"/>
            </w:tcBorders>
            <w:shd w:val="clear" w:color="000000" w:fill="FFFFFF"/>
            <w:noWrap/>
            <w:vAlign w:val="bottom"/>
            <w:hideMark/>
          </w:tcPr>
          <w:p w14:paraId="36D1E360"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14:paraId="2D0CAD7F"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14:paraId="5A68AFE3"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14:paraId="7D306DA1"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576" w:type="dxa"/>
            <w:tcBorders>
              <w:top w:val="nil"/>
              <w:left w:val="nil"/>
              <w:bottom w:val="nil"/>
              <w:right w:val="nil"/>
            </w:tcBorders>
            <w:shd w:val="clear" w:color="000000" w:fill="FFFFFF"/>
            <w:noWrap/>
            <w:vAlign w:val="bottom"/>
            <w:hideMark/>
          </w:tcPr>
          <w:p w14:paraId="45EAB55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627E198D" w14:textId="77777777" w:rsidTr="00A9786F">
        <w:trPr>
          <w:trHeight w:val="255"/>
        </w:trPr>
        <w:tc>
          <w:tcPr>
            <w:tcW w:w="316" w:type="dxa"/>
            <w:tcBorders>
              <w:top w:val="nil"/>
              <w:left w:val="nil"/>
              <w:bottom w:val="nil"/>
              <w:right w:val="nil"/>
            </w:tcBorders>
            <w:shd w:val="clear" w:color="000000" w:fill="FFFFFF"/>
            <w:noWrap/>
            <w:vAlign w:val="bottom"/>
            <w:hideMark/>
          </w:tcPr>
          <w:p w14:paraId="0A55E810"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nil"/>
              <w:bottom w:val="nil"/>
              <w:right w:val="nil"/>
            </w:tcBorders>
            <w:shd w:val="clear" w:color="000000" w:fill="FFFFFF"/>
            <w:noWrap/>
            <w:vAlign w:val="bottom"/>
            <w:hideMark/>
          </w:tcPr>
          <w:p w14:paraId="1CB4623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14:paraId="4F27A40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14:paraId="3ECB88AA"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14:paraId="2146B47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14:paraId="30869A8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14:paraId="36E38164"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576" w:type="dxa"/>
            <w:tcBorders>
              <w:top w:val="nil"/>
              <w:left w:val="nil"/>
              <w:bottom w:val="nil"/>
              <w:right w:val="nil"/>
            </w:tcBorders>
            <w:shd w:val="clear" w:color="000000" w:fill="FFFFFF"/>
            <w:noWrap/>
            <w:vAlign w:val="bottom"/>
            <w:hideMark/>
          </w:tcPr>
          <w:p w14:paraId="50E7AA53"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130FCE7A" w14:textId="77777777" w:rsidTr="00A9786F">
        <w:trPr>
          <w:trHeight w:val="255"/>
        </w:trPr>
        <w:tc>
          <w:tcPr>
            <w:tcW w:w="316" w:type="dxa"/>
            <w:tcBorders>
              <w:top w:val="nil"/>
              <w:left w:val="nil"/>
              <w:bottom w:val="nil"/>
              <w:right w:val="nil"/>
            </w:tcBorders>
            <w:shd w:val="clear" w:color="000000" w:fill="FFFFFF"/>
            <w:noWrap/>
            <w:vAlign w:val="bottom"/>
            <w:hideMark/>
          </w:tcPr>
          <w:p w14:paraId="1AA7298A"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9F15B84"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LDV/LDT Certification IC</w:t>
            </w:r>
          </w:p>
        </w:tc>
        <w:tc>
          <w:tcPr>
            <w:tcW w:w="416" w:type="dxa"/>
            <w:tcBorders>
              <w:top w:val="single" w:sz="4" w:space="0" w:color="auto"/>
              <w:left w:val="nil"/>
              <w:bottom w:val="single" w:sz="4" w:space="0" w:color="auto"/>
              <w:right w:val="single" w:sz="4" w:space="0" w:color="auto"/>
            </w:tcBorders>
            <w:shd w:val="clear" w:color="000000" w:fill="C0C0C0"/>
            <w:noWrap/>
            <w:vAlign w:val="bottom"/>
            <w:hideMark/>
          </w:tcPr>
          <w:p w14:paraId="5B509C43"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14:paraId="3E8790D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14:paraId="71CCE537"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6" w:type="dxa"/>
            <w:tcBorders>
              <w:top w:val="nil"/>
              <w:left w:val="nil"/>
              <w:bottom w:val="nil"/>
              <w:right w:val="nil"/>
            </w:tcBorders>
            <w:shd w:val="clear" w:color="000000" w:fill="FFFFFF"/>
            <w:noWrap/>
            <w:vAlign w:val="bottom"/>
            <w:hideMark/>
          </w:tcPr>
          <w:p w14:paraId="5C82700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245C5259" w14:textId="77777777" w:rsidTr="00A9786F">
        <w:trPr>
          <w:trHeight w:val="735"/>
        </w:trPr>
        <w:tc>
          <w:tcPr>
            <w:tcW w:w="316" w:type="dxa"/>
            <w:tcBorders>
              <w:top w:val="nil"/>
              <w:left w:val="nil"/>
              <w:bottom w:val="nil"/>
              <w:right w:val="nil"/>
            </w:tcBorders>
            <w:shd w:val="clear" w:color="000000" w:fill="FFFFFF"/>
            <w:noWrap/>
            <w:vAlign w:val="bottom"/>
            <w:hideMark/>
          </w:tcPr>
          <w:p w14:paraId="6070D850"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nil"/>
              <w:right w:val="single" w:sz="4" w:space="0" w:color="000000"/>
            </w:tcBorders>
            <w:shd w:val="clear" w:color="000000" w:fill="FFFFFF"/>
            <w:vAlign w:val="bottom"/>
            <w:hideMark/>
          </w:tcPr>
          <w:p w14:paraId="64276587"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Capital one-time IT/Paperwork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14:paraId="566EDE88"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765BF639"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14:paraId="4101DB59"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14:paraId="7F48BBD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6C962073" w14:textId="77777777" w:rsidTr="00A9786F">
        <w:trPr>
          <w:trHeight w:val="615"/>
        </w:trPr>
        <w:tc>
          <w:tcPr>
            <w:tcW w:w="316" w:type="dxa"/>
            <w:tcBorders>
              <w:top w:val="nil"/>
              <w:left w:val="nil"/>
              <w:bottom w:val="nil"/>
              <w:right w:val="nil"/>
            </w:tcBorders>
            <w:shd w:val="clear" w:color="000000" w:fill="FFFFFF"/>
            <w:noWrap/>
            <w:vAlign w:val="bottom"/>
            <w:hideMark/>
          </w:tcPr>
          <w:p w14:paraId="04CFEF63"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81F4E48"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Facilities: Ongoing Capital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14:paraId="240AE52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51066143"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14:paraId="7CCE1B7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14:paraId="0A013D37"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119D03BE" w14:textId="77777777" w:rsidTr="00A9786F">
        <w:trPr>
          <w:trHeight w:val="390"/>
        </w:trPr>
        <w:tc>
          <w:tcPr>
            <w:tcW w:w="316" w:type="dxa"/>
            <w:tcBorders>
              <w:top w:val="nil"/>
              <w:left w:val="nil"/>
              <w:bottom w:val="nil"/>
              <w:right w:val="nil"/>
            </w:tcBorders>
            <w:shd w:val="clear" w:color="000000" w:fill="FFFFFF"/>
            <w:noWrap/>
            <w:vAlign w:val="bottom"/>
            <w:hideMark/>
          </w:tcPr>
          <w:p w14:paraId="5667C1D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nil"/>
              <w:left w:val="single" w:sz="4" w:space="0" w:color="auto"/>
              <w:bottom w:val="single" w:sz="4" w:space="0" w:color="auto"/>
              <w:right w:val="single" w:sz="4" w:space="0" w:color="000000"/>
            </w:tcBorders>
            <w:shd w:val="clear" w:color="000000" w:fill="FFFFFF"/>
            <w:vAlign w:val="bottom"/>
            <w:hideMark/>
          </w:tcPr>
          <w:p w14:paraId="6583CB23"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New Testing </w:t>
            </w:r>
          </w:p>
        </w:tc>
        <w:tc>
          <w:tcPr>
            <w:tcW w:w="416" w:type="dxa"/>
            <w:tcBorders>
              <w:top w:val="nil"/>
              <w:left w:val="nil"/>
              <w:bottom w:val="single" w:sz="4" w:space="0" w:color="auto"/>
              <w:right w:val="single" w:sz="4" w:space="0" w:color="auto"/>
            </w:tcBorders>
            <w:shd w:val="clear" w:color="000000" w:fill="C0C0C0"/>
            <w:noWrap/>
            <w:vAlign w:val="bottom"/>
            <w:hideMark/>
          </w:tcPr>
          <w:p w14:paraId="0C14F7D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1B751C8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400</w:t>
            </w:r>
          </w:p>
        </w:tc>
        <w:tc>
          <w:tcPr>
            <w:tcW w:w="1656" w:type="dxa"/>
            <w:tcBorders>
              <w:top w:val="nil"/>
              <w:left w:val="nil"/>
              <w:bottom w:val="single" w:sz="4" w:space="0" w:color="auto"/>
              <w:right w:val="single" w:sz="4" w:space="0" w:color="auto"/>
            </w:tcBorders>
            <w:shd w:val="clear" w:color="000000" w:fill="FFFFFF"/>
            <w:noWrap/>
            <w:vAlign w:val="bottom"/>
            <w:hideMark/>
          </w:tcPr>
          <w:p w14:paraId="76D3E83D"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8,010</w:t>
            </w:r>
          </w:p>
        </w:tc>
        <w:tc>
          <w:tcPr>
            <w:tcW w:w="576" w:type="dxa"/>
            <w:tcBorders>
              <w:top w:val="nil"/>
              <w:left w:val="nil"/>
              <w:bottom w:val="nil"/>
              <w:right w:val="nil"/>
            </w:tcBorders>
            <w:shd w:val="clear" w:color="000000" w:fill="FFFFFF"/>
            <w:noWrap/>
            <w:vAlign w:val="bottom"/>
            <w:hideMark/>
          </w:tcPr>
          <w:p w14:paraId="3A8168C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15D7F98B" w14:textId="77777777" w:rsidTr="00A9786F">
        <w:trPr>
          <w:trHeight w:val="540"/>
        </w:trPr>
        <w:tc>
          <w:tcPr>
            <w:tcW w:w="316" w:type="dxa"/>
            <w:tcBorders>
              <w:top w:val="nil"/>
              <w:left w:val="nil"/>
              <w:bottom w:val="nil"/>
              <w:right w:val="nil"/>
            </w:tcBorders>
            <w:shd w:val="clear" w:color="000000" w:fill="FFFFFF"/>
            <w:noWrap/>
            <w:vAlign w:val="bottom"/>
            <w:hideMark/>
          </w:tcPr>
          <w:p w14:paraId="4FA55003"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3FB6194"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New Reporting &amp; Recordkeeping </w:t>
            </w:r>
          </w:p>
        </w:tc>
        <w:tc>
          <w:tcPr>
            <w:tcW w:w="416" w:type="dxa"/>
            <w:tcBorders>
              <w:top w:val="nil"/>
              <w:left w:val="nil"/>
              <w:bottom w:val="nil"/>
              <w:right w:val="single" w:sz="4" w:space="0" w:color="auto"/>
            </w:tcBorders>
            <w:shd w:val="clear" w:color="000000" w:fill="C0C0C0"/>
            <w:noWrap/>
            <w:vAlign w:val="bottom"/>
            <w:hideMark/>
          </w:tcPr>
          <w:p w14:paraId="2DDB201E"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4A6BDEF6"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13,195</w:t>
            </w:r>
          </w:p>
        </w:tc>
        <w:tc>
          <w:tcPr>
            <w:tcW w:w="1656" w:type="dxa"/>
            <w:tcBorders>
              <w:top w:val="nil"/>
              <w:left w:val="nil"/>
              <w:bottom w:val="single" w:sz="4" w:space="0" w:color="auto"/>
              <w:right w:val="single" w:sz="4" w:space="0" w:color="auto"/>
            </w:tcBorders>
            <w:shd w:val="clear" w:color="000000" w:fill="FFFFFF"/>
            <w:noWrap/>
            <w:vAlign w:val="bottom"/>
            <w:hideMark/>
          </w:tcPr>
          <w:p w14:paraId="275568D2"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18,224</w:t>
            </w:r>
          </w:p>
        </w:tc>
        <w:tc>
          <w:tcPr>
            <w:tcW w:w="576" w:type="dxa"/>
            <w:tcBorders>
              <w:top w:val="nil"/>
              <w:left w:val="nil"/>
              <w:bottom w:val="nil"/>
              <w:right w:val="nil"/>
            </w:tcBorders>
            <w:shd w:val="clear" w:color="000000" w:fill="FFFFFF"/>
            <w:noWrap/>
            <w:vAlign w:val="bottom"/>
            <w:hideMark/>
          </w:tcPr>
          <w:p w14:paraId="12A317E2"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3276BB1F" w14:textId="77777777" w:rsidTr="00A9786F">
        <w:trPr>
          <w:trHeight w:val="255"/>
        </w:trPr>
        <w:tc>
          <w:tcPr>
            <w:tcW w:w="316" w:type="dxa"/>
            <w:tcBorders>
              <w:top w:val="nil"/>
              <w:left w:val="nil"/>
              <w:bottom w:val="nil"/>
              <w:right w:val="nil"/>
            </w:tcBorders>
            <w:shd w:val="clear" w:color="000000" w:fill="FFFFFF"/>
            <w:noWrap/>
            <w:vAlign w:val="bottom"/>
            <w:hideMark/>
          </w:tcPr>
          <w:p w14:paraId="198D051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single" w:sz="4" w:space="0" w:color="auto"/>
              <w:bottom w:val="single" w:sz="4" w:space="0" w:color="auto"/>
              <w:right w:val="nil"/>
            </w:tcBorders>
            <w:shd w:val="clear" w:color="000000" w:fill="FFFFFF"/>
            <w:noWrap/>
            <w:vAlign w:val="bottom"/>
            <w:hideMark/>
          </w:tcPr>
          <w:p w14:paraId="52082029"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14:paraId="1CC6AD92"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14:paraId="0CFD8A5E"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single" w:sz="4" w:space="0" w:color="auto"/>
              <w:left w:val="nil"/>
              <w:bottom w:val="nil"/>
              <w:right w:val="single" w:sz="4" w:space="0" w:color="auto"/>
            </w:tcBorders>
            <w:shd w:val="clear" w:color="000000" w:fill="C0C0C0"/>
            <w:noWrap/>
            <w:vAlign w:val="bottom"/>
            <w:hideMark/>
          </w:tcPr>
          <w:p w14:paraId="75B1E0D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FFFFFF"/>
            <w:noWrap/>
            <w:vAlign w:val="bottom"/>
            <w:hideMark/>
          </w:tcPr>
          <w:p w14:paraId="440B3D6B"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13,595</w:t>
            </w:r>
          </w:p>
        </w:tc>
        <w:tc>
          <w:tcPr>
            <w:tcW w:w="1656" w:type="dxa"/>
            <w:tcBorders>
              <w:top w:val="nil"/>
              <w:left w:val="nil"/>
              <w:bottom w:val="single" w:sz="4" w:space="0" w:color="auto"/>
              <w:right w:val="single" w:sz="4" w:space="0" w:color="auto"/>
            </w:tcBorders>
            <w:shd w:val="clear" w:color="000000" w:fill="FFFFFF"/>
            <w:noWrap/>
            <w:vAlign w:val="bottom"/>
            <w:hideMark/>
          </w:tcPr>
          <w:p w14:paraId="7E401D64"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26,234</w:t>
            </w:r>
          </w:p>
        </w:tc>
        <w:tc>
          <w:tcPr>
            <w:tcW w:w="576" w:type="dxa"/>
            <w:tcBorders>
              <w:top w:val="nil"/>
              <w:left w:val="nil"/>
              <w:bottom w:val="nil"/>
              <w:right w:val="nil"/>
            </w:tcBorders>
            <w:shd w:val="clear" w:color="000000" w:fill="FFFFFF"/>
            <w:noWrap/>
            <w:vAlign w:val="bottom"/>
            <w:hideMark/>
          </w:tcPr>
          <w:p w14:paraId="7CB4784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23C21C48" w14:textId="77777777" w:rsidTr="00A9786F">
        <w:trPr>
          <w:trHeight w:val="255"/>
        </w:trPr>
        <w:tc>
          <w:tcPr>
            <w:tcW w:w="316" w:type="dxa"/>
            <w:tcBorders>
              <w:top w:val="nil"/>
              <w:left w:val="nil"/>
              <w:bottom w:val="nil"/>
              <w:right w:val="nil"/>
            </w:tcBorders>
            <w:shd w:val="clear" w:color="000000" w:fill="FFFFFF"/>
            <w:noWrap/>
            <w:vAlign w:val="bottom"/>
            <w:hideMark/>
          </w:tcPr>
          <w:p w14:paraId="0FF555D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nil"/>
              <w:bottom w:val="nil"/>
              <w:right w:val="nil"/>
            </w:tcBorders>
            <w:shd w:val="clear" w:color="000000" w:fill="FFFFFF"/>
            <w:noWrap/>
            <w:vAlign w:val="bottom"/>
            <w:hideMark/>
          </w:tcPr>
          <w:p w14:paraId="51EA570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14:paraId="26192CB7"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14:paraId="2ED5306A"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single" w:sz="4" w:space="0" w:color="auto"/>
              <w:left w:val="nil"/>
              <w:bottom w:val="single" w:sz="4" w:space="0" w:color="auto"/>
              <w:right w:val="nil"/>
            </w:tcBorders>
            <w:shd w:val="clear" w:color="000000" w:fill="FFFFFF"/>
            <w:noWrap/>
            <w:vAlign w:val="bottom"/>
            <w:hideMark/>
          </w:tcPr>
          <w:p w14:paraId="43AF145F"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14:paraId="2EAD4D64"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14:paraId="497EB6BE"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 </w:t>
            </w:r>
          </w:p>
        </w:tc>
        <w:tc>
          <w:tcPr>
            <w:tcW w:w="576" w:type="dxa"/>
            <w:tcBorders>
              <w:top w:val="nil"/>
              <w:left w:val="nil"/>
              <w:bottom w:val="nil"/>
              <w:right w:val="nil"/>
            </w:tcBorders>
            <w:shd w:val="clear" w:color="000000" w:fill="FFFFFF"/>
            <w:noWrap/>
            <w:vAlign w:val="bottom"/>
            <w:hideMark/>
          </w:tcPr>
          <w:p w14:paraId="1D35607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0C3DA1B1" w14:textId="77777777" w:rsidTr="00A9786F">
        <w:trPr>
          <w:trHeight w:val="255"/>
        </w:trPr>
        <w:tc>
          <w:tcPr>
            <w:tcW w:w="316" w:type="dxa"/>
            <w:tcBorders>
              <w:top w:val="nil"/>
              <w:left w:val="nil"/>
              <w:bottom w:val="nil"/>
              <w:right w:val="nil"/>
            </w:tcBorders>
            <w:shd w:val="clear" w:color="000000" w:fill="FFFFFF"/>
            <w:noWrap/>
            <w:vAlign w:val="bottom"/>
            <w:hideMark/>
          </w:tcPr>
          <w:p w14:paraId="68C3BD56"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38437B83" w14:textId="77777777" w:rsidR="00A71CFB" w:rsidRPr="0037058C" w:rsidRDefault="00A71CFB" w:rsidP="00A71CFB">
            <w:pPr>
              <w:widowControl/>
              <w:autoSpaceDE/>
              <w:autoSpaceDN/>
              <w:rPr>
                <w:rFonts w:ascii="Arial" w:hAnsi="Arial" w:cs="Arial"/>
                <w:b/>
                <w:bCs/>
                <w:sz w:val="20"/>
                <w:szCs w:val="20"/>
              </w:rPr>
            </w:pPr>
            <w:proofErr w:type="spellStart"/>
            <w:r w:rsidRPr="0037058C">
              <w:rPr>
                <w:rFonts w:ascii="Arial" w:hAnsi="Arial" w:cs="Arial"/>
                <w:b/>
                <w:bCs/>
                <w:sz w:val="20"/>
                <w:szCs w:val="20"/>
              </w:rPr>
              <w:t>IUVP</w:t>
            </w:r>
            <w:proofErr w:type="spellEnd"/>
            <w:r w:rsidRPr="0037058C">
              <w:rPr>
                <w:rFonts w:ascii="Arial" w:hAnsi="Arial" w:cs="Arial"/>
                <w:b/>
                <w:bCs/>
                <w:sz w:val="20"/>
                <w:szCs w:val="20"/>
              </w:rPr>
              <w:t xml:space="preserve"> IC</w:t>
            </w:r>
          </w:p>
        </w:tc>
        <w:tc>
          <w:tcPr>
            <w:tcW w:w="416" w:type="dxa"/>
            <w:tcBorders>
              <w:top w:val="nil"/>
              <w:left w:val="nil"/>
              <w:bottom w:val="single" w:sz="4" w:space="0" w:color="auto"/>
              <w:right w:val="single" w:sz="4" w:space="0" w:color="auto"/>
            </w:tcBorders>
            <w:shd w:val="clear" w:color="000000" w:fill="C0C0C0"/>
            <w:noWrap/>
            <w:vAlign w:val="bottom"/>
            <w:hideMark/>
          </w:tcPr>
          <w:p w14:paraId="0FE62051"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14:paraId="0A728118"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14:paraId="65CF3C00"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xml:space="preserve"> </w:t>
            </w:r>
          </w:p>
        </w:tc>
        <w:tc>
          <w:tcPr>
            <w:tcW w:w="576" w:type="dxa"/>
            <w:tcBorders>
              <w:top w:val="nil"/>
              <w:left w:val="nil"/>
              <w:bottom w:val="nil"/>
              <w:right w:val="nil"/>
            </w:tcBorders>
            <w:shd w:val="clear" w:color="000000" w:fill="FFFFFF"/>
            <w:noWrap/>
            <w:vAlign w:val="bottom"/>
            <w:hideMark/>
          </w:tcPr>
          <w:p w14:paraId="5A3DB460"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59E29D6B" w14:textId="77777777" w:rsidTr="00A9786F">
        <w:trPr>
          <w:trHeight w:val="510"/>
        </w:trPr>
        <w:tc>
          <w:tcPr>
            <w:tcW w:w="316" w:type="dxa"/>
            <w:tcBorders>
              <w:top w:val="nil"/>
              <w:left w:val="nil"/>
              <w:bottom w:val="nil"/>
              <w:right w:val="nil"/>
            </w:tcBorders>
            <w:shd w:val="clear" w:color="000000" w:fill="FFFFFF"/>
            <w:noWrap/>
            <w:vAlign w:val="bottom"/>
            <w:hideMark/>
          </w:tcPr>
          <w:p w14:paraId="3370BC79"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06FB3824"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Startup: one-time IT/Paperwork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14:paraId="6EA569CF"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5AD914E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14:paraId="55038835"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14:paraId="038D2C21"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1E8CAB53" w14:textId="77777777" w:rsidTr="00A9786F">
        <w:trPr>
          <w:trHeight w:val="600"/>
        </w:trPr>
        <w:tc>
          <w:tcPr>
            <w:tcW w:w="316" w:type="dxa"/>
            <w:tcBorders>
              <w:top w:val="nil"/>
              <w:left w:val="nil"/>
              <w:bottom w:val="nil"/>
              <w:right w:val="nil"/>
            </w:tcBorders>
            <w:shd w:val="clear" w:color="000000" w:fill="FFFFFF"/>
            <w:noWrap/>
            <w:vAlign w:val="bottom"/>
            <w:hideMark/>
          </w:tcPr>
          <w:p w14:paraId="65BDEAE2"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41E8D836"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New Facilities: Ongoing Capital, annualized 10 </w:t>
            </w:r>
            <w:proofErr w:type="spellStart"/>
            <w:r w:rsidRPr="0037058C">
              <w:rPr>
                <w:rFonts w:ascii="Arial" w:hAnsi="Arial" w:cs="Arial"/>
                <w:b/>
                <w:bCs/>
                <w:sz w:val="20"/>
                <w:szCs w:val="20"/>
              </w:rPr>
              <w:t>yrs</w:t>
            </w:r>
            <w:proofErr w:type="spellEnd"/>
            <w:r w:rsidRPr="0037058C">
              <w:rPr>
                <w:rFonts w:ascii="Arial" w:hAnsi="Arial" w:cs="Arial"/>
                <w:b/>
                <w:bCs/>
                <w:sz w:val="20"/>
                <w:szCs w:val="20"/>
              </w:rPr>
              <w:t>/7%)</w:t>
            </w:r>
          </w:p>
        </w:tc>
        <w:tc>
          <w:tcPr>
            <w:tcW w:w="416" w:type="dxa"/>
            <w:tcBorders>
              <w:top w:val="nil"/>
              <w:left w:val="nil"/>
              <w:bottom w:val="single" w:sz="4" w:space="0" w:color="auto"/>
              <w:right w:val="single" w:sz="4" w:space="0" w:color="auto"/>
            </w:tcBorders>
            <w:shd w:val="clear" w:color="000000" w:fill="C0C0C0"/>
            <w:noWrap/>
            <w:vAlign w:val="bottom"/>
            <w:hideMark/>
          </w:tcPr>
          <w:p w14:paraId="1CBB6FF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5DC393EC"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14:paraId="330EB73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0</w:t>
            </w:r>
          </w:p>
        </w:tc>
        <w:tc>
          <w:tcPr>
            <w:tcW w:w="576" w:type="dxa"/>
            <w:tcBorders>
              <w:top w:val="nil"/>
              <w:left w:val="nil"/>
              <w:bottom w:val="nil"/>
              <w:right w:val="nil"/>
            </w:tcBorders>
            <w:shd w:val="clear" w:color="000000" w:fill="FFFFFF"/>
            <w:noWrap/>
            <w:vAlign w:val="bottom"/>
            <w:hideMark/>
          </w:tcPr>
          <w:p w14:paraId="5697F486"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5973D2DD" w14:textId="77777777" w:rsidTr="00A9786F">
        <w:trPr>
          <w:trHeight w:val="405"/>
        </w:trPr>
        <w:tc>
          <w:tcPr>
            <w:tcW w:w="316" w:type="dxa"/>
            <w:tcBorders>
              <w:top w:val="nil"/>
              <w:left w:val="nil"/>
              <w:bottom w:val="nil"/>
              <w:right w:val="nil"/>
            </w:tcBorders>
            <w:shd w:val="clear" w:color="000000" w:fill="FFFFFF"/>
            <w:noWrap/>
            <w:vAlign w:val="bottom"/>
            <w:hideMark/>
          </w:tcPr>
          <w:p w14:paraId="15953F2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9A5B21D"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Testing (Labor &amp; O&amp;M)</w:t>
            </w:r>
          </w:p>
        </w:tc>
        <w:tc>
          <w:tcPr>
            <w:tcW w:w="416" w:type="dxa"/>
            <w:tcBorders>
              <w:top w:val="nil"/>
              <w:left w:val="nil"/>
              <w:bottom w:val="single" w:sz="4" w:space="0" w:color="auto"/>
              <w:right w:val="single" w:sz="4" w:space="0" w:color="auto"/>
            </w:tcBorders>
            <w:shd w:val="clear" w:color="000000" w:fill="C0C0C0"/>
            <w:noWrap/>
            <w:vAlign w:val="bottom"/>
            <w:hideMark/>
          </w:tcPr>
          <w:p w14:paraId="04AEB351"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3D21E76B"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32,040</w:t>
            </w:r>
          </w:p>
        </w:tc>
        <w:tc>
          <w:tcPr>
            <w:tcW w:w="1656" w:type="dxa"/>
            <w:tcBorders>
              <w:top w:val="nil"/>
              <w:left w:val="nil"/>
              <w:bottom w:val="single" w:sz="4" w:space="0" w:color="auto"/>
              <w:right w:val="single" w:sz="4" w:space="0" w:color="auto"/>
            </w:tcBorders>
            <w:shd w:val="clear" w:color="000000" w:fill="FFFFFF"/>
            <w:noWrap/>
            <w:vAlign w:val="bottom"/>
            <w:hideMark/>
          </w:tcPr>
          <w:p w14:paraId="58B7C82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44,055</w:t>
            </w:r>
          </w:p>
        </w:tc>
        <w:tc>
          <w:tcPr>
            <w:tcW w:w="576" w:type="dxa"/>
            <w:tcBorders>
              <w:top w:val="nil"/>
              <w:left w:val="nil"/>
              <w:bottom w:val="nil"/>
              <w:right w:val="nil"/>
            </w:tcBorders>
            <w:shd w:val="clear" w:color="000000" w:fill="FFFFFF"/>
            <w:noWrap/>
            <w:vAlign w:val="bottom"/>
            <w:hideMark/>
          </w:tcPr>
          <w:p w14:paraId="1D86DA5D"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69CAC6DD" w14:textId="77777777" w:rsidTr="00A9786F">
        <w:trPr>
          <w:trHeight w:val="540"/>
        </w:trPr>
        <w:tc>
          <w:tcPr>
            <w:tcW w:w="316" w:type="dxa"/>
            <w:tcBorders>
              <w:top w:val="nil"/>
              <w:left w:val="nil"/>
              <w:bottom w:val="nil"/>
              <w:right w:val="nil"/>
            </w:tcBorders>
            <w:shd w:val="clear" w:color="000000" w:fill="FFFFFF"/>
            <w:noWrap/>
            <w:vAlign w:val="bottom"/>
            <w:hideMark/>
          </w:tcPr>
          <w:p w14:paraId="4B6D4126"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96938F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New Reporting &amp; Recordkeeping</w:t>
            </w:r>
          </w:p>
        </w:tc>
        <w:tc>
          <w:tcPr>
            <w:tcW w:w="416" w:type="dxa"/>
            <w:tcBorders>
              <w:top w:val="nil"/>
              <w:left w:val="nil"/>
              <w:bottom w:val="single" w:sz="4" w:space="0" w:color="auto"/>
              <w:right w:val="single" w:sz="4" w:space="0" w:color="auto"/>
            </w:tcBorders>
            <w:shd w:val="clear" w:color="000000" w:fill="C0C0C0"/>
            <w:noWrap/>
            <w:vAlign w:val="bottom"/>
            <w:hideMark/>
          </w:tcPr>
          <w:p w14:paraId="14BBB76C"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00787398"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3,178</w:t>
            </w:r>
          </w:p>
        </w:tc>
        <w:tc>
          <w:tcPr>
            <w:tcW w:w="1656" w:type="dxa"/>
            <w:tcBorders>
              <w:top w:val="nil"/>
              <w:left w:val="nil"/>
              <w:bottom w:val="single" w:sz="4" w:space="0" w:color="auto"/>
              <w:right w:val="single" w:sz="4" w:space="0" w:color="auto"/>
            </w:tcBorders>
            <w:shd w:val="clear" w:color="000000" w:fill="FFFFFF"/>
            <w:noWrap/>
            <w:vAlign w:val="bottom"/>
            <w:hideMark/>
          </w:tcPr>
          <w:p w14:paraId="27F73B07"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3,278</w:t>
            </w:r>
          </w:p>
        </w:tc>
        <w:tc>
          <w:tcPr>
            <w:tcW w:w="576" w:type="dxa"/>
            <w:tcBorders>
              <w:top w:val="nil"/>
              <w:left w:val="nil"/>
              <w:bottom w:val="nil"/>
              <w:right w:val="nil"/>
            </w:tcBorders>
            <w:shd w:val="clear" w:color="000000" w:fill="FFFFFF"/>
            <w:noWrap/>
            <w:vAlign w:val="bottom"/>
            <w:hideMark/>
          </w:tcPr>
          <w:p w14:paraId="52A046D9"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30D58AEB" w14:textId="77777777" w:rsidTr="00A9786F">
        <w:trPr>
          <w:trHeight w:val="255"/>
        </w:trPr>
        <w:tc>
          <w:tcPr>
            <w:tcW w:w="316" w:type="dxa"/>
            <w:tcBorders>
              <w:top w:val="nil"/>
              <w:left w:val="nil"/>
              <w:bottom w:val="nil"/>
              <w:right w:val="nil"/>
            </w:tcBorders>
            <w:shd w:val="clear" w:color="000000" w:fill="FFFFFF"/>
            <w:noWrap/>
            <w:vAlign w:val="bottom"/>
            <w:hideMark/>
          </w:tcPr>
          <w:p w14:paraId="233BEE25"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single" w:sz="4" w:space="0" w:color="auto"/>
              <w:bottom w:val="single" w:sz="4" w:space="0" w:color="auto"/>
              <w:right w:val="nil"/>
            </w:tcBorders>
            <w:shd w:val="clear" w:color="000000" w:fill="FFFFFF"/>
            <w:noWrap/>
            <w:vAlign w:val="bottom"/>
            <w:hideMark/>
          </w:tcPr>
          <w:p w14:paraId="4D2BBD7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14:paraId="22101E4D"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14:paraId="5F673FEB"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w:t>
            </w:r>
          </w:p>
        </w:tc>
        <w:tc>
          <w:tcPr>
            <w:tcW w:w="416" w:type="dxa"/>
            <w:tcBorders>
              <w:top w:val="nil"/>
              <w:left w:val="nil"/>
              <w:bottom w:val="single" w:sz="4" w:space="0" w:color="auto"/>
              <w:right w:val="single" w:sz="4" w:space="0" w:color="auto"/>
            </w:tcBorders>
            <w:shd w:val="clear" w:color="000000" w:fill="C0C0C0"/>
            <w:noWrap/>
            <w:vAlign w:val="bottom"/>
            <w:hideMark/>
          </w:tcPr>
          <w:p w14:paraId="170C134F"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454D779E"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35,218</w:t>
            </w:r>
          </w:p>
        </w:tc>
        <w:tc>
          <w:tcPr>
            <w:tcW w:w="1656" w:type="dxa"/>
            <w:tcBorders>
              <w:top w:val="nil"/>
              <w:left w:val="nil"/>
              <w:bottom w:val="single" w:sz="4" w:space="0" w:color="auto"/>
              <w:right w:val="single" w:sz="4" w:space="0" w:color="auto"/>
            </w:tcBorders>
            <w:shd w:val="clear" w:color="000000" w:fill="FFFFFF"/>
            <w:noWrap/>
            <w:vAlign w:val="bottom"/>
            <w:hideMark/>
          </w:tcPr>
          <w:p w14:paraId="47F2D1E6"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47,333</w:t>
            </w:r>
          </w:p>
        </w:tc>
        <w:tc>
          <w:tcPr>
            <w:tcW w:w="576" w:type="dxa"/>
            <w:tcBorders>
              <w:top w:val="nil"/>
              <w:left w:val="nil"/>
              <w:bottom w:val="nil"/>
              <w:right w:val="nil"/>
            </w:tcBorders>
            <w:shd w:val="clear" w:color="000000" w:fill="FFFFFF"/>
            <w:noWrap/>
            <w:vAlign w:val="bottom"/>
            <w:hideMark/>
          </w:tcPr>
          <w:p w14:paraId="496B34CD"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6E7190AD" w14:textId="77777777" w:rsidTr="00A9786F">
        <w:trPr>
          <w:trHeight w:val="255"/>
        </w:trPr>
        <w:tc>
          <w:tcPr>
            <w:tcW w:w="316" w:type="dxa"/>
            <w:tcBorders>
              <w:top w:val="nil"/>
              <w:left w:val="nil"/>
              <w:bottom w:val="nil"/>
              <w:right w:val="nil"/>
            </w:tcBorders>
            <w:shd w:val="clear" w:color="000000" w:fill="FFFFFF"/>
            <w:noWrap/>
            <w:vAlign w:val="bottom"/>
            <w:hideMark/>
          </w:tcPr>
          <w:p w14:paraId="0B3F292C"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681" w:type="dxa"/>
            <w:tcBorders>
              <w:top w:val="nil"/>
              <w:left w:val="nil"/>
              <w:bottom w:val="nil"/>
              <w:right w:val="nil"/>
            </w:tcBorders>
            <w:shd w:val="clear" w:color="000000" w:fill="FFFFFF"/>
            <w:noWrap/>
            <w:vAlign w:val="bottom"/>
            <w:hideMark/>
          </w:tcPr>
          <w:p w14:paraId="111B419F"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14:paraId="5DB132EC"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14:paraId="71FB707B"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14:paraId="56171C56"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14:paraId="4FA7009C"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14:paraId="54CF33B1"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576" w:type="dxa"/>
            <w:tcBorders>
              <w:top w:val="nil"/>
              <w:left w:val="nil"/>
              <w:bottom w:val="nil"/>
              <w:right w:val="nil"/>
            </w:tcBorders>
            <w:shd w:val="clear" w:color="000000" w:fill="FFFFFF"/>
            <w:noWrap/>
            <w:vAlign w:val="bottom"/>
            <w:hideMark/>
          </w:tcPr>
          <w:p w14:paraId="2BFEF108"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r w:rsidR="00A71CFB" w:rsidRPr="0037058C" w14:paraId="3C314249" w14:textId="77777777" w:rsidTr="00A9786F">
        <w:trPr>
          <w:trHeight w:val="255"/>
        </w:trPr>
        <w:tc>
          <w:tcPr>
            <w:tcW w:w="316" w:type="dxa"/>
            <w:tcBorders>
              <w:top w:val="nil"/>
              <w:left w:val="nil"/>
              <w:bottom w:val="nil"/>
              <w:right w:val="nil"/>
            </w:tcBorders>
            <w:shd w:val="clear" w:color="000000" w:fill="FFFFFF"/>
            <w:noWrap/>
            <w:vAlign w:val="bottom"/>
            <w:hideMark/>
          </w:tcPr>
          <w:p w14:paraId="15C835B6"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c>
          <w:tcPr>
            <w:tcW w:w="3749" w:type="dxa"/>
            <w:gridSpan w:val="3"/>
            <w:tcBorders>
              <w:top w:val="nil"/>
              <w:left w:val="nil"/>
              <w:bottom w:val="nil"/>
              <w:right w:val="nil"/>
            </w:tcBorders>
            <w:shd w:val="clear" w:color="000000" w:fill="FFFFFF"/>
            <w:noWrap/>
            <w:vAlign w:val="bottom"/>
            <w:hideMark/>
          </w:tcPr>
          <w:p w14:paraId="3CC13A25" w14:textId="77777777" w:rsidR="00A71CFB" w:rsidRPr="0037058C" w:rsidRDefault="00A71CFB" w:rsidP="00A71CFB">
            <w:pPr>
              <w:widowControl/>
              <w:autoSpaceDE/>
              <w:autoSpaceDN/>
              <w:rPr>
                <w:rFonts w:ascii="Arial" w:hAnsi="Arial" w:cs="Arial"/>
                <w:b/>
                <w:bCs/>
                <w:sz w:val="20"/>
                <w:szCs w:val="20"/>
              </w:rPr>
            </w:pPr>
            <w:r w:rsidRPr="0037058C">
              <w:rPr>
                <w:rFonts w:ascii="Arial" w:hAnsi="Arial" w:cs="Arial"/>
                <w:b/>
                <w:bCs/>
                <w:sz w:val="20"/>
                <w:szCs w:val="20"/>
              </w:rPr>
              <w:t xml:space="preserve">TOTAL LDV &amp; </w:t>
            </w:r>
            <w:proofErr w:type="spellStart"/>
            <w:r w:rsidRPr="0037058C">
              <w:rPr>
                <w:rFonts w:ascii="Arial" w:hAnsi="Arial" w:cs="Arial"/>
                <w:b/>
                <w:bCs/>
                <w:sz w:val="20"/>
                <w:szCs w:val="20"/>
              </w:rPr>
              <w:t>IUVP</w:t>
            </w:r>
            <w:proofErr w:type="spellEnd"/>
          </w:p>
        </w:tc>
        <w:tc>
          <w:tcPr>
            <w:tcW w:w="416" w:type="dxa"/>
            <w:tcBorders>
              <w:top w:val="nil"/>
              <w:left w:val="nil"/>
              <w:bottom w:val="nil"/>
              <w:right w:val="nil"/>
            </w:tcBorders>
            <w:shd w:val="clear" w:color="000000" w:fill="FFFFFF"/>
            <w:noWrap/>
            <w:vAlign w:val="bottom"/>
            <w:hideMark/>
          </w:tcPr>
          <w:p w14:paraId="5BE06BAA" w14:textId="77777777" w:rsidR="00A71CFB" w:rsidRPr="0037058C" w:rsidRDefault="00A71CFB" w:rsidP="00A71CFB">
            <w:pPr>
              <w:widowControl/>
              <w:autoSpaceDE/>
              <w:autoSpaceDN/>
              <w:jc w:val="center"/>
              <w:rPr>
                <w:rFonts w:ascii="Arial" w:hAnsi="Arial" w:cs="Arial"/>
                <w:sz w:val="20"/>
                <w:szCs w:val="20"/>
              </w:rPr>
            </w:pPr>
            <w:r w:rsidRPr="0037058C">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14:paraId="4B8F4AE0"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48,813</w:t>
            </w:r>
          </w:p>
        </w:tc>
        <w:tc>
          <w:tcPr>
            <w:tcW w:w="1656" w:type="dxa"/>
            <w:tcBorders>
              <w:top w:val="nil"/>
              <w:left w:val="nil"/>
              <w:bottom w:val="nil"/>
              <w:right w:val="nil"/>
            </w:tcBorders>
            <w:shd w:val="clear" w:color="000000" w:fill="FFFFFF"/>
            <w:noWrap/>
            <w:vAlign w:val="bottom"/>
            <w:hideMark/>
          </w:tcPr>
          <w:p w14:paraId="53383F5A" w14:textId="77777777" w:rsidR="00A71CFB" w:rsidRPr="0037058C" w:rsidRDefault="00A71CFB" w:rsidP="00A71CFB">
            <w:pPr>
              <w:widowControl/>
              <w:autoSpaceDE/>
              <w:autoSpaceDN/>
              <w:jc w:val="center"/>
              <w:rPr>
                <w:rFonts w:ascii="Arial" w:hAnsi="Arial" w:cs="Arial"/>
                <w:b/>
                <w:bCs/>
                <w:sz w:val="20"/>
                <w:szCs w:val="20"/>
              </w:rPr>
            </w:pPr>
            <w:r w:rsidRPr="0037058C">
              <w:rPr>
                <w:rFonts w:ascii="Arial" w:hAnsi="Arial" w:cs="Arial"/>
                <w:b/>
                <w:bCs/>
                <w:sz w:val="20"/>
                <w:szCs w:val="20"/>
              </w:rPr>
              <w:t>73,567</w:t>
            </w:r>
          </w:p>
        </w:tc>
        <w:tc>
          <w:tcPr>
            <w:tcW w:w="576" w:type="dxa"/>
            <w:tcBorders>
              <w:top w:val="nil"/>
              <w:left w:val="nil"/>
              <w:bottom w:val="nil"/>
              <w:right w:val="nil"/>
            </w:tcBorders>
            <w:shd w:val="clear" w:color="000000" w:fill="FFFFFF"/>
            <w:noWrap/>
            <w:vAlign w:val="bottom"/>
            <w:hideMark/>
          </w:tcPr>
          <w:p w14:paraId="2FE34094" w14:textId="77777777" w:rsidR="00A71CFB" w:rsidRPr="0037058C" w:rsidRDefault="00A71CFB" w:rsidP="00A71CFB">
            <w:pPr>
              <w:widowControl/>
              <w:autoSpaceDE/>
              <w:autoSpaceDN/>
              <w:rPr>
                <w:rFonts w:ascii="Arial" w:hAnsi="Arial" w:cs="Arial"/>
                <w:sz w:val="20"/>
                <w:szCs w:val="20"/>
              </w:rPr>
            </w:pPr>
            <w:r w:rsidRPr="0037058C">
              <w:rPr>
                <w:rFonts w:ascii="Arial" w:hAnsi="Arial" w:cs="Arial"/>
                <w:sz w:val="20"/>
                <w:szCs w:val="20"/>
              </w:rPr>
              <w:t> </w:t>
            </w:r>
          </w:p>
        </w:tc>
      </w:tr>
    </w:tbl>
    <w:p w14:paraId="48C8C02A" w14:textId="77777777" w:rsidR="00A71CFB" w:rsidRPr="0037058C" w:rsidRDefault="00A71CFB" w:rsidP="004C72D6">
      <w:pPr>
        <w:tabs>
          <w:tab w:val="right" w:pos="4680"/>
        </w:tabs>
      </w:pPr>
    </w:p>
    <w:p w14:paraId="5880D656" w14:textId="77777777" w:rsidR="00A71CFB" w:rsidRPr="0037058C" w:rsidRDefault="00A71CFB" w:rsidP="004C72D6">
      <w:pPr>
        <w:tabs>
          <w:tab w:val="right" w:pos="4680"/>
        </w:tabs>
      </w:pPr>
    </w:p>
    <w:p w14:paraId="61AB7B3B" w14:textId="77777777" w:rsidR="004C72D6" w:rsidRPr="0037058C" w:rsidRDefault="004C72D6" w:rsidP="004C72D6">
      <w:pPr>
        <w:tabs>
          <w:tab w:val="right" w:pos="4680"/>
        </w:tabs>
        <w:rPr>
          <w:u w:val="single"/>
        </w:rPr>
      </w:pPr>
      <w:r w:rsidRPr="0037058C">
        <w:t xml:space="preserve">(ii)  </w:t>
      </w:r>
      <w:r w:rsidRPr="0037058C">
        <w:rPr>
          <w:u w:val="single"/>
        </w:rPr>
        <w:t>Agency Tally</w:t>
      </w:r>
    </w:p>
    <w:p w14:paraId="0AA3660C" w14:textId="77777777" w:rsidR="004C72D6" w:rsidRPr="0037058C" w:rsidRDefault="004C72D6" w:rsidP="004C72D6">
      <w:pPr>
        <w:tabs>
          <w:tab w:val="right" w:pos="4680"/>
        </w:tabs>
        <w:rPr>
          <w:u w:val="single"/>
        </w:rPr>
      </w:pPr>
    </w:p>
    <w:p w14:paraId="398E8525" w14:textId="77777777" w:rsidR="004C72D6" w:rsidRPr="0037058C" w:rsidRDefault="004C72D6" w:rsidP="004C72D6">
      <w:pPr>
        <w:tabs>
          <w:tab w:val="right" w:pos="4680"/>
        </w:tabs>
      </w:pPr>
      <w:r w:rsidRPr="0037058C">
        <w:t>EMPLOYEES</w:t>
      </w:r>
      <w:r w:rsidRPr="0037058C">
        <w:tab/>
        <w:t>26</w:t>
      </w:r>
    </w:p>
    <w:p w14:paraId="2B96AB6B" w14:textId="77777777" w:rsidR="004C72D6" w:rsidRPr="0037058C" w:rsidRDefault="004C72D6" w:rsidP="004C72D6">
      <w:pPr>
        <w:tabs>
          <w:tab w:val="right" w:pos="4680"/>
        </w:tabs>
      </w:pPr>
      <w:r w:rsidRPr="0037058C">
        <w:t>STARTUP</w:t>
      </w:r>
      <w:r w:rsidRPr="0037058C">
        <w:tab/>
        <w:t>$</w:t>
      </w:r>
      <w:r w:rsidR="00C16E50" w:rsidRPr="0037058C">
        <w:t>349,837</w:t>
      </w:r>
    </w:p>
    <w:p w14:paraId="4E3AEC94" w14:textId="77777777" w:rsidR="004C72D6" w:rsidRPr="0037058C" w:rsidRDefault="004C72D6" w:rsidP="004C72D6">
      <w:pPr>
        <w:tabs>
          <w:tab w:val="right" w:pos="4680"/>
        </w:tabs>
      </w:pPr>
      <w:r w:rsidRPr="0037058C">
        <w:t>LABOR HOURS</w:t>
      </w:r>
      <w:r w:rsidRPr="0037058C">
        <w:tab/>
      </w:r>
      <w:r w:rsidR="00C16E50" w:rsidRPr="0037058C">
        <w:t>2,094</w:t>
      </w:r>
    </w:p>
    <w:p w14:paraId="4592D942" w14:textId="77777777" w:rsidR="004C72D6" w:rsidRPr="0037058C" w:rsidRDefault="004C72D6" w:rsidP="004C72D6">
      <w:pPr>
        <w:tabs>
          <w:tab w:val="right" w:pos="4680"/>
        </w:tabs>
      </w:pPr>
    </w:p>
    <w:p w14:paraId="2DA59D9B" w14:textId="77777777" w:rsidR="004C72D6" w:rsidRPr="0037058C" w:rsidRDefault="004C72D6" w:rsidP="004C72D6">
      <w:pPr>
        <w:tabs>
          <w:tab w:val="right" w:pos="4680"/>
        </w:tabs>
      </w:pPr>
      <w:r w:rsidRPr="0037058C">
        <w:t xml:space="preserve">6(f) </w:t>
      </w:r>
      <w:r w:rsidRPr="0037058C">
        <w:rPr>
          <w:u w:val="single"/>
        </w:rPr>
        <w:t>Reasons for change in burden</w:t>
      </w:r>
    </w:p>
    <w:p w14:paraId="459C1AFA" w14:textId="77777777" w:rsidR="004C72D6" w:rsidRPr="0037058C" w:rsidRDefault="004C72D6" w:rsidP="004C72D6">
      <w:pPr>
        <w:pStyle w:val="Style6"/>
        <w:jc w:val="left"/>
        <w:rPr>
          <w:spacing w:val="6"/>
        </w:rPr>
      </w:pPr>
    </w:p>
    <w:p w14:paraId="10C3B03B" w14:textId="77777777" w:rsidR="004C72D6" w:rsidRPr="0037058C" w:rsidRDefault="004C72D6" w:rsidP="004C72D6">
      <w:pPr>
        <w:pStyle w:val="Style6"/>
        <w:jc w:val="left"/>
        <w:rPr>
          <w:spacing w:val="6"/>
        </w:rPr>
      </w:pPr>
      <w:r w:rsidRPr="0037058C">
        <w:rPr>
          <w:spacing w:val="6"/>
        </w:rPr>
        <w:lastRenderedPageBreak/>
        <w:tab/>
        <w:t xml:space="preserve">The burden change is from new capital and operations and maintenance costs and labor hours associated with implementing the new programs detailed in this </w:t>
      </w:r>
      <w:r w:rsidR="00FD5308" w:rsidRPr="0037058C">
        <w:rPr>
          <w:spacing w:val="6"/>
        </w:rPr>
        <w:t>draft</w:t>
      </w:r>
      <w:r w:rsidRPr="0037058C">
        <w:rPr>
          <w:spacing w:val="6"/>
        </w:rPr>
        <w:t xml:space="preserve"> ICR</w:t>
      </w:r>
      <w:r w:rsidR="002F74C3" w:rsidRPr="0037058C">
        <w:rPr>
          <w:spacing w:val="6"/>
        </w:rPr>
        <w:t>.</w:t>
      </w:r>
      <w:r w:rsidRPr="0037058C">
        <w:rPr>
          <w:spacing w:val="6"/>
        </w:rPr>
        <w:t xml:space="preserve"> The increase in burden is due largely to </w:t>
      </w:r>
      <w:r w:rsidR="00BE03DB" w:rsidRPr="0037058C">
        <w:rPr>
          <w:spacing w:val="6"/>
        </w:rPr>
        <w:t xml:space="preserve">new testing, </w:t>
      </w:r>
      <w:r w:rsidRPr="0037058C">
        <w:rPr>
          <w:spacing w:val="6"/>
        </w:rPr>
        <w:t>an increase in the estimated (high estimate) cost of information system upgrades for industry</w:t>
      </w:r>
      <w:r w:rsidR="00BE03DB" w:rsidRPr="0037058C">
        <w:rPr>
          <w:spacing w:val="6"/>
        </w:rPr>
        <w:t>, and familiarization</w:t>
      </w:r>
      <w:r w:rsidRPr="0037058C">
        <w:rPr>
          <w:spacing w:val="6"/>
        </w:rPr>
        <w:t>. There is also a s</w:t>
      </w:r>
      <w:r w:rsidR="00BE03DB" w:rsidRPr="0037058C">
        <w:rPr>
          <w:spacing w:val="6"/>
        </w:rPr>
        <w:t xml:space="preserve">light increase in the reporting </w:t>
      </w:r>
      <w:r w:rsidR="00881346">
        <w:rPr>
          <w:spacing w:val="6"/>
        </w:rPr>
        <w:t>b</w:t>
      </w:r>
      <w:r w:rsidRPr="0037058C">
        <w:rPr>
          <w:spacing w:val="6"/>
        </w:rPr>
        <w:t xml:space="preserve">urden associated with the </w:t>
      </w:r>
      <w:r w:rsidR="00BE03DB" w:rsidRPr="0037058C">
        <w:rPr>
          <w:spacing w:val="6"/>
        </w:rPr>
        <w:t>new rule.</w:t>
      </w:r>
    </w:p>
    <w:p w14:paraId="3E4C7EE2" w14:textId="77777777" w:rsidR="004C72D6" w:rsidRPr="0037058C" w:rsidRDefault="004C72D6" w:rsidP="004C72D6">
      <w:pPr>
        <w:pStyle w:val="Style5"/>
        <w:adjustRightInd/>
        <w:rPr>
          <w:spacing w:val="6"/>
        </w:rPr>
      </w:pPr>
    </w:p>
    <w:p w14:paraId="17AC6777" w14:textId="77777777" w:rsidR="004C72D6" w:rsidRPr="0037058C" w:rsidRDefault="004C72D6" w:rsidP="004C72D6">
      <w:pPr>
        <w:pStyle w:val="Style5"/>
        <w:adjustRightInd/>
        <w:rPr>
          <w:spacing w:val="6"/>
        </w:rPr>
      </w:pPr>
      <w:r w:rsidRPr="0037058C">
        <w:rPr>
          <w:spacing w:val="6"/>
        </w:rPr>
        <w:t xml:space="preserve">6(g) </w:t>
      </w:r>
      <w:r w:rsidRPr="0037058C">
        <w:rPr>
          <w:spacing w:val="6"/>
          <w:u w:val="single"/>
        </w:rPr>
        <w:t>Burden Statement</w:t>
      </w:r>
    </w:p>
    <w:p w14:paraId="4C09FF05" w14:textId="77777777" w:rsidR="004C72D6" w:rsidRPr="0037058C" w:rsidRDefault="004C72D6" w:rsidP="004C72D6">
      <w:pPr>
        <w:pStyle w:val="Style5"/>
        <w:adjustRightInd/>
        <w:rPr>
          <w:spacing w:val="6"/>
        </w:rPr>
      </w:pPr>
    </w:p>
    <w:p w14:paraId="368944E6" w14:textId="0EE02B75" w:rsidR="004C72D6" w:rsidRPr="0037058C" w:rsidRDefault="004C72D6" w:rsidP="004C72D6">
      <w:pPr>
        <w:pStyle w:val="Style6"/>
        <w:jc w:val="left"/>
        <w:rPr>
          <w:spacing w:val="6"/>
        </w:rPr>
      </w:pPr>
      <w:r w:rsidRPr="0037058C">
        <w:tab/>
        <w:t xml:space="preserve">The table in Section 6(e) presents the total estimated burden for the </w:t>
      </w:r>
      <w:r w:rsidR="00245DDF" w:rsidRPr="0037058C">
        <w:t>final</w:t>
      </w:r>
      <w:r w:rsidR="00CA172C" w:rsidRPr="0037058C">
        <w:t xml:space="preserve"> rule</w:t>
      </w:r>
      <w:r w:rsidRPr="0037058C">
        <w:t>: approximately</w:t>
      </w:r>
      <w:r w:rsidR="00BE03DB" w:rsidRPr="0037058C">
        <w:t xml:space="preserve"> 73,567</w:t>
      </w:r>
      <w:r w:rsidR="00CA172C" w:rsidRPr="0037058C">
        <w:t xml:space="preserve"> </w:t>
      </w:r>
      <w:r w:rsidR="00395E16" w:rsidRPr="0037058C">
        <w:t>additional</w:t>
      </w:r>
      <w:r w:rsidRPr="0037058C">
        <w:t xml:space="preserve"> hours per year, with total annual capitalized and O&amp;M costs estimated at </w:t>
      </w:r>
      <w:r w:rsidR="009450BD" w:rsidRPr="0037058C">
        <w:rPr>
          <w:bCs/>
        </w:rPr>
        <w:t>$</w:t>
      </w:r>
      <w:r w:rsidR="00BE03DB" w:rsidRPr="0037058C">
        <w:rPr>
          <w:bCs/>
        </w:rPr>
        <w:t>7,690,934</w:t>
      </w:r>
      <w:r w:rsidRPr="0037058C">
        <w:t xml:space="preserve">.  These estimates represent the high end of a high-low range that was used for many of the cost elements. </w:t>
      </w:r>
      <w:r w:rsidR="006673E1">
        <w:t xml:space="preserve"> </w:t>
      </w:r>
      <w:r w:rsidRPr="0037058C">
        <w:rPr>
          <w:spacing w:val="6"/>
        </w:rPr>
        <w:t>The annual costs and hours for information collection activities by a given manufacturer under any of the options in this rule depend upon manufacturer-specific variables, such as the number of different test groups</w:t>
      </w:r>
      <w:r w:rsidR="00BE03DB" w:rsidRPr="0037058C">
        <w:rPr>
          <w:spacing w:val="6"/>
        </w:rPr>
        <w:t xml:space="preserve">, durability groups, or </w:t>
      </w:r>
      <w:proofErr w:type="spellStart"/>
      <w:r w:rsidR="00BE03DB" w:rsidRPr="0037058C">
        <w:rPr>
          <w:spacing w:val="6"/>
        </w:rPr>
        <w:t>IUVP</w:t>
      </w:r>
      <w:proofErr w:type="spellEnd"/>
      <w:r w:rsidR="00BE03DB" w:rsidRPr="0037058C">
        <w:rPr>
          <w:spacing w:val="6"/>
        </w:rPr>
        <w:t xml:space="preserve"> vehicles</w:t>
      </w:r>
      <w:r w:rsidRPr="0037058C">
        <w:rPr>
          <w:spacing w:val="6"/>
        </w:rPr>
        <w:t xml:space="preserve">, the number of vehicles tested, </w:t>
      </w:r>
      <w:r w:rsidR="0067709A" w:rsidRPr="0037058C">
        <w:rPr>
          <w:spacing w:val="6"/>
        </w:rPr>
        <w:t xml:space="preserve">the credit </w:t>
      </w:r>
      <w:r w:rsidR="00FD5308" w:rsidRPr="0037058C">
        <w:rPr>
          <w:spacing w:val="6"/>
        </w:rPr>
        <w:t xml:space="preserve">and other </w:t>
      </w:r>
      <w:r w:rsidR="0067709A" w:rsidRPr="0037058C">
        <w:rPr>
          <w:spacing w:val="6"/>
        </w:rPr>
        <w:t>options chosen if any,</w:t>
      </w:r>
      <w:r w:rsidRPr="0037058C">
        <w:rPr>
          <w:spacing w:val="6"/>
        </w:rPr>
        <w:t xml:space="preserve"> and the cost of information system upgrades.  The estimated number of likely respondent manufacturers is </w:t>
      </w:r>
      <w:r w:rsidR="00BE03DB" w:rsidRPr="0037058C">
        <w:rPr>
          <w:spacing w:val="6"/>
        </w:rPr>
        <w:t xml:space="preserve">25 (but there is a minor item for </w:t>
      </w:r>
      <w:r w:rsidR="00700EA9">
        <w:rPr>
          <w:spacing w:val="6"/>
        </w:rPr>
        <w:t xml:space="preserve">an additional </w:t>
      </w:r>
      <w:r w:rsidR="00BE03DB" w:rsidRPr="0037058C">
        <w:rPr>
          <w:spacing w:val="6"/>
        </w:rPr>
        <w:t xml:space="preserve">30 small businesses). </w:t>
      </w:r>
      <w:r w:rsidRPr="0037058C">
        <w:rPr>
          <w:spacing w:val="6"/>
        </w:rPr>
        <w:t xml:space="preserve"> The responses will be submitted annually and occasionally as a part of the existing EPA certification and </w:t>
      </w:r>
      <w:proofErr w:type="spellStart"/>
      <w:r w:rsidRPr="0037058C">
        <w:rPr>
          <w:spacing w:val="6"/>
        </w:rPr>
        <w:t>IUVP</w:t>
      </w:r>
      <w:proofErr w:type="spellEnd"/>
      <w:r w:rsidRPr="0037058C">
        <w:rPr>
          <w:spacing w:val="6"/>
        </w:rPr>
        <w:t xml:space="preserve"> programs.  </w:t>
      </w:r>
    </w:p>
    <w:p w14:paraId="4B24FC7A" w14:textId="77777777" w:rsidR="004C72D6" w:rsidRPr="0037058C" w:rsidRDefault="004C72D6" w:rsidP="004C72D6">
      <w:pPr>
        <w:pStyle w:val="Style6"/>
        <w:jc w:val="left"/>
        <w:rPr>
          <w:spacing w:val="6"/>
        </w:rPr>
      </w:pPr>
    </w:p>
    <w:p w14:paraId="64F6B4C0" w14:textId="77777777" w:rsidR="004C72D6" w:rsidRPr="0037058C" w:rsidRDefault="004C72D6" w:rsidP="00611C02">
      <w:pPr>
        <w:pStyle w:val="Style6"/>
        <w:jc w:val="left"/>
        <w:rPr>
          <w:spacing w:val="6"/>
        </w:rPr>
      </w:pPr>
      <w:r w:rsidRPr="0037058C">
        <w:rPr>
          <w:spacing w:val="6"/>
        </w:rPr>
        <w:ta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w:t>
      </w:r>
    </w:p>
    <w:p w14:paraId="6781212F" w14:textId="77777777" w:rsidR="00611C02" w:rsidRPr="00E37B3B" w:rsidRDefault="00E37B3B" w:rsidP="00E37B3B">
      <w:pPr>
        <w:pStyle w:val="BulletedListforPreamble"/>
        <w:ind w:left="0" w:firstLine="0"/>
        <w:rPr>
          <w:spacing w:val="6"/>
        </w:rPr>
      </w:pPr>
      <w:r>
        <w:rPr>
          <w:color w:val="0F0F0F"/>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E37B3B">
        <w:rPr>
          <w:spacing w:val="6"/>
        </w:rPr>
        <w:t xml:space="preserve"> </w:t>
      </w:r>
      <w:r w:rsidRPr="0037058C">
        <w:rPr>
          <w:spacing w:val="6"/>
        </w:rPr>
        <w:t>EPA–HQ–OAR–2011–0135</w:t>
      </w:r>
      <w:r>
        <w:rPr>
          <w:color w:val="0F0F0F"/>
        </w:rPr>
        <w:t xml:space="preserve">, which is available for online viewing at </w:t>
      </w:r>
      <w:hyperlink r:id="rId10" w:history="1">
        <w:r w:rsidRPr="00C968CF">
          <w:rPr>
            <w:rStyle w:val="Hyperlink"/>
          </w:rPr>
          <w:t>www.regulations.gov</w:t>
        </w:r>
      </w:hyperlink>
      <w:r>
        <w:rPr>
          <w:color w:val="0F0F0F"/>
        </w:rPr>
        <w:t xml:space="preserve">, or in 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w:t>
      </w:r>
      <w:r>
        <w:rPr>
          <w:color w:val="0F0F0F"/>
        </w:rPr>
        <w:lastRenderedPageBreak/>
        <w:t xml:space="preserve">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Pr="0037058C">
        <w:rPr>
          <w:spacing w:val="6"/>
        </w:rPr>
        <w:t>EPA–HQ–OAR–2011–0135</w:t>
      </w:r>
      <w:r>
        <w:rPr>
          <w:spacing w:val="6"/>
        </w:rPr>
        <w:t xml:space="preserve"> </w:t>
      </w:r>
      <w:r>
        <w:rPr>
          <w:color w:val="0F0F0F"/>
        </w:rPr>
        <w:t>and OMB Control Number 2060-0104 in any correspondence.</w:t>
      </w:r>
    </w:p>
    <w:p w14:paraId="5FE2F671" w14:textId="77777777" w:rsidR="004C72D6" w:rsidRDefault="004C72D6"/>
    <w:sectPr w:rsidR="004C72D6" w:rsidSect="007C4A52">
      <w:footerReference w:type="even" r:id="rId11"/>
      <w:footerReference w:type="default" r:id="rId12"/>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B9A23" w14:textId="77777777" w:rsidR="008D44A6" w:rsidRDefault="008D44A6">
      <w:r>
        <w:separator/>
      </w:r>
    </w:p>
  </w:endnote>
  <w:endnote w:type="continuationSeparator" w:id="0">
    <w:p w14:paraId="6828CC04" w14:textId="77777777" w:rsidR="008D44A6" w:rsidRDefault="008D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NKOF M+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BAFC8" w14:textId="77777777" w:rsidR="00F62201" w:rsidRDefault="00F62201"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3511D" w14:textId="77777777" w:rsidR="00F62201" w:rsidRDefault="00F62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7E7A" w14:textId="77777777" w:rsidR="00F62201" w:rsidRDefault="00F62201"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16F7AB" w14:textId="77777777" w:rsidR="00F62201" w:rsidRDefault="00F62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DB983" w14:textId="77777777" w:rsidR="00F62201" w:rsidRDefault="00F62201"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82863F" w14:textId="77777777" w:rsidR="00F62201" w:rsidRDefault="00F622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968CC" w14:textId="3050F7AF" w:rsidR="00F62201" w:rsidRDefault="00F62201"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861">
      <w:rPr>
        <w:rStyle w:val="PageNumber"/>
        <w:noProof/>
      </w:rPr>
      <w:t>21</w:t>
    </w:r>
    <w:r>
      <w:rPr>
        <w:rStyle w:val="PageNumber"/>
      </w:rPr>
      <w:fldChar w:fldCharType="end"/>
    </w:r>
  </w:p>
  <w:p w14:paraId="23663B98" w14:textId="77777777" w:rsidR="00F62201" w:rsidRDefault="00F62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DD8A5" w14:textId="77777777" w:rsidR="008D44A6" w:rsidRDefault="008D44A6"/>
  </w:footnote>
  <w:footnote w:type="continuationSeparator" w:id="0">
    <w:p w14:paraId="075A7139" w14:textId="77777777" w:rsidR="008D44A6" w:rsidRDefault="008D4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C2AC"/>
    <w:multiLevelType w:val="singleLevel"/>
    <w:tmpl w:val="50B0D42C"/>
    <w:lvl w:ilvl="0">
      <w:start w:val="1"/>
      <w:numFmt w:val="lowerRoman"/>
      <w:lvlText w:val="(%1)"/>
      <w:lvlJc w:val="left"/>
      <w:pPr>
        <w:tabs>
          <w:tab w:val="num" w:pos="288"/>
        </w:tabs>
      </w:pPr>
      <w:rPr>
        <w:color w:val="000000"/>
      </w:rPr>
    </w:lvl>
  </w:abstractNum>
  <w:abstractNum w:abstractNumId="1" w15:restartNumberingAfterBreak="0">
    <w:nsid w:val="081365AA"/>
    <w:multiLevelType w:val="hybridMultilevel"/>
    <w:tmpl w:val="F65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E9F7"/>
    <w:multiLevelType w:val="singleLevel"/>
    <w:tmpl w:val="6E735C16"/>
    <w:lvl w:ilvl="0">
      <w:start w:val="1"/>
      <w:numFmt w:val="lowerLetter"/>
      <w:lvlText w:val="5(%1)"/>
      <w:lvlJc w:val="left"/>
      <w:pPr>
        <w:tabs>
          <w:tab w:val="num" w:pos="504"/>
        </w:tabs>
      </w:pPr>
      <w:rPr>
        <w:color w:val="000000"/>
      </w:rPr>
    </w:lvl>
  </w:abstractNum>
  <w:abstractNum w:abstractNumId="3" w15:restartNumberingAfterBreak="0">
    <w:nsid w:val="160DA15D"/>
    <w:multiLevelType w:val="singleLevel"/>
    <w:tmpl w:val="53359613"/>
    <w:lvl w:ilvl="0">
      <w:start w:val="1"/>
      <w:numFmt w:val="lowerLetter"/>
      <w:lvlText w:val="1(%1)"/>
      <w:lvlJc w:val="left"/>
      <w:pPr>
        <w:tabs>
          <w:tab w:val="num" w:pos="432"/>
        </w:tabs>
      </w:pPr>
      <w:rPr>
        <w:color w:val="000000"/>
      </w:rPr>
    </w:lvl>
  </w:abstractNum>
  <w:abstractNum w:abstractNumId="4" w15:restartNumberingAfterBreak="0">
    <w:nsid w:val="18406840"/>
    <w:multiLevelType w:val="singleLevel"/>
    <w:tmpl w:val="4006DC3E"/>
    <w:lvl w:ilvl="0">
      <w:start w:val="2"/>
      <w:numFmt w:val="lowerLetter"/>
      <w:lvlText w:val="3 (%1)"/>
      <w:lvlJc w:val="left"/>
      <w:pPr>
        <w:tabs>
          <w:tab w:val="num" w:pos="504"/>
        </w:tabs>
      </w:pPr>
      <w:rPr>
        <w:color w:val="000000"/>
      </w:rPr>
    </w:lvl>
  </w:abstractNum>
  <w:abstractNum w:abstractNumId="5" w15:restartNumberingAfterBreak="0">
    <w:nsid w:val="2A5945F5"/>
    <w:multiLevelType w:val="hybridMultilevel"/>
    <w:tmpl w:val="1C3A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2118D8"/>
    <w:multiLevelType w:val="hybridMultilevel"/>
    <w:tmpl w:val="B1B01A64"/>
    <w:lvl w:ilvl="0" w:tplc="CC881F98">
      <w:start w:val="1"/>
      <w:numFmt w:val="decimal"/>
      <w:lvlText w:val="%1."/>
      <w:lvlJc w:val="left"/>
      <w:pPr>
        <w:tabs>
          <w:tab w:val="num" w:pos="720"/>
        </w:tabs>
        <w:ind w:left="720" w:hanging="360"/>
      </w:pPr>
    </w:lvl>
    <w:lvl w:ilvl="1" w:tplc="4BA2D5E4" w:tentative="1">
      <w:start w:val="1"/>
      <w:numFmt w:val="decimal"/>
      <w:lvlText w:val="%2."/>
      <w:lvlJc w:val="left"/>
      <w:pPr>
        <w:tabs>
          <w:tab w:val="num" w:pos="1440"/>
        </w:tabs>
        <w:ind w:left="1440" w:hanging="360"/>
      </w:pPr>
    </w:lvl>
    <w:lvl w:ilvl="2" w:tplc="11926232" w:tentative="1">
      <w:start w:val="1"/>
      <w:numFmt w:val="decimal"/>
      <w:lvlText w:val="%3."/>
      <w:lvlJc w:val="left"/>
      <w:pPr>
        <w:tabs>
          <w:tab w:val="num" w:pos="2160"/>
        </w:tabs>
        <w:ind w:left="2160" w:hanging="360"/>
      </w:pPr>
    </w:lvl>
    <w:lvl w:ilvl="3" w:tplc="A5C6322E" w:tentative="1">
      <w:start w:val="1"/>
      <w:numFmt w:val="decimal"/>
      <w:lvlText w:val="%4."/>
      <w:lvlJc w:val="left"/>
      <w:pPr>
        <w:tabs>
          <w:tab w:val="num" w:pos="2880"/>
        </w:tabs>
        <w:ind w:left="2880" w:hanging="360"/>
      </w:pPr>
    </w:lvl>
    <w:lvl w:ilvl="4" w:tplc="7C58A90C" w:tentative="1">
      <w:start w:val="1"/>
      <w:numFmt w:val="decimal"/>
      <w:lvlText w:val="%5."/>
      <w:lvlJc w:val="left"/>
      <w:pPr>
        <w:tabs>
          <w:tab w:val="num" w:pos="3600"/>
        </w:tabs>
        <w:ind w:left="3600" w:hanging="360"/>
      </w:pPr>
    </w:lvl>
    <w:lvl w:ilvl="5" w:tplc="AAB0B994" w:tentative="1">
      <w:start w:val="1"/>
      <w:numFmt w:val="decimal"/>
      <w:lvlText w:val="%6."/>
      <w:lvlJc w:val="left"/>
      <w:pPr>
        <w:tabs>
          <w:tab w:val="num" w:pos="4320"/>
        </w:tabs>
        <w:ind w:left="4320" w:hanging="360"/>
      </w:pPr>
    </w:lvl>
    <w:lvl w:ilvl="6" w:tplc="DA5E0B3E" w:tentative="1">
      <w:start w:val="1"/>
      <w:numFmt w:val="decimal"/>
      <w:lvlText w:val="%7."/>
      <w:lvlJc w:val="left"/>
      <w:pPr>
        <w:tabs>
          <w:tab w:val="num" w:pos="5040"/>
        </w:tabs>
        <w:ind w:left="5040" w:hanging="360"/>
      </w:pPr>
    </w:lvl>
    <w:lvl w:ilvl="7" w:tplc="851AB59C" w:tentative="1">
      <w:start w:val="1"/>
      <w:numFmt w:val="decimal"/>
      <w:lvlText w:val="%8."/>
      <w:lvlJc w:val="left"/>
      <w:pPr>
        <w:tabs>
          <w:tab w:val="num" w:pos="5760"/>
        </w:tabs>
        <w:ind w:left="5760" w:hanging="360"/>
      </w:pPr>
    </w:lvl>
    <w:lvl w:ilvl="8" w:tplc="A80E9E0A" w:tentative="1">
      <w:start w:val="1"/>
      <w:numFmt w:val="decimal"/>
      <w:lvlText w:val="%9."/>
      <w:lvlJc w:val="left"/>
      <w:pPr>
        <w:tabs>
          <w:tab w:val="num" w:pos="6480"/>
        </w:tabs>
        <w:ind w:left="6480" w:hanging="360"/>
      </w:pPr>
    </w:lvl>
  </w:abstractNum>
  <w:abstractNum w:abstractNumId="10" w15:restartNumberingAfterBreak="0">
    <w:nsid w:val="3F55907E"/>
    <w:multiLevelType w:val="singleLevel"/>
    <w:tmpl w:val="1F6E3D91"/>
    <w:lvl w:ilvl="0">
      <w:start w:val="3"/>
      <w:numFmt w:val="lowerLetter"/>
      <w:lvlText w:val="6(%1)"/>
      <w:lvlJc w:val="left"/>
      <w:pPr>
        <w:tabs>
          <w:tab w:val="num" w:pos="432"/>
        </w:tabs>
      </w:pPr>
      <w:rPr>
        <w:color w:val="000000"/>
      </w:rPr>
    </w:lvl>
  </w:abstractNum>
  <w:abstractNum w:abstractNumId="11" w15:restartNumberingAfterBreak="0">
    <w:nsid w:val="41757965"/>
    <w:multiLevelType w:val="hybridMultilevel"/>
    <w:tmpl w:val="EBB2D26E"/>
    <w:lvl w:ilvl="0" w:tplc="6464D3FA">
      <w:start w:val="1"/>
      <w:numFmt w:val="bullet"/>
      <w:lvlText w:val="•"/>
      <w:lvlJc w:val="left"/>
      <w:pPr>
        <w:tabs>
          <w:tab w:val="num" w:pos="720"/>
        </w:tabs>
        <w:ind w:left="720" w:hanging="360"/>
      </w:pPr>
      <w:rPr>
        <w:rFonts w:ascii="Arial" w:hAnsi="Arial" w:hint="default"/>
      </w:rPr>
    </w:lvl>
    <w:lvl w:ilvl="1" w:tplc="C16252F0">
      <w:start w:val="1096"/>
      <w:numFmt w:val="bullet"/>
      <w:lvlText w:val="–"/>
      <w:lvlJc w:val="left"/>
      <w:pPr>
        <w:tabs>
          <w:tab w:val="num" w:pos="1440"/>
        </w:tabs>
        <w:ind w:left="1440" w:hanging="360"/>
      </w:pPr>
      <w:rPr>
        <w:rFonts w:ascii="Arial" w:hAnsi="Arial" w:hint="default"/>
      </w:rPr>
    </w:lvl>
    <w:lvl w:ilvl="2" w:tplc="4E8EFE18" w:tentative="1">
      <w:start w:val="1"/>
      <w:numFmt w:val="bullet"/>
      <w:lvlText w:val="•"/>
      <w:lvlJc w:val="left"/>
      <w:pPr>
        <w:tabs>
          <w:tab w:val="num" w:pos="2160"/>
        </w:tabs>
        <w:ind w:left="2160" w:hanging="360"/>
      </w:pPr>
      <w:rPr>
        <w:rFonts w:ascii="Arial" w:hAnsi="Arial" w:hint="default"/>
      </w:rPr>
    </w:lvl>
    <w:lvl w:ilvl="3" w:tplc="77DE1A06" w:tentative="1">
      <w:start w:val="1"/>
      <w:numFmt w:val="bullet"/>
      <w:lvlText w:val="•"/>
      <w:lvlJc w:val="left"/>
      <w:pPr>
        <w:tabs>
          <w:tab w:val="num" w:pos="2880"/>
        </w:tabs>
        <w:ind w:left="2880" w:hanging="360"/>
      </w:pPr>
      <w:rPr>
        <w:rFonts w:ascii="Arial" w:hAnsi="Arial" w:hint="default"/>
      </w:rPr>
    </w:lvl>
    <w:lvl w:ilvl="4" w:tplc="D64CAB8C" w:tentative="1">
      <w:start w:val="1"/>
      <w:numFmt w:val="bullet"/>
      <w:lvlText w:val="•"/>
      <w:lvlJc w:val="left"/>
      <w:pPr>
        <w:tabs>
          <w:tab w:val="num" w:pos="3600"/>
        </w:tabs>
        <w:ind w:left="3600" w:hanging="360"/>
      </w:pPr>
      <w:rPr>
        <w:rFonts w:ascii="Arial" w:hAnsi="Arial" w:hint="default"/>
      </w:rPr>
    </w:lvl>
    <w:lvl w:ilvl="5" w:tplc="B998AB9C" w:tentative="1">
      <w:start w:val="1"/>
      <w:numFmt w:val="bullet"/>
      <w:lvlText w:val="•"/>
      <w:lvlJc w:val="left"/>
      <w:pPr>
        <w:tabs>
          <w:tab w:val="num" w:pos="4320"/>
        </w:tabs>
        <w:ind w:left="4320" w:hanging="360"/>
      </w:pPr>
      <w:rPr>
        <w:rFonts w:ascii="Arial" w:hAnsi="Arial" w:hint="default"/>
      </w:rPr>
    </w:lvl>
    <w:lvl w:ilvl="6" w:tplc="11F66D7A" w:tentative="1">
      <w:start w:val="1"/>
      <w:numFmt w:val="bullet"/>
      <w:lvlText w:val="•"/>
      <w:lvlJc w:val="left"/>
      <w:pPr>
        <w:tabs>
          <w:tab w:val="num" w:pos="5040"/>
        </w:tabs>
        <w:ind w:left="5040" w:hanging="360"/>
      </w:pPr>
      <w:rPr>
        <w:rFonts w:ascii="Arial" w:hAnsi="Arial" w:hint="default"/>
      </w:rPr>
    </w:lvl>
    <w:lvl w:ilvl="7" w:tplc="6C3CC5E2" w:tentative="1">
      <w:start w:val="1"/>
      <w:numFmt w:val="bullet"/>
      <w:lvlText w:val="•"/>
      <w:lvlJc w:val="left"/>
      <w:pPr>
        <w:tabs>
          <w:tab w:val="num" w:pos="5760"/>
        </w:tabs>
        <w:ind w:left="5760" w:hanging="360"/>
      </w:pPr>
      <w:rPr>
        <w:rFonts w:ascii="Arial" w:hAnsi="Arial" w:hint="default"/>
      </w:rPr>
    </w:lvl>
    <w:lvl w:ilvl="8" w:tplc="06E4C7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D13898"/>
    <w:multiLevelType w:val="singleLevel"/>
    <w:tmpl w:val="29F8AFF3"/>
    <w:lvl w:ilvl="0">
      <w:start w:val="6"/>
      <w:numFmt w:val="lowerLetter"/>
      <w:lvlText w:val="6(%1)"/>
      <w:lvlJc w:val="left"/>
      <w:pPr>
        <w:tabs>
          <w:tab w:val="num" w:pos="432"/>
        </w:tabs>
      </w:pPr>
      <w:rPr>
        <w:color w:val="000000"/>
      </w:rPr>
    </w:lvl>
  </w:abstractNum>
  <w:abstractNum w:abstractNumId="13" w15:restartNumberingAfterBreak="0">
    <w:nsid w:val="48E9675F"/>
    <w:multiLevelType w:val="hybridMultilevel"/>
    <w:tmpl w:val="E11C9640"/>
    <w:lvl w:ilvl="0" w:tplc="9E023FEE">
      <w:start w:val="1"/>
      <w:numFmt w:val="bullet"/>
      <w:lvlText w:val="•"/>
      <w:lvlJc w:val="left"/>
      <w:pPr>
        <w:tabs>
          <w:tab w:val="num" w:pos="720"/>
        </w:tabs>
        <w:ind w:left="720" w:hanging="360"/>
      </w:pPr>
      <w:rPr>
        <w:rFonts w:ascii="Arial" w:hAnsi="Arial" w:hint="default"/>
      </w:rPr>
    </w:lvl>
    <w:lvl w:ilvl="1" w:tplc="19B6C53C">
      <w:start w:val="1355"/>
      <w:numFmt w:val="bullet"/>
      <w:lvlText w:val="–"/>
      <w:lvlJc w:val="left"/>
      <w:pPr>
        <w:tabs>
          <w:tab w:val="num" w:pos="1440"/>
        </w:tabs>
        <w:ind w:left="1440" w:hanging="360"/>
      </w:pPr>
      <w:rPr>
        <w:rFonts w:ascii="Arial" w:hAnsi="Arial" w:hint="default"/>
      </w:rPr>
    </w:lvl>
    <w:lvl w:ilvl="2" w:tplc="1C8803EC" w:tentative="1">
      <w:start w:val="1"/>
      <w:numFmt w:val="bullet"/>
      <w:lvlText w:val="•"/>
      <w:lvlJc w:val="left"/>
      <w:pPr>
        <w:tabs>
          <w:tab w:val="num" w:pos="2160"/>
        </w:tabs>
        <w:ind w:left="2160" w:hanging="360"/>
      </w:pPr>
      <w:rPr>
        <w:rFonts w:ascii="Arial" w:hAnsi="Arial" w:hint="default"/>
      </w:rPr>
    </w:lvl>
    <w:lvl w:ilvl="3" w:tplc="DE90CFC0" w:tentative="1">
      <w:start w:val="1"/>
      <w:numFmt w:val="bullet"/>
      <w:lvlText w:val="•"/>
      <w:lvlJc w:val="left"/>
      <w:pPr>
        <w:tabs>
          <w:tab w:val="num" w:pos="2880"/>
        </w:tabs>
        <w:ind w:left="2880" w:hanging="360"/>
      </w:pPr>
      <w:rPr>
        <w:rFonts w:ascii="Arial" w:hAnsi="Arial" w:hint="default"/>
      </w:rPr>
    </w:lvl>
    <w:lvl w:ilvl="4" w:tplc="9A7E7058" w:tentative="1">
      <w:start w:val="1"/>
      <w:numFmt w:val="bullet"/>
      <w:lvlText w:val="•"/>
      <w:lvlJc w:val="left"/>
      <w:pPr>
        <w:tabs>
          <w:tab w:val="num" w:pos="3600"/>
        </w:tabs>
        <w:ind w:left="3600" w:hanging="360"/>
      </w:pPr>
      <w:rPr>
        <w:rFonts w:ascii="Arial" w:hAnsi="Arial" w:hint="default"/>
      </w:rPr>
    </w:lvl>
    <w:lvl w:ilvl="5" w:tplc="3FD2E926" w:tentative="1">
      <w:start w:val="1"/>
      <w:numFmt w:val="bullet"/>
      <w:lvlText w:val="•"/>
      <w:lvlJc w:val="left"/>
      <w:pPr>
        <w:tabs>
          <w:tab w:val="num" w:pos="4320"/>
        </w:tabs>
        <w:ind w:left="4320" w:hanging="360"/>
      </w:pPr>
      <w:rPr>
        <w:rFonts w:ascii="Arial" w:hAnsi="Arial" w:hint="default"/>
      </w:rPr>
    </w:lvl>
    <w:lvl w:ilvl="6" w:tplc="0CFEEF2A" w:tentative="1">
      <w:start w:val="1"/>
      <w:numFmt w:val="bullet"/>
      <w:lvlText w:val="•"/>
      <w:lvlJc w:val="left"/>
      <w:pPr>
        <w:tabs>
          <w:tab w:val="num" w:pos="5040"/>
        </w:tabs>
        <w:ind w:left="5040" w:hanging="360"/>
      </w:pPr>
      <w:rPr>
        <w:rFonts w:ascii="Arial" w:hAnsi="Arial" w:hint="default"/>
      </w:rPr>
    </w:lvl>
    <w:lvl w:ilvl="7" w:tplc="D632B616" w:tentative="1">
      <w:start w:val="1"/>
      <w:numFmt w:val="bullet"/>
      <w:lvlText w:val="•"/>
      <w:lvlJc w:val="left"/>
      <w:pPr>
        <w:tabs>
          <w:tab w:val="num" w:pos="5760"/>
        </w:tabs>
        <w:ind w:left="5760" w:hanging="360"/>
      </w:pPr>
      <w:rPr>
        <w:rFonts w:ascii="Arial" w:hAnsi="Arial" w:hint="default"/>
      </w:rPr>
    </w:lvl>
    <w:lvl w:ilvl="8" w:tplc="0B3C4C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7867685"/>
    <w:multiLevelType w:val="hybridMultilevel"/>
    <w:tmpl w:val="5976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E2A46"/>
    <w:multiLevelType w:val="hybridMultilevel"/>
    <w:tmpl w:val="F836C9C6"/>
    <w:lvl w:ilvl="0" w:tplc="6C849CC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6555B3"/>
    <w:multiLevelType w:val="singleLevel"/>
    <w:tmpl w:val="5611B310"/>
    <w:lvl w:ilvl="0">
      <w:start w:val="3"/>
      <w:numFmt w:val="lowerLetter"/>
      <w:lvlText w:val="5(%1)"/>
      <w:lvlJc w:val="left"/>
      <w:pPr>
        <w:tabs>
          <w:tab w:val="num" w:pos="432"/>
        </w:tabs>
      </w:pPr>
      <w:rPr>
        <w:color w:val="000000"/>
      </w:rPr>
    </w:lvl>
  </w:abstractNum>
  <w:abstractNum w:abstractNumId="18" w15:restartNumberingAfterBreak="0">
    <w:nsid w:val="62814A27"/>
    <w:multiLevelType w:val="hybridMultilevel"/>
    <w:tmpl w:val="EAE6262A"/>
    <w:lvl w:ilvl="0" w:tplc="6346DDBC">
      <w:start w:val="1"/>
      <w:numFmt w:val="bullet"/>
      <w:lvlText w:val="•"/>
      <w:lvlJc w:val="left"/>
      <w:pPr>
        <w:tabs>
          <w:tab w:val="num" w:pos="720"/>
        </w:tabs>
        <w:ind w:left="720" w:hanging="360"/>
      </w:pPr>
      <w:rPr>
        <w:rFonts w:ascii="Arial" w:hAnsi="Arial" w:hint="default"/>
      </w:rPr>
    </w:lvl>
    <w:lvl w:ilvl="1" w:tplc="F05A56E4" w:tentative="1">
      <w:start w:val="1"/>
      <w:numFmt w:val="bullet"/>
      <w:lvlText w:val="•"/>
      <w:lvlJc w:val="left"/>
      <w:pPr>
        <w:tabs>
          <w:tab w:val="num" w:pos="1440"/>
        </w:tabs>
        <w:ind w:left="1440" w:hanging="360"/>
      </w:pPr>
      <w:rPr>
        <w:rFonts w:ascii="Arial" w:hAnsi="Arial" w:hint="default"/>
      </w:rPr>
    </w:lvl>
    <w:lvl w:ilvl="2" w:tplc="F49A6C46" w:tentative="1">
      <w:start w:val="1"/>
      <w:numFmt w:val="bullet"/>
      <w:lvlText w:val="•"/>
      <w:lvlJc w:val="left"/>
      <w:pPr>
        <w:tabs>
          <w:tab w:val="num" w:pos="2160"/>
        </w:tabs>
        <w:ind w:left="2160" w:hanging="360"/>
      </w:pPr>
      <w:rPr>
        <w:rFonts w:ascii="Arial" w:hAnsi="Arial" w:hint="default"/>
      </w:rPr>
    </w:lvl>
    <w:lvl w:ilvl="3" w:tplc="5016D7DC" w:tentative="1">
      <w:start w:val="1"/>
      <w:numFmt w:val="bullet"/>
      <w:lvlText w:val="•"/>
      <w:lvlJc w:val="left"/>
      <w:pPr>
        <w:tabs>
          <w:tab w:val="num" w:pos="2880"/>
        </w:tabs>
        <w:ind w:left="2880" w:hanging="360"/>
      </w:pPr>
      <w:rPr>
        <w:rFonts w:ascii="Arial" w:hAnsi="Arial" w:hint="default"/>
      </w:rPr>
    </w:lvl>
    <w:lvl w:ilvl="4" w:tplc="933A958C" w:tentative="1">
      <w:start w:val="1"/>
      <w:numFmt w:val="bullet"/>
      <w:lvlText w:val="•"/>
      <w:lvlJc w:val="left"/>
      <w:pPr>
        <w:tabs>
          <w:tab w:val="num" w:pos="3600"/>
        </w:tabs>
        <w:ind w:left="3600" w:hanging="360"/>
      </w:pPr>
      <w:rPr>
        <w:rFonts w:ascii="Arial" w:hAnsi="Arial" w:hint="default"/>
      </w:rPr>
    </w:lvl>
    <w:lvl w:ilvl="5" w:tplc="8BCCB032" w:tentative="1">
      <w:start w:val="1"/>
      <w:numFmt w:val="bullet"/>
      <w:lvlText w:val="•"/>
      <w:lvlJc w:val="left"/>
      <w:pPr>
        <w:tabs>
          <w:tab w:val="num" w:pos="4320"/>
        </w:tabs>
        <w:ind w:left="4320" w:hanging="360"/>
      </w:pPr>
      <w:rPr>
        <w:rFonts w:ascii="Arial" w:hAnsi="Arial" w:hint="default"/>
      </w:rPr>
    </w:lvl>
    <w:lvl w:ilvl="6" w:tplc="F754ECD0" w:tentative="1">
      <w:start w:val="1"/>
      <w:numFmt w:val="bullet"/>
      <w:lvlText w:val="•"/>
      <w:lvlJc w:val="left"/>
      <w:pPr>
        <w:tabs>
          <w:tab w:val="num" w:pos="5040"/>
        </w:tabs>
        <w:ind w:left="5040" w:hanging="360"/>
      </w:pPr>
      <w:rPr>
        <w:rFonts w:ascii="Arial" w:hAnsi="Arial" w:hint="default"/>
      </w:rPr>
    </w:lvl>
    <w:lvl w:ilvl="7" w:tplc="9E7A3C7E" w:tentative="1">
      <w:start w:val="1"/>
      <w:numFmt w:val="bullet"/>
      <w:lvlText w:val="•"/>
      <w:lvlJc w:val="left"/>
      <w:pPr>
        <w:tabs>
          <w:tab w:val="num" w:pos="5760"/>
        </w:tabs>
        <w:ind w:left="5760" w:hanging="360"/>
      </w:pPr>
      <w:rPr>
        <w:rFonts w:ascii="Arial" w:hAnsi="Arial" w:hint="default"/>
      </w:rPr>
    </w:lvl>
    <w:lvl w:ilvl="8" w:tplc="3DB827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2F3071"/>
    <w:multiLevelType w:val="hybridMultilevel"/>
    <w:tmpl w:val="1D54727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7B194D6A"/>
    <w:multiLevelType w:val="hybridMultilevel"/>
    <w:tmpl w:val="31607D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4"/>
  </w:num>
  <w:num w:numId="3">
    <w:abstractNumId w:val="2"/>
  </w:num>
  <w:num w:numId="4">
    <w:abstractNumId w:val="17"/>
  </w:num>
  <w:num w:numId="5">
    <w:abstractNumId w:val="0"/>
  </w:num>
  <w:num w:numId="6">
    <w:abstractNumId w:val="10"/>
  </w:num>
  <w:num w:numId="7">
    <w:abstractNumId w:val="12"/>
  </w:num>
  <w:num w:numId="8">
    <w:abstractNumId w:val="8"/>
  </w:num>
  <w:num w:numId="9">
    <w:abstractNumId w:val="6"/>
  </w:num>
  <w:num w:numId="10">
    <w:abstractNumId w:val="7"/>
  </w:num>
  <w:num w:numId="11">
    <w:abstractNumId w:val="19"/>
  </w:num>
  <w:num w:numId="12">
    <w:abstractNumId w:val="5"/>
  </w:num>
  <w:num w:numId="13">
    <w:abstractNumId w:val="20"/>
  </w:num>
  <w:num w:numId="14">
    <w:abstractNumId w:val="14"/>
  </w:num>
  <w:num w:numId="15">
    <w:abstractNumId w:val="18"/>
  </w:num>
  <w:num w:numId="16">
    <w:abstractNumId w:val="11"/>
  </w:num>
  <w:num w:numId="17">
    <w:abstractNumId w:val="13"/>
  </w:num>
  <w:num w:numId="18">
    <w:abstractNumId w:val="1"/>
  </w:num>
  <w:num w:numId="19">
    <w:abstractNumId w:val="15"/>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D6"/>
    <w:rsid w:val="00004060"/>
    <w:rsid w:val="00004D1A"/>
    <w:rsid w:val="000062EF"/>
    <w:rsid w:val="00007B0F"/>
    <w:rsid w:val="000100BB"/>
    <w:rsid w:val="00012799"/>
    <w:rsid w:val="000266EC"/>
    <w:rsid w:val="000329BF"/>
    <w:rsid w:val="00042A36"/>
    <w:rsid w:val="00044D5B"/>
    <w:rsid w:val="000575CD"/>
    <w:rsid w:val="000600BA"/>
    <w:rsid w:val="0008162A"/>
    <w:rsid w:val="000872DA"/>
    <w:rsid w:val="00092C73"/>
    <w:rsid w:val="00095816"/>
    <w:rsid w:val="000962B5"/>
    <w:rsid w:val="00097D9D"/>
    <w:rsid w:val="000A0908"/>
    <w:rsid w:val="000A242D"/>
    <w:rsid w:val="000A76E7"/>
    <w:rsid w:val="000B311E"/>
    <w:rsid w:val="000B472D"/>
    <w:rsid w:val="000B7B15"/>
    <w:rsid w:val="000C1307"/>
    <w:rsid w:val="000D222C"/>
    <w:rsid w:val="000E427F"/>
    <w:rsid w:val="000E4343"/>
    <w:rsid w:val="000F239D"/>
    <w:rsid w:val="000F2556"/>
    <w:rsid w:val="000F595E"/>
    <w:rsid w:val="000F6458"/>
    <w:rsid w:val="000F64D1"/>
    <w:rsid w:val="000F6B88"/>
    <w:rsid w:val="00111EE5"/>
    <w:rsid w:val="0011358D"/>
    <w:rsid w:val="001136D0"/>
    <w:rsid w:val="00116F92"/>
    <w:rsid w:val="001171FC"/>
    <w:rsid w:val="0012429C"/>
    <w:rsid w:val="00124826"/>
    <w:rsid w:val="00124983"/>
    <w:rsid w:val="0012543C"/>
    <w:rsid w:val="001259DC"/>
    <w:rsid w:val="00127999"/>
    <w:rsid w:val="00127CDE"/>
    <w:rsid w:val="00140760"/>
    <w:rsid w:val="00145090"/>
    <w:rsid w:val="001450A7"/>
    <w:rsid w:val="001478D6"/>
    <w:rsid w:val="00147CB7"/>
    <w:rsid w:val="0015017B"/>
    <w:rsid w:val="001504BB"/>
    <w:rsid w:val="00150FFC"/>
    <w:rsid w:val="00152196"/>
    <w:rsid w:val="0015381C"/>
    <w:rsid w:val="00154EE0"/>
    <w:rsid w:val="001609D5"/>
    <w:rsid w:val="001634E1"/>
    <w:rsid w:val="001700B2"/>
    <w:rsid w:val="0017264A"/>
    <w:rsid w:val="00192960"/>
    <w:rsid w:val="00193076"/>
    <w:rsid w:val="00196C42"/>
    <w:rsid w:val="001A2FB1"/>
    <w:rsid w:val="001A4796"/>
    <w:rsid w:val="001B31D1"/>
    <w:rsid w:val="001B4CFB"/>
    <w:rsid w:val="001C6A02"/>
    <w:rsid w:val="001C7A29"/>
    <w:rsid w:val="001D3213"/>
    <w:rsid w:val="001F1766"/>
    <w:rsid w:val="001F7A7A"/>
    <w:rsid w:val="0020317B"/>
    <w:rsid w:val="00203B63"/>
    <w:rsid w:val="0021019E"/>
    <w:rsid w:val="0021109B"/>
    <w:rsid w:val="0021271C"/>
    <w:rsid w:val="00212760"/>
    <w:rsid w:val="00213C2C"/>
    <w:rsid w:val="002144D8"/>
    <w:rsid w:val="0021553E"/>
    <w:rsid w:val="0021580F"/>
    <w:rsid w:val="002206B9"/>
    <w:rsid w:val="00226B06"/>
    <w:rsid w:val="00227854"/>
    <w:rsid w:val="00231BDB"/>
    <w:rsid w:val="002328AA"/>
    <w:rsid w:val="00240B29"/>
    <w:rsid w:val="0024225E"/>
    <w:rsid w:val="00242420"/>
    <w:rsid w:val="0024319C"/>
    <w:rsid w:val="00245C03"/>
    <w:rsid w:val="00245DDF"/>
    <w:rsid w:val="00262707"/>
    <w:rsid w:val="00267615"/>
    <w:rsid w:val="00275574"/>
    <w:rsid w:val="0027660E"/>
    <w:rsid w:val="00281EFF"/>
    <w:rsid w:val="0029277F"/>
    <w:rsid w:val="00297986"/>
    <w:rsid w:val="002A3929"/>
    <w:rsid w:val="002A69F7"/>
    <w:rsid w:val="002B02DB"/>
    <w:rsid w:val="002B1D30"/>
    <w:rsid w:val="002B5208"/>
    <w:rsid w:val="002B7951"/>
    <w:rsid w:val="002C72B8"/>
    <w:rsid w:val="002C7EA1"/>
    <w:rsid w:val="002D0D9C"/>
    <w:rsid w:val="002D1550"/>
    <w:rsid w:val="002D2F98"/>
    <w:rsid w:val="002E3B8C"/>
    <w:rsid w:val="002F4409"/>
    <w:rsid w:val="002F4656"/>
    <w:rsid w:val="002F5E89"/>
    <w:rsid w:val="002F74C3"/>
    <w:rsid w:val="002F7B90"/>
    <w:rsid w:val="003019FD"/>
    <w:rsid w:val="00303D83"/>
    <w:rsid w:val="003049B1"/>
    <w:rsid w:val="00310669"/>
    <w:rsid w:val="003119C6"/>
    <w:rsid w:val="003121A2"/>
    <w:rsid w:val="00314AFA"/>
    <w:rsid w:val="00315782"/>
    <w:rsid w:val="00320311"/>
    <w:rsid w:val="00321531"/>
    <w:rsid w:val="0032459D"/>
    <w:rsid w:val="00324989"/>
    <w:rsid w:val="00330577"/>
    <w:rsid w:val="003335C2"/>
    <w:rsid w:val="00334958"/>
    <w:rsid w:val="0034079F"/>
    <w:rsid w:val="003426E8"/>
    <w:rsid w:val="00343CA3"/>
    <w:rsid w:val="00347229"/>
    <w:rsid w:val="00354466"/>
    <w:rsid w:val="00354620"/>
    <w:rsid w:val="003629E3"/>
    <w:rsid w:val="0037058C"/>
    <w:rsid w:val="00384455"/>
    <w:rsid w:val="003871F2"/>
    <w:rsid w:val="003941AA"/>
    <w:rsid w:val="00395E16"/>
    <w:rsid w:val="00396D75"/>
    <w:rsid w:val="003A05D3"/>
    <w:rsid w:val="003A45F0"/>
    <w:rsid w:val="003A4F79"/>
    <w:rsid w:val="003B2CBD"/>
    <w:rsid w:val="003C0382"/>
    <w:rsid w:val="003C1F97"/>
    <w:rsid w:val="003C2732"/>
    <w:rsid w:val="003C44BC"/>
    <w:rsid w:val="003C7B13"/>
    <w:rsid w:val="003D3621"/>
    <w:rsid w:val="003D3E47"/>
    <w:rsid w:val="003D3ED5"/>
    <w:rsid w:val="003F5DEF"/>
    <w:rsid w:val="00407A4A"/>
    <w:rsid w:val="00410B85"/>
    <w:rsid w:val="0042256F"/>
    <w:rsid w:val="004300CE"/>
    <w:rsid w:val="00431615"/>
    <w:rsid w:val="00441938"/>
    <w:rsid w:val="00441BD8"/>
    <w:rsid w:val="00457A6F"/>
    <w:rsid w:val="0046277C"/>
    <w:rsid w:val="00462D0D"/>
    <w:rsid w:val="00463792"/>
    <w:rsid w:val="00470F73"/>
    <w:rsid w:val="00484112"/>
    <w:rsid w:val="00484666"/>
    <w:rsid w:val="00487900"/>
    <w:rsid w:val="00493BCA"/>
    <w:rsid w:val="00495CDE"/>
    <w:rsid w:val="004A10DE"/>
    <w:rsid w:val="004A150E"/>
    <w:rsid w:val="004A1D10"/>
    <w:rsid w:val="004A48B1"/>
    <w:rsid w:val="004A763B"/>
    <w:rsid w:val="004B26A2"/>
    <w:rsid w:val="004B7591"/>
    <w:rsid w:val="004C29CF"/>
    <w:rsid w:val="004C72D6"/>
    <w:rsid w:val="004C77F2"/>
    <w:rsid w:val="004D25F0"/>
    <w:rsid w:val="004D7E21"/>
    <w:rsid w:val="004E3B5B"/>
    <w:rsid w:val="004E5ACF"/>
    <w:rsid w:val="004E7BC2"/>
    <w:rsid w:val="004F1737"/>
    <w:rsid w:val="004F3770"/>
    <w:rsid w:val="004F5B2E"/>
    <w:rsid w:val="004F69F4"/>
    <w:rsid w:val="004F7E05"/>
    <w:rsid w:val="00516959"/>
    <w:rsid w:val="0052577C"/>
    <w:rsid w:val="00525C88"/>
    <w:rsid w:val="00533512"/>
    <w:rsid w:val="00540994"/>
    <w:rsid w:val="00545640"/>
    <w:rsid w:val="005507CB"/>
    <w:rsid w:val="00550F2C"/>
    <w:rsid w:val="00551EA0"/>
    <w:rsid w:val="0055338C"/>
    <w:rsid w:val="00555A91"/>
    <w:rsid w:val="00556649"/>
    <w:rsid w:val="00556A30"/>
    <w:rsid w:val="00557A18"/>
    <w:rsid w:val="00560100"/>
    <w:rsid w:val="00572BF8"/>
    <w:rsid w:val="00573157"/>
    <w:rsid w:val="00580103"/>
    <w:rsid w:val="0059117B"/>
    <w:rsid w:val="00591743"/>
    <w:rsid w:val="00593819"/>
    <w:rsid w:val="005951FB"/>
    <w:rsid w:val="00597E34"/>
    <w:rsid w:val="005A208B"/>
    <w:rsid w:val="005A27F6"/>
    <w:rsid w:val="005A5FA2"/>
    <w:rsid w:val="005B13DF"/>
    <w:rsid w:val="005B3C76"/>
    <w:rsid w:val="005B5C41"/>
    <w:rsid w:val="005C6E22"/>
    <w:rsid w:val="005D0455"/>
    <w:rsid w:val="005E137A"/>
    <w:rsid w:val="005E533D"/>
    <w:rsid w:val="005F2E12"/>
    <w:rsid w:val="005F4DFF"/>
    <w:rsid w:val="006013AD"/>
    <w:rsid w:val="00602053"/>
    <w:rsid w:val="00602765"/>
    <w:rsid w:val="00602A80"/>
    <w:rsid w:val="0060503E"/>
    <w:rsid w:val="006054FB"/>
    <w:rsid w:val="00611C02"/>
    <w:rsid w:val="0063217A"/>
    <w:rsid w:val="006350D5"/>
    <w:rsid w:val="00640272"/>
    <w:rsid w:val="006545FB"/>
    <w:rsid w:val="006569DC"/>
    <w:rsid w:val="00665A41"/>
    <w:rsid w:val="006669B3"/>
    <w:rsid w:val="006673E1"/>
    <w:rsid w:val="00673F69"/>
    <w:rsid w:val="0067539C"/>
    <w:rsid w:val="00675BB9"/>
    <w:rsid w:val="0067709A"/>
    <w:rsid w:val="006848A1"/>
    <w:rsid w:val="006977BA"/>
    <w:rsid w:val="006A26E1"/>
    <w:rsid w:val="006B1FF9"/>
    <w:rsid w:val="006B52BB"/>
    <w:rsid w:val="006B608C"/>
    <w:rsid w:val="006C19E0"/>
    <w:rsid w:val="006C1ECE"/>
    <w:rsid w:val="006C2526"/>
    <w:rsid w:val="006E335B"/>
    <w:rsid w:val="006F357A"/>
    <w:rsid w:val="006F38FE"/>
    <w:rsid w:val="006F617E"/>
    <w:rsid w:val="00700EA9"/>
    <w:rsid w:val="00701198"/>
    <w:rsid w:val="00703429"/>
    <w:rsid w:val="00703A27"/>
    <w:rsid w:val="00704F0B"/>
    <w:rsid w:val="007055F9"/>
    <w:rsid w:val="00732E6B"/>
    <w:rsid w:val="00735161"/>
    <w:rsid w:val="007376D8"/>
    <w:rsid w:val="00740323"/>
    <w:rsid w:val="0074523E"/>
    <w:rsid w:val="00746F85"/>
    <w:rsid w:val="00763D4A"/>
    <w:rsid w:val="0076563D"/>
    <w:rsid w:val="00770984"/>
    <w:rsid w:val="00770FF8"/>
    <w:rsid w:val="007716C4"/>
    <w:rsid w:val="0077297C"/>
    <w:rsid w:val="00775569"/>
    <w:rsid w:val="00775661"/>
    <w:rsid w:val="0078177E"/>
    <w:rsid w:val="0078183E"/>
    <w:rsid w:val="00782CA7"/>
    <w:rsid w:val="007863F3"/>
    <w:rsid w:val="00793EBE"/>
    <w:rsid w:val="007A0CCC"/>
    <w:rsid w:val="007A697C"/>
    <w:rsid w:val="007A76BA"/>
    <w:rsid w:val="007B0CF9"/>
    <w:rsid w:val="007C4A52"/>
    <w:rsid w:val="007C7D1D"/>
    <w:rsid w:val="007D2C3E"/>
    <w:rsid w:val="007D686A"/>
    <w:rsid w:val="007E39FA"/>
    <w:rsid w:val="007E42C3"/>
    <w:rsid w:val="007E47AE"/>
    <w:rsid w:val="007F04E2"/>
    <w:rsid w:val="008021E6"/>
    <w:rsid w:val="00807825"/>
    <w:rsid w:val="00811A60"/>
    <w:rsid w:val="00831270"/>
    <w:rsid w:val="00831DAA"/>
    <w:rsid w:val="008323AD"/>
    <w:rsid w:val="008369F1"/>
    <w:rsid w:val="00845047"/>
    <w:rsid w:val="00850040"/>
    <w:rsid w:val="00855777"/>
    <w:rsid w:val="00857367"/>
    <w:rsid w:val="00860C0F"/>
    <w:rsid w:val="00862482"/>
    <w:rsid w:val="00870ECE"/>
    <w:rsid w:val="008778BC"/>
    <w:rsid w:val="00881346"/>
    <w:rsid w:val="008826A8"/>
    <w:rsid w:val="00887D7F"/>
    <w:rsid w:val="00891F3A"/>
    <w:rsid w:val="008A1992"/>
    <w:rsid w:val="008A288B"/>
    <w:rsid w:val="008A4A49"/>
    <w:rsid w:val="008A4AB0"/>
    <w:rsid w:val="008A6070"/>
    <w:rsid w:val="008A77C7"/>
    <w:rsid w:val="008B3129"/>
    <w:rsid w:val="008B53C7"/>
    <w:rsid w:val="008B749A"/>
    <w:rsid w:val="008C6D62"/>
    <w:rsid w:val="008D3D4E"/>
    <w:rsid w:val="008D44A6"/>
    <w:rsid w:val="008E1489"/>
    <w:rsid w:val="008E1634"/>
    <w:rsid w:val="008E39B9"/>
    <w:rsid w:val="008F197E"/>
    <w:rsid w:val="008F2C4C"/>
    <w:rsid w:val="00904E6D"/>
    <w:rsid w:val="00905BC4"/>
    <w:rsid w:val="009073B9"/>
    <w:rsid w:val="00917F90"/>
    <w:rsid w:val="00920709"/>
    <w:rsid w:val="009208B6"/>
    <w:rsid w:val="009222D8"/>
    <w:rsid w:val="0093391B"/>
    <w:rsid w:val="009450BD"/>
    <w:rsid w:val="00951171"/>
    <w:rsid w:val="0095178E"/>
    <w:rsid w:val="0096209F"/>
    <w:rsid w:val="00963A36"/>
    <w:rsid w:val="00964D16"/>
    <w:rsid w:val="00971946"/>
    <w:rsid w:val="00980405"/>
    <w:rsid w:val="00982260"/>
    <w:rsid w:val="00986F2F"/>
    <w:rsid w:val="00987C19"/>
    <w:rsid w:val="00992D36"/>
    <w:rsid w:val="009A1108"/>
    <w:rsid w:val="009A5C8B"/>
    <w:rsid w:val="009A5FB2"/>
    <w:rsid w:val="009B0FB0"/>
    <w:rsid w:val="009B5A1C"/>
    <w:rsid w:val="009B6923"/>
    <w:rsid w:val="009C48E6"/>
    <w:rsid w:val="009C7145"/>
    <w:rsid w:val="009D55C8"/>
    <w:rsid w:val="009E58B6"/>
    <w:rsid w:val="009F2258"/>
    <w:rsid w:val="009F3668"/>
    <w:rsid w:val="009F7CD6"/>
    <w:rsid w:val="00A0003F"/>
    <w:rsid w:val="00A212EF"/>
    <w:rsid w:val="00A22CE9"/>
    <w:rsid w:val="00A230DA"/>
    <w:rsid w:val="00A41076"/>
    <w:rsid w:val="00A44FC6"/>
    <w:rsid w:val="00A46579"/>
    <w:rsid w:val="00A54B61"/>
    <w:rsid w:val="00A562DD"/>
    <w:rsid w:val="00A603B4"/>
    <w:rsid w:val="00A6458C"/>
    <w:rsid w:val="00A67A96"/>
    <w:rsid w:val="00A70FD5"/>
    <w:rsid w:val="00A71CFB"/>
    <w:rsid w:val="00A861FE"/>
    <w:rsid w:val="00A86533"/>
    <w:rsid w:val="00A922DA"/>
    <w:rsid w:val="00A92FDD"/>
    <w:rsid w:val="00A9786F"/>
    <w:rsid w:val="00AA616E"/>
    <w:rsid w:val="00AB5AEA"/>
    <w:rsid w:val="00AB6481"/>
    <w:rsid w:val="00AC207E"/>
    <w:rsid w:val="00AC263E"/>
    <w:rsid w:val="00AC41DE"/>
    <w:rsid w:val="00AC44E1"/>
    <w:rsid w:val="00AC4B41"/>
    <w:rsid w:val="00AC635E"/>
    <w:rsid w:val="00AC71F4"/>
    <w:rsid w:val="00AD2BA2"/>
    <w:rsid w:val="00AD6023"/>
    <w:rsid w:val="00AE0198"/>
    <w:rsid w:val="00AE05D3"/>
    <w:rsid w:val="00AE0A6A"/>
    <w:rsid w:val="00AF358F"/>
    <w:rsid w:val="00AF5CC9"/>
    <w:rsid w:val="00B01373"/>
    <w:rsid w:val="00B02320"/>
    <w:rsid w:val="00B029C9"/>
    <w:rsid w:val="00B046D9"/>
    <w:rsid w:val="00B07B21"/>
    <w:rsid w:val="00B1591D"/>
    <w:rsid w:val="00B15992"/>
    <w:rsid w:val="00B163FF"/>
    <w:rsid w:val="00B20607"/>
    <w:rsid w:val="00B30C0B"/>
    <w:rsid w:val="00B32513"/>
    <w:rsid w:val="00B3387F"/>
    <w:rsid w:val="00B33B74"/>
    <w:rsid w:val="00B4453B"/>
    <w:rsid w:val="00B448A6"/>
    <w:rsid w:val="00B44F51"/>
    <w:rsid w:val="00B45234"/>
    <w:rsid w:val="00B5132A"/>
    <w:rsid w:val="00B52C21"/>
    <w:rsid w:val="00B5319B"/>
    <w:rsid w:val="00B727B1"/>
    <w:rsid w:val="00B739A0"/>
    <w:rsid w:val="00B75366"/>
    <w:rsid w:val="00B75771"/>
    <w:rsid w:val="00B83195"/>
    <w:rsid w:val="00B836C9"/>
    <w:rsid w:val="00B8555A"/>
    <w:rsid w:val="00B95522"/>
    <w:rsid w:val="00B96917"/>
    <w:rsid w:val="00BA215E"/>
    <w:rsid w:val="00BA4F07"/>
    <w:rsid w:val="00BA546C"/>
    <w:rsid w:val="00BB76E8"/>
    <w:rsid w:val="00BC0171"/>
    <w:rsid w:val="00BC1B74"/>
    <w:rsid w:val="00BC326F"/>
    <w:rsid w:val="00BC66A2"/>
    <w:rsid w:val="00BD5F83"/>
    <w:rsid w:val="00BD73E8"/>
    <w:rsid w:val="00BE03DB"/>
    <w:rsid w:val="00BE1370"/>
    <w:rsid w:val="00BE29A8"/>
    <w:rsid w:val="00BE700E"/>
    <w:rsid w:val="00BE7EF6"/>
    <w:rsid w:val="00BF10CC"/>
    <w:rsid w:val="00BF10E4"/>
    <w:rsid w:val="00BF2D75"/>
    <w:rsid w:val="00BF5844"/>
    <w:rsid w:val="00C02E08"/>
    <w:rsid w:val="00C16E50"/>
    <w:rsid w:val="00C25C5A"/>
    <w:rsid w:val="00C26C1E"/>
    <w:rsid w:val="00C27F0A"/>
    <w:rsid w:val="00C34940"/>
    <w:rsid w:val="00C35E64"/>
    <w:rsid w:val="00C3672B"/>
    <w:rsid w:val="00C41D36"/>
    <w:rsid w:val="00C44323"/>
    <w:rsid w:val="00C5321D"/>
    <w:rsid w:val="00C55924"/>
    <w:rsid w:val="00C61310"/>
    <w:rsid w:val="00C6223D"/>
    <w:rsid w:val="00C6262E"/>
    <w:rsid w:val="00C62A9B"/>
    <w:rsid w:val="00C67424"/>
    <w:rsid w:val="00C67AB5"/>
    <w:rsid w:val="00C71491"/>
    <w:rsid w:val="00C72A69"/>
    <w:rsid w:val="00C750C2"/>
    <w:rsid w:val="00C80999"/>
    <w:rsid w:val="00C871BC"/>
    <w:rsid w:val="00C90442"/>
    <w:rsid w:val="00C91188"/>
    <w:rsid w:val="00C924B1"/>
    <w:rsid w:val="00C93335"/>
    <w:rsid w:val="00C934F8"/>
    <w:rsid w:val="00C93956"/>
    <w:rsid w:val="00C93DF5"/>
    <w:rsid w:val="00C94633"/>
    <w:rsid w:val="00CA172C"/>
    <w:rsid w:val="00CB2EA2"/>
    <w:rsid w:val="00CB3EBE"/>
    <w:rsid w:val="00CB4635"/>
    <w:rsid w:val="00CD451E"/>
    <w:rsid w:val="00CE3E2A"/>
    <w:rsid w:val="00CE54C0"/>
    <w:rsid w:val="00CF18A8"/>
    <w:rsid w:val="00CF3979"/>
    <w:rsid w:val="00D1307D"/>
    <w:rsid w:val="00D14AEF"/>
    <w:rsid w:val="00D15850"/>
    <w:rsid w:val="00D17405"/>
    <w:rsid w:val="00D25479"/>
    <w:rsid w:val="00D333EC"/>
    <w:rsid w:val="00D37DD3"/>
    <w:rsid w:val="00D40DBA"/>
    <w:rsid w:val="00D45A96"/>
    <w:rsid w:val="00D4628A"/>
    <w:rsid w:val="00D47974"/>
    <w:rsid w:val="00D507D2"/>
    <w:rsid w:val="00D61C75"/>
    <w:rsid w:val="00D62A8A"/>
    <w:rsid w:val="00D66BE7"/>
    <w:rsid w:val="00D679AE"/>
    <w:rsid w:val="00D728F6"/>
    <w:rsid w:val="00D761A1"/>
    <w:rsid w:val="00D77A3E"/>
    <w:rsid w:val="00D77B72"/>
    <w:rsid w:val="00D813D3"/>
    <w:rsid w:val="00D815DE"/>
    <w:rsid w:val="00D82FDC"/>
    <w:rsid w:val="00D8571E"/>
    <w:rsid w:val="00D92BB2"/>
    <w:rsid w:val="00D93E3A"/>
    <w:rsid w:val="00D94660"/>
    <w:rsid w:val="00D97B2C"/>
    <w:rsid w:val="00D97FA8"/>
    <w:rsid w:val="00DA5D61"/>
    <w:rsid w:val="00DB0D8C"/>
    <w:rsid w:val="00DB2DBB"/>
    <w:rsid w:val="00DB5CC0"/>
    <w:rsid w:val="00DC5666"/>
    <w:rsid w:val="00DD5032"/>
    <w:rsid w:val="00DE11E4"/>
    <w:rsid w:val="00DE3F6C"/>
    <w:rsid w:val="00DE442B"/>
    <w:rsid w:val="00DE4D62"/>
    <w:rsid w:val="00DE6846"/>
    <w:rsid w:val="00DE7568"/>
    <w:rsid w:val="00E158C6"/>
    <w:rsid w:val="00E16B3B"/>
    <w:rsid w:val="00E22E52"/>
    <w:rsid w:val="00E243E5"/>
    <w:rsid w:val="00E27E65"/>
    <w:rsid w:val="00E31490"/>
    <w:rsid w:val="00E3189C"/>
    <w:rsid w:val="00E37B3B"/>
    <w:rsid w:val="00E56956"/>
    <w:rsid w:val="00E570C4"/>
    <w:rsid w:val="00E60569"/>
    <w:rsid w:val="00E6195E"/>
    <w:rsid w:val="00E62070"/>
    <w:rsid w:val="00E63020"/>
    <w:rsid w:val="00E71720"/>
    <w:rsid w:val="00E75E47"/>
    <w:rsid w:val="00E768B8"/>
    <w:rsid w:val="00E8220C"/>
    <w:rsid w:val="00E85C65"/>
    <w:rsid w:val="00E91269"/>
    <w:rsid w:val="00E962D9"/>
    <w:rsid w:val="00E9779F"/>
    <w:rsid w:val="00EA2042"/>
    <w:rsid w:val="00EB201D"/>
    <w:rsid w:val="00EB3EAF"/>
    <w:rsid w:val="00EB4861"/>
    <w:rsid w:val="00EB4A3C"/>
    <w:rsid w:val="00EB77F4"/>
    <w:rsid w:val="00EC5410"/>
    <w:rsid w:val="00EC5F7A"/>
    <w:rsid w:val="00EC6CE4"/>
    <w:rsid w:val="00ED06BA"/>
    <w:rsid w:val="00ED13FD"/>
    <w:rsid w:val="00ED3E2F"/>
    <w:rsid w:val="00ED614E"/>
    <w:rsid w:val="00EE215E"/>
    <w:rsid w:val="00EE5DB6"/>
    <w:rsid w:val="00EE7BA3"/>
    <w:rsid w:val="00EF3D08"/>
    <w:rsid w:val="00EF49BE"/>
    <w:rsid w:val="00F06776"/>
    <w:rsid w:val="00F1096A"/>
    <w:rsid w:val="00F10D5F"/>
    <w:rsid w:val="00F14F13"/>
    <w:rsid w:val="00F23E22"/>
    <w:rsid w:val="00F27059"/>
    <w:rsid w:val="00F27341"/>
    <w:rsid w:val="00F30380"/>
    <w:rsid w:val="00F345FA"/>
    <w:rsid w:val="00F406CD"/>
    <w:rsid w:val="00F40BD7"/>
    <w:rsid w:val="00F412C6"/>
    <w:rsid w:val="00F432AC"/>
    <w:rsid w:val="00F4485D"/>
    <w:rsid w:val="00F45F14"/>
    <w:rsid w:val="00F52C55"/>
    <w:rsid w:val="00F54099"/>
    <w:rsid w:val="00F56F79"/>
    <w:rsid w:val="00F608BE"/>
    <w:rsid w:val="00F62201"/>
    <w:rsid w:val="00F63AAC"/>
    <w:rsid w:val="00F707CE"/>
    <w:rsid w:val="00F72A8D"/>
    <w:rsid w:val="00F815E4"/>
    <w:rsid w:val="00F818F1"/>
    <w:rsid w:val="00F83D26"/>
    <w:rsid w:val="00F878A6"/>
    <w:rsid w:val="00F96500"/>
    <w:rsid w:val="00FA519A"/>
    <w:rsid w:val="00FA7C39"/>
    <w:rsid w:val="00FB7A27"/>
    <w:rsid w:val="00FD042B"/>
    <w:rsid w:val="00FD0946"/>
    <w:rsid w:val="00FD18E4"/>
    <w:rsid w:val="00FD3805"/>
    <w:rsid w:val="00FD4BB2"/>
    <w:rsid w:val="00FD5308"/>
    <w:rsid w:val="00FF425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871ABB"/>
  <w15:docId w15:val="{D01776EA-7816-454E-8314-4D759FEB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D6"/>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F83"/>
    <w:pPr>
      <w:tabs>
        <w:tab w:val="center" w:pos="4320"/>
        <w:tab w:val="right" w:pos="8640"/>
      </w:tabs>
    </w:pPr>
  </w:style>
  <w:style w:type="character" w:styleId="PageNumber">
    <w:name w:val="page number"/>
    <w:basedOn w:val="DefaultParagraphFont"/>
    <w:rsid w:val="00BD5F83"/>
  </w:style>
  <w:style w:type="paragraph" w:customStyle="1" w:styleId="Style1">
    <w:name w:val="Style 1"/>
    <w:basedOn w:val="Normal"/>
    <w:rsid w:val="004C72D6"/>
    <w:pPr>
      <w:spacing w:before="2376"/>
      <w:jc w:val="center"/>
    </w:pPr>
  </w:style>
  <w:style w:type="paragraph" w:customStyle="1" w:styleId="Style13">
    <w:name w:val="Style 13"/>
    <w:basedOn w:val="Normal"/>
    <w:rsid w:val="004C72D6"/>
    <w:pPr>
      <w:spacing w:line="804" w:lineRule="atLeast"/>
      <w:jc w:val="center"/>
    </w:pPr>
  </w:style>
  <w:style w:type="paragraph" w:customStyle="1" w:styleId="Style14">
    <w:name w:val="Style 14"/>
    <w:basedOn w:val="Normal"/>
    <w:rsid w:val="004C72D6"/>
    <w:pPr>
      <w:spacing w:before="144" w:after="2700"/>
      <w:jc w:val="center"/>
    </w:pPr>
  </w:style>
  <w:style w:type="paragraph" w:customStyle="1" w:styleId="Style15">
    <w:name w:val="Style 15"/>
    <w:basedOn w:val="Normal"/>
    <w:rsid w:val="004C72D6"/>
    <w:pPr>
      <w:spacing w:before="252"/>
      <w:jc w:val="center"/>
    </w:pPr>
  </w:style>
  <w:style w:type="paragraph" w:customStyle="1" w:styleId="Style5">
    <w:name w:val="Style 5"/>
    <w:basedOn w:val="Normal"/>
    <w:rsid w:val="004C72D6"/>
    <w:pPr>
      <w:adjustRightInd w:val="0"/>
    </w:pPr>
  </w:style>
  <w:style w:type="paragraph" w:customStyle="1" w:styleId="Style6">
    <w:name w:val="Style 6"/>
    <w:basedOn w:val="Normal"/>
    <w:rsid w:val="004C72D6"/>
    <w:pPr>
      <w:jc w:val="both"/>
    </w:pPr>
  </w:style>
  <w:style w:type="paragraph" w:customStyle="1" w:styleId="Style11">
    <w:name w:val="Style 11"/>
    <w:basedOn w:val="Normal"/>
    <w:rsid w:val="004C72D6"/>
    <w:pPr>
      <w:tabs>
        <w:tab w:val="decimal" w:pos="288"/>
        <w:tab w:val="left" w:pos="2808"/>
      </w:tabs>
      <w:spacing w:line="480" w:lineRule="auto"/>
    </w:pPr>
  </w:style>
  <w:style w:type="paragraph" w:customStyle="1" w:styleId="Style7">
    <w:name w:val="Style 7"/>
    <w:basedOn w:val="Normal"/>
    <w:rsid w:val="004C72D6"/>
    <w:pPr>
      <w:spacing w:before="13644"/>
      <w:ind w:left="5472"/>
    </w:pPr>
  </w:style>
  <w:style w:type="paragraph" w:customStyle="1" w:styleId="Style12">
    <w:name w:val="Style 12"/>
    <w:basedOn w:val="Normal"/>
    <w:rsid w:val="004C72D6"/>
    <w:pPr>
      <w:tabs>
        <w:tab w:val="left" w:pos="2808"/>
      </w:tabs>
      <w:spacing w:line="480" w:lineRule="auto"/>
    </w:pPr>
  </w:style>
  <w:style w:type="paragraph" w:customStyle="1" w:styleId="Style16">
    <w:name w:val="Style 16"/>
    <w:basedOn w:val="Normal"/>
    <w:rsid w:val="004C72D6"/>
    <w:pPr>
      <w:tabs>
        <w:tab w:val="decimal" w:pos="432"/>
        <w:tab w:val="left" w:pos="2808"/>
      </w:tabs>
    </w:pPr>
  </w:style>
  <w:style w:type="paragraph" w:customStyle="1" w:styleId="Style10">
    <w:name w:val="Style 10"/>
    <w:basedOn w:val="Normal"/>
    <w:rsid w:val="004C72D6"/>
    <w:pPr>
      <w:spacing w:line="480" w:lineRule="auto"/>
    </w:pPr>
  </w:style>
  <w:style w:type="paragraph" w:customStyle="1" w:styleId="Style17">
    <w:name w:val="Style 17"/>
    <w:basedOn w:val="Normal"/>
    <w:rsid w:val="004C72D6"/>
    <w:pPr>
      <w:spacing w:before="216" w:line="288" w:lineRule="atLeast"/>
      <w:ind w:left="144"/>
    </w:pPr>
  </w:style>
  <w:style w:type="paragraph" w:styleId="Header">
    <w:name w:val="header"/>
    <w:basedOn w:val="Normal"/>
    <w:rsid w:val="004C72D6"/>
    <w:pPr>
      <w:tabs>
        <w:tab w:val="center" w:pos="4320"/>
        <w:tab w:val="right" w:pos="8640"/>
      </w:tabs>
    </w:pPr>
  </w:style>
  <w:style w:type="paragraph" w:styleId="DocumentMap">
    <w:name w:val="Document Map"/>
    <w:basedOn w:val="Normal"/>
    <w:semiHidden/>
    <w:rsid w:val="004C72D6"/>
    <w:pPr>
      <w:shd w:val="clear" w:color="auto" w:fill="000080"/>
    </w:pPr>
    <w:rPr>
      <w:rFonts w:ascii="Tahoma" w:hAnsi="Tahoma" w:cs="Tahoma"/>
    </w:rPr>
  </w:style>
  <w:style w:type="table" w:styleId="TableGrid">
    <w:name w:val="Table Grid"/>
    <w:basedOn w:val="TableNormal"/>
    <w:rsid w:val="004C72D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72D6"/>
    <w:rPr>
      <w:rFonts w:ascii="Tahoma" w:hAnsi="Tahoma" w:cs="Tahoma"/>
      <w:sz w:val="16"/>
      <w:szCs w:val="16"/>
    </w:rPr>
  </w:style>
  <w:style w:type="character" w:styleId="Hyperlink">
    <w:name w:val="Hyperlink"/>
    <w:basedOn w:val="DefaultParagraphFont"/>
    <w:rsid w:val="004C72D6"/>
    <w:rPr>
      <w:color w:val="0000FF"/>
      <w:u w:val="single"/>
    </w:rPr>
  </w:style>
  <w:style w:type="character" w:styleId="CommentReference">
    <w:name w:val="annotation reference"/>
    <w:basedOn w:val="DefaultParagraphFont"/>
    <w:semiHidden/>
    <w:rsid w:val="004C72D6"/>
    <w:rPr>
      <w:sz w:val="16"/>
      <w:szCs w:val="16"/>
    </w:rPr>
  </w:style>
  <w:style w:type="paragraph" w:styleId="CommentText">
    <w:name w:val="annotation text"/>
    <w:basedOn w:val="Normal"/>
    <w:semiHidden/>
    <w:rsid w:val="004C72D6"/>
    <w:pPr>
      <w:widowControl/>
      <w:autoSpaceDE/>
      <w:autoSpaceDN/>
    </w:pPr>
    <w:rPr>
      <w:sz w:val="20"/>
      <w:szCs w:val="20"/>
    </w:rPr>
  </w:style>
  <w:style w:type="paragraph" w:styleId="CommentSubject">
    <w:name w:val="annotation subject"/>
    <w:basedOn w:val="CommentText"/>
    <w:next w:val="CommentText"/>
    <w:semiHidden/>
    <w:rsid w:val="004C72D6"/>
    <w:pPr>
      <w:widowControl w:val="0"/>
      <w:autoSpaceDE w:val="0"/>
      <w:autoSpaceDN w:val="0"/>
    </w:pPr>
    <w:rPr>
      <w:b/>
      <w:bCs/>
    </w:rPr>
  </w:style>
  <w:style w:type="character" w:styleId="FollowedHyperlink">
    <w:name w:val="FollowedHyperlink"/>
    <w:basedOn w:val="DefaultParagraphFont"/>
    <w:rsid w:val="004C72D6"/>
    <w:rPr>
      <w:color w:val="606420"/>
      <w:u w:val="single"/>
    </w:rPr>
  </w:style>
  <w:style w:type="paragraph" w:styleId="ListParagraph">
    <w:name w:val="List Paragraph"/>
    <w:basedOn w:val="Normal"/>
    <w:uiPriority w:val="34"/>
    <w:qFormat/>
    <w:rsid w:val="00964D16"/>
    <w:pPr>
      <w:widowControl/>
      <w:autoSpaceDE/>
      <w:autoSpaceDN/>
      <w:spacing w:after="200" w:line="276" w:lineRule="auto"/>
      <w:ind w:left="720" w:firstLine="720"/>
      <w:contextualSpacing/>
    </w:pPr>
    <w:rPr>
      <w:rFonts w:eastAsiaTheme="minorHAnsi" w:cstheme="minorBidi"/>
      <w:szCs w:val="22"/>
    </w:rPr>
  </w:style>
  <w:style w:type="paragraph" w:customStyle="1" w:styleId="TableTextforPreamble">
    <w:name w:val="Table Text for Preamble"/>
    <w:basedOn w:val="Normal"/>
    <w:uiPriority w:val="3"/>
    <w:qFormat/>
    <w:rsid w:val="00470F73"/>
    <w:pPr>
      <w:widowControl/>
      <w:suppressAutoHyphens/>
      <w:autoSpaceDE/>
      <w:autoSpaceDN/>
    </w:pPr>
    <w:rPr>
      <w:lang w:eastAsia="ar-SA"/>
    </w:rPr>
  </w:style>
  <w:style w:type="paragraph" w:customStyle="1" w:styleId="TableNotesforPreamble">
    <w:name w:val="Table Notes for Preamble"/>
    <w:basedOn w:val="TableTextforPreamble"/>
    <w:uiPriority w:val="4"/>
    <w:qFormat/>
    <w:rsid w:val="00470F73"/>
    <w:rPr>
      <w:sz w:val="20"/>
      <w:lang w:eastAsia="en-US"/>
    </w:rPr>
  </w:style>
  <w:style w:type="character" w:styleId="FootnoteReference">
    <w:name w:val="footnote reference"/>
    <w:uiPriority w:val="99"/>
    <w:rsid w:val="00470F73"/>
    <w:rPr>
      <w:vertAlign w:val="superscript"/>
    </w:rPr>
  </w:style>
  <w:style w:type="paragraph" w:customStyle="1" w:styleId="Footnote">
    <w:name w:val="Footnote"/>
    <w:link w:val="FootnoteChar"/>
    <w:rsid w:val="00470F73"/>
    <w:pPr>
      <w:autoSpaceDE w:val="0"/>
      <w:autoSpaceDN w:val="0"/>
      <w:adjustRightInd w:val="0"/>
    </w:pPr>
    <w:rPr>
      <w:rFonts w:cs="ENKOF M+ Melior"/>
      <w:color w:val="000000"/>
      <w:szCs w:val="24"/>
    </w:rPr>
  </w:style>
  <w:style w:type="character" w:customStyle="1" w:styleId="FootnoteChar">
    <w:name w:val="Footnote Char"/>
    <w:basedOn w:val="DefaultParagraphFont"/>
    <w:link w:val="Footnote"/>
    <w:rsid w:val="00470F73"/>
    <w:rPr>
      <w:rFonts w:cs="ENKOF M+ Melior"/>
      <w:color w:val="000000"/>
      <w:szCs w:val="24"/>
    </w:rPr>
  </w:style>
  <w:style w:type="paragraph" w:customStyle="1" w:styleId="BulletedListforPreamble">
    <w:name w:val="Bulleted List for Preamble"/>
    <w:basedOn w:val="ListBullet"/>
    <w:uiPriority w:val="2"/>
    <w:qFormat/>
    <w:rsid w:val="00FD5308"/>
    <w:pPr>
      <w:widowControl/>
      <w:suppressAutoHyphens/>
      <w:autoSpaceDE/>
      <w:autoSpaceDN/>
      <w:spacing w:before="240" w:after="240"/>
      <w:ind w:left="1080"/>
      <w:contextualSpacing w:val="0"/>
    </w:pPr>
    <w:rPr>
      <w:lang w:eastAsia="ar-SA"/>
    </w:rPr>
  </w:style>
  <w:style w:type="paragraph" w:styleId="ListBullet">
    <w:name w:val="List Bullet"/>
    <w:basedOn w:val="Normal"/>
    <w:rsid w:val="00FD5308"/>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
      <w:bodyDiv w:val="1"/>
      <w:marLeft w:val="0"/>
      <w:marRight w:val="0"/>
      <w:marTop w:val="0"/>
      <w:marBottom w:val="0"/>
      <w:divBdr>
        <w:top w:val="none" w:sz="0" w:space="0" w:color="auto"/>
        <w:left w:val="none" w:sz="0" w:space="0" w:color="auto"/>
        <w:bottom w:val="none" w:sz="0" w:space="0" w:color="auto"/>
        <w:right w:val="none" w:sz="0" w:space="0" w:color="auto"/>
      </w:divBdr>
    </w:div>
    <w:div w:id="123238577">
      <w:bodyDiv w:val="1"/>
      <w:marLeft w:val="0"/>
      <w:marRight w:val="0"/>
      <w:marTop w:val="0"/>
      <w:marBottom w:val="0"/>
      <w:divBdr>
        <w:top w:val="none" w:sz="0" w:space="0" w:color="auto"/>
        <w:left w:val="none" w:sz="0" w:space="0" w:color="auto"/>
        <w:bottom w:val="none" w:sz="0" w:space="0" w:color="auto"/>
        <w:right w:val="none" w:sz="0" w:space="0" w:color="auto"/>
      </w:divBdr>
    </w:div>
    <w:div w:id="166676265">
      <w:bodyDiv w:val="1"/>
      <w:marLeft w:val="0"/>
      <w:marRight w:val="0"/>
      <w:marTop w:val="0"/>
      <w:marBottom w:val="0"/>
      <w:divBdr>
        <w:top w:val="none" w:sz="0" w:space="0" w:color="auto"/>
        <w:left w:val="none" w:sz="0" w:space="0" w:color="auto"/>
        <w:bottom w:val="none" w:sz="0" w:space="0" w:color="auto"/>
        <w:right w:val="none" w:sz="0" w:space="0" w:color="auto"/>
      </w:divBdr>
    </w:div>
    <w:div w:id="339427050">
      <w:bodyDiv w:val="1"/>
      <w:marLeft w:val="0"/>
      <w:marRight w:val="0"/>
      <w:marTop w:val="0"/>
      <w:marBottom w:val="0"/>
      <w:divBdr>
        <w:top w:val="none" w:sz="0" w:space="0" w:color="auto"/>
        <w:left w:val="none" w:sz="0" w:space="0" w:color="auto"/>
        <w:bottom w:val="none" w:sz="0" w:space="0" w:color="auto"/>
        <w:right w:val="none" w:sz="0" w:space="0" w:color="auto"/>
      </w:divBdr>
    </w:div>
    <w:div w:id="595403694">
      <w:bodyDiv w:val="1"/>
      <w:marLeft w:val="0"/>
      <w:marRight w:val="0"/>
      <w:marTop w:val="0"/>
      <w:marBottom w:val="0"/>
      <w:divBdr>
        <w:top w:val="none" w:sz="0" w:space="0" w:color="auto"/>
        <w:left w:val="none" w:sz="0" w:space="0" w:color="auto"/>
        <w:bottom w:val="none" w:sz="0" w:space="0" w:color="auto"/>
        <w:right w:val="none" w:sz="0" w:space="0" w:color="auto"/>
      </w:divBdr>
    </w:div>
    <w:div w:id="678508136">
      <w:bodyDiv w:val="1"/>
      <w:marLeft w:val="0"/>
      <w:marRight w:val="0"/>
      <w:marTop w:val="0"/>
      <w:marBottom w:val="0"/>
      <w:divBdr>
        <w:top w:val="none" w:sz="0" w:space="0" w:color="auto"/>
        <w:left w:val="none" w:sz="0" w:space="0" w:color="auto"/>
        <w:bottom w:val="none" w:sz="0" w:space="0" w:color="auto"/>
        <w:right w:val="none" w:sz="0" w:space="0" w:color="auto"/>
      </w:divBdr>
    </w:div>
    <w:div w:id="756050619">
      <w:bodyDiv w:val="1"/>
      <w:marLeft w:val="0"/>
      <w:marRight w:val="0"/>
      <w:marTop w:val="0"/>
      <w:marBottom w:val="0"/>
      <w:divBdr>
        <w:top w:val="none" w:sz="0" w:space="0" w:color="auto"/>
        <w:left w:val="none" w:sz="0" w:space="0" w:color="auto"/>
        <w:bottom w:val="none" w:sz="0" w:space="0" w:color="auto"/>
        <w:right w:val="none" w:sz="0" w:space="0" w:color="auto"/>
      </w:divBdr>
    </w:div>
    <w:div w:id="807626125">
      <w:bodyDiv w:val="1"/>
      <w:marLeft w:val="0"/>
      <w:marRight w:val="0"/>
      <w:marTop w:val="0"/>
      <w:marBottom w:val="0"/>
      <w:divBdr>
        <w:top w:val="none" w:sz="0" w:space="0" w:color="auto"/>
        <w:left w:val="none" w:sz="0" w:space="0" w:color="auto"/>
        <w:bottom w:val="none" w:sz="0" w:space="0" w:color="auto"/>
        <w:right w:val="none" w:sz="0" w:space="0" w:color="auto"/>
      </w:divBdr>
    </w:div>
    <w:div w:id="1339499727">
      <w:bodyDiv w:val="1"/>
      <w:marLeft w:val="0"/>
      <w:marRight w:val="0"/>
      <w:marTop w:val="0"/>
      <w:marBottom w:val="0"/>
      <w:divBdr>
        <w:top w:val="none" w:sz="0" w:space="0" w:color="auto"/>
        <w:left w:val="none" w:sz="0" w:space="0" w:color="auto"/>
        <w:bottom w:val="none" w:sz="0" w:space="0" w:color="auto"/>
        <w:right w:val="none" w:sz="0" w:space="0" w:color="auto"/>
      </w:divBdr>
    </w:div>
    <w:div w:id="1509977460">
      <w:bodyDiv w:val="1"/>
      <w:marLeft w:val="0"/>
      <w:marRight w:val="0"/>
      <w:marTop w:val="0"/>
      <w:marBottom w:val="0"/>
      <w:divBdr>
        <w:top w:val="none" w:sz="0" w:space="0" w:color="auto"/>
        <w:left w:val="none" w:sz="0" w:space="0" w:color="auto"/>
        <w:bottom w:val="none" w:sz="0" w:space="0" w:color="auto"/>
        <w:right w:val="none" w:sz="0" w:space="0" w:color="auto"/>
      </w:divBdr>
    </w:div>
    <w:div w:id="1513184689">
      <w:bodyDiv w:val="1"/>
      <w:marLeft w:val="0"/>
      <w:marRight w:val="0"/>
      <w:marTop w:val="0"/>
      <w:marBottom w:val="0"/>
      <w:divBdr>
        <w:top w:val="none" w:sz="0" w:space="0" w:color="auto"/>
        <w:left w:val="none" w:sz="0" w:space="0" w:color="auto"/>
        <w:bottom w:val="none" w:sz="0" w:space="0" w:color="auto"/>
        <w:right w:val="none" w:sz="0" w:space="0" w:color="auto"/>
      </w:divBdr>
    </w:div>
    <w:div w:id="1574659773">
      <w:bodyDiv w:val="1"/>
      <w:marLeft w:val="0"/>
      <w:marRight w:val="0"/>
      <w:marTop w:val="0"/>
      <w:marBottom w:val="0"/>
      <w:divBdr>
        <w:top w:val="none" w:sz="0" w:space="0" w:color="auto"/>
        <w:left w:val="none" w:sz="0" w:space="0" w:color="auto"/>
        <w:bottom w:val="none" w:sz="0" w:space="0" w:color="auto"/>
        <w:right w:val="none" w:sz="0" w:space="0" w:color="auto"/>
      </w:divBdr>
    </w:div>
    <w:div w:id="16744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B50C6-7573-407A-9AC6-5173E6B1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9139</Words>
  <Characters>52095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61112</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subject/>
  <dc:creator>ctsuser</dc:creator>
  <cp:keywords/>
  <dc:description/>
  <cp:lastModifiedBy>Kerwin, Courtney</cp:lastModifiedBy>
  <cp:revision>2</cp:revision>
  <cp:lastPrinted>2011-10-21T17:56:00Z</cp:lastPrinted>
  <dcterms:created xsi:type="dcterms:W3CDTF">2017-01-09T17:55:00Z</dcterms:created>
  <dcterms:modified xsi:type="dcterms:W3CDTF">2017-01-09T17:55:00Z</dcterms:modified>
</cp:coreProperties>
</file>